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B35977E" w:rsidR="00F02AEC" w:rsidRPr="00215D48" w:rsidRDefault="00346EC2" w:rsidP="007452E8">
            <w:pPr>
              <w:pStyle w:val="Title"/>
            </w:pPr>
            <w:r w:rsidRPr="00346EC2">
              <w:t xml:space="preserve">Australian Public Assessment Report for </w:t>
            </w:r>
            <w:r w:rsidR="002F1471">
              <w:t>Vyalev</w:t>
            </w:r>
          </w:p>
        </w:tc>
      </w:tr>
      <w:tr w:rsidR="00F02AEC" w:rsidRPr="00215D48" w14:paraId="318A40A3" w14:textId="77777777" w:rsidTr="00346EC2">
        <w:trPr>
          <w:trHeight w:val="995"/>
        </w:trPr>
        <w:tc>
          <w:tcPr>
            <w:tcW w:w="8720" w:type="dxa"/>
          </w:tcPr>
          <w:p w14:paraId="1AA7C701" w14:textId="59E02243" w:rsidR="00F02AEC" w:rsidRPr="00C34105" w:rsidRDefault="00346EC2" w:rsidP="007452E8">
            <w:pPr>
              <w:pStyle w:val="Subtitle"/>
              <w:ind w:left="0"/>
              <w:rPr>
                <w:bCs w:val="0"/>
                <w:iCs w:val="0"/>
              </w:rPr>
            </w:pPr>
            <w:r w:rsidRPr="00346EC2">
              <w:t xml:space="preserve">Active ingredients: </w:t>
            </w:r>
            <w:proofErr w:type="spellStart"/>
            <w:r w:rsidR="00C34105">
              <w:rPr>
                <w:bCs w:val="0"/>
                <w:iCs w:val="0"/>
              </w:rPr>
              <w:t>F</w:t>
            </w:r>
            <w:r w:rsidR="00A175F6">
              <w:rPr>
                <w:bCs w:val="0"/>
                <w:iCs w:val="0"/>
              </w:rPr>
              <w:t>oslevodopa</w:t>
            </w:r>
            <w:proofErr w:type="spellEnd"/>
            <w:r w:rsidR="00186C93" w:rsidRPr="00186C93">
              <w:rPr>
                <w:bCs w:val="0"/>
                <w:iCs w:val="0"/>
              </w:rPr>
              <w:t xml:space="preserve"> and </w:t>
            </w:r>
            <w:proofErr w:type="spellStart"/>
            <w:r w:rsidR="00C34105">
              <w:rPr>
                <w:bCs w:val="0"/>
                <w:iCs w:val="0"/>
              </w:rPr>
              <w:t>F</w:t>
            </w:r>
            <w:r w:rsidR="00186C93" w:rsidRPr="00186C93">
              <w:rPr>
                <w:bCs w:val="0"/>
                <w:iCs w:val="0"/>
              </w:rPr>
              <w:t>oscarbidopa</w:t>
            </w:r>
            <w:proofErr w:type="spellEnd"/>
          </w:p>
        </w:tc>
      </w:tr>
      <w:tr w:rsidR="00346EC2" w:rsidRPr="00215D48" w14:paraId="362CCAE4" w14:textId="77777777" w:rsidTr="007452E8">
        <w:trPr>
          <w:trHeight w:val="1916"/>
        </w:trPr>
        <w:tc>
          <w:tcPr>
            <w:tcW w:w="8720" w:type="dxa"/>
          </w:tcPr>
          <w:p w14:paraId="709C45C0" w14:textId="0F9C1195" w:rsidR="00346EC2" w:rsidRPr="00215D48" w:rsidRDefault="00346EC2" w:rsidP="007452E8">
            <w:pPr>
              <w:pStyle w:val="Subtitle"/>
              <w:ind w:left="0"/>
            </w:pPr>
            <w:r w:rsidRPr="00346EC2">
              <w:t xml:space="preserve">Sponsor: </w:t>
            </w:r>
            <w:r w:rsidR="00186C93">
              <w:t>Abbvie Pty Ltd.</w:t>
            </w:r>
          </w:p>
        </w:tc>
      </w:tr>
      <w:tr w:rsidR="00F02AEC" w:rsidRPr="00215D48" w14:paraId="37F2AA1F" w14:textId="77777777" w:rsidTr="007452E8">
        <w:tc>
          <w:tcPr>
            <w:tcW w:w="8720" w:type="dxa"/>
          </w:tcPr>
          <w:p w14:paraId="1FDE8DCD" w14:textId="56D6D88C" w:rsidR="00F02AEC" w:rsidRPr="00215D48" w:rsidRDefault="003C5496" w:rsidP="007452E8">
            <w:pPr>
              <w:pStyle w:val="Date"/>
            </w:pPr>
            <w:r>
              <w:t>October</w:t>
            </w:r>
            <w:r w:rsidR="00A30451">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46BFDF9A" w14:textId="77777777" w:rsidR="00D828E6" w:rsidRPr="007F6AB4" w:rsidRDefault="00D828E6" w:rsidP="00D828E6">
      <w:pPr>
        <w:pStyle w:val="ListBullet"/>
      </w:pPr>
      <w:bookmarkStart w:id="0" w:name="_Hlk178341385"/>
      <w:bookmarkStart w:id="1" w:name="_Hlk178341112"/>
      <w:r w:rsidRPr="00F24396">
        <w:t xml:space="preserve">The TGA </w:t>
      </w:r>
      <w:r>
        <w:t>assesses</w:t>
      </w:r>
      <w:r w:rsidRPr="00F24396">
        <w:t xml:space="preserve"> </w:t>
      </w:r>
      <w:r>
        <w:t>applications</w:t>
      </w:r>
      <w:r w:rsidRPr="00F24396">
        <w:t xml:space="preserve"> </w:t>
      </w:r>
      <w:r>
        <w:t>to enter</w:t>
      </w:r>
      <w:r w:rsidRPr="00F24396">
        <w:t xml:space="preserve"> </w:t>
      </w:r>
      <w:r>
        <w:t>therapeutic goods in</w:t>
      </w:r>
      <w:r w:rsidRPr="00F24396">
        <w:t xml:space="preserve"> the </w:t>
      </w:r>
      <w:hyperlink r:id="rId13" w:history="1">
        <w:r w:rsidRPr="008E3C94">
          <w:rPr>
            <w:rStyle w:val="Hyperlink"/>
            <w:szCs w:val="22"/>
          </w:rPr>
          <w:t>Australian Register of Therapeutic Goods (ARTG)</w:t>
        </w:r>
      </w:hyperlink>
      <w:r>
        <w:rPr>
          <w:szCs w:val="22"/>
        </w:rPr>
        <w:t>.</w:t>
      </w:r>
    </w:p>
    <w:p w14:paraId="49F202D7" w14:textId="77777777" w:rsidR="00D828E6" w:rsidRDefault="00D828E6" w:rsidP="00B25F64">
      <w:pPr>
        <w:pStyle w:val="ListBullet"/>
      </w:pPr>
      <w:r w:rsidRPr="003C6D1F">
        <w:t>Australian Public Assessment Report</w:t>
      </w:r>
      <w:r>
        <w:t>s</w:t>
      </w:r>
      <w:r w:rsidRPr="003C6D1F">
        <w:t xml:space="preserve"> (</w:t>
      </w:r>
      <w:proofErr w:type="spellStart"/>
      <w:r w:rsidRPr="003C6D1F">
        <w:t>AusPAR</w:t>
      </w:r>
      <w:r>
        <w:t>s</w:t>
      </w:r>
      <w:proofErr w:type="spellEnd"/>
      <w:r w:rsidRPr="003C6D1F">
        <w:t xml:space="preserve">) provide information </w:t>
      </w:r>
      <w:r>
        <w:t>on</w:t>
      </w:r>
      <w:r w:rsidRPr="003C6D1F">
        <w:t xml:space="preserve"> the evaluation of prescription medicine</w:t>
      </w:r>
      <w:r>
        <w:t>s</w:t>
      </w:r>
      <w:r w:rsidRPr="003C6D1F">
        <w:t xml:space="preserve"> and the considerations that led the TGA to approve or not approve </w:t>
      </w:r>
      <w:r>
        <w:t>their entry in the ARTG</w:t>
      </w:r>
      <w:r w:rsidRPr="003C6D1F">
        <w:t>.</w:t>
      </w:r>
      <w:r>
        <w:t xml:space="preserve"> </w:t>
      </w:r>
      <w:proofErr w:type="spellStart"/>
      <w:r>
        <w:t>AusPARs</w:t>
      </w:r>
      <w:proofErr w:type="spellEnd"/>
      <w:r>
        <w:t xml:space="preserve"> are an important part of the transparency of the TGA’s decision-making process.</w:t>
      </w:r>
    </w:p>
    <w:p w14:paraId="6463E186" w14:textId="69972CEC" w:rsidR="00D828E6" w:rsidRPr="003C6D1F" w:rsidRDefault="00D828E6" w:rsidP="00B25F64">
      <w:pPr>
        <w:pStyle w:val="ListBullet"/>
      </w:pPr>
      <w:proofErr w:type="spellStart"/>
      <w:r w:rsidRPr="003C6D1F">
        <w:t>AusPARs</w:t>
      </w:r>
      <w:proofErr w:type="spellEnd"/>
      <w:r w:rsidRPr="003C6D1F">
        <w:t xml:space="preserve"> are </w:t>
      </w:r>
      <w:r w:rsidR="003C5496">
        <w:t xml:space="preserve">compiled </w:t>
      </w:r>
      <w:r w:rsidRPr="003C6D1F">
        <w:t>and published by the TGA</w:t>
      </w:r>
      <w:r>
        <w:t xml:space="preserve">, </w:t>
      </w:r>
      <w:r w:rsidRPr="00B25F64">
        <w:t>using</w:t>
      </w:r>
      <w:r>
        <w:t xml:space="preserve"> extracts from </w:t>
      </w:r>
      <w:r w:rsidR="00851743">
        <w:t xml:space="preserve">scientific </w:t>
      </w:r>
      <w:r>
        <w:t>evaluations and risk-benefit assessments</w:t>
      </w:r>
      <w:r w:rsidRPr="003C6D1F">
        <w:t>.</w:t>
      </w:r>
      <w:r>
        <w:t xml:space="preserve"> They contain detailed research findings and specialised terminology.</w:t>
      </w:r>
    </w:p>
    <w:p w14:paraId="66CFAF57" w14:textId="77777777" w:rsidR="00D828E6" w:rsidRDefault="00D828E6" w:rsidP="00D828E6">
      <w:pPr>
        <w:pStyle w:val="ListBullet"/>
      </w:pPr>
      <w:r>
        <w:t xml:space="preserve">Each </w:t>
      </w:r>
      <w:r w:rsidRPr="003C6D1F">
        <w:t>AusPAR</w:t>
      </w:r>
      <w:r>
        <w:t xml:space="preserve"> </w:t>
      </w:r>
      <w:r w:rsidRPr="003C6D1F">
        <w:t>relates to a</w:t>
      </w:r>
      <w:r>
        <w:t xml:space="preserve"> prescription medicine application </w:t>
      </w:r>
      <w:r w:rsidRPr="003C6D1F">
        <w:t>at a particular point in time.</w:t>
      </w:r>
      <w:r>
        <w:t xml:space="preserve"> A new</w:t>
      </w:r>
      <w:r w:rsidRPr="003C6D1F">
        <w:t xml:space="preserve"> AusPAR </w:t>
      </w:r>
      <w:r>
        <w:t xml:space="preserve">may be provided </w:t>
      </w:r>
      <w:r w:rsidRPr="003C6D1F">
        <w:t>to reflect changes to indications or major variations to a prescription medicine.</w:t>
      </w:r>
    </w:p>
    <w:p w14:paraId="48867864" w14:textId="77777777" w:rsidR="00D828E6" w:rsidRDefault="00D828E6" w:rsidP="00B25F64">
      <w:pPr>
        <w:pStyle w:val="ListBullet"/>
      </w:pPr>
      <w:r>
        <w:t xml:space="preserve">More information can be found in </w:t>
      </w:r>
      <w:hyperlink r:id="rId14" w:history="1">
        <w:r w:rsidRPr="005A2EB8">
          <w:rPr>
            <w:rStyle w:val="Hyperlink"/>
          </w:rPr>
          <w:t>Australian Public Assessment Report (AusPAR) guidance</w:t>
        </w:r>
      </w:hyperlink>
      <w:bookmarkEnd w:id="0"/>
      <w:r>
        <w:t>.</w:t>
      </w:r>
    </w:p>
    <w:bookmarkEnd w:id="1"/>
    <w:p w14:paraId="22BA8304" w14:textId="77777777" w:rsidR="00B25F64" w:rsidRPr="00E1198B" w:rsidRDefault="00B25F64" w:rsidP="00D407EC">
      <w:pPr>
        <w:pStyle w:val="LegalSubheading"/>
        <w:spacing w:before="2640"/>
      </w:pPr>
      <w:r w:rsidRPr="00BA0DFC">
        <w:t>Copyright</w:t>
      </w:r>
    </w:p>
    <w:p w14:paraId="3DB22EF3" w14:textId="2D4CE8C7" w:rsidR="0072357D" w:rsidRPr="0072357D" w:rsidRDefault="00B25F64" w:rsidP="0072357D">
      <w:pPr>
        <w:pStyle w:val="LegalCopy"/>
      </w:pPr>
      <w:r w:rsidRPr="00215D48">
        <w:t>© Commonwealth of Australia 20</w:t>
      </w:r>
      <w:r>
        <w:t>24</w:t>
      </w:r>
      <w:r w:rsidRPr="00215D48">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w:t>
      </w:r>
      <w:r w:rsidRPr="00B25F64">
        <w:t>and</w:t>
      </w:r>
      <w:r w:rsidRPr="00215D48">
        <w:t xml:space="preserve"> all disclaimer notices as part of that reproduction. Apart from rights to use as permitted by the </w:t>
      </w:r>
      <w:r w:rsidRPr="00215D48">
        <w:rPr>
          <w:i/>
        </w:rPr>
        <w:t>Copyright Act 1968</w:t>
      </w:r>
      <w:r w:rsidRPr="00215D48">
        <w:t xml:space="preserve"> or allowed by this copyright notice, all other rights are </w:t>
      </w:r>
      <w:proofErr w:type="gramStart"/>
      <w:r w:rsidRPr="00215D48">
        <w:t>reserved</w:t>
      </w:r>
      <w:proofErr w:type="gramEnd"/>
      <w:r w:rsidRPr="00215D48">
        <w:t xml:space="preserve"> and you are not allowed to reproduce the whole or any part of this work in any way (electronic or otherwise) without first being given specific written permission from the Commonwealth to do so. Requests and inquiries </w:t>
      </w:r>
      <w:r w:rsidRPr="00B25F64">
        <w:t>concerning</w:t>
      </w:r>
      <w:r w:rsidRPr="00215D48">
        <w:t xml:space="preserve"> reproduction and rights are to be sent to the TGA Copyright Officer, Therapeutic Goods Administration, PO Box 100, Woden ACT 2606 or emailed to &lt;</w:t>
      </w:r>
      <w:hyperlink r:id="rId15" w:history="1">
        <w:r w:rsidRPr="00215D48">
          <w:rPr>
            <w:rStyle w:val="Hyperlink"/>
            <w:rFonts w:cs="Arial"/>
          </w:rPr>
          <w:t>tga.copyright@tga.gov.au</w:t>
        </w:r>
      </w:hyperlink>
      <w:r w:rsidRPr="00215D48">
        <w:t>&gt;.</w:t>
      </w:r>
    </w:p>
    <w:sdt>
      <w:sdtPr>
        <w:rPr>
          <w:rFonts w:ascii="Cambria" w:eastAsiaTheme="minorEastAsia" w:hAnsi="Cambria" w:cstheme="minorBidi"/>
          <w:b w:val="0"/>
          <w:color w:val="auto"/>
          <w:sz w:val="22"/>
          <w:szCs w:val="22"/>
        </w:rPr>
        <w:id w:val="21514769"/>
        <w:docPartObj>
          <w:docPartGallery w:val="Table of Contents"/>
          <w:docPartUnique/>
        </w:docPartObj>
      </w:sdtPr>
      <w:sdtEndPr>
        <w:rPr>
          <w:bCs/>
          <w:szCs w:val="32"/>
        </w:rPr>
      </w:sdtEndPr>
      <w:sdtContent>
        <w:p w14:paraId="0A6ADA2B" w14:textId="77777777" w:rsidR="00F02AEC" w:rsidRPr="00215D48" w:rsidRDefault="00F02AEC" w:rsidP="007452E8">
          <w:pPr>
            <w:pStyle w:val="NonTOCheading2"/>
          </w:pPr>
          <w:r w:rsidRPr="00215D48">
            <w:t>Contents</w:t>
          </w:r>
        </w:p>
        <w:p w14:paraId="26B599D1" w14:textId="2E551503" w:rsidR="00192ED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2486534" w:history="1">
            <w:r w:rsidR="00192ED8" w:rsidRPr="00024DA3">
              <w:rPr>
                <w:rStyle w:val="Hyperlink"/>
                <w:noProof/>
              </w:rPr>
              <w:t>List of abbreviations</w:t>
            </w:r>
            <w:r w:rsidR="00192ED8">
              <w:rPr>
                <w:noProof/>
                <w:webHidden/>
              </w:rPr>
              <w:tab/>
            </w:r>
            <w:r w:rsidR="00192ED8">
              <w:rPr>
                <w:noProof/>
                <w:webHidden/>
              </w:rPr>
              <w:fldChar w:fldCharType="begin"/>
            </w:r>
            <w:r w:rsidR="00192ED8">
              <w:rPr>
                <w:noProof/>
                <w:webHidden/>
              </w:rPr>
              <w:instrText xml:space="preserve"> PAGEREF _Toc182486534 \h </w:instrText>
            </w:r>
            <w:r w:rsidR="00192ED8">
              <w:rPr>
                <w:noProof/>
                <w:webHidden/>
              </w:rPr>
            </w:r>
            <w:r w:rsidR="00192ED8">
              <w:rPr>
                <w:noProof/>
                <w:webHidden/>
              </w:rPr>
              <w:fldChar w:fldCharType="separate"/>
            </w:r>
            <w:r w:rsidR="0053426A">
              <w:rPr>
                <w:noProof/>
                <w:webHidden/>
              </w:rPr>
              <w:t>4</w:t>
            </w:r>
            <w:r w:rsidR="00192ED8">
              <w:rPr>
                <w:noProof/>
                <w:webHidden/>
              </w:rPr>
              <w:fldChar w:fldCharType="end"/>
            </w:r>
          </w:hyperlink>
        </w:p>
        <w:p w14:paraId="1FDAA977" w14:textId="42DB294F" w:rsidR="00192ED8" w:rsidRDefault="00192ED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486535" w:history="1">
            <w:r w:rsidRPr="00024DA3">
              <w:rPr>
                <w:rStyle w:val="Hyperlink"/>
                <w:noProof/>
              </w:rPr>
              <w:t>Product submission</w:t>
            </w:r>
            <w:r>
              <w:rPr>
                <w:noProof/>
                <w:webHidden/>
              </w:rPr>
              <w:tab/>
            </w:r>
            <w:r>
              <w:rPr>
                <w:noProof/>
                <w:webHidden/>
              </w:rPr>
              <w:fldChar w:fldCharType="begin"/>
            </w:r>
            <w:r>
              <w:rPr>
                <w:noProof/>
                <w:webHidden/>
              </w:rPr>
              <w:instrText xml:space="preserve"> PAGEREF _Toc182486535 \h </w:instrText>
            </w:r>
            <w:r>
              <w:rPr>
                <w:noProof/>
                <w:webHidden/>
              </w:rPr>
            </w:r>
            <w:r>
              <w:rPr>
                <w:noProof/>
                <w:webHidden/>
              </w:rPr>
              <w:fldChar w:fldCharType="separate"/>
            </w:r>
            <w:r w:rsidR="0053426A">
              <w:rPr>
                <w:noProof/>
                <w:webHidden/>
              </w:rPr>
              <w:t>7</w:t>
            </w:r>
            <w:r>
              <w:rPr>
                <w:noProof/>
                <w:webHidden/>
              </w:rPr>
              <w:fldChar w:fldCharType="end"/>
            </w:r>
          </w:hyperlink>
        </w:p>
        <w:p w14:paraId="22A3F919" w14:textId="7E1BF19D"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36" w:history="1">
            <w:r w:rsidRPr="00024DA3">
              <w:rPr>
                <w:rStyle w:val="Hyperlink"/>
                <w:noProof/>
                <w:lang w:eastAsia="en-AU"/>
              </w:rPr>
              <w:t xml:space="preserve">Submission </w:t>
            </w:r>
            <w:r w:rsidRPr="00024DA3">
              <w:rPr>
                <w:rStyle w:val="Hyperlink"/>
                <w:noProof/>
              </w:rPr>
              <w:t>details</w:t>
            </w:r>
            <w:r>
              <w:rPr>
                <w:noProof/>
                <w:webHidden/>
              </w:rPr>
              <w:tab/>
            </w:r>
            <w:r>
              <w:rPr>
                <w:noProof/>
                <w:webHidden/>
              </w:rPr>
              <w:fldChar w:fldCharType="begin"/>
            </w:r>
            <w:r>
              <w:rPr>
                <w:noProof/>
                <w:webHidden/>
              </w:rPr>
              <w:instrText xml:space="preserve"> PAGEREF _Toc182486536 \h </w:instrText>
            </w:r>
            <w:r>
              <w:rPr>
                <w:noProof/>
                <w:webHidden/>
              </w:rPr>
            </w:r>
            <w:r>
              <w:rPr>
                <w:noProof/>
                <w:webHidden/>
              </w:rPr>
              <w:fldChar w:fldCharType="separate"/>
            </w:r>
            <w:r w:rsidR="0053426A">
              <w:rPr>
                <w:noProof/>
                <w:webHidden/>
              </w:rPr>
              <w:t>7</w:t>
            </w:r>
            <w:r>
              <w:rPr>
                <w:noProof/>
                <w:webHidden/>
              </w:rPr>
              <w:fldChar w:fldCharType="end"/>
            </w:r>
          </w:hyperlink>
        </w:p>
        <w:p w14:paraId="0797F6C6" w14:textId="56FD3D02"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37" w:history="1">
            <w:r w:rsidRPr="00024DA3">
              <w:rPr>
                <w:rStyle w:val="Hyperlink"/>
                <w:noProof/>
              </w:rPr>
              <w:t>Product background</w:t>
            </w:r>
            <w:r>
              <w:rPr>
                <w:noProof/>
                <w:webHidden/>
              </w:rPr>
              <w:tab/>
            </w:r>
            <w:r>
              <w:rPr>
                <w:noProof/>
                <w:webHidden/>
              </w:rPr>
              <w:fldChar w:fldCharType="begin"/>
            </w:r>
            <w:r>
              <w:rPr>
                <w:noProof/>
                <w:webHidden/>
              </w:rPr>
              <w:instrText xml:space="preserve"> PAGEREF _Toc182486537 \h </w:instrText>
            </w:r>
            <w:r>
              <w:rPr>
                <w:noProof/>
                <w:webHidden/>
              </w:rPr>
            </w:r>
            <w:r>
              <w:rPr>
                <w:noProof/>
                <w:webHidden/>
              </w:rPr>
              <w:fldChar w:fldCharType="separate"/>
            </w:r>
            <w:r w:rsidR="0053426A">
              <w:rPr>
                <w:noProof/>
                <w:webHidden/>
              </w:rPr>
              <w:t>8</w:t>
            </w:r>
            <w:r>
              <w:rPr>
                <w:noProof/>
                <w:webHidden/>
              </w:rPr>
              <w:fldChar w:fldCharType="end"/>
            </w:r>
          </w:hyperlink>
        </w:p>
        <w:p w14:paraId="6BE2B05E" w14:textId="2CB82DD1"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38" w:history="1">
            <w:r w:rsidRPr="00024DA3">
              <w:rPr>
                <w:rStyle w:val="Hyperlink"/>
                <w:noProof/>
              </w:rPr>
              <w:t>Parkinson’s disease (PD)</w:t>
            </w:r>
            <w:r>
              <w:rPr>
                <w:noProof/>
                <w:webHidden/>
              </w:rPr>
              <w:tab/>
            </w:r>
            <w:r>
              <w:rPr>
                <w:noProof/>
                <w:webHidden/>
              </w:rPr>
              <w:fldChar w:fldCharType="begin"/>
            </w:r>
            <w:r>
              <w:rPr>
                <w:noProof/>
                <w:webHidden/>
              </w:rPr>
              <w:instrText xml:space="preserve"> PAGEREF _Toc182486538 \h </w:instrText>
            </w:r>
            <w:r>
              <w:rPr>
                <w:noProof/>
                <w:webHidden/>
              </w:rPr>
            </w:r>
            <w:r>
              <w:rPr>
                <w:noProof/>
                <w:webHidden/>
              </w:rPr>
              <w:fldChar w:fldCharType="separate"/>
            </w:r>
            <w:r w:rsidR="0053426A">
              <w:rPr>
                <w:noProof/>
                <w:webHidden/>
              </w:rPr>
              <w:t>8</w:t>
            </w:r>
            <w:r>
              <w:rPr>
                <w:noProof/>
                <w:webHidden/>
              </w:rPr>
              <w:fldChar w:fldCharType="end"/>
            </w:r>
          </w:hyperlink>
        </w:p>
        <w:p w14:paraId="7294E6F4" w14:textId="30890F18"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39" w:history="1">
            <w:r w:rsidRPr="00024DA3">
              <w:rPr>
                <w:rStyle w:val="Hyperlink"/>
                <w:noProof/>
              </w:rPr>
              <w:t>Current treatment options</w:t>
            </w:r>
            <w:r>
              <w:rPr>
                <w:noProof/>
                <w:webHidden/>
              </w:rPr>
              <w:tab/>
            </w:r>
            <w:r>
              <w:rPr>
                <w:noProof/>
                <w:webHidden/>
              </w:rPr>
              <w:fldChar w:fldCharType="begin"/>
            </w:r>
            <w:r>
              <w:rPr>
                <w:noProof/>
                <w:webHidden/>
              </w:rPr>
              <w:instrText xml:space="preserve"> PAGEREF _Toc182486539 \h </w:instrText>
            </w:r>
            <w:r>
              <w:rPr>
                <w:noProof/>
                <w:webHidden/>
              </w:rPr>
            </w:r>
            <w:r>
              <w:rPr>
                <w:noProof/>
                <w:webHidden/>
              </w:rPr>
              <w:fldChar w:fldCharType="separate"/>
            </w:r>
            <w:r w:rsidR="0053426A">
              <w:rPr>
                <w:noProof/>
                <w:webHidden/>
              </w:rPr>
              <w:t>8</w:t>
            </w:r>
            <w:r>
              <w:rPr>
                <w:noProof/>
                <w:webHidden/>
              </w:rPr>
              <w:fldChar w:fldCharType="end"/>
            </w:r>
          </w:hyperlink>
        </w:p>
        <w:p w14:paraId="556D128E" w14:textId="5AB23369"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40" w:history="1">
            <w:r w:rsidRPr="00024DA3">
              <w:rPr>
                <w:rStyle w:val="Hyperlink"/>
                <w:noProof/>
              </w:rPr>
              <w:t>Clinical rationale</w:t>
            </w:r>
            <w:r>
              <w:rPr>
                <w:noProof/>
                <w:webHidden/>
              </w:rPr>
              <w:tab/>
            </w:r>
            <w:r>
              <w:rPr>
                <w:noProof/>
                <w:webHidden/>
              </w:rPr>
              <w:fldChar w:fldCharType="begin"/>
            </w:r>
            <w:r>
              <w:rPr>
                <w:noProof/>
                <w:webHidden/>
              </w:rPr>
              <w:instrText xml:space="preserve"> PAGEREF _Toc182486540 \h </w:instrText>
            </w:r>
            <w:r>
              <w:rPr>
                <w:noProof/>
                <w:webHidden/>
              </w:rPr>
            </w:r>
            <w:r>
              <w:rPr>
                <w:noProof/>
                <w:webHidden/>
              </w:rPr>
              <w:fldChar w:fldCharType="separate"/>
            </w:r>
            <w:r w:rsidR="0053426A">
              <w:rPr>
                <w:noProof/>
                <w:webHidden/>
              </w:rPr>
              <w:t>9</w:t>
            </w:r>
            <w:r>
              <w:rPr>
                <w:noProof/>
                <w:webHidden/>
              </w:rPr>
              <w:fldChar w:fldCharType="end"/>
            </w:r>
          </w:hyperlink>
        </w:p>
        <w:p w14:paraId="546DAB6D" w14:textId="049A28DA"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41" w:history="1">
            <w:r w:rsidRPr="00024DA3">
              <w:rPr>
                <w:rStyle w:val="Hyperlink"/>
                <w:noProof/>
              </w:rPr>
              <w:t>Regulatory status</w:t>
            </w:r>
            <w:r>
              <w:rPr>
                <w:noProof/>
                <w:webHidden/>
              </w:rPr>
              <w:tab/>
            </w:r>
            <w:r>
              <w:rPr>
                <w:noProof/>
                <w:webHidden/>
              </w:rPr>
              <w:fldChar w:fldCharType="begin"/>
            </w:r>
            <w:r>
              <w:rPr>
                <w:noProof/>
                <w:webHidden/>
              </w:rPr>
              <w:instrText xml:space="preserve"> PAGEREF _Toc182486541 \h </w:instrText>
            </w:r>
            <w:r>
              <w:rPr>
                <w:noProof/>
                <w:webHidden/>
              </w:rPr>
            </w:r>
            <w:r>
              <w:rPr>
                <w:noProof/>
                <w:webHidden/>
              </w:rPr>
              <w:fldChar w:fldCharType="separate"/>
            </w:r>
            <w:r w:rsidR="0053426A">
              <w:rPr>
                <w:noProof/>
                <w:webHidden/>
              </w:rPr>
              <w:t>9</w:t>
            </w:r>
            <w:r>
              <w:rPr>
                <w:noProof/>
                <w:webHidden/>
              </w:rPr>
              <w:fldChar w:fldCharType="end"/>
            </w:r>
          </w:hyperlink>
        </w:p>
        <w:p w14:paraId="0E564646" w14:textId="7D073C0D"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42" w:history="1">
            <w:r w:rsidRPr="00024DA3">
              <w:rPr>
                <w:rStyle w:val="Hyperlink"/>
                <w:noProof/>
              </w:rPr>
              <w:t>Australian regulatory status</w:t>
            </w:r>
            <w:r>
              <w:rPr>
                <w:noProof/>
                <w:webHidden/>
              </w:rPr>
              <w:tab/>
            </w:r>
            <w:r>
              <w:rPr>
                <w:noProof/>
                <w:webHidden/>
              </w:rPr>
              <w:fldChar w:fldCharType="begin"/>
            </w:r>
            <w:r>
              <w:rPr>
                <w:noProof/>
                <w:webHidden/>
              </w:rPr>
              <w:instrText xml:space="preserve"> PAGEREF _Toc182486542 \h </w:instrText>
            </w:r>
            <w:r>
              <w:rPr>
                <w:noProof/>
                <w:webHidden/>
              </w:rPr>
            </w:r>
            <w:r>
              <w:rPr>
                <w:noProof/>
                <w:webHidden/>
              </w:rPr>
              <w:fldChar w:fldCharType="separate"/>
            </w:r>
            <w:r w:rsidR="0053426A">
              <w:rPr>
                <w:noProof/>
                <w:webHidden/>
              </w:rPr>
              <w:t>9</w:t>
            </w:r>
            <w:r>
              <w:rPr>
                <w:noProof/>
                <w:webHidden/>
              </w:rPr>
              <w:fldChar w:fldCharType="end"/>
            </w:r>
          </w:hyperlink>
        </w:p>
        <w:p w14:paraId="1ED29E75" w14:textId="6ED8FC7B"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43" w:history="1">
            <w:r w:rsidRPr="00024DA3">
              <w:rPr>
                <w:rStyle w:val="Hyperlink"/>
                <w:noProof/>
              </w:rPr>
              <w:t>International regulatory status</w:t>
            </w:r>
            <w:r>
              <w:rPr>
                <w:noProof/>
                <w:webHidden/>
              </w:rPr>
              <w:tab/>
            </w:r>
            <w:r>
              <w:rPr>
                <w:noProof/>
                <w:webHidden/>
              </w:rPr>
              <w:fldChar w:fldCharType="begin"/>
            </w:r>
            <w:r>
              <w:rPr>
                <w:noProof/>
                <w:webHidden/>
              </w:rPr>
              <w:instrText xml:space="preserve"> PAGEREF _Toc182486543 \h </w:instrText>
            </w:r>
            <w:r>
              <w:rPr>
                <w:noProof/>
                <w:webHidden/>
              </w:rPr>
            </w:r>
            <w:r>
              <w:rPr>
                <w:noProof/>
                <w:webHidden/>
              </w:rPr>
              <w:fldChar w:fldCharType="separate"/>
            </w:r>
            <w:r w:rsidR="0053426A">
              <w:rPr>
                <w:noProof/>
                <w:webHidden/>
              </w:rPr>
              <w:t>9</w:t>
            </w:r>
            <w:r>
              <w:rPr>
                <w:noProof/>
                <w:webHidden/>
              </w:rPr>
              <w:fldChar w:fldCharType="end"/>
            </w:r>
          </w:hyperlink>
        </w:p>
        <w:p w14:paraId="1115BCBB" w14:textId="5A9A735A" w:rsidR="00192ED8" w:rsidRDefault="00192ED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486544" w:history="1">
            <w:r w:rsidRPr="00024DA3">
              <w:rPr>
                <w:rStyle w:val="Hyperlink"/>
                <w:noProof/>
              </w:rPr>
              <w:t>Registration timeline</w:t>
            </w:r>
            <w:r>
              <w:rPr>
                <w:noProof/>
                <w:webHidden/>
              </w:rPr>
              <w:tab/>
            </w:r>
            <w:r>
              <w:rPr>
                <w:noProof/>
                <w:webHidden/>
              </w:rPr>
              <w:fldChar w:fldCharType="begin"/>
            </w:r>
            <w:r>
              <w:rPr>
                <w:noProof/>
                <w:webHidden/>
              </w:rPr>
              <w:instrText xml:space="preserve"> PAGEREF _Toc182486544 \h </w:instrText>
            </w:r>
            <w:r>
              <w:rPr>
                <w:noProof/>
                <w:webHidden/>
              </w:rPr>
            </w:r>
            <w:r>
              <w:rPr>
                <w:noProof/>
                <w:webHidden/>
              </w:rPr>
              <w:fldChar w:fldCharType="separate"/>
            </w:r>
            <w:r w:rsidR="0053426A">
              <w:rPr>
                <w:noProof/>
                <w:webHidden/>
              </w:rPr>
              <w:t>9</w:t>
            </w:r>
            <w:r>
              <w:rPr>
                <w:noProof/>
                <w:webHidden/>
              </w:rPr>
              <w:fldChar w:fldCharType="end"/>
            </w:r>
          </w:hyperlink>
        </w:p>
        <w:p w14:paraId="09F61DB1" w14:textId="5456FA4B" w:rsidR="00192ED8" w:rsidRDefault="00192ED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486545" w:history="1">
            <w:r w:rsidRPr="00024DA3">
              <w:rPr>
                <w:rStyle w:val="Hyperlink"/>
                <w:noProof/>
              </w:rPr>
              <w:t>Submission overview and risk-benefit assessment</w:t>
            </w:r>
            <w:r>
              <w:rPr>
                <w:noProof/>
                <w:webHidden/>
              </w:rPr>
              <w:tab/>
            </w:r>
            <w:r>
              <w:rPr>
                <w:noProof/>
                <w:webHidden/>
              </w:rPr>
              <w:fldChar w:fldCharType="begin"/>
            </w:r>
            <w:r>
              <w:rPr>
                <w:noProof/>
                <w:webHidden/>
              </w:rPr>
              <w:instrText xml:space="preserve"> PAGEREF _Toc182486545 \h </w:instrText>
            </w:r>
            <w:r>
              <w:rPr>
                <w:noProof/>
                <w:webHidden/>
              </w:rPr>
            </w:r>
            <w:r>
              <w:rPr>
                <w:noProof/>
                <w:webHidden/>
              </w:rPr>
              <w:fldChar w:fldCharType="separate"/>
            </w:r>
            <w:r w:rsidR="0053426A">
              <w:rPr>
                <w:noProof/>
                <w:webHidden/>
              </w:rPr>
              <w:t>10</w:t>
            </w:r>
            <w:r>
              <w:rPr>
                <w:noProof/>
                <w:webHidden/>
              </w:rPr>
              <w:fldChar w:fldCharType="end"/>
            </w:r>
          </w:hyperlink>
        </w:p>
        <w:p w14:paraId="41DDB4EA" w14:textId="7C5E73EB"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46" w:history="1">
            <w:r w:rsidRPr="00024DA3">
              <w:rPr>
                <w:rStyle w:val="Hyperlink"/>
                <w:noProof/>
              </w:rPr>
              <w:t>Manufacturing and quality evaluation summary</w:t>
            </w:r>
            <w:r>
              <w:rPr>
                <w:noProof/>
                <w:webHidden/>
              </w:rPr>
              <w:tab/>
            </w:r>
            <w:r>
              <w:rPr>
                <w:noProof/>
                <w:webHidden/>
              </w:rPr>
              <w:fldChar w:fldCharType="begin"/>
            </w:r>
            <w:r>
              <w:rPr>
                <w:noProof/>
                <w:webHidden/>
              </w:rPr>
              <w:instrText xml:space="preserve"> PAGEREF _Toc182486546 \h </w:instrText>
            </w:r>
            <w:r>
              <w:rPr>
                <w:noProof/>
                <w:webHidden/>
              </w:rPr>
            </w:r>
            <w:r>
              <w:rPr>
                <w:noProof/>
                <w:webHidden/>
              </w:rPr>
              <w:fldChar w:fldCharType="separate"/>
            </w:r>
            <w:r w:rsidR="0053426A">
              <w:rPr>
                <w:noProof/>
                <w:webHidden/>
              </w:rPr>
              <w:t>10</w:t>
            </w:r>
            <w:r>
              <w:rPr>
                <w:noProof/>
                <w:webHidden/>
              </w:rPr>
              <w:fldChar w:fldCharType="end"/>
            </w:r>
          </w:hyperlink>
        </w:p>
        <w:p w14:paraId="4A55E059" w14:textId="5064B038"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48" w:history="1">
            <w:r w:rsidRPr="00024DA3">
              <w:rPr>
                <w:rStyle w:val="Hyperlink"/>
                <w:noProof/>
              </w:rPr>
              <w:t>Nonclinical (toxicology) evaluation summary</w:t>
            </w:r>
            <w:r>
              <w:rPr>
                <w:noProof/>
                <w:webHidden/>
              </w:rPr>
              <w:tab/>
            </w:r>
            <w:r>
              <w:rPr>
                <w:noProof/>
                <w:webHidden/>
              </w:rPr>
              <w:fldChar w:fldCharType="begin"/>
            </w:r>
            <w:r>
              <w:rPr>
                <w:noProof/>
                <w:webHidden/>
              </w:rPr>
              <w:instrText xml:space="preserve"> PAGEREF _Toc182486548 \h </w:instrText>
            </w:r>
            <w:r>
              <w:rPr>
                <w:noProof/>
                <w:webHidden/>
              </w:rPr>
            </w:r>
            <w:r>
              <w:rPr>
                <w:noProof/>
                <w:webHidden/>
              </w:rPr>
              <w:fldChar w:fldCharType="separate"/>
            </w:r>
            <w:r w:rsidR="0053426A">
              <w:rPr>
                <w:noProof/>
                <w:webHidden/>
              </w:rPr>
              <w:t>12</w:t>
            </w:r>
            <w:r>
              <w:rPr>
                <w:noProof/>
                <w:webHidden/>
              </w:rPr>
              <w:fldChar w:fldCharType="end"/>
            </w:r>
          </w:hyperlink>
        </w:p>
        <w:p w14:paraId="5B8C8BF9" w14:textId="60001B98"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49" w:history="1">
            <w:r w:rsidRPr="00024DA3">
              <w:rPr>
                <w:rStyle w:val="Hyperlink"/>
                <w:noProof/>
              </w:rPr>
              <w:t>Clinical evaluation summary</w:t>
            </w:r>
            <w:r>
              <w:rPr>
                <w:noProof/>
                <w:webHidden/>
              </w:rPr>
              <w:tab/>
            </w:r>
            <w:r>
              <w:rPr>
                <w:noProof/>
                <w:webHidden/>
              </w:rPr>
              <w:fldChar w:fldCharType="begin"/>
            </w:r>
            <w:r>
              <w:rPr>
                <w:noProof/>
                <w:webHidden/>
              </w:rPr>
              <w:instrText xml:space="preserve"> PAGEREF _Toc182486549 \h </w:instrText>
            </w:r>
            <w:r>
              <w:rPr>
                <w:noProof/>
                <w:webHidden/>
              </w:rPr>
            </w:r>
            <w:r>
              <w:rPr>
                <w:noProof/>
                <w:webHidden/>
              </w:rPr>
              <w:fldChar w:fldCharType="separate"/>
            </w:r>
            <w:r w:rsidR="0053426A">
              <w:rPr>
                <w:noProof/>
                <w:webHidden/>
              </w:rPr>
              <w:t>14</w:t>
            </w:r>
            <w:r>
              <w:rPr>
                <w:noProof/>
                <w:webHidden/>
              </w:rPr>
              <w:fldChar w:fldCharType="end"/>
            </w:r>
          </w:hyperlink>
        </w:p>
        <w:p w14:paraId="39E2C0E6" w14:textId="5E48EED0"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0" w:history="1">
            <w:r w:rsidRPr="00024DA3">
              <w:rPr>
                <w:rStyle w:val="Hyperlink"/>
                <w:noProof/>
              </w:rPr>
              <w:t>Pharmacology</w:t>
            </w:r>
            <w:r>
              <w:rPr>
                <w:noProof/>
                <w:webHidden/>
              </w:rPr>
              <w:tab/>
            </w:r>
            <w:r>
              <w:rPr>
                <w:noProof/>
                <w:webHidden/>
              </w:rPr>
              <w:fldChar w:fldCharType="begin"/>
            </w:r>
            <w:r>
              <w:rPr>
                <w:noProof/>
                <w:webHidden/>
              </w:rPr>
              <w:instrText xml:space="preserve"> PAGEREF _Toc182486550 \h </w:instrText>
            </w:r>
            <w:r>
              <w:rPr>
                <w:noProof/>
                <w:webHidden/>
              </w:rPr>
            </w:r>
            <w:r>
              <w:rPr>
                <w:noProof/>
                <w:webHidden/>
              </w:rPr>
              <w:fldChar w:fldCharType="separate"/>
            </w:r>
            <w:r w:rsidR="0053426A">
              <w:rPr>
                <w:noProof/>
                <w:webHidden/>
              </w:rPr>
              <w:t>14</w:t>
            </w:r>
            <w:r>
              <w:rPr>
                <w:noProof/>
                <w:webHidden/>
              </w:rPr>
              <w:fldChar w:fldCharType="end"/>
            </w:r>
          </w:hyperlink>
        </w:p>
        <w:p w14:paraId="4B0F118B" w14:textId="74FBE2A3"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1" w:history="1">
            <w:r w:rsidRPr="00024DA3">
              <w:rPr>
                <w:rStyle w:val="Hyperlink"/>
                <w:noProof/>
              </w:rPr>
              <w:t>Pharmacokinetics (PK)</w:t>
            </w:r>
            <w:r>
              <w:rPr>
                <w:noProof/>
                <w:webHidden/>
              </w:rPr>
              <w:tab/>
            </w:r>
            <w:r>
              <w:rPr>
                <w:noProof/>
                <w:webHidden/>
              </w:rPr>
              <w:fldChar w:fldCharType="begin"/>
            </w:r>
            <w:r>
              <w:rPr>
                <w:noProof/>
                <w:webHidden/>
              </w:rPr>
              <w:instrText xml:space="preserve"> PAGEREF _Toc182486551 \h </w:instrText>
            </w:r>
            <w:r>
              <w:rPr>
                <w:noProof/>
                <w:webHidden/>
              </w:rPr>
            </w:r>
            <w:r>
              <w:rPr>
                <w:noProof/>
                <w:webHidden/>
              </w:rPr>
              <w:fldChar w:fldCharType="separate"/>
            </w:r>
            <w:r w:rsidR="0053426A">
              <w:rPr>
                <w:noProof/>
                <w:webHidden/>
              </w:rPr>
              <w:t>14</w:t>
            </w:r>
            <w:r>
              <w:rPr>
                <w:noProof/>
                <w:webHidden/>
              </w:rPr>
              <w:fldChar w:fldCharType="end"/>
            </w:r>
          </w:hyperlink>
        </w:p>
        <w:p w14:paraId="1C20E11B" w14:textId="7273B1C6"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2" w:history="1">
            <w:r w:rsidRPr="00024DA3">
              <w:rPr>
                <w:rStyle w:val="Hyperlink"/>
                <w:noProof/>
              </w:rPr>
              <w:t>Dose-finding</w:t>
            </w:r>
            <w:r>
              <w:rPr>
                <w:noProof/>
                <w:webHidden/>
              </w:rPr>
              <w:tab/>
            </w:r>
            <w:r>
              <w:rPr>
                <w:noProof/>
                <w:webHidden/>
              </w:rPr>
              <w:fldChar w:fldCharType="begin"/>
            </w:r>
            <w:r>
              <w:rPr>
                <w:noProof/>
                <w:webHidden/>
              </w:rPr>
              <w:instrText xml:space="preserve"> PAGEREF _Toc182486552 \h </w:instrText>
            </w:r>
            <w:r>
              <w:rPr>
                <w:noProof/>
                <w:webHidden/>
              </w:rPr>
            </w:r>
            <w:r>
              <w:rPr>
                <w:noProof/>
                <w:webHidden/>
              </w:rPr>
              <w:fldChar w:fldCharType="separate"/>
            </w:r>
            <w:r w:rsidR="0053426A">
              <w:rPr>
                <w:noProof/>
                <w:webHidden/>
              </w:rPr>
              <w:t>19</w:t>
            </w:r>
            <w:r>
              <w:rPr>
                <w:noProof/>
                <w:webHidden/>
              </w:rPr>
              <w:fldChar w:fldCharType="end"/>
            </w:r>
          </w:hyperlink>
        </w:p>
        <w:p w14:paraId="346899F5" w14:textId="206A4F78"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3" w:history="1">
            <w:r w:rsidRPr="00024DA3">
              <w:rPr>
                <w:rStyle w:val="Hyperlink"/>
                <w:noProof/>
              </w:rPr>
              <w:t>Efficacy</w:t>
            </w:r>
            <w:r>
              <w:rPr>
                <w:noProof/>
                <w:webHidden/>
              </w:rPr>
              <w:tab/>
            </w:r>
            <w:r>
              <w:rPr>
                <w:noProof/>
                <w:webHidden/>
              </w:rPr>
              <w:fldChar w:fldCharType="begin"/>
            </w:r>
            <w:r>
              <w:rPr>
                <w:noProof/>
                <w:webHidden/>
              </w:rPr>
              <w:instrText xml:space="preserve"> PAGEREF _Toc182486553 \h </w:instrText>
            </w:r>
            <w:r>
              <w:rPr>
                <w:noProof/>
                <w:webHidden/>
              </w:rPr>
            </w:r>
            <w:r>
              <w:rPr>
                <w:noProof/>
                <w:webHidden/>
              </w:rPr>
              <w:fldChar w:fldCharType="separate"/>
            </w:r>
            <w:r w:rsidR="0053426A">
              <w:rPr>
                <w:noProof/>
                <w:webHidden/>
              </w:rPr>
              <w:t>19</w:t>
            </w:r>
            <w:r>
              <w:rPr>
                <w:noProof/>
                <w:webHidden/>
              </w:rPr>
              <w:fldChar w:fldCharType="end"/>
            </w:r>
          </w:hyperlink>
        </w:p>
        <w:p w14:paraId="2BE71AFB" w14:textId="65F6E751"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4" w:history="1">
            <w:r w:rsidRPr="00024DA3">
              <w:rPr>
                <w:rStyle w:val="Hyperlink"/>
                <w:noProof/>
              </w:rPr>
              <w:t>Safety</w:t>
            </w:r>
            <w:r>
              <w:rPr>
                <w:noProof/>
                <w:webHidden/>
              </w:rPr>
              <w:tab/>
            </w:r>
            <w:r>
              <w:rPr>
                <w:noProof/>
                <w:webHidden/>
              </w:rPr>
              <w:fldChar w:fldCharType="begin"/>
            </w:r>
            <w:r>
              <w:rPr>
                <w:noProof/>
                <w:webHidden/>
              </w:rPr>
              <w:instrText xml:space="preserve"> PAGEREF _Toc182486554 \h </w:instrText>
            </w:r>
            <w:r>
              <w:rPr>
                <w:noProof/>
                <w:webHidden/>
              </w:rPr>
            </w:r>
            <w:r>
              <w:rPr>
                <w:noProof/>
                <w:webHidden/>
              </w:rPr>
              <w:fldChar w:fldCharType="separate"/>
            </w:r>
            <w:r w:rsidR="0053426A">
              <w:rPr>
                <w:noProof/>
                <w:webHidden/>
              </w:rPr>
              <w:t>24</w:t>
            </w:r>
            <w:r>
              <w:rPr>
                <w:noProof/>
                <w:webHidden/>
              </w:rPr>
              <w:fldChar w:fldCharType="end"/>
            </w:r>
          </w:hyperlink>
        </w:p>
        <w:p w14:paraId="5C02D3E4" w14:textId="5EB9A9D7"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55" w:history="1">
            <w:r w:rsidRPr="00024DA3">
              <w:rPr>
                <w:rStyle w:val="Hyperlink"/>
                <w:noProof/>
              </w:rPr>
              <w:t>Risk</w:t>
            </w:r>
            <w:r w:rsidRPr="00024DA3">
              <w:rPr>
                <w:rStyle w:val="Hyperlink"/>
                <w:noProof/>
                <w:spacing w:val="-10"/>
              </w:rPr>
              <w:t xml:space="preserve"> </w:t>
            </w:r>
            <w:r w:rsidRPr="00024DA3">
              <w:rPr>
                <w:rStyle w:val="Hyperlink"/>
                <w:noProof/>
              </w:rPr>
              <w:t>Management</w:t>
            </w:r>
            <w:r w:rsidRPr="00024DA3">
              <w:rPr>
                <w:rStyle w:val="Hyperlink"/>
                <w:noProof/>
                <w:spacing w:val="-7"/>
              </w:rPr>
              <w:t xml:space="preserve"> </w:t>
            </w:r>
            <w:r w:rsidRPr="00024DA3">
              <w:rPr>
                <w:rStyle w:val="Hyperlink"/>
                <w:noProof/>
              </w:rPr>
              <w:t>Plan</w:t>
            </w:r>
            <w:r w:rsidRPr="00024DA3">
              <w:rPr>
                <w:rStyle w:val="Hyperlink"/>
                <w:noProof/>
                <w:spacing w:val="-10"/>
              </w:rPr>
              <w:t xml:space="preserve"> </w:t>
            </w:r>
            <w:r w:rsidRPr="00024DA3">
              <w:rPr>
                <w:rStyle w:val="Hyperlink"/>
                <w:noProof/>
              </w:rPr>
              <w:t>(RMP)</w:t>
            </w:r>
            <w:r w:rsidRPr="00024DA3">
              <w:rPr>
                <w:rStyle w:val="Hyperlink"/>
                <w:noProof/>
                <w:spacing w:val="-10"/>
              </w:rPr>
              <w:t xml:space="preserve"> </w:t>
            </w:r>
            <w:r w:rsidRPr="00024DA3">
              <w:rPr>
                <w:rStyle w:val="Hyperlink"/>
                <w:noProof/>
                <w:spacing w:val="-2"/>
              </w:rPr>
              <w:t>evaluation</w:t>
            </w:r>
            <w:r>
              <w:rPr>
                <w:noProof/>
                <w:webHidden/>
              </w:rPr>
              <w:tab/>
            </w:r>
            <w:r>
              <w:rPr>
                <w:noProof/>
                <w:webHidden/>
              </w:rPr>
              <w:fldChar w:fldCharType="begin"/>
            </w:r>
            <w:r>
              <w:rPr>
                <w:noProof/>
                <w:webHidden/>
              </w:rPr>
              <w:instrText xml:space="preserve"> PAGEREF _Toc182486555 \h </w:instrText>
            </w:r>
            <w:r>
              <w:rPr>
                <w:noProof/>
                <w:webHidden/>
              </w:rPr>
            </w:r>
            <w:r>
              <w:rPr>
                <w:noProof/>
                <w:webHidden/>
              </w:rPr>
              <w:fldChar w:fldCharType="separate"/>
            </w:r>
            <w:r w:rsidR="0053426A">
              <w:rPr>
                <w:noProof/>
                <w:webHidden/>
              </w:rPr>
              <w:t>28</w:t>
            </w:r>
            <w:r>
              <w:rPr>
                <w:noProof/>
                <w:webHidden/>
              </w:rPr>
              <w:fldChar w:fldCharType="end"/>
            </w:r>
          </w:hyperlink>
        </w:p>
        <w:p w14:paraId="7387C152" w14:textId="35D73A1C"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6" w:history="1">
            <w:r w:rsidRPr="00024DA3">
              <w:rPr>
                <w:rStyle w:val="Hyperlink"/>
                <w:noProof/>
              </w:rPr>
              <w:t>RMP</w:t>
            </w:r>
            <w:r w:rsidRPr="00024DA3">
              <w:rPr>
                <w:rStyle w:val="Hyperlink"/>
                <w:noProof/>
                <w:spacing w:val="-9"/>
              </w:rPr>
              <w:t xml:space="preserve"> </w:t>
            </w:r>
            <w:r w:rsidRPr="00024DA3">
              <w:rPr>
                <w:rStyle w:val="Hyperlink"/>
                <w:noProof/>
              </w:rPr>
              <w:t>evaluator’s</w:t>
            </w:r>
            <w:r w:rsidRPr="00024DA3">
              <w:rPr>
                <w:rStyle w:val="Hyperlink"/>
                <w:noProof/>
                <w:spacing w:val="-7"/>
              </w:rPr>
              <w:t xml:space="preserve"> </w:t>
            </w:r>
            <w:r w:rsidRPr="00024DA3">
              <w:rPr>
                <w:rStyle w:val="Hyperlink"/>
                <w:noProof/>
              </w:rPr>
              <w:t>recommendations</w:t>
            </w:r>
            <w:r w:rsidRPr="00024DA3">
              <w:rPr>
                <w:rStyle w:val="Hyperlink"/>
                <w:noProof/>
                <w:spacing w:val="-8"/>
              </w:rPr>
              <w:t xml:space="preserve"> </w:t>
            </w:r>
            <w:r w:rsidRPr="00024DA3">
              <w:rPr>
                <w:rStyle w:val="Hyperlink"/>
                <w:noProof/>
              </w:rPr>
              <w:t>regarding</w:t>
            </w:r>
            <w:r w:rsidRPr="00024DA3">
              <w:rPr>
                <w:rStyle w:val="Hyperlink"/>
                <w:noProof/>
                <w:spacing w:val="-7"/>
              </w:rPr>
              <w:t xml:space="preserve"> </w:t>
            </w:r>
            <w:r w:rsidRPr="00024DA3">
              <w:rPr>
                <w:rStyle w:val="Hyperlink"/>
                <w:noProof/>
              </w:rPr>
              <w:t>condition/s</w:t>
            </w:r>
            <w:r w:rsidRPr="00024DA3">
              <w:rPr>
                <w:rStyle w:val="Hyperlink"/>
                <w:noProof/>
                <w:spacing w:val="-7"/>
              </w:rPr>
              <w:t xml:space="preserve"> </w:t>
            </w:r>
            <w:r w:rsidRPr="00024DA3">
              <w:rPr>
                <w:rStyle w:val="Hyperlink"/>
                <w:noProof/>
              </w:rPr>
              <w:t>of</w:t>
            </w:r>
            <w:r w:rsidRPr="00024DA3">
              <w:rPr>
                <w:rStyle w:val="Hyperlink"/>
                <w:noProof/>
                <w:spacing w:val="-7"/>
              </w:rPr>
              <w:t xml:space="preserve"> </w:t>
            </w:r>
            <w:r w:rsidRPr="00024DA3">
              <w:rPr>
                <w:rStyle w:val="Hyperlink"/>
                <w:noProof/>
                <w:spacing w:val="-2"/>
              </w:rPr>
              <w:t>registration</w:t>
            </w:r>
            <w:r>
              <w:rPr>
                <w:noProof/>
                <w:webHidden/>
              </w:rPr>
              <w:tab/>
            </w:r>
            <w:r>
              <w:rPr>
                <w:noProof/>
                <w:webHidden/>
              </w:rPr>
              <w:fldChar w:fldCharType="begin"/>
            </w:r>
            <w:r>
              <w:rPr>
                <w:noProof/>
                <w:webHidden/>
              </w:rPr>
              <w:instrText xml:space="preserve"> PAGEREF _Toc182486556 \h </w:instrText>
            </w:r>
            <w:r>
              <w:rPr>
                <w:noProof/>
                <w:webHidden/>
              </w:rPr>
            </w:r>
            <w:r>
              <w:rPr>
                <w:noProof/>
                <w:webHidden/>
              </w:rPr>
              <w:fldChar w:fldCharType="separate"/>
            </w:r>
            <w:r w:rsidR="0053426A">
              <w:rPr>
                <w:noProof/>
                <w:webHidden/>
              </w:rPr>
              <w:t>30</w:t>
            </w:r>
            <w:r>
              <w:rPr>
                <w:noProof/>
                <w:webHidden/>
              </w:rPr>
              <w:fldChar w:fldCharType="end"/>
            </w:r>
          </w:hyperlink>
        </w:p>
        <w:p w14:paraId="3A104B6B" w14:textId="68D55645"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57" w:history="1">
            <w:r w:rsidRPr="00024DA3">
              <w:rPr>
                <w:rStyle w:val="Hyperlink"/>
                <w:noProof/>
              </w:rPr>
              <w:t>Risk-benefit analysis</w:t>
            </w:r>
            <w:r>
              <w:rPr>
                <w:noProof/>
                <w:webHidden/>
              </w:rPr>
              <w:tab/>
            </w:r>
            <w:r>
              <w:rPr>
                <w:noProof/>
                <w:webHidden/>
              </w:rPr>
              <w:fldChar w:fldCharType="begin"/>
            </w:r>
            <w:r>
              <w:rPr>
                <w:noProof/>
                <w:webHidden/>
              </w:rPr>
              <w:instrText xml:space="preserve"> PAGEREF _Toc182486557 \h </w:instrText>
            </w:r>
            <w:r>
              <w:rPr>
                <w:noProof/>
                <w:webHidden/>
              </w:rPr>
            </w:r>
            <w:r>
              <w:rPr>
                <w:noProof/>
                <w:webHidden/>
              </w:rPr>
              <w:fldChar w:fldCharType="separate"/>
            </w:r>
            <w:r w:rsidR="0053426A">
              <w:rPr>
                <w:noProof/>
                <w:webHidden/>
              </w:rPr>
              <w:t>30</w:t>
            </w:r>
            <w:r>
              <w:rPr>
                <w:noProof/>
                <w:webHidden/>
              </w:rPr>
              <w:fldChar w:fldCharType="end"/>
            </w:r>
          </w:hyperlink>
        </w:p>
        <w:p w14:paraId="1E2A1F9D" w14:textId="60E2479C"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8" w:history="1">
            <w:r w:rsidRPr="00024DA3">
              <w:rPr>
                <w:rStyle w:val="Hyperlink"/>
                <w:noProof/>
              </w:rPr>
              <w:t>Delegate’s considerations</w:t>
            </w:r>
            <w:r>
              <w:rPr>
                <w:noProof/>
                <w:webHidden/>
              </w:rPr>
              <w:tab/>
            </w:r>
            <w:r>
              <w:rPr>
                <w:noProof/>
                <w:webHidden/>
              </w:rPr>
              <w:fldChar w:fldCharType="begin"/>
            </w:r>
            <w:r>
              <w:rPr>
                <w:noProof/>
                <w:webHidden/>
              </w:rPr>
              <w:instrText xml:space="preserve"> PAGEREF _Toc182486558 \h </w:instrText>
            </w:r>
            <w:r>
              <w:rPr>
                <w:noProof/>
                <w:webHidden/>
              </w:rPr>
            </w:r>
            <w:r>
              <w:rPr>
                <w:noProof/>
                <w:webHidden/>
              </w:rPr>
              <w:fldChar w:fldCharType="separate"/>
            </w:r>
            <w:r w:rsidR="0053426A">
              <w:rPr>
                <w:noProof/>
                <w:webHidden/>
              </w:rPr>
              <w:t>30</w:t>
            </w:r>
            <w:r>
              <w:rPr>
                <w:noProof/>
                <w:webHidden/>
              </w:rPr>
              <w:fldChar w:fldCharType="end"/>
            </w:r>
          </w:hyperlink>
        </w:p>
        <w:p w14:paraId="510B9869" w14:textId="7597AF1B"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59" w:history="1">
            <w:r w:rsidRPr="00024DA3">
              <w:rPr>
                <w:rStyle w:val="Hyperlink"/>
                <w:noProof/>
              </w:rPr>
              <w:t>Independent expert advice</w:t>
            </w:r>
            <w:r>
              <w:rPr>
                <w:noProof/>
                <w:webHidden/>
              </w:rPr>
              <w:tab/>
            </w:r>
            <w:r>
              <w:rPr>
                <w:noProof/>
                <w:webHidden/>
              </w:rPr>
              <w:fldChar w:fldCharType="begin"/>
            </w:r>
            <w:r>
              <w:rPr>
                <w:noProof/>
                <w:webHidden/>
              </w:rPr>
              <w:instrText xml:space="preserve"> PAGEREF _Toc182486559 \h </w:instrText>
            </w:r>
            <w:r>
              <w:rPr>
                <w:noProof/>
                <w:webHidden/>
              </w:rPr>
            </w:r>
            <w:r>
              <w:rPr>
                <w:noProof/>
                <w:webHidden/>
              </w:rPr>
              <w:fldChar w:fldCharType="separate"/>
            </w:r>
            <w:r w:rsidR="0053426A">
              <w:rPr>
                <w:noProof/>
                <w:webHidden/>
              </w:rPr>
              <w:t>34</w:t>
            </w:r>
            <w:r>
              <w:rPr>
                <w:noProof/>
                <w:webHidden/>
              </w:rPr>
              <w:fldChar w:fldCharType="end"/>
            </w:r>
          </w:hyperlink>
        </w:p>
        <w:p w14:paraId="44E2CDD5" w14:textId="5863727F"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60" w:history="1">
            <w:r w:rsidRPr="00024DA3">
              <w:rPr>
                <w:rStyle w:val="Hyperlink"/>
                <w:noProof/>
              </w:rPr>
              <w:t>Risk-benefit assessment of new data</w:t>
            </w:r>
            <w:r>
              <w:rPr>
                <w:noProof/>
                <w:webHidden/>
              </w:rPr>
              <w:tab/>
            </w:r>
            <w:r>
              <w:rPr>
                <w:noProof/>
                <w:webHidden/>
              </w:rPr>
              <w:fldChar w:fldCharType="begin"/>
            </w:r>
            <w:r>
              <w:rPr>
                <w:noProof/>
                <w:webHidden/>
              </w:rPr>
              <w:instrText xml:space="preserve"> PAGEREF _Toc182486560 \h </w:instrText>
            </w:r>
            <w:r>
              <w:rPr>
                <w:noProof/>
                <w:webHidden/>
              </w:rPr>
            </w:r>
            <w:r>
              <w:rPr>
                <w:noProof/>
                <w:webHidden/>
              </w:rPr>
              <w:fldChar w:fldCharType="separate"/>
            </w:r>
            <w:r w:rsidR="0053426A">
              <w:rPr>
                <w:noProof/>
                <w:webHidden/>
              </w:rPr>
              <w:t>37</w:t>
            </w:r>
            <w:r>
              <w:rPr>
                <w:noProof/>
                <w:webHidden/>
              </w:rPr>
              <w:fldChar w:fldCharType="end"/>
            </w:r>
          </w:hyperlink>
        </w:p>
        <w:p w14:paraId="4BFF4E7A" w14:textId="0FDEADD5"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61" w:history="1">
            <w:r w:rsidRPr="00024DA3">
              <w:rPr>
                <w:rStyle w:val="Hyperlink"/>
                <w:noProof/>
              </w:rPr>
              <w:t>Proposed action</w:t>
            </w:r>
            <w:r>
              <w:rPr>
                <w:noProof/>
                <w:webHidden/>
              </w:rPr>
              <w:tab/>
            </w:r>
            <w:r>
              <w:rPr>
                <w:noProof/>
                <w:webHidden/>
              </w:rPr>
              <w:fldChar w:fldCharType="begin"/>
            </w:r>
            <w:r>
              <w:rPr>
                <w:noProof/>
                <w:webHidden/>
              </w:rPr>
              <w:instrText xml:space="preserve"> PAGEREF _Toc182486561 \h </w:instrText>
            </w:r>
            <w:r>
              <w:rPr>
                <w:noProof/>
                <w:webHidden/>
              </w:rPr>
            </w:r>
            <w:r>
              <w:rPr>
                <w:noProof/>
                <w:webHidden/>
              </w:rPr>
              <w:fldChar w:fldCharType="separate"/>
            </w:r>
            <w:r w:rsidR="0053426A">
              <w:rPr>
                <w:noProof/>
                <w:webHidden/>
              </w:rPr>
              <w:t>38</w:t>
            </w:r>
            <w:r>
              <w:rPr>
                <w:noProof/>
                <w:webHidden/>
              </w:rPr>
              <w:fldChar w:fldCharType="end"/>
            </w:r>
          </w:hyperlink>
        </w:p>
        <w:p w14:paraId="1C727FF4" w14:textId="09DB8D6C" w:rsidR="00192ED8" w:rsidRDefault="00192ED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486562" w:history="1">
            <w:r w:rsidRPr="00024DA3">
              <w:rPr>
                <w:rStyle w:val="Hyperlink"/>
                <w:noProof/>
              </w:rPr>
              <w:t>Independent expert advice on additional data and questions</w:t>
            </w:r>
            <w:r>
              <w:rPr>
                <w:noProof/>
                <w:webHidden/>
              </w:rPr>
              <w:tab/>
            </w:r>
            <w:r>
              <w:rPr>
                <w:noProof/>
                <w:webHidden/>
              </w:rPr>
              <w:fldChar w:fldCharType="begin"/>
            </w:r>
            <w:r>
              <w:rPr>
                <w:noProof/>
                <w:webHidden/>
              </w:rPr>
              <w:instrText xml:space="preserve"> PAGEREF _Toc182486562 \h </w:instrText>
            </w:r>
            <w:r>
              <w:rPr>
                <w:noProof/>
                <w:webHidden/>
              </w:rPr>
            </w:r>
            <w:r>
              <w:rPr>
                <w:noProof/>
                <w:webHidden/>
              </w:rPr>
              <w:fldChar w:fldCharType="separate"/>
            </w:r>
            <w:r w:rsidR="0053426A">
              <w:rPr>
                <w:noProof/>
                <w:webHidden/>
              </w:rPr>
              <w:t>39</w:t>
            </w:r>
            <w:r>
              <w:rPr>
                <w:noProof/>
                <w:webHidden/>
              </w:rPr>
              <w:fldChar w:fldCharType="end"/>
            </w:r>
          </w:hyperlink>
        </w:p>
        <w:p w14:paraId="6FA3811D" w14:textId="45CF653D" w:rsidR="00192ED8" w:rsidRDefault="00192ED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486563" w:history="1">
            <w:r w:rsidRPr="00024DA3">
              <w:rPr>
                <w:rStyle w:val="Hyperlink"/>
                <w:noProof/>
              </w:rPr>
              <w:t>Regulatory decision</w:t>
            </w:r>
            <w:r>
              <w:rPr>
                <w:noProof/>
                <w:webHidden/>
              </w:rPr>
              <w:tab/>
            </w:r>
            <w:r>
              <w:rPr>
                <w:noProof/>
                <w:webHidden/>
              </w:rPr>
              <w:fldChar w:fldCharType="begin"/>
            </w:r>
            <w:r>
              <w:rPr>
                <w:noProof/>
                <w:webHidden/>
              </w:rPr>
              <w:instrText xml:space="preserve"> PAGEREF _Toc182486563 \h </w:instrText>
            </w:r>
            <w:r>
              <w:rPr>
                <w:noProof/>
                <w:webHidden/>
              </w:rPr>
            </w:r>
            <w:r>
              <w:rPr>
                <w:noProof/>
                <w:webHidden/>
              </w:rPr>
              <w:fldChar w:fldCharType="separate"/>
            </w:r>
            <w:r w:rsidR="0053426A">
              <w:rPr>
                <w:noProof/>
                <w:webHidden/>
              </w:rPr>
              <w:t>41</w:t>
            </w:r>
            <w:r>
              <w:rPr>
                <w:noProof/>
                <w:webHidden/>
              </w:rPr>
              <w:fldChar w:fldCharType="end"/>
            </w:r>
          </w:hyperlink>
        </w:p>
        <w:p w14:paraId="6E9D2EB1" w14:textId="7C6AB896" w:rsidR="00192ED8" w:rsidRDefault="00192ED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486564" w:history="1">
            <w:r w:rsidRPr="00024DA3">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_Toc182486564 \h </w:instrText>
            </w:r>
            <w:r>
              <w:rPr>
                <w:noProof/>
                <w:webHidden/>
              </w:rPr>
            </w:r>
            <w:r>
              <w:rPr>
                <w:noProof/>
                <w:webHidden/>
              </w:rPr>
              <w:fldChar w:fldCharType="separate"/>
            </w:r>
            <w:r w:rsidR="0053426A">
              <w:rPr>
                <w:noProof/>
                <w:webHidden/>
              </w:rPr>
              <w:t>41</w:t>
            </w:r>
            <w:r>
              <w:rPr>
                <w:noProof/>
                <w:webHidden/>
              </w:rPr>
              <w:fldChar w:fldCharType="end"/>
            </w:r>
          </w:hyperlink>
        </w:p>
        <w:p w14:paraId="1F153191" w14:textId="7A176772" w:rsidR="00192ED8" w:rsidRDefault="00192ED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486565" w:history="1">
            <w:r w:rsidRPr="00024DA3">
              <w:rPr>
                <w:rStyle w:val="Hyperlink"/>
                <w:noProof/>
              </w:rPr>
              <w:t>Attachment – Product Information (PI)</w:t>
            </w:r>
            <w:r>
              <w:rPr>
                <w:noProof/>
                <w:webHidden/>
              </w:rPr>
              <w:tab/>
            </w:r>
            <w:r>
              <w:rPr>
                <w:noProof/>
                <w:webHidden/>
              </w:rPr>
              <w:fldChar w:fldCharType="begin"/>
            </w:r>
            <w:r>
              <w:rPr>
                <w:noProof/>
                <w:webHidden/>
              </w:rPr>
              <w:instrText xml:space="preserve"> PAGEREF _Toc182486565 \h </w:instrText>
            </w:r>
            <w:r>
              <w:rPr>
                <w:noProof/>
                <w:webHidden/>
              </w:rPr>
            </w:r>
            <w:r>
              <w:rPr>
                <w:noProof/>
                <w:webHidden/>
              </w:rPr>
              <w:fldChar w:fldCharType="separate"/>
            </w:r>
            <w:r w:rsidR="0053426A">
              <w:rPr>
                <w:noProof/>
                <w:webHidden/>
              </w:rPr>
              <w:t>41</w:t>
            </w:r>
            <w:r>
              <w:rPr>
                <w:noProof/>
                <w:webHidden/>
              </w:rPr>
              <w:fldChar w:fldCharType="end"/>
            </w:r>
          </w:hyperlink>
        </w:p>
        <w:p w14:paraId="77659F2D" w14:textId="0B1B457F" w:rsidR="00F02AEC" w:rsidRPr="00215D48" w:rsidRDefault="00F02AEC" w:rsidP="00B25F64">
          <w:r w:rsidRPr="00215D48">
            <w:fldChar w:fldCharType="end"/>
          </w:r>
        </w:p>
      </w:sdtContent>
    </w:sdt>
    <w:p w14:paraId="20F4D46F" w14:textId="584C50CE" w:rsidR="00127E3A" w:rsidRPr="00127E3A" w:rsidRDefault="00324B33" w:rsidP="00127E3A">
      <w:pPr>
        <w:pStyle w:val="Heading2"/>
      </w:pPr>
      <w:bookmarkStart w:id="2" w:name="_Toc98931917"/>
      <w:bookmarkStart w:id="3" w:name="_Toc103679287"/>
      <w:bookmarkStart w:id="4" w:name="_Toc323739589"/>
      <w:bookmarkStart w:id="5" w:name="_Toc356305216"/>
      <w:bookmarkStart w:id="6" w:name="_Toc182486534"/>
      <w:r w:rsidRPr="00127E3A">
        <w:t>List of abbreviations</w:t>
      </w:r>
      <w:bookmarkEnd w:id="2"/>
      <w:bookmarkEnd w:id="3"/>
      <w:bookmarkEnd w:id="6"/>
    </w:p>
    <w:tbl>
      <w:tblPr>
        <w:tblStyle w:val="TableTGAblue2023"/>
        <w:tblW w:w="0" w:type="auto"/>
        <w:tblLook w:val="04A0" w:firstRow="1" w:lastRow="0" w:firstColumn="1" w:lastColumn="0" w:noHBand="0" w:noVBand="1"/>
      </w:tblPr>
      <w:tblGrid>
        <w:gridCol w:w="2258"/>
        <w:gridCol w:w="6543"/>
      </w:tblGrid>
      <w:tr w:rsidR="009307D7" w:rsidRPr="009307D7" w14:paraId="3B4C48FB" w14:textId="77777777" w:rsidTr="00127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5BDE418" w14:textId="26CE6753" w:rsidR="009307D7" w:rsidRPr="009307D7" w:rsidRDefault="00992CB7" w:rsidP="00127E3A">
            <w:r w:rsidRPr="0023548E">
              <w:t>Abbreviation</w:t>
            </w:r>
          </w:p>
        </w:tc>
        <w:tc>
          <w:tcPr>
            <w:tcW w:w="6543" w:type="dxa"/>
          </w:tcPr>
          <w:p w14:paraId="30E4242B" w14:textId="13467443" w:rsidR="009307D7" w:rsidRPr="009307D7" w:rsidRDefault="004E7BDD" w:rsidP="00127E3A">
            <w:pPr>
              <w:cnfStyle w:val="100000000000" w:firstRow="1" w:lastRow="0" w:firstColumn="0" w:lastColumn="0" w:oddVBand="0" w:evenVBand="0" w:oddHBand="0" w:evenHBand="0" w:firstRowFirstColumn="0" w:firstRowLastColumn="0" w:lastRowFirstColumn="0" w:lastRowLastColumn="0"/>
            </w:pPr>
            <w:r w:rsidRPr="0023548E">
              <w:t>Meaning</w:t>
            </w:r>
          </w:p>
        </w:tc>
      </w:tr>
      <w:tr w:rsidR="009307D7" w:rsidRPr="009307D7" w14:paraId="02134C27"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898AA55" w14:textId="77777777" w:rsidR="009307D7" w:rsidRPr="009307D7" w:rsidRDefault="009307D7" w:rsidP="00127E3A">
            <w:r w:rsidRPr="009307D7">
              <w:t>ABBV-951</w:t>
            </w:r>
          </w:p>
        </w:tc>
        <w:tc>
          <w:tcPr>
            <w:tcW w:w="6543" w:type="dxa"/>
          </w:tcPr>
          <w:p w14:paraId="13CB8754" w14:textId="3AD3C545" w:rsidR="009307D7" w:rsidRPr="009307D7" w:rsidRDefault="00A175F6" w:rsidP="00127E3A">
            <w:pPr>
              <w:cnfStyle w:val="000000000000" w:firstRow="0" w:lastRow="0" w:firstColumn="0" w:lastColumn="0" w:oddVBand="0" w:evenVBand="0" w:oddHBand="0" w:evenHBand="0" w:firstRowFirstColumn="0" w:firstRowLastColumn="0" w:lastRowFirstColumn="0" w:lastRowLastColumn="0"/>
              <w:rPr>
                <w:rFonts w:cs="Arial"/>
              </w:rPr>
            </w:pPr>
            <w:proofErr w:type="spellStart"/>
            <w:r>
              <w:rPr>
                <w:rFonts w:cs="Arial"/>
              </w:rPr>
              <w:t>foslevodopa</w:t>
            </w:r>
            <w:proofErr w:type="spellEnd"/>
            <w:r w:rsidR="009307D7" w:rsidRPr="009307D7">
              <w:rPr>
                <w:rFonts w:cs="Arial"/>
              </w:rPr>
              <w:t xml:space="preserve"> / </w:t>
            </w:r>
            <w:proofErr w:type="spellStart"/>
            <w:r w:rsidR="009307D7" w:rsidRPr="009307D7">
              <w:rPr>
                <w:rFonts w:cs="Arial"/>
              </w:rPr>
              <w:t>foscarbidopa</w:t>
            </w:r>
            <w:proofErr w:type="spellEnd"/>
            <w:r w:rsidR="009307D7" w:rsidRPr="009307D7">
              <w:rPr>
                <w:rFonts w:cs="Arial"/>
              </w:rPr>
              <w:t xml:space="preserve"> or Vyalev</w:t>
            </w:r>
          </w:p>
        </w:tc>
      </w:tr>
      <w:tr w:rsidR="009307D7" w:rsidRPr="009307D7" w14:paraId="6B2173A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95D3535" w14:textId="77777777" w:rsidR="009307D7" w:rsidRPr="009307D7" w:rsidRDefault="009307D7" w:rsidP="00127E3A">
            <w:r w:rsidRPr="009307D7">
              <w:t>ACM</w:t>
            </w:r>
          </w:p>
        </w:tc>
        <w:tc>
          <w:tcPr>
            <w:tcW w:w="6543" w:type="dxa"/>
          </w:tcPr>
          <w:p w14:paraId="47CEFF35"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(Australian) Advisory Committee on Medicines</w:t>
            </w:r>
          </w:p>
        </w:tc>
      </w:tr>
      <w:tr w:rsidR="009307D7" w:rsidRPr="009307D7" w14:paraId="5DAE512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D5E16D1" w14:textId="77777777" w:rsidR="009307D7" w:rsidRPr="009307D7" w:rsidRDefault="009307D7" w:rsidP="00127E3A">
            <w:r w:rsidRPr="009307D7">
              <w:t>ADR</w:t>
            </w:r>
          </w:p>
        </w:tc>
        <w:tc>
          <w:tcPr>
            <w:tcW w:w="6543" w:type="dxa"/>
          </w:tcPr>
          <w:p w14:paraId="1D9E51A1"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adverse drug reaction</w:t>
            </w:r>
          </w:p>
        </w:tc>
      </w:tr>
      <w:tr w:rsidR="009307D7" w:rsidRPr="009307D7" w14:paraId="354E243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36BF979" w14:textId="77777777" w:rsidR="009307D7" w:rsidRPr="009307D7" w:rsidRDefault="009307D7" w:rsidP="00127E3A">
            <w:r w:rsidRPr="009307D7">
              <w:t>AE (SI)</w:t>
            </w:r>
          </w:p>
        </w:tc>
        <w:tc>
          <w:tcPr>
            <w:tcW w:w="6543" w:type="dxa"/>
          </w:tcPr>
          <w:p w14:paraId="604E423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adverse event (of special interest)</w:t>
            </w:r>
          </w:p>
        </w:tc>
      </w:tr>
      <w:tr w:rsidR="009307D7" w:rsidRPr="009307D7" w14:paraId="547531B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1D0710E" w14:textId="77777777" w:rsidR="009307D7" w:rsidRPr="009307D7" w:rsidRDefault="009307D7" w:rsidP="00127E3A">
            <w:r w:rsidRPr="009307D7">
              <w:t>ALP</w:t>
            </w:r>
          </w:p>
        </w:tc>
        <w:tc>
          <w:tcPr>
            <w:tcW w:w="6543" w:type="dxa"/>
          </w:tcPr>
          <w:p w14:paraId="048DF17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alkaline phosphatase</w:t>
            </w:r>
          </w:p>
        </w:tc>
      </w:tr>
      <w:tr w:rsidR="009307D7" w:rsidRPr="009307D7" w14:paraId="27183BF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F01A20F" w14:textId="77777777" w:rsidR="009307D7" w:rsidRPr="009307D7" w:rsidRDefault="009307D7" w:rsidP="00127E3A">
            <w:r w:rsidRPr="009307D7">
              <w:t>ALT</w:t>
            </w:r>
          </w:p>
        </w:tc>
        <w:tc>
          <w:tcPr>
            <w:tcW w:w="6543" w:type="dxa"/>
          </w:tcPr>
          <w:p w14:paraId="6CB2EC1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alanine aminotransferase</w:t>
            </w:r>
          </w:p>
        </w:tc>
      </w:tr>
      <w:tr w:rsidR="009307D7" w:rsidRPr="009307D7" w14:paraId="3CCBC47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7C17E9F" w14:textId="77777777" w:rsidR="009307D7" w:rsidRPr="009307D7" w:rsidRDefault="009307D7" w:rsidP="00127E3A">
            <w:r w:rsidRPr="009307D7">
              <w:t>ASA</w:t>
            </w:r>
          </w:p>
        </w:tc>
        <w:tc>
          <w:tcPr>
            <w:tcW w:w="6543" w:type="dxa"/>
          </w:tcPr>
          <w:p w14:paraId="0523785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Australian Specific Annex (to the RMP)</w:t>
            </w:r>
          </w:p>
        </w:tc>
      </w:tr>
      <w:tr w:rsidR="009307D7" w:rsidRPr="009307D7" w14:paraId="679DA5B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03D11E6" w14:textId="77777777" w:rsidR="009307D7" w:rsidRPr="009307D7" w:rsidRDefault="009307D7" w:rsidP="00127E3A">
            <w:r w:rsidRPr="009307D7">
              <w:t>AST</w:t>
            </w:r>
          </w:p>
        </w:tc>
        <w:tc>
          <w:tcPr>
            <w:tcW w:w="6543" w:type="dxa"/>
          </w:tcPr>
          <w:p w14:paraId="71E48A61"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aspartate aminotransferase</w:t>
            </w:r>
          </w:p>
        </w:tc>
      </w:tr>
      <w:tr w:rsidR="009307D7" w:rsidRPr="009307D7" w14:paraId="17F3774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5EC69A1" w14:textId="77777777" w:rsidR="009307D7" w:rsidRPr="009307D7" w:rsidRDefault="009307D7" w:rsidP="00127E3A">
            <w:r w:rsidRPr="009307D7">
              <w:t>AUC</w:t>
            </w:r>
          </w:p>
        </w:tc>
        <w:tc>
          <w:tcPr>
            <w:tcW w:w="6543" w:type="dxa"/>
          </w:tcPr>
          <w:p w14:paraId="799D05C6"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area under the concentration-time curve</w:t>
            </w:r>
          </w:p>
        </w:tc>
      </w:tr>
      <w:tr w:rsidR="009307D7" w:rsidRPr="009307D7" w14:paraId="2FBD3757"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2341D2F" w14:textId="77777777" w:rsidR="009307D7" w:rsidRPr="009307D7" w:rsidRDefault="009307D7" w:rsidP="00127E3A">
            <w:r w:rsidRPr="009307D7">
              <w:t>AUC</w:t>
            </w:r>
            <w:r w:rsidRPr="009307D7">
              <w:rPr>
                <w:vertAlign w:val="subscript"/>
              </w:rPr>
              <w:t>0-∞</w:t>
            </w:r>
          </w:p>
        </w:tc>
        <w:tc>
          <w:tcPr>
            <w:tcW w:w="6543" w:type="dxa"/>
          </w:tcPr>
          <w:p w14:paraId="545082F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area under the concentration-time curve from time 0 to infinity</w:t>
            </w:r>
          </w:p>
        </w:tc>
      </w:tr>
      <w:tr w:rsidR="009307D7" w:rsidRPr="009307D7" w14:paraId="3B03976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900D6E1" w14:textId="77777777" w:rsidR="009307D7" w:rsidRPr="009307D7" w:rsidRDefault="009307D7" w:rsidP="00127E3A">
            <w:r w:rsidRPr="009307D7">
              <w:t>AUC</w:t>
            </w:r>
            <w:r w:rsidRPr="009307D7">
              <w:rPr>
                <w:vertAlign w:val="subscript"/>
              </w:rPr>
              <w:t>0-last</w:t>
            </w:r>
          </w:p>
        </w:tc>
        <w:tc>
          <w:tcPr>
            <w:tcW w:w="6543" w:type="dxa"/>
          </w:tcPr>
          <w:p w14:paraId="00403A2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area under the concentration-time curve from time 0 to time of the last measurable concentration</w:t>
            </w:r>
          </w:p>
        </w:tc>
      </w:tr>
      <w:tr w:rsidR="009307D7" w:rsidRPr="009307D7" w14:paraId="6BD11E2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3D4FF5A" w14:textId="77777777" w:rsidR="009307D7" w:rsidRPr="009307D7" w:rsidRDefault="009307D7" w:rsidP="00127E3A">
            <w:r w:rsidRPr="009307D7">
              <w:t>AUC</w:t>
            </w:r>
            <w:r w:rsidRPr="009307D7">
              <w:rPr>
                <w:vertAlign w:val="subscript"/>
              </w:rPr>
              <w:t>tau or τ</w:t>
            </w:r>
          </w:p>
        </w:tc>
        <w:tc>
          <w:tcPr>
            <w:tcW w:w="6543" w:type="dxa"/>
          </w:tcPr>
          <w:p w14:paraId="6D54DDE2"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area under the concentration-time curve within a dosing interval</w:t>
            </w:r>
          </w:p>
        </w:tc>
      </w:tr>
      <w:tr w:rsidR="009307D7" w:rsidRPr="009307D7" w14:paraId="412D012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07EFCDC" w14:textId="77777777" w:rsidR="009307D7" w:rsidRPr="009307D7" w:rsidRDefault="009307D7" w:rsidP="00127E3A">
            <w:r w:rsidRPr="009307D7">
              <w:t>BA</w:t>
            </w:r>
          </w:p>
        </w:tc>
        <w:tc>
          <w:tcPr>
            <w:tcW w:w="6543" w:type="dxa"/>
          </w:tcPr>
          <w:p w14:paraId="32B7686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bioavailability</w:t>
            </w:r>
          </w:p>
        </w:tc>
      </w:tr>
      <w:tr w:rsidR="009307D7" w:rsidRPr="009307D7" w14:paraId="5DD8C671"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691DE73" w14:textId="77777777" w:rsidR="009307D7" w:rsidRPr="009307D7" w:rsidRDefault="009307D7" w:rsidP="00127E3A">
            <w:r w:rsidRPr="009307D7">
              <w:t>BE</w:t>
            </w:r>
          </w:p>
        </w:tc>
        <w:tc>
          <w:tcPr>
            <w:tcW w:w="6543" w:type="dxa"/>
          </w:tcPr>
          <w:p w14:paraId="550FE53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bioequivalence</w:t>
            </w:r>
          </w:p>
        </w:tc>
      </w:tr>
      <w:tr w:rsidR="009307D7" w:rsidRPr="009307D7" w14:paraId="5EB496E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041D2FC" w14:textId="77777777" w:rsidR="009307D7" w:rsidRPr="009307D7" w:rsidRDefault="009307D7" w:rsidP="00127E3A">
            <w:r w:rsidRPr="009307D7">
              <w:t>bpm</w:t>
            </w:r>
          </w:p>
        </w:tc>
        <w:tc>
          <w:tcPr>
            <w:tcW w:w="6543" w:type="dxa"/>
          </w:tcPr>
          <w:p w14:paraId="58480A0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beats per minute</w:t>
            </w:r>
          </w:p>
        </w:tc>
      </w:tr>
      <w:tr w:rsidR="009307D7" w:rsidRPr="009307D7" w14:paraId="7D45B7FF"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10D6A17" w14:textId="77777777" w:rsidR="009307D7" w:rsidRPr="009307D7" w:rsidRDefault="009307D7" w:rsidP="00127E3A">
            <w:r w:rsidRPr="009307D7">
              <w:t>BW</w:t>
            </w:r>
          </w:p>
        </w:tc>
        <w:tc>
          <w:tcPr>
            <w:tcW w:w="6543" w:type="dxa"/>
          </w:tcPr>
          <w:p w14:paraId="0AABD63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bodyweight</w:t>
            </w:r>
          </w:p>
        </w:tc>
      </w:tr>
      <w:tr w:rsidR="009307D7" w:rsidRPr="009307D7" w14:paraId="4B07C81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6B09E6E" w14:textId="4303903C" w:rsidR="009307D7" w:rsidRPr="009307D7" w:rsidRDefault="008C163E" w:rsidP="00127E3A">
            <w:r>
              <w:t>CARBIDOPA</w:t>
            </w:r>
            <w:r w:rsidR="00BF0542">
              <w:t xml:space="preserve"> (CD)</w:t>
            </w:r>
          </w:p>
        </w:tc>
        <w:tc>
          <w:tcPr>
            <w:tcW w:w="6543" w:type="dxa"/>
          </w:tcPr>
          <w:p w14:paraId="70BAD845"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carbidopa</w:t>
            </w:r>
          </w:p>
        </w:tc>
      </w:tr>
      <w:tr w:rsidR="009307D7" w:rsidRPr="009307D7" w14:paraId="2AC98660"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493683B" w14:textId="77777777" w:rsidR="009307D7" w:rsidRPr="009307D7" w:rsidRDefault="009307D7" w:rsidP="00127E3A">
            <w:r w:rsidRPr="009307D7">
              <w:t>CER</w:t>
            </w:r>
          </w:p>
        </w:tc>
        <w:tc>
          <w:tcPr>
            <w:tcW w:w="6543" w:type="dxa"/>
          </w:tcPr>
          <w:p w14:paraId="2612656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clinical evaluation report</w:t>
            </w:r>
          </w:p>
        </w:tc>
      </w:tr>
      <w:tr w:rsidR="009307D7" w:rsidRPr="009307D7" w14:paraId="23758A11"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034D5D0" w14:textId="77777777" w:rsidR="009307D7" w:rsidRPr="009307D7" w:rsidRDefault="009307D7" w:rsidP="00127E3A">
            <w:r w:rsidRPr="009307D7">
              <w:t>CFB</w:t>
            </w:r>
          </w:p>
        </w:tc>
        <w:tc>
          <w:tcPr>
            <w:tcW w:w="6543" w:type="dxa"/>
          </w:tcPr>
          <w:p w14:paraId="55FB443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change from baseline</w:t>
            </w:r>
          </w:p>
        </w:tc>
      </w:tr>
      <w:tr w:rsidR="009307D7" w:rsidRPr="009307D7" w14:paraId="52A6B98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F3E609A" w14:textId="77777777" w:rsidR="009307D7" w:rsidRPr="009307D7" w:rsidRDefault="009307D7" w:rsidP="00127E3A">
            <w:r w:rsidRPr="009307D7">
              <w:t>CI</w:t>
            </w:r>
          </w:p>
        </w:tc>
        <w:tc>
          <w:tcPr>
            <w:tcW w:w="6543" w:type="dxa"/>
          </w:tcPr>
          <w:p w14:paraId="470CD726"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confidence interval</w:t>
            </w:r>
          </w:p>
        </w:tc>
      </w:tr>
      <w:tr w:rsidR="009307D7" w:rsidRPr="009307D7" w14:paraId="7ABD57EB"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1283905" w14:textId="77777777" w:rsidR="009307D7" w:rsidRPr="009307D7" w:rsidRDefault="009307D7" w:rsidP="00127E3A">
            <w:r w:rsidRPr="009307D7">
              <w:t>C</w:t>
            </w:r>
            <w:r w:rsidRPr="009307D7">
              <w:rPr>
                <w:vertAlign w:val="subscript"/>
              </w:rPr>
              <w:t>max</w:t>
            </w:r>
          </w:p>
        </w:tc>
        <w:tc>
          <w:tcPr>
            <w:tcW w:w="6543" w:type="dxa"/>
          </w:tcPr>
          <w:p w14:paraId="5F2071DF"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maximum observed concentration</w:t>
            </w:r>
          </w:p>
        </w:tc>
      </w:tr>
      <w:tr w:rsidR="009307D7" w:rsidRPr="009307D7" w14:paraId="5DA86527"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CE2BF64" w14:textId="77777777" w:rsidR="009307D7" w:rsidRPr="009307D7" w:rsidRDefault="009307D7" w:rsidP="00127E3A">
            <w:r w:rsidRPr="009307D7">
              <w:t>CMI</w:t>
            </w:r>
          </w:p>
        </w:tc>
        <w:tc>
          <w:tcPr>
            <w:tcW w:w="6543" w:type="dxa"/>
          </w:tcPr>
          <w:p w14:paraId="31D54442"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Consumer Medicines Information</w:t>
            </w:r>
          </w:p>
        </w:tc>
      </w:tr>
      <w:tr w:rsidR="009307D7" w:rsidRPr="009307D7" w14:paraId="3144CA6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03D6675" w14:textId="77777777" w:rsidR="009307D7" w:rsidRPr="009307D7" w:rsidRDefault="009307D7" w:rsidP="00127E3A">
            <w:r w:rsidRPr="009307D7">
              <w:t>CNS</w:t>
            </w:r>
          </w:p>
        </w:tc>
        <w:tc>
          <w:tcPr>
            <w:tcW w:w="6543" w:type="dxa"/>
          </w:tcPr>
          <w:p w14:paraId="6E904F72"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central nervous system</w:t>
            </w:r>
          </w:p>
        </w:tc>
      </w:tr>
      <w:tr w:rsidR="009307D7" w:rsidRPr="009307D7" w14:paraId="08E88572"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716240B" w14:textId="77777777" w:rsidR="009307D7" w:rsidRPr="009307D7" w:rsidRDefault="009307D7" w:rsidP="00127E3A">
            <w:r w:rsidRPr="009307D7">
              <w:t>CO</w:t>
            </w:r>
          </w:p>
        </w:tc>
        <w:tc>
          <w:tcPr>
            <w:tcW w:w="6543" w:type="dxa"/>
          </w:tcPr>
          <w:p w14:paraId="6771842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clinical overview</w:t>
            </w:r>
          </w:p>
        </w:tc>
      </w:tr>
      <w:tr w:rsidR="009307D7" w:rsidRPr="009307D7" w14:paraId="52F9464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B542ABF" w14:textId="77777777" w:rsidR="009307D7" w:rsidRPr="009307D7" w:rsidRDefault="009307D7" w:rsidP="00127E3A">
            <w:r w:rsidRPr="009307D7">
              <w:t>COMT</w:t>
            </w:r>
          </w:p>
        </w:tc>
        <w:tc>
          <w:tcPr>
            <w:tcW w:w="6543" w:type="dxa"/>
          </w:tcPr>
          <w:p w14:paraId="46F8D46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catechol-O-methyltransferase</w:t>
            </w:r>
          </w:p>
        </w:tc>
      </w:tr>
      <w:tr w:rsidR="009307D7" w:rsidRPr="009307D7" w14:paraId="4C142B0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00A5AAD" w14:textId="77777777" w:rsidR="009307D7" w:rsidRPr="009307D7" w:rsidRDefault="009307D7" w:rsidP="00127E3A">
            <w:r w:rsidRPr="009307D7">
              <w:t>CSCI</w:t>
            </w:r>
          </w:p>
        </w:tc>
        <w:tc>
          <w:tcPr>
            <w:tcW w:w="6543" w:type="dxa"/>
          </w:tcPr>
          <w:p w14:paraId="684577D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continuous subcutaneous infusion</w:t>
            </w:r>
          </w:p>
        </w:tc>
      </w:tr>
      <w:tr w:rsidR="009307D7" w:rsidRPr="009307D7" w14:paraId="59B1655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CC3B244" w14:textId="77777777" w:rsidR="009307D7" w:rsidRPr="009307D7" w:rsidRDefault="009307D7" w:rsidP="00127E3A">
            <w:r w:rsidRPr="009307D7">
              <w:t>CSR</w:t>
            </w:r>
          </w:p>
        </w:tc>
        <w:tc>
          <w:tcPr>
            <w:tcW w:w="6543" w:type="dxa"/>
          </w:tcPr>
          <w:p w14:paraId="3A9AA4CF"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clinical study report</w:t>
            </w:r>
          </w:p>
        </w:tc>
      </w:tr>
      <w:tr w:rsidR="009307D7" w:rsidRPr="009307D7" w14:paraId="2634F5B1"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5890FFA" w14:textId="77777777" w:rsidR="009307D7" w:rsidRPr="009307D7" w:rsidRDefault="009307D7" w:rsidP="00127E3A">
            <w:r w:rsidRPr="009307D7">
              <w:t>C-SSRS</w:t>
            </w:r>
          </w:p>
        </w:tc>
        <w:tc>
          <w:tcPr>
            <w:tcW w:w="6543" w:type="dxa"/>
          </w:tcPr>
          <w:p w14:paraId="76368FB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Columbia-Suicide Severity Rating Scale</w:t>
            </w:r>
          </w:p>
        </w:tc>
      </w:tr>
      <w:tr w:rsidR="009307D7" w:rsidRPr="009307D7" w14:paraId="4A4271D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8C24B69" w14:textId="77777777" w:rsidR="009307D7" w:rsidRPr="009307D7" w:rsidRDefault="009307D7" w:rsidP="00127E3A">
            <w:r w:rsidRPr="009307D7">
              <w:t>CV%</w:t>
            </w:r>
          </w:p>
        </w:tc>
        <w:tc>
          <w:tcPr>
            <w:tcW w:w="6543" w:type="dxa"/>
          </w:tcPr>
          <w:p w14:paraId="30D3D941"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percentage of coefficient of variation</w:t>
            </w:r>
          </w:p>
        </w:tc>
      </w:tr>
      <w:tr w:rsidR="009307D7" w:rsidRPr="009307D7" w14:paraId="6F46888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2166680" w14:textId="77777777" w:rsidR="009307D7" w:rsidRPr="009307D7" w:rsidRDefault="009307D7" w:rsidP="00127E3A">
            <w:r w:rsidRPr="009307D7">
              <w:t>CYP</w:t>
            </w:r>
          </w:p>
        </w:tc>
        <w:tc>
          <w:tcPr>
            <w:tcW w:w="6543" w:type="dxa"/>
          </w:tcPr>
          <w:p w14:paraId="60672014"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cytochrome P450</w:t>
            </w:r>
          </w:p>
        </w:tc>
      </w:tr>
      <w:tr w:rsidR="009307D7" w:rsidRPr="009307D7" w14:paraId="4DD43AF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FF0F7D6" w14:textId="77777777" w:rsidR="009307D7" w:rsidRPr="009307D7" w:rsidRDefault="009307D7" w:rsidP="00127E3A">
            <w:r w:rsidRPr="009307D7">
              <w:t>DB</w:t>
            </w:r>
          </w:p>
        </w:tc>
        <w:tc>
          <w:tcPr>
            <w:tcW w:w="6543" w:type="dxa"/>
          </w:tcPr>
          <w:p w14:paraId="5A60C78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double-blind</w:t>
            </w:r>
          </w:p>
        </w:tc>
      </w:tr>
      <w:tr w:rsidR="009307D7" w:rsidRPr="009307D7" w14:paraId="4920BBE7"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1E7389F" w14:textId="77777777" w:rsidR="009307D7" w:rsidRPr="009307D7" w:rsidRDefault="009307D7" w:rsidP="00127E3A">
            <w:r w:rsidRPr="009307D7">
              <w:t>DBP</w:t>
            </w:r>
          </w:p>
        </w:tc>
        <w:tc>
          <w:tcPr>
            <w:tcW w:w="6543" w:type="dxa"/>
          </w:tcPr>
          <w:p w14:paraId="7E74279D"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diastolic blood pressure</w:t>
            </w:r>
          </w:p>
        </w:tc>
      </w:tr>
      <w:tr w:rsidR="009307D7" w:rsidRPr="009307D7" w14:paraId="3CCBC8F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7D56F27" w14:textId="77777777" w:rsidR="009307D7" w:rsidRPr="009307D7" w:rsidRDefault="009307D7" w:rsidP="00127E3A">
            <w:r w:rsidRPr="009307D7">
              <w:t>DDCI</w:t>
            </w:r>
          </w:p>
        </w:tc>
        <w:tc>
          <w:tcPr>
            <w:tcW w:w="6543" w:type="dxa"/>
          </w:tcPr>
          <w:p w14:paraId="2215E3A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DOPA decarboxylase inhibitor</w:t>
            </w:r>
          </w:p>
        </w:tc>
      </w:tr>
      <w:tr w:rsidR="009307D7" w:rsidRPr="009307D7" w14:paraId="1BFBD434"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0E8E419" w14:textId="77777777" w:rsidR="009307D7" w:rsidRPr="009307D7" w:rsidRDefault="009307D7" w:rsidP="00127E3A">
            <w:r w:rsidRPr="009307D7">
              <w:t>DDI</w:t>
            </w:r>
          </w:p>
        </w:tc>
        <w:tc>
          <w:tcPr>
            <w:tcW w:w="6543" w:type="dxa"/>
          </w:tcPr>
          <w:p w14:paraId="31837A69"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drug-drug interaction</w:t>
            </w:r>
          </w:p>
        </w:tc>
      </w:tr>
      <w:tr w:rsidR="009307D7" w:rsidRPr="009307D7" w14:paraId="4D56EDF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708A25D" w14:textId="77777777" w:rsidR="009307D7" w:rsidRPr="009307D7" w:rsidRDefault="009307D7" w:rsidP="00127E3A">
            <w:r w:rsidRPr="009307D7">
              <w:t>DDS</w:t>
            </w:r>
          </w:p>
        </w:tc>
        <w:tc>
          <w:tcPr>
            <w:tcW w:w="6543" w:type="dxa"/>
          </w:tcPr>
          <w:p w14:paraId="11498A9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dopamine dysregulation syndrome</w:t>
            </w:r>
          </w:p>
        </w:tc>
      </w:tr>
      <w:tr w:rsidR="009307D7" w:rsidRPr="009307D7" w14:paraId="7C6F471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AF4FE05" w14:textId="77777777" w:rsidR="009307D7" w:rsidRPr="009307D7" w:rsidRDefault="009307D7" w:rsidP="00127E3A">
            <w:r w:rsidRPr="009307D7">
              <w:t>ECG</w:t>
            </w:r>
          </w:p>
        </w:tc>
        <w:tc>
          <w:tcPr>
            <w:tcW w:w="6543" w:type="dxa"/>
          </w:tcPr>
          <w:p w14:paraId="43C1CA0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electrocardiogram</w:t>
            </w:r>
          </w:p>
        </w:tc>
      </w:tr>
      <w:tr w:rsidR="009307D7" w:rsidRPr="009307D7" w14:paraId="00055D3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406A561" w14:textId="77777777" w:rsidR="009307D7" w:rsidRPr="009307D7" w:rsidRDefault="009307D7" w:rsidP="00127E3A">
            <w:r w:rsidRPr="009307D7">
              <w:t>E-R</w:t>
            </w:r>
          </w:p>
        </w:tc>
        <w:tc>
          <w:tcPr>
            <w:tcW w:w="6543" w:type="dxa"/>
          </w:tcPr>
          <w:p w14:paraId="1E034F49"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exposure-response</w:t>
            </w:r>
          </w:p>
        </w:tc>
      </w:tr>
      <w:tr w:rsidR="009307D7" w:rsidRPr="009307D7" w14:paraId="3C2A354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8D5DB93" w14:textId="77777777" w:rsidR="009307D7" w:rsidRPr="009307D7" w:rsidRDefault="009307D7" w:rsidP="00127E3A">
            <w:r w:rsidRPr="009307D7">
              <w:t>EQ-5D-5L</w:t>
            </w:r>
          </w:p>
        </w:tc>
        <w:tc>
          <w:tcPr>
            <w:tcW w:w="6543" w:type="dxa"/>
          </w:tcPr>
          <w:p w14:paraId="6F55730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proofErr w:type="spellStart"/>
            <w:r w:rsidRPr="009307D7">
              <w:t>EuroQol</w:t>
            </w:r>
            <w:proofErr w:type="spellEnd"/>
            <w:r w:rsidRPr="009307D7">
              <w:t xml:space="preserve"> 5-dimensions</w:t>
            </w:r>
          </w:p>
        </w:tc>
      </w:tr>
      <w:tr w:rsidR="009307D7" w:rsidRPr="009307D7" w14:paraId="3362F97B"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A4A8995" w14:textId="77777777" w:rsidR="009307D7" w:rsidRPr="009307D7" w:rsidRDefault="009307D7" w:rsidP="00127E3A">
            <w:r w:rsidRPr="009307D7">
              <w:t>EU</w:t>
            </w:r>
          </w:p>
        </w:tc>
        <w:tc>
          <w:tcPr>
            <w:tcW w:w="6543" w:type="dxa"/>
          </w:tcPr>
          <w:p w14:paraId="588CFA16"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European Union</w:t>
            </w:r>
          </w:p>
        </w:tc>
      </w:tr>
      <w:tr w:rsidR="009307D7" w:rsidRPr="009307D7" w14:paraId="31D85F4C"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709B534" w14:textId="77777777" w:rsidR="009307D7" w:rsidRPr="009307D7" w:rsidRDefault="009307D7" w:rsidP="00127E3A">
            <w:r w:rsidRPr="009307D7">
              <w:t>FAS</w:t>
            </w:r>
          </w:p>
        </w:tc>
        <w:tc>
          <w:tcPr>
            <w:tcW w:w="6543" w:type="dxa"/>
          </w:tcPr>
          <w:p w14:paraId="4A797DB5"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TimesNewRoman"/>
                <w:lang w:val="en-GB"/>
              </w:rPr>
            </w:pPr>
            <w:r w:rsidRPr="009307D7">
              <w:rPr>
                <w:rFonts w:cs="TimesNewRoman"/>
                <w:lang w:val="en-GB"/>
              </w:rPr>
              <w:t>full analysis set</w:t>
            </w:r>
          </w:p>
        </w:tc>
      </w:tr>
      <w:tr w:rsidR="009307D7" w:rsidRPr="009307D7" w14:paraId="2E981FA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4CCB894" w14:textId="77777777" w:rsidR="009307D7" w:rsidRPr="009307D7" w:rsidRDefault="009307D7" w:rsidP="00127E3A">
            <w:r w:rsidRPr="009307D7">
              <w:t>GCP</w:t>
            </w:r>
          </w:p>
        </w:tc>
        <w:tc>
          <w:tcPr>
            <w:tcW w:w="6543" w:type="dxa"/>
          </w:tcPr>
          <w:p w14:paraId="4CD1FB0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TimesNewRoman"/>
                <w:lang w:val="en-GB"/>
              </w:rPr>
              <w:t>Good Clinical Practice</w:t>
            </w:r>
          </w:p>
        </w:tc>
      </w:tr>
      <w:tr w:rsidR="009307D7" w:rsidRPr="009307D7" w14:paraId="0B77224C"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D02F08F" w14:textId="77777777" w:rsidR="009307D7" w:rsidRPr="009307D7" w:rsidRDefault="009307D7" w:rsidP="00127E3A">
            <w:r w:rsidRPr="009307D7">
              <w:t>GGT</w:t>
            </w:r>
          </w:p>
        </w:tc>
        <w:tc>
          <w:tcPr>
            <w:tcW w:w="6543" w:type="dxa"/>
          </w:tcPr>
          <w:p w14:paraId="14D35BD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gamma-glutamyl transferase</w:t>
            </w:r>
          </w:p>
        </w:tc>
      </w:tr>
      <w:tr w:rsidR="009307D7" w:rsidRPr="009307D7" w14:paraId="5C11940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46B7341" w14:textId="77777777" w:rsidR="009307D7" w:rsidRPr="009307D7" w:rsidRDefault="009307D7" w:rsidP="00127E3A">
            <w:r w:rsidRPr="009307D7">
              <w:t>GLNT</w:t>
            </w:r>
          </w:p>
        </w:tc>
        <w:tc>
          <w:tcPr>
            <w:tcW w:w="6543" w:type="dxa"/>
          </w:tcPr>
          <w:p w14:paraId="593186E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Great Lakes NeuroTechnologies</w:t>
            </w:r>
          </w:p>
        </w:tc>
      </w:tr>
      <w:tr w:rsidR="009307D7" w:rsidRPr="009307D7" w14:paraId="35B5B2D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96996C8" w14:textId="77777777" w:rsidR="009307D7" w:rsidRPr="009307D7" w:rsidRDefault="009307D7" w:rsidP="00127E3A">
            <w:r w:rsidRPr="009307D7">
              <w:t>HR</w:t>
            </w:r>
          </w:p>
        </w:tc>
        <w:tc>
          <w:tcPr>
            <w:tcW w:w="6543" w:type="dxa"/>
          </w:tcPr>
          <w:p w14:paraId="52CA4B4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heart rate</w:t>
            </w:r>
          </w:p>
        </w:tc>
      </w:tr>
      <w:tr w:rsidR="009307D7" w:rsidRPr="009307D7" w14:paraId="05483B8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69B8F3F" w14:textId="77777777" w:rsidR="009307D7" w:rsidRPr="009307D7" w:rsidRDefault="009307D7" w:rsidP="00127E3A">
            <w:r w:rsidRPr="009307D7">
              <w:rPr>
                <w:rFonts w:cs="Arial"/>
              </w:rPr>
              <w:t>IA</w:t>
            </w:r>
          </w:p>
        </w:tc>
        <w:tc>
          <w:tcPr>
            <w:tcW w:w="6543" w:type="dxa"/>
          </w:tcPr>
          <w:p w14:paraId="68D317E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interim analysis</w:t>
            </w:r>
          </w:p>
        </w:tc>
      </w:tr>
      <w:tr w:rsidR="009307D7" w:rsidRPr="009307D7" w14:paraId="2396B035"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F217321" w14:textId="1FE9D7CB" w:rsidR="009307D7" w:rsidRPr="009307D7" w:rsidRDefault="009307D7" w:rsidP="00127E3A">
            <w:pPr>
              <w:rPr>
                <w:rFonts w:cs="Arial"/>
              </w:rPr>
            </w:pPr>
            <w:r w:rsidRPr="009307D7">
              <w:rPr>
                <w:rFonts w:cs="Arial"/>
              </w:rPr>
              <w:t>I</w:t>
            </w:r>
            <w:r w:rsidR="008C163E">
              <w:rPr>
                <w:rFonts w:cs="Arial"/>
              </w:rPr>
              <w:t>CARBIDOPA</w:t>
            </w:r>
          </w:p>
        </w:tc>
        <w:tc>
          <w:tcPr>
            <w:tcW w:w="6543" w:type="dxa"/>
          </w:tcPr>
          <w:p w14:paraId="014A89D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impulse control disorders</w:t>
            </w:r>
          </w:p>
        </w:tc>
      </w:tr>
      <w:tr w:rsidR="009307D7" w:rsidRPr="009307D7" w14:paraId="3A1DC19C"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6F2B672" w14:textId="77777777" w:rsidR="009307D7" w:rsidRPr="009307D7" w:rsidRDefault="009307D7" w:rsidP="00127E3A">
            <w:r w:rsidRPr="009307D7">
              <w:rPr>
                <w:rFonts w:cs="Arial"/>
              </w:rPr>
              <w:t>IEC</w:t>
            </w:r>
          </w:p>
        </w:tc>
        <w:tc>
          <w:tcPr>
            <w:tcW w:w="6543" w:type="dxa"/>
          </w:tcPr>
          <w:p w14:paraId="084E2CE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independent ethics committee</w:t>
            </w:r>
          </w:p>
        </w:tc>
      </w:tr>
      <w:tr w:rsidR="009307D7" w:rsidRPr="009307D7" w14:paraId="5ECF9110"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29944C8" w14:textId="77777777" w:rsidR="009307D7" w:rsidRPr="009307D7" w:rsidRDefault="009307D7" w:rsidP="00127E3A">
            <w:r w:rsidRPr="009307D7">
              <w:rPr>
                <w:rFonts w:cs="Arial"/>
              </w:rPr>
              <w:t>IIV</w:t>
            </w:r>
          </w:p>
        </w:tc>
        <w:tc>
          <w:tcPr>
            <w:tcW w:w="6543" w:type="dxa"/>
          </w:tcPr>
          <w:p w14:paraId="6CF06E9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inter-individual variability</w:t>
            </w:r>
          </w:p>
        </w:tc>
      </w:tr>
      <w:tr w:rsidR="009307D7" w:rsidRPr="009307D7" w14:paraId="7A09408F"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BFCF68A" w14:textId="77777777" w:rsidR="009307D7" w:rsidRPr="009307D7" w:rsidRDefault="009307D7" w:rsidP="00127E3A">
            <w:r w:rsidRPr="009307D7">
              <w:rPr>
                <w:rFonts w:cs="Arial"/>
              </w:rPr>
              <w:t>IRB</w:t>
            </w:r>
          </w:p>
        </w:tc>
        <w:tc>
          <w:tcPr>
            <w:tcW w:w="6543" w:type="dxa"/>
          </w:tcPr>
          <w:p w14:paraId="128B0346"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independent review board</w:t>
            </w:r>
          </w:p>
        </w:tc>
      </w:tr>
      <w:tr w:rsidR="009307D7" w:rsidRPr="009307D7" w14:paraId="598A2F42"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FFEADA0" w14:textId="77777777" w:rsidR="009307D7" w:rsidRPr="009307D7" w:rsidRDefault="009307D7" w:rsidP="00127E3A">
            <w:pPr>
              <w:rPr>
                <w:rFonts w:cs="Arial"/>
              </w:rPr>
            </w:pPr>
            <w:r w:rsidRPr="009307D7">
              <w:rPr>
                <w:rFonts w:cs="Arial"/>
              </w:rPr>
              <w:t>ISES</w:t>
            </w:r>
          </w:p>
        </w:tc>
        <w:tc>
          <w:tcPr>
            <w:tcW w:w="6543" w:type="dxa"/>
          </w:tcPr>
          <w:p w14:paraId="7857C0BE"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Infusion Site Evaluation Scale</w:t>
            </w:r>
          </w:p>
        </w:tc>
      </w:tr>
      <w:tr w:rsidR="009307D7" w:rsidRPr="009307D7" w14:paraId="1B4AD28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543E918" w14:textId="77777777" w:rsidR="009307D7" w:rsidRPr="009307D7" w:rsidRDefault="009307D7" w:rsidP="00127E3A">
            <w:pPr>
              <w:rPr>
                <w:rFonts w:cs="Arial"/>
              </w:rPr>
            </w:pPr>
            <w:r w:rsidRPr="009307D7">
              <w:rPr>
                <w:rFonts w:cs="Arial"/>
              </w:rPr>
              <w:t>ITT</w:t>
            </w:r>
          </w:p>
        </w:tc>
        <w:tc>
          <w:tcPr>
            <w:tcW w:w="6543" w:type="dxa"/>
          </w:tcPr>
          <w:p w14:paraId="395209B2"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intention-to-treat</w:t>
            </w:r>
          </w:p>
        </w:tc>
      </w:tr>
      <w:tr w:rsidR="009307D7" w:rsidRPr="009307D7" w14:paraId="4AF8702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07C1961" w14:textId="77777777" w:rsidR="009307D7" w:rsidRPr="009307D7" w:rsidRDefault="009307D7" w:rsidP="00127E3A">
            <w:pPr>
              <w:rPr>
                <w:rFonts w:cs="Arial"/>
              </w:rPr>
            </w:pPr>
            <w:r w:rsidRPr="009307D7">
              <w:rPr>
                <w:rFonts w:cs="Arial"/>
              </w:rPr>
              <w:t>KPPS</w:t>
            </w:r>
          </w:p>
        </w:tc>
        <w:tc>
          <w:tcPr>
            <w:tcW w:w="6543" w:type="dxa"/>
          </w:tcPr>
          <w:p w14:paraId="53E673E1"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King's Parkinson's Disease Pain Scale</w:t>
            </w:r>
          </w:p>
        </w:tc>
      </w:tr>
      <w:tr w:rsidR="009307D7" w:rsidRPr="009307D7" w14:paraId="531D465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7F46EB3" w14:textId="77777777" w:rsidR="009307D7" w:rsidRPr="009307D7" w:rsidRDefault="009307D7" w:rsidP="00127E3A">
            <w:pPr>
              <w:rPr>
                <w:rFonts w:cs="Arial"/>
              </w:rPr>
            </w:pPr>
            <w:r w:rsidRPr="009307D7">
              <w:rPr>
                <w:rFonts w:cs="Arial"/>
              </w:rPr>
              <w:t>LCIG</w:t>
            </w:r>
          </w:p>
        </w:tc>
        <w:tc>
          <w:tcPr>
            <w:tcW w:w="6543" w:type="dxa"/>
          </w:tcPr>
          <w:p w14:paraId="3747A8A3" w14:textId="290B4798" w:rsidR="009307D7" w:rsidRPr="009307D7" w:rsidRDefault="0064134F" w:rsidP="00127E3A">
            <w:pPr>
              <w:cnfStyle w:val="000000000000" w:firstRow="0" w:lastRow="0" w:firstColumn="0" w:lastColumn="0" w:oddVBand="0" w:evenVBand="0" w:oddHBand="0" w:evenHBand="0" w:firstRowFirstColumn="0" w:firstRowLastColumn="0" w:lastRowFirstColumn="0" w:lastRowLastColumn="0"/>
              <w:rPr>
                <w:rFonts w:cs="Arial"/>
              </w:rPr>
            </w:pPr>
            <w:r>
              <w:t>l</w:t>
            </w:r>
            <w:r w:rsidR="00A175F6">
              <w:t>evodopa</w:t>
            </w:r>
            <w:r w:rsidR="009307D7" w:rsidRPr="009307D7">
              <w:t>/carbidopa intestinal gel</w:t>
            </w:r>
          </w:p>
        </w:tc>
      </w:tr>
      <w:tr w:rsidR="009307D7" w:rsidRPr="009307D7" w14:paraId="2D785F5B"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5212CC3" w14:textId="77777777" w:rsidR="009307D7" w:rsidRPr="009307D7" w:rsidRDefault="009307D7" w:rsidP="00127E3A">
            <w:r w:rsidRPr="009307D7">
              <w:rPr>
                <w:rFonts w:cs="Arial"/>
              </w:rPr>
              <w:t>LC-MS/MS</w:t>
            </w:r>
          </w:p>
        </w:tc>
        <w:tc>
          <w:tcPr>
            <w:tcW w:w="6543" w:type="dxa"/>
          </w:tcPr>
          <w:p w14:paraId="04BEF98E"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liquid chromatography tandem mass spectrometry</w:t>
            </w:r>
          </w:p>
        </w:tc>
      </w:tr>
      <w:tr w:rsidR="009307D7" w:rsidRPr="009307D7" w14:paraId="0ECA0ED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DEEE452" w14:textId="340C850F" w:rsidR="009307D7" w:rsidRPr="009307D7" w:rsidRDefault="00A175F6" w:rsidP="00127E3A">
            <w:r>
              <w:t>LEVODOPA</w:t>
            </w:r>
            <w:r w:rsidR="00C172B5">
              <w:t xml:space="preserve"> (LD)</w:t>
            </w:r>
          </w:p>
        </w:tc>
        <w:tc>
          <w:tcPr>
            <w:tcW w:w="6543" w:type="dxa"/>
          </w:tcPr>
          <w:p w14:paraId="50BA1BD1" w14:textId="5894B23F" w:rsidR="009307D7" w:rsidRPr="009307D7" w:rsidRDefault="0064134F" w:rsidP="00127E3A">
            <w:pPr>
              <w:cnfStyle w:val="000000000000" w:firstRow="0" w:lastRow="0" w:firstColumn="0" w:lastColumn="0" w:oddVBand="0" w:evenVBand="0" w:oddHBand="0" w:evenHBand="0" w:firstRowFirstColumn="0" w:firstRowLastColumn="0" w:lastRowFirstColumn="0" w:lastRowLastColumn="0"/>
              <w:rPr>
                <w:rFonts w:cs="Arial"/>
              </w:rPr>
            </w:pPr>
            <w:r>
              <w:rPr>
                <w:rFonts w:cs="Arial"/>
              </w:rPr>
              <w:t>l</w:t>
            </w:r>
            <w:r w:rsidR="00A175F6">
              <w:rPr>
                <w:rFonts w:cs="Arial"/>
              </w:rPr>
              <w:t>evodopa</w:t>
            </w:r>
          </w:p>
        </w:tc>
      </w:tr>
      <w:tr w:rsidR="009307D7" w:rsidRPr="009307D7" w14:paraId="3F7837D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8A86036" w14:textId="77777777" w:rsidR="009307D7" w:rsidRPr="009307D7" w:rsidRDefault="009307D7" w:rsidP="00127E3A">
            <w:r w:rsidRPr="009307D7">
              <w:t>LE</w:t>
            </w:r>
          </w:p>
        </w:tc>
        <w:tc>
          <w:tcPr>
            <w:tcW w:w="6543" w:type="dxa"/>
          </w:tcPr>
          <w:p w14:paraId="6E7FFF76" w14:textId="20220661" w:rsidR="009307D7" w:rsidRPr="009307D7" w:rsidRDefault="0064134F" w:rsidP="00127E3A">
            <w:pPr>
              <w:cnfStyle w:val="000000000000" w:firstRow="0" w:lastRow="0" w:firstColumn="0" w:lastColumn="0" w:oddVBand="0" w:evenVBand="0" w:oddHBand="0" w:evenHBand="0" w:firstRowFirstColumn="0" w:firstRowLastColumn="0" w:lastRowFirstColumn="0" w:lastRowLastColumn="0"/>
              <w:rPr>
                <w:rFonts w:cs="Arial"/>
              </w:rPr>
            </w:pPr>
            <w:r>
              <w:t>l</w:t>
            </w:r>
            <w:r w:rsidR="00A175F6">
              <w:t>evodopa</w:t>
            </w:r>
            <w:r w:rsidR="009307D7" w:rsidRPr="009307D7">
              <w:t xml:space="preserve"> equivalents</w:t>
            </w:r>
          </w:p>
        </w:tc>
      </w:tr>
      <w:tr w:rsidR="009307D7" w:rsidRPr="009307D7" w14:paraId="7C6BA8E0"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2033B8E" w14:textId="77777777" w:rsidR="009307D7" w:rsidRPr="009307D7" w:rsidRDefault="009307D7" w:rsidP="00127E3A">
            <w:r w:rsidRPr="009307D7">
              <w:t>LLN</w:t>
            </w:r>
          </w:p>
        </w:tc>
        <w:tc>
          <w:tcPr>
            <w:tcW w:w="6543" w:type="dxa"/>
          </w:tcPr>
          <w:p w14:paraId="51106125"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lower limit of normal</w:t>
            </w:r>
          </w:p>
        </w:tc>
      </w:tr>
      <w:tr w:rsidR="009307D7" w:rsidRPr="009307D7" w14:paraId="5D171527"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93A8173" w14:textId="77777777" w:rsidR="009307D7" w:rsidRPr="009307D7" w:rsidRDefault="009307D7" w:rsidP="00127E3A">
            <w:r w:rsidRPr="009307D7">
              <w:t>LLOQ</w:t>
            </w:r>
          </w:p>
        </w:tc>
        <w:tc>
          <w:tcPr>
            <w:tcW w:w="6543" w:type="dxa"/>
          </w:tcPr>
          <w:p w14:paraId="6484FE2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lower limit of quantification</w:t>
            </w:r>
          </w:p>
        </w:tc>
      </w:tr>
      <w:tr w:rsidR="009307D7" w:rsidRPr="009307D7" w14:paraId="1DFD8285"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59936417" w14:textId="77777777" w:rsidR="009307D7" w:rsidRPr="009307D7" w:rsidRDefault="009307D7" w:rsidP="00127E3A">
            <w:r w:rsidRPr="009307D7">
              <w:t>LS</w:t>
            </w:r>
          </w:p>
        </w:tc>
        <w:tc>
          <w:tcPr>
            <w:tcW w:w="6543" w:type="dxa"/>
          </w:tcPr>
          <w:p w14:paraId="0673A7E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least square</w:t>
            </w:r>
          </w:p>
        </w:tc>
      </w:tr>
      <w:tr w:rsidR="009307D7" w:rsidRPr="009307D7" w14:paraId="6424DC8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184D8DF" w14:textId="77777777" w:rsidR="009307D7" w:rsidRPr="009307D7" w:rsidRDefault="009307D7" w:rsidP="00127E3A">
            <w:r w:rsidRPr="009307D7">
              <w:t>(MDS) UPDRS</w:t>
            </w:r>
          </w:p>
        </w:tc>
        <w:tc>
          <w:tcPr>
            <w:tcW w:w="6543" w:type="dxa"/>
          </w:tcPr>
          <w:p w14:paraId="0080B17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(Movement Disorder Society) Unified Parkinson's Disease Rating Scale</w:t>
            </w:r>
          </w:p>
        </w:tc>
      </w:tr>
      <w:tr w:rsidR="009307D7" w:rsidRPr="009307D7" w14:paraId="5FE21EE0"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52CE6A8" w14:textId="77777777" w:rsidR="009307D7" w:rsidRPr="009307D7" w:rsidRDefault="009307D7" w:rsidP="00127E3A">
            <w:r w:rsidRPr="009307D7">
              <w:t>mRNA</w:t>
            </w:r>
          </w:p>
        </w:tc>
        <w:tc>
          <w:tcPr>
            <w:tcW w:w="6543" w:type="dxa"/>
          </w:tcPr>
          <w:p w14:paraId="5699A88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messenger ribonucleic acid</w:t>
            </w:r>
          </w:p>
        </w:tc>
      </w:tr>
      <w:tr w:rsidR="009307D7" w:rsidRPr="009307D7" w14:paraId="5DE54CA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0C75231" w14:textId="77777777" w:rsidR="009307D7" w:rsidRPr="009307D7" w:rsidRDefault="009307D7" w:rsidP="00127E3A">
            <w:r w:rsidRPr="009307D7">
              <w:t>msec</w:t>
            </w:r>
          </w:p>
        </w:tc>
        <w:tc>
          <w:tcPr>
            <w:tcW w:w="6543" w:type="dxa"/>
          </w:tcPr>
          <w:p w14:paraId="79A8DAF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rPr>
                <w:rFonts w:cs="Arial"/>
              </w:rPr>
              <w:t>millisecond</w:t>
            </w:r>
          </w:p>
        </w:tc>
      </w:tr>
      <w:tr w:rsidR="009307D7" w:rsidRPr="009307D7" w14:paraId="2375A1DF"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0B9E7D9" w14:textId="77777777" w:rsidR="009307D7" w:rsidRPr="009307D7" w:rsidRDefault="009307D7" w:rsidP="00127E3A">
            <w:r w:rsidRPr="009307D7">
              <w:t>NMS</w:t>
            </w:r>
          </w:p>
        </w:tc>
        <w:tc>
          <w:tcPr>
            <w:tcW w:w="6543" w:type="dxa"/>
          </w:tcPr>
          <w:p w14:paraId="3700597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neuroleptic malignant syndrome</w:t>
            </w:r>
          </w:p>
        </w:tc>
      </w:tr>
      <w:tr w:rsidR="009307D7" w:rsidRPr="009307D7" w14:paraId="47462B0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2CFA7D9" w14:textId="77777777" w:rsidR="009307D7" w:rsidRPr="009307D7" w:rsidRDefault="009307D7" w:rsidP="00127E3A">
            <w:r w:rsidRPr="009307D7">
              <w:t>OL</w:t>
            </w:r>
          </w:p>
        </w:tc>
        <w:tc>
          <w:tcPr>
            <w:tcW w:w="6543" w:type="dxa"/>
          </w:tcPr>
          <w:p w14:paraId="236726BF" w14:textId="3A97CC9B" w:rsidR="009307D7" w:rsidRPr="009307D7" w:rsidRDefault="005F6E7E"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O</w:t>
            </w:r>
            <w:r w:rsidR="009307D7" w:rsidRPr="009307D7">
              <w:rPr>
                <w:rFonts w:cs="Arial"/>
              </w:rPr>
              <w:t>pen</w:t>
            </w:r>
            <w:r>
              <w:rPr>
                <w:rFonts w:cs="Arial"/>
              </w:rPr>
              <w:t xml:space="preserve"> </w:t>
            </w:r>
            <w:r w:rsidR="009307D7" w:rsidRPr="009307D7">
              <w:rPr>
                <w:rFonts w:cs="Arial"/>
              </w:rPr>
              <w:t>label</w:t>
            </w:r>
          </w:p>
        </w:tc>
      </w:tr>
      <w:tr w:rsidR="009307D7" w:rsidRPr="009307D7" w14:paraId="36EA237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9EE7E5E" w14:textId="77777777" w:rsidR="009307D7" w:rsidRPr="009307D7" w:rsidRDefault="009307D7" w:rsidP="00127E3A">
            <w:r w:rsidRPr="009307D7">
              <w:t>3-OMD</w:t>
            </w:r>
          </w:p>
        </w:tc>
        <w:tc>
          <w:tcPr>
            <w:tcW w:w="6543" w:type="dxa"/>
          </w:tcPr>
          <w:p w14:paraId="7D72C485" w14:textId="588F08CA"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3-O-methy</w:t>
            </w:r>
            <w:r w:rsidR="00A175F6">
              <w:t>Levodopa</w:t>
            </w:r>
            <w:r w:rsidRPr="009307D7">
              <w:t>opa</w:t>
            </w:r>
          </w:p>
        </w:tc>
      </w:tr>
      <w:tr w:rsidR="009307D7" w:rsidRPr="009307D7" w14:paraId="2E36E2D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F60784E" w14:textId="77777777" w:rsidR="009307D7" w:rsidRPr="009307D7" w:rsidRDefault="009307D7" w:rsidP="00127E3A">
            <w:r w:rsidRPr="009307D7">
              <w:t>PCS</w:t>
            </w:r>
          </w:p>
        </w:tc>
        <w:tc>
          <w:tcPr>
            <w:tcW w:w="6543" w:type="dxa"/>
          </w:tcPr>
          <w:p w14:paraId="42F438E1"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potentially clinically significant</w:t>
            </w:r>
          </w:p>
        </w:tc>
      </w:tr>
      <w:tr w:rsidR="009307D7" w:rsidRPr="009307D7" w14:paraId="6FE3393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0AA8F015" w14:textId="77777777" w:rsidR="009307D7" w:rsidRPr="009307D7" w:rsidRDefault="009307D7" w:rsidP="00127E3A">
            <w:r w:rsidRPr="009307D7">
              <w:t>PD</w:t>
            </w:r>
          </w:p>
        </w:tc>
        <w:tc>
          <w:tcPr>
            <w:tcW w:w="6543" w:type="dxa"/>
          </w:tcPr>
          <w:p w14:paraId="0E0EFBE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Parkinson’s disease</w:t>
            </w:r>
          </w:p>
        </w:tc>
      </w:tr>
      <w:tr w:rsidR="009307D7" w:rsidRPr="009307D7" w14:paraId="519369B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B17D550" w14:textId="77777777" w:rsidR="009307D7" w:rsidRPr="009307D7" w:rsidRDefault="009307D7" w:rsidP="00127E3A">
            <w:r w:rsidRPr="009307D7">
              <w:t>PDQ-39</w:t>
            </w:r>
          </w:p>
        </w:tc>
        <w:tc>
          <w:tcPr>
            <w:tcW w:w="6543" w:type="dxa"/>
          </w:tcPr>
          <w:p w14:paraId="5C5F5D84"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Parkinson's Disease Questionnaire-39 items</w:t>
            </w:r>
          </w:p>
        </w:tc>
      </w:tr>
      <w:tr w:rsidR="009307D7" w:rsidRPr="009307D7" w14:paraId="74A186B9"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F4C813B" w14:textId="77777777" w:rsidR="009307D7" w:rsidRPr="009307D7" w:rsidRDefault="009307D7" w:rsidP="00127E3A">
            <w:r w:rsidRPr="009307D7">
              <w:t>PDSS-2</w:t>
            </w:r>
          </w:p>
        </w:tc>
        <w:tc>
          <w:tcPr>
            <w:tcW w:w="6543" w:type="dxa"/>
          </w:tcPr>
          <w:p w14:paraId="55067AC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Parkinson's Disease Sleep Scale-2</w:t>
            </w:r>
          </w:p>
        </w:tc>
      </w:tr>
      <w:tr w:rsidR="009307D7" w:rsidRPr="009307D7" w14:paraId="6E54C3D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3BA6442" w14:textId="77777777" w:rsidR="009307D7" w:rsidRPr="009307D7" w:rsidRDefault="009307D7" w:rsidP="00127E3A">
            <w:r w:rsidRPr="009307D7">
              <w:t>PEG</w:t>
            </w:r>
          </w:p>
        </w:tc>
        <w:tc>
          <w:tcPr>
            <w:tcW w:w="6543" w:type="dxa"/>
          </w:tcPr>
          <w:p w14:paraId="50A53E5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percutaneous endoscopic gastrostomy</w:t>
            </w:r>
          </w:p>
        </w:tc>
      </w:tr>
      <w:tr w:rsidR="009307D7" w:rsidRPr="009307D7" w14:paraId="0062FAB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4EA69E5" w14:textId="77777777" w:rsidR="009307D7" w:rsidRPr="009307D7" w:rsidRDefault="009307D7" w:rsidP="00127E3A">
            <w:r w:rsidRPr="009307D7">
              <w:t>P-gp</w:t>
            </w:r>
          </w:p>
        </w:tc>
        <w:tc>
          <w:tcPr>
            <w:tcW w:w="6543" w:type="dxa"/>
          </w:tcPr>
          <w:p w14:paraId="6FED5F0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P-glycoprotein</w:t>
            </w:r>
          </w:p>
        </w:tc>
      </w:tr>
      <w:tr w:rsidR="009307D7" w:rsidRPr="009307D7" w14:paraId="4B7B0132"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039056F" w14:textId="77777777" w:rsidR="009307D7" w:rsidRPr="009307D7" w:rsidRDefault="009307D7" w:rsidP="00127E3A">
            <w:r w:rsidRPr="009307D7">
              <w:t>PI</w:t>
            </w:r>
          </w:p>
        </w:tc>
        <w:tc>
          <w:tcPr>
            <w:tcW w:w="6543" w:type="dxa"/>
          </w:tcPr>
          <w:p w14:paraId="5692740D"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Product Information</w:t>
            </w:r>
          </w:p>
        </w:tc>
      </w:tr>
      <w:tr w:rsidR="009307D7" w:rsidRPr="009307D7" w14:paraId="3E61FB6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8E9B946" w14:textId="77777777" w:rsidR="009307D7" w:rsidRPr="009307D7" w:rsidRDefault="009307D7" w:rsidP="00127E3A">
            <w:r w:rsidRPr="009307D7">
              <w:t>PK</w:t>
            </w:r>
          </w:p>
        </w:tc>
        <w:tc>
          <w:tcPr>
            <w:tcW w:w="6543" w:type="dxa"/>
          </w:tcPr>
          <w:p w14:paraId="497591A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Pharmacokinetic(s)</w:t>
            </w:r>
          </w:p>
        </w:tc>
      </w:tr>
      <w:tr w:rsidR="009307D7" w:rsidRPr="009307D7" w14:paraId="6518289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FF7682D" w14:textId="77777777" w:rsidR="009307D7" w:rsidRPr="009307D7" w:rsidRDefault="009307D7" w:rsidP="00127E3A">
            <w:r w:rsidRPr="009307D7">
              <w:t>PP</w:t>
            </w:r>
          </w:p>
        </w:tc>
        <w:tc>
          <w:tcPr>
            <w:tcW w:w="6543" w:type="dxa"/>
          </w:tcPr>
          <w:p w14:paraId="61646F8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per protocol</w:t>
            </w:r>
          </w:p>
        </w:tc>
      </w:tr>
      <w:tr w:rsidR="009307D7" w:rsidRPr="009307D7" w14:paraId="72C69C9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ADA4E25" w14:textId="77777777" w:rsidR="009307D7" w:rsidRPr="009307D7" w:rsidRDefault="009307D7" w:rsidP="00127E3A">
            <w:r w:rsidRPr="009307D7">
              <w:t>PT</w:t>
            </w:r>
          </w:p>
        </w:tc>
        <w:tc>
          <w:tcPr>
            <w:tcW w:w="6543" w:type="dxa"/>
          </w:tcPr>
          <w:p w14:paraId="53F4D61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Preferred Term</w:t>
            </w:r>
          </w:p>
        </w:tc>
      </w:tr>
      <w:tr w:rsidR="009307D7" w:rsidRPr="009307D7" w14:paraId="37B4AAC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872B522" w14:textId="77777777" w:rsidR="009307D7" w:rsidRPr="009307D7" w:rsidRDefault="009307D7" w:rsidP="00127E3A">
            <w:r w:rsidRPr="009307D7">
              <w:t>QoL</w:t>
            </w:r>
          </w:p>
        </w:tc>
        <w:tc>
          <w:tcPr>
            <w:tcW w:w="6543" w:type="dxa"/>
          </w:tcPr>
          <w:p w14:paraId="739BB67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quality of life</w:t>
            </w:r>
          </w:p>
        </w:tc>
      </w:tr>
      <w:tr w:rsidR="009307D7" w:rsidRPr="009307D7" w14:paraId="3E5C28B8"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9089EB0" w14:textId="77777777" w:rsidR="009307D7" w:rsidRPr="009307D7" w:rsidRDefault="009307D7" w:rsidP="00127E3A">
            <w:r w:rsidRPr="009307D7">
              <w:t>QTcF</w:t>
            </w:r>
          </w:p>
        </w:tc>
        <w:tc>
          <w:tcPr>
            <w:tcW w:w="6543" w:type="dxa"/>
          </w:tcPr>
          <w:p w14:paraId="4ABC8C3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QT interval corrected relative to heart rate using Fridericia’s formula</w:t>
            </w:r>
          </w:p>
        </w:tc>
      </w:tr>
      <w:tr w:rsidR="009307D7" w:rsidRPr="009307D7" w14:paraId="4B003DEE"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092F5A7" w14:textId="77777777" w:rsidR="009307D7" w:rsidRPr="009307D7" w:rsidRDefault="009307D7" w:rsidP="00127E3A">
            <w:r w:rsidRPr="009307D7">
              <w:t>QUIP-RS</w:t>
            </w:r>
          </w:p>
        </w:tc>
        <w:tc>
          <w:tcPr>
            <w:tcW w:w="6543" w:type="dxa"/>
          </w:tcPr>
          <w:p w14:paraId="50E70D9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Questionnaire for Impulsive-Compulsive Disorders in Parkinson's Disease</w:t>
            </w:r>
          </w:p>
        </w:tc>
      </w:tr>
      <w:tr w:rsidR="009307D7" w:rsidRPr="009307D7" w14:paraId="6F88B500"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354AD86" w14:textId="77777777" w:rsidR="009307D7" w:rsidRPr="009307D7" w:rsidRDefault="009307D7" w:rsidP="00127E3A">
            <w:r w:rsidRPr="009307D7">
              <w:t>Rd</w:t>
            </w:r>
          </w:p>
        </w:tc>
        <w:tc>
          <w:tcPr>
            <w:tcW w:w="6543" w:type="dxa"/>
          </w:tcPr>
          <w:p w14:paraId="4291D442"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Round</w:t>
            </w:r>
          </w:p>
        </w:tc>
      </w:tr>
      <w:tr w:rsidR="009307D7" w:rsidRPr="009307D7" w14:paraId="329099E2"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A94B6B6" w14:textId="77777777" w:rsidR="009307D7" w:rsidRPr="009307D7" w:rsidRDefault="009307D7" w:rsidP="00127E3A">
            <w:r w:rsidRPr="009307D7">
              <w:t>RMP</w:t>
            </w:r>
          </w:p>
        </w:tc>
        <w:tc>
          <w:tcPr>
            <w:tcW w:w="6543" w:type="dxa"/>
          </w:tcPr>
          <w:p w14:paraId="66324BBE"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Risk Management Plan</w:t>
            </w:r>
          </w:p>
        </w:tc>
      </w:tr>
      <w:tr w:rsidR="009307D7" w:rsidRPr="009307D7" w14:paraId="3B01429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06C2F1E" w14:textId="77777777" w:rsidR="009307D7" w:rsidRPr="009307D7" w:rsidRDefault="009307D7" w:rsidP="00127E3A">
            <w:r w:rsidRPr="009307D7">
              <w:t>SAE</w:t>
            </w:r>
          </w:p>
        </w:tc>
        <w:tc>
          <w:tcPr>
            <w:tcW w:w="6543" w:type="dxa"/>
          </w:tcPr>
          <w:p w14:paraId="01587EB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serious adverse event</w:t>
            </w:r>
          </w:p>
        </w:tc>
      </w:tr>
      <w:tr w:rsidR="009307D7" w:rsidRPr="009307D7" w14:paraId="69A9F391"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A65539C" w14:textId="77777777" w:rsidR="009307D7" w:rsidRPr="009307D7" w:rsidRDefault="009307D7" w:rsidP="00127E3A">
            <w:r w:rsidRPr="009307D7">
              <w:t>SAS</w:t>
            </w:r>
          </w:p>
        </w:tc>
        <w:tc>
          <w:tcPr>
            <w:tcW w:w="6543" w:type="dxa"/>
          </w:tcPr>
          <w:p w14:paraId="5C454D0E"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Safety Analysis Set</w:t>
            </w:r>
          </w:p>
        </w:tc>
      </w:tr>
      <w:tr w:rsidR="009307D7" w:rsidRPr="009307D7" w14:paraId="078EF3E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37F1E794" w14:textId="77777777" w:rsidR="009307D7" w:rsidRPr="009307D7" w:rsidRDefault="009307D7" w:rsidP="00127E3A">
            <w:r w:rsidRPr="009307D7">
              <w:t>SBP</w:t>
            </w:r>
          </w:p>
        </w:tc>
        <w:tc>
          <w:tcPr>
            <w:tcW w:w="6543" w:type="dxa"/>
          </w:tcPr>
          <w:p w14:paraId="564DF3CD"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systolic blood pressure</w:t>
            </w:r>
          </w:p>
        </w:tc>
      </w:tr>
      <w:tr w:rsidR="009307D7" w:rsidRPr="009307D7" w14:paraId="05813226"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23015D4" w14:textId="77777777" w:rsidR="009307D7" w:rsidRPr="009307D7" w:rsidRDefault="009307D7" w:rsidP="00127E3A">
            <w:r w:rsidRPr="009307D7">
              <w:t>SC</w:t>
            </w:r>
          </w:p>
        </w:tc>
        <w:tc>
          <w:tcPr>
            <w:tcW w:w="6543" w:type="dxa"/>
          </w:tcPr>
          <w:p w14:paraId="59C213DF"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subcutaneous or subcutaneously</w:t>
            </w:r>
          </w:p>
        </w:tc>
      </w:tr>
      <w:tr w:rsidR="009307D7" w:rsidRPr="009307D7" w14:paraId="4DADB7E4"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86D9101" w14:textId="77777777" w:rsidR="009307D7" w:rsidRPr="009307D7" w:rsidRDefault="009307D7" w:rsidP="00127E3A">
            <w:r w:rsidRPr="009307D7">
              <w:t>SCE</w:t>
            </w:r>
          </w:p>
        </w:tc>
        <w:tc>
          <w:tcPr>
            <w:tcW w:w="6543" w:type="dxa"/>
          </w:tcPr>
          <w:p w14:paraId="2E60ABD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summary of clinical efficacy</w:t>
            </w:r>
          </w:p>
        </w:tc>
      </w:tr>
      <w:tr w:rsidR="009307D7" w:rsidRPr="009307D7" w14:paraId="0C227D8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C747CAC" w14:textId="77777777" w:rsidR="009307D7" w:rsidRPr="009307D7" w:rsidRDefault="009307D7" w:rsidP="00127E3A">
            <w:r w:rsidRPr="009307D7">
              <w:t>SCS</w:t>
            </w:r>
          </w:p>
        </w:tc>
        <w:tc>
          <w:tcPr>
            <w:tcW w:w="6543" w:type="dxa"/>
          </w:tcPr>
          <w:p w14:paraId="3BDF99F7"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summary of clinical safety</w:t>
            </w:r>
          </w:p>
        </w:tc>
      </w:tr>
      <w:tr w:rsidR="009307D7" w:rsidRPr="009307D7" w14:paraId="2437460F"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235C9D5" w14:textId="77777777" w:rsidR="009307D7" w:rsidRPr="009307D7" w:rsidRDefault="009307D7" w:rsidP="00127E3A">
            <w:r w:rsidRPr="009307D7">
              <w:t>SD</w:t>
            </w:r>
          </w:p>
        </w:tc>
        <w:tc>
          <w:tcPr>
            <w:tcW w:w="6543" w:type="dxa"/>
          </w:tcPr>
          <w:p w14:paraId="048CAF8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standard deviation</w:t>
            </w:r>
          </w:p>
        </w:tc>
      </w:tr>
      <w:tr w:rsidR="009307D7" w:rsidRPr="009307D7" w14:paraId="67F66F0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78769C3" w14:textId="77777777" w:rsidR="009307D7" w:rsidRPr="009307D7" w:rsidRDefault="009307D7" w:rsidP="00127E3A">
            <w:r w:rsidRPr="009307D7">
              <w:t>SOC</w:t>
            </w:r>
          </w:p>
        </w:tc>
        <w:tc>
          <w:tcPr>
            <w:tcW w:w="6543" w:type="dxa"/>
          </w:tcPr>
          <w:p w14:paraId="20F16683"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system organ class</w:t>
            </w:r>
          </w:p>
        </w:tc>
      </w:tr>
      <w:tr w:rsidR="009307D7" w:rsidRPr="009307D7" w14:paraId="5E179373"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740F4027" w14:textId="77777777" w:rsidR="009307D7" w:rsidRPr="009307D7" w:rsidRDefault="009307D7" w:rsidP="00127E3A">
            <w:r w:rsidRPr="009307D7">
              <w:t>t</w:t>
            </w:r>
            <w:r w:rsidRPr="009307D7">
              <w:rPr>
                <w:vertAlign w:val="subscript"/>
              </w:rPr>
              <w:t>1/2</w:t>
            </w:r>
          </w:p>
        </w:tc>
        <w:tc>
          <w:tcPr>
            <w:tcW w:w="6543" w:type="dxa"/>
          </w:tcPr>
          <w:p w14:paraId="081D10BB"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elimination half-life</w:t>
            </w:r>
          </w:p>
        </w:tc>
      </w:tr>
      <w:tr w:rsidR="009307D7" w:rsidRPr="009307D7" w14:paraId="7779EDD2"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4980817D" w14:textId="77777777" w:rsidR="009307D7" w:rsidRPr="009307D7" w:rsidRDefault="009307D7" w:rsidP="00127E3A">
            <w:r w:rsidRPr="009307D7">
              <w:t>TEAE</w:t>
            </w:r>
          </w:p>
        </w:tc>
        <w:tc>
          <w:tcPr>
            <w:tcW w:w="6543" w:type="dxa"/>
          </w:tcPr>
          <w:p w14:paraId="61F462AA"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treatment-emergent AE</w:t>
            </w:r>
          </w:p>
        </w:tc>
      </w:tr>
      <w:tr w:rsidR="009307D7" w:rsidRPr="009307D7" w14:paraId="78313810"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BA577DE" w14:textId="77777777" w:rsidR="009307D7" w:rsidRPr="009307D7" w:rsidRDefault="009307D7" w:rsidP="00127E3A">
            <w:r w:rsidRPr="009307D7">
              <w:t>TGA</w:t>
            </w:r>
          </w:p>
        </w:tc>
        <w:tc>
          <w:tcPr>
            <w:tcW w:w="6543" w:type="dxa"/>
          </w:tcPr>
          <w:p w14:paraId="35F44CC0"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t>Therapeutic Goods Administration</w:t>
            </w:r>
          </w:p>
        </w:tc>
      </w:tr>
      <w:tr w:rsidR="009307D7" w:rsidRPr="009307D7" w14:paraId="3C2683E4"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340C79C" w14:textId="77777777" w:rsidR="009307D7" w:rsidRPr="009307D7" w:rsidRDefault="009307D7" w:rsidP="00127E3A">
            <w:r w:rsidRPr="009307D7">
              <w:t>t</w:t>
            </w:r>
            <w:r w:rsidRPr="009307D7">
              <w:rPr>
                <w:vertAlign w:val="subscript"/>
              </w:rPr>
              <w:t>max</w:t>
            </w:r>
          </w:p>
        </w:tc>
        <w:tc>
          <w:tcPr>
            <w:tcW w:w="6543" w:type="dxa"/>
          </w:tcPr>
          <w:p w14:paraId="373660A6"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rPr>
                <w:rFonts w:cs="Arial"/>
              </w:rPr>
            </w:pPr>
            <w:r w:rsidRPr="009307D7">
              <w:rPr>
                <w:rFonts w:cs="Arial"/>
              </w:rPr>
              <w:t>time to reach maximum observed concentration</w:t>
            </w:r>
          </w:p>
        </w:tc>
      </w:tr>
      <w:tr w:rsidR="009307D7" w:rsidRPr="009307D7" w14:paraId="20511A1A"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C9E9586" w14:textId="77777777" w:rsidR="009307D7" w:rsidRPr="009307D7" w:rsidRDefault="009307D7" w:rsidP="00127E3A">
            <w:r w:rsidRPr="009307D7">
              <w:t>ULN</w:t>
            </w:r>
          </w:p>
        </w:tc>
        <w:tc>
          <w:tcPr>
            <w:tcW w:w="6543" w:type="dxa"/>
          </w:tcPr>
          <w:p w14:paraId="5ADB0B65"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upper limit of normal</w:t>
            </w:r>
          </w:p>
        </w:tc>
      </w:tr>
      <w:tr w:rsidR="009307D7" w:rsidRPr="009307D7" w14:paraId="2EFC37FD"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62632D50" w14:textId="77777777" w:rsidR="009307D7" w:rsidRPr="009307D7" w:rsidRDefault="009307D7" w:rsidP="00127E3A">
            <w:r w:rsidRPr="009307D7">
              <w:t>USA</w:t>
            </w:r>
          </w:p>
        </w:tc>
        <w:tc>
          <w:tcPr>
            <w:tcW w:w="6543" w:type="dxa"/>
          </w:tcPr>
          <w:p w14:paraId="11CE360C"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United States of America</w:t>
            </w:r>
          </w:p>
        </w:tc>
      </w:tr>
      <w:tr w:rsidR="009307D7" w:rsidRPr="009307D7" w14:paraId="56D4578B"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1CFC9F48" w14:textId="77777777" w:rsidR="009307D7" w:rsidRPr="009307D7" w:rsidRDefault="009307D7" w:rsidP="00127E3A">
            <w:r w:rsidRPr="009307D7">
              <w:t>UTI</w:t>
            </w:r>
          </w:p>
        </w:tc>
        <w:tc>
          <w:tcPr>
            <w:tcW w:w="6543" w:type="dxa"/>
          </w:tcPr>
          <w:p w14:paraId="227753BE"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urinary tract infection</w:t>
            </w:r>
          </w:p>
        </w:tc>
      </w:tr>
      <w:tr w:rsidR="009307D7" w:rsidRPr="009307D7" w14:paraId="6E27C80C" w14:textId="77777777" w:rsidTr="00127E3A">
        <w:tc>
          <w:tcPr>
            <w:cnfStyle w:val="001000000000" w:firstRow="0" w:lastRow="0" w:firstColumn="1" w:lastColumn="0" w:oddVBand="0" w:evenVBand="0" w:oddHBand="0" w:evenHBand="0" w:firstRowFirstColumn="0" w:firstRowLastColumn="0" w:lastRowFirstColumn="0" w:lastRowLastColumn="0"/>
            <w:tcW w:w="2258" w:type="dxa"/>
          </w:tcPr>
          <w:p w14:paraId="2B2F6031" w14:textId="77777777" w:rsidR="009307D7" w:rsidRPr="009307D7" w:rsidRDefault="009307D7" w:rsidP="00127E3A">
            <w:r w:rsidRPr="009307D7">
              <w:t>VAS</w:t>
            </w:r>
          </w:p>
        </w:tc>
        <w:tc>
          <w:tcPr>
            <w:tcW w:w="6543" w:type="dxa"/>
          </w:tcPr>
          <w:p w14:paraId="5389F278" w14:textId="77777777" w:rsidR="009307D7" w:rsidRPr="009307D7" w:rsidRDefault="009307D7" w:rsidP="00127E3A">
            <w:pPr>
              <w:cnfStyle w:val="000000000000" w:firstRow="0" w:lastRow="0" w:firstColumn="0" w:lastColumn="0" w:oddVBand="0" w:evenVBand="0" w:oddHBand="0" w:evenHBand="0" w:firstRowFirstColumn="0" w:firstRowLastColumn="0" w:lastRowFirstColumn="0" w:lastRowLastColumn="0"/>
            </w:pPr>
            <w:r w:rsidRPr="009307D7">
              <w:t>visual analogue scale</w:t>
            </w:r>
          </w:p>
        </w:tc>
      </w:tr>
    </w:tbl>
    <w:p w14:paraId="44C2A39C" w14:textId="6363836E" w:rsidR="00324B33" w:rsidRDefault="00324B33" w:rsidP="00127E3A">
      <w:pPr>
        <w:pStyle w:val="Heading2"/>
      </w:pPr>
      <w:bookmarkStart w:id="7" w:name="_Toc103679288"/>
      <w:bookmarkStart w:id="8" w:name="_Toc182486535"/>
      <w:r>
        <w:t xml:space="preserve">Product </w:t>
      </w:r>
      <w:r w:rsidRPr="00127E3A">
        <w:t>submission</w:t>
      </w:r>
      <w:bookmarkEnd w:id="7"/>
      <w:bookmarkEnd w:id="8"/>
    </w:p>
    <w:p w14:paraId="21D559DF" w14:textId="77777777" w:rsidR="00324B33" w:rsidRDefault="00324B33" w:rsidP="00127E3A">
      <w:pPr>
        <w:pStyle w:val="Heading3"/>
        <w:rPr>
          <w:lang w:eastAsia="en-AU"/>
        </w:rPr>
      </w:pPr>
      <w:bookmarkStart w:id="9" w:name="_Toc247691502"/>
      <w:bookmarkStart w:id="10" w:name="_Toc314842483"/>
      <w:bookmarkStart w:id="11" w:name="_Toc103679289"/>
      <w:bookmarkStart w:id="12" w:name="_Toc182486536"/>
      <w:r>
        <w:rPr>
          <w:lang w:eastAsia="en-AU"/>
        </w:rPr>
        <w:t xml:space="preserve">Submission </w:t>
      </w:r>
      <w:r w:rsidRPr="00127E3A">
        <w:t>details</w:t>
      </w:r>
      <w:bookmarkEnd w:id="9"/>
      <w:bookmarkEnd w:id="10"/>
      <w:bookmarkEnd w:id="11"/>
      <w:bookmarkEnd w:id="12"/>
    </w:p>
    <w:tbl>
      <w:tblPr>
        <w:tblW w:w="5001" w:type="pct"/>
        <w:tblInd w:w="8" w:type="dxa"/>
        <w:tblLook w:val="01E0" w:firstRow="1" w:lastRow="1" w:firstColumn="1" w:lastColumn="1" w:noHBand="0" w:noVBand="0"/>
      </w:tblPr>
      <w:tblGrid>
        <w:gridCol w:w="2863"/>
        <w:gridCol w:w="6209"/>
      </w:tblGrid>
      <w:tr w:rsidR="00324B33" w:rsidRPr="00BD5DBD" w14:paraId="77D11C95" w14:textId="77777777" w:rsidTr="004D371B">
        <w:tc>
          <w:tcPr>
            <w:tcW w:w="1578" w:type="pct"/>
          </w:tcPr>
          <w:p w14:paraId="10E57D62" w14:textId="65BA049C" w:rsidR="00324B33" w:rsidRPr="00BD5DBD" w:rsidRDefault="00324B33" w:rsidP="007452E8">
            <w:pPr>
              <w:rPr>
                <w:i/>
                <w:szCs w:val="22"/>
              </w:rPr>
            </w:pPr>
            <w:r w:rsidRPr="00BD5DBD">
              <w:rPr>
                <w:i/>
                <w:szCs w:val="22"/>
              </w:rPr>
              <w:t>Type of submission:</w:t>
            </w:r>
          </w:p>
        </w:tc>
        <w:tc>
          <w:tcPr>
            <w:tcW w:w="3422" w:type="pct"/>
          </w:tcPr>
          <w:p w14:paraId="4F07C303" w14:textId="7B87427C" w:rsidR="00324B33" w:rsidRPr="00BD5DBD" w:rsidRDefault="00F63CF5" w:rsidP="00192ED8">
            <w:r w:rsidRPr="00DF1D40">
              <w:t>N</w:t>
            </w:r>
            <w:r w:rsidR="003C7C6D" w:rsidRPr="00DF1D40">
              <w:t xml:space="preserve">ew fixed dose combination medicine </w:t>
            </w:r>
            <w:proofErr w:type="spellStart"/>
            <w:r w:rsidR="003C7C6D" w:rsidRPr="00DF1D40">
              <w:t>Vyalev</w:t>
            </w:r>
            <w:proofErr w:type="spellEnd"/>
            <w:r w:rsidR="003C7C6D" w:rsidRPr="00DF1D40">
              <w:t>, containing</w:t>
            </w:r>
            <w:r w:rsidR="005645C5">
              <w:br/>
            </w:r>
            <w:r w:rsidRPr="42BF5DC3">
              <w:t xml:space="preserve">2 </w:t>
            </w:r>
            <w:hyperlink r:id="rId16" w:history="1">
              <w:r w:rsidRPr="42BF5DC3">
                <w:rPr>
                  <w:rStyle w:val="Hyperlink"/>
                  <w:szCs w:val="22"/>
                </w:rPr>
                <w:t>new chemical entities</w:t>
              </w:r>
            </w:hyperlink>
            <w:r w:rsidRPr="42BF5DC3">
              <w:rPr>
                <w:sz w:val="21"/>
                <w:szCs w:val="21"/>
              </w:rPr>
              <w:t xml:space="preserve"> (</w:t>
            </w:r>
            <w:proofErr w:type="spellStart"/>
            <w:r w:rsidR="00A175F6">
              <w:rPr>
                <w:shd w:val="clear" w:color="auto" w:fill="FFFFFF"/>
              </w:rPr>
              <w:t>foslevodopa</w:t>
            </w:r>
            <w:proofErr w:type="spellEnd"/>
            <w:r w:rsidR="0046631F" w:rsidRPr="005F7B49">
              <w:rPr>
                <w:shd w:val="clear" w:color="auto" w:fill="FFFFFF"/>
              </w:rPr>
              <w:t xml:space="preserve"> </w:t>
            </w:r>
            <w:r w:rsidR="0046631F">
              <w:rPr>
                <w:shd w:val="clear" w:color="auto" w:fill="FFFFFF"/>
              </w:rPr>
              <w:t xml:space="preserve">and </w:t>
            </w:r>
            <w:proofErr w:type="spellStart"/>
            <w:r w:rsidR="005F7B49" w:rsidRPr="005F7B49">
              <w:rPr>
                <w:shd w:val="clear" w:color="auto" w:fill="FFFFFF"/>
              </w:rPr>
              <w:t>foscarbidopa</w:t>
            </w:r>
            <w:proofErr w:type="spellEnd"/>
            <w:r w:rsidRPr="42BF5DC3">
              <w:t>)</w:t>
            </w:r>
            <w:r w:rsidR="005F7B49" w:rsidRPr="005F7B49">
              <w:rPr>
                <w:shd w:val="clear" w:color="auto" w:fill="FFFFFF"/>
              </w:rPr>
              <w:t xml:space="preserve"> </w:t>
            </w:r>
          </w:p>
        </w:tc>
      </w:tr>
      <w:tr w:rsidR="00324B33" w:rsidRPr="00BD5DBD" w14:paraId="13482B61" w14:textId="77777777" w:rsidTr="004D371B">
        <w:tc>
          <w:tcPr>
            <w:tcW w:w="1578" w:type="pct"/>
          </w:tcPr>
          <w:p w14:paraId="2C427FCF" w14:textId="58C9D13D" w:rsidR="00324B33" w:rsidRPr="00BD5DBD" w:rsidRDefault="00324B33" w:rsidP="007452E8">
            <w:pPr>
              <w:rPr>
                <w:i/>
                <w:szCs w:val="22"/>
              </w:rPr>
            </w:pPr>
            <w:r w:rsidRPr="00BD5DBD">
              <w:rPr>
                <w:i/>
                <w:szCs w:val="22"/>
              </w:rPr>
              <w:t>Product name:</w:t>
            </w:r>
          </w:p>
        </w:tc>
        <w:tc>
          <w:tcPr>
            <w:tcW w:w="3422" w:type="pct"/>
          </w:tcPr>
          <w:p w14:paraId="0E2DEF76" w14:textId="16769A0B" w:rsidR="00324B33" w:rsidRPr="00BD5DBD" w:rsidRDefault="00245795" w:rsidP="007452E8">
            <w:pPr>
              <w:rPr>
                <w:szCs w:val="22"/>
              </w:rPr>
            </w:pPr>
            <w:r>
              <w:rPr>
                <w:szCs w:val="22"/>
              </w:rPr>
              <w:t xml:space="preserve">Vyalev </w:t>
            </w:r>
          </w:p>
        </w:tc>
      </w:tr>
      <w:tr w:rsidR="00324B33" w:rsidRPr="00BD5DBD" w14:paraId="01255B5B" w14:textId="77777777" w:rsidTr="004D371B">
        <w:tc>
          <w:tcPr>
            <w:tcW w:w="1578" w:type="pct"/>
          </w:tcPr>
          <w:p w14:paraId="52B4F3D7" w14:textId="54CF2A9B" w:rsidR="00324B33" w:rsidRPr="00BD5DBD" w:rsidRDefault="00324B33" w:rsidP="007452E8">
            <w:pPr>
              <w:rPr>
                <w:i/>
                <w:szCs w:val="22"/>
              </w:rPr>
            </w:pPr>
            <w:r w:rsidRPr="00BD5DBD">
              <w:rPr>
                <w:i/>
                <w:szCs w:val="22"/>
              </w:rPr>
              <w:t>Active ingredients:</w:t>
            </w:r>
          </w:p>
        </w:tc>
        <w:tc>
          <w:tcPr>
            <w:tcW w:w="3422" w:type="pct"/>
          </w:tcPr>
          <w:p w14:paraId="02FB6383" w14:textId="3738F8EE" w:rsidR="00324B33" w:rsidRPr="00BD5DBD" w:rsidRDefault="006263BA" w:rsidP="006263BA">
            <w:pPr>
              <w:rPr>
                <w:szCs w:val="22"/>
              </w:rPr>
            </w:pPr>
            <w:r>
              <w:rPr>
                <w:shd w:val="clear" w:color="auto" w:fill="FFFFFF"/>
              </w:rPr>
              <w:t xml:space="preserve">foscarbidopa, </w:t>
            </w:r>
            <w:r w:rsidR="00A175F6">
              <w:rPr>
                <w:shd w:val="clear" w:color="auto" w:fill="FFFFFF"/>
              </w:rPr>
              <w:t>foslevodopa</w:t>
            </w:r>
          </w:p>
        </w:tc>
      </w:tr>
      <w:tr w:rsidR="00324B33" w:rsidRPr="00BD5DBD" w14:paraId="219A281B" w14:textId="77777777" w:rsidTr="004D371B">
        <w:tc>
          <w:tcPr>
            <w:tcW w:w="1578" w:type="pct"/>
          </w:tcPr>
          <w:p w14:paraId="112E5F78" w14:textId="77777777" w:rsidR="00324B33" w:rsidRPr="00BD5DBD" w:rsidRDefault="00324B33" w:rsidP="007452E8">
            <w:pPr>
              <w:rPr>
                <w:i/>
                <w:szCs w:val="22"/>
              </w:rPr>
            </w:pPr>
            <w:r w:rsidRPr="00BD5DBD">
              <w:rPr>
                <w:i/>
                <w:szCs w:val="22"/>
              </w:rPr>
              <w:t>Decision:</w:t>
            </w:r>
          </w:p>
        </w:tc>
        <w:tc>
          <w:tcPr>
            <w:tcW w:w="3422" w:type="pct"/>
          </w:tcPr>
          <w:p w14:paraId="3B114BEA" w14:textId="21BA6079" w:rsidR="00324B33" w:rsidRPr="00BD5DBD" w:rsidRDefault="00324B33" w:rsidP="007452E8">
            <w:pPr>
              <w:rPr>
                <w:szCs w:val="22"/>
              </w:rPr>
            </w:pPr>
            <w:r w:rsidRPr="00BD5DBD">
              <w:rPr>
                <w:szCs w:val="22"/>
              </w:rPr>
              <w:t xml:space="preserve">Approved </w:t>
            </w:r>
          </w:p>
        </w:tc>
      </w:tr>
      <w:tr w:rsidR="00AE1947" w:rsidRPr="00BD5DBD" w14:paraId="32B72632" w14:textId="77777777" w:rsidTr="004D371B">
        <w:tc>
          <w:tcPr>
            <w:tcW w:w="1578" w:type="pct"/>
          </w:tcPr>
          <w:p w14:paraId="332A5CD5" w14:textId="65682B5F" w:rsidR="00AE1947" w:rsidRPr="00BD5DBD" w:rsidRDefault="00AE1947" w:rsidP="007F1E37">
            <w:r w:rsidRPr="00BD5DBD">
              <w:rPr>
                <w:i/>
                <w:szCs w:val="22"/>
              </w:rPr>
              <w:t>Date of decision:</w:t>
            </w:r>
          </w:p>
        </w:tc>
        <w:tc>
          <w:tcPr>
            <w:tcW w:w="3422" w:type="pct"/>
          </w:tcPr>
          <w:p w14:paraId="7B381CD6" w14:textId="0F63DDD8" w:rsidR="00AE1947" w:rsidRPr="00BD5DBD" w:rsidRDefault="00A355EC">
            <w:pPr>
              <w:rPr>
                <w:szCs w:val="22"/>
              </w:rPr>
            </w:pPr>
            <w:r w:rsidRPr="00423524">
              <w:rPr>
                <w:szCs w:val="22"/>
              </w:rPr>
              <w:t xml:space="preserve">1 March </w:t>
            </w:r>
            <w:r w:rsidRPr="009510EC">
              <w:rPr>
                <w:szCs w:val="22"/>
              </w:rPr>
              <w:t>2024</w:t>
            </w:r>
          </w:p>
        </w:tc>
      </w:tr>
      <w:tr w:rsidR="00324B33" w:rsidRPr="00BD5DBD" w14:paraId="60A25F5A" w14:textId="77777777" w:rsidTr="004D371B">
        <w:tc>
          <w:tcPr>
            <w:tcW w:w="1578" w:type="pct"/>
          </w:tcPr>
          <w:p w14:paraId="5C5E4CBA" w14:textId="2C045C20" w:rsidR="00324B33" w:rsidRPr="00BD5DBD" w:rsidRDefault="00324B33" w:rsidP="007452E8">
            <w:pPr>
              <w:rPr>
                <w:i/>
                <w:szCs w:val="22"/>
              </w:rPr>
            </w:pPr>
            <w:r w:rsidRPr="00BD5DBD">
              <w:rPr>
                <w:i/>
                <w:szCs w:val="22"/>
              </w:rPr>
              <w:t xml:space="preserve">Date of entry </w:t>
            </w:r>
            <w:r w:rsidR="00E02C1F">
              <w:rPr>
                <w:i/>
                <w:szCs w:val="22"/>
              </w:rPr>
              <w:t>i</w:t>
            </w:r>
            <w:r w:rsidRPr="00BD5DBD">
              <w:rPr>
                <w:i/>
                <w:szCs w:val="22"/>
              </w:rPr>
              <w:t>nto ARTG:</w:t>
            </w:r>
          </w:p>
        </w:tc>
        <w:tc>
          <w:tcPr>
            <w:tcW w:w="3422" w:type="pct"/>
          </w:tcPr>
          <w:p w14:paraId="28B270E9" w14:textId="613E55F2" w:rsidR="00324B33" w:rsidRPr="00BD5DBD" w:rsidRDefault="00E91928" w:rsidP="007452E8">
            <w:pPr>
              <w:rPr>
                <w:szCs w:val="22"/>
              </w:rPr>
            </w:pPr>
            <w:r>
              <w:rPr>
                <w:szCs w:val="22"/>
              </w:rPr>
              <w:t>27 March 2024</w:t>
            </w:r>
          </w:p>
        </w:tc>
      </w:tr>
      <w:tr w:rsidR="00324B33" w:rsidRPr="00BD5DBD" w14:paraId="547E08D7" w14:textId="77777777" w:rsidTr="004D371B">
        <w:tc>
          <w:tcPr>
            <w:tcW w:w="1578" w:type="pct"/>
          </w:tcPr>
          <w:p w14:paraId="5030EF30" w14:textId="21AF6DDF" w:rsidR="00324B33" w:rsidRPr="00BD5DBD" w:rsidRDefault="00324B33" w:rsidP="007452E8">
            <w:pPr>
              <w:rPr>
                <w:i/>
                <w:szCs w:val="22"/>
              </w:rPr>
            </w:pPr>
            <w:r w:rsidRPr="00BD5DBD">
              <w:rPr>
                <w:i/>
                <w:szCs w:val="22"/>
              </w:rPr>
              <w:t>ARTG number:</w:t>
            </w:r>
          </w:p>
        </w:tc>
        <w:tc>
          <w:tcPr>
            <w:tcW w:w="3422" w:type="pct"/>
          </w:tcPr>
          <w:p w14:paraId="0054E912" w14:textId="2AF5778E" w:rsidR="00324B33" w:rsidRPr="00BD5DBD" w:rsidRDefault="001168B6" w:rsidP="007452E8">
            <w:pPr>
              <w:rPr>
                <w:szCs w:val="22"/>
              </w:rPr>
            </w:pPr>
            <w:r>
              <w:t>372902</w:t>
            </w:r>
          </w:p>
        </w:tc>
      </w:tr>
      <w:tr w:rsidR="00324B33" w:rsidRPr="00BD5DBD" w14:paraId="7618393F" w14:textId="77777777" w:rsidTr="004D371B">
        <w:tc>
          <w:tcPr>
            <w:tcW w:w="1578" w:type="pct"/>
          </w:tcPr>
          <w:p w14:paraId="6C24CEB6" w14:textId="6A7FE944" w:rsidR="00E47E0C" w:rsidRPr="00BD5DBD" w:rsidRDefault="00324B33" w:rsidP="00D10F37">
            <w:pPr>
              <w:spacing w:after="0"/>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2" w:type="pct"/>
          </w:tcPr>
          <w:p w14:paraId="6FF3C6A2" w14:textId="55BBE73C" w:rsidR="00324B33" w:rsidRPr="00BD5DBD" w:rsidRDefault="00324B33" w:rsidP="007452E8">
            <w:pPr>
              <w:rPr>
                <w:szCs w:val="22"/>
              </w:rPr>
            </w:pPr>
            <w:r w:rsidRPr="00BD5DBD">
              <w:rPr>
                <w:szCs w:val="22"/>
              </w:rPr>
              <w:t>Yes</w:t>
            </w:r>
          </w:p>
        </w:tc>
      </w:tr>
      <w:tr w:rsidR="00324B33" w:rsidRPr="00BD5DBD" w14:paraId="179E09FE" w14:textId="77777777" w:rsidTr="004D371B">
        <w:tc>
          <w:tcPr>
            <w:tcW w:w="1578" w:type="pct"/>
          </w:tcPr>
          <w:p w14:paraId="1A592498" w14:textId="77777777" w:rsidR="00324B33" w:rsidRPr="00BD5DBD" w:rsidRDefault="00324B33" w:rsidP="007452E8">
            <w:pPr>
              <w:rPr>
                <w:i/>
                <w:szCs w:val="22"/>
              </w:rPr>
            </w:pPr>
            <w:r w:rsidRPr="00BD5DBD">
              <w:rPr>
                <w:i/>
                <w:szCs w:val="22"/>
              </w:rPr>
              <w:t>Sponsor’s name and address:</w:t>
            </w:r>
          </w:p>
        </w:tc>
        <w:tc>
          <w:tcPr>
            <w:tcW w:w="3422" w:type="pct"/>
          </w:tcPr>
          <w:p w14:paraId="1385F1FF" w14:textId="77777777" w:rsidR="00324B33" w:rsidRDefault="00E91928" w:rsidP="005C089A">
            <w:pPr>
              <w:spacing w:after="0"/>
            </w:pPr>
            <w:r>
              <w:t>Abbvie Pty Ltd</w:t>
            </w:r>
          </w:p>
          <w:p w14:paraId="68DD94B0" w14:textId="6E299DC1" w:rsidR="00D10F37" w:rsidRPr="00BD5DBD" w:rsidRDefault="00D10F37" w:rsidP="007452E8">
            <w:pPr>
              <w:rPr>
                <w:szCs w:val="22"/>
              </w:rPr>
            </w:pPr>
            <w:r>
              <w:t>Locked Bag 5029, BOTANY, NSW, 1455 Australia</w:t>
            </w:r>
          </w:p>
        </w:tc>
      </w:tr>
      <w:tr w:rsidR="00324B33" w:rsidRPr="00BD5DBD" w14:paraId="5322B989" w14:textId="77777777" w:rsidTr="004D371B">
        <w:tc>
          <w:tcPr>
            <w:tcW w:w="1578" w:type="pct"/>
          </w:tcPr>
          <w:p w14:paraId="24F217E3" w14:textId="5AED96F7" w:rsidR="00324B33" w:rsidRPr="00BD5DBD" w:rsidRDefault="00324B33" w:rsidP="007452E8">
            <w:pPr>
              <w:rPr>
                <w:i/>
                <w:szCs w:val="22"/>
              </w:rPr>
            </w:pPr>
            <w:r w:rsidRPr="00BD5DBD">
              <w:rPr>
                <w:i/>
                <w:szCs w:val="22"/>
              </w:rPr>
              <w:t>Dose for</w:t>
            </w:r>
            <w:r w:rsidR="005C089A">
              <w:rPr>
                <w:i/>
                <w:szCs w:val="22"/>
              </w:rPr>
              <w:t>m</w:t>
            </w:r>
            <w:r w:rsidRPr="00BD5DBD">
              <w:rPr>
                <w:i/>
                <w:szCs w:val="22"/>
              </w:rPr>
              <w:t>:</w:t>
            </w:r>
          </w:p>
        </w:tc>
        <w:tc>
          <w:tcPr>
            <w:tcW w:w="3422" w:type="pct"/>
          </w:tcPr>
          <w:p w14:paraId="768B254C" w14:textId="7AA3D462" w:rsidR="00324B33" w:rsidRPr="00BD5DBD" w:rsidRDefault="005C089A" w:rsidP="007452E8">
            <w:pPr>
              <w:rPr>
                <w:szCs w:val="22"/>
              </w:rPr>
            </w:pPr>
            <w:r>
              <w:t>Injection, solution</w:t>
            </w:r>
          </w:p>
        </w:tc>
      </w:tr>
      <w:tr w:rsidR="00324B33" w:rsidRPr="00BD5DBD" w14:paraId="115243E6" w14:textId="77777777" w:rsidTr="004D371B">
        <w:tc>
          <w:tcPr>
            <w:tcW w:w="1578" w:type="pct"/>
          </w:tcPr>
          <w:p w14:paraId="7634B062" w14:textId="5C7B8B67" w:rsidR="00324B33" w:rsidRPr="00BD5DBD" w:rsidRDefault="00324B33" w:rsidP="007452E8">
            <w:pPr>
              <w:rPr>
                <w:i/>
                <w:szCs w:val="22"/>
              </w:rPr>
            </w:pPr>
            <w:r w:rsidRPr="00BD5DBD">
              <w:rPr>
                <w:i/>
                <w:szCs w:val="22"/>
              </w:rPr>
              <w:t>Strength:</w:t>
            </w:r>
          </w:p>
        </w:tc>
        <w:tc>
          <w:tcPr>
            <w:tcW w:w="3422" w:type="pct"/>
          </w:tcPr>
          <w:p w14:paraId="5E5F83DB" w14:textId="2017DF2F" w:rsidR="00324B33" w:rsidRPr="00BD5DBD" w:rsidRDefault="00A175F6" w:rsidP="007452E8">
            <w:pPr>
              <w:rPr>
                <w:szCs w:val="22"/>
              </w:rPr>
            </w:pPr>
            <w:r>
              <w:t>foslevodopa</w:t>
            </w:r>
            <w:r w:rsidR="00F9533E">
              <w:t xml:space="preserve"> 2400 mg/10 mL and foscarbidopa 120 mg/10 mL</w:t>
            </w:r>
          </w:p>
        </w:tc>
      </w:tr>
      <w:tr w:rsidR="00324B33" w:rsidRPr="00BD5DBD" w14:paraId="34B07BA6" w14:textId="77777777" w:rsidTr="004D371B">
        <w:tc>
          <w:tcPr>
            <w:tcW w:w="1578" w:type="pct"/>
          </w:tcPr>
          <w:p w14:paraId="1C039224" w14:textId="49B1EEED" w:rsidR="00324B33" w:rsidRPr="00BD5DBD" w:rsidRDefault="00324B33" w:rsidP="007452E8">
            <w:pPr>
              <w:rPr>
                <w:i/>
                <w:szCs w:val="22"/>
              </w:rPr>
            </w:pPr>
            <w:r w:rsidRPr="00BD5DBD">
              <w:rPr>
                <w:i/>
                <w:szCs w:val="22"/>
              </w:rPr>
              <w:t>Container:</w:t>
            </w:r>
          </w:p>
        </w:tc>
        <w:tc>
          <w:tcPr>
            <w:tcW w:w="3422" w:type="pct"/>
          </w:tcPr>
          <w:p w14:paraId="500A42C6" w14:textId="7D4C6102" w:rsidR="00324B33" w:rsidRPr="00BD5DBD" w:rsidRDefault="00914876" w:rsidP="007452E8">
            <w:pPr>
              <w:rPr>
                <w:szCs w:val="22"/>
              </w:rPr>
            </w:pPr>
            <w:r>
              <w:t>Vial Glass Type I Clear</w:t>
            </w:r>
          </w:p>
        </w:tc>
      </w:tr>
      <w:tr w:rsidR="00324B33" w:rsidRPr="00BD5DBD" w14:paraId="176B6773" w14:textId="77777777" w:rsidTr="004D371B">
        <w:tc>
          <w:tcPr>
            <w:tcW w:w="1578" w:type="pct"/>
          </w:tcPr>
          <w:p w14:paraId="71846159" w14:textId="1F3E29AF" w:rsidR="00324B33" w:rsidRPr="00BD5DBD" w:rsidRDefault="00324B33" w:rsidP="007452E8">
            <w:pPr>
              <w:rPr>
                <w:i/>
                <w:szCs w:val="22"/>
              </w:rPr>
            </w:pPr>
            <w:r w:rsidRPr="00BD5DBD">
              <w:rPr>
                <w:i/>
                <w:szCs w:val="22"/>
              </w:rPr>
              <w:t>Pack size:</w:t>
            </w:r>
          </w:p>
        </w:tc>
        <w:tc>
          <w:tcPr>
            <w:tcW w:w="3422" w:type="pct"/>
          </w:tcPr>
          <w:p w14:paraId="7E978F8F" w14:textId="3C52401B" w:rsidR="00324B33" w:rsidRPr="00BD5DBD" w:rsidRDefault="00914876" w:rsidP="007452E8">
            <w:pPr>
              <w:rPr>
                <w:szCs w:val="22"/>
              </w:rPr>
            </w:pPr>
            <w:r>
              <w:t>7 x 10 mL vials</w:t>
            </w:r>
          </w:p>
        </w:tc>
      </w:tr>
      <w:tr w:rsidR="00324B33" w:rsidRPr="00BD5DBD" w14:paraId="19A2544A" w14:textId="77777777" w:rsidTr="004D371B">
        <w:tc>
          <w:tcPr>
            <w:tcW w:w="1578"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2" w:type="pct"/>
          </w:tcPr>
          <w:p w14:paraId="21C671BF" w14:textId="5E8479E8" w:rsidR="00324B33" w:rsidRDefault="00F6142D" w:rsidP="00F6142D">
            <w:pPr>
              <w:autoSpaceDE w:val="0"/>
              <w:autoSpaceDN w:val="0"/>
              <w:adjustRightInd w:val="0"/>
              <w:spacing w:after="0" w:line="240" w:lineRule="auto"/>
              <w:rPr>
                <w:szCs w:val="22"/>
              </w:rPr>
            </w:pPr>
            <w:r w:rsidRPr="00F6142D">
              <w:rPr>
                <w:rFonts w:ascii="Cambria-Italic" w:hAnsi="Cambria-Italic" w:cs="Cambria-Italic"/>
                <w:szCs w:val="22"/>
              </w:rPr>
              <w:t>For the treatment of advanced idiopathic Parkinson’s disease with severe motor fluctuations despite optimised alternative pharmacological treatment</w:t>
            </w:r>
            <w:r>
              <w:rPr>
                <w:szCs w:val="22"/>
              </w:rPr>
              <w:t xml:space="preserve"> </w:t>
            </w:r>
          </w:p>
          <w:p w14:paraId="6E143E2E" w14:textId="14DC1EF7" w:rsidR="00F6142D" w:rsidRPr="00BD5DBD" w:rsidRDefault="00F6142D" w:rsidP="00F6142D">
            <w:pPr>
              <w:autoSpaceDE w:val="0"/>
              <w:autoSpaceDN w:val="0"/>
              <w:adjustRightInd w:val="0"/>
              <w:spacing w:after="0" w:line="240" w:lineRule="auto"/>
              <w:rPr>
                <w:szCs w:val="22"/>
              </w:rPr>
            </w:pPr>
          </w:p>
        </w:tc>
      </w:tr>
      <w:tr w:rsidR="00324B33" w:rsidRPr="00BD5DBD" w14:paraId="5AFDEED3" w14:textId="77777777" w:rsidTr="004D371B">
        <w:tc>
          <w:tcPr>
            <w:tcW w:w="1578" w:type="pct"/>
          </w:tcPr>
          <w:p w14:paraId="03884BD1" w14:textId="7D4B1E5C" w:rsidR="00324B33" w:rsidRPr="00BD5DBD" w:rsidRDefault="00324B33" w:rsidP="007452E8">
            <w:pPr>
              <w:rPr>
                <w:i/>
                <w:szCs w:val="22"/>
              </w:rPr>
            </w:pPr>
            <w:r w:rsidRPr="00BD5DBD">
              <w:rPr>
                <w:i/>
                <w:szCs w:val="22"/>
              </w:rPr>
              <w:t>Route of administration:</w:t>
            </w:r>
          </w:p>
        </w:tc>
        <w:tc>
          <w:tcPr>
            <w:tcW w:w="3422" w:type="pct"/>
          </w:tcPr>
          <w:p w14:paraId="1ED1357E" w14:textId="4C3AC38C" w:rsidR="00B318E2" w:rsidRPr="00BD5DBD" w:rsidRDefault="004217AF" w:rsidP="005717FF">
            <w:pPr>
              <w:rPr>
                <w:szCs w:val="22"/>
              </w:rPr>
            </w:pPr>
            <w:r>
              <w:t>Subcutaneous</w:t>
            </w:r>
          </w:p>
        </w:tc>
      </w:tr>
      <w:tr w:rsidR="00347DEF" w14:paraId="6AE27283" w14:textId="77777777" w:rsidTr="004D371B">
        <w:tc>
          <w:tcPr>
            <w:tcW w:w="1578" w:type="pct"/>
          </w:tcPr>
          <w:p w14:paraId="2EA9A949" w14:textId="095AAD83" w:rsidR="00347DEF" w:rsidRPr="00BD5DBD" w:rsidRDefault="00347DEF" w:rsidP="00816BB1">
            <w:pPr>
              <w:rPr>
                <w:i/>
                <w:szCs w:val="22"/>
              </w:rPr>
            </w:pPr>
            <w:r>
              <w:rPr>
                <w:i/>
                <w:szCs w:val="22"/>
              </w:rPr>
              <w:t>Information on use</w:t>
            </w:r>
            <w:r w:rsidR="008F1B82">
              <w:rPr>
                <w:i/>
                <w:szCs w:val="22"/>
              </w:rPr>
              <w:t>:</w:t>
            </w:r>
          </w:p>
        </w:tc>
        <w:tc>
          <w:tcPr>
            <w:tcW w:w="3422" w:type="pct"/>
          </w:tcPr>
          <w:p w14:paraId="3DD033C8" w14:textId="7D5ED588" w:rsidR="00347DEF" w:rsidRDefault="00347DEF">
            <w:r>
              <w:t xml:space="preserve">For information on the use of </w:t>
            </w:r>
            <w:r w:rsidR="00E53711">
              <w:t>Vyalev</w:t>
            </w:r>
            <w:r w:rsidR="000C15A0">
              <w:t xml:space="preserve"> </w:t>
            </w:r>
            <w:r>
              <w:t>(such as dosage, pregnancy category, contraindications</w:t>
            </w:r>
            <w:r w:rsidR="000C15A0">
              <w:t>,</w:t>
            </w:r>
            <w:r>
              <w:t xml:space="preserve"> and precautions</w:t>
            </w:r>
            <w:r w:rsidR="008F1B82">
              <w:t xml:space="preserve"> etc.</w:t>
            </w:r>
            <w:r>
              <w:t>) refer to the Product Information (PI) document or contact a doctor or pharmacist.</w:t>
            </w:r>
          </w:p>
          <w:p w14:paraId="1ED84BD8" w14:textId="5D85B4C7" w:rsidR="00347DEF" w:rsidRDefault="00347DEF" w:rsidP="006B417A">
            <w:pPr>
              <w:rPr>
                <w:szCs w:val="22"/>
              </w:rPr>
            </w:pPr>
            <w:r>
              <w:rPr>
                <w:szCs w:val="22"/>
              </w:rPr>
              <w:t>Use</w:t>
            </w:r>
            <w:r w:rsidRPr="00BD5DBD">
              <w:rPr>
                <w:szCs w:val="22"/>
              </w:rPr>
              <w:t xml:space="preserve"> the TGA </w:t>
            </w:r>
            <w:hyperlink r:id="rId18" w:history="1">
              <w:r w:rsidRPr="00BD5DBD">
                <w:rPr>
                  <w:rStyle w:val="Hyperlink"/>
                  <w:szCs w:val="22"/>
                </w:rPr>
                <w:t>PI/CMI search facility</w:t>
              </w:r>
              <w:r>
                <w:rPr>
                  <w:rStyle w:val="Hyperlink"/>
                  <w:szCs w:val="22"/>
                </w:rPr>
                <w:t xml:space="preserve"> </w:t>
              </w:r>
              <w:r>
                <w:t>to view the c</w:t>
              </w:r>
            </w:hyperlink>
            <w:r>
              <w:rPr>
                <w:szCs w:val="22"/>
              </w:rPr>
              <w:t>urrent Product Information (</w:t>
            </w:r>
            <w:r w:rsidRPr="00BD5DBD">
              <w:rPr>
                <w:szCs w:val="22"/>
              </w:rPr>
              <w:t>PI</w:t>
            </w:r>
            <w:r>
              <w:rPr>
                <w:szCs w:val="22"/>
              </w:rPr>
              <w:t>)</w:t>
            </w:r>
            <w:r w:rsidRPr="00BD5DBD">
              <w:rPr>
                <w:szCs w:val="22"/>
              </w:rPr>
              <w:t xml:space="preserve"> and </w:t>
            </w:r>
            <w:hyperlink r:id="rId19" w:history="1">
              <w:r w:rsidRPr="00BD5DBD">
                <w:rPr>
                  <w:rStyle w:val="Hyperlink"/>
                  <w:szCs w:val="22"/>
                </w:rPr>
                <w:t>Consumer Medicines Information</w:t>
              </w:r>
            </w:hyperlink>
            <w:r w:rsidRPr="00BD5DBD">
              <w:rPr>
                <w:szCs w:val="22"/>
              </w:rPr>
              <w:t xml:space="preserve"> (CMI)</w:t>
            </w:r>
            <w:r>
              <w:rPr>
                <w:szCs w:val="22"/>
              </w:rPr>
              <w:t>.</w:t>
            </w:r>
          </w:p>
        </w:tc>
      </w:tr>
    </w:tbl>
    <w:p w14:paraId="51F2479F" w14:textId="71002EE9" w:rsidR="00324B33" w:rsidRDefault="00324B33" w:rsidP="00127E3A">
      <w:pPr>
        <w:pStyle w:val="Heading3"/>
      </w:pPr>
      <w:bookmarkStart w:id="13" w:name="_Toc247691503"/>
      <w:bookmarkStart w:id="14" w:name="_Toc314842484"/>
      <w:bookmarkStart w:id="15" w:name="_Toc103679290"/>
      <w:bookmarkStart w:id="16" w:name="_Toc182486537"/>
      <w:r>
        <w:t xml:space="preserve">Product </w:t>
      </w:r>
      <w:r w:rsidRPr="00127E3A">
        <w:t>background</w:t>
      </w:r>
      <w:bookmarkEnd w:id="13"/>
      <w:bookmarkEnd w:id="14"/>
      <w:bookmarkEnd w:id="15"/>
      <w:bookmarkEnd w:id="16"/>
    </w:p>
    <w:p w14:paraId="59BF31D1" w14:textId="15FC6C34" w:rsidR="001500A8" w:rsidRDefault="00324B33" w:rsidP="00127E3A">
      <w:r w:rsidRPr="00065839">
        <w:t xml:space="preserve">This AusPAR </w:t>
      </w:r>
      <w:r w:rsidR="006F062D">
        <w:t xml:space="preserve">provides information on the assessment of </w:t>
      </w:r>
      <w:r w:rsidR="00207063">
        <w:t xml:space="preserve">Vyalev </w:t>
      </w:r>
      <w:r w:rsidRPr="00065839">
        <w:t>(</w:t>
      </w:r>
      <w:r w:rsidR="00A175F6">
        <w:t>foslevodopa</w:t>
      </w:r>
      <w:r w:rsidR="00304123">
        <w:t xml:space="preserve"> 2400 mg/10 mL and foscarbidopa 120 mg/10 mL</w:t>
      </w:r>
      <w:r w:rsidRPr="00065839">
        <w:t>) for the proposed indication:</w:t>
      </w:r>
      <w:r w:rsidR="00D63760" w:rsidRPr="00065839">
        <w:rPr>
          <w:vertAlign w:val="superscript"/>
        </w:rPr>
        <w:footnoteReference w:id="2"/>
      </w:r>
    </w:p>
    <w:p w14:paraId="5F659247" w14:textId="3158065D" w:rsidR="00304123" w:rsidRPr="00127E3A" w:rsidRDefault="00304123" w:rsidP="00127E3A">
      <w:pPr>
        <w:ind w:left="720"/>
        <w:rPr>
          <w:i/>
          <w:iCs/>
        </w:rPr>
      </w:pPr>
      <w:r w:rsidRPr="00127E3A">
        <w:rPr>
          <w:i/>
          <w:iCs/>
        </w:rPr>
        <w:t>For the treatment of idiopathic Parkinson’s disease with severe motor fluctuations despite optimised alternative pharmacological treatment.</w:t>
      </w:r>
    </w:p>
    <w:p w14:paraId="1E63A2AE" w14:textId="11F86AD4" w:rsidR="00CB6813" w:rsidRDefault="009A6FF3" w:rsidP="00127E3A">
      <w:pPr>
        <w:pStyle w:val="Heading4"/>
      </w:pPr>
      <w:bookmarkStart w:id="17" w:name="_Toc314842485"/>
      <w:bookmarkStart w:id="18" w:name="_Toc247691504"/>
      <w:bookmarkStart w:id="19" w:name="_Toc182486538"/>
      <w:r>
        <w:t xml:space="preserve">Parkinson’s </w:t>
      </w:r>
      <w:r w:rsidRPr="00127E3A">
        <w:t>disease</w:t>
      </w:r>
      <w:r>
        <w:t xml:space="preserve"> (PD)</w:t>
      </w:r>
      <w:bookmarkEnd w:id="19"/>
    </w:p>
    <w:p w14:paraId="32D51C43" w14:textId="04665657" w:rsidR="0044694E" w:rsidRDefault="007D1E2A" w:rsidP="00127E3A">
      <w:r>
        <w:t>Parkinson’s disease (PD) is the most common form of parkinsonism, a group of neurological disorders with Parkinson disease-like movement problems such as rigidity, slowness, and tremor</w:t>
      </w:r>
      <w:r w:rsidR="008303BC">
        <w:t>.</w:t>
      </w:r>
      <w:r w:rsidR="008303BC">
        <w:rPr>
          <w:rStyle w:val="FootnoteReference"/>
        </w:rPr>
        <w:footnoteReference w:id="3"/>
      </w:r>
      <w:r>
        <w:t xml:space="preserve"> More than 6 million individuals wor</w:t>
      </w:r>
      <w:r w:rsidR="00C55A02">
        <w:t>ld</w:t>
      </w:r>
      <w:r>
        <w:t>wide have Parkinson’s disease. The prodromal features are rapid eye movement sleep behaviour disorder, hyposmia, constipation, along with characteristic movement difficulty (tremor, stiffness, slowness), and psychological or cognitive problems (cognitive decline, depression, anxiety).</w:t>
      </w:r>
    </w:p>
    <w:p w14:paraId="09E18327" w14:textId="39E50995" w:rsidR="007D1E2A" w:rsidRDefault="007D1E2A" w:rsidP="00127E3A">
      <w:r>
        <w:t>Advanced Parkinson’s disease stage 4 or 5 of the Hoehn and Yahr Scale is characterised by very limited mobility without assistance, severe motor deficits, risk of falls, and cognitive and psychotic problems. The mean time from disease onset to wheelchair-dependence is estimated at 14 years, although about a third of patients seem to have a relatively mi</w:t>
      </w:r>
      <w:r w:rsidR="007C15BC">
        <w:t>ld</w:t>
      </w:r>
      <w:r>
        <w:t xml:space="preserve"> disease and remain stable for many years</w:t>
      </w:r>
      <w:r w:rsidR="00C5056E">
        <w:t>.</w:t>
      </w:r>
    </w:p>
    <w:p w14:paraId="255E083A" w14:textId="0E2F1125" w:rsidR="00CB6813" w:rsidRDefault="00CB6813" w:rsidP="00127E3A">
      <w:pPr>
        <w:pStyle w:val="Heading4"/>
      </w:pPr>
      <w:bookmarkStart w:id="20" w:name="_Toc182486539"/>
      <w:r>
        <w:t xml:space="preserve">Current treatment </w:t>
      </w:r>
      <w:r w:rsidRPr="00127E3A">
        <w:t>options</w:t>
      </w:r>
      <w:bookmarkEnd w:id="20"/>
    </w:p>
    <w:p w14:paraId="1A1400C6" w14:textId="30C56174" w:rsidR="000D068F" w:rsidRDefault="000D068F" w:rsidP="00127E3A">
      <w:r>
        <w:t>PD has no cure and the aim of currently available therapy is to manage symptoms, improve quality of life and restore functional capability.</w:t>
      </w:r>
      <w:r w:rsidRPr="007A0A99">
        <w:rPr>
          <w:rStyle w:val="FootnoteReference"/>
        </w:rPr>
        <w:t xml:space="preserve"> </w:t>
      </w:r>
      <w:r>
        <w:rPr>
          <w:rStyle w:val="FootnoteReference"/>
        </w:rPr>
        <w:t>2</w:t>
      </w:r>
      <w:r>
        <w:t xml:space="preserve"> </w:t>
      </w:r>
      <w:r w:rsidR="00A175F6">
        <w:t>Levodopa</w:t>
      </w:r>
      <w:r>
        <w:t xml:space="preserve"> remains the go</w:t>
      </w:r>
      <w:r w:rsidR="007C15BC">
        <w:t>ld</w:t>
      </w:r>
      <w:r>
        <w:t xml:space="preserve"> standard in dopamine (DA) replacement therapy.</w:t>
      </w:r>
      <w:r w:rsidRPr="00884619">
        <w:rPr>
          <w:rStyle w:val="FootnoteReference"/>
        </w:rPr>
        <w:t xml:space="preserve"> </w:t>
      </w:r>
      <w:r>
        <w:rPr>
          <w:rStyle w:val="FootnoteReference"/>
        </w:rPr>
        <w:t>2</w:t>
      </w:r>
      <w:r>
        <w:t xml:space="preserve"> The mechanism of action for </w:t>
      </w:r>
      <w:r w:rsidR="008E7648">
        <w:t xml:space="preserve">levodopa </w:t>
      </w:r>
      <w:r>
        <w:t xml:space="preserve">as dopamine replacement therapy in the central nervous system involves the enzymatic decarboxylation of </w:t>
      </w:r>
      <w:r w:rsidR="00EF0EB7">
        <w:t>levodopa</w:t>
      </w:r>
      <w:r>
        <w:t xml:space="preserve"> (a DA prodrug) by central dopa decarboxylase.</w:t>
      </w:r>
      <w:r w:rsidRPr="00884619">
        <w:rPr>
          <w:rStyle w:val="FootnoteReference"/>
        </w:rPr>
        <w:t xml:space="preserve"> </w:t>
      </w:r>
      <w:r>
        <w:rPr>
          <w:rStyle w:val="FootnoteReference"/>
        </w:rPr>
        <w:t>2</w:t>
      </w:r>
      <w:r>
        <w:t xml:space="preserve"> The main pharmacological treatment approach for PD consists of re-establishing dopaminergic stimulation in the striatum, primarily through oral administration of the dopamine precursor </w:t>
      </w:r>
      <w:r w:rsidR="000E479A">
        <w:t>levodopa</w:t>
      </w:r>
      <w:r>
        <w:t xml:space="preserve"> with a </w:t>
      </w:r>
      <w:r w:rsidR="000E479A">
        <w:t>dopa</w:t>
      </w:r>
      <w:r>
        <w:t xml:space="preserve"> decarboxylase inhibitor (DDCI), such as </w:t>
      </w:r>
      <w:r w:rsidR="00EF0EB7">
        <w:t>c</w:t>
      </w:r>
      <w:r w:rsidR="006F44E3">
        <w:t>arbidopa</w:t>
      </w:r>
      <w:r>
        <w:t xml:space="preserve">, to prevent peripheral metabolism of </w:t>
      </w:r>
      <w:r w:rsidR="000E479A">
        <w:t>levodopa</w:t>
      </w:r>
      <w:r>
        <w:t xml:space="preserve"> to dopamine (to significantly reduce the </w:t>
      </w:r>
      <w:r w:rsidR="000E479A">
        <w:t>levodopa</w:t>
      </w:r>
      <w:r>
        <w:t xml:space="preserve"> dose required for a therapeutically effective response).</w:t>
      </w:r>
      <w:r>
        <w:rPr>
          <w:rStyle w:val="FootnoteReference"/>
        </w:rPr>
        <w:footnoteReference w:id="4"/>
      </w:r>
    </w:p>
    <w:p w14:paraId="4BA0503C" w14:textId="660DA904" w:rsidR="00FD59DB" w:rsidRDefault="00FD59DB" w:rsidP="00127E3A">
      <w:r>
        <w:t xml:space="preserve">Advanced PD is managed with surgery and pump-delivered dopaminergic therapy. Surgery is most successful in patients with severe motor fluctuations and dyskinesias. Continuous dopaminergic therapy via portable, programmable pumps is available for </w:t>
      </w:r>
      <w:r w:rsidR="000E479A">
        <w:t>l</w:t>
      </w:r>
      <w:r w:rsidR="00A175F6">
        <w:t>evodopa</w:t>
      </w:r>
      <w:r>
        <w:t xml:space="preserve"> patients or when surgery is unsuitable. </w:t>
      </w:r>
      <w:r w:rsidR="00A175F6">
        <w:t>Levodopa</w:t>
      </w:r>
      <w:r>
        <w:t>+carbidopa (</w:t>
      </w:r>
      <w:r w:rsidR="000F6432">
        <w:t>d</w:t>
      </w:r>
      <w:r w:rsidR="00A175F6">
        <w:t>uodopa</w:t>
      </w:r>
      <w:r>
        <w:t>) intestinal gel is administered continuously through a permanent tube, directly into the duodenum or upper jejunum. Apomorphine is delivered subcutaneously. For both drugs, adjusting infusion rates and giving bolus doses helps smooth out motor fluctuations and dyskinesias.</w:t>
      </w:r>
    </w:p>
    <w:p w14:paraId="7889DC0F" w14:textId="5EF05DFC" w:rsidR="00FD59DB" w:rsidRDefault="00FD59DB" w:rsidP="00127E3A">
      <w:r>
        <w:t xml:space="preserve">Despite its efficacy, as the disease progresses, oral </w:t>
      </w:r>
      <w:r w:rsidR="000F6432">
        <w:t>levodopa</w:t>
      </w:r>
      <w:r>
        <w:t xml:space="preserve"> loses its effectiveness and patients develop disabling motor fluctuations such as ‘On’ and ‘Off’ phenomena, defined as a sudden switch between periods of good motor system control (‘On’ time) and periods of poor mobility, tremor, slowness</w:t>
      </w:r>
      <w:r w:rsidR="00DD00A1">
        <w:t>,</w:t>
      </w:r>
      <w:r>
        <w:t xml:space="preserve"> and stiffness (‘Off’ time). Pharmacological management of PD also includes dopamine agonists, anticholinergics, amantadine, monoamine oxidase B (MAO-B) inhibitors, and catechol-O-methyltransferase (COMT) inhibitors. </w:t>
      </w:r>
    </w:p>
    <w:p w14:paraId="08BAC43C" w14:textId="285D1676" w:rsidR="00FD59DB" w:rsidRDefault="00FD59DB" w:rsidP="00127E3A">
      <w:r>
        <w:t xml:space="preserve">The inability to adequately control motor complications with oral treatment is characteristic of advanced PD and necessitates alternative therapeutic approaches. One approach for the treatment of advanced PD is the continuous delivery of individually titrated doses of </w:t>
      </w:r>
      <w:r w:rsidR="00F619F3">
        <w:t>levodopa</w:t>
      </w:r>
      <w:r>
        <w:t>/</w:t>
      </w:r>
      <w:r w:rsidR="00F619F3">
        <w:t>carbidopa</w:t>
      </w:r>
      <w:r>
        <w:t xml:space="preserve"> directly into the intestine, such as with </w:t>
      </w:r>
      <w:r w:rsidR="00F619F3">
        <w:t>l</w:t>
      </w:r>
      <w:r w:rsidR="00A175F6">
        <w:t>evodopa</w:t>
      </w:r>
      <w:r>
        <w:t xml:space="preserve">-carbidopa intestinal gel (LCIG) or with </w:t>
      </w:r>
      <w:r w:rsidR="00F619F3">
        <w:t>l</w:t>
      </w:r>
      <w:r w:rsidR="00A175F6">
        <w:t>evodopa</w:t>
      </w:r>
      <w:r>
        <w:t>-entacapone-carbidopa intestinal gel.</w:t>
      </w:r>
    </w:p>
    <w:p w14:paraId="1A36CE0B" w14:textId="68ED099F" w:rsidR="00925A8A" w:rsidRDefault="00925A8A" w:rsidP="00127E3A">
      <w:r>
        <w:t>Other treatments of motor fluctuations in advanced PD include deep brain stimulation and continuous subcutaneous (SC) apomorphine infusion.</w:t>
      </w:r>
    </w:p>
    <w:p w14:paraId="37C47E09" w14:textId="14D3762D" w:rsidR="00CB6813" w:rsidRDefault="00CB6813" w:rsidP="00127E3A">
      <w:pPr>
        <w:pStyle w:val="Heading4"/>
      </w:pPr>
      <w:bookmarkStart w:id="21" w:name="_Toc182486540"/>
      <w:r>
        <w:t>C</w:t>
      </w:r>
      <w:r w:rsidRPr="00DE1344">
        <w:t xml:space="preserve">linical </w:t>
      </w:r>
      <w:r w:rsidRPr="00127E3A">
        <w:t>rational</w:t>
      </w:r>
      <w:r w:rsidR="0025785B" w:rsidRPr="00127E3A">
        <w:t>e</w:t>
      </w:r>
      <w:bookmarkEnd w:id="21"/>
    </w:p>
    <w:p w14:paraId="55051238" w14:textId="20822677" w:rsidR="00AF040E" w:rsidRDefault="00AF040E" w:rsidP="00127E3A">
      <w:r>
        <w:t>The Applicant’s rationale for the product development:</w:t>
      </w:r>
    </w:p>
    <w:p w14:paraId="7CB60E09" w14:textId="3C0A79A0" w:rsidR="00F47DA5" w:rsidRPr="00127E3A" w:rsidRDefault="00A175F6" w:rsidP="00127E3A">
      <w:pPr>
        <w:ind w:left="720"/>
        <w:rPr>
          <w:i/>
          <w:iCs/>
        </w:rPr>
      </w:pPr>
      <w:r w:rsidRPr="00127E3A">
        <w:rPr>
          <w:i/>
          <w:iCs/>
        </w:rPr>
        <w:t>Foslevodopa</w:t>
      </w:r>
      <w:r w:rsidR="00AF040E" w:rsidRPr="00127E3A">
        <w:rPr>
          <w:i/>
          <w:iCs/>
        </w:rPr>
        <w:t xml:space="preserve">/foscarbidopa is administered SC using a lighter infusion pump compared to </w:t>
      </w:r>
      <w:proofErr w:type="spellStart"/>
      <w:r w:rsidRPr="00127E3A">
        <w:rPr>
          <w:i/>
          <w:iCs/>
        </w:rPr>
        <w:t>Duodopa</w:t>
      </w:r>
      <w:proofErr w:type="spellEnd"/>
      <w:r w:rsidR="00AF040E" w:rsidRPr="00127E3A">
        <w:rPr>
          <w:i/>
          <w:iCs/>
        </w:rPr>
        <w:t xml:space="preserve"> (LCIG) and delivers a much smaller volume of highly concentrated drug product over a 24-h period relative to </w:t>
      </w:r>
      <w:r w:rsidRPr="00127E3A">
        <w:rPr>
          <w:i/>
          <w:iCs/>
        </w:rPr>
        <w:t>Duodopa</w:t>
      </w:r>
      <w:r w:rsidR="00AF040E" w:rsidRPr="00127E3A">
        <w:rPr>
          <w:i/>
          <w:iCs/>
        </w:rPr>
        <w:t xml:space="preserve"> (over 16 h), with an overnight break.</w:t>
      </w:r>
    </w:p>
    <w:p w14:paraId="3E98C7CF" w14:textId="3B194F9C" w:rsidR="00AF040E" w:rsidRPr="00127E3A" w:rsidRDefault="00AF040E" w:rsidP="00127E3A">
      <w:pPr>
        <w:ind w:left="720"/>
        <w:rPr>
          <w:i/>
          <w:iCs/>
        </w:rPr>
      </w:pPr>
      <w:r w:rsidRPr="00127E3A">
        <w:rPr>
          <w:i/>
          <w:iCs/>
        </w:rPr>
        <w:t xml:space="preserve">Unlike oral administration, continuous delivery of </w:t>
      </w:r>
      <w:r w:rsidR="00A175F6" w:rsidRPr="00127E3A">
        <w:rPr>
          <w:i/>
          <w:iCs/>
        </w:rPr>
        <w:t>foslevodopa</w:t>
      </w:r>
      <w:r w:rsidRPr="00127E3A">
        <w:rPr>
          <w:i/>
          <w:iCs/>
        </w:rPr>
        <w:t xml:space="preserve">/foscarbidopa results in less variability in </w:t>
      </w:r>
      <w:r w:rsidR="00A175F6" w:rsidRPr="00127E3A">
        <w:rPr>
          <w:i/>
          <w:iCs/>
        </w:rPr>
        <w:t>LEVODOPA</w:t>
      </w:r>
      <w:r w:rsidRPr="00127E3A">
        <w:rPr>
          <w:i/>
          <w:iCs/>
        </w:rPr>
        <w:t xml:space="preserve"> and </w:t>
      </w:r>
      <w:r w:rsidR="008C163E" w:rsidRPr="00127E3A">
        <w:rPr>
          <w:i/>
          <w:iCs/>
        </w:rPr>
        <w:t>CARBIDOPA</w:t>
      </w:r>
      <w:r w:rsidRPr="00127E3A">
        <w:rPr>
          <w:i/>
          <w:iCs/>
        </w:rPr>
        <w:t xml:space="preserve"> plasma concentrations, to provide continuous rather than intermittent stimulation of dopaminergic receptors in the brain, ultimately reducing motor complications and improving QoL in patients with advanced PD.</w:t>
      </w:r>
    </w:p>
    <w:p w14:paraId="0D615854" w14:textId="77777777" w:rsidR="00324B33" w:rsidRPr="003F31A2" w:rsidRDefault="00324B33" w:rsidP="00127E3A">
      <w:pPr>
        <w:pStyle w:val="Heading3"/>
      </w:pPr>
      <w:bookmarkStart w:id="22" w:name="_Toc103679291"/>
      <w:bookmarkStart w:id="23" w:name="_Toc182486541"/>
      <w:r w:rsidRPr="00127E3A">
        <w:t>Regulatory</w:t>
      </w:r>
      <w:r>
        <w:t xml:space="preserve"> status</w:t>
      </w:r>
      <w:bookmarkEnd w:id="17"/>
      <w:bookmarkEnd w:id="18"/>
      <w:bookmarkEnd w:id="22"/>
      <w:bookmarkEnd w:id="23"/>
    </w:p>
    <w:p w14:paraId="72C889D6" w14:textId="7E200950" w:rsidR="0017005C" w:rsidRPr="00BD5DBD" w:rsidRDefault="0017005C" w:rsidP="00127E3A">
      <w:pPr>
        <w:pStyle w:val="Heading4"/>
      </w:pPr>
      <w:bookmarkStart w:id="24" w:name="_Toc182486542"/>
      <w:r w:rsidRPr="00BD5DBD">
        <w:t>Australian regulatory</w:t>
      </w:r>
      <w:r>
        <w:t xml:space="preserve"> </w:t>
      </w:r>
      <w:r w:rsidRPr="00127E3A">
        <w:t>sta</w:t>
      </w:r>
      <w:r w:rsidR="0025785B" w:rsidRPr="00127E3A">
        <w:t>t</w:t>
      </w:r>
      <w:r w:rsidRPr="00127E3A">
        <w:t>us</w:t>
      </w:r>
      <w:bookmarkEnd w:id="24"/>
    </w:p>
    <w:p w14:paraId="6EE6A95A" w14:textId="02D60A0F" w:rsidR="00A91EF9" w:rsidRDefault="00203CB1" w:rsidP="00127E3A">
      <w:r>
        <w:t xml:space="preserve">This is a new product containing </w:t>
      </w:r>
      <w:r w:rsidR="00885EF4">
        <w:t>2</w:t>
      </w:r>
      <w:r>
        <w:t xml:space="preserve"> new chemical entities not currently included in the </w:t>
      </w:r>
      <w:hyperlink r:id="rId20" w:history="1">
        <w:r w:rsidRPr="00B67B40">
          <w:rPr>
            <w:rStyle w:val="Hyperlink"/>
            <w:szCs w:val="22"/>
          </w:rPr>
          <w:t>Australian Register of Therapeutic Goods</w:t>
        </w:r>
      </w:hyperlink>
      <w:r w:rsidRPr="00B67B40">
        <w:t xml:space="preserve"> (</w:t>
      </w:r>
      <w:hyperlink r:id="rId21" w:history="1">
        <w:r w:rsidRPr="00B67B40">
          <w:rPr>
            <w:rStyle w:val="Hyperlink"/>
            <w:szCs w:val="22"/>
          </w:rPr>
          <w:t>ARTG</w:t>
        </w:r>
      </w:hyperlink>
      <w:r w:rsidRPr="00B67B40">
        <w:t xml:space="preserve">), </w:t>
      </w:r>
      <w:r>
        <w:t>either individually or in combination.</w:t>
      </w:r>
    </w:p>
    <w:p w14:paraId="0E6AAB43" w14:textId="188676C2" w:rsidR="00203CB1" w:rsidRDefault="00203CB1" w:rsidP="00127E3A">
      <w:r>
        <w:t>Th</w:t>
      </w:r>
      <w:r w:rsidR="009C47AB">
        <w:t xml:space="preserve">e initial </w:t>
      </w:r>
      <w:r>
        <w:t xml:space="preserve">application relied on extrapolation of efficacy data and, in part, safety data from the TGA approved medicine for advanced PD, </w:t>
      </w:r>
      <w:proofErr w:type="spellStart"/>
      <w:r w:rsidR="00A175F6">
        <w:t>Duodopa</w:t>
      </w:r>
      <w:proofErr w:type="spellEnd"/>
      <w:r>
        <w:t xml:space="preserve"> (</w:t>
      </w:r>
      <w:r w:rsidR="0064134F">
        <w:t>l</w:t>
      </w:r>
      <w:r w:rsidR="00A175F6">
        <w:t>evodopa</w:t>
      </w:r>
      <w:r>
        <w:t xml:space="preserve"> and carbidopa monohydrate gel).</w:t>
      </w:r>
    </w:p>
    <w:p w14:paraId="546C1031" w14:textId="67BF2562" w:rsidR="0017005C" w:rsidRDefault="00E769EB" w:rsidP="00127E3A">
      <w:pPr>
        <w:pStyle w:val="Heading4"/>
      </w:pPr>
      <w:bookmarkStart w:id="25" w:name="_Toc182486543"/>
      <w:r>
        <w:t>International</w:t>
      </w:r>
      <w:r w:rsidR="0017005C" w:rsidRPr="00BD5DBD">
        <w:t xml:space="preserve"> </w:t>
      </w:r>
      <w:r w:rsidR="0017005C" w:rsidRPr="00127E3A">
        <w:t>regulatory</w:t>
      </w:r>
      <w:r w:rsidR="0017005C">
        <w:t xml:space="preserve"> status</w:t>
      </w:r>
      <w:bookmarkEnd w:id="25"/>
    </w:p>
    <w:p w14:paraId="7C67CD11" w14:textId="6854435A" w:rsidR="008A6DB0" w:rsidRDefault="00A175F6" w:rsidP="00127E3A">
      <w:pPr>
        <w:rPr>
          <w:szCs w:val="22"/>
        </w:rPr>
      </w:pPr>
      <w:r>
        <w:t>Foslevodopa</w:t>
      </w:r>
      <w:r w:rsidR="0064007F">
        <w:t xml:space="preserve"> and </w:t>
      </w:r>
      <w:r w:rsidR="000A0667" w:rsidRPr="002B6A88">
        <w:t xml:space="preserve">foscarbidopa </w:t>
      </w:r>
      <w:r w:rsidR="0081325A">
        <w:rPr>
          <w:iCs/>
        </w:rPr>
        <w:t xml:space="preserve">were under evaluation </w:t>
      </w:r>
      <w:r w:rsidR="0064007F">
        <w:rPr>
          <w:iCs/>
        </w:rPr>
        <w:t>in</w:t>
      </w:r>
      <w:r w:rsidR="008A6DB0" w:rsidRPr="002B6A88">
        <w:t xml:space="preserve"> the European Union</w:t>
      </w:r>
      <w:r w:rsidR="008B04C0">
        <w:t xml:space="preserve"> (EU)</w:t>
      </w:r>
      <w:r w:rsidR="0025238F">
        <w:t xml:space="preserve"> at the time the TGA commenced evaluation of this submission.</w:t>
      </w:r>
    </w:p>
    <w:p w14:paraId="6D92589C" w14:textId="09786CEF" w:rsidR="00324B33" w:rsidRDefault="00324B33" w:rsidP="00127E3A">
      <w:pPr>
        <w:pStyle w:val="Heading2"/>
      </w:pPr>
      <w:bookmarkStart w:id="26" w:name="_Toc504480011"/>
      <w:bookmarkStart w:id="27" w:name="_Toc103679293"/>
      <w:bookmarkStart w:id="28" w:name="_Toc182486544"/>
      <w:r w:rsidRPr="008A1B1D">
        <w:t>Registration timeline</w:t>
      </w:r>
      <w:bookmarkEnd w:id="26"/>
      <w:bookmarkEnd w:id="27"/>
      <w:bookmarkEnd w:id="28"/>
    </w:p>
    <w:p w14:paraId="225E3D87" w14:textId="1F3070CE" w:rsidR="00324B33" w:rsidRPr="00BD5DBD" w:rsidRDefault="00324B33" w:rsidP="00127E3A">
      <w:r w:rsidRPr="00BD5DBD">
        <w:t>The following table captures the key steps and dates for this submission.</w:t>
      </w:r>
    </w:p>
    <w:p w14:paraId="44628C5F" w14:textId="220A492B" w:rsidR="00324B33" w:rsidRDefault="00324B33" w:rsidP="00127E3A">
      <w:pPr>
        <w:pStyle w:val="TableTitle"/>
      </w:pPr>
      <w:r w:rsidRPr="002C1232">
        <w:t xml:space="preserve">Table </w:t>
      </w:r>
      <w:r w:rsidR="00920F4D">
        <w:t>1</w:t>
      </w:r>
      <w:r w:rsidRPr="002C1232">
        <w:t xml:space="preserve">: </w:t>
      </w:r>
      <w:r w:rsidRPr="00127E3A">
        <w:t>Timeline</w:t>
      </w:r>
      <w:r w:rsidRPr="002C1232">
        <w:t xml:space="preserve"> for </w:t>
      </w:r>
      <w:r w:rsidR="00025ACE">
        <w:t>application</w:t>
      </w:r>
      <w:r w:rsidRPr="002C1232">
        <w:t xml:space="preserve"> </w:t>
      </w:r>
      <w:r w:rsidR="009E3087" w:rsidRPr="00710BCD">
        <w:t>PM-2021-03724-1-1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127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127E3A">
            <w:r w:rsidRPr="00D01DDB">
              <w:t>Description</w:t>
            </w:r>
          </w:p>
        </w:tc>
        <w:tc>
          <w:tcPr>
            <w:tcW w:w="2977" w:type="dxa"/>
          </w:tcPr>
          <w:p w14:paraId="79AFDC4B" w14:textId="05792035" w:rsidR="00324B33" w:rsidRPr="00D01DDB" w:rsidRDefault="00324B33" w:rsidP="00127E3A">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23610C53"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759D2A12" w14:textId="5B596A3F" w:rsidR="00324B33" w:rsidRPr="00E679D1" w:rsidRDefault="00025ACE" w:rsidP="00127E3A">
            <w:r>
              <w:t>Application</w:t>
            </w:r>
            <w:r w:rsidR="00324B33" w:rsidRPr="00E679D1">
              <w:t xml:space="preserve"> dossier accepted and first round evaluation commenced</w:t>
            </w:r>
          </w:p>
        </w:tc>
        <w:tc>
          <w:tcPr>
            <w:tcW w:w="2977" w:type="dxa"/>
          </w:tcPr>
          <w:p w14:paraId="2963D9D8" w14:textId="199B03B2" w:rsidR="00324B33" w:rsidRPr="00D01DDB" w:rsidRDefault="006A7DC0" w:rsidP="00127E3A">
            <w:pPr>
              <w:cnfStyle w:val="000000000000" w:firstRow="0" w:lastRow="0" w:firstColumn="0" w:lastColumn="0" w:oddVBand="0" w:evenVBand="0" w:oddHBand="0" w:evenHBand="0" w:firstRowFirstColumn="0" w:firstRowLastColumn="0" w:lastRowFirstColumn="0" w:lastRowLastColumn="0"/>
            </w:pPr>
            <w:r>
              <w:t>6 October 2021</w:t>
            </w:r>
          </w:p>
        </w:tc>
      </w:tr>
      <w:tr w:rsidR="00324B33" w:rsidRPr="00D01DDB" w14:paraId="53437815"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127E3A">
            <w:r w:rsidRPr="00E679D1">
              <w:t>First round evaluation completed</w:t>
            </w:r>
          </w:p>
        </w:tc>
        <w:tc>
          <w:tcPr>
            <w:tcW w:w="2977" w:type="dxa"/>
          </w:tcPr>
          <w:p w14:paraId="3CEAFAAB" w14:textId="6325FCD6" w:rsidR="00324B33" w:rsidRPr="00D01DDB" w:rsidRDefault="00EC1A7B" w:rsidP="00127E3A">
            <w:pPr>
              <w:cnfStyle w:val="000000000000" w:firstRow="0" w:lastRow="0" w:firstColumn="0" w:lastColumn="0" w:oddVBand="0" w:evenVBand="0" w:oddHBand="0" w:evenHBand="0" w:firstRowFirstColumn="0" w:firstRowLastColumn="0" w:lastRowFirstColumn="0" w:lastRowLastColumn="0"/>
            </w:pPr>
            <w:r>
              <w:t>23 March 202</w:t>
            </w:r>
            <w:r w:rsidRPr="008A1B1D">
              <w:t>3</w:t>
            </w:r>
          </w:p>
        </w:tc>
      </w:tr>
      <w:tr w:rsidR="00324B33" w:rsidRPr="00D01DDB" w14:paraId="767E33A4"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127E3A">
            <w:r w:rsidRPr="00E679D1">
              <w:t>Second round evaluation completed</w:t>
            </w:r>
          </w:p>
        </w:tc>
        <w:tc>
          <w:tcPr>
            <w:tcW w:w="2977" w:type="dxa"/>
          </w:tcPr>
          <w:p w14:paraId="4E47DF62" w14:textId="001111BD" w:rsidR="00324B33" w:rsidRPr="00D01DDB" w:rsidRDefault="001F0B30" w:rsidP="00127E3A">
            <w:pPr>
              <w:cnfStyle w:val="000000000000" w:firstRow="0" w:lastRow="0" w:firstColumn="0" w:lastColumn="0" w:oddVBand="0" w:evenVBand="0" w:oddHBand="0" w:evenHBand="0" w:firstRowFirstColumn="0" w:firstRowLastColumn="0" w:lastRowFirstColumn="0" w:lastRowLastColumn="0"/>
            </w:pPr>
            <w:r>
              <w:t>21 July 2022</w:t>
            </w:r>
          </w:p>
        </w:tc>
      </w:tr>
      <w:tr w:rsidR="00324B33" w:rsidRPr="00D01DDB" w14:paraId="302FCB45"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716E9DC1" w14:textId="0FA17B1E" w:rsidR="00324B33" w:rsidRPr="00D01DDB" w:rsidRDefault="00324B33" w:rsidP="00127E3A">
            <w:r w:rsidRPr="00D01DDB">
              <w:t>Delegate’s</w:t>
            </w:r>
            <w:r w:rsidR="00500D68">
              <w:rPr>
                <w:rStyle w:val="FootnoteReference"/>
                <w:szCs w:val="22"/>
              </w:rPr>
              <w:footnoteReference w:id="5"/>
            </w:r>
            <w:r w:rsidRPr="00D01DDB">
              <w:t xml:space="preserve"> benefit-risk assessment </w:t>
            </w:r>
            <w:r w:rsidRPr="001F0B30">
              <w:rPr>
                <w:color w:val="auto"/>
              </w:rPr>
              <w:t xml:space="preserve">and request for Advisory Committee </w:t>
            </w:r>
            <w:r w:rsidR="003B6975">
              <w:rPr>
                <w:color w:val="auto"/>
              </w:rPr>
              <w:t xml:space="preserve">on Medicines (ACM) </w:t>
            </w:r>
            <w:r w:rsidRPr="001F0B30">
              <w:rPr>
                <w:color w:val="auto"/>
              </w:rPr>
              <w:t>advice</w:t>
            </w:r>
            <w:r w:rsidRPr="00D01DDB">
              <w:rPr>
                <w:color w:val="007099"/>
              </w:rPr>
              <w:t xml:space="preserve"> </w:t>
            </w:r>
          </w:p>
        </w:tc>
        <w:tc>
          <w:tcPr>
            <w:tcW w:w="2977" w:type="dxa"/>
          </w:tcPr>
          <w:p w14:paraId="3BA6EF79" w14:textId="7E64E1ED" w:rsidR="00324B33" w:rsidRPr="00D01DDB" w:rsidRDefault="00756857" w:rsidP="00127E3A">
            <w:pPr>
              <w:cnfStyle w:val="000000000000" w:firstRow="0" w:lastRow="0" w:firstColumn="0" w:lastColumn="0" w:oddVBand="0" w:evenVBand="0" w:oddHBand="0" w:evenHBand="0" w:firstRowFirstColumn="0" w:firstRowLastColumn="0" w:lastRowFirstColumn="0" w:lastRowLastColumn="0"/>
            </w:pPr>
            <w:r>
              <w:t>September 2022</w:t>
            </w:r>
          </w:p>
        </w:tc>
      </w:tr>
      <w:tr w:rsidR="00324B33" w:rsidRPr="00D01DDB" w14:paraId="5754F7AC"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789DE187" w14:textId="3241C72E" w:rsidR="00324B33" w:rsidRPr="00E679D1" w:rsidRDefault="000B5288" w:rsidP="00127E3A">
            <w:r>
              <w:t xml:space="preserve">First </w:t>
            </w:r>
            <w:r w:rsidR="00756857">
              <w:t xml:space="preserve">ACM </w:t>
            </w:r>
            <w:r w:rsidR="00C04291">
              <w:t>M</w:t>
            </w:r>
            <w:r w:rsidR="00324B33" w:rsidRPr="00E679D1">
              <w:t>eeting</w:t>
            </w:r>
            <w:r w:rsidR="00C04291">
              <w:t xml:space="preserve"> </w:t>
            </w:r>
            <w:r>
              <w:t xml:space="preserve">(Meeting </w:t>
            </w:r>
            <w:r w:rsidR="00C04291">
              <w:t>35</w:t>
            </w:r>
            <w:r>
              <w:t>)</w:t>
            </w:r>
          </w:p>
        </w:tc>
        <w:tc>
          <w:tcPr>
            <w:tcW w:w="2977" w:type="dxa"/>
          </w:tcPr>
          <w:p w14:paraId="5BE1EDE7" w14:textId="39AEB50F" w:rsidR="00324B33" w:rsidRPr="00D01DDB" w:rsidRDefault="00756857" w:rsidP="00127E3A">
            <w:pPr>
              <w:cnfStyle w:val="000000000000" w:firstRow="0" w:lastRow="0" w:firstColumn="0" w:lastColumn="0" w:oddVBand="0" w:evenVBand="0" w:oddHBand="0" w:evenHBand="0" w:firstRowFirstColumn="0" w:firstRowLastColumn="0" w:lastRowFirstColumn="0" w:lastRowLastColumn="0"/>
            </w:pPr>
            <w:r>
              <w:t>October 2022</w:t>
            </w:r>
          </w:p>
        </w:tc>
      </w:tr>
      <w:tr w:rsidR="00042CF1" w:rsidRPr="00D01DDB" w14:paraId="0B09FF5E"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26D5134D" w14:textId="6A90E827" w:rsidR="00042CF1" w:rsidRPr="000E7EDC" w:rsidRDefault="00E3419C" w:rsidP="00127E3A">
            <w:r>
              <w:t xml:space="preserve">Sponsor’s submission of </w:t>
            </w:r>
            <w:r w:rsidR="003B6A04">
              <w:t>additional safety and efficacy data</w:t>
            </w:r>
          </w:p>
        </w:tc>
        <w:tc>
          <w:tcPr>
            <w:tcW w:w="2977" w:type="dxa"/>
          </w:tcPr>
          <w:p w14:paraId="57524ABC" w14:textId="1AD07107" w:rsidR="00042CF1" w:rsidRDefault="003B6A04" w:rsidP="00127E3A">
            <w:pPr>
              <w:cnfStyle w:val="000000000000" w:firstRow="0" w:lastRow="0" w:firstColumn="0" w:lastColumn="0" w:oddVBand="0" w:evenVBand="0" w:oddHBand="0" w:evenHBand="0" w:firstRowFirstColumn="0" w:firstRowLastColumn="0" w:lastRowFirstColumn="0" w:lastRowLastColumn="0"/>
            </w:pPr>
            <w:r>
              <w:t xml:space="preserve">9 November 2022 to </w:t>
            </w:r>
            <w:r w:rsidR="00EA54F9">
              <w:t>15 September 2023</w:t>
            </w:r>
          </w:p>
        </w:tc>
      </w:tr>
      <w:tr w:rsidR="00E624C8" w:rsidRPr="00D01DDB" w14:paraId="7F366C6E"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34FC385C" w14:textId="51595FAC" w:rsidR="00E624C8" w:rsidRPr="00756857" w:rsidRDefault="00CA0D53" w:rsidP="00127E3A">
            <w:pPr>
              <w:rPr>
                <w:highlight w:val="yellow"/>
              </w:rPr>
            </w:pPr>
            <w:r w:rsidRPr="000E7EDC">
              <w:t>Delegate</w:t>
            </w:r>
            <w:r w:rsidR="000E7EDC" w:rsidRPr="000E7EDC">
              <w:t xml:space="preserve">’s </w:t>
            </w:r>
            <w:r w:rsidR="000E7EDC" w:rsidRPr="00D01DDB">
              <w:t xml:space="preserve">benefit-risk assessment </w:t>
            </w:r>
            <w:r w:rsidR="00E3419C">
              <w:t xml:space="preserve">of additional safety and efficacy data </w:t>
            </w:r>
            <w:r w:rsidR="000E7EDC" w:rsidRPr="001F0B30">
              <w:rPr>
                <w:color w:val="auto"/>
              </w:rPr>
              <w:t xml:space="preserve">and request for </w:t>
            </w:r>
            <w:r w:rsidR="000E7EDC">
              <w:rPr>
                <w:color w:val="auto"/>
              </w:rPr>
              <w:t xml:space="preserve">ACM </w:t>
            </w:r>
            <w:r w:rsidR="000E7EDC" w:rsidRPr="001F0B30">
              <w:rPr>
                <w:color w:val="auto"/>
              </w:rPr>
              <w:t>advice</w:t>
            </w:r>
          </w:p>
        </w:tc>
        <w:tc>
          <w:tcPr>
            <w:tcW w:w="2977" w:type="dxa"/>
          </w:tcPr>
          <w:p w14:paraId="4B0AFA70" w14:textId="5AEFB990" w:rsidR="00E624C8" w:rsidRDefault="00B62F76" w:rsidP="00127E3A">
            <w:pPr>
              <w:cnfStyle w:val="000000000000" w:firstRow="0" w:lastRow="0" w:firstColumn="0" w:lastColumn="0" w:oddVBand="0" w:evenVBand="0" w:oddHBand="0" w:evenHBand="0" w:firstRowFirstColumn="0" w:firstRowLastColumn="0" w:lastRowFirstColumn="0" w:lastRowLastColumn="0"/>
            </w:pPr>
            <w:r>
              <w:t>July 2023</w:t>
            </w:r>
          </w:p>
        </w:tc>
      </w:tr>
      <w:tr w:rsidR="00756857" w:rsidRPr="00D01DDB" w14:paraId="585C5153"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5A1DF030" w14:textId="53691C6B" w:rsidR="00756857" w:rsidRPr="00E679D1" w:rsidRDefault="003919EA" w:rsidP="00127E3A">
            <w:r>
              <w:t xml:space="preserve">Second </w:t>
            </w:r>
            <w:r w:rsidR="00756857" w:rsidRPr="00C04291">
              <w:t xml:space="preserve">ACM </w:t>
            </w:r>
            <w:r w:rsidR="00C04291" w:rsidRPr="00C04291">
              <w:t>M</w:t>
            </w:r>
            <w:r w:rsidR="00756857" w:rsidRPr="00C04291">
              <w:t>eeting</w:t>
            </w:r>
            <w:r w:rsidR="00C04291" w:rsidRPr="00C04291">
              <w:t xml:space="preserve"> </w:t>
            </w:r>
            <w:r>
              <w:t xml:space="preserve">(Meeting </w:t>
            </w:r>
            <w:r w:rsidR="00023C95">
              <w:t>40</w:t>
            </w:r>
            <w:r>
              <w:t>)</w:t>
            </w:r>
          </w:p>
        </w:tc>
        <w:tc>
          <w:tcPr>
            <w:tcW w:w="2977" w:type="dxa"/>
          </w:tcPr>
          <w:p w14:paraId="4994465E" w14:textId="3A57A160" w:rsidR="00756857" w:rsidRPr="00D01DDB" w:rsidRDefault="00EE6932" w:rsidP="00127E3A">
            <w:pPr>
              <w:cnfStyle w:val="000000000000" w:firstRow="0" w:lastRow="0" w:firstColumn="0" w:lastColumn="0" w:oddVBand="0" w:evenVBand="0" w:oddHBand="0" w:evenHBand="0" w:firstRowFirstColumn="0" w:firstRowLastColumn="0" w:lastRowFirstColumn="0" w:lastRowLastColumn="0"/>
            </w:pPr>
            <w:r>
              <w:t>August 20</w:t>
            </w:r>
            <w:r w:rsidR="00723CE8">
              <w:t>23</w:t>
            </w:r>
          </w:p>
        </w:tc>
      </w:tr>
      <w:tr w:rsidR="00756857" w:rsidRPr="00D01DDB" w14:paraId="6E5D32FE"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4E95C44C" w14:textId="1E75EAB7" w:rsidR="00756857" w:rsidRPr="00E679D1" w:rsidRDefault="00756857" w:rsidP="00127E3A">
            <w:r w:rsidRPr="008A1B1D">
              <w:t xml:space="preserve">Registration decision </w:t>
            </w:r>
          </w:p>
        </w:tc>
        <w:tc>
          <w:tcPr>
            <w:tcW w:w="2977" w:type="dxa"/>
          </w:tcPr>
          <w:p w14:paraId="62987ABD" w14:textId="7FFEF7C8" w:rsidR="00756857" w:rsidRPr="00D01DDB" w:rsidRDefault="00317C48" w:rsidP="00127E3A">
            <w:pPr>
              <w:cnfStyle w:val="000000000000" w:firstRow="0" w:lastRow="0" w:firstColumn="0" w:lastColumn="0" w:oddVBand="0" w:evenVBand="0" w:oddHBand="0" w:evenHBand="0" w:firstRowFirstColumn="0" w:firstRowLastColumn="0" w:lastRowFirstColumn="0" w:lastRowLastColumn="0"/>
            </w:pPr>
            <w:r>
              <w:t>1 March 2024</w:t>
            </w:r>
          </w:p>
        </w:tc>
      </w:tr>
      <w:tr w:rsidR="00756857" w:rsidRPr="00D01DDB" w14:paraId="6DDCDDA4"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756857" w:rsidRPr="00E679D1" w:rsidRDefault="00756857" w:rsidP="00127E3A">
            <w:r w:rsidRPr="00E679D1">
              <w:t>Administrative activities and registration in the ARTG completed</w:t>
            </w:r>
          </w:p>
        </w:tc>
        <w:tc>
          <w:tcPr>
            <w:tcW w:w="2977" w:type="dxa"/>
          </w:tcPr>
          <w:p w14:paraId="5A8923FD" w14:textId="3380FA47" w:rsidR="00756857" w:rsidRPr="00D01DDB" w:rsidRDefault="006E2FC8" w:rsidP="00127E3A">
            <w:pPr>
              <w:cnfStyle w:val="000000000000" w:firstRow="0" w:lastRow="0" w:firstColumn="0" w:lastColumn="0" w:oddVBand="0" w:evenVBand="0" w:oddHBand="0" w:evenHBand="0" w:firstRowFirstColumn="0" w:firstRowLastColumn="0" w:lastRowFirstColumn="0" w:lastRowLastColumn="0"/>
            </w:pPr>
            <w:r>
              <w:t>27 March 2024</w:t>
            </w:r>
          </w:p>
        </w:tc>
      </w:tr>
      <w:tr w:rsidR="00756857" w:rsidRPr="00D01DDB" w14:paraId="56D922E2" w14:textId="77777777" w:rsidTr="00127E3A">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756857" w:rsidRPr="00E679D1" w:rsidRDefault="00756857" w:rsidP="00127E3A">
            <w:r w:rsidRPr="00E679D1">
              <w:t>Number of working days from submission dossier acceptance to registration decision*</w:t>
            </w:r>
          </w:p>
        </w:tc>
        <w:tc>
          <w:tcPr>
            <w:tcW w:w="2977" w:type="dxa"/>
          </w:tcPr>
          <w:p w14:paraId="5BAF9FA1" w14:textId="14884F9C" w:rsidR="00756857" w:rsidRPr="008A1B1D" w:rsidRDefault="00D40D19" w:rsidP="00127E3A">
            <w:pPr>
              <w:cnfStyle w:val="000000000000" w:firstRow="0" w:lastRow="0" w:firstColumn="0" w:lastColumn="0" w:oddVBand="0" w:evenVBand="0" w:oddHBand="0" w:evenHBand="0" w:firstRowFirstColumn="0" w:firstRowLastColumn="0" w:lastRowFirstColumn="0" w:lastRowLastColumn="0"/>
            </w:pPr>
            <w:r w:rsidRPr="008A1B1D">
              <w:t>232</w:t>
            </w:r>
          </w:p>
        </w:tc>
      </w:tr>
    </w:tbl>
    <w:p w14:paraId="7B02554C" w14:textId="77777777" w:rsidR="00433318" w:rsidRDefault="00433318" w:rsidP="00127E3A">
      <w:pPr>
        <w:pStyle w:val="TableDescription"/>
      </w:pPr>
      <w:r>
        <w:t>*</w:t>
      </w:r>
      <w:r w:rsidRPr="00BF3774">
        <w:t xml:space="preserve">Statutory </w:t>
      </w:r>
      <w:r>
        <w:t xml:space="preserve">timeframe for standard </w:t>
      </w:r>
      <w:r w:rsidRPr="00127E3A">
        <w:t>submissions</w:t>
      </w:r>
      <w:r>
        <w:t xml:space="preserve"> is 255 working days</w:t>
      </w:r>
    </w:p>
    <w:p w14:paraId="220925F1" w14:textId="1DD731FB" w:rsidR="00C22214" w:rsidRPr="00792A32" w:rsidRDefault="009643A6" w:rsidP="00127E3A">
      <w:pPr>
        <w:pStyle w:val="Heading2"/>
      </w:pPr>
      <w:bookmarkStart w:id="29" w:name="_Toc196046504"/>
      <w:bookmarkStart w:id="30" w:name="_Toc247691527"/>
      <w:bookmarkStart w:id="31" w:name="_Toc314842510"/>
      <w:bookmarkStart w:id="32" w:name="_Toc103679294"/>
      <w:bookmarkStart w:id="33" w:name="_Toc182486545"/>
      <w:r>
        <w:t>Submission overview and r</w:t>
      </w:r>
      <w:r w:rsidR="00C22214" w:rsidRPr="00792A32">
        <w:t>isk</w:t>
      </w:r>
      <w:r w:rsidR="00730492">
        <w:t>-</w:t>
      </w:r>
      <w:r w:rsidR="00C22214">
        <w:t>b</w:t>
      </w:r>
      <w:r w:rsidR="00C22214" w:rsidRPr="00792A32">
        <w:t xml:space="preserve">enefit </w:t>
      </w:r>
      <w:r w:rsidR="00C22214" w:rsidRPr="00127E3A">
        <w:t>assessment</w:t>
      </w:r>
      <w:bookmarkEnd w:id="29"/>
      <w:bookmarkEnd w:id="30"/>
      <w:bookmarkEnd w:id="31"/>
      <w:bookmarkEnd w:id="32"/>
      <w:bookmarkEnd w:id="33"/>
    </w:p>
    <w:p w14:paraId="540151FC" w14:textId="0AECA8AE" w:rsidR="00C22214" w:rsidRPr="00BD5DBD" w:rsidRDefault="00C22214" w:rsidP="00127E3A">
      <w:bookmarkStart w:id="34" w:name="_Toc247691528"/>
      <w:bookmarkStart w:id="35" w:name="_Toc314842511"/>
      <w:r w:rsidRPr="00BD5DBD">
        <w:t xml:space="preserve">A summary of the TGA’s assessment </w:t>
      </w:r>
      <w:r w:rsidR="00F72A45">
        <w:t>of Vyalev</w:t>
      </w:r>
      <w:r w:rsidRPr="00BD5DBD">
        <w:t xml:space="preserve"> is provided below.</w:t>
      </w:r>
    </w:p>
    <w:p w14:paraId="37F5A1C0" w14:textId="6B5BFDC8" w:rsidR="00C22214" w:rsidRDefault="00B775F8" w:rsidP="00127E3A">
      <w:pPr>
        <w:pStyle w:val="Heading3"/>
      </w:pPr>
      <w:bookmarkStart w:id="36" w:name="_Toc103679295"/>
      <w:bookmarkStart w:id="37" w:name="_Toc182486546"/>
      <w:r>
        <w:t>Manufacturing and q</w:t>
      </w:r>
      <w:r w:rsidR="00C22214">
        <w:t>uality</w:t>
      </w:r>
      <w:bookmarkEnd w:id="34"/>
      <w:bookmarkEnd w:id="35"/>
      <w:bookmarkEnd w:id="36"/>
      <w:r>
        <w:t xml:space="preserve"> </w:t>
      </w:r>
      <w:r w:rsidRPr="00127E3A">
        <w:t>evaluation</w:t>
      </w:r>
      <w:r>
        <w:t xml:space="preserve"> </w:t>
      </w:r>
      <w:r w:rsidRPr="00127E3A">
        <w:t>summary</w:t>
      </w:r>
      <w:bookmarkEnd w:id="37"/>
    </w:p>
    <w:p w14:paraId="19121CDB" w14:textId="0F6DF81E" w:rsidR="00B5097C" w:rsidRDefault="00B5097C" w:rsidP="00127E3A">
      <w:r>
        <w:t xml:space="preserve">The </w:t>
      </w:r>
      <w:r w:rsidR="00AE6289">
        <w:t>quality</w:t>
      </w:r>
      <w:r>
        <w:t xml:space="preserve"> evaluator recommended registration </w:t>
      </w:r>
      <w:r w:rsidR="007D338B">
        <w:t xml:space="preserve">approval </w:t>
      </w:r>
      <w:r>
        <w:t>of the proposed product from a pharmaceutical chemistry perspective.</w:t>
      </w:r>
    </w:p>
    <w:p w14:paraId="056FC8DC" w14:textId="42934CF1" w:rsidR="00AE6289" w:rsidRDefault="00AE6289" w:rsidP="00127E3A">
      <w:pPr>
        <w:pStyle w:val="Heading4"/>
      </w:pPr>
      <w:bookmarkStart w:id="38" w:name="_Toc182486547"/>
      <w:r>
        <w:t xml:space="preserve">Key </w:t>
      </w:r>
      <w:r w:rsidRPr="00127E3A">
        <w:t>findings</w:t>
      </w:r>
      <w:bookmarkEnd w:id="38"/>
    </w:p>
    <w:p w14:paraId="66E9AC89" w14:textId="5163E89C" w:rsidR="00B5097C" w:rsidRDefault="00B5097C" w:rsidP="00127E3A">
      <w:pPr>
        <w:pStyle w:val="ListBullet"/>
      </w:pPr>
      <w:r>
        <w:t>The infusion contains</w:t>
      </w:r>
      <w:r w:rsidR="001475B0">
        <w:t>2</w:t>
      </w:r>
      <w:r>
        <w:t xml:space="preserve"> ‘new </w:t>
      </w:r>
      <w:r w:rsidRPr="00127E3A">
        <w:t>chemical</w:t>
      </w:r>
      <w:r>
        <w:t xml:space="preserve"> entities’: </w:t>
      </w:r>
      <w:proofErr w:type="spellStart"/>
      <w:r w:rsidR="00A175F6">
        <w:t>foslevodopa</w:t>
      </w:r>
      <w:proofErr w:type="spellEnd"/>
      <w:r>
        <w:t xml:space="preserve"> and </w:t>
      </w:r>
      <w:proofErr w:type="spellStart"/>
      <w:r>
        <w:t>foscarbidopa</w:t>
      </w:r>
      <w:proofErr w:type="spellEnd"/>
      <w:r>
        <w:t xml:space="preserve">. These are phosphate ester prodrugs that are converted </w:t>
      </w:r>
      <w:r w:rsidRPr="00487615">
        <w:rPr>
          <w:i/>
          <w:iCs/>
        </w:rPr>
        <w:t>in vivo</w:t>
      </w:r>
      <w:r>
        <w:t xml:space="preserve"> by alkaline phosphatases to </w:t>
      </w:r>
      <w:r w:rsidR="0064134F">
        <w:t>l</w:t>
      </w:r>
      <w:r w:rsidR="00A175F6">
        <w:t>evodopa</w:t>
      </w:r>
      <w:r>
        <w:t xml:space="preserve"> and carbidopa respectively.</w:t>
      </w:r>
    </w:p>
    <w:p w14:paraId="7B94EC9B" w14:textId="04C3B924" w:rsidR="00B5097C" w:rsidRDefault="00B5097C" w:rsidP="00127E3A">
      <w:pPr>
        <w:pStyle w:val="ListBullet"/>
      </w:pPr>
      <w:r>
        <w:t xml:space="preserve">Dopamine doesn’t significantly cross the blood-brain barrier, but </w:t>
      </w:r>
      <w:r w:rsidR="0064134F">
        <w:t>l</w:t>
      </w:r>
      <w:r w:rsidR="00A175F6">
        <w:t>evodopa</w:t>
      </w:r>
      <w:r>
        <w:t xml:space="preserve"> (also known as ‘L DOPA’) does cross, via the transporter LAT1. In the brain, L-DOPA is converted to dopamine by the enzyme aromatic amino acid decarboxylase. Carbidopa, which does not cross the blood-brain barrier, inhibits the extracerebral decarboxylation of </w:t>
      </w:r>
      <w:r w:rsidR="0064134F">
        <w:t>l</w:t>
      </w:r>
      <w:r w:rsidR="00A175F6">
        <w:t>evodopa</w:t>
      </w:r>
      <w:r>
        <w:t xml:space="preserve">, so that more </w:t>
      </w:r>
      <w:r w:rsidR="0064134F">
        <w:t>l</w:t>
      </w:r>
      <w:r w:rsidR="00A175F6">
        <w:t>evodopa</w:t>
      </w:r>
      <w:r>
        <w:t xml:space="preserve"> reaches the brain and is converted into dopamine. </w:t>
      </w:r>
      <w:r w:rsidR="00A175F6">
        <w:t>Foslevodopa</w:t>
      </w:r>
      <w:r w:rsidRPr="001475B0">
        <w:t xml:space="preserve"> is, thus, a prodrug of a prodrug.</w:t>
      </w:r>
    </w:p>
    <w:p w14:paraId="04EFAF32" w14:textId="77777777" w:rsidR="00127E3A" w:rsidRDefault="00B5097C" w:rsidP="00127E3A">
      <w:pPr>
        <w:pStyle w:val="ListBullet"/>
      </w:pPr>
      <w:r>
        <w:t xml:space="preserve">The proposed infusion has </w:t>
      </w:r>
      <w:r w:rsidR="00A175F6">
        <w:t>foslevodopa</w:t>
      </w:r>
      <w:r>
        <w:t xml:space="preserve"> and foscarbidopa in a 23 to 1 mole ratio (= 20:1 w/w). The TGA approved </w:t>
      </w:r>
      <w:proofErr w:type="spellStart"/>
      <w:r w:rsidR="00A175F6">
        <w:t>Duodopa</w:t>
      </w:r>
      <w:proofErr w:type="spellEnd"/>
      <w:r>
        <w:t xml:space="preserve"> has </w:t>
      </w:r>
      <w:r w:rsidR="0064134F">
        <w:t>l</w:t>
      </w:r>
      <w:r w:rsidR="00A175F6">
        <w:t>evodopa</w:t>
      </w:r>
      <w:r>
        <w:t xml:space="preserve"> and carbidopa in a 5:1 </w:t>
      </w:r>
      <w:r w:rsidRPr="00127E3A">
        <w:t>mole</w:t>
      </w:r>
      <w:r>
        <w:t xml:space="preserve"> ratio.</w:t>
      </w:r>
    </w:p>
    <w:p w14:paraId="319708EA" w14:textId="6421EF8C" w:rsidR="00B5097C" w:rsidRDefault="00B5097C" w:rsidP="00127E3A">
      <w:pPr>
        <w:pStyle w:val="ListBullet"/>
        <w:numPr>
          <w:ilvl w:val="0"/>
          <w:numId w:val="0"/>
        </w:numPr>
        <w:ind w:left="360"/>
      </w:pPr>
      <w:r>
        <w:t xml:space="preserve">(Registered 200/25 mg and 100/25 mg tablets have </w:t>
      </w:r>
      <w:r w:rsidR="0064134F">
        <w:t>l</w:t>
      </w:r>
      <w:r w:rsidR="00A175F6">
        <w:t>evodopa</w:t>
      </w:r>
      <w:r>
        <w:t xml:space="preserve"> and carbidopa monohydrate in a 10:1 or in a 5:1 mole ratio respectively.) </w:t>
      </w:r>
    </w:p>
    <w:p w14:paraId="0A3DD912" w14:textId="605A9728" w:rsidR="00B5097C" w:rsidRDefault="00B5097C" w:rsidP="00127E3A">
      <w:pPr>
        <w:pStyle w:val="ListBullet"/>
      </w:pPr>
      <w:r>
        <w:t xml:space="preserve">The </w:t>
      </w:r>
      <w:proofErr w:type="spellStart"/>
      <w:r>
        <w:t>foscarbidopa</w:t>
      </w:r>
      <w:proofErr w:type="spellEnd"/>
      <w:r>
        <w:t xml:space="preserve"> concentration </w:t>
      </w:r>
      <w:r w:rsidRPr="00127E3A">
        <w:t>was</w:t>
      </w:r>
      <w:r>
        <w:t xml:space="preserve"> selected to maintain a 20:1 (w/w) ratio of </w:t>
      </w:r>
      <w:proofErr w:type="spellStart"/>
      <w:r w:rsidR="00A175F6">
        <w:t>foslevodopa</w:t>
      </w:r>
      <w:proofErr w:type="spellEnd"/>
      <w:r>
        <w:t xml:space="preserve"> to </w:t>
      </w:r>
      <w:proofErr w:type="spellStart"/>
      <w:r>
        <w:t>foscarbidopa</w:t>
      </w:r>
      <w:proofErr w:type="spellEnd"/>
      <w:r>
        <w:t xml:space="preserve">, which had </w:t>
      </w:r>
      <w:r w:rsidRPr="00127E3A">
        <w:t>been</w:t>
      </w:r>
      <w:r>
        <w:t xml:space="preserve"> shown in vivo to provide an equivalent </w:t>
      </w:r>
      <w:proofErr w:type="spellStart"/>
      <w:proofErr w:type="gramStart"/>
      <w:r w:rsidR="0064134F">
        <w:t>l</w:t>
      </w:r>
      <w:r w:rsidR="00A175F6">
        <w:t>evodopa</w:t>
      </w:r>
      <w:r>
        <w:t>:carbidopa</w:t>
      </w:r>
      <w:proofErr w:type="spellEnd"/>
      <w:proofErr w:type="gramEnd"/>
      <w:r>
        <w:t xml:space="preserve"> exposure ratio to oral </w:t>
      </w:r>
      <w:r w:rsidR="0064134F">
        <w:t>l</w:t>
      </w:r>
      <w:r w:rsidR="00A175F6">
        <w:t>evodopa</w:t>
      </w:r>
      <w:r>
        <w:t>/carbidopa formulations at the 4:1 (w/w) ratio (e.g. 100/25 mg).</w:t>
      </w:r>
    </w:p>
    <w:p w14:paraId="01BD35C6" w14:textId="0E65D34B" w:rsidR="00B5097C" w:rsidRDefault="00A175F6" w:rsidP="00127E3A">
      <w:pPr>
        <w:pStyle w:val="ListBullet"/>
      </w:pPr>
      <w:r>
        <w:t>Foslevodopa</w:t>
      </w:r>
      <w:r w:rsidR="00B5097C">
        <w:t xml:space="preserve"> and foscarbidopa drug substances are highly </w:t>
      </w:r>
      <w:r w:rsidR="00B5097C" w:rsidRPr="00127E3A">
        <w:t>water</w:t>
      </w:r>
      <w:r w:rsidR="00B5097C">
        <w:t xml:space="preserve"> soluble.</w:t>
      </w:r>
    </w:p>
    <w:p w14:paraId="52C4A32D" w14:textId="18E972C2" w:rsidR="00B5097C" w:rsidRPr="00127E3A" w:rsidRDefault="00B5097C" w:rsidP="00AA1098">
      <w:pPr>
        <w:pStyle w:val="ListBullet"/>
      </w:pPr>
      <w:r>
        <w:t>Foscarbidopa is susceptible to pH dependent oxidative degradation in the infusion solution to ‘DHPPA-P’, ‘</w:t>
      </w:r>
      <w:proofErr w:type="spellStart"/>
      <w:r>
        <w:t>HydrazoneAB</w:t>
      </w:r>
      <w:proofErr w:type="spellEnd"/>
      <w:r>
        <w:t xml:space="preserve">’, and </w:t>
      </w:r>
      <w:r w:rsidRPr="00127E3A">
        <w:t xml:space="preserve">hydrazine: </w:t>
      </w:r>
    </w:p>
    <w:p w14:paraId="3EEACF66" w14:textId="4376FFA3" w:rsidR="00AA1098" w:rsidRDefault="00B5097C" w:rsidP="00127E3A">
      <w:pPr>
        <w:pStyle w:val="ListBullet"/>
      </w:pPr>
      <w:r w:rsidRPr="00127E3A">
        <w:t>Hydrazine</w:t>
      </w:r>
    </w:p>
    <w:p w14:paraId="5CB4E2AB" w14:textId="6F1F3C75" w:rsidR="00B5097C" w:rsidRDefault="00B5097C" w:rsidP="00127E3A">
      <w:pPr>
        <w:pStyle w:val="ListBullet2"/>
      </w:pPr>
      <w:r>
        <w:t>The existence of hydrazine as a potential impurity in the finished product is noted in the PI (“up to 0.5 mg/day”).</w:t>
      </w:r>
    </w:p>
    <w:p w14:paraId="2268AB7D" w14:textId="2BC0A1E9" w:rsidR="00B5097C" w:rsidRPr="007D0922" w:rsidRDefault="00B5097C" w:rsidP="00127E3A">
      <w:pPr>
        <w:pStyle w:val="ListBullet2"/>
      </w:pPr>
      <w:r w:rsidRPr="007D0922">
        <w:t xml:space="preserve">Hydrazine is a reagent typically used in the synthesis of carbidopa and a degradation impurity in both carbidopa and foscarbidopa. Hydrazine </w:t>
      </w:r>
      <w:r w:rsidRPr="00127E3A">
        <w:t>is</w:t>
      </w:r>
      <w:r w:rsidRPr="007D0922">
        <w:t xml:space="preserve"> controlled in the precursor carbidopa to 20 ppm. The proposed finished product limits for hydrazine are ≤ 0.035% (release); ≤ 0.100% (Shelf-life) ≤ 0.175% (Clinical In-Use), where % limits relate to the foscarbidopa content. </w:t>
      </w:r>
    </w:p>
    <w:p w14:paraId="2487AD6F" w14:textId="143A8BC2" w:rsidR="00B5097C" w:rsidRDefault="00B5097C" w:rsidP="00127E3A">
      <w:pPr>
        <w:pStyle w:val="ListBullet2"/>
      </w:pPr>
      <w:r>
        <w:t>The Sponsor state</w:t>
      </w:r>
      <w:r w:rsidR="0082067C">
        <w:t>d</w:t>
      </w:r>
      <w:r>
        <w:t xml:space="preserve"> that hydrazine is a non-mutagenic </w:t>
      </w:r>
      <w:r w:rsidRPr="00127E3A">
        <w:t>carcinogen</w:t>
      </w:r>
      <w:r>
        <w:t>.</w:t>
      </w:r>
    </w:p>
    <w:p w14:paraId="041538B2" w14:textId="4DA54B9C" w:rsidR="00B5097C" w:rsidRPr="00127E3A" w:rsidRDefault="00B5097C" w:rsidP="00127E3A">
      <w:pPr>
        <w:pStyle w:val="ListBullet2"/>
      </w:pPr>
      <w:r>
        <w:t xml:space="preserve">The evaluator noted in the proposed PI that VYALEV </w:t>
      </w:r>
      <w:r w:rsidR="00704437">
        <w:t>could</w:t>
      </w:r>
      <w:r>
        <w:t xml:space="preserve"> have a maximum hydrazine dose of </w:t>
      </w:r>
      <w:r>
        <w:rPr>
          <w:i/>
          <w:iCs/>
        </w:rPr>
        <w:t xml:space="preserve">0.5 mg </w:t>
      </w:r>
      <w:r>
        <w:t xml:space="preserve">(i.e. the clinical in-use limit at maximum daily dose of foscarbidopa: 0.175%*300 mg = 0.525 mg). The current Australian </w:t>
      </w:r>
      <w:proofErr w:type="spellStart"/>
      <w:r w:rsidR="00A175F6">
        <w:t>Duodopa</w:t>
      </w:r>
      <w:proofErr w:type="spellEnd"/>
      <w:r>
        <w:t xml:space="preserve"> PI </w:t>
      </w:r>
      <w:r w:rsidRPr="00127E3A">
        <w:t>references</w:t>
      </w:r>
      <w:r>
        <w:t xml:space="preserve"> hydrazine as an impurity but does not quantify levels. The </w:t>
      </w:r>
      <w:r w:rsidR="00A175F6">
        <w:t>Duodopa</w:t>
      </w:r>
      <w:r>
        <w:t xml:space="preserve"> specifications limit hydrazine in the intestinal gel at the end of shelf-life to NMT 40 μg/g gel consistent with overseas (UK and USA) product information documentation detailing a maximum hydrazine exposure of </w:t>
      </w:r>
      <w:r>
        <w:rPr>
          <w:i/>
          <w:iCs/>
        </w:rPr>
        <w:t>8 mg</w:t>
      </w:r>
      <w:r w:rsidRPr="00127E3A">
        <w:t>.</w:t>
      </w:r>
    </w:p>
    <w:p w14:paraId="3D2CAF13" w14:textId="4B037A1D" w:rsidR="00B5097C" w:rsidRDefault="00B5097C" w:rsidP="00127E3A">
      <w:pPr>
        <w:pStyle w:val="ListBullet2"/>
      </w:pPr>
      <w:r>
        <w:t xml:space="preserve">The evaluator concluded: Hydrazine is a degradant of concern. The levels in this product are lower than in </w:t>
      </w:r>
      <w:r w:rsidR="00A175F6">
        <w:t>Duodopa</w:t>
      </w:r>
      <w:r>
        <w:t>. Pharmacopoeial</w:t>
      </w:r>
      <w:r w:rsidR="00E6138E">
        <w:t xml:space="preserve"> reference </w:t>
      </w:r>
      <w:r>
        <w:t>limits for hydrazine in carbidopa products are still evolving.</w:t>
      </w:r>
    </w:p>
    <w:p w14:paraId="2B47E45D" w14:textId="0AE15CF5" w:rsidR="00FA3288" w:rsidRDefault="00B5097C" w:rsidP="00127E3A">
      <w:pPr>
        <w:pStyle w:val="ListBullet"/>
      </w:pPr>
      <w:r w:rsidRPr="00127E3A">
        <w:t>Uranium</w:t>
      </w:r>
    </w:p>
    <w:p w14:paraId="5977A85E" w14:textId="1DA099C6" w:rsidR="00B5097C" w:rsidRDefault="00B5097C" w:rsidP="00127E3A">
      <w:pPr>
        <w:pStyle w:val="ListBullet2"/>
      </w:pPr>
      <w:r>
        <w:t xml:space="preserve">The evaluator stated that </w:t>
      </w:r>
      <w:r w:rsidR="00A175F6">
        <w:t>Foslevodopa</w:t>
      </w:r>
      <w:r>
        <w:t xml:space="preserve"> and foscarbidopa are made from </w:t>
      </w:r>
      <w:r w:rsidR="0064134F">
        <w:t>l</w:t>
      </w:r>
      <w:r w:rsidR="00A175F6">
        <w:t>evodopa</w:t>
      </w:r>
      <w:r>
        <w:t xml:space="preserve"> and carbidopa using a phosphorylating reagent itself made from phosphate salts. Those salts can contain uranium as an </w:t>
      </w:r>
      <w:proofErr w:type="gramStart"/>
      <w:r>
        <w:t>impurity</w:t>
      </w:r>
      <w:proofErr w:type="gramEnd"/>
      <w:r>
        <w:t xml:space="preserve"> and they are used in the last synthetic step in preparation of the drug substances. Thus, uranium is a risk associated </w:t>
      </w:r>
      <w:r w:rsidRPr="00127E3A">
        <w:t>with</w:t>
      </w:r>
      <w:r>
        <w:t xml:space="preserve"> </w:t>
      </w:r>
      <w:r w:rsidR="00A175F6">
        <w:t>foslevodopa</w:t>
      </w:r>
      <w:r>
        <w:t xml:space="preserve"> and foscarbidopa and not </w:t>
      </w:r>
      <w:r w:rsidR="00A175F6">
        <w:t>Duodopa</w:t>
      </w:r>
      <w:r>
        <w:t xml:space="preserve"> (or most other drugs).</w:t>
      </w:r>
    </w:p>
    <w:p w14:paraId="5E830BC4" w14:textId="28E09532" w:rsidR="00B5097C" w:rsidRDefault="00B5097C" w:rsidP="00127E3A">
      <w:pPr>
        <w:pStyle w:val="ListBullet2"/>
      </w:pPr>
      <w:r>
        <w:t xml:space="preserve">Appropriate control of such </w:t>
      </w:r>
      <w:r w:rsidRPr="00127E3A">
        <w:t>contamination</w:t>
      </w:r>
      <w:r>
        <w:t xml:space="preserve"> is best maintained with specifications for the reagent.</w:t>
      </w:r>
    </w:p>
    <w:p w14:paraId="64675470" w14:textId="1F78C17F" w:rsidR="00B5097C" w:rsidRDefault="00B5097C" w:rsidP="00127E3A">
      <w:pPr>
        <w:pStyle w:val="ListBullet2"/>
      </w:pPr>
      <w:r>
        <w:t xml:space="preserve">Five metals are controlled in the </w:t>
      </w:r>
      <w:r w:rsidR="00A175F6">
        <w:t>foslevodopa</w:t>
      </w:r>
      <w:r>
        <w:t xml:space="preserve"> and foscarbidopa drug substance specifications (V, Mn, Fe, Co, Cu), but not uranium. Uranium is not explicitly addressed in ICH Q3D.</w:t>
      </w:r>
    </w:p>
    <w:p w14:paraId="6B1F3EA7" w14:textId="5B90DEB6" w:rsidR="00B5097C" w:rsidRDefault="00B5097C" w:rsidP="00127E3A">
      <w:pPr>
        <w:pStyle w:val="ListBullet2"/>
      </w:pPr>
      <w:r>
        <w:t xml:space="preserve">The Sponsor responded that AbbVie states that it has now confirmed the </w:t>
      </w:r>
      <w:r w:rsidRPr="00127E3A">
        <w:t>capability</w:t>
      </w:r>
      <w:r>
        <w:t xml:space="preserve"> of updated analytical methodologies for uranium determination and can now commit to a control strategy to meet the 0.12 μg/day U PDE. AbbVie states that time is required to fully develop, validate and implement this control strategy and update the relevant documentation. AbbVie has proposed that tightening of the uranium PDE to 0.12 μg/day be accepted as a post-approval commitment: AbbVie commits to filing a variation in Q1 2023 to tighten the PDE limit of uranium from 1.2 μg/day to 0.12 μg/day and to update relevant dossier sections related to the uranium control strategy.</w:t>
      </w:r>
    </w:p>
    <w:p w14:paraId="70DFEBEE" w14:textId="7AA3649E" w:rsidR="00B5097C" w:rsidRDefault="00B5097C" w:rsidP="00127E3A">
      <w:pPr>
        <w:pStyle w:val="ListBullet2"/>
      </w:pPr>
      <w:r>
        <w:t xml:space="preserve">The TGA toxicology </w:t>
      </w:r>
      <w:r w:rsidRPr="00127E3A">
        <w:t>evaluation</w:t>
      </w:r>
      <w:r>
        <w:t xml:space="preserve"> recommended a lower uranium PDE of 0.12 μg/day. Information from Abbvie on levels in the </w:t>
      </w:r>
      <w:r w:rsidR="008C163E">
        <w:t>2</w:t>
      </w:r>
      <w:r>
        <w:t xml:space="preserve"> drug substances shows that </w:t>
      </w:r>
      <w:r w:rsidR="00A175F6">
        <w:t>foslevodopa</w:t>
      </w:r>
      <w:r>
        <w:t xml:space="preserve"> is the significant source of potential uranium contamination. Batch analyses for seven recent </w:t>
      </w:r>
      <w:r w:rsidR="00A175F6">
        <w:t>foslevodopa</w:t>
      </w:r>
      <w:r>
        <w:t xml:space="preserve"> batches all had uranium at not detected levels (currently &lt; 0.18 ppm). If present at the limit of detection used in those analyses (0.18 </w:t>
      </w:r>
      <w:r w:rsidRPr="00127E3A">
        <w:t>ppm</w:t>
      </w:r>
      <w:r>
        <w:t xml:space="preserve">), a maximum daily dose of </w:t>
      </w:r>
      <w:r w:rsidR="00A175F6">
        <w:t>foslevodopa</w:t>
      </w:r>
      <w:r>
        <w:t xml:space="preserve"> (6 g) </w:t>
      </w:r>
      <w:r w:rsidR="00CC3FB3">
        <w:t>would</w:t>
      </w:r>
      <w:r>
        <w:t xml:space="preserve"> contain 1.1 μg of uranium. To control uranium exposure to below 0.12 μg per day, uranium in </w:t>
      </w:r>
      <w:r w:rsidR="00A175F6">
        <w:t>foslevodopa</w:t>
      </w:r>
      <w:r>
        <w:t xml:space="preserve"> </w:t>
      </w:r>
      <w:r w:rsidR="00CC3FB3">
        <w:t>should</w:t>
      </w:r>
      <w:r>
        <w:t xml:space="preserve"> be limited to 0.02 ppm.</w:t>
      </w:r>
    </w:p>
    <w:p w14:paraId="7B38426D" w14:textId="6957EC18" w:rsidR="00B5097C" w:rsidRDefault="00B5097C" w:rsidP="00127E3A">
      <w:pPr>
        <w:pStyle w:val="Heading5"/>
      </w:pPr>
      <w:r>
        <w:t xml:space="preserve">Drug delivery </w:t>
      </w:r>
      <w:r w:rsidRPr="00127E3A">
        <w:t>system</w:t>
      </w:r>
    </w:p>
    <w:p w14:paraId="38595532" w14:textId="022A92A4" w:rsidR="00B5097C" w:rsidRDefault="00B5097C" w:rsidP="00127E3A">
      <w:r>
        <w:t xml:space="preserve">Administration of the </w:t>
      </w:r>
      <w:r w:rsidR="00A175F6">
        <w:t>foslevodopa</w:t>
      </w:r>
      <w:r>
        <w:t>/foscarbidopa infusion requires a drug delivery system</w:t>
      </w:r>
      <w:r w:rsidR="00CA6B3F">
        <w:t>,</w:t>
      </w:r>
      <w:r>
        <w:t xml:space="preserve"> which </w:t>
      </w:r>
      <w:r w:rsidR="001E4072">
        <w:t xml:space="preserve">is to </w:t>
      </w:r>
      <w:r>
        <w:t xml:space="preserve">be </w:t>
      </w:r>
      <w:r w:rsidR="00096FDD">
        <w:t xml:space="preserve">evaluated and </w:t>
      </w:r>
      <w:r>
        <w:t>supplied separately. This consists of both a pump and fluid path components. The infusion solution will be supplied alone, separately from the other components.</w:t>
      </w:r>
    </w:p>
    <w:p w14:paraId="562633E8" w14:textId="36484CC9" w:rsidR="00B5097C" w:rsidRDefault="00B5097C" w:rsidP="00127E3A">
      <w:r>
        <w:t xml:space="preserve">The pump is </w:t>
      </w:r>
      <w:r w:rsidR="002747C2">
        <w:t xml:space="preserve">a </w:t>
      </w:r>
      <w:r>
        <w:t>software-controlled pump developed by Phillips-Medisize A/S (Struer, Denmark). The drug delivery system will use components already commercially available (vial adapter, syringe, infusion sets).</w:t>
      </w:r>
    </w:p>
    <w:p w14:paraId="12A235D5" w14:textId="0EB67F23" w:rsidR="00B5097C" w:rsidRDefault="00B5097C" w:rsidP="00127E3A">
      <w:r>
        <w:t>The physicochemical compatibility of the drug delivery system with the foscarbidopa/</w:t>
      </w:r>
      <w:r w:rsidR="00A175F6">
        <w:t>foslevodopa</w:t>
      </w:r>
      <w:r>
        <w:t xml:space="preserve"> infusion solution has been established.</w:t>
      </w:r>
    </w:p>
    <w:p w14:paraId="2BE90AAE" w14:textId="38268599" w:rsidR="00C22214" w:rsidRDefault="00C22214" w:rsidP="00127E3A">
      <w:pPr>
        <w:pStyle w:val="Heading3"/>
      </w:pPr>
      <w:bookmarkStart w:id="39" w:name="_Toc314842512"/>
      <w:bookmarkStart w:id="40" w:name="_Toc103679296"/>
      <w:bookmarkStart w:id="41" w:name="_Toc182486548"/>
      <w:r>
        <w:t>Nonclinical</w:t>
      </w:r>
      <w:bookmarkEnd w:id="39"/>
      <w:bookmarkEnd w:id="40"/>
      <w:r w:rsidR="00C45762">
        <w:t xml:space="preserve"> (toxicology) evaluation </w:t>
      </w:r>
      <w:r w:rsidR="00C45762" w:rsidRPr="00127E3A">
        <w:t>summary</w:t>
      </w:r>
      <w:bookmarkEnd w:id="41"/>
    </w:p>
    <w:p w14:paraId="57FEFEBD" w14:textId="333A854E" w:rsidR="00236BA8" w:rsidRDefault="00236BA8" w:rsidP="00127E3A">
      <w:r>
        <w:t>The non-clinical evaluator concluded</w:t>
      </w:r>
      <w:r w:rsidR="00791DAA">
        <w:t xml:space="preserve"> there were no</w:t>
      </w:r>
      <w:r>
        <w:t xml:space="preserve"> nonclinical objections to the registration of </w:t>
      </w:r>
      <w:r w:rsidR="00A175F6">
        <w:t>foslevodopa</w:t>
      </w:r>
      <w:r>
        <w:t>/foscarbidopa provided issues regarding impurities are adequately addressed.</w:t>
      </w:r>
    </w:p>
    <w:p w14:paraId="6C7F7558" w14:textId="4C790A99" w:rsidR="00236BA8" w:rsidRDefault="00236BA8" w:rsidP="00127E3A">
      <w:pPr>
        <w:pStyle w:val="Heading5"/>
      </w:pPr>
      <w:r>
        <w:t xml:space="preserve">Key </w:t>
      </w:r>
      <w:r w:rsidRPr="00127E3A">
        <w:t>findings</w:t>
      </w:r>
    </w:p>
    <w:p w14:paraId="70C5A541" w14:textId="1B136935" w:rsidR="00236BA8" w:rsidRDefault="00236BA8" w:rsidP="00127E3A">
      <w:pPr>
        <w:pStyle w:val="ListBullet"/>
      </w:pPr>
      <w:r>
        <w:t xml:space="preserve">The rapid metabolism of the prodrugs to </w:t>
      </w:r>
      <w:r w:rsidR="0064134F">
        <w:t>l</w:t>
      </w:r>
      <w:r w:rsidR="00A175F6">
        <w:t>evodopa</w:t>
      </w:r>
      <w:r>
        <w:t xml:space="preserve"> and carbidopa supports the product’s use for the proposed </w:t>
      </w:r>
      <w:r w:rsidRPr="00127E3A">
        <w:t>indication</w:t>
      </w:r>
      <w:r>
        <w:t>.</w:t>
      </w:r>
    </w:p>
    <w:p w14:paraId="6961AB38" w14:textId="1B2CE693" w:rsidR="00236BA8" w:rsidRDefault="00236BA8" w:rsidP="00127E3A">
      <w:pPr>
        <w:pStyle w:val="ListBullet"/>
      </w:pPr>
      <w:r>
        <w:t>At a concentration of 10 μM (10-fo</w:t>
      </w:r>
      <w:r w:rsidR="00374524">
        <w:t>sl</w:t>
      </w:r>
      <w:r w:rsidR="00A175F6">
        <w:t>evodopa</w:t>
      </w:r>
      <w:r>
        <w:t xml:space="preserve"> and 230-fo</w:t>
      </w:r>
      <w:r w:rsidR="00374524">
        <w:t>sl</w:t>
      </w:r>
      <w:r w:rsidR="00A175F6">
        <w:t>evodopa</w:t>
      </w:r>
      <w:r>
        <w:t xml:space="preserve"> the maximum clinical </w:t>
      </w:r>
      <w:proofErr w:type="spellStart"/>
      <w:r>
        <w:t>C</w:t>
      </w:r>
      <w:r>
        <w:rPr>
          <w:sz w:val="14"/>
          <w:szCs w:val="14"/>
        </w:rPr>
        <w:t>ss</w:t>
      </w:r>
      <w:proofErr w:type="spellEnd"/>
      <w:r>
        <w:t xml:space="preserve">), </w:t>
      </w:r>
      <w:proofErr w:type="spellStart"/>
      <w:r w:rsidR="00A175F6">
        <w:t>foslevodopa</w:t>
      </w:r>
      <w:proofErr w:type="spellEnd"/>
      <w:r>
        <w:t xml:space="preserve"> and </w:t>
      </w:r>
      <w:proofErr w:type="spellStart"/>
      <w:r>
        <w:t>foscarbidopa</w:t>
      </w:r>
      <w:proofErr w:type="spellEnd"/>
      <w:r>
        <w:t xml:space="preserve"> </w:t>
      </w:r>
      <w:r w:rsidRPr="00127E3A">
        <w:t>showed</w:t>
      </w:r>
      <w:r>
        <w:t xml:space="preserve"> no significant binding to other receptors, ion channels or transporters, and no enzyme inhibition. No off-target effects are expected with these new actives.</w:t>
      </w:r>
    </w:p>
    <w:p w14:paraId="62F25FE1" w14:textId="49D83C22" w:rsidR="00236BA8" w:rsidRDefault="00A175F6" w:rsidP="00127E3A">
      <w:pPr>
        <w:pStyle w:val="ListBullet"/>
      </w:pPr>
      <w:r>
        <w:t>Foslevodopa</w:t>
      </w:r>
      <w:r w:rsidR="00236BA8">
        <w:t xml:space="preserve"> and foscarbidopa showed low protein binding in all the animal species and in humans.</w:t>
      </w:r>
    </w:p>
    <w:p w14:paraId="7FAE9459" w14:textId="2CE976D8" w:rsidR="00236BA8" w:rsidRDefault="00236BA8" w:rsidP="00127E3A">
      <w:pPr>
        <w:pStyle w:val="ListBullet"/>
      </w:pPr>
      <w:r>
        <w:t xml:space="preserve">CYP450 enzymes are not involved in the metabolism of </w:t>
      </w:r>
      <w:r w:rsidR="00A175F6">
        <w:t>foslevodopa</w:t>
      </w:r>
      <w:r>
        <w:t xml:space="preserve"> or foscarbidopa and these drugs did not inhibit or induce CYP enzymes at clinically relevant </w:t>
      </w:r>
      <w:r w:rsidRPr="00127E3A">
        <w:t>concentrations</w:t>
      </w:r>
      <w:r>
        <w:t xml:space="preserve">. Neither </w:t>
      </w:r>
      <w:r w:rsidR="00A175F6">
        <w:t>foslevodopa</w:t>
      </w:r>
      <w:r>
        <w:t xml:space="preserve"> nor foscarbidopa inhibited the activities of drug transporters at clinically relevant concentrations. Drug interactions are expected to be those known for </w:t>
      </w:r>
      <w:r w:rsidR="0064134F">
        <w:t>l</w:t>
      </w:r>
      <w:r w:rsidR="00A175F6">
        <w:t>evodopa</w:t>
      </w:r>
      <w:r>
        <w:t xml:space="preserve"> and carbidopa.</w:t>
      </w:r>
    </w:p>
    <w:p w14:paraId="677E2625" w14:textId="0D2480CF" w:rsidR="00236BA8" w:rsidRDefault="00236BA8" w:rsidP="00127E3A">
      <w:pPr>
        <w:pStyle w:val="ListBullet"/>
      </w:pPr>
      <w:r>
        <w:t xml:space="preserve">Repeat dose toxicity studies by continuous IV infusion were </w:t>
      </w:r>
      <w:r w:rsidRPr="00127E3A">
        <w:t>conducted</w:t>
      </w:r>
      <w:r>
        <w:t xml:space="preserve"> in rats (up to 4 weeks) and Cynomolgus monkeys (up to 4 weeks) and by continuous SC infusion were conducted in dogs (up to 13 weeks). These species </w:t>
      </w:r>
      <w:proofErr w:type="gramStart"/>
      <w:r>
        <w:t>are considered to be</w:t>
      </w:r>
      <w:proofErr w:type="gramEnd"/>
      <w:r>
        <w:t xml:space="preserve"> appropriate animal models. CNS clinical signs were a major feature and were the dose-limiting toxicity in rats and monkeys. The effects were seen at clinically relevant exposures, were consistent with those seen with </w:t>
      </w:r>
      <w:r w:rsidR="0064134F">
        <w:t>l</w:t>
      </w:r>
      <w:r w:rsidR="00A175F6">
        <w:t>evodopa</w:t>
      </w:r>
      <w:r>
        <w:t xml:space="preserve">/carbidopa and can be attributed to dopamine-related effects in the CNS. No new toxicities with </w:t>
      </w:r>
      <w:r w:rsidR="00A175F6">
        <w:t>foslevodopa</w:t>
      </w:r>
      <w:r>
        <w:t xml:space="preserve">/foscarbidopa were seen with regards to the toxicity profile of </w:t>
      </w:r>
      <w:r w:rsidR="0025741F">
        <w:t>l</w:t>
      </w:r>
      <w:r w:rsidR="00A175F6">
        <w:t>evodopa</w:t>
      </w:r>
      <w:r>
        <w:t>/carbidopa.</w:t>
      </w:r>
    </w:p>
    <w:p w14:paraId="6D8A578B" w14:textId="751C3ED9" w:rsidR="00236BA8" w:rsidRDefault="00A175F6" w:rsidP="00127E3A">
      <w:pPr>
        <w:pStyle w:val="ListBullet"/>
      </w:pPr>
      <w:r>
        <w:t>Foslevodopa</w:t>
      </w:r>
      <w:r w:rsidR="00236BA8">
        <w:t xml:space="preserve"> and foscarbidopa (tested individually) were not mutagenic in the bacterial reverse mutation assay or clastogenic in vitro (in human lymphocytes), </w:t>
      </w:r>
      <w:r w:rsidR="00487615">
        <w:t>except for</w:t>
      </w:r>
      <w:r w:rsidR="00236BA8">
        <w:t xml:space="preserve"> foscarbidopa in bacterial mutation assay which was positive in E. coli WP2 uvrA (-S9). This single case of a positive result is considered acceptable within the context of the available knowledge on the genotoxicity of </w:t>
      </w:r>
      <w:r w:rsidR="0025741F">
        <w:t>l</w:t>
      </w:r>
      <w:r>
        <w:t>evodopa</w:t>
      </w:r>
      <w:r w:rsidR="00236BA8">
        <w:t xml:space="preserve"> and carbidopa for which there is some evidence, for both compounds, of genotoxic potential. </w:t>
      </w:r>
      <w:r>
        <w:t>Foslevodopa</w:t>
      </w:r>
      <w:r w:rsidR="00236BA8">
        <w:t>/foscarbidopa was negative in an in vivo rat micronucleus test.</w:t>
      </w:r>
    </w:p>
    <w:p w14:paraId="6F4D643B" w14:textId="0A7A687B" w:rsidR="00236BA8" w:rsidRDefault="00236BA8" w:rsidP="00127E3A">
      <w:pPr>
        <w:pStyle w:val="ListBullet"/>
      </w:pPr>
      <w:r>
        <w:t xml:space="preserve">No carcinogenicity studies were conducted, </w:t>
      </w:r>
      <w:r w:rsidRPr="00127E3A">
        <w:t>which</w:t>
      </w:r>
      <w:r>
        <w:t xml:space="preserve"> was </w:t>
      </w:r>
      <w:r w:rsidRPr="00127E3A">
        <w:t>considered</w:t>
      </w:r>
      <w:r>
        <w:t xml:space="preserve"> acceptable (</w:t>
      </w:r>
      <w:r w:rsidR="0025741F">
        <w:t>l</w:t>
      </w:r>
      <w:r w:rsidR="00A175F6">
        <w:t>evodopa</w:t>
      </w:r>
      <w:r>
        <w:t>/carbidopa were not found to be carcinogenic).</w:t>
      </w:r>
    </w:p>
    <w:p w14:paraId="070B2BA4" w14:textId="7011177B" w:rsidR="00236BA8" w:rsidRDefault="00236BA8" w:rsidP="00127E3A">
      <w:pPr>
        <w:pStyle w:val="ListBullet"/>
      </w:pPr>
      <w:r>
        <w:t xml:space="preserve">No reproductive toxicity studies were conducted, which </w:t>
      </w:r>
      <w:r w:rsidRPr="00127E3A">
        <w:t>was</w:t>
      </w:r>
      <w:r>
        <w:t xml:space="preserve"> considered acceptable.</w:t>
      </w:r>
    </w:p>
    <w:p w14:paraId="16D7D225" w14:textId="1306B097" w:rsidR="0079516D" w:rsidRDefault="00236BA8" w:rsidP="00127E3A">
      <w:pPr>
        <w:pStyle w:val="ListBullet"/>
      </w:pPr>
      <w:r>
        <w:t xml:space="preserve">Several local tolerance studies were conducted in dogs using continuous SC infusion. The concentration of </w:t>
      </w:r>
      <w:r w:rsidR="00A175F6">
        <w:t>foslevodopa</w:t>
      </w:r>
      <w:r>
        <w:t xml:space="preserve">/foscarbidopa in the formulation was 200/50 ng/mL (cf. 240/12 mg/mL for the clinical formulation). Continuous SC infusion was </w:t>
      </w:r>
      <w:r w:rsidRPr="00127E3A">
        <w:t>technically</w:t>
      </w:r>
      <w:r>
        <w:t xml:space="preserve"> difficult in laboratory animals, with a baseline </w:t>
      </w:r>
      <w:r w:rsidRPr="00127E3A">
        <w:t>inflammatory</w:t>
      </w:r>
      <w:r>
        <w:t xml:space="preserve"> response associated with the implantation of the catheters. </w:t>
      </w:r>
      <w:r w:rsidR="00A175F6">
        <w:t>Foslevodopa</w:t>
      </w:r>
      <w:r>
        <w:t>/foscarbidopa appeared to aggravate this baseline inflammation (with the most severely affected dogs also showing septic changes), but not induce any specific local adverse changes.</w:t>
      </w:r>
    </w:p>
    <w:p w14:paraId="7C4798DD" w14:textId="6EA52C28" w:rsidR="004C7C86" w:rsidRDefault="004C7C86" w:rsidP="00A91EFB">
      <w:pPr>
        <w:pStyle w:val="ListBullet"/>
      </w:pPr>
      <w:r>
        <w:t>H</w:t>
      </w:r>
      <w:r w:rsidR="00236BA8">
        <w:t>ydrazone</w:t>
      </w:r>
    </w:p>
    <w:p w14:paraId="467DA99A" w14:textId="2E3BB954" w:rsidR="004C7C86" w:rsidRDefault="004C7C86" w:rsidP="00127E3A">
      <w:pPr>
        <w:pStyle w:val="ListBullet2"/>
      </w:pPr>
      <w:r>
        <w:t>T</w:t>
      </w:r>
      <w:r w:rsidR="00236BA8">
        <w:t xml:space="preserve">he clastogenic potential of the </w:t>
      </w:r>
      <w:proofErr w:type="spellStart"/>
      <w:r w:rsidR="00236BA8" w:rsidRPr="00127E3A">
        <w:t>foscarbidopa</w:t>
      </w:r>
      <w:proofErr w:type="spellEnd"/>
      <w:r w:rsidR="00236BA8">
        <w:t xml:space="preserve">-related impurity, </w:t>
      </w:r>
      <w:r w:rsidR="008A41CF">
        <w:t>h</w:t>
      </w:r>
      <w:r w:rsidR="00236BA8">
        <w:t xml:space="preserve">ydrazone AB had not been assessed. The Sponsor provided justifications to substantiate that the clastogenic potential of </w:t>
      </w:r>
      <w:r w:rsidR="002C5BBA">
        <w:t>Vyalev</w:t>
      </w:r>
      <w:r w:rsidR="00236BA8">
        <w:t xml:space="preserve"> is no greater than that of </w:t>
      </w:r>
      <w:r w:rsidR="00A175F6">
        <w:t>D</w:t>
      </w:r>
      <w:r w:rsidR="002C5BBA">
        <w:t>uodopa</w:t>
      </w:r>
      <w:r w:rsidR="00236BA8">
        <w:t xml:space="preserve">, and therefore, the proposed limit for the foscarbidopa-related impurity, </w:t>
      </w:r>
      <w:r w:rsidR="002C5BBA">
        <w:t>h</w:t>
      </w:r>
      <w:r w:rsidR="00236BA8">
        <w:t>ydrazone AB, shou</w:t>
      </w:r>
      <w:r w:rsidR="006A4D6E">
        <w:t>ld</w:t>
      </w:r>
      <w:r w:rsidR="00236BA8">
        <w:t xml:space="preserve"> be considered acceptable. In consideration of the Sponsor’s justifications, the evaluator concluded:</w:t>
      </w:r>
    </w:p>
    <w:p w14:paraId="5A7106B9" w14:textId="44418942" w:rsidR="00236BA8" w:rsidRPr="00127E3A" w:rsidRDefault="00236BA8" w:rsidP="00127E3A">
      <w:pPr>
        <w:pStyle w:val="ListBullet2"/>
        <w:numPr>
          <w:ilvl w:val="0"/>
          <w:numId w:val="0"/>
        </w:numPr>
        <w:ind w:left="720"/>
        <w:rPr>
          <w:i/>
          <w:iCs/>
        </w:rPr>
      </w:pPr>
      <w:r w:rsidRPr="00127E3A">
        <w:rPr>
          <w:i/>
          <w:iCs/>
        </w:rPr>
        <w:t xml:space="preserve">The clastogenic risk with VYALEV is not considered to be higher than that with </w:t>
      </w:r>
      <w:r w:rsidR="00A175F6" w:rsidRPr="00127E3A">
        <w:rPr>
          <w:i/>
          <w:iCs/>
        </w:rPr>
        <w:t>DUODOPA</w:t>
      </w:r>
      <w:r w:rsidRPr="00127E3A">
        <w:rPr>
          <w:i/>
          <w:iCs/>
        </w:rPr>
        <w:t xml:space="preserve">, and for this reason, the proposed shelf-life limit for the foscarbidopa-related impurity, </w:t>
      </w:r>
      <w:r w:rsidR="00D02716" w:rsidRPr="00127E3A">
        <w:rPr>
          <w:i/>
          <w:iCs/>
        </w:rPr>
        <w:t>h</w:t>
      </w:r>
      <w:r w:rsidRPr="00127E3A">
        <w:rPr>
          <w:i/>
          <w:iCs/>
        </w:rPr>
        <w:t>ydrazone AB, is considered acceptable from a toxicological perspective.</w:t>
      </w:r>
    </w:p>
    <w:p w14:paraId="55946501" w14:textId="6926BC2B" w:rsidR="004C7C86" w:rsidRDefault="00236BA8" w:rsidP="004C7C86">
      <w:pPr>
        <w:pStyle w:val="ListBullet"/>
      </w:pPr>
      <w:r>
        <w:t>Hydrazine</w:t>
      </w:r>
    </w:p>
    <w:p w14:paraId="702DD3F9" w14:textId="4C60D365" w:rsidR="00236BA8" w:rsidRDefault="00236BA8" w:rsidP="00127E3A">
      <w:pPr>
        <w:pStyle w:val="ListBullet2"/>
      </w:pPr>
      <w:r>
        <w:t xml:space="preserve">The evaluator recommended that </w:t>
      </w:r>
      <w:r w:rsidR="00D02716" w:rsidRPr="00127E3A">
        <w:t>h</w:t>
      </w:r>
      <w:r w:rsidRPr="00127E3A">
        <w:t>ydrazine</w:t>
      </w:r>
      <w:r>
        <w:t xml:space="preserve">, </w:t>
      </w:r>
      <w:r w:rsidRPr="00127E3A">
        <w:t>which</w:t>
      </w:r>
      <w:r>
        <w:t xml:space="preserve"> was considered as a mutagenic and carcinogenic impurity, shou</w:t>
      </w:r>
      <w:r w:rsidR="006A4D6E">
        <w:t>ld</w:t>
      </w:r>
      <w:r>
        <w:t xml:space="preserve"> be controlled to ensure levels were as low as possible.</w:t>
      </w:r>
    </w:p>
    <w:p w14:paraId="0FE7A068" w14:textId="399AA913" w:rsidR="00004847" w:rsidRDefault="00236BA8" w:rsidP="00127E3A">
      <w:pPr>
        <w:pStyle w:val="ListBullet"/>
      </w:pPr>
      <w:r w:rsidRPr="00127E3A">
        <w:t>Uranium</w:t>
      </w:r>
    </w:p>
    <w:p w14:paraId="4773FE25" w14:textId="08FA1EBC" w:rsidR="00236BA8" w:rsidRDefault="00236BA8" w:rsidP="00004847">
      <w:pPr>
        <w:pStyle w:val="ListBullet2"/>
      </w:pPr>
      <w:r>
        <w:t xml:space="preserve">Uranium was identified as a possible impurity in materials used in the synthesis of </w:t>
      </w:r>
      <w:proofErr w:type="spellStart"/>
      <w:r w:rsidR="00A175F6">
        <w:t>foslevodopa</w:t>
      </w:r>
      <w:proofErr w:type="spellEnd"/>
      <w:r>
        <w:t>.</w:t>
      </w:r>
    </w:p>
    <w:p w14:paraId="46A9F5D2" w14:textId="25F52937" w:rsidR="00820EB1" w:rsidRPr="007D460A" w:rsidRDefault="00236BA8" w:rsidP="00127E3A">
      <w:pPr>
        <w:pStyle w:val="ListBullet2"/>
      </w:pPr>
      <w:r w:rsidRPr="007D460A">
        <w:t xml:space="preserve">The evaluator recommended a Permissible Daily Exposure (PDE) of 0.12 μg/day for uranium. Batch analyses for seven recent </w:t>
      </w:r>
      <w:proofErr w:type="spellStart"/>
      <w:r w:rsidR="00A175F6">
        <w:t>foslevodopa</w:t>
      </w:r>
      <w:proofErr w:type="spellEnd"/>
      <w:r w:rsidRPr="007D460A">
        <w:t xml:space="preserve"> </w:t>
      </w:r>
      <w:r w:rsidRPr="00127E3A">
        <w:t>batches</w:t>
      </w:r>
      <w:r w:rsidRPr="007D460A">
        <w:t xml:space="preserve"> all had uranium at not detected levels (currently &lt; 0.18 ppm). If present at the limit of detection used in those analyses (0.18 ppm), a maximum daily dose of </w:t>
      </w:r>
      <w:proofErr w:type="spellStart"/>
      <w:r w:rsidR="00A175F6">
        <w:t>foslevodopa</w:t>
      </w:r>
      <w:proofErr w:type="spellEnd"/>
      <w:r w:rsidRPr="007D460A">
        <w:t xml:space="preserve"> (6 g) wou</w:t>
      </w:r>
      <w:r w:rsidR="00882997">
        <w:t>ld</w:t>
      </w:r>
      <w:r w:rsidR="008503A5">
        <w:t xml:space="preserve"> </w:t>
      </w:r>
      <w:r w:rsidRPr="007D460A">
        <w:t xml:space="preserve">contain 1.1 </w:t>
      </w:r>
      <w:proofErr w:type="spellStart"/>
      <w:r w:rsidRPr="007D460A">
        <w:t>μg</w:t>
      </w:r>
      <w:proofErr w:type="spellEnd"/>
      <w:r w:rsidRPr="007D460A">
        <w:t xml:space="preserve"> of uranium. To control uranium exposure to below 0.12 μg per day, uranium in </w:t>
      </w:r>
      <w:r w:rsidR="00A175F6">
        <w:t>foslevodopa</w:t>
      </w:r>
      <w:r w:rsidRPr="007D460A">
        <w:t xml:space="preserve"> shou</w:t>
      </w:r>
      <w:r w:rsidR="00882997">
        <w:t>ld</w:t>
      </w:r>
      <w:r w:rsidRPr="007D460A">
        <w:t xml:space="preserve"> be limited to 0.02 ppm.</w:t>
      </w:r>
    </w:p>
    <w:p w14:paraId="0B1160F5" w14:textId="6438259E" w:rsidR="00293558" w:rsidRDefault="00236BA8" w:rsidP="00127E3A">
      <w:pPr>
        <w:pStyle w:val="ListBullet2"/>
      </w:pPr>
      <w:r w:rsidRPr="007D460A">
        <w:t xml:space="preserve">The Sponsor agreed to the PDE for uranium of 0.12 μg/day. </w:t>
      </w:r>
      <w:r w:rsidR="00A516E4">
        <w:t>The</w:t>
      </w:r>
      <w:r w:rsidRPr="007D460A">
        <w:t xml:space="preserve"> Sponsor confirmed that they adopted the required control strategy to achieve the level of uranium (0.</w:t>
      </w:r>
      <w:r w:rsidRPr="00127E3A">
        <w:t>02</w:t>
      </w:r>
      <w:r w:rsidRPr="007D460A">
        <w:t xml:space="preserve"> ppm or 0.12 μg/day) as stipulated by the toxicology evaluator. However, the Sponsor ha</w:t>
      </w:r>
      <w:r w:rsidR="00A516E4">
        <w:t>d</w:t>
      </w:r>
      <w:r w:rsidRPr="007D460A">
        <w:t xml:space="preserve"> not yet developed and validated an analytical method that cou</w:t>
      </w:r>
      <w:r w:rsidR="00882997">
        <w:t>ld</w:t>
      </w:r>
      <w:r w:rsidRPr="007D460A">
        <w:t xml:space="preserve"> detect levels that wou</w:t>
      </w:r>
      <w:r w:rsidR="00882997">
        <w:t>ld</w:t>
      </w:r>
      <w:r w:rsidRPr="007D460A">
        <w:t xml:space="preserve"> comply with the PDE of 0.12 </w:t>
      </w:r>
      <w:proofErr w:type="spellStart"/>
      <w:r w:rsidRPr="007D460A">
        <w:t>μg</w:t>
      </w:r>
      <w:proofErr w:type="spellEnd"/>
      <w:r w:rsidRPr="007D460A">
        <w:t>/day.</w:t>
      </w:r>
    </w:p>
    <w:p w14:paraId="72E88D89" w14:textId="3553401D" w:rsidR="00236BA8" w:rsidRPr="007D460A" w:rsidRDefault="00236BA8" w:rsidP="00127E3A">
      <w:pPr>
        <w:pStyle w:val="ListBullet2"/>
      </w:pPr>
      <w:r w:rsidRPr="007D460A">
        <w:t>Uranium ha</w:t>
      </w:r>
      <w:r w:rsidR="00293558">
        <w:t>d</w:t>
      </w:r>
      <w:r w:rsidRPr="007D460A">
        <w:t xml:space="preserve"> not been detected in 7 batches of the product with an analytical method that cou</w:t>
      </w:r>
      <w:r w:rsidR="00882997">
        <w:t>ld</w:t>
      </w:r>
      <w:r w:rsidRPr="007D460A">
        <w:t xml:space="preserve"> detect concentrations that wou</w:t>
      </w:r>
      <w:r w:rsidR="00882997">
        <w:t>l</w:t>
      </w:r>
      <w:r w:rsidR="008503A5">
        <w:t>d</w:t>
      </w:r>
      <w:r w:rsidRPr="007D460A">
        <w:t xml:space="preserve"> result in 1 </w:t>
      </w:r>
      <w:proofErr w:type="spellStart"/>
      <w:r w:rsidRPr="007D460A">
        <w:t>μg</w:t>
      </w:r>
      <w:proofErr w:type="spellEnd"/>
      <w:r w:rsidRPr="007D460A">
        <w:t xml:space="preserve">/day. As it will take some time to develop and validate a sufficiently sensitive </w:t>
      </w:r>
      <w:r w:rsidRPr="00127E3A">
        <w:t>analytical</w:t>
      </w:r>
      <w:r w:rsidRPr="007D460A">
        <w:t xml:space="preserve"> method, the Sponsor proposed an interim PDE of 1.2 μg/day and commits to submitting a variation submission in Q1 2023 that wou</w:t>
      </w:r>
      <w:r w:rsidR="005F023A">
        <w:t>ld</w:t>
      </w:r>
      <w:r w:rsidRPr="007D460A">
        <w:t xml:space="preserve"> comply with the PDE of 0.12 </w:t>
      </w:r>
      <w:proofErr w:type="spellStart"/>
      <w:r w:rsidRPr="007D460A">
        <w:t>μg</w:t>
      </w:r>
      <w:proofErr w:type="spellEnd"/>
      <w:r w:rsidRPr="007D460A">
        <w:t>/day.</w:t>
      </w:r>
    </w:p>
    <w:p w14:paraId="05205F47" w14:textId="47C97836" w:rsidR="0058280A" w:rsidRDefault="00236BA8" w:rsidP="00127E3A">
      <w:pPr>
        <w:pStyle w:val="ListBullet2"/>
      </w:pPr>
      <w:r w:rsidRPr="00293558">
        <w:t>The interim limit for uranium shou</w:t>
      </w:r>
      <w:r w:rsidR="005F023A">
        <w:t>ld</w:t>
      </w:r>
      <w:r w:rsidRPr="00293558">
        <w:t xml:space="preserve"> not be referred to as “PDE”, which infers a “permissible daily exposure”, but shou</w:t>
      </w:r>
      <w:r w:rsidR="005F023A">
        <w:t>ld</w:t>
      </w:r>
      <w:r w:rsidRPr="00293558">
        <w:t xml:space="preserve"> be referred to as an interim limit based on practicality.</w:t>
      </w:r>
    </w:p>
    <w:p w14:paraId="5E8AA6D2" w14:textId="656C7616" w:rsidR="00236BA8" w:rsidRPr="00293558" w:rsidRDefault="00236BA8" w:rsidP="00127E3A">
      <w:pPr>
        <w:pStyle w:val="ListBullet2"/>
      </w:pPr>
      <w:r w:rsidRPr="00293558">
        <w:t>There shou</w:t>
      </w:r>
      <w:r w:rsidR="005F023A">
        <w:t>ld</w:t>
      </w:r>
      <w:r w:rsidRPr="00293558">
        <w:t xml:space="preserve"> also be mechanisms in place to ensure the Sponsor complies </w:t>
      </w:r>
      <w:r w:rsidRPr="00127E3A">
        <w:t>with</w:t>
      </w:r>
      <w:r w:rsidRPr="00293558">
        <w:t xml:space="preserve"> their post-marketing commitments. The limit of 1.2 μg/day is an interim limit applicable for 6 months. However, the issue shou</w:t>
      </w:r>
      <w:r w:rsidR="005F023A">
        <w:t>ld</w:t>
      </w:r>
      <w:r w:rsidRPr="00293558">
        <w:t xml:space="preserve"> be rectified as soon as possible to further minimise the risk.</w:t>
      </w:r>
    </w:p>
    <w:p w14:paraId="0EC50147" w14:textId="29C8E87E" w:rsidR="00A91EFB" w:rsidRDefault="00C3477A" w:rsidP="00127E3A">
      <w:r>
        <w:t>Overall, t</w:t>
      </w:r>
      <w:r w:rsidR="00236BA8">
        <w:t xml:space="preserve">he nonclinical safety profile of </w:t>
      </w:r>
      <w:r w:rsidR="00A175F6">
        <w:t>foslevodopa</w:t>
      </w:r>
      <w:r w:rsidR="00236BA8">
        <w:t xml:space="preserve">/foscarbidopa was largely </w:t>
      </w:r>
      <w:r w:rsidR="00A91EFB">
        <w:t xml:space="preserve">the same as that observed with </w:t>
      </w:r>
      <w:r w:rsidR="0025741F">
        <w:t>l</w:t>
      </w:r>
      <w:r w:rsidR="00A175F6">
        <w:t>evodopa</w:t>
      </w:r>
      <w:r w:rsidR="00A91EFB">
        <w:t>/carbidopa, except for the finding of uranium.</w:t>
      </w:r>
    </w:p>
    <w:p w14:paraId="35B580A5" w14:textId="45616E13" w:rsidR="00C22214" w:rsidRDefault="00C22214" w:rsidP="00127E3A">
      <w:pPr>
        <w:pStyle w:val="Heading3"/>
      </w:pPr>
      <w:bookmarkStart w:id="42" w:name="_Toc247691530"/>
      <w:bookmarkStart w:id="43" w:name="_Toc314842513"/>
      <w:bookmarkStart w:id="44" w:name="_Toc103679297"/>
      <w:bookmarkStart w:id="45" w:name="_Toc182486549"/>
      <w:r>
        <w:t>Clinical</w:t>
      </w:r>
      <w:bookmarkEnd w:id="42"/>
      <w:bookmarkEnd w:id="43"/>
      <w:bookmarkEnd w:id="44"/>
      <w:r w:rsidR="00A53505">
        <w:t xml:space="preserve"> evaluation </w:t>
      </w:r>
      <w:r w:rsidR="00A53505" w:rsidRPr="00127E3A">
        <w:t>summary</w:t>
      </w:r>
      <w:bookmarkEnd w:id="45"/>
    </w:p>
    <w:p w14:paraId="340EBC31" w14:textId="77777777" w:rsidR="00221078" w:rsidRDefault="00221078" w:rsidP="00127E3A">
      <w:pPr>
        <w:pStyle w:val="Heading4"/>
      </w:pPr>
      <w:bookmarkStart w:id="46" w:name="_Toc314842514"/>
      <w:bookmarkStart w:id="47" w:name="_Toc182486550"/>
      <w:r>
        <w:t>Pharmacology</w:t>
      </w:r>
      <w:bookmarkEnd w:id="47"/>
    </w:p>
    <w:p w14:paraId="34566CC8" w14:textId="6D7EBEBA" w:rsidR="00221078" w:rsidRDefault="00A175F6" w:rsidP="00127E3A">
      <w:r>
        <w:t>Foslevodopa</w:t>
      </w:r>
      <w:r w:rsidR="00221078">
        <w:t>/foscarbidopa</w:t>
      </w:r>
      <w:r w:rsidR="00221078">
        <w:rPr>
          <w:spacing w:val="-7"/>
        </w:rPr>
        <w:t xml:space="preserve"> </w:t>
      </w:r>
      <w:r w:rsidR="00221078">
        <w:t>is</w:t>
      </w:r>
      <w:r w:rsidR="00221078">
        <w:rPr>
          <w:spacing w:val="-7"/>
        </w:rPr>
        <w:t xml:space="preserve"> </w:t>
      </w:r>
      <w:r w:rsidR="00221078">
        <w:t>a</w:t>
      </w:r>
      <w:r w:rsidR="00221078">
        <w:rPr>
          <w:spacing w:val="-7"/>
        </w:rPr>
        <w:t xml:space="preserve"> </w:t>
      </w:r>
      <w:r w:rsidR="00221078">
        <w:t>highly</w:t>
      </w:r>
      <w:r w:rsidR="00221078">
        <w:rPr>
          <w:spacing w:val="-8"/>
        </w:rPr>
        <w:t xml:space="preserve"> </w:t>
      </w:r>
      <w:r w:rsidR="00221078">
        <w:t>soluble</w:t>
      </w:r>
      <w:r w:rsidR="00221078">
        <w:rPr>
          <w:spacing w:val="-9"/>
        </w:rPr>
        <w:t xml:space="preserve"> </w:t>
      </w:r>
      <w:r w:rsidR="00221078">
        <w:t>formulation</w:t>
      </w:r>
      <w:r w:rsidR="00221078">
        <w:rPr>
          <w:spacing w:val="-8"/>
        </w:rPr>
        <w:t xml:space="preserve"> </w:t>
      </w:r>
      <w:r w:rsidR="00221078">
        <w:t>of</w:t>
      </w:r>
      <w:r w:rsidR="00221078">
        <w:rPr>
          <w:spacing w:val="-7"/>
        </w:rPr>
        <w:t xml:space="preserve"> </w:t>
      </w:r>
      <w:r w:rsidR="0025741F">
        <w:t>l</w:t>
      </w:r>
      <w:r>
        <w:t>evodopa</w:t>
      </w:r>
      <w:r w:rsidR="00221078">
        <w:t>-4´-monophosphate (</w:t>
      </w:r>
      <w:proofErr w:type="spellStart"/>
      <w:r>
        <w:t>foslevodopa</w:t>
      </w:r>
      <w:proofErr w:type="spellEnd"/>
      <w:r w:rsidR="00221078">
        <w:t>) and carbidopa-4´-monophosphate (</w:t>
      </w:r>
      <w:proofErr w:type="spellStart"/>
      <w:r w:rsidR="00221078">
        <w:t>foscarbidopa</w:t>
      </w:r>
      <w:proofErr w:type="spellEnd"/>
      <w:r w:rsidR="00221078">
        <w:t>).</w:t>
      </w:r>
    </w:p>
    <w:p w14:paraId="0898B652" w14:textId="6AE87414" w:rsidR="00193B57" w:rsidRDefault="00221078" w:rsidP="00127E3A">
      <w:r>
        <w:t xml:space="preserve">The 2 drug substances in ABBV-951, </w:t>
      </w:r>
      <w:r w:rsidR="00A175F6">
        <w:t>foslevodopa</w:t>
      </w:r>
      <w:r>
        <w:t xml:space="preserve"> and foscarbidopa, function as prodrugs that rapidly</w:t>
      </w:r>
      <w:r>
        <w:rPr>
          <w:spacing w:val="-4"/>
        </w:rPr>
        <w:t xml:space="preserve"> </w:t>
      </w:r>
      <w:r>
        <w:t>and</w:t>
      </w:r>
      <w:r>
        <w:rPr>
          <w:spacing w:val="-3"/>
        </w:rPr>
        <w:t xml:space="preserve"> </w:t>
      </w:r>
      <w:r>
        <w:t>almost</w:t>
      </w:r>
      <w:r>
        <w:rPr>
          <w:spacing w:val="-3"/>
        </w:rPr>
        <w:t xml:space="preserve"> </w:t>
      </w:r>
      <w:r>
        <w:t>completely</w:t>
      </w:r>
      <w:r>
        <w:rPr>
          <w:spacing w:val="-4"/>
        </w:rPr>
        <w:t xml:space="preserve"> </w:t>
      </w:r>
      <w:r>
        <w:t>(&gt;</w:t>
      </w:r>
      <w:r>
        <w:rPr>
          <w:spacing w:val="-3"/>
        </w:rPr>
        <w:t xml:space="preserve"> </w:t>
      </w:r>
      <w:r>
        <w:t>90%)</w:t>
      </w:r>
      <w:r>
        <w:rPr>
          <w:spacing w:val="-3"/>
        </w:rPr>
        <w:t xml:space="preserve"> </w:t>
      </w:r>
      <w:r>
        <w:t>undergo</w:t>
      </w:r>
      <w:r>
        <w:rPr>
          <w:spacing w:val="-3"/>
        </w:rPr>
        <w:t xml:space="preserve"> </w:t>
      </w:r>
      <w:r>
        <w:t>enzymatic</w:t>
      </w:r>
      <w:r>
        <w:rPr>
          <w:spacing w:val="-2"/>
        </w:rPr>
        <w:t xml:space="preserve"> </w:t>
      </w:r>
      <w:r>
        <w:t>bioconversion</w:t>
      </w:r>
      <w:r>
        <w:rPr>
          <w:spacing w:val="-4"/>
        </w:rPr>
        <w:t xml:space="preserve"> </w:t>
      </w:r>
      <w:r>
        <w:t>via</w:t>
      </w:r>
      <w:r>
        <w:rPr>
          <w:spacing w:val="-5"/>
        </w:rPr>
        <w:t xml:space="preserve"> </w:t>
      </w:r>
      <w:r>
        <w:t>intrinsic</w:t>
      </w:r>
      <w:r>
        <w:rPr>
          <w:spacing w:val="-2"/>
        </w:rPr>
        <w:t xml:space="preserve"> </w:t>
      </w:r>
      <w:r>
        <w:t xml:space="preserve">alkaline phosphatase to release </w:t>
      </w:r>
      <w:r w:rsidR="00AC1307">
        <w:t>levodopa (LD)</w:t>
      </w:r>
      <w:r>
        <w:t xml:space="preserve"> and </w:t>
      </w:r>
      <w:r w:rsidR="00AC1307">
        <w:t>Carbidopa (CD)</w:t>
      </w:r>
      <w:r>
        <w:t xml:space="preserve">, respectively, </w:t>
      </w:r>
      <w:r w:rsidRPr="00487615">
        <w:rPr>
          <w:i/>
          <w:iCs/>
        </w:rPr>
        <w:t>in vivo</w:t>
      </w:r>
      <w:r>
        <w:t>.</w:t>
      </w:r>
      <w:bookmarkStart w:id="48" w:name="Pharmacokinetics_(PK)"/>
      <w:bookmarkEnd w:id="48"/>
    </w:p>
    <w:p w14:paraId="74B2B1BC" w14:textId="487C76ED" w:rsidR="00193B57" w:rsidRPr="00127E3A" w:rsidRDefault="000A6007" w:rsidP="00127E3A">
      <w:pPr>
        <w:pStyle w:val="Heading4"/>
        <w:rPr>
          <w:rStyle w:val="Heading6Char"/>
          <w:rFonts w:eastAsia="Cambria"/>
          <w:b/>
          <w:bCs/>
          <w:i w:val="0"/>
          <w:sz w:val="28"/>
          <w:szCs w:val="26"/>
        </w:rPr>
      </w:pPr>
      <w:bookmarkStart w:id="49" w:name="_Toc182486551"/>
      <w:r w:rsidRPr="00127E3A">
        <w:rPr>
          <w:rStyle w:val="Heading6Char"/>
          <w:rFonts w:eastAsia="Cambria"/>
          <w:b/>
          <w:bCs/>
          <w:i w:val="0"/>
          <w:sz w:val="28"/>
          <w:szCs w:val="26"/>
        </w:rPr>
        <w:t xml:space="preserve">Pharmacokinetics </w:t>
      </w:r>
      <w:r w:rsidR="00C135F9" w:rsidRPr="00127E3A">
        <w:rPr>
          <w:rStyle w:val="Heading6Char"/>
          <w:rFonts w:eastAsia="Cambria"/>
          <w:b/>
          <w:bCs/>
          <w:i w:val="0"/>
          <w:sz w:val="28"/>
          <w:szCs w:val="26"/>
        </w:rPr>
        <w:t>(PK)</w:t>
      </w:r>
      <w:bookmarkEnd w:id="49"/>
    </w:p>
    <w:p w14:paraId="461F522E" w14:textId="6980ADCE" w:rsidR="00221078" w:rsidRPr="00D36C75" w:rsidRDefault="00221078" w:rsidP="00127E3A">
      <w:pPr>
        <w:pStyle w:val="Heading5"/>
        <w:rPr>
          <w:rStyle w:val="Heading6Char"/>
          <w:rFonts w:eastAsia="Cambria"/>
          <w:b/>
          <w:bCs/>
          <w:i/>
        </w:rPr>
      </w:pPr>
      <w:r w:rsidRPr="00127E3A">
        <w:rPr>
          <w:rStyle w:val="Heading6Char"/>
          <w:rFonts w:eastAsia="Cambria"/>
          <w:b/>
          <w:bCs/>
          <w:i/>
          <w:sz w:val="26"/>
          <w:szCs w:val="26"/>
        </w:rPr>
        <w:t>Absorption</w:t>
      </w:r>
    </w:p>
    <w:p w14:paraId="3AA09391" w14:textId="76CD2235" w:rsidR="00221078" w:rsidRDefault="00221078" w:rsidP="00127E3A">
      <w:r>
        <w:t xml:space="preserve">Following subcutaneous infusion into the abdomen, </w:t>
      </w:r>
      <w:r w:rsidR="00A175F6">
        <w:t>foslevodopa</w:t>
      </w:r>
      <w:r>
        <w:t xml:space="preserve">/foscarbidopa was rapidly absorbed and converted to the active moieties, </w:t>
      </w:r>
      <w:r w:rsidR="00473CBE">
        <w:t>levodopa</w:t>
      </w:r>
      <w:r>
        <w:t xml:space="preserve"> and </w:t>
      </w:r>
      <w:r w:rsidR="00473CBE">
        <w:t>carbidopa</w:t>
      </w:r>
      <w:r>
        <w:t xml:space="preserve">, by alkaline phosphatase. </w:t>
      </w:r>
      <w:r w:rsidR="00A175F6">
        <w:t>L</w:t>
      </w:r>
      <w:r w:rsidR="00473CBE">
        <w:t>evodopa</w:t>
      </w:r>
      <w:r>
        <w:t xml:space="preserve"> and </w:t>
      </w:r>
      <w:r w:rsidR="00473CBE">
        <w:t>carbidopa</w:t>
      </w:r>
      <w:r>
        <w:t xml:space="preserve"> were</w:t>
      </w:r>
      <w:r w:rsidRPr="00026171">
        <w:t xml:space="preserve"> </w:t>
      </w:r>
      <w:r>
        <w:t>detected</w:t>
      </w:r>
      <w:r w:rsidRPr="00026171">
        <w:t xml:space="preserve"> </w:t>
      </w:r>
      <w:r>
        <w:t>in</w:t>
      </w:r>
      <w:r w:rsidRPr="00026171">
        <w:t xml:space="preserve"> </w:t>
      </w:r>
      <w:r>
        <w:t>plasma</w:t>
      </w:r>
      <w:r w:rsidRPr="00026171">
        <w:t xml:space="preserve"> </w:t>
      </w:r>
      <w:r>
        <w:t>at</w:t>
      </w:r>
      <w:r w:rsidRPr="00026171">
        <w:t xml:space="preserve"> </w:t>
      </w:r>
      <w:r>
        <w:t>30</w:t>
      </w:r>
      <w:r w:rsidRPr="00026171">
        <w:t xml:space="preserve"> </w:t>
      </w:r>
      <w:r>
        <w:t>minutes</w:t>
      </w:r>
      <w:r w:rsidRPr="00026171">
        <w:t xml:space="preserve"> </w:t>
      </w:r>
      <w:r>
        <w:t>following</w:t>
      </w:r>
      <w:r w:rsidRPr="00026171">
        <w:t xml:space="preserve"> </w:t>
      </w:r>
      <w:r>
        <w:t>a</w:t>
      </w:r>
      <w:r w:rsidRPr="00026171">
        <w:t xml:space="preserve"> </w:t>
      </w:r>
      <w:r>
        <w:t>single</w:t>
      </w:r>
      <w:r w:rsidRPr="00026171">
        <w:t xml:space="preserve"> </w:t>
      </w:r>
      <w:r>
        <w:t>bolus</w:t>
      </w:r>
      <w:r w:rsidRPr="00026171">
        <w:t xml:space="preserve"> </w:t>
      </w:r>
      <w:r w:rsidR="00A175F6">
        <w:t>foslevodopa</w:t>
      </w:r>
      <w:r>
        <w:t>/foscarbidopa</w:t>
      </w:r>
      <w:r w:rsidRPr="00026171">
        <w:t xml:space="preserve"> </w:t>
      </w:r>
      <w:r>
        <w:t xml:space="preserve">dose. Systemic </w:t>
      </w:r>
      <w:r w:rsidR="00473CBE">
        <w:t>levodopa</w:t>
      </w:r>
      <w:r>
        <w:t xml:space="preserve"> and </w:t>
      </w:r>
      <w:r w:rsidR="00473CBE">
        <w:t>carbidopa</w:t>
      </w:r>
      <w:r>
        <w:t xml:space="preserve"> exposures were</w:t>
      </w:r>
      <w:r w:rsidRPr="00026171">
        <w:t xml:space="preserve"> </w:t>
      </w:r>
      <w:r>
        <w:t xml:space="preserve">similar following </w:t>
      </w:r>
      <w:r w:rsidR="00A175F6">
        <w:t>foslevodopa</w:t>
      </w:r>
      <w:r>
        <w:t>/foscarbidopa SC</w:t>
      </w:r>
      <w:r w:rsidRPr="00026171">
        <w:t xml:space="preserve"> </w:t>
      </w:r>
      <w:r>
        <w:t>infusion</w:t>
      </w:r>
      <w:r w:rsidRPr="00026171">
        <w:t xml:space="preserve"> </w:t>
      </w:r>
      <w:r>
        <w:t>to the abdomen, arm and thigh.</w:t>
      </w:r>
    </w:p>
    <w:p w14:paraId="3D49E7E2" w14:textId="77777777" w:rsidR="00221078" w:rsidRDefault="00221078" w:rsidP="00127E3A">
      <w:r>
        <w:t>Two</w:t>
      </w:r>
      <w:r w:rsidRPr="00026171">
        <w:t xml:space="preserve"> </w:t>
      </w:r>
      <w:r>
        <w:t>main</w:t>
      </w:r>
      <w:r w:rsidRPr="00026171">
        <w:t xml:space="preserve"> </w:t>
      </w:r>
      <w:r>
        <w:t>BA/BE</w:t>
      </w:r>
      <w:r w:rsidRPr="00026171">
        <w:t xml:space="preserve"> </w:t>
      </w:r>
      <w:r>
        <w:t>studies</w:t>
      </w:r>
      <w:r w:rsidRPr="00026171">
        <w:t xml:space="preserve"> </w:t>
      </w:r>
      <w:r>
        <w:t>(</w:t>
      </w:r>
      <w:r w:rsidRPr="00026171">
        <w:t xml:space="preserve">M17-220 </w:t>
      </w:r>
      <w:r>
        <w:t>and</w:t>
      </w:r>
      <w:r w:rsidRPr="00026171">
        <w:t xml:space="preserve"> M20-141</w:t>
      </w:r>
      <w:r>
        <w:t>),</w:t>
      </w:r>
      <w:r w:rsidRPr="00026171">
        <w:t xml:space="preserve"> </w:t>
      </w:r>
      <w:r>
        <w:t>and</w:t>
      </w:r>
      <w:r w:rsidRPr="00026171">
        <w:t xml:space="preserve"> </w:t>
      </w:r>
      <w:r>
        <w:t>a</w:t>
      </w:r>
      <w:r w:rsidRPr="00026171">
        <w:t xml:space="preserve"> </w:t>
      </w:r>
      <w:r>
        <w:t>‘pilot’</w:t>
      </w:r>
      <w:r w:rsidRPr="00026171">
        <w:t xml:space="preserve"> </w:t>
      </w:r>
      <w:r>
        <w:t>BA</w:t>
      </w:r>
      <w:r w:rsidRPr="00026171">
        <w:t xml:space="preserve"> </w:t>
      </w:r>
      <w:r>
        <w:t>study</w:t>
      </w:r>
      <w:r w:rsidRPr="00026171">
        <w:t xml:space="preserve"> </w:t>
      </w:r>
      <w:r>
        <w:t>(</w:t>
      </w:r>
      <w:r w:rsidRPr="00026171">
        <w:t>M18-764</w:t>
      </w:r>
      <w:r>
        <w:t>)</w:t>
      </w:r>
      <w:r w:rsidRPr="00026171">
        <w:t xml:space="preserve"> </w:t>
      </w:r>
      <w:r>
        <w:t>were submitted in support of the application.</w:t>
      </w:r>
    </w:p>
    <w:p w14:paraId="5C4CA1FD" w14:textId="46E58941" w:rsidR="00A7131B" w:rsidRDefault="00221078" w:rsidP="00127E3A">
      <w:r>
        <w:t xml:space="preserve">Study </w:t>
      </w:r>
      <w:r w:rsidRPr="00026171">
        <w:t xml:space="preserve">M18-764 </w:t>
      </w:r>
      <w:r>
        <w:t>reported relative BA at 16 h post infusion initiation between foscarbidopa/</w:t>
      </w:r>
      <w:r w:rsidR="00A175F6">
        <w:t>foslevodopa</w:t>
      </w:r>
      <w:r w:rsidRPr="00026171">
        <w:t xml:space="preserve"> </w:t>
      </w:r>
      <w:r>
        <w:t>35</w:t>
      </w:r>
      <w:r w:rsidRPr="00026171">
        <w:t xml:space="preserve"> </w:t>
      </w:r>
      <w:r>
        <w:t>mg/700</w:t>
      </w:r>
      <w:r w:rsidRPr="00026171">
        <w:t xml:space="preserve"> </w:t>
      </w:r>
      <w:r>
        <w:t>mg</w:t>
      </w:r>
      <w:r w:rsidRPr="00026171">
        <w:t xml:space="preserve"> </w:t>
      </w:r>
      <w:r>
        <w:t>CSCI,</w:t>
      </w:r>
      <w:r w:rsidRPr="00026171">
        <w:t xml:space="preserve"> </w:t>
      </w:r>
      <w:r>
        <w:t>using</w:t>
      </w:r>
      <w:r w:rsidRPr="00026171">
        <w:t xml:space="preserve"> </w:t>
      </w:r>
      <w:r>
        <w:t>the</w:t>
      </w:r>
      <w:r w:rsidRPr="00026171">
        <w:t xml:space="preserve"> </w:t>
      </w:r>
      <w:r>
        <w:t>commercial</w:t>
      </w:r>
      <w:r w:rsidRPr="00026171">
        <w:t xml:space="preserve"> </w:t>
      </w:r>
      <w:r>
        <w:t>formulation,</w:t>
      </w:r>
      <w:r w:rsidRPr="00026171">
        <w:t xml:space="preserve"> </w:t>
      </w:r>
      <w:r>
        <w:t>and</w:t>
      </w:r>
      <w:r w:rsidRPr="00026171">
        <w:t xml:space="preserve"> </w:t>
      </w:r>
      <w:r>
        <w:t xml:space="preserve">LCIG </w:t>
      </w:r>
      <w:r w:rsidR="00473CBE">
        <w:t>carbidopa</w:t>
      </w:r>
      <w:r>
        <w:t>/</w:t>
      </w:r>
      <w:r w:rsidR="00473CBE">
        <w:t>levodopa</w:t>
      </w:r>
      <w:r>
        <w:t xml:space="preserve"> 87.5 mg/350 mg infusion.</w:t>
      </w:r>
    </w:p>
    <w:p w14:paraId="67A9A897" w14:textId="77777777" w:rsidR="00A7131B" w:rsidRDefault="00221078" w:rsidP="00127E3A">
      <w:r>
        <w:t>The</w:t>
      </w:r>
      <w:r>
        <w:rPr>
          <w:spacing w:val="-2"/>
        </w:rPr>
        <w:t xml:space="preserve"> </w:t>
      </w:r>
      <w:r>
        <w:t>evaluator</w:t>
      </w:r>
      <w:r>
        <w:rPr>
          <w:spacing w:val="-2"/>
        </w:rPr>
        <w:t xml:space="preserve"> </w:t>
      </w:r>
      <w:r>
        <w:t>highlighted</w:t>
      </w:r>
      <w:r w:rsidR="00A7131B">
        <w:t>:</w:t>
      </w:r>
    </w:p>
    <w:p w14:paraId="72D0300D" w14:textId="44D85322" w:rsidR="00221078" w:rsidRPr="00127E3A" w:rsidRDefault="00221078" w:rsidP="00127E3A">
      <w:pPr>
        <w:ind w:left="720"/>
        <w:rPr>
          <w:i/>
          <w:iCs/>
        </w:rPr>
      </w:pPr>
      <w:r w:rsidRPr="00127E3A">
        <w:rPr>
          <w:i/>
          <w:iCs/>
        </w:rPr>
        <w:t>the</w:t>
      </w:r>
      <w:r w:rsidRPr="00127E3A">
        <w:rPr>
          <w:i/>
          <w:iCs/>
          <w:spacing w:val="-2"/>
        </w:rPr>
        <w:t xml:space="preserve"> </w:t>
      </w:r>
      <w:r w:rsidRPr="00127E3A">
        <w:rPr>
          <w:i/>
          <w:iCs/>
        </w:rPr>
        <w:t>results</w:t>
      </w:r>
      <w:r w:rsidRPr="00127E3A">
        <w:rPr>
          <w:i/>
          <w:iCs/>
          <w:spacing w:val="-2"/>
        </w:rPr>
        <w:t xml:space="preserve"> </w:t>
      </w:r>
      <w:r w:rsidRPr="00127E3A">
        <w:rPr>
          <w:i/>
          <w:iCs/>
        </w:rPr>
        <w:t>from</w:t>
      </w:r>
      <w:r w:rsidRPr="00127E3A">
        <w:rPr>
          <w:i/>
          <w:iCs/>
          <w:spacing w:val="-3"/>
        </w:rPr>
        <w:t xml:space="preserve"> </w:t>
      </w:r>
      <w:r w:rsidRPr="00127E3A">
        <w:rPr>
          <w:i/>
          <w:iCs/>
        </w:rPr>
        <w:t>the</w:t>
      </w:r>
      <w:r w:rsidRPr="00127E3A">
        <w:rPr>
          <w:i/>
          <w:iCs/>
          <w:spacing w:val="-2"/>
        </w:rPr>
        <w:t xml:space="preserve"> </w:t>
      </w:r>
      <w:r w:rsidRPr="00127E3A">
        <w:rPr>
          <w:i/>
          <w:iCs/>
        </w:rPr>
        <w:t>pilot</w:t>
      </w:r>
      <w:r w:rsidRPr="00127E3A">
        <w:rPr>
          <w:i/>
          <w:iCs/>
          <w:spacing w:val="-2"/>
        </w:rPr>
        <w:t xml:space="preserve"> </w:t>
      </w:r>
      <w:r w:rsidRPr="00127E3A">
        <w:rPr>
          <w:i/>
          <w:iCs/>
        </w:rPr>
        <w:t>study</w:t>
      </w:r>
      <w:r w:rsidRPr="00127E3A">
        <w:rPr>
          <w:i/>
          <w:iCs/>
          <w:spacing w:val="-3"/>
        </w:rPr>
        <w:t xml:space="preserve"> </w:t>
      </w:r>
      <w:r w:rsidRPr="00127E3A">
        <w:rPr>
          <w:i/>
          <w:iCs/>
        </w:rPr>
        <w:t>need</w:t>
      </w:r>
      <w:r w:rsidRPr="00127E3A">
        <w:rPr>
          <w:i/>
          <w:iCs/>
          <w:spacing w:val="-3"/>
        </w:rPr>
        <w:t xml:space="preserve"> </w:t>
      </w:r>
      <w:r w:rsidRPr="00127E3A">
        <w:rPr>
          <w:i/>
          <w:iCs/>
        </w:rPr>
        <w:t>to</w:t>
      </w:r>
      <w:r w:rsidRPr="00127E3A">
        <w:rPr>
          <w:i/>
          <w:iCs/>
          <w:spacing w:val="-4"/>
        </w:rPr>
        <w:t xml:space="preserve"> </w:t>
      </w:r>
      <w:r w:rsidRPr="00127E3A">
        <w:rPr>
          <w:i/>
          <w:iCs/>
        </w:rPr>
        <w:t>be</w:t>
      </w:r>
      <w:r w:rsidRPr="00127E3A">
        <w:rPr>
          <w:i/>
          <w:iCs/>
          <w:spacing w:val="-2"/>
        </w:rPr>
        <w:t xml:space="preserve"> </w:t>
      </w:r>
      <w:r w:rsidRPr="00127E3A">
        <w:rPr>
          <w:i/>
          <w:iCs/>
        </w:rPr>
        <w:t>interpreted</w:t>
      </w:r>
      <w:r w:rsidRPr="00127E3A">
        <w:rPr>
          <w:i/>
          <w:iCs/>
          <w:spacing w:val="-2"/>
        </w:rPr>
        <w:t xml:space="preserve"> </w:t>
      </w:r>
      <w:r w:rsidRPr="00127E3A">
        <w:rPr>
          <w:i/>
          <w:iCs/>
        </w:rPr>
        <w:t xml:space="preserve">with caution since the design was </w:t>
      </w:r>
      <w:proofErr w:type="gramStart"/>
      <w:r w:rsidRPr="00127E3A">
        <w:rPr>
          <w:i/>
          <w:iCs/>
        </w:rPr>
        <w:t>open-label</w:t>
      </w:r>
      <w:proofErr w:type="gramEnd"/>
      <w:r w:rsidRPr="00127E3A">
        <w:rPr>
          <w:i/>
          <w:iCs/>
        </w:rPr>
        <w:t xml:space="preserve"> (OL), there was no crossover in treatment arms and a ‘period effect’ between treatment sequences </w:t>
      </w:r>
      <w:r w:rsidR="00704437" w:rsidRPr="00127E3A">
        <w:rPr>
          <w:i/>
          <w:iCs/>
        </w:rPr>
        <w:t>could</w:t>
      </w:r>
      <w:r w:rsidRPr="00127E3A">
        <w:rPr>
          <w:i/>
          <w:iCs/>
        </w:rPr>
        <w:t xml:space="preserve"> not be excluded.</w:t>
      </w:r>
    </w:p>
    <w:p w14:paraId="4EA40489" w14:textId="77777777" w:rsidR="00221078" w:rsidRPr="00595FDD" w:rsidRDefault="00221078" w:rsidP="00127E3A">
      <w:pPr>
        <w:pStyle w:val="Heading5"/>
      </w:pPr>
      <w:bookmarkStart w:id="50" w:name="Study_M17-220"/>
      <w:bookmarkEnd w:id="50"/>
      <w:r w:rsidRPr="00595FDD">
        <w:t>Study M17-220</w:t>
      </w:r>
    </w:p>
    <w:p w14:paraId="054EE353" w14:textId="72FD0D3E" w:rsidR="00221078" w:rsidRDefault="00221078" w:rsidP="00127E3A">
      <w:r>
        <w:t>Study</w:t>
      </w:r>
      <w:r>
        <w:rPr>
          <w:spacing w:val="-3"/>
        </w:rPr>
        <w:t xml:space="preserve"> </w:t>
      </w:r>
      <w:r>
        <w:t>design:</w:t>
      </w:r>
      <w:r>
        <w:rPr>
          <w:spacing w:val="-3"/>
        </w:rPr>
        <w:t xml:space="preserve"> </w:t>
      </w:r>
      <w:r>
        <w:t>Phase</w:t>
      </w:r>
      <w:r>
        <w:rPr>
          <w:spacing w:val="-2"/>
        </w:rPr>
        <w:t xml:space="preserve"> </w:t>
      </w:r>
      <w:r>
        <w:t>I,</w:t>
      </w:r>
      <w:r>
        <w:rPr>
          <w:spacing w:val="-2"/>
        </w:rPr>
        <w:t xml:space="preserve"> </w:t>
      </w:r>
      <w:r>
        <w:t>randomised,</w:t>
      </w:r>
      <w:r>
        <w:rPr>
          <w:spacing w:val="-2"/>
        </w:rPr>
        <w:t xml:space="preserve"> </w:t>
      </w:r>
      <w:r>
        <w:t>open</w:t>
      </w:r>
      <w:r>
        <w:rPr>
          <w:spacing w:val="-3"/>
        </w:rPr>
        <w:t xml:space="preserve"> </w:t>
      </w:r>
      <w:r>
        <w:t>label</w:t>
      </w:r>
      <w:r>
        <w:rPr>
          <w:spacing w:val="-2"/>
        </w:rPr>
        <w:t xml:space="preserve"> </w:t>
      </w:r>
      <w:r>
        <w:t>study</w:t>
      </w:r>
      <w:r>
        <w:rPr>
          <w:spacing w:val="-3"/>
        </w:rPr>
        <w:t xml:space="preserve"> </w:t>
      </w:r>
      <w:r>
        <w:t>administered</w:t>
      </w:r>
      <w:r>
        <w:rPr>
          <w:spacing w:val="-4"/>
        </w:rPr>
        <w:t xml:space="preserve"> </w:t>
      </w:r>
      <w:r>
        <w:t>in</w:t>
      </w:r>
      <w:r>
        <w:rPr>
          <w:spacing w:val="-3"/>
        </w:rPr>
        <w:t xml:space="preserve"> </w:t>
      </w:r>
      <w:r>
        <w:t>a</w:t>
      </w:r>
      <w:r>
        <w:rPr>
          <w:spacing w:val="-2"/>
        </w:rPr>
        <w:t xml:space="preserve"> </w:t>
      </w:r>
      <w:r>
        <w:t>standard</w:t>
      </w:r>
      <w:r>
        <w:rPr>
          <w:spacing w:val="-2"/>
        </w:rPr>
        <w:t xml:space="preserve"> </w:t>
      </w:r>
      <w:r>
        <w:t>2-sequence,</w:t>
      </w:r>
      <w:r>
        <w:rPr>
          <w:spacing w:val="-2"/>
        </w:rPr>
        <w:t xml:space="preserve"> </w:t>
      </w:r>
      <w:r>
        <w:t>2- treatment, 2-period crossover design.</w:t>
      </w:r>
    </w:p>
    <w:p w14:paraId="3E739BAD" w14:textId="24F6A58A" w:rsidR="00221078" w:rsidRDefault="00221078" w:rsidP="00D950B7">
      <w:r>
        <w:t>The</w:t>
      </w:r>
      <w:r>
        <w:rPr>
          <w:spacing w:val="-4"/>
        </w:rPr>
        <w:t xml:space="preserve"> </w:t>
      </w:r>
      <w:r>
        <w:t>objective</w:t>
      </w:r>
      <w:r>
        <w:rPr>
          <w:spacing w:val="-4"/>
        </w:rPr>
        <w:t xml:space="preserve"> </w:t>
      </w:r>
      <w:r>
        <w:t>of</w:t>
      </w:r>
      <w:r>
        <w:rPr>
          <w:spacing w:val="-2"/>
        </w:rPr>
        <w:t xml:space="preserve"> </w:t>
      </w:r>
      <w:r>
        <w:t>the</w:t>
      </w:r>
      <w:r>
        <w:rPr>
          <w:spacing w:val="-4"/>
        </w:rPr>
        <w:t xml:space="preserve"> </w:t>
      </w:r>
      <w:r>
        <w:t>study</w:t>
      </w:r>
      <w:r>
        <w:rPr>
          <w:spacing w:val="-5"/>
        </w:rPr>
        <w:t xml:space="preserve"> </w:t>
      </w:r>
      <w:r>
        <w:t>was</w:t>
      </w:r>
      <w:r>
        <w:rPr>
          <w:spacing w:val="-1"/>
        </w:rPr>
        <w:t xml:space="preserve"> </w:t>
      </w:r>
      <w:r>
        <w:t>to</w:t>
      </w:r>
      <w:r>
        <w:rPr>
          <w:spacing w:val="-1"/>
        </w:rPr>
        <w:t xml:space="preserve"> </w:t>
      </w:r>
      <w:r>
        <w:t>compare</w:t>
      </w:r>
      <w:r>
        <w:rPr>
          <w:spacing w:val="-2"/>
        </w:rPr>
        <w:t xml:space="preserve"> </w:t>
      </w:r>
      <w:r w:rsidR="00A175F6">
        <w:t>LEVODOPA</w:t>
      </w:r>
      <w:r>
        <w:rPr>
          <w:spacing w:val="-2"/>
        </w:rPr>
        <w:t xml:space="preserve"> </w:t>
      </w:r>
      <w:r>
        <w:t>PK</w:t>
      </w:r>
      <w:r>
        <w:rPr>
          <w:spacing w:val="-2"/>
        </w:rPr>
        <w:t xml:space="preserve"> </w:t>
      </w:r>
      <w:r>
        <w:t>from</w:t>
      </w:r>
      <w:r>
        <w:rPr>
          <w:spacing w:val="-1"/>
        </w:rPr>
        <w:t xml:space="preserve"> </w:t>
      </w:r>
      <w:r>
        <w:t>24</w:t>
      </w:r>
      <w:r>
        <w:rPr>
          <w:spacing w:val="-4"/>
        </w:rPr>
        <w:t xml:space="preserve"> </w:t>
      </w:r>
      <w:r>
        <w:t>h</w:t>
      </w:r>
      <w:r>
        <w:rPr>
          <w:spacing w:val="-1"/>
        </w:rPr>
        <w:t xml:space="preserve"> </w:t>
      </w:r>
      <w:r>
        <w:t>foscarbidopa/</w:t>
      </w:r>
      <w:r w:rsidR="00A175F6">
        <w:t>foslevodopa</w:t>
      </w:r>
      <w:r>
        <w:rPr>
          <w:spacing w:val="-4"/>
        </w:rPr>
        <w:t xml:space="preserve"> </w:t>
      </w:r>
      <w:r>
        <w:t xml:space="preserve">infusion to the </w:t>
      </w:r>
      <w:r w:rsidR="00A175F6">
        <w:t>LEVODOPA</w:t>
      </w:r>
      <w:r>
        <w:t xml:space="preserve"> PK from </w:t>
      </w:r>
      <w:r w:rsidR="00A175F6">
        <w:t>Duodopa</w:t>
      </w:r>
      <w:r>
        <w:t xml:space="preserve"> (LCIG) infused over 16 h</w:t>
      </w:r>
      <w:r w:rsidR="00A7759B">
        <w:t>ours</w:t>
      </w:r>
      <w:r>
        <w:t xml:space="preserve"> plus night-time oral </w:t>
      </w:r>
      <w:r w:rsidR="008C163E">
        <w:t>CARBIDOPA</w:t>
      </w:r>
      <w:r>
        <w:t>/</w:t>
      </w:r>
      <w:r w:rsidR="00A175F6">
        <w:t>LEVODOPA</w:t>
      </w:r>
      <w:r>
        <w:t xml:space="preserve"> doses in healthy adults.</w:t>
      </w:r>
    </w:p>
    <w:p w14:paraId="74282259" w14:textId="3065D3ED" w:rsidR="00221078" w:rsidRDefault="00221078" w:rsidP="00127E3A">
      <w:r>
        <w:t>A</w:t>
      </w:r>
      <w:r>
        <w:rPr>
          <w:spacing w:val="-2"/>
        </w:rPr>
        <w:t xml:space="preserve"> </w:t>
      </w:r>
      <w:r>
        <w:t>24-hour</w:t>
      </w:r>
      <w:r>
        <w:rPr>
          <w:spacing w:val="-1"/>
        </w:rPr>
        <w:t xml:space="preserve"> </w:t>
      </w:r>
      <w:r>
        <w:t>delivery</w:t>
      </w:r>
      <w:r>
        <w:rPr>
          <w:spacing w:val="-2"/>
        </w:rPr>
        <w:t xml:space="preserve"> </w:t>
      </w:r>
      <w:r>
        <w:t>of</w:t>
      </w:r>
      <w:r>
        <w:rPr>
          <w:spacing w:val="-1"/>
        </w:rPr>
        <w:t xml:space="preserve"> </w:t>
      </w:r>
      <w:r>
        <w:t>foscarbidopa/</w:t>
      </w:r>
      <w:r w:rsidR="00A175F6">
        <w:t>foslevodopa</w:t>
      </w:r>
      <w:r>
        <w:rPr>
          <w:spacing w:val="-1"/>
        </w:rPr>
        <w:t xml:space="preserve"> </w:t>
      </w:r>
      <w:r>
        <w:t>was compared</w:t>
      </w:r>
      <w:r>
        <w:rPr>
          <w:spacing w:val="-1"/>
        </w:rPr>
        <w:t xml:space="preserve"> </w:t>
      </w:r>
      <w:r>
        <w:t>to</w:t>
      </w:r>
      <w:r>
        <w:rPr>
          <w:spacing w:val="-1"/>
        </w:rPr>
        <w:t xml:space="preserve"> </w:t>
      </w:r>
      <w:r>
        <w:t>16-hour</w:t>
      </w:r>
      <w:r>
        <w:rPr>
          <w:spacing w:val="-1"/>
        </w:rPr>
        <w:t xml:space="preserve"> </w:t>
      </w:r>
      <w:r>
        <w:t>delivery</w:t>
      </w:r>
      <w:r>
        <w:rPr>
          <w:spacing w:val="-2"/>
        </w:rPr>
        <w:t xml:space="preserve"> </w:t>
      </w:r>
      <w:r>
        <w:t>of</w:t>
      </w:r>
      <w:r>
        <w:rPr>
          <w:spacing w:val="-1"/>
        </w:rPr>
        <w:t xml:space="preserve"> </w:t>
      </w:r>
      <w:r>
        <w:t>LCIG</w:t>
      </w:r>
      <w:r>
        <w:rPr>
          <w:spacing w:val="-1"/>
        </w:rPr>
        <w:t xml:space="preserve"> </w:t>
      </w:r>
      <w:r>
        <w:t>plus nighttime</w:t>
      </w:r>
      <w:r>
        <w:rPr>
          <w:spacing w:val="-2"/>
        </w:rPr>
        <w:t xml:space="preserve"> </w:t>
      </w:r>
      <w:r>
        <w:t>oral</w:t>
      </w:r>
      <w:r>
        <w:rPr>
          <w:spacing w:val="-2"/>
        </w:rPr>
        <w:t xml:space="preserve"> </w:t>
      </w:r>
      <w:r w:rsidR="00704437">
        <w:t>LD</w:t>
      </w:r>
      <w:r>
        <w:t>/</w:t>
      </w:r>
      <w:r w:rsidR="00704437">
        <w:t>CD</w:t>
      </w:r>
      <w:r>
        <w:rPr>
          <w:spacing w:val="-2"/>
        </w:rPr>
        <w:t xml:space="preserve"> </w:t>
      </w:r>
      <w:r>
        <w:t>tablets.</w:t>
      </w:r>
      <w:r>
        <w:rPr>
          <w:spacing w:val="-4"/>
        </w:rPr>
        <w:t xml:space="preserve"> </w:t>
      </w:r>
      <w:r>
        <w:t>The</w:t>
      </w:r>
      <w:r>
        <w:rPr>
          <w:spacing w:val="-2"/>
        </w:rPr>
        <w:t xml:space="preserve"> </w:t>
      </w:r>
      <w:r>
        <w:t>oral</w:t>
      </w:r>
      <w:r>
        <w:rPr>
          <w:spacing w:val="-2"/>
        </w:rPr>
        <w:t xml:space="preserve"> </w:t>
      </w:r>
      <w:r w:rsidR="00704437">
        <w:t>LD</w:t>
      </w:r>
      <w:r>
        <w:rPr>
          <w:spacing w:val="-2"/>
        </w:rPr>
        <w:t xml:space="preserve"> </w:t>
      </w:r>
      <w:r>
        <w:t>night-time</w:t>
      </w:r>
      <w:r>
        <w:rPr>
          <w:spacing w:val="-2"/>
        </w:rPr>
        <w:t xml:space="preserve"> </w:t>
      </w:r>
      <w:r>
        <w:t>doses</w:t>
      </w:r>
      <w:r>
        <w:rPr>
          <w:spacing w:val="-1"/>
        </w:rPr>
        <w:t xml:space="preserve"> </w:t>
      </w:r>
      <w:r>
        <w:t>were</w:t>
      </w:r>
      <w:r>
        <w:rPr>
          <w:spacing w:val="-2"/>
        </w:rPr>
        <w:t xml:space="preserve"> </w:t>
      </w:r>
      <w:r>
        <w:t>chosen</w:t>
      </w:r>
      <w:r>
        <w:rPr>
          <w:spacing w:val="-3"/>
        </w:rPr>
        <w:t xml:space="preserve"> </w:t>
      </w:r>
      <w:r>
        <w:t>to</w:t>
      </w:r>
      <w:r>
        <w:rPr>
          <w:spacing w:val="-2"/>
        </w:rPr>
        <w:t xml:space="preserve"> </w:t>
      </w:r>
      <w:r>
        <w:t>represent</w:t>
      </w:r>
      <w:r>
        <w:rPr>
          <w:spacing w:val="-2"/>
        </w:rPr>
        <w:t xml:space="preserve"> </w:t>
      </w:r>
      <w:r>
        <w:t>all</w:t>
      </w:r>
      <w:r>
        <w:rPr>
          <w:spacing w:val="-4"/>
        </w:rPr>
        <w:t xml:space="preserve"> </w:t>
      </w:r>
      <w:r>
        <w:t xml:space="preserve">sources of </w:t>
      </w:r>
      <w:r w:rsidR="00704437">
        <w:t>LD</w:t>
      </w:r>
      <w:r>
        <w:t xml:space="preserve"> taken during a 24-hour period as an example of a typical treatment day in patients with advanced PD who use LCIG for their motor and nonmotor fluctuations but continue to experience symptoms (such as nocturnal akinesia, morning akinesia, early morning dystonia, and difficulty turning in bed) once the infusion of LCIG is suspended for the night.</w:t>
      </w:r>
    </w:p>
    <w:p w14:paraId="42BA9CC1" w14:textId="77777777" w:rsidR="00221078" w:rsidRDefault="00221078" w:rsidP="0036328C">
      <w:pPr>
        <w:pStyle w:val="Heading6"/>
      </w:pPr>
      <w:r w:rsidRPr="0036328C">
        <w:t>Results</w:t>
      </w:r>
    </w:p>
    <w:p w14:paraId="01028DA5" w14:textId="5072C207" w:rsidR="0036328C" w:rsidRPr="0036328C" w:rsidRDefault="00221078" w:rsidP="00F450C0">
      <w:pPr>
        <w:pStyle w:val="TableTitle"/>
      </w:pPr>
      <w:r w:rsidRPr="00F450C0">
        <w:t xml:space="preserve">Table </w:t>
      </w:r>
      <w:r w:rsidR="00916328" w:rsidRPr="00F450C0">
        <w:t>2</w:t>
      </w:r>
      <w:r w:rsidRPr="00F450C0">
        <w:t xml:space="preserve">: Relative </w:t>
      </w:r>
      <w:r w:rsidR="00704437" w:rsidRPr="00F450C0">
        <w:t>b</w:t>
      </w:r>
      <w:r w:rsidRPr="00F450C0">
        <w:t>ioavailability and 90% Confidence Intervals</w:t>
      </w:r>
      <w:r w:rsidRPr="00F450C0">
        <w:rPr>
          <w:spacing w:val="-2"/>
        </w:rPr>
        <w:t xml:space="preserve"> </w:t>
      </w:r>
      <w:r w:rsidRPr="00F450C0">
        <w:t>of</w:t>
      </w:r>
      <w:r w:rsidRPr="00F450C0">
        <w:rPr>
          <w:spacing w:val="-3"/>
        </w:rPr>
        <w:t xml:space="preserve"> </w:t>
      </w:r>
      <w:r w:rsidR="00704437" w:rsidRPr="00F450C0">
        <w:rPr>
          <w:spacing w:val="-3"/>
        </w:rPr>
        <w:t>l</w:t>
      </w:r>
      <w:r w:rsidR="00A175F6" w:rsidRPr="00F450C0">
        <w:t>evodopa</w:t>
      </w:r>
      <w:r w:rsidRPr="00F450C0">
        <w:t xml:space="preserve"> for</w:t>
      </w:r>
      <w:r w:rsidRPr="00F450C0">
        <w:rPr>
          <w:spacing w:val="-1"/>
        </w:rPr>
        <w:t xml:space="preserve"> </w:t>
      </w:r>
      <w:r w:rsidR="00A52F08" w:rsidRPr="00F450C0">
        <w:rPr>
          <w:spacing w:val="-1"/>
        </w:rPr>
        <w:t>s</w:t>
      </w:r>
      <w:r w:rsidRPr="00F450C0">
        <w:t>ubjects</w:t>
      </w:r>
      <w:r w:rsidRPr="00F450C0">
        <w:rPr>
          <w:spacing w:val="-2"/>
        </w:rPr>
        <w:t xml:space="preserve"> </w:t>
      </w:r>
      <w:r w:rsidR="00A52F08" w:rsidRPr="00F450C0">
        <w:rPr>
          <w:spacing w:val="-2"/>
        </w:rPr>
        <w:t>w</w:t>
      </w:r>
      <w:r w:rsidRPr="00F450C0">
        <w:t xml:space="preserve">ho </w:t>
      </w:r>
      <w:r w:rsidR="00704437" w:rsidRPr="00F450C0">
        <w:t>c</w:t>
      </w:r>
      <w:r w:rsidRPr="00F450C0">
        <w:t>ompleted</w:t>
      </w:r>
      <w:r w:rsidRPr="00F450C0">
        <w:rPr>
          <w:spacing w:val="-5"/>
        </w:rPr>
        <w:t xml:space="preserve"> </w:t>
      </w:r>
      <w:r w:rsidR="00704437" w:rsidRPr="00F450C0">
        <w:rPr>
          <w:spacing w:val="-5"/>
        </w:rPr>
        <w:t>b</w:t>
      </w:r>
      <w:r w:rsidRPr="00F450C0">
        <w:t>oth</w:t>
      </w:r>
      <w:r w:rsidRPr="00F450C0">
        <w:rPr>
          <w:spacing w:val="-5"/>
        </w:rPr>
        <w:t xml:space="preserve"> </w:t>
      </w:r>
      <w:r w:rsidR="00704437" w:rsidRPr="00F450C0">
        <w:t>l</w:t>
      </w:r>
      <w:r w:rsidR="00A175F6" w:rsidRPr="00F450C0">
        <w:t>evodopa</w:t>
      </w:r>
      <w:r w:rsidRPr="00F450C0">
        <w:t>/carbidopa</w:t>
      </w:r>
      <w:r w:rsidRPr="00F450C0">
        <w:rPr>
          <w:spacing w:val="-5"/>
        </w:rPr>
        <w:t xml:space="preserve"> </w:t>
      </w:r>
      <w:r w:rsidR="00704437" w:rsidRPr="00F450C0">
        <w:rPr>
          <w:spacing w:val="-5"/>
        </w:rPr>
        <w:t>i</w:t>
      </w:r>
      <w:r w:rsidRPr="00F450C0">
        <w:t>ntestinal</w:t>
      </w:r>
      <w:r w:rsidRPr="00F450C0">
        <w:rPr>
          <w:spacing w:val="-5"/>
        </w:rPr>
        <w:t xml:space="preserve"> </w:t>
      </w:r>
      <w:r w:rsidR="00704437" w:rsidRPr="00F450C0">
        <w:rPr>
          <w:spacing w:val="-5"/>
        </w:rPr>
        <w:t>g</w:t>
      </w:r>
      <w:r w:rsidRPr="00F450C0">
        <w:t>el</w:t>
      </w:r>
      <w:r w:rsidRPr="00F450C0">
        <w:rPr>
          <w:spacing w:val="-3"/>
        </w:rPr>
        <w:t xml:space="preserve"> </w:t>
      </w:r>
      <w:r w:rsidRPr="00F450C0">
        <w:t>and</w:t>
      </w:r>
      <w:r w:rsidRPr="00F450C0">
        <w:rPr>
          <w:spacing w:val="-5"/>
        </w:rPr>
        <w:t xml:space="preserve"> </w:t>
      </w:r>
      <w:proofErr w:type="spellStart"/>
      <w:r w:rsidR="00A175F6" w:rsidRPr="00F450C0">
        <w:t>foslevodopa</w:t>
      </w:r>
      <w:proofErr w:type="spellEnd"/>
      <w:r w:rsidRPr="00F450C0">
        <w:t>/</w:t>
      </w:r>
      <w:proofErr w:type="spellStart"/>
      <w:r w:rsidRPr="00F450C0">
        <w:t>foscarbidopa</w:t>
      </w:r>
      <w:proofErr w:type="spellEnd"/>
      <w:r w:rsidRPr="00F450C0">
        <w:rPr>
          <w:spacing w:val="-7"/>
        </w:rPr>
        <w:t xml:space="preserve"> </w:t>
      </w:r>
      <w:r w:rsidR="00A175F6" w:rsidRPr="00F450C0">
        <w:rPr>
          <w:spacing w:val="-7"/>
        </w:rPr>
        <w:t>r</w:t>
      </w:r>
      <w:r w:rsidRPr="00F450C0">
        <w:t>egimens</w:t>
      </w:r>
    </w:p>
    <w:p w14:paraId="395AFA2D" w14:textId="0C66CFA0" w:rsidR="00221078" w:rsidRDefault="00F450C0" w:rsidP="00F450C0">
      <w:r>
        <w:rPr>
          <w:noProof/>
        </w:rPr>
        <w:drawing>
          <wp:inline distT="0" distB="0" distL="0" distR="0" wp14:anchorId="5F37F3A2" wp14:editId="008A64C6">
            <wp:extent cx="5492750" cy="2280285"/>
            <wp:effectExtent l="0" t="0" r="0" b="5715"/>
            <wp:docPr id="14" name="Image 14" descr="This table shows the relative bioavailability and 90% confidence intervals of levodopa for subjects who completed both levodopa/carbidopa intestinal gel (LCIG) and foslevodopa/foscarbidopa regimens. The table includes the relative bioavailability values along with their corresponding 90% confidence intervals, comparing the 2 treatment regime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his table shows the relative bioavailability and 90% confidence intervals of levodopa for subjects who completed both levodopa/carbidopa intestinal gel (LCIG) and foslevodopa/foscarbidopa regimens. The table includes the relative bioavailability values along with their corresponding 90% confidence intervals, comparing the 2 treatment regime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92750" cy="2280285"/>
                    </a:xfrm>
                    <a:prstGeom prst="rect">
                      <a:avLst/>
                    </a:prstGeom>
                  </pic:spPr>
                </pic:pic>
              </a:graphicData>
            </a:graphic>
          </wp:inline>
        </w:drawing>
      </w:r>
    </w:p>
    <w:p w14:paraId="12D3C456" w14:textId="6617E4C8" w:rsidR="00221078" w:rsidRDefault="00221078" w:rsidP="00F450C0">
      <w:r>
        <w:t xml:space="preserve">For the </w:t>
      </w:r>
      <w:r w:rsidR="00A175F6">
        <w:t>foslevodopa</w:t>
      </w:r>
      <w:r>
        <w:t xml:space="preserve">/foscarbidopa 35/700 mg infusion over 24 hours, </w:t>
      </w:r>
      <w:r w:rsidR="0025741F">
        <w:t>l</w:t>
      </w:r>
      <w:r w:rsidR="00A175F6">
        <w:t>evodopa</w:t>
      </w:r>
      <w:r>
        <w:t xml:space="preserve"> Cmax0-16 and AUC0-16 exposures were</w:t>
      </w:r>
      <w:r>
        <w:rPr>
          <w:spacing w:val="-1"/>
        </w:rPr>
        <w:t xml:space="preserve"> </w:t>
      </w:r>
      <w:r>
        <w:t>8% and 5% lower, respectively, and AUC∞ exposure was 0.9% higher relative</w:t>
      </w:r>
      <w:r>
        <w:rPr>
          <w:spacing w:val="-2"/>
        </w:rPr>
        <w:t xml:space="preserve"> </w:t>
      </w:r>
      <w:r>
        <w:t>to</w:t>
      </w:r>
      <w:r>
        <w:rPr>
          <w:spacing w:val="-2"/>
        </w:rPr>
        <w:t xml:space="preserve"> </w:t>
      </w:r>
      <w:r>
        <w:t>LCIG</w:t>
      </w:r>
      <w:r>
        <w:rPr>
          <w:spacing w:val="-2"/>
        </w:rPr>
        <w:t xml:space="preserve"> </w:t>
      </w:r>
      <w:r w:rsidR="008C163E">
        <w:t>CARBIDOPA</w:t>
      </w:r>
      <w:r>
        <w:t>/</w:t>
      </w:r>
      <w:r w:rsidR="00A175F6">
        <w:t>LEVODOPA</w:t>
      </w:r>
      <w:r>
        <w:rPr>
          <w:spacing w:val="-2"/>
        </w:rPr>
        <w:t xml:space="preserve"> </w:t>
      </w:r>
      <w:r>
        <w:t>87.5/350</w:t>
      </w:r>
      <w:r>
        <w:rPr>
          <w:spacing w:val="-4"/>
        </w:rPr>
        <w:t xml:space="preserve"> </w:t>
      </w:r>
      <w:r>
        <w:t>mg</w:t>
      </w:r>
      <w:r>
        <w:rPr>
          <w:spacing w:val="-3"/>
        </w:rPr>
        <w:t xml:space="preserve"> </w:t>
      </w:r>
      <w:r>
        <w:t>infusion</w:t>
      </w:r>
      <w:r>
        <w:rPr>
          <w:spacing w:val="-3"/>
        </w:rPr>
        <w:t xml:space="preserve"> </w:t>
      </w:r>
      <w:r>
        <w:t>over</w:t>
      </w:r>
      <w:r>
        <w:rPr>
          <w:spacing w:val="-2"/>
        </w:rPr>
        <w:t xml:space="preserve"> </w:t>
      </w:r>
      <w:r>
        <w:t>16</w:t>
      </w:r>
      <w:r>
        <w:rPr>
          <w:spacing w:val="-2"/>
        </w:rPr>
        <w:t xml:space="preserve"> </w:t>
      </w:r>
      <w:r>
        <w:t>hours.</w:t>
      </w:r>
      <w:r>
        <w:rPr>
          <w:spacing w:val="-3"/>
        </w:rPr>
        <w:t xml:space="preserve"> </w:t>
      </w:r>
      <w:r>
        <w:t>The</w:t>
      </w:r>
      <w:r>
        <w:rPr>
          <w:spacing w:val="-2"/>
        </w:rPr>
        <w:t xml:space="preserve"> </w:t>
      </w:r>
      <w:r>
        <w:t>point</w:t>
      </w:r>
      <w:r>
        <w:rPr>
          <w:spacing w:val="-2"/>
        </w:rPr>
        <w:t xml:space="preserve"> </w:t>
      </w:r>
      <w:r>
        <w:t>estimates</w:t>
      </w:r>
      <w:r>
        <w:rPr>
          <w:spacing w:val="-1"/>
        </w:rPr>
        <w:t xml:space="preserve"> </w:t>
      </w:r>
      <w:r>
        <w:t>were</w:t>
      </w:r>
      <w:r>
        <w:rPr>
          <w:spacing w:val="-4"/>
        </w:rPr>
        <w:t xml:space="preserve"> </w:t>
      </w:r>
      <w:r>
        <w:t>close</w:t>
      </w:r>
      <w:r>
        <w:rPr>
          <w:spacing w:val="-2"/>
        </w:rPr>
        <w:t xml:space="preserve"> </w:t>
      </w:r>
      <w:r>
        <w:t>to</w:t>
      </w:r>
      <w:r>
        <w:rPr>
          <w:spacing w:val="-2"/>
        </w:rPr>
        <w:t xml:space="preserve"> </w:t>
      </w:r>
      <w:r>
        <w:t>1 and the 90% CI within the acceptable range of 80%-125%.</w:t>
      </w:r>
    </w:p>
    <w:p w14:paraId="1DAAAFC2" w14:textId="77777777" w:rsidR="00221078" w:rsidRDefault="00221078" w:rsidP="008652CD">
      <w:pPr>
        <w:pStyle w:val="Heading5"/>
      </w:pPr>
      <w:bookmarkStart w:id="51" w:name="Study_M20-141"/>
      <w:bookmarkEnd w:id="51"/>
      <w:r>
        <w:t>Study</w:t>
      </w:r>
      <w:r>
        <w:rPr>
          <w:spacing w:val="-8"/>
        </w:rPr>
        <w:t xml:space="preserve"> </w:t>
      </w:r>
      <w:r>
        <w:t>M20-</w:t>
      </w:r>
      <w:r>
        <w:rPr>
          <w:spacing w:val="-5"/>
        </w:rPr>
        <w:t>141</w:t>
      </w:r>
    </w:p>
    <w:p w14:paraId="38255C1A" w14:textId="37DDE1FA" w:rsidR="00221078" w:rsidRDefault="00221078" w:rsidP="00F450C0">
      <w:r>
        <w:t>A</w:t>
      </w:r>
      <w:r>
        <w:rPr>
          <w:spacing w:val="-4"/>
        </w:rPr>
        <w:t xml:space="preserve"> </w:t>
      </w:r>
      <w:r>
        <w:t>phase</w:t>
      </w:r>
      <w:r>
        <w:rPr>
          <w:spacing w:val="-3"/>
        </w:rPr>
        <w:t xml:space="preserve"> </w:t>
      </w:r>
      <w:r>
        <w:t>I,</w:t>
      </w:r>
      <w:r>
        <w:rPr>
          <w:spacing w:val="-3"/>
        </w:rPr>
        <w:t xml:space="preserve"> </w:t>
      </w:r>
      <w:r>
        <w:t>randomised,</w:t>
      </w:r>
      <w:r>
        <w:rPr>
          <w:spacing w:val="-3"/>
        </w:rPr>
        <w:t xml:space="preserve"> </w:t>
      </w:r>
      <w:r>
        <w:t>open</w:t>
      </w:r>
      <w:r>
        <w:rPr>
          <w:spacing w:val="-4"/>
        </w:rPr>
        <w:t xml:space="preserve"> </w:t>
      </w:r>
      <w:r>
        <w:t>label</w:t>
      </w:r>
      <w:r>
        <w:rPr>
          <w:spacing w:val="-2"/>
        </w:rPr>
        <w:t xml:space="preserve"> </w:t>
      </w:r>
      <w:r>
        <w:t>study</w:t>
      </w:r>
      <w:r>
        <w:rPr>
          <w:spacing w:val="-4"/>
        </w:rPr>
        <w:t xml:space="preserve"> </w:t>
      </w:r>
      <w:r>
        <w:t>administered</w:t>
      </w:r>
      <w:r>
        <w:rPr>
          <w:spacing w:val="-3"/>
        </w:rPr>
        <w:t xml:space="preserve"> </w:t>
      </w:r>
      <w:r>
        <w:t>in</w:t>
      </w:r>
      <w:r>
        <w:rPr>
          <w:spacing w:val="-4"/>
        </w:rPr>
        <w:t xml:space="preserve"> </w:t>
      </w:r>
      <w:r>
        <w:t>a</w:t>
      </w:r>
      <w:r>
        <w:rPr>
          <w:spacing w:val="-3"/>
        </w:rPr>
        <w:t xml:space="preserve"> </w:t>
      </w:r>
      <w:r>
        <w:t>standard</w:t>
      </w:r>
      <w:r>
        <w:rPr>
          <w:spacing w:val="-3"/>
        </w:rPr>
        <w:t xml:space="preserve"> </w:t>
      </w:r>
      <w:r>
        <w:t>2-sequence,</w:t>
      </w:r>
      <w:r>
        <w:rPr>
          <w:spacing w:val="-3"/>
        </w:rPr>
        <w:t xml:space="preserve"> </w:t>
      </w:r>
      <w:r>
        <w:t>2-treatment crossover design</w:t>
      </w:r>
      <w:r w:rsidR="00385EE1">
        <w:t>.</w:t>
      </w:r>
    </w:p>
    <w:p w14:paraId="0C4B14E2" w14:textId="61C8BD4A" w:rsidR="00221078" w:rsidRDefault="00221078" w:rsidP="00F450C0">
      <w:r>
        <w:t>The</w:t>
      </w:r>
      <w:r>
        <w:rPr>
          <w:spacing w:val="-2"/>
        </w:rPr>
        <w:t xml:space="preserve"> </w:t>
      </w:r>
      <w:r>
        <w:t>aim</w:t>
      </w:r>
      <w:r>
        <w:rPr>
          <w:spacing w:val="-1"/>
        </w:rPr>
        <w:t xml:space="preserve"> </w:t>
      </w:r>
      <w:r>
        <w:t>of</w:t>
      </w:r>
      <w:r>
        <w:rPr>
          <w:spacing w:val="-2"/>
        </w:rPr>
        <w:t xml:space="preserve"> </w:t>
      </w:r>
      <w:r>
        <w:t>the</w:t>
      </w:r>
      <w:r>
        <w:rPr>
          <w:spacing w:val="-2"/>
        </w:rPr>
        <w:t xml:space="preserve"> </w:t>
      </w:r>
      <w:r>
        <w:t>study</w:t>
      </w:r>
      <w:r>
        <w:rPr>
          <w:spacing w:val="-3"/>
        </w:rPr>
        <w:t xml:space="preserve"> </w:t>
      </w:r>
      <w:r>
        <w:t>was</w:t>
      </w:r>
      <w:r>
        <w:rPr>
          <w:spacing w:val="-3"/>
        </w:rPr>
        <w:t xml:space="preserve"> </w:t>
      </w:r>
      <w:r>
        <w:t>to</w:t>
      </w:r>
      <w:r>
        <w:rPr>
          <w:spacing w:val="-2"/>
        </w:rPr>
        <w:t xml:space="preserve"> </w:t>
      </w:r>
      <w:r>
        <w:t>assess</w:t>
      </w:r>
      <w:r>
        <w:rPr>
          <w:spacing w:val="-1"/>
        </w:rPr>
        <w:t xml:space="preserve"> </w:t>
      </w:r>
      <w:r>
        <w:t>PK</w:t>
      </w:r>
      <w:r>
        <w:rPr>
          <w:spacing w:val="-2"/>
        </w:rPr>
        <w:t xml:space="preserve"> </w:t>
      </w:r>
      <w:r>
        <w:t>of</w:t>
      </w:r>
      <w:r>
        <w:rPr>
          <w:spacing w:val="-2"/>
        </w:rPr>
        <w:t xml:space="preserve"> </w:t>
      </w:r>
      <w:r w:rsidR="00704437">
        <w:t>CD</w:t>
      </w:r>
      <w:r>
        <w:rPr>
          <w:spacing w:val="-2"/>
        </w:rPr>
        <w:t xml:space="preserve"> </w:t>
      </w:r>
      <w:r>
        <w:t>and</w:t>
      </w:r>
      <w:r>
        <w:rPr>
          <w:spacing w:val="-2"/>
        </w:rPr>
        <w:t xml:space="preserve"> </w:t>
      </w:r>
      <w:r w:rsidR="00704437">
        <w:t>LD</w:t>
      </w:r>
      <w:r>
        <w:rPr>
          <w:spacing w:val="-4"/>
        </w:rPr>
        <w:t xml:space="preserve"> </w:t>
      </w:r>
      <w:r>
        <w:t>from</w:t>
      </w:r>
      <w:r>
        <w:rPr>
          <w:spacing w:val="-1"/>
        </w:rPr>
        <w:t xml:space="preserve"> </w:t>
      </w:r>
      <w:r>
        <w:t>foscarbidopa/</w:t>
      </w:r>
      <w:r w:rsidR="00A175F6">
        <w:t>foslevodopa</w:t>
      </w:r>
      <w:r>
        <w:rPr>
          <w:spacing w:val="-1"/>
        </w:rPr>
        <w:t xml:space="preserve"> </w:t>
      </w:r>
      <w:r>
        <w:t>relative</w:t>
      </w:r>
      <w:r>
        <w:rPr>
          <w:spacing w:val="-2"/>
        </w:rPr>
        <w:t xml:space="preserve"> </w:t>
      </w:r>
      <w:r>
        <w:t xml:space="preserve">to </w:t>
      </w:r>
      <w:r w:rsidR="00A175F6">
        <w:t>Duodopa</w:t>
      </w:r>
      <w:r>
        <w:t xml:space="preserve"> LCIG in healthy adults.</w:t>
      </w:r>
    </w:p>
    <w:p w14:paraId="376CE7DC" w14:textId="05E25A7B" w:rsidR="00221078" w:rsidRDefault="00221078" w:rsidP="00F450C0">
      <w:r>
        <w:t>Foscarbidopa/</w:t>
      </w:r>
      <w:r w:rsidR="00A175F6">
        <w:t>foslevodopa</w:t>
      </w:r>
      <w:r>
        <w:rPr>
          <w:spacing w:val="-7"/>
        </w:rPr>
        <w:t xml:space="preserve"> </w:t>
      </w:r>
      <w:r>
        <w:t>and</w:t>
      </w:r>
      <w:r>
        <w:rPr>
          <w:spacing w:val="-5"/>
        </w:rPr>
        <w:t xml:space="preserve"> </w:t>
      </w:r>
      <w:r>
        <w:t>LCIG</w:t>
      </w:r>
      <w:r>
        <w:rPr>
          <w:spacing w:val="-4"/>
        </w:rPr>
        <w:t xml:space="preserve"> </w:t>
      </w:r>
      <w:r>
        <w:t>were</w:t>
      </w:r>
      <w:r>
        <w:rPr>
          <w:spacing w:val="-5"/>
        </w:rPr>
        <w:t xml:space="preserve"> </w:t>
      </w:r>
      <w:r>
        <w:t>infused</w:t>
      </w:r>
      <w:r>
        <w:rPr>
          <w:spacing w:val="-4"/>
        </w:rPr>
        <w:t xml:space="preserve"> </w:t>
      </w:r>
      <w:r>
        <w:t>for</w:t>
      </w:r>
      <w:r>
        <w:rPr>
          <w:spacing w:val="-5"/>
        </w:rPr>
        <w:t xml:space="preserve"> </w:t>
      </w:r>
      <w:r>
        <w:t>24</w:t>
      </w:r>
      <w:r>
        <w:rPr>
          <w:spacing w:val="-4"/>
        </w:rPr>
        <w:t xml:space="preserve"> </w:t>
      </w:r>
      <w:r>
        <w:t>hours</w:t>
      </w:r>
      <w:r>
        <w:rPr>
          <w:spacing w:val="-6"/>
        </w:rPr>
        <w:t xml:space="preserve"> </w:t>
      </w:r>
      <w:r>
        <w:t>in</w:t>
      </w:r>
      <w:r>
        <w:rPr>
          <w:spacing w:val="-5"/>
        </w:rPr>
        <w:t xml:space="preserve"> </w:t>
      </w:r>
      <w:r>
        <w:t>healthy</w:t>
      </w:r>
      <w:r>
        <w:rPr>
          <w:spacing w:val="-5"/>
        </w:rPr>
        <w:t xml:space="preserve"> </w:t>
      </w:r>
      <w:r>
        <w:rPr>
          <w:spacing w:val="-2"/>
        </w:rPr>
        <w:t>adults.</w:t>
      </w:r>
    </w:p>
    <w:p w14:paraId="6807C0E1" w14:textId="4FC2F15E" w:rsidR="00221078" w:rsidRDefault="00221078" w:rsidP="00F450C0">
      <w:r>
        <w:t>Regimen</w:t>
      </w:r>
      <w:r>
        <w:rPr>
          <w:spacing w:val="-3"/>
        </w:rPr>
        <w:t xml:space="preserve"> </w:t>
      </w:r>
      <w:r>
        <w:t>A:</w:t>
      </w:r>
      <w:r>
        <w:rPr>
          <w:spacing w:val="-3"/>
        </w:rPr>
        <w:t xml:space="preserve"> </w:t>
      </w:r>
      <w:r>
        <w:t>LCIG</w:t>
      </w:r>
      <w:r>
        <w:rPr>
          <w:spacing w:val="-2"/>
        </w:rPr>
        <w:t xml:space="preserve"> </w:t>
      </w:r>
      <w:r>
        <w:t>(15</w:t>
      </w:r>
      <w:r>
        <w:rPr>
          <w:spacing w:val="-2"/>
        </w:rPr>
        <w:t xml:space="preserve"> </w:t>
      </w:r>
      <w:r>
        <w:t>mg/60</w:t>
      </w:r>
      <w:r>
        <w:rPr>
          <w:spacing w:val="-2"/>
        </w:rPr>
        <w:t xml:space="preserve"> </w:t>
      </w:r>
      <w:r>
        <w:t>mg</w:t>
      </w:r>
      <w:r>
        <w:rPr>
          <w:spacing w:val="-1"/>
        </w:rPr>
        <w:t xml:space="preserve"> </w:t>
      </w:r>
      <w:r w:rsidR="00704437">
        <w:t>CD</w:t>
      </w:r>
      <w:r>
        <w:t>/</w:t>
      </w:r>
      <w:r w:rsidR="00704437">
        <w:t>LD</w:t>
      </w:r>
      <w:r>
        <w:rPr>
          <w:spacing w:val="-2"/>
        </w:rPr>
        <w:t xml:space="preserve"> </w:t>
      </w:r>
      <w:r>
        <w:t>loading</w:t>
      </w:r>
      <w:r>
        <w:rPr>
          <w:spacing w:val="-1"/>
        </w:rPr>
        <w:t xml:space="preserve"> </w:t>
      </w:r>
      <w:r>
        <w:t>dose</w:t>
      </w:r>
      <w:r>
        <w:rPr>
          <w:spacing w:val="-2"/>
        </w:rPr>
        <w:t xml:space="preserve"> </w:t>
      </w:r>
      <w:r>
        <w:t>over</w:t>
      </w:r>
      <w:r>
        <w:rPr>
          <w:spacing w:val="-2"/>
        </w:rPr>
        <w:t xml:space="preserve"> </w:t>
      </w:r>
      <w:r>
        <w:t>approx.</w:t>
      </w:r>
      <w:r>
        <w:rPr>
          <w:spacing w:val="-2"/>
        </w:rPr>
        <w:t xml:space="preserve"> </w:t>
      </w:r>
      <w:r>
        <w:t>30</w:t>
      </w:r>
      <w:r>
        <w:rPr>
          <w:spacing w:val="-4"/>
        </w:rPr>
        <w:t xml:space="preserve"> </w:t>
      </w:r>
      <w:r>
        <w:t>minutes</w:t>
      </w:r>
      <w:r>
        <w:rPr>
          <w:spacing w:val="-3"/>
        </w:rPr>
        <w:t xml:space="preserve"> </w:t>
      </w:r>
      <w:r>
        <w:t>followed</w:t>
      </w:r>
      <w:r>
        <w:rPr>
          <w:spacing w:val="-2"/>
        </w:rPr>
        <w:t xml:space="preserve"> </w:t>
      </w:r>
      <w:r>
        <w:t>by</w:t>
      </w:r>
      <w:r>
        <w:rPr>
          <w:spacing w:val="-3"/>
        </w:rPr>
        <w:t xml:space="preserve"> </w:t>
      </w:r>
      <w:r>
        <w:t xml:space="preserve">168 mg/672 mg </w:t>
      </w:r>
      <w:r w:rsidR="00704437">
        <w:t>CD</w:t>
      </w:r>
      <w:r>
        <w:t>/</w:t>
      </w:r>
      <w:r w:rsidR="00704437">
        <w:t>LD</w:t>
      </w:r>
      <w:r>
        <w:t xml:space="preserve"> over 24 h). LCIG was delivered via a portable infusion pump through a nasojejunal tube.</w:t>
      </w:r>
    </w:p>
    <w:p w14:paraId="0FE178F8" w14:textId="18B71749" w:rsidR="00221078" w:rsidRDefault="00221078" w:rsidP="00F450C0">
      <w:r>
        <w:t>Regimen</w:t>
      </w:r>
      <w:r>
        <w:rPr>
          <w:spacing w:val="-4"/>
        </w:rPr>
        <w:t xml:space="preserve"> </w:t>
      </w:r>
      <w:r>
        <w:t>B:</w:t>
      </w:r>
      <w:r>
        <w:rPr>
          <w:spacing w:val="40"/>
        </w:rPr>
        <w:t xml:space="preserve"> </w:t>
      </w:r>
      <w:r w:rsidR="00A175F6">
        <w:t>Foslevodopa</w:t>
      </w:r>
      <w:r>
        <w:t>/foscarbidopa</w:t>
      </w:r>
      <w:r>
        <w:rPr>
          <w:spacing w:val="-3"/>
        </w:rPr>
        <w:t xml:space="preserve"> </w:t>
      </w:r>
      <w:r>
        <w:t>(4.8</w:t>
      </w:r>
      <w:r>
        <w:rPr>
          <w:spacing w:val="-3"/>
        </w:rPr>
        <w:t xml:space="preserve"> </w:t>
      </w:r>
      <w:r>
        <w:t>mg/96</w:t>
      </w:r>
      <w:r>
        <w:rPr>
          <w:spacing w:val="-5"/>
        </w:rPr>
        <w:t xml:space="preserve"> </w:t>
      </w:r>
      <w:r>
        <w:t>mg</w:t>
      </w:r>
      <w:r>
        <w:rPr>
          <w:spacing w:val="-2"/>
        </w:rPr>
        <w:t xml:space="preserve"> </w:t>
      </w:r>
      <w:r w:rsidR="008C163E">
        <w:t>CARBIDOPA</w:t>
      </w:r>
      <w:r>
        <w:t>/</w:t>
      </w:r>
      <w:r w:rsidR="00704437">
        <w:t>LDP</w:t>
      </w:r>
      <w:r>
        <w:rPr>
          <w:spacing w:val="-4"/>
        </w:rPr>
        <w:t xml:space="preserve"> </w:t>
      </w:r>
      <w:r>
        <w:t>loading</w:t>
      </w:r>
      <w:r>
        <w:rPr>
          <w:spacing w:val="-2"/>
        </w:rPr>
        <w:t xml:space="preserve"> </w:t>
      </w:r>
      <w:r>
        <w:t>dose</w:t>
      </w:r>
      <w:r>
        <w:rPr>
          <w:spacing w:val="-3"/>
        </w:rPr>
        <w:t xml:space="preserve"> </w:t>
      </w:r>
      <w:r>
        <w:t>over</w:t>
      </w:r>
      <w:r>
        <w:rPr>
          <w:spacing w:val="-3"/>
        </w:rPr>
        <w:t xml:space="preserve"> </w:t>
      </w:r>
      <w:r>
        <w:t>approx.</w:t>
      </w:r>
      <w:r>
        <w:rPr>
          <w:spacing w:val="-3"/>
        </w:rPr>
        <w:t xml:space="preserve"> </w:t>
      </w:r>
      <w:r>
        <w:t xml:space="preserve">4 minutes followed by 43.2 mg/864 mg </w:t>
      </w:r>
      <w:r w:rsidR="00704437">
        <w:t>CD</w:t>
      </w:r>
      <w:r>
        <w:t>P/</w:t>
      </w:r>
      <w:r w:rsidR="00704437">
        <w:t>LDP</w:t>
      </w:r>
      <w:r>
        <w:t xml:space="preserve"> over 24 h). </w:t>
      </w:r>
      <w:r w:rsidR="00704437">
        <w:t>F</w:t>
      </w:r>
      <w:r w:rsidR="00A175F6">
        <w:t>oslevodopa</w:t>
      </w:r>
      <w:r>
        <w:t>/foscarbidopa was delivered SC into the abdomen via a portable infusion pump.</w:t>
      </w:r>
    </w:p>
    <w:p w14:paraId="57EA7E8F" w14:textId="1D155134" w:rsidR="00221078" w:rsidRDefault="00221078" w:rsidP="00F450C0">
      <w:r>
        <w:t>Formulations:</w:t>
      </w:r>
      <w:r>
        <w:rPr>
          <w:spacing w:val="-4"/>
        </w:rPr>
        <w:t xml:space="preserve"> </w:t>
      </w:r>
      <w:r>
        <w:t>Foscarbidopa/</w:t>
      </w:r>
      <w:r w:rsidR="00A175F6">
        <w:t>foslevodopa</w:t>
      </w:r>
      <w:r>
        <w:rPr>
          <w:spacing w:val="-3"/>
        </w:rPr>
        <w:t xml:space="preserve"> </w:t>
      </w:r>
      <w:r w:rsidR="008C163E">
        <w:t>C</w:t>
      </w:r>
      <w:r w:rsidR="00704437">
        <w:t>D</w:t>
      </w:r>
      <w:r>
        <w:t>P/</w:t>
      </w:r>
      <w:r w:rsidR="00704437">
        <w:t>LDP</w:t>
      </w:r>
      <w:r>
        <w:rPr>
          <w:spacing w:val="-4"/>
        </w:rPr>
        <w:t xml:space="preserve"> </w:t>
      </w:r>
      <w:r>
        <w:t>12/240</w:t>
      </w:r>
      <w:r>
        <w:rPr>
          <w:spacing w:val="-5"/>
        </w:rPr>
        <w:t xml:space="preserve"> </w:t>
      </w:r>
      <w:r>
        <w:t>mg</w:t>
      </w:r>
      <w:r>
        <w:rPr>
          <w:spacing w:val="-2"/>
        </w:rPr>
        <w:t xml:space="preserve"> </w:t>
      </w:r>
      <w:r>
        <w:t>per</w:t>
      </w:r>
      <w:r>
        <w:rPr>
          <w:spacing w:val="-5"/>
        </w:rPr>
        <w:t xml:space="preserve"> </w:t>
      </w:r>
      <w:r>
        <w:t>mL,</w:t>
      </w:r>
      <w:r>
        <w:rPr>
          <w:spacing w:val="-3"/>
        </w:rPr>
        <w:t xml:space="preserve"> </w:t>
      </w:r>
      <w:r>
        <w:t>solution</w:t>
      </w:r>
      <w:r>
        <w:rPr>
          <w:spacing w:val="-4"/>
        </w:rPr>
        <w:t xml:space="preserve"> </w:t>
      </w:r>
      <w:r>
        <w:t>for</w:t>
      </w:r>
      <w:r>
        <w:rPr>
          <w:spacing w:val="-3"/>
        </w:rPr>
        <w:t xml:space="preserve"> </w:t>
      </w:r>
      <w:r>
        <w:t>infusion</w:t>
      </w:r>
      <w:r>
        <w:rPr>
          <w:spacing w:val="-4"/>
        </w:rPr>
        <w:t xml:space="preserve"> </w:t>
      </w:r>
      <w:r>
        <w:t>in 10 mL i.e., proposed commercial strength preparation, as well as the commercial pack</w:t>
      </w:r>
      <w:r>
        <w:rPr>
          <w:spacing w:val="-1"/>
        </w:rPr>
        <w:t xml:space="preserve"> </w:t>
      </w:r>
      <w:r>
        <w:t xml:space="preserve">size (10 mL vial) was compared to the commercially available LCIG (Intestinal gel suspension </w:t>
      </w:r>
      <w:r w:rsidR="00704437">
        <w:t xml:space="preserve">CD </w:t>
      </w:r>
      <w:r>
        <w:t xml:space="preserve">5 mg/mL and </w:t>
      </w:r>
      <w:r w:rsidR="00704437">
        <w:t xml:space="preserve">LD </w:t>
      </w:r>
      <w:r>
        <w:t>20 mg/mL in 100 mL bag).</w:t>
      </w:r>
    </w:p>
    <w:p w14:paraId="5A062431" w14:textId="029D92F3" w:rsidR="00221078" w:rsidRDefault="00221078" w:rsidP="00F450C0">
      <w:pPr>
        <w:pStyle w:val="Heading6"/>
      </w:pPr>
      <w:r w:rsidRPr="00F450C0">
        <w:t>Results</w:t>
      </w:r>
    </w:p>
    <w:p w14:paraId="04B72FCA" w14:textId="652F6C18" w:rsidR="00221078" w:rsidRDefault="00221078" w:rsidP="006703CC">
      <w:pPr>
        <w:pStyle w:val="TableTitle"/>
      </w:pPr>
      <w:r>
        <w:t>Table</w:t>
      </w:r>
      <w:r>
        <w:rPr>
          <w:spacing w:val="-2"/>
        </w:rPr>
        <w:t xml:space="preserve"> </w:t>
      </w:r>
      <w:r w:rsidR="00385EE1">
        <w:t>3</w:t>
      </w:r>
      <w:r>
        <w:t>:</w:t>
      </w:r>
      <w:r>
        <w:rPr>
          <w:spacing w:val="-3"/>
        </w:rPr>
        <w:t xml:space="preserve"> </w:t>
      </w:r>
      <w:r>
        <w:t>Mean</w:t>
      </w:r>
      <w:r>
        <w:rPr>
          <w:spacing w:val="-4"/>
        </w:rPr>
        <w:t xml:space="preserve"> </w:t>
      </w:r>
      <w:r>
        <w:t>PK</w:t>
      </w:r>
      <w:r>
        <w:rPr>
          <w:spacing w:val="-3"/>
        </w:rPr>
        <w:t xml:space="preserve"> </w:t>
      </w:r>
      <w:r w:rsidRPr="006703CC">
        <w:t>parameters</w:t>
      </w:r>
      <w:r>
        <w:rPr>
          <w:spacing w:val="-3"/>
        </w:rPr>
        <w:t xml:space="preserve"> </w:t>
      </w:r>
      <w:r>
        <w:t>of</w:t>
      </w:r>
      <w:r>
        <w:rPr>
          <w:spacing w:val="-3"/>
        </w:rPr>
        <w:t xml:space="preserve"> </w:t>
      </w:r>
      <w:r w:rsidR="00331ADD">
        <w:t>levodopa</w:t>
      </w:r>
      <w:r>
        <w:rPr>
          <w:spacing w:val="-2"/>
        </w:rPr>
        <w:t xml:space="preserve"> </w:t>
      </w:r>
      <w:r>
        <w:t>for</w:t>
      </w:r>
      <w:r>
        <w:rPr>
          <w:spacing w:val="-3"/>
        </w:rPr>
        <w:t xml:space="preserve"> </w:t>
      </w:r>
      <w:r>
        <w:t>subjects</w:t>
      </w:r>
      <w:r>
        <w:rPr>
          <w:spacing w:val="-3"/>
        </w:rPr>
        <w:t xml:space="preserve"> </w:t>
      </w:r>
      <w:r>
        <w:t>who</w:t>
      </w:r>
      <w:r>
        <w:rPr>
          <w:spacing w:val="-3"/>
        </w:rPr>
        <w:t xml:space="preserve"> </w:t>
      </w:r>
      <w:r>
        <w:t>completed</w:t>
      </w:r>
      <w:r>
        <w:rPr>
          <w:spacing w:val="-3"/>
        </w:rPr>
        <w:t xml:space="preserve"> </w:t>
      </w:r>
      <w:r>
        <w:t>both</w:t>
      </w:r>
      <w:r>
        <w:rPr>
          <w:spacing w:val="-3"/>
        </w:rPr>
        <w:t xml:space="preserve"> </w:t>
      </w:r>
      <w:r>
        <w:t>LCIG</w:t>
      </w:r>
      <w:r>
        <w:rPr>
          <w:spacing w:val="-2"/>
        </w:rPr>
        <w:t xml:space="preserve"> </w:t>
      </w:r>
      <w:r>
        <w:t>and</w:t>
      </w:r>
      <w:r>
        <w:rPr>
          <w:spacing w:val="-3"/>
        </w:rPr>
        <w:t xml:space="preserve"> </w:t>
      </w:r>
      <w:r w:rsidR="00A175F6">
        <w:t>foslevodopa</w:t>
      </w:r>
      <w:r>
        <w:t xml:space="preserve">/foscarbidopa </w:t>
      </w:r>
      <w:r>
        <w:rPr>
          <w:spacing w:val="-2"/>
        </w:rPr>
        <w:t>regimens</w:t>
      </w:r>
    </w:p>
    <w:p w14:paraId="367F7E9B" w14:textId="23111067" w:rsidR="00385EE1" w:rsidRDefault="006703CC" w:rsidP="006703CC">
      <w:r>
        <w:rPr>
          <w:noProof/>
        </w:rPr>
        <w:drawing>
          <wp:inline distT="0" distB="0" distL="0" distR="0" wp14:anchorId="60AF13B6" wp14:editId="37941438">
            <wp:extent cx="5785485" cy="1229995"/>
            <wp:effectExtent l="0" t="0" r="5715" b="8255"/>
            <wp:docPr id="15" name="Image 15" descr="This table presents the mean pharmacokinetic (PK) parameters of levodopa for subjects who completed both LCIG (Levodopa-Carbidopa Intestinal Gel) and foslevodopa/foscarbidopa regimens. The parameters include measurements such as Cmax (maximum concentration), Tmax (time to reach maximum concentration), and AUC (area under the curve), among other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his table presents the mean pharmacokinetic (PK) parameters of levodopa for subjects who completed both LCIG (Levodopa-Carbidopa Intestinal Gel) and foslevodopa/foscarbidopa regimens. The parameters include measurements such as Cmax (maximum concentration), Tmax (time to reach maximum concentration), and AUC (area under the curve), among others.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5485" cy="1229995"/>
                    </a:xfrm>
                    <a:prstGeom prst="rect">
                      <a:avLst/>
                    </a:prstGeom>
                  </pic:spPr>
                </pic:pic>
              </a:graphicData>
            </a:graphic>
          </wp:inline>
        </w:drawing>
      </w:r>
    </w:p>
    <w:p w14:paraId="5AED61F1" w14:textId="32175263" w:rsidR="00221078" w:rsidRDefault="00221078" w:rsidP="006703CC">
      <w:pPr>
        <w:pStyle w:val="TableTitle"/>
      </w:pPr>
      <w:r>
        <w:t>Table</w:t>
      </w:r>
      <w:r>
        <w:rPr>
          <w:spacing w:val="-2"/>
        </w:rPr>
        <w:t xml:space="preserve"> </w:t>
      </w:r>
      <w:r w:rsidR="00385EE1">
        <w:rPr>
          <w:spacing w:val="-2"/>
        </w:rPr>
        <w:t>4</w:t>
      </w:r>
      <w:r>
        <w:t>:</w:t>
      </w:r>
      <w:r>
        <w:rPr>
          <w:spacing w:val="-3"/>
        </w:rPr>
        <w:t xml:space="preserve"> </w:t>
      </w:r>
      <w:r>
        <w:t>Mean</w:t>
      </w:r>
      <w:r>
        <w:rPr>
          <w:spacing w:val="-4"/>
        </w:rPr>
        <w:t xml:space="preserve"> </w:t>
      </w:r>
      <w:r>
        <w:t>PK</w:t>
      </w:r>
      <w:r>
        <w:rPr>
          <w:spacing w:val="-3"/>
        </w:rPr>
        <w:t xml:space="preserve"> </w:t>
      </w:r>
      <w:r w:rsidRPr="006703CC">
        <w:t>parameters</w:t>
      </w:r>
      <w:r>
        <w:rPr>
          <w:spacing w:val="-3"/>
        </w:rPr>
        <w:t xml:space="preserve"> </w:t>
      </w:r>
      <w:r>
        <w:t>of</w:t>
      </w:r>
      <w:r>
        <w:rPr>
          <w:spacing w:val="-3"/>
        </w:rPr>
        <w:t xml:space="preserve"> </w:t>
      </w:r>
      <w:r w:rsidR="00331ADD">
        <w:t>carbidopa</w:t>
      </w:r>
      <w:r>
        <w:rPr>
          <w:spacing w:val="-2"/>
        </w:rPr>
        <w:t xml:space="preserve"> </w:t>
      </w:r>
      <w:r>
        <w:t>for</w:t>
      </w:r>
      <w:r>
        <w:rPr>
          <w:spacing w:val="-3"/>
        </w:rPr>
        <w:t xml:space="preserve"> </w:t>
      </w:r>
      <w:r>
        <w:t>subjects</w:t>
      </w:r>
      <w:r>
        <w:rPr>
          <w:spacing w:val="-3"/>
        </w:rPr>
        <w:t xml:space="preserve"> </w:t>
      </w:r>
      <w:r>
        <w:t>who</w:t>
      </w:r>
      <w:r>
        <w:rPr>
          <w:spacing w:val="-3"/>
        </w:rPr>
        <w:t xml:space="preserve"> </w:t>
      </w:r>
      <w:r>
        <w:t>completed</w:t>
      </w:r>
      <w:r>
        <w:rPr>
          <w:spacing w:val="-3"/>
        </w:rPr>
        <w:t xml:space="preserve"> </w:t>
      </w:r>
      <w:r>
        <w:t>both</w:t>
      </w:r>
      <w:r>
        <w:rPr>
          <w:spacing w:val="-3"/>
        </w:rPr>
        <w:t xml:space="preserve"> </w:t>
      </w:r>
      <w:r>
        <w:t>LCIG</w:t>
      </w:r>
      <w:r>
        <w:rPr>
          <w:spacing w:val="-2"/>
        </w:rPr>
        <w:t xml:space="preserve"> </w:t>
      </w:r>
      <w:r>
        <w:t>and</w:t>
      </w:r>
      <w:r>
        <w:rPr>
          <w:spacing w:val="-3"/>
        </w:rPr>
        <w:t xml:space="preserve"> </w:t>
      </w:r>
      <w:r w:rsidR="00A175F6">
        <w:t>foslevodopa</w:t>
      </w:r>
      <w:r>
        <w:t xml:space="preserve">/foscarbidopa </w:t>
      </w:r>
      <w:r>
        <w:rPr>
          <w:spacing w:val="-2"/>
        </w:rPr>
        <w:t>regimens</w:t>
      </w:r>
    </w:p>
    <w:p w14:paraId="496F7F6B" w14:textId="5567370D" w:rsidR="00B25FDD" w:rsidRDefault="006703CC" w:rsidP="006703CC">
      <w:r>
        <w:rPr>
          <w:noProof/>
        </w:rPr>
        <w:drawing>
          <wp:inline distT="0" distB="0" distL="0" distR="0" wp14:anchorId="73B7E096" wp14:editId="702FC5C9">
            <wp:extent cx="5786120" cy="1164590"/>
            <wp:effectExtent l="0" t="0" r="5080" b="0"/>
            <wp:docPr id="16" name="Image 16" descr="This table displays the mean pharmacokinetic (PK) parameters of carbidopa for subjects who completed both LCIG (Levodopa-Carbidopa Intestinal Gel) and foslevodopa/foscarbidopa regimens. The parameters include measurements such as Cmax (maximum concentration), Tmax (time to reach maximum concentration), and AUC (area under the curve), among oth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his table displays the mean pharmacokinetic (PK) parameters of carbidopa for subjects who completed both LCIG (Levodopa-Carbidopa Intestinal Gel) and foslevodopa/foscarbidopa regimens. The parameters include measurements such as Cmax (maximum concentration), Tmax (time to reach maximum concentration), and AUC (area under the curve), among other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86120" cy="1164590"/>
                    </a:xfrm>
                    <a:prstGeom prst="rect">
                      <a:avLst/>
                    </a:prstGeom>
                  </pic:spPr>
                </pic:pic>
              </a:graphicData>
            </a:graphic>
          </wp:inline>
        </w:drawing>
      </w:r>
    </w:p>
    <w:p w14:paraId="44CD0628" w14:textId="3A1A370D" w:rsidR="00221078" w:rsidRDefault="00221078" w:rsidP="006703CC">
      <w:pPr>
        <w:pStyle w:val="ListBullet"/>
      </w:pPr>
      <w:proofErr w:type="spellStart"/>
      <w:r>
        <w:t>Cmax</w:t>
      </w:r>
      <w:proofErr w:type="spellEnd"/>
      <w:r>
        <w:rPr>
          <w:spacing w:val="-1"/>
        </w:rPr>
        <w:t xml:space="preserve"> </w:t>
      </w:r>
      <w:r>
        <w:t>for</w:t>
      </w:r>
      <w:r>
        <w:rPr>
          <w:spacing w:val="-2"/>
        </w:rPr>
        <w:t xml:space="preserve"> </w:t>
      </w:r>
      <w:r w:rsidR="00704437">
        <w:t>LDP</w:t>
      </w:r>
      <w:r>
        <w:rPr>
          <w:spacing w:val="-3"/>
        </w:rPr>
        <w:t xml:space="preserve"> </w:t>
      </w:r>
      <w:r>
        <w:t>(831</w:t>
      </w:r>
      <w:r>
        <w:rPr>
          <w:spacing w:val="-2"/>
        </w:rPr>
        <w:t xml:space="preserve"> </w:t>
      </w:r>
      <w:r>
        <w:t>ng/mL)</w:t>
      </w:r>
      <w:r>
        <w:rPr>
          <w:spacing w:val="-2"/>
        </w:rPr>
        <w:t xml:space="preserve"> </w:t>
      </w:r>
      <w:r>
        <w:t>was</w:t>
      </w:r>
      <w:r>
        <w:rPr>
          <w:spacing w:val="-1"/>
        </w:rPr>
        <w:t xml:space="preserve"> </w:t>
      </w:r>
      <w:r>
        <w:t>low</w:t>
      </w:r>
      <w:r>
        <w:rPr>
          <w:spacing w:val="-3"/>
        </w:rPr>
        <w:t xml:space="preserve"> </w:t>
      </w:r>
      <w:r>
        <w:t>compared</w:t>
      </w:r>
      <w:r>
        <w:rPr>
          <w:spacing w:val="-2"/>
        </w:rPr>
        <w:t xml:space="preserve"> </w:t>
      </w:r>
      <w:r>
        <w:t>to</w:t>
      </w:r>
      <w:r>
        <w:rPr>
          <w:spacing w:val="-2"/>
        </w:rPr>
        <w:t xml:space="preserve"> </w:t>
      </w:r>
      <w:r w:rsidR="00704437">
        <w:t>LD</w:t>
      </w:r>
      <w:r>
        <w:rPr>
          <w:spacing w:val="-2"/>
        </w:rPr>
        <w:t xml:space="preserve"> </w:t>
      </w:r>
      <w:r>
        <w:t>(1260</w:t>
      </w:r>
      <w:r>
        <w:rPr>
          <w:spacing w:val="-2"/>
        </w:rPr>
        <w:t xml:space="preserve"> </w:t>
      </w:r>
      <w:r>
        <w:t>ng/mL).</w:t>
      </w:r>
      <w:r>
        <w:rPr>
          <w:spacing w:val="-4"/>
        </w:rPr>
        <w:t xml:space="preserve"> </w:t>
      </w:r>
      <w:r>
        <w:t>The</w:t>
      </w:r>
      <w:r>
        <w:rPr>
          <w:spacing w:val="-4"/>
        </w:rPr>
        <w:t xml:space="preserve"> </w:t>
      </w:r>
      <w:r>
        <w:t>evaluator</w:t>
      </w:r>
      <w:r>
        <w:rPr>
          <w:spacing w:val="-2"/>
        </w:rPr>
        <w:t xml:space="preserve"> </w:t>
      </w:r>
      <w:r>
        <w:t>considered that this finding cou</w:t>
      </w:r>
      <w:r w:rsidR="00704437">
        <w:t>ld</w:t>
      </w:r>
      <w:r>
        <w:t xml:space="preserve"> be due to the rapid conversion of prodrug.</w:t>
      </w:r>
    </w:p>
    <w:p w14:paraId="08721549" w14:textId="77777777" w:rsidR="00221078" w:rsidRDefault="00221078" w:rsidP="00B25FDD">
      <w:pPr>
        <w:pStyle w:val="ListBullet"/>
      </w:pPr>
      <w:r>
        <w:t>The</w:t>
      </w:r>
      <w:r>
        <w:rPr>
          <w:spacing w:val="-5"/>
        </w:rPr>
        <w:t xml:space="preserve"> </w:t>
      </w:r>
      <w:r>
        <w:t>90%</w:t>
      </w:r>
      <w:r>
        <w:rPr>
          <w:spacing w:val="-5"/>
        </w:rPr>
        <w:t xml:space="preserve"> </w:t>
      </w:r>
      <w:r>
        <w:t>CIs</w:t>
      </w:r>
      <w:r>
        <w:rPr>
          <w:spacing w:val="-1"/>
        </w:rPr>
        <w:t xml:space="preserve"> </w:t>
      </w:r>
      <w:r>
        <w:t>were</w:t>
      </w:r>
      <w:r>
        <w:rPr>
          <w:spacing w:val="-3"/>
        </w:rPr>
        <w:t xml:space="preserve"> </w:t>
      </w:r>
      <w:r>
        <w:t>between</w:t>
      </w:r>
      <w:r>
        <w:rPr>
          <w:spacing w:val="-4"/>
        </w:rPr>
        <w:t xml:space="preserve"> </w:t>
      </w:r>
      <w:r>
        <w:t>0.80</w:t>
      </w:r>
      <w:r>
        <w:rPr>
          <w:spacing w:val="-2"/>
        </w:rPr>
        <w:t xml:space="preserve"> </w:t>
      </w:r>
      <w:r>
        <w:t>and</w:t>
      </w:r>
      <w:r>
        <w:rPr>
          <w:spacing w:val="-3"/>
        </w:rPr>
        <w:t xml:space="preserve"> </w:t>
      </w:r>
      <w:r>
        <w:t>1.25</w:t>
      </w:r>
      <w:r>
        <w:rPr>
          <w:spacing w:val="-2"/>
        </w:rPr>
        <w:t xml:space="preserve"> </w:t>
      </w:r>
      <w:r>
        <w:t>for</w:t>
      </w:r>
      <w:r>
        <w:rPr>
          <w:spacing w:val="-2"/>
        </w:rPr>
        <w:t xml:space="preserve"> </w:t>
      </w:r>
      <w:r>
        <w:rPr>
          <w:spacing w:val="-4"/>
        </w:rPr>
        <w:t>AUC.</w:t>
      </w:r>
    </w:p>
    <w:p w14:paraId="3951A109" w14:textId="74B32C4A" w:rsidR="00B25FDD" w:rsidRDefault="00221078" w:rsidP="006703CC">
      <w:r>
        <w:t xml:space="preserve">The Cmax was for </w:t>
      </w:r>
      <w:r w:rsidR="00704437">
        <w:t>LDP</w:t>
      </w:r>
      <w:r>
        <w:t xml:space="preserve"> was 34% lower, compared to </w:t>
      </w:r>
      <w:r w:rsidR="00704437">
        <w:t>LD</w:t>
      </w:r>
      <w:r>
        <w:t xml:space="preserve"> and 90% CIs were not within the acceptable</w:t>
      </w:r>
      <w:r>
        <w:rPr>
          <w:spacing w:val="-2"/>
        </w:rPr>
        <w:t xml:space="preserve"> </w:t>
      </w:r>
      <w:r>
        <w:t>range.</w:t>
      </w:r>
      <w:r>
        <w:rPr>
          <w:spacing w:val="-4"/>
        </w:rPr>
        <w:t xml:space="preserve"> </w:t>
      </w:r>
      <w:r>
        <w:t>The</w:t>
      </w:r>
      <w:r>
        <w:rPr>
          <w:spacing w:val="-4"/>
        </w:rPr>
        <w:t xml:space="preserve"> </w:t>
      </w:r>
      <w:r>
        <w:t>Sponsor</w:t>
      </w:r>
      <w:r>
        <w:rPr>
          <w:spacing w:val="-2"/>
        </w:rPr>
        <w:t xml:space="preserve"> </w:t>
      </w:r>
      <w:r>
        <w:t>states</w:t>
      </w:r>
      <w:r>
        <w:rPr>
          <w:spacing w:val="-1"/>
        </w:rPr>
        <w:t xml:space="preserve"> </w:t>
      </w:r>
      <w:proofErr w:type="gramStart"/>
      <w:r>
        <w:t>attributes</w:t>
      </w:r>
      <w:proofErr w:type="gramEnd"/>
      <w:r>
        <w:rPr>
          <w:spacing w:val="-1"/>
        </w:rPr>
        <w:t xml:space="preserve"> </w:t>
      </w:r>
      <w:r>
        <w:t>the</w:t>
      </w:r>
      <w:r>
        <w:rPr>
          <w:spacing w:val="-2"/>
        </w:rPr>
        <w:t xml:space="preserve"> </w:t>
      </w:r>
      <w:r>
        <w:t>raised</w:t>
      </w:r>
      <w:r>
        <w:rPr>
          <w:spacing w:val="-2"/>
        </w:rPr>
        <w:t xml:space="preserve"> </w:t>
      </w:r>
      <w:r>
        <w:t>Cmax</w:t>
      </w:r>
      <w:r>
        <w:rPr>
          <w:spacing w:val="-1"/>
        </w:rPr>
        <w:t xml:space="preserve"> </w:t>
      </w:r>
      <w:r>
        <w:t>with</w:t>
      </w:r>
      <w:r>
        <w:rPr>
          <w:spacing w:val="-1"/>
        </w:rPr>
        <w:t xml:space="preserve"> </w:t>
      </w:r>
      <w:r w:rsidR="00704437">
        <w:t>LD</w:t>
      </w:r>
      <w:r>
        <w:rPr>
          <w:spacing w:val="-2"/>
        </w:rPr>
        <w:t xml:space="preserve"> </w:t>
      </w:r>
      <w:r>
        <w:t>due</w:t>
      </w:r>
      <w:r>
        <w:rPr>
          <w:spacing w:val="-4"/>
        </w:rPr>
        <w:t xml:space="preserve"> </w:t>
      </w:r>
      <w:r>
        <w:t>to</w:t>
      </w:r>
      <w:r>
        <w:rPr>
          <w:spacing w:val="-2"/>
        </w:rPr>
        <w:t xml:space="preserve"> </w:t>
      </w:r>
      <w:r>
        <w:t>an</w:t>
      </w:r>
      <w:r>
        <w:rPr>
          <w:spacing w:val="-3"/>
        </w:rPr>
        <w:t xml:space="preserve"> </w:t>
      </w:r>
      <w:r>
        <w:t>error</w:t>
      </w:r>
      <w:r>
        <w:rPr>
          <w:spacing w:val="-2"/>
        </w:rPr>
        <w:t xml:space="preserve"> </w:t>
      </w:r>
      <w:r>
        <w:t xml:space="preserve">with administration of </w:t>
      </w:r>
      <w:r w:rsidR="00A7759B">
        <w:t>levodopa</w:t>
      </w:r>
      <w:r>
        <w:t xml:space="preserve"> during the treatment period: </w:t>
      </w:r>
    </w:p>
    <w:p w14:paraId="7BA5DB11" w14:textId="05C714EA" w:rsidR="001B535E" w:rsidRPr="006703CC" w:rsidRDefault="00221078" w:rsidP="006703CC">
      <w:pPr>
        <w:ind w:left="720"/>
        <w:rPr>
          <w:i/>
          <w:iCs/>
        </w:rPr>
      </w:pPr>
      <w:r w:rsidRPr="006703CC">
        <w:rPr>
          <w:i/>
          <w:iCs/>
        </w:rPr>
        <w:t xml:space="preserve">It was determined that the NJ tube used to deliver LCIG for the study was incorrectly listed as 10.02 mL priming volume while the actual volume was approximately 5 mL. The incorrect listed priming volume of the NJ tube caused approximately 5 mL (100 mg </w:t>
      </w:r>
      <w:r w:rsidR="00704437" w:rsidRPr="006703CC">
        <w:rPr>
          <w:i/>
          <w:iCs/>
        </w:rPr>
        <w:t>LD</w:t>
      </w:r>
      <w:r w:rsidRPr="006703CC">
        <w:rPr>
          <w:i/>
          <w:iCs/>
        </w:rPr>
        <w:t xml:space="preserve">) to be delivered during the LCIG priming phase prior to when dosing was intended to start and explains the difference in </w:t>
      </w:r>
      <w:proofErr w:type="spellStart"/>
      <w:r w:rsidRPr="006703CC">
        <w:rPr>
          <w:i/>
          <w:iCs/>
        </w:rPr>
        <w:t>Cmax</w:t>
      </w:r>
      <w:proofErr w:type="spellEnd"/>
      <w:r w:rsidRPr="006703CC">
        <w:rPr>
          <w:i/>
          <w:iCs/>
        </w:rPr>
        <w:t xml:space="preserve"> observed.</w:t>
      </w:r>
    </w:p>
    <w:p w14:paraId="7AAD00B4" w14:textId="0BD16895" w:rsidR="00221078" w:rsidRDefault="00221078" w:rsidP="006703CC">
      <w:pPr>
        <w:pStyle w:val="TableTitle"/>
      </w:pPr>
      <w:r>
        <w:t>Table</w:t>
      </w:r>
      <w:r>
        <w:rPr>
          <w:spacing w:val="-8"/>
        </w:rPr>
        <w:t xml:space="preserve"> </w:t>
      </w:r>
      <w:r w:rsidR="00916328">
        <w:t>5</w:t>
      </w:r>
      <w:r>
        <w:t>:</w:t>
      </w:r>
      <w:r>
        <w:rPr>
          <w:spacing w:val="-8"/>
        </w:rPr>
        <w:t xml:space="preserve"> </w:t>
      </w:r>
      <w:r w:rsidRPr="006703CC">
        <w:t>Relative</w:t>
      </w:r>
      <w:r>
        <w:rPr>
          <w:spacing w:val="-7"/>
        </w:rPr>
        <w:t xml:space="preserve"> </w:t>
      </w:r>
      <w:r>
        <w:t>bioavailability</w:t>
      </w:r>
      <w:r>
        <w:rPr>
          <w:spacing w:val="-8"/>
        </w:rPr>
        <w:t xml:space="preserve"> </w:t>
      </w:r>
      <w:r>
        <w:rPr>
          <w:spacing w:val="-2"/>
        </w:rPr>
        <w:t>comparison</w:t>
      </w:r>
    </w:p>
    <w:p w14:paraId="1AE44C4C" w14:textId="1B4B3490" w:rsidR="006703CC" w:rsidRDefault="006703CC" w:rsidP="006703CC">
      <w:r>
        <w:rPr>
          <w:noProof/>
        </w:rPr>
        <w:drawing>
          <wp:inline distT="0" distB="0" distL="0" distR="0" wp14:anchorId="3B450A21" wp14:editId="62A263C9">
            <wp:extent cx="5735955" cy="1131570"/>
            <wp:effectExtent l="0" t="0" r="0" b="0"/>
            <wp:docPr id="17" name="Image 17" descr="This table provides a comparison of the relative bioavailability of different treatments. It includes data comparing the bioavailability of levodopa/carbidopa intestinal gel (LCIG) and foslevodopa/foscarbidopa regime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his table provides a comparison of the relative bioavailability of different treatments. It includes data comparing the bioavailability of levodopa/carbidopa intestinal gel (LCIG) and foslevodopa/foscarbidopa regimen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5955" cy="1131570"/>
                    </a:xfrm>
                    <a:prstGeom prst="rect">
                      <a:avLst/>
                    </a:prstGeom>
                  </pic:spPr>
                </pic:pic>
              </a:graphicData>
            </a:graphic>
          </wp:inline>
        </w:drawing>
      </w:r>
    </w:p>
    <w:p w14:paraId="7E8C3B16" w14:textId="19218764" w:rsidR="00221078" w:rsidRDefault="00221078" w:rsidP="006703CC">
      <w:r>
        <w:t>The</w:t>
      </w:r>
      <w:r>
        <w:rPr>
          <w:spacing w:val="-1"/>
        </w:rPr>
        <w:t xml:space="preserve"> </w:t>
      </w:r>
      <w:r>
        <w:t>evaluator</w:t>
      </w:r>
      <w:r>
        <w:rPr>
          <w:spacing w:val="-1"/>
        </w:rPr>
        <w:t xml:space="preserve"> </w:t>
      </w:r>
      <w:r>
        <w:t>highlighted</w:t>
      </w:r>
      <w:r>
        <w:rPr>
          <w:spacing w:val="-1"/>
        </w:rPr>
        <w:t xml:space="preserve"> </w:t>
      </w:r>
      <w:r>
        <w:t>that</w:t>
      </w:r>
      <w:r>
        <w:rPr>
          <w:spacing w:val="-1"/>
        </w:rPr>
        <w:t xml:space="preserve"> </w:t>
      </w:r>
      <w:r>
        <w:t>M17-220</w:t>
      </w:r>
      <w:r>
        <w:rPr>
          <w:spacing w:val="-1"/>
        </w:rPr>
        <w:t xml:space="preserve"> </w:t>
      </w:r>
      <w:r>
        <w:t>and</w:t>
      </w:r>
      <w:r>
        <w:rPr>
          <w:spacing w:val="-1"/>
        </w:rPr>
        <w:t xml:space="preserve"> </w:t>
      </w:r>
      <w:r>
        <w:t>M20-141</w:t>
      </w:r>
      <w:r>
        <w:rPr>
          <w:spacing w:val="-1"/>
        </w:rPr>
        <w:t xml:space="preserve"> </w:t>
      </w:r>
      <w:r>
        <w:t>both</w:t>
      </w:r>
      <w:r>
        <w:rPr>
          <w:spacing w:val="-3"/>
        </w:rPr>
        <w:t xml:space="preserve"> </w:t>
      </w:r>
      <w:r>
        <w:t>conducted</w:t>
      </w:r>
      <w:r>
        <w:rPr>
          <w:spacing w:val="-1"/>
        </w:rPr>
        <w:t xml:space="preserve"> </w:t>
      </w:r>
      <w:r>
        <w:t>36</w:t>
      </w:r>
      <w:r>
        <w:rPr>
          <w:spacing w:val="-1"/>
        </w:rPr>
        <w:t xml:space="preserve"> </w:t>
      </w:r>
      <w:r>
        <w:t>h of</w:t>
      </w:r>
      <w:r>
        <w:rPr>
          <w:spacing w:val="-1"/>
        </w:rPr>
        <w:t xml:space="preserve"> </w:t>
      </w:r>
      <w:r>
        <w:t>PK</w:t>
      </w:r>
      <w:r>
        <w:rPr>
          <w:spacing w:val="-1"/>
        </w:rPr>
        <w:t xml:space="preserve"> </w:t>
      </w:r>
      <w:r>
        <w:t>sampling. The</w:t>
      </w:r>
      <w:r>
        <w:rPr>
          <w:spacing w:val="-7"/>
        </w:rPr>
        <w:t xml:space="preserve"> </w:t>
      </w:r>
      <w:r>
        <w:t>evaluator</w:t>
      </w:r>
      <w:r>
        <w:rPr>
          <w:spacing w:val="-5"/>
        </w:rPr>
        <w:t xml:space="preserve"> </w:t>
      </w:r>
      <w:r>
        <w:t>has</w:t>
      </w:r>
      <w:r>
        <w:rPr>
          <w:spacing w:val="-4"/>
        </w:rPr>
        <w:t xml:space="preserve"> </w:t>
      </w:r>
      <w:r>
        <w:t>referred</w:t>
      </w:r>
      <w:r>
        <w:rPr>
          <w:spacing w:val="-5"/>
        </w:rPr>
        <w:t xml:space="preserve"> </w:t>
      </w:r>
      <w:r>
        <w:t>to</w:t>
      </w:r>
      <w:r>
        <w:rPr>
          <w:spacing w:val="-4"/>
        </w:rPr>
        <w:t xml:space="preserve"> </w:t>
      </w:r>
      <w:r>
        <w:t>the</w:t>
      </w:r>
      <w:r>
        <w:rPr>
          <w:spacing w:val="-5"/>
        </w:rPr>
        <w:t xml:space="preserve"> </w:t>
      </w:r>
      <w:r>
        <w:t>bioequivalence</w:t>
      </w:r>
      <w:r>
        <w:rPr>
          <w:spacing w:val="-6"/>
        </w:rPr>
        <w:t xml:space="preserve"> </w:t>
      </w:r>
      <w:r>
        <w:t>guideline</w:t>
      </w:r>
      <w:r>
        <w:rPr>
          <w:spacing w:val="-5"/>
        </w:rPr>
        <w:t xml:space="preserve"> </w:t>
      </w:r>
      <w:r>
        <w:t>that</w:t>
      </w:r>
      <w:r>
        <w:rPr>
          <w:spacing w:val="-5"/>
        </w:rPr>
        <w:t xml:space="preserve"> </w:t>
      </w:r>
      <w:r>
        <w:t>recommended</w:t>
      </w:r>
      <w:r>
        <w:rPr>
          <w:spacing w:val="-5"/>
        </w:rPr>
        <w:t xml:space="preserve"> </w:t>
      </w:r>
      <w:r>
        <w:t>a</w:t>
      </w:r>
      <w:r>
        <w:rPr>
          <w:spacing w:val="-5"/>
        </w:rPr>
        <w:t xml:space="preserve"> </w:t>
      </w:r>
      <w:r>
        <w:t>minimum</w:t>
      </w:r>
      <w:r>
        <w:rPr>
          <w:spacing w:val="-3"/>
        </w:rPr>
        <w:t xml:space="preserve"> </w:t>
      </w:r>
      <w:r>
        <w:t>72-</w:t>
      </w:r>
      <w:r>
        <w:rPr>
          <w:spacing w:val="-10"/>
        </w:rPr>
        <w:t>h</w:t>
      </w:r>
      <w:r w:rsidR="00965B89">
        <w:rPr>
          <w:spacing w:val="-10"/>
        </w:rPr>
        <w:t xml:space="preserve"> </w:t>
      </w:r>
      <w:r w:rsidR="00965B89">
        <w:t>s</w:t>
      </w:r>
      <w:r>
        <w:t>ampling period.</w:t>
      </w:r>
      <w:r>
        <w:rPr>
          <w:spacing w:val="-1"/>
        </w:rPr>
        <w:t xml:space="preserve"> </w:t>
      </w:r>
      <w:r>
        <w:t>The evaluator considered that</w:t>
      </w:r>
      <w:r>
        <w:rPr>
          <w:spacing w:val="-1"/>
        </w:rPr>
        <w:t xml:space="preserve"> </w:t>
      </w:r>
      <w:r>
        <w:rPr>
          <w:i/>
        </w:rPr>
        <w:t>given the rapidity</w:t>
      </w:r>
      <w:r>
        <w:rPr>
          <w:i/>
          <w:spacing w:val="-2"/>
        </w:rPr>
        <w:t xml:space="preserve"> </w:t>
      </w:r>
      <w:r>
        <w:rPr>
          <w:i/>
        </w:rPr>
        <w:t>of conversion</w:t>
      </w:r>
      <w:r>
        <w:rPr>
          <w:i/>
          <w:spacing w:val="-2"/>
        </w:rPr>
        <w:t xml:space="preserve"> </w:t>
      </w:r>
      <w:r>
        <w:rPr>
          <w:i/>
        </w:rPr>
        <w:t>of the</w:t>
      </w:r>
      <w:r>
        <w:rPr>
          <w:i/>
          <w:spacing w:val="-1"/>
        </w:rPr>
        <w:t xml:space="preserve"> </w:t>
      </w:r>
      <w:r>
        <w:rPr>
          <w:i/>
        </w:rPr>
        <w:t>parent moieties to the active moieties and the relatively short mean elimination half-lives of all of these moieties,</w:t>
      </w:r>
      <w:r>
        <w:rPr>
          <w:i/>
          <w:spacing w:val="-3"/>
        </w:rPr>
        <w:t xml:space="preserve"> </w:t>
      </w:r>
      <w:r>
        <w:rPr>
          <w:i/>
        </w:rPr>
        <w:t>a</w:t>
      </w:r>
      <w:r>
        <w:rPr>
          <w:i/>
          <w:spacing w:val="-3"/>
        </w:rPr>
        <w:t xml:space="preserve"> </w:t>
      </w:r>
      <w:r>
        <w:rPr>
          <w:i/>
        </w:rPr>
        <w:t>36-h</w:t>
      </w:r>
      <w:r>
        <w:rPr>
          <w:i/>
          <w:spacing w:val="-2"/>
        </w:rPr>
        <w:t xml:space="preserve"> </w:t>
      </w:r>
      <w:r>
        <w:rPr>
          <w:i/>
        </w:rPr>
        <w:t>sampling</w:t>
      </w:r>
      <w:r>
        <w:rPr>
          <w:i/>
          <w:spacing w:val="-4"/>
        </w:rPr>
        <w:t xml:space="preserve"> </w:t>
      </w:r>
      <w:r>
        <w:rPr>
          <w:i/>
        </w:rPr>
        <w:t>period</w:t>
      </w:r>
      <w:r>
        <w:rPr>
          <w:i/>
          <w:spacing w:val="-2"/>
        </w:rPr>
        <w:t xml:space="preserve"> </w:t>
      </w:r>
      <w:r>
        <w:rPr>
          <w:i/>
        </w:rPr>
        <w:t>is</w:t>
      </w:r>
      <w:r>
        <w:rPr>
          <w:i/>
          <w:spacing w:val="-2"/>
        </w:rPr>
        <w:t xml:space="preserve"> </w:t>
      </w:r>
      <w:r>
        <w:rPr>
          <w:i/>
        </w:rPr>
        <w:t>not</w:t>
      </w:r>
      <w:r>
        <w:rPr>
          <w:i/>
          <w:spacing w:val="-1"/>
        </w:rPr>
        <w:t xml:space="preserve"> </w:t>
      </w:r>
      <w:r>
        <w:rPr>
          <w:i/>
        </w:rPr>
        <w:t>expected</w:t>
      </w:r>
      <w:r>
        <w:rPr>
          <w:i/>
          <w:spacing w:val="-2"/>
        </w:rPr>
        <w:t xml:space="preserve"> </w:t>
      </w:r>
      <w:r>
        <w:rPr>
          <w:i/>
        </w:rPr>
        <w:t>to</w:t>
      </w:r>
      <w:r>
        <w:rPr>
          <w:i/>
          <w:spacing w:val="-1"/>
        </w:rPr>
        <w:t xml:space="preserve"> </w:t>
      </w:r>
      <w:r>
        <w:rPr>
          <w:i/>
        </w:rPr>
        <w:t>adversely</w:t>
      </w:r>
      <w:r>
        <w:rPr>
          <w:i/>
          <w:spacing w:val="-3"/>
        </w:rPr>
        <w:t xml:space="preserve"> </w:t>
      </w:r>
      <w:r>
        <w:rPr>
          <w:i/>
        </w:rPr>
        <w:t>affect</w:t>
      </w:r>
      <w:r>
        <w:rPr>
          <w:i/>
          <w:spacing w:val="-1"/>
        </w:rPr>
        <w:t xml:space="preserve"> </w:t>
      </w:r>
      <w:r>
        <w:rPr>
          <w:i/>
        </w:rPr>
        <w:t>the</w:t>
      </w:r>
      <w:r>
        <w:rPr>
          <w:i/>
          <w:spacing w:val="-4"/>
        </w:rPr>
        <w:t xml:space="preserve"> </w:t>
      </w:r>
      <w:r>
        <w:rPr>
          <w:i/>
        </w:rPr>
        <w:t>relative</w:t>
      </w:r>
      <w:r>
        <w:rPr>
          <w:i/>
          <w:spacing w:val="-4"/>
        </w:rPr>
        <w:t xml:space="preserve"> </w:t>
      </w:r>
      <w:r>
        <w:rPr>
          <w:i/>
        </w:rPr>
        <w:t>BA</w:t>
      </w:r>
      <w:r>
        <w:rPr>
          <w:i/>
          <w:spacing w:val="-2"/>
        </w:rPr>
        <w:t xml:space="preserve"> </w:t>
      </w:r>
      <w:r>
        <w:rPr>
          <w:i/>
        </w:rPr>
        <w:t>assessment;</w:t>
      </w:r>
      <w:r>
        <w:rPr>
          <w:i/>
          <w:spacing w:val="-2"/>
        </w:rPr>
        <w:t xml:space="preserve"> </w:t>
      </w:r>
      <w:r>
        <w:t xml:space="preserve">and The relative bioA carry-over effect between </w:t>
      </w:r>
      <w:r w:rsidR="00A175F6">
        <w:t>foslevodopa</w:t>
      </w:r>
      <w:r>
        <w:t>/foscarbidopa and LGIC treatments cou</w:t>
      </w:r>
      <w:r w:rsidR="00704437">
        <w:t>ld</w:t>
      </w:r>
      <w:r>
        <w:t xml:space="preserve"> be evaluated in the BA/BE studies, M17-220 and M20-141.</w:t>
      </w:r>
    </w:p>
    <w:p w14:paraId="64C3AF0E" w14:textId="66DDC127" w:rsidR="00221078" w:rsidRDefault="00221078" w:rsidP="006703CC">
      <w:r>
        <w:t>In</w:t>
      </w:r>
      <w:r>
        <w:rPr>
          <w:spacing w:val="-4"/>
        </w:rPr>
        <w:t xml:space="preserve"> </w:t>
      </w:r>
      <w:r>
        <w:t>response</w:t>
      </w:r>
      <w:r>
        <w:rPr>
          <w:spacing w:val="-3"/>
        </w:rPr>
        <w:t xml:space="preserve"> </w:t>
      </w:r>
      <w:r>
        <w:t>to</w:t>
      </w:r>
      <w:r>
        <w:rPr>
          <w:spacing w:val="-3"/>
        </w:rPr>
        <w:t xml:space="preserve"> </w:t>
      </w:r>
      <w:r>
        <w:t>the</w:t>
      </w:r>
      <w:r>
        <w:rPr>
          <w:spacing w:val="-3"/>
        </w:rPr>
        <w:t xml:space="preserve"> </w:t>
      </w:r>
      <w:r>
        <w:t>clinical</w:t>
      </w:r>
      <w:r>
        <w:rPr>
          <w:spacing w:val="-5"/>
        </w:rPr>
        <w:t xml:space="preserve"> </w:t>
      </w:r>
      <w:r>
        <w:t>evaluator’s</w:t>
      </w:r>
      <w:r>
        <w:rPr>
          <w:spacing w:val="-2"/>
        </w:rPr>
        <w:t xml:space="preserve"> </w:t>
      </w:r>
      <w:r>
        <w:t>questions</w:t>
      </w:r>
      <w:r>
        <w:rPr>
          <w:spacing w:val="-2"/>
        </w:rPr>
        <w:t xml:space="preserve"> </w:t>
      </w:r>
      <w:r>
        <w:t>regarding</w:t>
      </w:r>
      <w:r>
        <w:rPr>
          <w:spacing w:val="-2"/>
        </w:rPr>
        <w:t xml:space="preserve"> </w:t>
      </w:r>
      <w:r>
        <w:t>the</w:t>
      </w:r>
      <w:r>
        <w:rPr>
          <w:spacing w:val="-3"/>
        </w:rPr>
        <w:t xml:space="preserve"> </w:t>
      </w:r>
      <w:r>
        <w:t>relative</w:t>
      </w:r>
      <w:r>
        <w:rPr>
          <w:spacing w:val="-4"/>
        </w:rPr>
        <w:t xml:space="preserve"> </w:t>
      </w:r>
      <w:r>
        <w:t>comparability</w:t>
      </w:r>
      <w:r>
        <w:rPr>
          <w:spacing w:val="-4"/>
        </w:rPr>
        <w:t xml:space="preserve"> </w:t>
      </w:r>
      <w:r>
        <w:t>of</w:t>
      </w:r>
      <w:r>
        <w:rPr>
          <w:spacing w:val="-3"/>
        </w:rPr>
        <w:t xml:space="preserve"> </w:t>
      </w:r>
      <w:r w:rsidR="00704437">
        <w:t>LD</w:t>
      </w:r>
      <w:r>
        <w:rPr>
          <w:spacing w:val="-3"/>
        </w:rPr>
        <w:t xml:space="preserve"> </w:t>
      </w:r>
      <w:r>
        <w:t xml:space="preserve">vs </w:t>
      </w:r>
      <w:r w:rsidR="00704437">
        <w:t>LDP</w:t>
      </w:r>
      <w:r>
        <w:t xml:space="preserve"> and </w:t>
      </w:r>
      <w:r w:rsidR="00704437">
        <w:t>CD</w:t>
      </w:r>
      <w:r>
        <w:t xml:space="preserve"> vs </w:t>
      </w:r>
      <w:r w:rsidR="00704437">
        <w:t>CD</w:t>
      </w:r>
      <w:r>
        <w:t>P, the Sponsor clarified that:</w:t>
      </w:r>
    </w:p>
    <w:p w14:paraId="421F93DD" w14:textId="10D5B09C" w:rsidR="00221078" w:rsidRPr="006703CC" w:rsidRDefault="00221078" w:rsidP="006703CC">
      <w:pPr>
        <w:pStyle w:val="Numberbullet0"/>
        <w:numPr>
          <w:ilvl w:val="0"/>
          <w:numId w:val="0"/>
        </w:numPr>
        <w:ind w:left="360"/>
        <w:rPr>
          <w:i/>
          <w:iCs/>
        </w:rPr>
      </w:pPr>
      <w:r w:rsidRPr="006703CC">
        <w:rPr>
          <w:i/>
          <w:iCs/>
        </w:rPr>
        <w:t xml:space="preserve">The relative bioavailability of </w:t>
      </w:r>
      <w:r w:rsidR="00A175F6" w:rsidRPr="006703CC">
        <w:rPr>
          <w:i/>
          <w:iCs/>
        </w:rPr>
        <w:t>foslevodopa</w:t>
      </w:r>
      <w:r w:rsidRPr="006703CC">
        <w:rPr>
          <w:i/>
          <w:iCs/>
        </w:rPr>
        <w:t xml:space="preserve">/foscarbidopa compared to LCIG </w:t>
      </w:r>
      <w:r w:rsidR="00704437" w:rsidRPr="006703CC">
        <w:rPr>
          <w:i/>
          <w:iCs/>
        </w:rPr>
        <w:t>could</w:t>
      </w:r>
      <w:r w:rsidRPr="006703CC">
        <w:rPr>
          <w:i/>
          <w:iCs/>
        </w:rPr>
        <w:t xml:space="preserve"> not be determined</w:t>
      </w:r>
      <w:r w:rsidRPr="006703CC">
        <w:rPr>
          <w:i/>
          <w:iCs/>
          <w:spacing w:val="-3"/>
        </w:rPr>
        <w:t xml:space="preserve"> </w:t>
      </w:r>
      <w:r w:rsidRPr="006703CC">
        <w:rPr>
          <w:i/>
          <w:iCs/>
        </w:rPr>
        <w:t>since</w:t>
      </w:r>
      <w:r w:rsidRPr="006703CC">
        <w:rPr>
          <w:i/>
          <w:iCs/>
          <w:spacing w:val="-4"/>
        </w:rPr>
        <w:t xml:space="preserve"> </w:t>
      </w:r>
      <w:r w:rsidRPr="006703CC">
        <w:rPr>
          <w:i/>
          <w:iCs/>
        </w:rPr>
        <w:t>the</w:t>
      </w:r>
      <w:r w:rsidRPr="006703CC">
        <w:rPr>
          <w:i/>
          <w:iCs/>
          <w:spacing w:val="-4"/>
        </w:rPr>
        <w:t xml:space="preserve"> </w:t>
      </w:r>
      <w:r w:rsidRPr="006703CC">
        <w:rPr>
          <w:i/>
          <w:iCs/>
        </w:rPr>
        <w:t>phosphate</w:t>
      </w:r>
      <w:r w:rsidRPr="006703CC">
        <w:rPr>
          <w:i/>
          <w:iCs/>
          <w:spacing w:val="-4"/>
        </w:rPr>
        <w:t xml:space="preserve"> </w:t>
      </w:r>
      <w:r w:rsidRPr="006703CC">
        <w:rPr>
          <w:i/>
          <w:iCs/>
        </w:rPr>
        <w:t>prodrugs</w:t>
      </w:r>
      <w:r w:rsidRPr="006703CC">
        <w:rPr>
          <w:i/>
          <w:iCs/>
          <w:spacing w:val="-2"/>
        </w:rPr>
        <w:t xml:space="preserve"> </w:t>
      </w:r>
      <w:r w:rsidRPr="006703CC">
        <w:rPr>
          <w:i/>
          <w:iCs/>
        </w:rPr>
        <w:t>were</w:t>
      </w:r>
      <w:r w:rsidRPr="006703CC">
        <w:rPr>
          <w:i/>
          <w:iCs/>
          <w:spacing w:val="-2"/>
        </w:rPr>
        <w:t xml:space="preserve"> </w:t>
      </w:r>
      <w:r w:rsidRPr="006703CC">
        <w:rPr>
          <w:i/>
          <w:iCs/>
        </w:rPr>
        <w:t>not</w:t>
      </w:r>
      <w:r w:rsidRPr="006703CC">
        <w:rPr>
          <w:i/>
          <w:iCs/>
          <w:spacing w:val="-1"/>
        </w:rPr>
        <w:t xml:space="preserve"> </w:t>
      </w:r>
      <w:r w:rsidRPr="006703CC">
        <w:rPr>
          <w:i/>
          <w:iCs/>
        </w:rPr>
        <w:t>delivered</w:t>
      </w:r>
      <w:r w:rsidRPr="006703CC">
        <w:rPr>
          <w:i/>
          <w:iCs/>
          <w:spacing w:val="-3"/>
        </w:rPr>
        <w:t xml:space="preserve"> </w:t>
      </w:r>
      <w:r w:rsidRPr="006703CC">
        <w:rPr>
          <w:i/>
          <w:iCs/>
        </w:rPr>
        <w:t>in</w:t>
      </w:r>
      <w:r w:rsidRPr="006703CC">
        <w:rPr>
          <w:i/>
          <w:iCs/>
          <w:spacing w:val="-3"/>
        </w:rPr>
        <w:t xml:space="preserve"> </w:t>
      </w:r>
      <w:r w:rsidRPr="006703CC">
        <w:rPr>
          <w:i/>
          <w:iCs/>
        </w:rPr>
        <w:t>the</w:t>
      </w:r>
      <w:r w:rsidRPr="006703CC">
        <w:rPr>
          <w:i/>
          <w:iCs/>
          <w:spacing w:val="-2"/>
        </w:rPr>
        <w:t xml:space="preserve"> </w:t>
      </w:r>
      <w:r w:rsidRPr="006703CC">
        <w:rPr>
          <w:i/>
          <w:iCs/>
        </w:rPr>
        <w:t>LCIG</w:t>
      </w:r>
      <w:r w:rsidRPr="006703CC">
        <w:rPr>
          <w:i/>
          <w:iCs/>
          <w:spacing w:val="-4"/>
        </w:rPr>
        <w:t xml:space="preserve"> </w:t>
      </w:r>
      <w:r w:rsidRPr="006703CC">
        <w:rPr>
          <w:i/>
          <w:iCs/>
        </w:rPr>
        <w:t>regimen.</w:t>
      </w:r>
      <w:r w:rsidRPr="006703CC">
        <w:rPr>
          <w:i/>
          <w:iCs/>
          <w:spacing w:val="-3"/>
        </w:rPr>
        <w:t xml:space="preserve"> </w:t>
      </w:r>
      <w:r w:rsidRPr="006703CC">
        <w:rPr>
          <w:i/>
          <w:iCs/>
        </w:rPr>
        <w:t>However,</w:t>
      </w:r>
      <w:r w:rsidRPr="006703CC">
        <w:rPr>
          <w:i/>
          <w:iCs/>
          <w:spacing w:val="-3"/>
        </w:rPr>
        <w:t xml:space="preserve"> </w:t>
      </w:r>
      <w:r w:rsidRPr="006703CC">
        <w:rPr>
          <w:i/>
          <w:iCs/>
        </w:rPr>
        <w:t xml:space="preserve">the relative bioavailability of </w:t>
      </w:r>
      <w:r w:rsidR="00704437" w:rsidRPr="006703CC">
        <w:rPr>
          <w:i/>
          <w:iCs/>
        </w:rPr>
        <w:t>LD</w:t>
      </w:r>
      <w:r w:rsidRPr="006703CC">
        <w:rPr>
          <w:i/>
          <w:iCs/>
        </w:rPr>
        <w:t xml:space="preserve"> and </w:t>
      </w:r>
      <w:r w:rsidR="00704437" w:rsidRPr="006703CC">
        <w:rPr>
          <w:i/>
          <w:iCs/>
        </w:rPr>
        <w:t>CD</w:t>
      </w:r>
      <w:r w:rsidRPr="006703CC">
        <w:rPr>
          <w:i/>
          <w:iCs/>
        </w:rPr>
        <w:t xml:space="preserve"> </w:t>
      </w:r>
      <w:r w:rsidR="00704437" w:rsidRPr="006703CC">
        <w:rPr>
          <w:i/>
          <w:iCs/>
        </w:rPr>
        <w:t>could</w:t>
      </w:r>
      <w:r w:rsidRPr="006703CC">
        <w:rPr>
          <w:i/>
          <w:iCs/>
        </w:rPr>
        <w:t xml:space="preserve"> be determined. Overall, the relative bioavailability (</w:t>
      </w:r>
      <w:r w:rsidR="00A175F6" w:rsidRPr="006703CC">
        <w:rPr>
          <w:i/>
          <w:iCs/>
        </w:rPr>
        <w:t>foslevodopa</w:t>
      </w:r>
      <w:r w:rsidRPr="006703CC">
        <w:rPr>
          <w:i/>
          <w:iCs/>
        </w:rPr>
        <w:t xml:space="preserve">/foscarbidopa compared to LCIG) was similar for </w:t>
      </w:r>
      <w:r w:rsidR="00704437" w:rsidRPr="006703CC">
        <w:rPr>
          <w:i/>
          <w:iCs/>
        </w:rPr>
        <w:t>LD</w:t>
      </w:r>
      <w:r w:rsidRPr="006703CC">
        <w:rPr>
          <w:i/>
          <w:iCs/>
        </w:rPr>
        <w:t xml:space="preserve"> and much higher for </w:t>
      </w:r>
      <w:r w:rsidR="00704437" w:rsidRPr="006703CC">
        <w:rPr>
          <w:i/>
          <w:iCs/>
        </w:rPr>
        <w:t>CD</w:t>
      </w:r>
      <w:r w:rsidRPr="006703CC">
        <w:rPr>
          <w:i/>
          <w:iCs/>
        </w:rPr>
        <w:t>.</w:t>
      </w:r>
    </w:p>
    <w:p w14:paraId="50784EB7" w14:textId="1D66BE7D" w:rsidR="00221078" w:rsidRPr="006703CC" w:rsidRDefault="00221078" w:rsidP="006703CC">
      <w:pPr>
        <w:pStyle w:val="Numberbullet2"/>
        <w:rPr>
          <w:i/>
          <w:iCs/>
        </w:rPr>
      </w:pPr>
      <w:r w:rsidRPr="006703CC">
        <w:rPr>
          <w:i/>
          <w:iCs/>
        </w:rPr>
        <w:t>The</w:t>
      </w:r>
      <w:r w:rsidRPr="006703CC">
        <w:rPr>
          <w:i/>
          <w:iCs/>
          <w:spacing w:val="-4"/>
        </w:rPr>
        <w:t xml:space="preserve"> </w:t>
      </w:r>
      <w:r w:rsidR="00704437" w:rsidRPr="006703CC">
        <w:rPr>
          <w:i/>
          <w:iCs/>
        </w:rPr>
        <w:t>LD</w:t>
      </w:r>
      <w:r w:rsidRPr="006703CC">
        <w:rPr>
          <w:i/>
          <w:iCs/>
          <w:spacing w:val="-5"/>
        </w:rPr>
        <w:t xml:space="preserve"> </w:t>
      </w:r>
      <w:r w:rsidRPr="006703CC">
        <w:rPr>
          <w:i/>
          <w:iCs/>
        </w:rPr>
        <w:t>relative</w:t>
      </w:r>
      <w:r w:rsidRPr="006703CC">
        <w:rPr>
          <w:i/>
          <w:iCs/>
          <w:spacing w:val="-4"/>
        </w:rPr>
        <w:t xml:space="preserve"> </w:t>
      </w:r>
      <w:r w:rsidRPr="006703CC">
        <w:rPr>
          <w:i/>
          <w:iCs/>
        </w:rPr>
        <w:t>bioavailability</w:t>
      </w:r>
      <w:r w:rsidRPr="006703CC">
        <w:rPr>
          <w:i/>
          <w:iCs/>
          <w:spacing w:val="-5"/>
        </w:rPr>
        <w:t xml:space="preserve"> </w:t>
      </w:r>
      <w:r w:rsidRPr="006703CC">
        <w:rPr>
          <w:i/>
          <w:iCs/>
        </w:rPr>
        <w:t>for</w:t>
      </w:r>
      <w:r w:rsidRPr="006703CC">
        <w:rPr>
          <w:i/>
          <w:iCs/>
          <w:spacing w:val="-3"/>
        </w:rPr>
        <w:t xml:space="preserve"> </w:t>
      </w:r>
      <w:r w:rsidR="00A175F6" w:rsidRPr="006703CC">
        <w:rPr>
          <w:i/>
          <w:iCs/>
        </w:rPr>
        <w:t>foslevodopa</w:t>
      </w:r>
      <w:r w:rsidRPr="006703CC">
        <w:rPr>
          <w:i/>
          <w:iCs/>
        </w:rPr>
        <w:t>/foscarbidopa</w:t>
      </w:r>
      <w:r w:rsidRPr="006703CC">
        <w:rPr>
          <w:i/>
          <w:iCs/>
          <w:spacing w:val="-5"/>
        </w:rPr>
        <w:t xml:space="preserve"> </w:t>
      </w:r>
      <w:r w:rsidRPr="006703CC">
        <w:rPr>
          <w:i/>
          <w:iCs/>
        </w:rPr>
        <w:t>compared</w:t>
      </w:r>
      <w:r w:rsidRPr="006703CC">
        <w:rPr>
          <w:i/>
          <w:iCs/>
          <w:spacing w:val="-5"/>
        </w:rPr>
        <w:t xml:space="preserve"> </w:t>
      </w:r>
      <w:r w:rsidRPr="006703CC">
        <w:rPr>
          <w:i/>
          <w:iCs/>
        </w:rPr>
        <w:t>to</w:t>
      </w:r>
      <w:r w:rsidRPr="006703CC">
        <w:rPr>
          <w:i/>
          <w:iCs/>
          <w:spacing w:val="-3"/>
        </w:rPr>
        <w:t xml:space="preserve"> </w:t>
      </w:r>
      <w:r w:rsidRPr="006703CC">
        <w:rPr>
          <w:i/>
          <w:iCs/>
        </w:rPr>
        <w:t>LCIG</w:t>
      </w:r>
      <w:r w:rsidRPr="006703CC">
        <w:rPr>
          <w:i/>
          <w:iCs/>
          <w:spacing w:val="-6"/>
        </w:rPr>
        <w:t xml:space="preserve"> </w:t>
      </w:r>
      <w:r w:rsidRPr="006703CC">
        <w:rPr>
          <w:i/>
          <w:iCs/>
        </w:rPr>
        <w:t>was slightly higher (see iii above); and</w:t>
      </w:r>
    </w:p>
    <w:p w14:paraId="32709C9F" w14:textId="28D9C85F" w:rsidR="00221078" w:rsidRPr="006703CC" w:rsidRDefault="00221078" w:rsidP="006703CC">
      <w:pPr>
        <w:pStyle w:val="Numberbullet2"/>
        <w:rPr>
          <w:i/>
          <w:iCs/>
        </w:rPr>
      </w:pPr>
      <w:r w:rsidRPr="006703CC">
        <w:rPr>
          <w:i/>
          <w:iCs/>
        </w:rPr>
        <w:t xml:space="preserve">For </w:t>
      </w:r>
      <w:r w:rsidR="00704437" w:rsidRPr="006703CC">
        <w:rPr>
          <w:i/>
          <w:iCs/>
        </w:rPr>
        <w:t>CD</w:t>
      </w:r>
      <w:r w:rsidRPr="006703CC">
        <w:rPr>
          <w:i/>
          <w:iCs/>
        </w:rPr>
        <w:t xml:space="preserve">, 35 mg of foscarbidopa was delivered over 24 h for the </w:t>
      </w:r>
      <w:r w:rsidR="00A175F6" w:rsidRPr="006703CC">
        <w:rPr>
          <w:i/>
          <w:iCs/>
        </w:rPr>
        <w:t>foslevodopa</w:t>
      </w:r>
      <w:r w:rsidRPr="006703CC">
        <w:rPr>
          <w:i/>
          <w:iCs/>
        </w:rPr>
        <w:t xml:space="preserve">/foscarbidopa regimen. For the first 16 h, 23 mg of foscarbidopa was delivered. Using the molecular weight conversion (foscarbidopa to </w:t>
      </w:r>
      <w:r w:rsidR="008C163E" w:rsidRPr="006703CC">
        <w:rPr>
          <w:i/>
          <w:iCs/>
        </w:rPr>
        <w:t>CARBIDOPA</w:t>
      </w:r>
      <w:r w:rsidRPr="006703CC">
        <w:rPr>
          <w:i/>
          <w:iCs/>
        </w:rPr>
        <w:t xml:space="preserve"> = 0.73) approx. 17 mg of </w:t>
      </w:r>
      <w:r w:rsidR="00704437" w:rsidRPr="006703CC">
        <w:rPr>
          <w:i/>
          <w:iCs/>
        </w:rPr>
        <w:t>CD</w:t>
      </w:r>
      <w:r w:rsidRPr="006703CC">
        <w:rPr>
          <w:i/>
          <w:iCs/>
        </w:rPr>
        <w:t xml:space="preserve"> was delivered for the first 16 h of the </w:t>
      </w:r>
      <w:proofErr w:type="spellStart"/>
      <w:r w:rsidR="00A175F6" w:rsidRPr="006703CC">
        <w:rPr>
          <w:i/>
          <w:iCs/>
        </w:rPr>
        <w:t>foslevodopa</w:t>
      </w:r>
      <w:proofErr w:type="spellEnd"/>
      <w:r w:rsidRPr="006703CC">
        <w:rPr>
          <w:i/>
          <w:iCs/>
        </w:rPr>
        <w:t>/</w:t>
      </w:r>
      <w:proofErr w:type="spellStart"/>
      <w:r w:rsidRPr="006703CC">
        <w:rPr>
          <w:i/>
          <w:iCs/>
        </w:rPr>
        <w:t>foscarbidopa</w:t>
      </w:r>
      <w:proofErr w:type="spellEnd"/>
      <w:r w:rsidRPr="006703CC">
        <w:rPr>
          <w:i/>
          <w:iCs/>
        </w:rPr>
        <w:t xml:space="preserve"> infusion regimen. The comparison arm with LCIG infused 87.5 mg of </w:t>
      </w:r>
      <w:r w:rsidR="00704437" w:rsidRPr="006703CC">
        <w:rPr>
          <w:i/>
          <w:iCs/>
        </w:rPr>
        <w:t>CD</w:t>
      </w:r>
      <w:r w:rsidRPr="006703CC">
        <w:rPr>
          <w:i/>
          <w:iCs/>
        </w:rPr>
        <w:t xml:space="preserve"> to the jejunum over the same 16-h </w:t>
      </w:r>
      <w:proofErr w:type="gramStart"/>
      <w:r w:rsidRPr="006703CC">
        <w:rPr>
          <w:i/>
          <w:iCs/>
        </w:rPr>
        <w:t>time period</w:t>
      </w:r>
      <w:proofErr w:type="gramEnd"/>
      <w:r w:rsidRPr="006703CC">
        <w:rPr>
          <w:i/>
          <w:iCs/>
        </w:rPr>
        <w:t xml:space="preserve">. Overall, for the </w:t>
      </w:r>
      <w:r w:rsidR="00704437" w:rsidRPr="006703CC">
        <w:rPr>
          <w:i/>
          <w:iCs/>
        </w:rPr>
        <w:t>CD</w:t>
      </w:r>
      <w:r w:rsidRPr="006703CC">
        <w:rPr>
          <w:i/>
          <w:iCs/>
        </w:rPr>
        <w:t xml:space="preserve"> component, </w:t>
      </w:r>
      <w:r w:rsidR="00A175F6" w:rsidRPr="006703CC">
        <w:rPr>
          <w:i/>
          <w:iCs/>
        </w:rPr>
        <w:t>foslevodopa</w:t>
      </w:r>
      <w:r w:rsidRPr="006703CC">
        <w:rPr>
          <w:i/>
          <w:iCs/>
        </w:rPr>
        <w:t xml:space="preserve">/foscarbidopa has approx. 5 times higher bioavailability compared to LCIG. This difference in </w:t>
      </w:r>
      <w:r w:rsidR="00704437" w:rsidRPr="006703CC">
        <w:rPr>
          <w:i/>
          <w:iCs/>
        </w:rPr>
        <w:t>CD</w:t>
      </w:r>
      <w:r w:rsidRPr="006703CC">
        <w:rPr>
          <w:i/>
          <w:iCs/>
        </w:rPr>
        <w:t xml:space="preserve"> bioavailability is the reason the </w:t>
      </w:r>
      <w:r w:rsidR="00A175F6" w:rsidRPr="006703CC">
        <w:rPr>
          <w:i/>
          <w:iCs/>
        </w:rPr>
        <w:t>foslevodopa</w:t>
      </w:r>
      <w:r w:rsidRPr="006703CC">
        <w:rPr>
          <w:i/>
          <w:iCs/>
        </w:rPr>
        <w:t>/foscarbidopa ratio was optimised to 20:1</w:t>
      </w:r>
      <w:r w:rsidRPr="006703CC">
        <w:rPr>
          <w:i/>
          <w:iCs/>
          <w:spacing w:val="-2"/>
        </w:rPr>
        <w:t xml:space="preserve"> </w:t>
      </w:r>
      <w:r w:rsidR="00A175F6" w:rsidRPr="006703CC">
        <w:rPr>
          <w:i/>
          <w:iCs/>
        </w:rPr>
        <w:t>foslevodopa</w:t>
      </w:r>
      <w:r w:rsidRPr="006703CC">
        <w:rPr>
          <w:i/>
          <w:iCs/>
          <w:spacing w:val="-4"/>
        </w:rPr>
        <w:t xml:space="preserve"> </w:t>
      </w:r>
      <w:r w:rsidRPr="006703CC">
        <w:rPr>
          <w:i/>
          <w:iCs/>
        </w:rPr>
        <w:t>to</w:t>
      </w:r>
      <w:r w:rsidRPr="006703CC">
        <w:rPr>
          <w:i/>
          <w:iCs/>
          <w:spacing w:val="-2"/>
        </w:rPr>
        <w:t xml:space="preserve"> </w:t>
      </w:r>
      <w:r w:rsidRPr="006703CC">
        <w:rPr>
          <w:i/>
          <w:iCs/>
        </w:rPr>
        <w:t>foscarbidopa</w:t>
      </w:r>
      <w:r w:rsidRPr="006703CC">
        <w:rPr>
          <w:i/>
          <w:iCs/>
          <w:spacing w:val="-4"/>
        </w:rPr>
        <w:t xml:space="preserve"> </w:t>
      </w:r>
      <w:r w:rsidRPr="006703CC">
        <w:rPr>
          <w:i/>
          <w:iCs/>
        </w:rPr>
        <w:t>for</w:t>
      </w:r>
      <w:r w:rsidRPr="006703CC">
        <w:rPr>
          <w:i/>
          <w:iCs/>
          <w:spacing w:val="-2"/>
        </w:rPr>
        <w:t xml:space="preserve"> </w:t>
      </w:r>
      <w:r w:rsidRPr="006703CC">
        <w:rPr>
          <w:i/>
          <w:iCs/>
        </w:rPr>
        <w:t>subsequent</w:t>
      </w:r>
      <w:r w:rsidRPr="006703CC">
        <w:rPr>
          <w:i/>
          <w:iCs/>
          <w:spacing w:val="-2"/>
        </w:rPr>
        <w:t xml:space="preserve"> </w:t>
      </w:r>
      <w:r w:rsidRPr="006703CC">
        <w:rPr>
          <w:i/>
          <w:iCs/>
        </w:rPr>
        <w:t>clinical</w:t>
      </w:r>
      <w:r w:rsidRPr="006703CC">
        <w:rPr>
          <w:i/>
          <w:iCs/>
          <w:spacing w:val="-2"/>
        </w:rPr>
        <w:t xml:space="preserve"> </w:t>
      </w:r>
      <w:r w:rsidRPr="006703CC">
        <w:rPr>
          <w:i/>
          <w:iCs/>
        </w:rPr>
        <w:t>studies,</w:t>
      </w:r>
      <w:r w:rsidRPr="006703CC">
        <w:rPr>
          <w:i/>
          <w:iCs/>
          <w:spacing w:val="-4"/>
        </w:rPr>
        <w:t xml:space="preserve"> </w:t>
      </w:r>
      <w:r w:rsidRPr="006703CC">
        <w:rPr>
          <w:i/>
          <w:iCs/>
        </w:rPr>
        <w:t>including</w:t>
      </w:r>
      <w:r w:rsidRPr="006703CC">
        <w:rPr>
          <w:i/>
          <w:iCs/>
          <w:spacing w:val="-3"/>
        </w:rPr>
        <w:t xml:space="preserve"> </w:t>
      </w:r>
      <w:r w:rsidRPr="006703CC">
        <w:rPr>
          <w:i/>
          <w:iCs/>
        </w:rPr>
        <w:t>all</w:t>
      </w:r>
      <w:r w:rsidRPr="006703CC">
        <w:rPr>
          <w:i/>
          <w:iCs/>
          <w:spacing w:val="-4"/>
        </w:rPr>
        <w:t xml:space="preserve"> </w:t>
      </w:r>
      <w:r w:rsidRPr="006703CC">
        <w:rPr>
          <w:i/>
          <w:iCs/>
        </w:rPr>
        <w:t>phase</w:t>
      </w:r>
      <w:r w:rsidRPr="006703CC">
        <w:rPr>
          <w:i/>
          <w:iCs/>
          <w:spacing w:val="-3"/>
        </w:rPr>
        <w:t xml:space="preserve"> </w:t>
      </w:r>
      <w:r w:rsidRPr="006703CC">
        <w:rPr>
          <w:i/>
          <w:iCs/>
        </w:rPr>
        <w:t>III</w:t>
      </w:r>
      <w:r w:rsidRPr="006703CC">
        <w:rPr>
          <w:i/>
          <w:iCs/>
          <w:spacing w:val="-2"/>
        </w:rPr>
        <w:t xml:space="preserve"> </w:t>
      </w:r>
      <w:r w:rsidRPr="006703CC">
        <w:rPr>
          <w:i/>
          <w:iCs/>
        </w:rPr>
        <w:t>studies,</w:t>
      </w:r>
      <w:r w:rsidRPr="006703CC">
        <w:rPr>
          <w:i/>
          <w:iCs/>
          <w:spacing w:val="-4"/>
        </w:rPr>
        <w:t xml:space="preserve"> </w:t>
      </w:r>
      <w:r w:rsidRPr="006703CC">
        <w:rPr>
          <w:i/>
          <w:iCs/>
        </w:rPr>
        <w:t xml:space="preserve">and for the final commercial formulation. </w:t>
      </w:r>
      <w:r w:rsidR="00704437" w:rsidRPr="006703CC">
        <w:rPr>
          <w:i/>
          <w:iCs/>
        </w:rPr>
        <w:t>CD</w:t>
      </w:r>
      <w:r w:rsidRPr="006703CC">
        <w:rPr>
          <w:i/>
          <w:iCs/>
        </w:rPr>
        <w:t xml:space="preserve"> AUC values for both LCIG and </w:t>
      </w:r>
      <w:r w:rsidR="00A175F6" w:rsidRPr="006703CC">
        <w:rPr>
          <w:i/>
          <w:iCs/>
        </w:rPr>
        <w:t>foslevodopa</w:t>
      </w:r>
      <w:r w:rsidRPr="006703CC">
        <w:rPr>
          <w:i/>
          <w:iCs/>
        </w:rPr>
        <w:t xml:space="preserve">/foscarbidopa were very similar in the study, demonstrating that the 20:1 </w:t>
      </w:r>
      <w:r w:rsidR="00A175F6" w:rsidRPr="006703CC">
        <w:rPr>
          <w:i/>
          <w:iCs/>
        </w:rPr>
        <w:t>foslevodopa</w:t>
      </w:r>
      <w:r w:rsidRPr="006703CC">
        <w:rPr>
          <w:i/>
          <w:iCs/>
        </w:rPr>
        <w:t xml:space="preserve"> to foscarbidopa dosing ratio is appropriate.</w:t>
      </w:r>
    </w:p>
    <w:p w14:paraId="07EF7AD3" w14:textId="77777777" w:rsidR="00221078" w:rsidRDefault="00221078" w:rsidP="006703CC">
      <w:pPr>
        <w:pStyle w:val="Heading5"/>
      </w:pPr>
      <w:bookmarkStart w:id="52" w:name="Dose_proportionality"/>
      <w:bookmarkEnd w:id="52"/>
      <w:r>
        <w:t>Dose</w:t>
      </w:r>
      <w:r>
        <w:rPr>
          <w:spacing w:val="-5"/>
        </w:rPr>
        <w:t xml:space="preserve"> </w:t>
      </w:r>
      <w:r w:rsidRPr="006703CC">
        <w:t>proportionality</w:t>
      </w:r>
    </w:p>
    <w:p w14:paraId="09479A04" w14:textId="3FCACA39" w:rsidR="00221078" w:rsidRDefault="00221078" w:rsidP="006703CC">
      <w:r>
        <w:t>Following</w:t>
      </w:r>
      <w:r>
        <w:rPr>
          <w:spacing w:val="-3"/>
        </w:rPr>
        <w:t xml:space="preserve"> </w:t>
      </w:r>
      <w:r w:rsidR="00A175F6">
        <w:t>foslevodopa</w:t>
      </w:r>
      <w:r>
        <w:t>/foscarbidopa</w:t>
      </w:r>
      <w:r>
        <w:rPr>
          <w:spacing w:val="-4"/>
        </w:rPr>
        <w:t xml:space="preserve"> </w:t>
      </w:r>
      <w:r>
        <w:t>infusions</w:t>
      </w:r>
      <w:r>
        <w:rPr>
          <w:spacing w:val="-5"/>
        </w:rPr>
        <w:t xml:space="preserve"> </w:t>
      </w:r>
      <w:r>
        <w:t>in</w:t>
      </w:r>
      <w:r>
        <w:rPr>
          <w:spacing w:val="-5"/>
        </w:rPr>
        <w:t xml:space="preserve"> </w:t>
      </w:r>
      <w:r>
        <w:t>Study</w:t>
      </w:r>
      <w:r>
        <w:rPr>
          <w:spacing w:val="-5"/>
        </w:rPr>
        <w:t xml:space="preserve"> </w:t>
      </w:r>
      <w:r>
        <w:t>M15-738,</w:t>
      </w:r>
      <w:r>
        <w:rPr>
          <w:spacing w:val="-4"/>
        </w:rPr>
        <w:t xml:space="preserve"> </w:t>
      </w:r>
      <w:r>
        <w:t>based</w:t>
      </w:r>
      <w:r>
        <w:rPr>
          <w:spacing w:val="-4"/>
        </w:rPr>
        <w:t xml:space="preserve"> </w:t>
      </w:r>
      <w:r>
        <w:t>on</w:t>
      </w:r>
      <w:r>
        <w:rPr>
          <w:spacing w:val="-5"/>
        </w:rPr>
        <w:t xml:space="preserve"> </w:t>
      </w:r>
      <w:r>
        <w:t>PK</w:t>
      </w:r>
      <w:r>
        <w:rPr>
          <w:spacing w:val="-4"/>
        </w:rPr>
        <w:t xml:space="preserve"> </w:t>
      </w:r>
      <w:r>
        <w:t>parameters,</w:t>
      </w:r>
      <w:r>
        <w:rPr>
          <w:spacing w:val="-3"/>
        </w:rPr>
        <w:t xml:space="preserve"> </w:t>
      </w:r>
      <w:r w:rsidR="00704437">
        <w:t>LD</w:t>
      </w:r>
      <w:r>
        <w:t xml:space="preserve"> and </w:t>
      </w:r>
      <w:r w:rsidR="00704437">
        <w:t>CD</w:t>
      </w:r>
      <w:r>
        <w:t xml:space="preserve"> exhibited a dose-proportional increase in exposure from 960 mg/48 mg to 4800 mg/240 mg </w:t>
      </w:r>
      <w:r w:rsidR="00A175F6">
        <w:t>foslevodopa</w:t>
      </w:r>
      <w:r>
        <w:t>/foscarbidopa.</w:t>
      </w:r>
    </w:p>
    <w:p w14:paraId="75BDF08B" w14:textId="77777777" w:rsidR="00221078" w:rsidRDefault="00221078" w:rsidP="006217B2">
      <w:pPr>
        <w:pStyle w:val="Heading5"/>
      </w:pPr>
      <w:bookmarkStart w:id="53" w:name="Distribution"/>
      <w:bookmarkEnd w:id="53"/>
      <w:r>
        <w:t>Distribution</w:t>
      </w:r>
    </w:p>
    <w:p w14:paraId="71797A5A" w14:textId="6C8C8952" w:rsidR="00F35180" w:rsidRDefault="00221078" w:rsidP="00F35180">
      <w:pPr>
        <w:rPr>
          <w:spacing w:val="-2"/>
        </w:rPr>
      </w:pPr>
      <w:r>
        <w:t>No</w:t>
      </w:r>
      <w:r>
        <w:rPr>
          <w:spacing w:val="-3"/>
        </w:rPr>
        <w:t xml:space="preserve"> </w:t>
      </w:r>
      <w:r>
        <w:t>volume</w:t>
      </w:r>
      <w:r>
        <w:rPr>
          <w:spacing w:val="-5"/>
        </w:rPr>
        <w:t xml:space="preserve"> </w:t>
      </w:r>
      <w:r>
        <w:t>of</w:t>
      </w:r>
      <w:r>
        <w:rPr>
          <w:spacing w:val="-3"/>
        </w:rPr>
        <w:t xml:space="preserve"> </w:t>
      </w:r>
      <w:r>
        <w:t>distribution</w:t>
      </w:r>
      <w:r>
        <w:rPr>
          <w:spacing w:val="-4"/>
        </w:rPr>
        <w:t xml:space="preserve"> </w:t>
      </w:r>
      <w:r>
        <w:t>data</w:t>
      </w:r>
      <w:r>
        <w:rPr>
          <w:spacing w:val="-3"/>
        </w:rPr>
        <w:t xml:space="preserve"> </w:t>
      </w:r>
      <w:r>
        <w:t>was</w:t>
      </w:r>
      <w:r>
        <w:rPr>
          <w:spacing w:val="-2"/>
        </w:rPr>
        <w:t xml:space="preserve"> </w:t>
      </w:r>
      <w:r>
        <w:t>provided</w:t>
      </w:r>
      <w:r>
        <w:rPr>
          <w:spacing w:val="-3"/>
        </w:rPr>
        <w:t xml:space="preserve"> </w:t>
      </w:r>
      <w:r>
        <w:t>for</w:t>
      </w:r>
      <w:r>
        <w:rPr>
          <w:spacing w:val="-3"/>
        </w:rPr>
        <w:t xml:space="preserve"> </w:t>
      </w:r>
      <w:proofErr w:type="spellStart"/>
      <w:r w:rsidR="00A175F6">
        <w:t>foslevodopa</w:t>
      </w:r>
      <w:proofErr w:type="spellEnd"/>
      <w:r>
        <w:rPr>
          <w:spacing w:val="-3"/>
        </w:rPr>
        <w:t xml:space="preserve"> </w:t>
      </w:r>
      <w:r>
        <w:t>and</w:t>
      </w:r>
      <w:r>
        <w:rPr>
          <w:spacing w:val="-3"/>
        </w:rPr>
        <w:t xml:space="preserve"> </w:t>
      </w:r>
      <w:proofErr w:type="spellStart"/>
      <w:r>
        <w:t>foscarbidopa</w:t>
      </w:r>
      <w:proofErr w:type="spellEnd"/>
      <w:r>
        <w:t>.</w:t>
      </w:r>
    </w:p>
    <w:p w14:paraId="12C1ECE0" w14:textId="0DE89718" w:rsidR="00221078" w:rsidRDefault="00221078" w:rsidP="006703CC">
      <w:r>
        <w:t>The</w:t>
      </w:r>
      <w:r>
        <w:rPr>
          <w:spacing w:val="-3"/>
        </w:rPr>
        <w:t xml:space="preserve"> </w:t>
      </w:r>
      <w:r>
        <w:t xml:space="preserve">evaluator considered </w:t>
      </w:r>
      <w:r w:rsidR="006A5156">
        <w:t>it</w:t>
      </w:r>
      <w:r>
        <w:t xml:space="preserve"> reasonable to extrapolate the volume of distribution </w:t>
      </w:r>
      <w:r w:rsidR="00704437">
        <w:t>LD</w:t>
      </w:r>
      <w:r>
        <w:t xml:space="preserve"> and </w:t>
      </w:r>
      <w:r w:rsidR="00704437">
        <w:t>CD</w:t>
      </w:r>
      <w:r>
        <w:t xml:space="preserve"> to </w:t>
      </w:r>
      <w:r w:rsidR="00A175F6">
        <w:t>foslevodopa</w:t>
      </w:r>
      <w:r>
        <w:t xml:space="preserve"> and foscarbidopa as these prodrugs will eventually be converted to </w:t>
      </w:r>
      <w:r w:rsidR="00A43A73">
        <w:t>LD</w:t>
      </w:r>
      <w:r>
        <w:t xml:space="preserve"> and </w:t>
      </w:r>
      <w:r w:rsidR="00A43A73">
        <w:t>CD</w:t>
      </w:r>
      <w:r>
        <w:t>.</w:t>
      </w:r>
    </w:p>
    <w:p w14:paraId="52BABB0E" w14:textId="77777777" w:rsidR="00221078" w:rsidRDefault="00221078" w:rsidP="006217B2">
      <w:pPr>
        <w:pStyle w:val="Heading5"/>
      </w:pPr>
      <w:bookmarkStart w:id="54" w:name="Plasma_protein_binding"/>
      <w:bookmarkEnd w:id="54"/>
      <w:r>
        <w:t>Plasma</w:t>
      </w:r>
      <w:r>
        <w:rPr>
          <w:spacing w:val="-6"/>
        </w:rPr>
        <w:t xml:space="preserve"> </w:t>
      </w:r>
      <w:r>
        <w:t>protein</w:t>
      </w:r>
      <w:r>
        <w:rPr>
          <w:spacing w:val="-4"/>
        </w:rPr>
        <w:t xml:space="preserve"> </w:t>
      </w:r>
      <w:r>
        <w:rPr>
          <w:spacing w:val="-2"/>
        </w:rPr>
        <w:t>binding</w:t>
      </w:r>
    </w:p>
    <w:p w14:paraId="60A6F481" w14:textId="77777777" w:rsidR="00221078" w:rsidRDefault="00221078" w:rsidP="00F35180">
      <w:r>
        <w:t>No</w:t>
      </w:r>
      <w:r w:rsidRPr="00F35180">
        <w:t xml:space="preserve"> </w:t>
      </w:r>
      <w:r>
        <w:t>clinical</w:t>
      </w:r>
      <w:r w:rsidRPr="00F35180">
        <w:t xml:space="preserve"> </w:t>
      </w:r>
      <w:r>
        <w:t>studies</w:t>
      </w:r>
      <w:r w:rsidRPr="00F35180">
        <w:t xml:space="preserve"> </w:t>
      </w:r>
      <w:r>
        <w:t>assessed</w:t>
      </w:r>
      <w:r w:rsidRPr="00F35180">
        <w:t xml:space="preserve"> </w:t>
      </w:r>
      <w:r>
        <w:t>protein</w:t>
      </w:r>
      <w:r w:rsidRPr="00F35180">
        <w:t xml:space="preserve"> binding.</w:t>
      </w:r>
    </w:p>
    <w:p w14:paraId="7FFEF2B1" w14:textId="49437AE3" w:rsidR="00221078" w:rsidRDefault="00221078" w:rsidP="006703CC">
      <w:r>
        <w:t>In</w:t>
      </w:r>
      <w:r w:rsidRPr="00F35180">
        <w:t xml:space="preserve"> </w:t>
      </w:r>
      <w:r>
        <w:t>vitro</w:t>
      </w:r>
      <w:r w:rsidRPr="00F35180">
        <w:t xml:space="preserve"> </w:t>
      </w:r>
      <w:r>
        <w:t>studies</w:t>
      </w:r>
      <w:r w:rsidRPr="00F35180">
        <w:t xml:space="preserve"> </w:t>
      </w:r>
      <w:r>
        <w:t>A-1591706</w:t>
      </w:r>
      <w:r w:rsidRPr="00F35180">
        <w:t xml:space="preserve"> </w:t>
      </w:r>
      <w:r>
        <w:t>(</w:t>
      </w:r>
      <w:r w:rsidR="00A175F6">
        <w:t>foslevodopa</w:t>
      </w:r>
      <w:r>
        <w:t>)</w:t>
      </w:r>
      <w:r w:rsidRPr="00F35180">
        <w:t xml:space="preserve"> </w:t>
      </w:r>
      <w:r>
        <w:t>and</w:t>
      </w:r>
      <w:r w:rsidRPr="00F35180">
        <w:t xml:space="preserve"> </w:t>
      </w:r>
      <w:r>
        <w:t>A-1610308</w:t>
      </w:r>
      <w:r w:rsidRPr="00F35180">
        <w:t xml:space="preserve"> </w:t>
      </w:r>
      <w:r>
        <w:t>(foscarbidopa)</w:t>
      </w:r>
      <w:r w:rsidRPr="00F35180">
        <w:t xml:space="preserve"> </w:t>
      </w:r>
      <w:r>
        <w:t>demonstrated</w:t>
      </w:r>
      <w:r w:rsidRPr="00F35180">
        <w:t xml:space="preserve"> </w:t>
      </w:r>
      <w:r>
        <w:t xml:space="preserve">28% plasma protein binding in human tissue. No concentration-dependent protein binding was observed for either </w:t>
      </w:r>
      <w:r w:rsidR="00A175F6">
        <w:t>foslevodopa</w:t>
      </w:r>
      <w:r>
        <w:t xml:space="preserve"> or foscarbidopa. The low protein binding values for </w:t>
      </w:r>
      <w:r w:rsidR="00A175F6">
        <w:t>foslevodopa</w:t>
      </w:r>
      <w:r>
        <w:t xml:space="preserve"> and foscarbidopa were considered as generally consistent with low </w:t>
      </w:r>
      <w:r w:rsidR="00A53430">
        <w:t>L</w:t>
      </w:r>
      <w:r w:rsidR="00D269D5">
        <w:t>D</w:t>
      </w:r>
      <w:r>
        <w:t xml:space="preserve"> and </w:t>
      </w:r>
      <w:r w:rsidR="00D269D5">
        <w:t>CD</w:t>
      </w:r>
      <w:r>
        <w:t xml:space="preserve"> protein binding values reported following LGIC administration</w:t>
      </w:r>
      <w:r w:rsidR="007335AD">
        <w:t>.</w:t>
      </w:r>
      <w:bookmarkStart w:id="55" w:name="Tissue_distribution"/>
      <w:bookmarkEnd w:id="55"/>
    </w:p>
    <w:p w14:paraId="1E357F98" w14:textId="77777777" w:rsidR="00221078" w:rsidRDefault="00221078" w:rsidP="006217B2">
      <w:pPr>
        <w:pStyle w:val="Heading5"/>
      </w:pPr>
      <w:r>
        <w:t>Tissue</w:t>
      </w:r>
      <w:r>
        <w:rPr>
          <w:spacing w:val="-3"/>
        </w:rPr>
        <w:t xml:space="preserve"> </w:t>
      </w:r>
      <w:r>
        <w:t>distribution</w:t>
      </w:r>
    </w:p>
    <w:p w14:paraId="056C9FA6" w14:textId="529B3451" w:rsidR="00221078" w:rsidRDefault="00221078" w:rsidP="006703CC">
      <w:r>
        <w:t>Steady</w:t>
      </w:r>
      <w:r>
        <w:rPr>
          <w:spacing w:val="-4"/>
        </w:rPr>
        <w:t xml:space="preserve"> </w:t>
      </w:r>
      <w:r>
        <w:t>state</w:t>
      </w:r>
      <w:r>
        <w:rPr>
          <w:spacing w:val="-3"/>
        </w:rPr>
        <w:t xml:space="preserve"> </w:t>
      </w:r>
      <w:r w:rsidR="002C4F1B">
        <w:t>LD</w:t>
      </w:r>
      <w:r>
        <w:rPr>
          <w:spacing w:val="-3"/>
        </w:rPr>
        <w:t xml:space="preserve"> </w:t>
      </w:r>
      <w:r>
        <w:t>exposure</w:t>
      </w:r>
      <w:r>
        <w:rPr>
          <w:spacing w:val="-5"/>
        </w:rPr>
        <w:t xml:space="preserve"> </w:t>
      </w:r>
      <w:r>
        <w:t>was</w:t>
      </w:r>
      <w:r>
        <w:rPr>
          <w:spacing w:val="-2"/>
        </w:rPr>
        <w:t xml:space="preserve"> </w:t>
      </w:r>
      <w:r>
        <w:t>achieved</w:t>
      </w:r>
      <w:r>
        <w:rPr>
          <w:spacing w:val="-3"/>
        </w:rPr>
        <w:t xml:space="preserve"> </w:t>
      </w:r>
      <w:r>
        <w:t>within</w:t>
      </w:r>
      <w:r>
        <w:rPr>
          <w:spacing w:val="-4"/>
        </w:rPr>
        <w:t xml:space="preserve"> </w:t>
      </w:r>
      <w:r>
        <w:t>2</w:t>
      </w:r>
      <w:r>
        <w:rPr>
          <w:spacing w:val="-3"/>
        </w:rPr>
        <w:t xml:space="preserve"> </w:t>
      </w:r>
      <w:r>
        <w:t>hours</w:t>
      </w:r>
      <w:r>
        <w:rPr>
          <w:spacing w:val="-2"/>
        </w:rPr>
        <w:t xml:space="preserve"> </w:t>
      </w:r>
      <w:r>
        <w:t>after</w:t>
      </w:r>
      <w:r>
        <w:rPr>
          <w:spacing w:val="-3"/>
        </w:rPr>
        <w:t xml:space="preserve"> </w:t>
      </w:r>
      <w:r w:rsidR="00A175F6">
        <w:t>foslevodopa</w:t>
      </w:r>
      <w:r>
        <w:t>/foscarbidopa</w:t>
      </w:r>
      <w:r>
        <w:rPr>
          <w:spacing w:val="-3"/>
        </w:rPr>
        <w:t xml:space="preserve"> </w:t>
      </w:r>
      <w:r>
        <w:t>infusion as a loading dose and followed by continuous infusion or achieved after 12 to 16 h without a loading dose.</w:t>
      </w:r>
    </w:p>
    <w:p w14:paraId="1D7D88CB" w14:textId="77777777" w:rsidR="00221078" w:rsidRDefault="00221078" w:rsidP="006217B2">
      <w:pPr>
        <w:pStyle w:val="Heading5"/>
      </w:pPr>
      <w:bookmarkStart w:id="56" w:name="Metabolism"/>
      <w:bookmarkEnd w:id="56"/>
      <w:r>
        <w:t>Metabolism</w:t>
      </w:r>
    </w:p>
    <w:p w14:paraId="73F58559" w14:textId="4959975A" w:rsidR="00221078" w:rsidRDefault="00A175F6" w:rsidP="006703CC">
      <w:r>
        <w:t>Foslevodopa</w:t>
      </w:r>
      <w:r w:rsidR="00221078">
        <w:t xml:space="preserve"> and foscarbidopa are prodrugs that are rapidly converted by ALP into </w:t>
      </w:r>
      <w:r w:rsidR="00D269D5">
        <w:t>LD</w:t>
      </w:r>
      <w:r w:rsidR="00221078">
        <w:t xml:space="preserve"> and </w:t>
      </w:r>
      <w:r w:rsidR="00D269D5">
        <w:t>C</w:t>
      </w:r>
      <w:r w:rsidR="0095641A">
        <w:t>D</w:t>
      </w:r>
      <w:r w:rsidR="00221078">
        <w:t xml:space="preserve">, respectively. Since </w:t>
      </w:r>
      <w:r w:rsidR="00D269D5">
        <w:t>LD</w:t>
      </w:r>
      <w:r w:rsidR="00221078">
        <w:t xml:space="preserve"> is co-administered with </w:t>
      </w:r>
      <w:r w:rsidR="00D269D5">
        <w:t>CD</w:t>
      </w:r>
      <w:r w:rsidR="00221078">
        <w:t xml:space="preserve">, </w:t>
      </w:r>
      <w:r>
        <w:t>L</w:t>
      </w:r>
      <w:r w:rsidR="0095641A">
        <w:t>D</w:t>
      </w:r>
      <w:r w:rsidR="00221078">
        <w:t xml:space="preserve"> is not eliminated via metabolism of the aromatic</w:t>
      </w:r>
      <w:r w:rsidR="00221078">
        <w:rPr>
          <w:spacing w:val="-3"/>
        </w:rPr>
        <w:t xml:space="preserve"> </w:t>
      </w:r>
      <w:r w:rsidR="00221078">
        <w:t>amino-acid</w:t>
      </w:r>
      <w:r w:rsidR="00221078">
        <w:rPr>
          <w:spacing w:val="-4"/>
        </w:rPr>
        <w:t xml:space="preserve"> </w:t>
      </w:r>
      <w:r w:rsidR="00221078">
        <w:t>decarboxylase</w:t>
      </w:r>
      <w:r w:rsidR="00221078">
        <w:rPr>
          <w:spacing w:val="-4"/>
        </w:rPr>
        <w:t xml:space="preserve"> </w:t>
      </w:r>
      <w:r w:rsidR="00221078">
        <w:t>enzyme.</w:t>
      </w:r>
      <w:r w:rsidR="00221078">
        <w:rPr>
          <w:spacing w:val="-4"/>
        </w:rPr>
        <w:t xml:space="preserve"> </w:t>
      </w:r>
      <w:r w:rsidR="00221078">
        <w:t>Instead,</w:t>
      </w:r>
      <w:r w:rsidR="00221078">
        <w:rPr>
          <w:spacing w:val="-4"/>
        </w:rPr>
        <w:t xml:space="preserve"> </w:t>
      </w:r>
      <w:r w:rsidR="00221078">
        <w:t>metabolism</w:t>
      </w:r>
      <w:r w:rsidR="00221078">
        <w:rPr>
          <w:spacing w:val="-3"/>
        </w:rPr>
        <w:t xml:space="preserve"> </w:t>
      </w:r>
      <w:r w:rsidR="00221078">
        <w:t>occurs</w:t>
      </w:r>
      <w:r w:rsidR="00221078">
        <w:rPr>
          <w:spacing w:val="-3"/>
        </w:rPr>
        <w:t xml:space="preserve"> </w:t>
      </w:r>
      <w:r w:rsidR="00221078">
        <w:t>predominantly</w:t>
      </w:r>
      <w:r w:rsidR="00221078">
        <w:rPr>
          <w:spacing w:val="-5"/>
        </w:rPr>
        <w:t xml:space="preserve"> </w:t>
      </w:r>
      <w:r w:rsidR="00221078">
        <w:t>via</w:t>
      </w:r>
      <w:r w:rsidR="00221078">
        <w:rPr>
          <w:spacing w:val="-4"/>
        </w:rPr>
        <w:t xml:space="preserve"> </w:t>
      </w:r>
      <w:r w:rsidR="00221078">
        <w:t>the catechol-O-methyl transferase enzyme system. Other routes of metabolism are transamination and oxidation.</w:t>
      </w:r>
    </w:p>
    <w:p w14:paraId="6217766F" w14:textId="77777777" w:rsidR="00221078" w:rsidRDefault="00221078" w:rsidP="006217B2">
      <w:pPr>
        <w:pStyle w:val="Heading5"/>
      </w:pPr>
      <w:bookmarkStart w:id="57" w:name="Excretion"/>
      <w:bookmarkEnd w:id="57"/>
      <w:r>
        <w:t>Excretion</w:t>
      </w:r>
    </w:p>
    <w:p w14:paraId="39277284" w14:textId="47FBAE8D" w:rsidR="00221078" w:rsidRDefault="002C4F1B" w:rsidP="006703CC">
      <w:r>
        <w:t>LD</w:t>
      </w:r>
      <w:r w:rsidR="00221078">
        <w:t>,</w:t>
      </w:r>
      <w:r w:rsidR="00221078">
        <w:rPr>
          <w:spacing w:val="-6"/>
        </w:rPr>
        <w:t xml:space="preserve"> </w:t>
      </w:r>
      <w:r>
        <w:t>CD</w:t>
      </w:r>
      <w:r w:rsidR="00221078">
        <w:rPr>
          <w:spacing w:val="-4"/>
        </w:rPr>
        <w:t xml:space="preserve"> </w:t>
      </w:r>
      <w:r w:rsidR="00221078">
        <w:t>and</w:t>
      </w:r>
      <w:r w:rsidR="00221078">
        <w:rPr>
          <w:spacing w:val="-3"/>
        </w:rPr>
        <w:t xml:space="preserve"> </w:t>
      </w:r>
      <w:r w:rsidR="00221078">
        <w:t>their</w:t>
      </w:r>
      <w:r w:rsidR="00221078">
        <w:rPr>
          <w:spacing w:val="-7"/>
        </w:rPr>
        <w:t xml:space="preserve"> </w:t>
      </w:r>
      <w:r w:rsidR="00221078">
        <w:t>metabolites</w:t>
      </w:r>
      <w:r w:rsidR="00221078">
        <w:rPr>
          <w:spacing w:val="-2"/>
        </w:rPr>
        <w:t xml:space="preserve"> </w:t>
      </w:r>
      <w:r w:rsidR="00221078">
        <w:t>are</w:t>
      </w:r>
      <w:r w:rsidR="00221078">
        <w:rPr>
          <w:spacing w:val="-4"/>
        </w:rPr>
        <w:t xml:space="preserve"> </w:t>
      </w:r>
      <w:r w:rsidR="00221078">
        <w:t>primarily</w:t>
      </w:r>
      <w:r w:rsidR="00221078">
        <w:rPr>
          <w:spacing w:val="-4"/>
        </w:rPr>
        <w:t xml:space="preserve"> </w:t>
      </w:r>
      <w:r w:rsidR="00221078">
        <w:t>excreted</w:t>
      </w:r>
      <w:r w:rsidR="00221078">
        <w:rPr>
          <w:spacing w:val="-6"/>
        </w:rPr>
        <w:t xml:space="preserve"> </w:t>
      </w:r>
      <w:r w:rsidR="00221078">
        <w:t>in</w:t>
      </w:r>
      <w:r w:rsidR="00221078">
        <w:rPr>
          <w:spacing w:val="-4"/>
        </w:rPr>
        <w:t xml:space="preserve"> </w:t>
      </w:r>
      <w:r w:rsidR="00221078">
        <w:rPr>
          <w:spacing w:val="-2"/>
        </w:rPr>
        <w:t>urine.</w:t>
      </w:r>
    </w:p>
    <w:p w14:paraId="5A05C851" w14:textId="77777777" w:rsidR="00221078" w:rsidRDefault="00221078" w:rsidP="005865A5">
      <w:pPr>
        <w:pStyle w:val="Heading5"/>
      </w:pPr>
      <w:bookmarkStart w:id="58" w:name="Pharmacokinetics_in_the_target_populatio"/>
      <w:bookmarkEnd w:id="58"/>
      <w:r>
        <w:t>Pharmacokinetics</w:t>
      </w:r>
      <w:r>
        <w:rPr>
          <w:spacing w:val="-8"/>
        </w:rPr>
        <w:t xml:space="preserve"> </w:t>
      </w:r>
      <w:r>
        <w:t>in</w:t>
      </w:r>
      <w:r>
        <w:rPr>
          <w:spacing w:val="-6"/>
        </w:rPr>
        <w:t xml:space="preserve"> </w:t>
      </w:r>
      <w:r>
        <w:t>the</w:t>
      </w:r>
      <w:r>
        <w:rPr>
          <w:spacing w:val="-7"/>
        </w:rPr>
        <w:t xml:space="preserve"> </w:t>
      </w:r>
      <w:r>
        <w:t>target</w:t>
      </w:r>
      <w:r>
        <w:rPr>
          <w:spacing w:val="-5"/>
        </w:rPr>
        <w:t xml:space="preserve"> </w:t>
      </w:r>
      <w:r>
        <w:rPr>
          <w:spacing w:val="-2"/>
        </w:rPr>
        <w:t>population</w:t>
      </w:r>
    </w:p>
    <w:p w14:paraId="2AE2A052" w14:textId="59BA5BBF" w:rsidR="00221078" w:rsidRDefault="00221078" w:rsidP="006703CC">
      <w:r>
        <w:t>Findings</w:t>
      </w:r>
      <w:r>
        <w:rPr>
          <w:spacing w:val="-1"/>
        </w:rPr>
        <w:t xml:space="preserve"> </w:t>
      </w:r>
      <w:r>
        <w:t>from</w:t>
      </w:r>
      <w:r>
        <w:rPr>
          <w:spacing w:val="-3"/>
        </w:rPr>
        <w:t xml:space="preserve"> </w:t>
      </w:r>
      <w:r>
        <w:t>Study</w:t>
      </w:r>
      <w:r>
        <w:rPr>
          <w:spacing w:val="-3"/>
        </w:rPr>
        <w:t xml:space="preserve"> </w:t>
      </w:r>
      <w:r>
        <w:t>M15-738</w:t>
      </w:r>
      <w:r>
        <w:rPr>
          <w:spacing w:val="-2"/>
        </w:rPr>
        <w:t xml:space="preserve"> </w:t>
      </w:r>
      <w:r>
        <w:t>in</w:t>
      </w:r>
      <w:r>
        <w:rPr>
          <w:spacing w:val="-3"/>
        </w:rPr>
        <w:t xml:space="preserve"> </w:t>
      </w:r>
      <w:r>
        <w:t>PD</w:t>
      </w:r>
      <w:r>
        <w:rPr>
          <w:spacing w:val="-2"/>
        </w:rPr>
        <w:t xml:space="preserve"> </w:t>
      </w:r>
      <w:r>
        <w:t>patients</w:t>
      </w:r>
      <w:r>
        <w:rPr>
          <w:spacing w:val="-3"/>
        </w:rPr>
        <w:t xml:space="preserve"> </w:t>
      </w:r>
      <w:r>
        <w:t>suggest</w:t>
      </w:r>
      <w:r>
        <w:rPr>
          <w:spacing w:val="-2"/>
        </w:rPr>
        <w:t xml:space="preserve"> </w:t>
      </w:r>
      <w:r>
        <w:t>that</w:t>
      </w:r>
      <w:r>
        <w:rPr>
          <w:spacing w:val="-2"/>
        </w:rPr>
        <w:t xml:space="preserve"> </w:t>
      </w:r>
      <w:r>
        <w:t>stable</w:t>
      </w:r>
      <w:r>
        <w:rPr>
          <w:spacing w:val="-2"/>
        </w:rPr>
        <w:t xml:space="preserve"> </w:t>
      </w:r>
      <w:r w:rsidR="00A175F6">
        <w:t>L</w:t>
      </w:r>
      <w:r w:rsidR="0095641A">
        <w:t>D</w:t>
      </w:r>
      <w:r>
        <w:rPr>
          <w:spacing w:val="-2"/>
        </w:rPr>
        <w:t xml:space="preserve"> </w:t>
      </w:r>
      <w:r>
        <w:t>and</w:t>
      </w:r>
      <w:r>
        <w:rPr>
          <w:spacing w:val="-4"/>
        </w:rPr>
        <w:t xml:space="preserve"> </w:t>
      </w:r>
      <w:r w:rsidR="008C163E">
        <w:t>C</w:t>
      </w:r>
      <w:r w:rsidR="0095641A">
        <w:t xml:space="preserve">D </w:t>
      </w:r>
      <w:r>
        <w:t>exposures</w:t>
      </w:r>
      <w:r>
        <w:rPr>
          <w:spacing w:val="-1"/>
        </w:rPr>
        <w:t xml:space="preserve"> </w:t>
      </w:r>
      <w:r>
        <w:t>were observed and maintained for the duration of the study, including at steady-state.</w:t>
      </w:r>
    </w:p>
    <w:p w14:paraId="532D3BE9" w14:textId="73513AD5" w:rsidR="00221078" w:rsidRDefault="00221078" w:rsidP="006703CC">
      <w:r>
        <w:t>PK</w:t>
      </w:r>
      <w:r>
        <w:rPr>
          <w:spacing w:val="-3"/>
        </w:rPr>
        <w:t xml:space="preserve"> </w:t>
      </w:r>
      <w:r>
        <w:t>results</w:t>
      </w:r>
      <w:r>
        <w:rPr>
          <w:spacing w:val="-2"/>
        </w:rPr>
        <w:t xml:space="preserve"> </w:t>
      </w:r>
      <w:r>
        <w:t>from</w:t>
      </w:r>
      <w:r>
        <w:rPr>
          <w:spacing w:val="-4"/>
        </w:rPr>
        <w:t xml:space="preserve"> </w:t>
      </w:r>
      <w:r>
        <w:t>healthy</w:t>
      </w:r>
      <w:r>
        <w:rPr>
          <w:spacing w:val="-4"/>
        </w:rPr>
        <w:t xml:space="preserve"> </w:t>
      </w:r>
      <w:r>
        <w:t>volunteers</w:t>
      </w:r>
      <w:r>
        <w:rPr>
          <w:spacing w:val="-2"/>
        </w:rPr>
        <w:t xml:space="preserve"> </w:t>
      </w:r>
      <w:r>
        <w:t>(M15-733,</w:t>
      </w:r>
      <w:r>
        <w:rPr>
          <w:spacing w:val="-3"/>
        </w:rPr>
        <w:t xml:space="preserve"> </w:t>
      </w:r>
      <w:r>
        <w:t>Part</w:t>
      </w:r>
      <w:r>
        <w:rPr>
          <w:spacing w:val="-6"/>
        </w:rPr>
        <w:t xml:space="preserve"> </w:t>
      </w:r>
      <w:r>
        <w:t>4)</w:t>
      </w:r>
      <w:r>
        <w:rPr>
          <w:spacing w:val="-3"/>
        </w:rPr>
        <w:t xml:space="preserve"> </w:t>
      </w:r>
      <w:r>
        <w:t>and</w:t>
      </w:r>
      <w:r>
        <w:rPr>
          <w:spacing w:val="-3"/>
        </w:rPr>
        <w:t xml:space="preserve"> </w:t>
      </w:r>
      <w:r>
        <w:t>PD</w:t>
      </w:r>
      <w:r>
        <w:rPr>
          <w:spacing w:val="-3"/>
        </w:rPr>
        <w:t xml:space="preserve"> </w:t>
      </w:r>
      <w:r>
        <w:t>patients</w:t>
      </w:r>
      <w:r>
        <w:rPr>
          <w:spacing w:val="-2"/>
        </w:rPr>
        <w:t xml:space="preserve"> </w:t>
      </w:r>
      <w:r>
        <w:t>(M15-738,</w:t>
      </w:r>
      <w:r>
        <w:rPr>
          <w:spacing w:val="-3"/>
        </w:rPr>
        <w:t xml:space="preserve"> </w:t>
      </w:r>
      <w:r>
        <w:t>Group</w:t>
      </w:r>
      <w:r>
        <w:rPr>
          <w:spacing w:val="-3"/>
        </w:rPr>
        <w:t xml:space="preserve"> </w:t>
      </w:r>
      <w:r>
        <w:t>5),</w:t>
      </w:r>
      <w:r>
        <w:rPr>
          <w:spacing w:val="-3"/>
        </w:rPr>
        <w:t xml:space="preserve"> </w:t>
      </w:r>
      <w:r>
        <w:t xml:space="preserve">who were administered with the same </w:t>
      </w:r>
      <w:r w:rsidR="00A175F6">
        <w:t>foslevodopa</w:t>
      </w:r>
      <w:r>
        <w:t xml:space="preserve">/foscarbidopa SC loading dose and SC maintenance dose over a 72-h period had comparable steady-state </w:t>
      </w:r>
      <w:r w:rsidR="00A175F6">
        <w:t>L</w:t>
      </w:r>
      <w:r w:rsidR="0095641A">
        <w:t>D</w:t>
      </w:r>
      <w:r>
        <w:t xml:space="preserve"> and </w:t>
      </w:r>
      <w:r w:rsidR="008C163E">
        <w:t>C</w:t>
      </w:r>
      <w:r w:rsidR="0095641A">
        <w:t xml:space="preserve">D </w:t>
      </w:r>
      <w:r>
        <w:t>exposures.</w:t>
      </w:r>
    </w:p>
    <w:p w14:paraId="0960367C" w14:textId="0DF85F96" w:rsidR="00221078" w:rsidRDefault="00221078" w:rsidP="00E12F19">
      <w:r>
        <w:t>PK</w:t>
      </w:r>
      <w:r>
        <w:rPr>
          <w:spacing w:val="-3"/>
        </w:rPr>
        <w:t xml:space="preserve"> </w:t>
      </w:r>
      <w:r>
        <w:t>of</w:t>
      </w:r>
      <w:r>
        <w:rPr>
          <w:spacing w:val="-3"/>
        </w:rPr>
        <w:t xml:space="preserve"> </w:t>
      </w:r>
      <w:r w:rsidR="00A175F6">
        <w:t>foslevodopa</w:t>
      </w:r>
      <w:r>
        <w:t>/foscarbidopa</w:t>
      </w:r>
      <w:r>
        <w:rPr>
          <w:spacing w:val="-3"/>
        </w:rPr>
        <w:t xml:space="preserve"> </w:t>
      </w:r>
      <w:r>
        <w:t>in</w:t>
      </w:r>
      <w:r>
        <w:rPr>
          <w:spacing w:val="-6"/>
        </w:rPr>
        <w:t xml:space="preserve"> </w:t>
      </w:r>
      <w:r>
        <w:t>subjects</w:t>
      </w:r>
      <w:r>
        <w:rPr>
          <w:spacing w:val="-2"/>
        </w:rPr>
        <w:t xml:space="preserve"> </w:t>
      </w:r>
      <w:r>
        <w:t>with</w:t>
      </w:r>
      <w:r>
        <w:rPr>
          <w:spacing w:val="-2"/>
        </w:rPr>
        <w:t xml:space="preserve"> </w:t>
      </w:r>
      <w:r>
        <w:t>renal</w:t>
      </w:r>
      <w:r>
        <w:rPr>
          <w:spacing w:val="-3"/>
        </w:rPr>
        <w:t xml:space="preserve"> </w:t>
      </w:r>
      <w:r>
        <w:t>or</w:t>
      </w:r>
      <w:r>
        <w:rPr>
          <w:spacing w:val="-3"/>
        </w:rPr>
        <w:t xml:space="preserve"> </w:t>
      </w:r>
      <w:r>
        <w:t>hepatic</w:t>
      </w:r>
      <w:r>
        <w:rPr>
          <w:spacing w:val="-4"/>
        </w:rPr>
        <w:t xml:space="preserve"> </w:t>
      </w:r>
      <w:r>
        <w:t>impairment</w:t>
      </w:r>
      <w:r>
        <w:rPr>
          <w:spacing w:val="-6"/>
        </w:rPr>
        <w:t xml:space="preserve"> </w:t>
      </w:r>
      <w:r>
        <w:t>has</w:t>
      </w:r>
      <w:r>
        <w:rPr>
          <w:spacing w:val="-2"/>
        </w:rPr>
        <w:t xml:space="preserve"> </w:t>
      </w:r>
      <w:r>
        <w:t>not</w:t>
      </w:r>
      <w:r>
        <w:rPr>
          <w:spacing w:val="-3"/>
        </w:rPr>
        <w:t xml:space="preserve"> </w:t>
      </w:r>
      <w:r>
        <w:t xml:space="preserve">been </w:t>
      </w:r>
      <w:r>
        <w:rPr>
          <w:spacing w:val="-2"/>
        </w:rPr>
        <w:t>established.</w:t>
      </w:r>
    </w:p>
    <w:p w14:paraId="4B16E88C" w14:textId="656B5BAC" w:rsidR="00221078" w:rsidRDefault="00221078" w:rsidP="00E12F19">
      <w:r>
        <w:t>Specific</w:t>
      </w:r>
      <w:r>
        <w:rPr>
          <w:spacing w:val="-5"/>
        </w:rPr>
        <w:t xml:space="preserve"> </w:t>
      </w:r>
      <w:r>
        <w:t>correlation</w:t>
      </w:r>
      <w:r>
        <w:rPr>
          <w:spacing w:val="-5"/>
        </w:rPr>
        <w:t xml:space="preserve"> </w:t>
      </w:r>
      <w:r>
        <w:t>between</w:t>
      </w:r>
      <w:r>
        <w:rPr>
          <w:spacing w:val="-5"/>
        </w:rPr>
        <w:t xml:space="preserve"> </w:t>
      </w:r>
      <w:r>
        <w:t>age</w:t>
      </w:r>
      <w:r>
        <w:rPr>
          <w:spacing w:val="-4"/>
        </w:rPr>
        <w:t xml:space="preserve"> </w:t>
      </w:r>
      <w:r>
        <w:t>and</w:t>
      </w:r>
      <w:r>
        <w:rPr>
          <w:spacing w:val="-4"/>
        </w:rPr>
        <w:t xml:space="preserve"> </w:t>
      </w:r>
      <w:r>
        <w:t>exposure</w:t>
      </w:r>
      <w:r>
        <w:rPr>
          <w:spacing w:val="-4"/>
        </w:rPr>
        <w:t xml:space="preserve"> </w:t>
      </w:r>
      <w:r>
        <w:t>following</w:t>
      </w:r>
      <w:r>
        <w:rPr>
          <w:spacing w:val="-3"/>
        </w:rPr>
        <w:t xml:space="preserve"> </w:t>
      </w:r>
      <w:r w:rsidR="00A175F6">
        <w:t>foslevodopa</w:t>
      </w:r>
      <w:r>
        <w:t>/foscarbidopa</w:t>
      </w:r>
      <w:r>
        <w:rPr>
          <w:spacing w:val="-7"/>
        </w:rPr>
        <w:t xml:space="preserve"> </w:t>
      </w:r>
      <w:r>
        <w:t>infusion was not explored in the clinical development programme.</w:t>
      </w:r>
    </w:p>
    <w:p w14:paraId="48E410DC" w14:textId="7D82E780" w:rsidR="00221078" w:rsidRDefault="00221078" w:rsidP="00E12F19">
      <w:r>
        <w:t>The</w:t>
      </w:r>
      <w:r>
        <w:rPr>
          <w:spacing w:val="-5"/>
        </w:rPr>
        <w:t xml:space="preserve"> </w:t>
      </w:r>
      <w:r>
        <w:t>Delegate</w:t>
      </w:r>
      <w:r>
        <w:rPr>
          <w:spacing w:val="-5"/>
        </w:rPr>
        <w:t xml:space="preserve"> </w:t>
      </w:r>
      <w:r>
        <w:t>has</w:t>
      </w:r>
      <w:r>
        <w:rPr>
          <w:spacing w:val="-2"/>
        </w:rPr>
        <w:t xml:space="preserve"> </w:t>
      </w:r>
      <w:r>
        <w:t>noted</w:t>
      </w:r>
      <w:r>
        <w:rPr>
          <w:spacing w:val="-3"/>
        </w:rPr>
        <w:t xml:space="preserve"> </w:t>
      </w:r>
      <w:r>
        <w:t>that</w:t>
      </w:r>
      <w:r>
        <w:rPr>
          <w:spacing w:val="-3"/>
        </w:rPr>
        <w:t xml:space="preserve"> </w:t>
      </w:r>
      <w:r>
        <w:t>a</w:t>
      </w:r>
      <w:r>
        <w:rPr>
          <w:spacing w:val="-3"/>
        </w:rPr>
        <w:t xml:space="preserve"> </w:t>
      </w:r>
      <w:r>
        <w:t>BE</w:t>
      </w:r>
      <w:r>
        <w:rPr>
          <w:spacing w:val="-3"/>
        </w:rPr>
        <w:t xml:space="preserve"> </w:t>
      </w:r>
      <w:r>
        <w:t>study</w:t>
      </w:r>
      <w:r>
        <w:rPr>
          <w:spacing w:val="-4"/>
        </w:rPr>
        <w:t xml:space="preserve"> </w:t>
      </w:r>
      <w:r>
        <w:t>with</w:t>
      </w:r>
      <w:r>
        <w:rPr>
          <w:spacing w:val="-2"/>
        </w:rPr>
        <w:t xml:space="preserve"> </w:t>
      </w:r>
      <w:r w:rsidR="00A175F6">
        <w:t>foslevodopa</w:t>
      </w:r>
      <w:r>
        <w:t>/foscarbidopa</w:t>
      </w:r>
      <w:r>
        <w:rPr>
          <w:spacing w:val="-3"/>
        </w:rPr>
        <w:t xml:space="preserve"> </w:t>
      </w:r>
      <w:r>
        <w:t>and</w:t>
      </w:r>
      <w:r>
        <w:rPr>
          <w:spacing w:val="-3"/>
        </w:rPr>
        <w:t xml:space="preserve"> </w:t>
      </w:r>
      <w:r w:rsidR="00A175F6">
        <w:t>Duodopa</w:t>
      </w:r>
      <w:r>
        <w:rPr>
          <w:spacing w:val="-3"/>
        </w:rPr>
        <w:t xml:space="preserve"> </w:t>
      </w:r>
      <w:r>
        <w:t>LCIG conducted in patients with PD is lacking in this submission.</w:t>
      </w:r>
    </w:p>
    <w:p w14:paraId="5336E1B1" w14:textId="77777777" w:rsidR="00221078" w:rsidRDefault="00221078" w:rsidP="00A467DC">
      <w:pPr>
        <w:pStyle w:val="Heading5"/>
      </w:pPr>
      <w:bookmarkStart w:id="59" w:name="Pharmacodynamics_(PD)"/>
      <w:bookmarkEnd w:id="59"/>
      <w:r>
        <w:t>Pharmacodynamics</w:t>
      </w:r>
      <w:r>
        <w:rPr>
          <w:spacing w:val="16"/>
        </w:rPr>
        <w:t xml:space="preserve"> </w:t>
      </w:r>
      <w:r>
        <w:rPr>
          <w:spacing w:val="-4"/>
        </w:rPr>
        <w:t>(PD)</w:t>
      </w:r>
    </w:p>
    <w:p w14:paraId="0AB9B568" w14:textId="77777777" w:rsidR="00221078" w:rsidRDefault="00221078" w:rsidP="006703CC">
      <w:pPr>
        <w:pStyle w:val="Heading6"/>
      </w:pPr>
      <w:bookmarkStart w:id="60" w:name="Mechanism_of_action"/>
      <w:bookmarkEnd w:id="60"/>
      <w:r>
        <w:t>Mechanism</w:t>
      </w:r>
      <w:r>
        <w:rPr>
          <w:spacing w:val="-4"/>
        </w:rPr>
        <w:t xml:space="preserve"> </w:t>
      </w:r>
      <w:r>
        <w:t>of</w:t>
      </w:r>
      <w:r>
        <w:rPr>
          <w:spacing w:val="-3"/>
        </w:rPr>
        <w:t xml:space="preserve"> </w:t>
      </w:r>
      <w:r>
        <w:rPr>
          <w:spacing w:val="-2"/>
        </w:rPr>
        <w:t>action</w:t>
      </w:r>
    </w:p>
    <w:p w14:paraId="1171198C" w14:textId="677C510C" w:rsidR="00221078" w:rsidRDefault="00A175F6" w:rsidP="006703CC">
      <w:r>
        <w:t>Foslevodopa</w:t>
      </w:r>
      <w:r w:rsidR="00221078">
        <w:t xml:space="preserve"> and foscarbidopa are converted </w:t>
      </w:r>
      <w:r w:rsidR="00221078">
        <w:rPr>
          <w:i/>
        </w:rPr>
        <w:t xml:space="preserve">in-vivo </w:t>
      </w:r>
      <w:r w:rsidR="00221078">
        <w:t xml:space="preserve">to </w:t>
      </w:r>
      <w:r w:rsidR="0095641A">
        <w:t>LD</w:t>
      </w:r>
      <w:r w:rsidR="00221078">
        <w:t xml:space="preserve"> and </w:t>
      </w:r>
      <w:r w:rsidR="0095641A">
        <w:t>CD</w:t>
      </w:r>
      <w:r w:rsidR="00221078">
        <w:t xml:space="preserve">, respectively. </w:t>
      </w:r>
      <w:r w:rsidR="0095641A">
        <w:t>LD</w:t>
      </w:r>
      <w:r w:rsidR="00221078">
        <w:t xml:space="preserve"> relieves symptoms</w:t>
      </w:r>
      <w:r w:rsidR="00221078">
        <w:rPr>
          <w:spacing w:val="-2"/>
        </w:rPr>
        <w:t xml:space="preserve"> </w:t>
      </w:r>
      <w:r w:rsidR="00221078">
        <w:t>of</w:t>
      </w:r>
      <w:r w:rsidR="00221078">
        <w:rPr>
          <w:spacing w:val="-3"/>
        </w:rPr>
        <w:t xml:space="preserve"> </w:t>
      </w:r>
      <w:r w:rsidR="00221078">
        <w:t>Parkinson’s</w:t>
      </w:r>
      <w:r w:rsidR="00221078">
        <w:rPr>
          <w:spacing w:val="-4"/>
        </w:rPr>
        <w:t xml:space="preserve"> </w:t>
      </w:r>
      <w:r w:rsidR="00221078">
        <w:t>disease</w:t>
      </w:r>
      <w:r w:rsidR="00221078">
        <w:rPr>
          <w:spacing w:val="-3"/>
        </w:rPr>
        <w:t xml:space="preserve"> </w:t>
      </w:r>
      <w:r w:rsidR="00221078">
        <w:t>following</w:t>
      </w:r>
      <w:r w:rsidR="00221078">
        <w:rPr>
          <w:spacing w:val="-2"/>
        </w:rPr>
        <w:t xml:space="preserve"> </w:t>
      </w:r>
      <w:r w:rsidR="00221078">
        <w:t>decarboxylation</w:t>
      </w:r>
      <w:r w:rsidR="00221078">
        <w:rPr>
          <w:spacing w:val="-4"/>
        </w:rPr>
        <w:t xml:space="preserve"> </w:t>
      </w:r>
      <w:r w:rsidR="00221078">
        <w:t>to</w:t>
      </w:r>
      <w:r w:rsidR="00221078">
        <w:rPr>
          <w:spacing w:val="-3"/>
        </w:rPr>
        <w:t xml:space="preserve"> </w:t>
      </w:r>
      <w:r w:rsidR="00221078">
        <w:t>dopamine</w:t>
      </w:r>
      <w:r w:rsidR="00221078">
        <w:rPr>
          <w:spacing w:val="-3"/>
        </w:rPr>
        <w:t xml:space="preserve"> </w:t>
      </w:r>
      <w:r w:rsidR="00221078">
        <w:t>in</w:t>
      </w:r>
      <w:r w:rsidR="00221078">
        <w:rPr>
          <w:spacing w:val="-4"/>
        </w:rPr>
        <w:t xml:space="preserve"> </w:t>
      </w:r>
      <w:r w:rsidR="00221078">
        <w:t>the</w:t>
      </w:r>
      <w:r w:rsidR="00221078">
        <w:rPr>
          <w:spacing w:val="-3"/>
        </w:rPr>
        <w:t xml:space="preserve"> </w:t>
      </w:r>
      <w:r w:rsidR="00221078">
        <w:t>brain.</w:t>
      </w:r>
      <w:r w:rsidR="00221078">
        <w:rPr>
          <w:spacing w:val="-3"/>
        </w:rPr>
        <w:t xml:space="preserve"> </w:t>
      </w:r>
      <w:r w:rsidR="008C163E">
        <w:t>C</w:t>
      </w:r>
      <w:r w:rsidR="0095641A">
        <w:t>D</w:t>
      </w:r>
      <w:r w:rsidR="00221078">
        <w:t>,</w:t>
      </w:r>
      <w:r w:rsidR="00221078">
        <w:rPr>
          <w:spacing w:val="-3"/>
        </w:rPr>
        <w:t xml:space="preserve"> </w:t>
      </w:r>
      <w:r w:rsidR="00221078">
        <w:t xml:space="preserve">which does not cross the blood-brain barrier, inhibits the extracerebral decarboxylation of </w:t>
      </w:r>
      <w:r w:rsidR="0095641A">
        <w:t>LD</w:t>
      </w:r>
      <w:r w:rsidR="00221078">
        <w:t xml:space="preserve"> to dopamine, which means that a larger amount of </w:t>
      </w:r>
      <w:r w:rsidR="0095641A">
        <w:t xml:space="preserve">LD </w:t>
      </w:r>
      <w:r w:rsidR="00221078">
        <w:t>becomes available for transportation to the brain and transformation into dopamine.</w:t>
      </w:r>
    </w:p>
    <w:p w14:paraId="3AEDBD44" w14:textId="00BF703A" w:rsidR="00221078" w:rsidRDefault="00221078" w:rsidP="006703CC">
      <w:r w:rsidRPr="003E4F72">
        <w:t>QT Assessment</w:t>
      </w:r>
      <w:r w:rsidR="003E4F72">
        <w:t xml:space="preserve"> was</w:t>
      </w:r>
      <w:r>
        <w:t xml:space="preserve"> </w:t>
      </w:r>
      <w:r w:rsidR="003E4F72">
        <w:t>a</w:t>
      </w:r>
      <w:r>
        <w:t xml:space="preserve">n Exposure-Response (E-R) analysis using time-matched baseline correction from the oral </w:t>
      </w:r>
      <w:r w:rsidR="0095641A">
        <w:t>LD</w:t>
      </w:r>
      <w:r>
        <w:t>/</w:t>
      </w:r>
      <w:r w:rsidR="0095641A">
        <w:t>CD</w:t>
      </w:r>
      <w:r>
        <w:t xml:space="preserve"> period of dosing assessed mean change in QTcF following initiation of </w:t>
      </w:r>
      <w:r w:rsidR="00A175F6">
        <w:t>foslevodopa</w:t>
      </w:r>
      <w:r>
        <w:t>/foscarbidopa.</w:t>
      </w:r>
      <w:r>
        <w:rPr>
          <w:spacing w:val="-3"/>
        </w:rPr>
        <w:t xml:space="preserve"> </w:t>
      </w:r>
      <w:r>
        <w:t>Based</w:t>
      </w:r>
      <w:r>
        <w:rPr>
          <w:spacing w:val="-5"/>
        </w:rPr>
        <w:t xml:space="preserve"> </w:t>
      </w:r>
      <w:r>
        <w:t>on</w:t>
      </w:r>
      <w:r>
        <w:rPr>
          <w:spacing w:val="-4"/>
        </w:rPr>
        <w:t xml:space="preserve"> </w:t>
      </w:r>
      <w:r>
        <w:t>linear</w:t>
      </w:r>
      <w:r>
        <w:rPr>
          <w:spacing w:val="-5"/>
        </w:rPr>
        <w:t xml:space="preserve"> </w:t>
      </w:r>
      <w:r>
        <w:t>mixed</w:t>
      </w:r>
      <w:r>
        <w:rPr>
          <w:spacing w:val="-3"/>
        </w:rPr>
        <w:t xml:space="preserve"> </w:t>
      </w:r>
      <w:r>
        <w:t>effects</w:t>
      </w:r>
      <w:r>
        <w:rPr>
          <w:spacing w:val="-2"/>
        </w:rPr>
        <w:t xml:space="preserve"> </w:t>
      </w:r>
      <w:r>
        <w:t>regression</w:t>
      </w:r>
      <w:r>
        <w:rPr>
          <w:spacing w:val="-4"/>
        </w:rPr>
        <w:t xml:space="preserve"> </w:t>
      </w:r>
      <w:r>
        <w:t>analysis,</w:t>
      </w:r>
      <w:r>
        <w:rPr>
          <w:spacing w:val="-5"/>
        </w:rPr>
        <w:t xml:space="preserve"> </w:t>
      </w:r>
      <w:r>
        <w:t>the</w:t>
      </w:r>
      <w:r>
        <w:rPr>
          <w:spacing w:val="-3"/>
        </w:rPr>
        <w:t xml:space="preserve"> </w:t>
      </w:r>
      <w:r>
        <w:t>estimate</w:t>
      </w:r>
      <w:r>
        <w:rPr>
          <w:spacing w:val="-3"/>
        </w:rPr>
        <w:t xml:space="preserve"> </w:t>
      </w:r>
      <w:r>
        <w:t>at</w:t>
      </w:r>
      <w:r>
        <w:rPr>
          <w:spacing w:val="-3"/>
        </w:rPr>
        <w:t xml:space="preserve"> </w:t>
      </w:r>
      <w:r>
        <w:t xml:space="preserve">the maximum predicted </w:t>
      </w:r>
      <w:r w:rsidR="0095641A">
        <w:t>LD</w:t>
      </w:r>
      <w:r>
        <w:t xml:space="preserve"> exposure (the upper one-sided 95% confidence bound) was shown to be less than the 10 msec thresho</w:t>
      </w:r>
      <w:r w:rsidR="0095641A">
        <w:t>ld</w:t>
      </w:r>
      <w:r>
        <w:t>.</w:t>
      </w:r>
    </w:p>
    <w:p w14:paraId="4D82B664" w14:textId="58D8674F" w:rsidR="00221078" w:rsidRDefault="00221078" w:rsidP="006703CC">
      <w:r>
        <w:t>No</w:t>
      </w:r>
      <w:r>
        <w:rPr>
          <w:spacing w:val="-3"/>
        </w:rPr>
        <w:t xml:space="preserve"> </w:t>
      </w:r>
      <w:r>
        <w:t>apparent</w:t>
      </w:r>
      <w:r>
        <w:rPr>
          <w:spacing w:val="-3"/>
        </w:rPr>
        <w:t xml:space="preserve"> </w:t>
      </w:r>
      <w:r>
        <w:t>effect</w:t>
      </w:r>
      <w:r>
        <w:rPr>
          <w:spacing w:val="-3"/>
        </w:rPr>
        <w:t xml:space="preserve"> </w:t>
      </w:r>
      <w:r>
        <w:t>on</w:t>
      </w:r>
      <w:r>
        <w:rPr>
          <w:spacing w:val="-4"/>
        </w:rPr>
        <w:t xml:space="preserve"> </w:t>
      </w:r>
      <w:r>
        <w:t>cardiac</w:t>
      </w:r>
      <w:r>
        <w:rPr>
          <w:spacing w:val="-2"/>
        </w:rPr>
        <w:t xml:space="preserve"> </w:t>
      </w:r>
      <w:r>
        <w:t>repolarisation</w:t>
      </w:r>
      <w:r>
        <w:rPr>
          <w:spacing w:val="-4"/>
        </w:rPr>
        <w:t xml:space="preserve"> </w:t>
      </w:r>
      <w:r>
        <w:t>was</w:t>
      </w:r>
      <w:r>
        <w:rPr>
          <w:spacing w:val="-2"/>
        </w:rPr>
        <w:t xml:space="preserve"> </w:t>
      </w:r>
      <w:r>
        <w:t>observed</w:t>
      </w:r>
      <w:r>
        <w:rPr>
          <w:spacing w:val="-3"/>
        </w:rPr>
        <w:t xml:space="preserve"> </w:t>
      </w:r>
      <w:r>
        <w:t>for</w:t>
      </w:r>
      <w:r>
        <w:rPr>
          <w:spacing w:val="-3"/>
        </w:rPr>
        <w:t xml:space="preserve"> </w:t>
      </w:r>
      <w:r>
        <w:t>patients</w:t>
      </w:r>
      <w:r>
        <w:rPr>
          <w:spacing w:val="-2"/>
        </w:rPr>
        <w:t xml:space="preserve"> </w:t>
      </w:r>
      <w:r>
        <w:t>who</w:t>
      </w:r>
      <w:r>
        <w:rPr>
          <w:spacing w:val="-5"/>
        </w:rPr>
        <w:t xml:space="preserve"> </w:t>
      </w:r>
      <w:r>
        <w:t>switched</w:t>
      </w:r>
      <w:r>
        <w:rPr>
          <w:spacing w:val="-3"/>
        </w:rPr>
        <w:t xml:space="preserve"> </w:t>
      </w:r>
      <w:r>
        <w:t>from</w:t>
      </w:r>
      <w:r>
        <w:rPr>
          <w:spacing w:val="-2"/>
        </w:rPr>
        <w:t xml:space="preserve"> </w:t>
      </w:r>
      <w:r>
        <w:t xml:space="preserve">oral </w:t>
      </w:r>
      <w:r w:rsidR="0095641A">
        <w:t>LD</w:t>
      </w:r>
      <w:r>
        <w:t>/</w:t>
      </w:r>
      <w:r w:rsidR="0095641A">
        <w:t>CD</w:t>
      </w:r>
      <w:r>
        <w:t xml:space="preserve"> to </w:t>
      </w:r>
      <w:r w:rsidR="00A175F6">
        <w:t>foslevodopa</w:t>
      </w:r>
      <w:r>
        <w:t>/foscarbidopa.</w:t>
      </w:r>
    </w:p>
    <w:p w14:paraId="2A9BE841" w14:textId="0F540D9C" w:rsidR="00221078" w:rsidRDefault="00221078" w:rsidP="006703CC">
      <w:r>
        <w:t xml:space="preserve">The evaluator concluded that </w:t>
      </w:r>
      <w:r w:rsidR="00A175F6">
        <w:t>Foslevodopa</w:t>
      </w:r>
      <w:r>
        <w:t>/foscarbidopa did not show a clinically meaningful QT</w:t>
      </w:r>
      <w:r>
        <w:rPr>
          <w:spacing w:val="-2"/>
        </w:rPr>
        <w:t xml:space="preserve"> </w:t>
      </w:r>
      <w:r>
        <w:t>prolongation</w:t>
      </w:r>
      <w:r>
        <w:rPr>
          <w:spacing w:val="-4"/>
        </w:rPr>
        <w:t xml:space="preserve"> </w:t>
      </w:r>
      <w:r>
        <w:t>effect</w:t>
      </w:r>
      <w:r>
        <w:rPr>
          <w:spacing w:val="-3"/>
        </w:rPr>
        <w:t xml:space="preserve"> </w:t>
      </w:r>
      <w:r>
        <w:t>relative</w:t>
      </w:r>
      <w:r>
        <w:rPr>
          <w:spacing w:val="-3"/>
        </w:rPr>
        <w:t xml:space="preserve"> </w:t>
      </w:r>
      <w:r>
        <w:t>to</w:t>
      </w:r>
      <w:r>
        <w:rPr>
          <w:spacing w:val="-3"/>
        </w:rPr>
        <w:t xml:space="preserve"> </w:t>
      </w:r>
      <w:r>
        <w:t>oral</w:t>
      </w:r>
      <w:r>
        <w:rPr>
          <w:spacing w:val="-3"/>
        </w:rPr>
        <w:t xml:space="preserve"> </w:t>
      </w:r>
      <w:r w:rsidR="0095641A">
        <w:t>CD</w:t>
      </w:r>
      <w:r>
        <w:t>/</w:t>
      </w:r>
      <w:r w:rsidR="0095641A">
        <w:t>LD</w:t>
      </w:r>
      <w:r>
        <w:rPr>
          <w:spacing w:val="-3"/>
        </w:rPr>
        <w:t xml:space="preserve"> </w:t>
      </w:r>
      <w:r>
        <w:t>dosing</w:t>
      </w:r>
      <w:r>
        <w:rPr>
          <w:spacing w:val="-2"/>
        </w:rPr>
        <w:t xml:space="preserve"> </w:t>
      </w:r>
      <w:r>
        <w:t>at</w:t>
      </w:r>
      <w:r>
        <w:rPr>
          <w:spacing w:val="-3"/>
        </w:rPr>
        <w:t xml:space="preserve"> </w:t>
      </w:r>
      <w:r>
        <w:t>the</w:t>
      </w:r>
      <w:r>
        <w:rPr>
          <w:spacing w:val="-3"/>
        </w:rPr>
        <w:t xml:space="preserve"> </w:t>
      </w:r>
      <w:r>
        <w:t>observed</w:t>
      </w:r>
      <w:r>
        <w:rPr>
          <w:spacing w:val="-3"/>
        </w:rPr>
        <w:t xml:space="preserve"> </w:t>
      </w:r>
      <w:r w:rsidR="0095641A">
        <w:t>LD</w:t>
      </w:r>
      <w:r>
        <w:rPr>
          <w:spacing w:val="-3"/>
        </w:rPr>
        <w:t xml:space="preserve"> </w:t>
      </w:r>
      <w:r>
        <w:t>plasma</w:t>
      </w:r>
      <w:r>
        <w:rPr>
          <w:spacing w:val="-3"/>
        </w:rPr>
        <w:t xml:space="preserve"> </w:t>
      </w:r>
      <w:r>
        <w:t xml:space="preserve">concentration </w:t>
      </w:r>
      <w:r>
        <w:rPr>
          <w:spacing w:val="-2"/>
        </w:rPr>
        <w:t>range.</w:t>
      </w:r>
    </w:p>
    <w:p w14:paraId="16AA46D9" w14:textId="7ADF23AC" w:rsidR="00111383" w:rsidRDefault="00492F4F" w:rsidP="006703CC">
      <w:pPr>
        <w:pStyle w:val="Heading4"/>
      </w:pPr>
      <w:bookmarkStart w:id="61" w:name="_Toc182486552"/>
      <w:r>
        <w:t>Dose</w:t>
      </w:r>
      <w:r w:rsidR="00C77402">
        <w:t>-</w:t>
      </w:r>
      <w:r w:rsidRPr="006703CC">
        <w:t>finding</w:t>
      </w:r>
      <w:bookmarkEnd w:id="61"/>
    </w:p>
    <w:p w14:paraId="1136FC89" w14:textId="77777777" w:rsidR="00492F4F" w:rsidRPr="00487615" w:rsidRDefault="00492F4F" w:rsidP="006703CC">
      <w:r w:rsidRPr="00487615">
        <w:t>Findings</w:t>
      </w:r>
      <w:r w:rsidRPr="00487615">
        <w:rPr>
          <w:spacing w:val="-2"/>
        </w:rPr>
        <w:t xml:space="preserve"> </w:t>
      </w:r>
      <w:r w:rsidRPr="00487615">
        <w:t>from</w:t>
      </w:r>
      <w:r w:rsidRPr="00487615">
        <w:rPr>
          <w:spacing w:val="-2"/>
        </w:rPr>
        <w:t xml:space="preserve"> </w:t>
      </w:r>
      <w:r w:rsidRPr="00487615">
        <w:t>M15-733</w:t>
      </w:r>
      <w:r w:rsidRPr="00487615">
        <w:rPr>
          <w:spacing w:val="-3"/>
        </w:rPr>
        <w:t xml:space="preserve"> </w:t>
      </w:r>
      <w:r w:rsidRPr="00487615">
        <w:t>Group</w:t>
      </w:r>
      <w:r w:rsidRPr="00487615">
        <w:rPr>
          <w:spacing w:val="-3"/>
        </w:rPr>
        <w:t xml:space="preserve"> </w:t>
      </w:r>
      <w:r w:rsidRPr="00487615">
        <w:t>2</w:t>
      </w:r>
      <w:r w:rsidRPr="00487615">
        <w:rPr>
          <w:spacing w:val="-3"/>
        </w:rPr>
        <w:t xml:space="preserve"> </w:t>
      </w:r>
      <w:r w:rsidRPr="00487615">
        <w:t>suggested</w:t>
      </w:r>
      <w:r w:rsidRPr="00487615">
        <w:rPr>
          <w:spacing w:val="-3"/>
        </w:rPr>
        <w:t xml:space="preserve"> </w:t>
      </w:r>
      <w:r w:rsidRPr="00487615">
        <w:t>that</w:t>
      </w:r>
      <w:r w:rsidRPr="00487615">
        <w:rPr>
          <w:spacing w:val="-3"/>
        </w:rPr>
        <w:t xml:space="preserve"> </w:t>
      </w:r>
      <w:r w:rsidRPr="00487615">
        <w:t>the</w:t>
      </w:r>
      <w:r w:rsidRPr="00487615">
        <w:rPr>
          <w:spacing w:val="-5"/>
        </w:rPr>
        <w:t xml:space="preserve"> </w:t>
      </w:r>
      <w:r w:rsidRPr="00487615">
        <w:t>20:1</w:t>
      </w:r>
      <w:r w:rsidRPr="00487615">
        <w:rPr>
          <w:spacing w:val="-3"/>
        </w:rPr>
        <w:t xml:space="preserve"> </w:t>
      </w:r>
      <w:r w:rsidRPr="00487615">
        <w:t>foslevodopa/foscarbidopa</w:t>
      </w:r>
      <w:r w:rsidRPr="00487615">
        <w:rPr>
          <w:spacing w:val="-3"/>
        </w:rPr>
        <w:t xml:space="preserve"> </w:t>
      </w:r>
      <w:r w:rsidRPr="00487615">
        <w:t>dosing</w:t>
      </w:r>
      <w:r w:rsidRPr="00487615">
        <w:rPr>
          <w:spacing w:val="-2"/>
        </w:rPr>
        <w:t xml:space="preserve"> </w:t>
      </w:r>
      <w:r w:rsidRPr="00487615">
        <w:t xml:space="preserve">ratio resulted in a LD:CD AUC exposure ratio </w:t>
      </w:r>
      <w:proofErr w:type="gramStart"/>
      <w:r w:rsidRPr="00487615">
        <w:t>similar to</w:t>
      </w:r>
      <w:proofErr w:type="gramEnd"/>
      <w:r w:rsidRPr="00487615">
        <w:t xml:space="preserve"> oral LD/CD dosed at a 4:1 ratio. The 20:1 dosing ratio was selected for the final foslevodopa/foscarbidopa formulation.</w:t>
      </w:r>
    </w:p>
    <w:p w14:paraId="0582BE68" w14:textId="581C4764" w:rsidR="00492F4F" w:rsidRDefault="00492F4F" w:rsidP="006703CC">
      <w:r w:rsidRPr="00487615">
        <w:t>The</w:t>
      </w:r>
      <w:r w:rsidRPr="00487615">
        <w:rPr>
          <w:spacing w:val="-3"/>
        </w:rPr>
        <w:t xml:space="preserve"> </w:t>
      </w:r>
      <w:r w:rsidRPr="00487615">
        <w:t>recommended</w:t>
      </w:r>
      <w:r w:rsidRPr="00487615">
        <w:rPr>
          <w:spacing w:val="-3"/>
        </w:rPr>
        <w:t xml:space="preserve"> </w:t>
      </w:r>
      <w:r w:rsidRPr="00487615">
        <w:t>starting</w:t>
      </w:r>
      <w:r w:rsidRPr="00487615">
        <w:rPr>
          <w:spacing w:val="-2"/>
        </w:rPr>
        <w:t xml:space="preserve"> </w:t>
      </w:r>
      <w:r w:rsidRPr="00487615">
        <w:t>dose</w:t>
      </w:r>
      <w:r w:rsidRPr="00487615">
        <w:rPr>
          <w:spacing w:val="-3"/>
        </w:rPr>
        <w:t xml:space="preserve"> </w:t>
      </w:r>
      <w:r w:rsidRPr="00487615">
        <w:t>of</w:t>
      </w:r>
      <w:r w:rsidRPr="00487615">
        <w:rPr>
          <w:spacing w:val="-3"/>
        </w:rPr>
        <w:t xml:space="preserve"> </w:t>
      </w:r>
      <w:r w:rsidRPr="00487615">
        <w:t>foslevodopa/foscarbidopa</w:t>
      </w:r>
      <w:r w:rsidRPr="00487615">
        <w:rPr>
          <w:spacing w:val="-3"/>
        </w:rPr>
        <w:t xml:space="preserve"> </w:t>
      </w:r>
      <w:r w:rsidRPr="00487615">
        <w:t>in</w:t>
      </w:r>
      <w:r w:rsidRPr="00487615">
        <w:rPr>
          <w:spacing w:val="-4"/>
        </w:rPr>
        <w:t xml:space="preserve"> </w:t>
      </w:r>
      <w:r w:rsidRPr="00487615">
        <w:t>the</w:t>
      </w:r>
      <w:r w:rsidRPr="00487615">
        <w:rPr>
          <w:spacing w:val="-3"/>
        </w:rPr>
        <w:t xml:space="preserve"> </w:t>
      </w:r>
      <w:r w:rsidRPr="00487615">
        <w:t>phase</w:t>
      </w:r>
      <w:r w:rsidRPr="00487615">
        <w:rPr>
          <w:spacing w:val="-3"/>
        </w:rPr>
        <w:t xml:space="preserve"> </w:t>
      </w:r>
      <w:r w:rsidRPr="00487615">
        <w:t>III</w:t>
      </w:r>
      <w:r w:rsidRPr="00487615">
        <w:rPr>
          <w:spacing w:val="-5"/>
        </w:rPr>
        <w:t xml:space="preserve"> </w:t>
      </w:r>
      <w:r w:rsidRPr="00487615">
        <w:t>studies</w:t>
      </w:r>
      <w:r w:rsidRPr="00487615">
        <w:rPr>
          <w:spacing w:val="-2"/>
        </w:rPr>
        <w:t xml:space="preserve"> </w:t>
      </w:r>
      <w:r w:rsidRPr="00487615">
        <w:t>was</w:t>
      </w:r>
      <w:r w:rsidRPr="00487615">
        <w:rPr>
          <w:spacing w:val="-2"/>
        </w:rPr>
        <w:t xml:space="preserve"> </w:t>
      </w:r>
      <w:r w:rsidRPr="00487615">
        <w:t xml:space="preserve">based on each patient’s daily oral LD intake. This was based on all </w:t>
      </w:r>
      <w:r w:rsidR="00744169" w:rsidRPr="00487615">
        <w:t>LD</w:t>
      </w:r>
      <w:r w:rsidRPr="00487615">
        <w:t>-containing medications, and an adjustment for COMT inhibitors.</w:t>
      </w:r>
      <w:r w:rsidRPr="00487615">
        <w:rPr>
          <w:spacing w:val="40"/>
        </w:rPr>
        <w:t xml:space="preserve"> </w:t>
      </w:r>
      <w:r w:rsidRPr="00487615">
        <w:t>During the treatment period, the dose of foslevodopa/foscarbidopa were optimised to reach a clinical response that maximised functional ‘On’ time and minimised the number and duration of ‘Off’ episodes and ‘On’ episodes with troublesome dyskinesia.</w:t>
      </w:r>
    </w:p>
    <w:p w14:paraId="72E43D04" w14:textId="1A10EEEA" w:rsidR="00221078" w:rsidRDefault="00221078" w:rsidP="00AE48B9">
      <w:pPr>
        <w:pStyle w:val="Heading4"/>
      </w:pPr>
      <w:bookmarkStart w:id="62" w:name="_Toc182486553"/>
      <w:r>
        <w:t>Efficacy</w:t>
      </w:r>
      <w:bookmarkEnd w:id="62"/>
    </w:p>
    <w:p w14:paraId="5624635D" w14:textId="21BABDA4" w:rsidR="00221078" w:rsidRDefault="00221078" w:rsidP="006703CC">
      <w:r>
        <w:t>No</w:t>
      </w:r>
      <w:r>
        <w:rPr>
          <w:spacing w:val="-3"/>
        </w:rPr>
        <w:t xml:space="preserve"> </w:t>
      </w:r>
      <w:r>
        <w:t>pivotal</w:t>
      </w:r>
      <w:r>
        <w:rPr>
          <w:spacing w:val="-3"/>
        </w:rPr>
        <w:t xml:space="preserve"> </w:t>
      </w:r>
      <w:r>
        <w:t>studies</w:t>
      </w:r>
      <w:r>
        <w:rPr>
          <w:spacing w:val="-2"/>
        </w:rPr>
        <w:t xml:space="preserve"> </w:t>
      </w:r>
      <w:r>
        <w:t>with</w:t>
      </w:r>
      <w:r>
        <w:rPr>
          <w:spacing w:val="-2"/>
        </w:rPr>
        <w:t xml:space="preserve"> </w:t>
      </w:r>
      <w:r>
        <w:t>efficacy</w:t>
      </w:r>
      <w:r>
        <w:rPr>
          <w:spacing w:val="-4"/>
        </w:rPr>
        <w:t xml:space="preserve"> </w:t>
      </w:r>
      <w:r>
        <w:t>as</w:t>
      </w:r>
      <w:r>
        <w:rPr>
          <w:spacing w:val="-2"/>
        </w:rPr>
        <w:t xml:space="preserve"> </w:t>
      </w:r>
      <w:r w:rsidR="002F22F8">
        <w:rPr>
          <w:spacing w:val="-2"/>
        </w:rPr>
        <w:t xml:space="preserve">a </w:t>
      </w:r>
      <w:r w:rsidRPr="002F22F8">
        <w:rPr>
          <w:b/>
          <w:bCs/>
        </w:rPr>
        <w:t>primary</w:t>
      </w:r>
      <w:r>
        <w:rPr>
          <w:spacing w:val="-4"/>
        </w:rPr>
        <w:t xml:space="preserve"> </w:t>
      </w:r>
      <w:r>
        <w:t>endpoint</w:t>
      </w:r>
      <w:r>
        <w:rPr>
          <w:spacing w:val="-3"/>
        </w:rPr>
        <w:t xml:space="preserve"> </w:t>
      </w:r>
      <w:r>
        <w:t>were</w:t>
      </w:r>
      <w:r>
        <w:rPr>
          <w:spacing w:val="-3"/>
        </w:rPr>
        <w:t xml:space="preserve"> </w:t>
      </w:r>
      <w:r>
        <w:t>included</w:t>
      </w:r>
      <w:r>
        <w:rPr>
          <w:spacing w:val="-5"/>
        </w:rPr>
        <w:t xml:space="preserve"> </w:t>
      </w:r>
      <w:r>
        <w:t>in</w:t>
      </w:r>
      <w:r>
        <w:rPr>
          <w:spacing w:val="-4"/>
        </w:rPr>
        <w:t xml:space="preserve"> </w:t>
      </w:r>
      <w:r>
        <w:t>this</w:t>
      </w:r>
      <w:r>
        <w:rPr>
          <w:spacing w:val="-2"/>
        </w:rPr>
        <w:t xml:space="preserve"> </w:t>
      </w:r>
      <w:r w:rsidR="00487615">
        <w:t>application</w:t>
      </w:r>
      <w:r>
        <w:t>. Exploratory efficacy data were reviewed from the following studies:</w:t>
      </w:r>
    </w:p>
    <w:p w14:paraId="4D04B8FB" w14:textId="77777777" w:rsidR="00221078" w:rsidRPr="00140F07" w:rsidRDefault="00221078" w:rsidP="006703CC">
      <w:pPr>
        <w:pStyle w:val="ListBullet"/>
      </w:pPr>
      <w:r w:rsidRPr="00140F07">
        <w:t>Study M15-741 (ongoing phase III, interim CSR; 30 March 2021)</w:t>
      </w:r>
    </w:p>
    <w:p w14:paraId="493958FD" w14:textId="77777777" w:rsidR="00221078" w:rsidRPr="00140F07" w:rsidRDefault="00221078" w:rsidP="00140F07">
      <w:pPr>
        <w:pStyle w:val="ListBullet"/>
      </w:pPr>
      <w:r w:rsidRPr="00140F07">
        <w:t>Study M15-737 (ongoing phase III, extension, interim CSR; 30 March 2021)</w:t>
      </w:r>
    </w:p>
    <w:p w14:paraId="3817B9A7" w14:textId="77777777" w:rsidR="00221078" w:rsidRDefault="00221078" w:rsidP="00140F07">
      <w:pPr>
        <w:pStyle w:val="ListBullet"/>
      </w:pPr>
      <w:r w:rsidRPr="00140F07">
        <w:t>Study M15-739 (completed phase I)</w:t>
      </w:r>
    </w:p>
    <w:p w14:paraId="14A91891" w14:textId="0D29E2DF" w:rsidR="002A35C6" w:rsidRPr="00140F07" w:rsidRDefault="00F25074" w:rsidP="006703CC">
      <w:r w:rsidRPr="005D2DAE">
        <w:t xml:space="preserve">At the time of </w:t>
      </w:r>
      <w:r w:rsidR="00487615">
        <w:t>this application</w:t>
      </w:r>
      <w:r w:rsidRPr="005D2DAE">
        <w:t>, a phase III controlled clinical study, M15-736, titled ‘</w:t>
      </w:r>
      <w:r w:rsidRPr="006703CC">
        <w:rPr>
          <w:i/>
          <w:iCs/>
        </w:rPr>
        <w:t>Randomized, Double-Blind, Double-Dummy, Active-Controlled Study Comparing the Efficacy, Safety and Tolerability of ABBV-951 to Oral Carbidopa/Levodopa in Advanced Parkinson's Disease Patients</w:t>
      </w:r>
      <w:r w:rsidRPr="005D2DAE">
        <w:t xml:space="preserve">’ and its extension study, M20-098 </w:t>
      </w:r>
      <w:r w:rsidR="00487615">
        <w:t>were</w:t>
      </w:r>
      <w:r w:rsidRPr="005D2DAE">
        <w:t xml:space="preserve"> ongoing in the USA and Australia. Data were not </w:t>
      </w:r>
      <w:r w:rsidR="00487615">
        <w:t xml:space="preserve">submitted </w:t>
      </w:r>
      <w:r w:rsidRPr="005D2DAE">
        <w:t>from these studies as part of this application.</w:t>
      </w:r>
    </w:p>
    <w:p w14:paraId="5C3920AC" w14:textId="77777777" w:rsidR="00221078" w:rsidRPr="007337BA" w:rsidRDefault="00221078" w:rsidP="00AE48B9">
      <w:pPr>
        <w:pStyle w:val="Heading5"/>
      </w:pPr>
      <w:bookmarkStart w:id="63" w:name="Study_M15-741"/>
      <w:bookmarkEnd w:id="63"/>
      <w:r w:rsidRPr="007337BA">
        <w:t>Study M15-741</w:t>
      </w:r>
    </w:p>
    <w:p w14:paraId="16A7539F" w14:textId="489661B1" w:rsidR="00221078" w:rsidRDefault="00221078" w:rsidP="006703CC">
      <w:r>
        <w:t>An open-label single arm study with the primary objective to assess the local and systemic safety</w:t>
      </w:r>
      <w:r>
        <w:rPr>
          <w:spacing w:val="-4"/>
        </w:rPr>
        <w:t xml:space="preserve"> </w:t>
      </w:r>
      <w:r>
        <w:t>and</w:t>
      </w:r>
      <w:r>
        <w:rPr>
          <w:spacing w:val="-4"/>
        </w:rPr>
        <w:t xml:space="preserve"> </w:t>
      </w:r>
      <w:r>
        <w:t>tolerability</w:t>
      </w:r>
      <w:r>
        <w:rPr>
          <w:spacing w:val="-4"/>
        </w:rPr>
        <w:t xml:space="preserve"> </w:t>
      </w:r>
      <w:r>
        <w:t>of</w:t>
      </w:r>
      <w:r>
        <w:rPr>
          <w:spacing w:val="-4"/>
        </w:rPr>
        <w:t xml:space="preserve"> </w:t>
      </w:r>
      <w:r w:rsidR="00A175F6">
        <w:t>foslevodopa</w:t>
      </w:r>
      <w:r>
        <w:t>/foscarbidopa</w:t>
      </w:r>
      <w:r>
        <w:rPr>
          <w:spacing w:val="-5"/>
        </w:rPr>
        <w:t xml:space="preserve"> </w:t>
      </w:r>
      <w:r>
        <w:t>delivered</w:t>
      </w:r>
      <w:r>
        <w:rPr>
          <w:spacing w:val="-4"/>
        </w:rPr>
        <w:t xml:space="preserve"> </w:t>
      </w:r>
      <w:r>
        <w:t>as</w:t>
      </w:r>
      <w:r>
        <w:rPr>
          <w:spacing w:val="-3"/>
        </w:rPr>
        <w:t xml:space="preserve"> </w:t>
      </w:r>
      <w:r>
        <w:t>a</w:t>
      </w:r>
      <w:r>
        <w:rPr>
          <w:spacing w:val="-5"/>
        </w:rPr>
        <w:t xml:space="preserve"> </w:t>
      </w:r>
      <w:r>
        <w:t>Continuous</w:t>
      </w:r>
      <w:r>
        <w:rPr>
          <w:spacing w:val="-4"/>
        </w:rPr>
        <w:t xml:space="preserve"> </w:t>
      </w:r>
      <w:r>
        <w:t xml:space="preserve">Sub-cutaneous Infusion (CSCI) for 24 h daily for up to 52 weeks. Assessment of efficacy was </w:t>
      </w:r>
      <w:r w:rsidR="002F22F8">
        <w:t xml:space="preserve">a </w:t>
      </w:r>
      <w:r>
        <w:t>secondary objective. It was noted that efficacy and safety data for up to 26 weeks was included in this application as interim analysis.</w:t>
      </w:r>
    </w:p>
    <w:p w14:paraId="2C3FB090" w14:textId="74017E8C" w:rsidR="00221078" w:rsidRDefault="00221078" w:rsidP="006703CC">
      <w:r>
        <w:t xml:space="preserve">Subjects ≥ 30 years of age who were diagnosed with a </w:t>
      </w:r>
      <w:r w:rsidR="003A1E09">
        <w:t>LD</w:t>
      </w:r>
      <w:r>
        <w:t>-responsive idiopathic PD and have motor</w:t>
      </w:r>
      <w:r>
        <w:rPr>
          <w:spacing w:val="-5"/>
        </w:rPr>
        <w:t xml:space="preserve"> </w:t>
      </w:r>
      <w:r>
        <w:t>symptoms</w:t>
      </w:r>
      <w:r>
        <w:rPr>
          <w:spacing w:val="-2"/>
        </w:rPr>
        <w:t xml:space="preserve"> </w:t>
      </w:r>
      <w:r>
        <w:t>with</w:t>
      </w:r>
      <w:r>
        <w:rPr>
          <w:spacing w:val="-2"/>
        </w:rPr>
        <w:t xml:space="preserve"> </w:t>
      </w:r>
      <w:r>
        <w:t>fluctuations</w:t>
      </w:r>
      <w:r>
        <w:rPr>
          <w:spacing w:val="-4"/>
        </w:rPr>
        <w:t xml:space="preserve"> </w:t>
      </w:r>
      <w:r>
        <w:t>inadequately</w:t>
      </w:r>
      <w:r>
        <w:rPr>
          <w:spacing w:val="-4"/>
        </w:rPr>
        <w:t xml:space="preserve"> </w:t>
      </w:r>
      <w:r>
        <w:t>controlled</w:t>
      </w:r>
      <w:r>
        <w:rPr>
          <w:spacing w:val="-3"/>
        </w:rPr>
        <w:t xml:space="preserve"> </w:t>
      </w:r>
      <w:r>
        <w:t>by</w:t>
      </w:r>
      <w:r>
        <w:rPr>
          <w:spacing w:val="-4"/>
        </w:rPr>
        <w:t xml:space="preserve"> </w:t>
      </w:r>
      <w:r>
        <w:t>oral</w:t>
      </w:r>
      <w:r>
        <w:rPr>
          <w:spacing w:val="-3"/>
        </w:rPr>
        <w:t xml:space="preserve"> </w:t>
      </w:r>
      <w:r>
        <w:t>medications</w:t>
      </w:r>
      <w:r>
        <w:rPr>
          <w:spacing w:val="-1"/>
        </w:rPr>
        <w:t xml:space="preserve"> </w:t>
      </w:r>
      <w:r>
        <w:t>were</w:t>
      </w:r>
      <w:r>
        <w:rPr>
          <w:spacing w:val="-3"/>
        </w:rPr>
        <w:t xml:space="preserve"> </w:t>
      </w:r>
      <w:r>
        <w:t>recruited. Subjects were also required to have identifiable ‘Off’ and ‘On’ states (motor fluctuations) and report a minimum of</w:t>
      </w:r>
      <w:r w:rsidR="003A338F">
        <w:br/>
      </w:r>
      <w:r>
        <w:t>2.5 h of ‘Off’ time per day, as assessed by PD diaries, prior to study entry.</w:t>
      </w:r>
    </w:p>
    <w:p w14:paraId="226547D3" w14:textId="77777777" w:rsidR="00221078" w:rsidRDefault="00221078" w:rsidP="007337BA">
      <w:r>
        <w:t>Study</w:t>
      </w:r>
      <w:r>
        <w:rPr>
          <w:spacing w:val="-4"/>
        </w:rPr>
        <w:t xml:space="preserve"> </w:t>
      </w:r>
      <w:r>
        <w:t>treatments:</w:t>
      </w:r>
      <w:r>
        <w:rPr>
          <w:spacing w:val="-4"/>
        </w:rPr>
        <w:t xml:space="preserve"> </w:t>
      </w:r>
      <w:r>
        <w:t>52-week</w:t>
      </w:r>
      <w:r>
        <w:rPr>
          <w:spacing w:val="-4"/>
        </w:rPr>
        <w:t xml:space="preserve"> </w:t>
      </w:r>
      <w:r>
        <w:t>treatment</w:t>
      </w:r>
      <w:r>
        <w:rPr>
          <w:spacing w:val="-3"/>
        </w:rPr>
        <w:t xml:space="preserve"> </w:t>
      </w:r>
      <w:r>
        <w:t>period</w:t>
      </w:r>
      <w:r>
        <w:rPr>
          <w:spacing w:val="-3"/>
        </w:rPr>
        <w:t xml:space="preserve"> </w:t>
      </w:r>
      <w:r>
        <w:t>(4-weeks</w:t>
      </w:r>
      <w:r>
        <w:rPr>
          <w:spacing w:val="-2"/>
        </w:rPr>
        <w:t xml:space="preserve"> </w:t>
      </w:r>
      <w:r>
        <w:t>optimization</w:t>
      </w:r>
      <w:r>
        <w:rPr>
          <w:spacing w:val="-4"/>
        </w:rPr>
        <w:t xml:space="preserve"> </w:t>
      </w:r>
      <w:r>
        <w:t>followed</w:t>
      </w:r>
      <w:r>
        <w:rPr>
          <w:spacing w:val="-6"/>
        </w:rPr>
        <w:t xml:space="preserve"> </w:t>
      </w:r>
      <w:r>
        <w:t>by</w:t>
      </w:r>
      <w:r>
        <w:rPr>
          <w:spacing w:val="-4"/>
        </w:rPr>
        <w:t xml:space="preserve"> </w:t>
      </w:r>
      <w:r>
        <w:t xml:space="preserve">48-weeks </w:t>
      </w:r>
      <w:r>
        <w:rPr>
          <w:spacing w:val="-2"/>
        </w:rPr>
        <w:t>maintenance).</w:t>
      </w:r>
    </w:p>
    <w:p w14:paraId="22813662" w14:textId="59FB0750" w:rsidR="00221078" w:rsidRDefault="00221078" w:rsidP="007337BA">
      <w:r>
        <w:t>An</w:t>
      </w:r>
      <w:r>
        <w:rPr>
          <w:spacing w:val="-4"/>
        </w:rPr>
        <w:t xml:space="preserve"> </w:t>
      </w:r>
      <w:r>
        <w:t>initial</w:t>
      </w:r>
      <w:r>
        <w:rPr>
          <w:spacing w:val="-3"/>
        </w:rPr>
        <w:t xml:space="preserve"> </w:t>
      </w:r>
      <w:r>
        <w:t>loading</w:t>
      </w:r>
      <w:r>
        <w:rPr>
          <w:spacing w:val="-2"/>
        </w:rPr>
        <w:t xml:space="preserve"> </w:t>
      </w:r>
      <w:r>
        <w:t>dose</w:t>
      </w:r>
      <w:r>
        <w:rPr>
          <w:spacing w:val="-3"/>
        </w:rPr>
        <w:t xml:space="preserve"> </w:t>
      </w:r>
      <w:r>
        <w:t>of</w:t>
      </w:r>
      <w:r>
        <w:rPr>
          <w:spacing w:val="-2"/>
        </w:rPr>
        <w:t xml:space="preserve"> </w:t>
      </w:r>
      <w:r w:rsidR="00A175F6">
        <w:t>foslevodopa</w:t>
      </w:r>
      <w:r>
        <w:t>/foscarbidopa</w:t>
      </w:r>
      <w:r>
        <w:rPr>
          <w:spacing w:val="-5"/>
        </w:rPr>
        <w:t xml:space="preserve"> </w:t>
      </w:r>
      <w:r>
        <w:t>was</w:t>
      </w:r>
      <w:r>
        <w:rPr>
          <w:spacing w:val="-2"/>
        </w:rPr>
        <w:t xml:space="preserve"> </w:t>
      </w:r>
      <w:r>
        <w:t>administered</w:t>
      </w:r>
      <w:r>
        <w:rPr>
          <w:spacing w:val="-3"/>
        </w:rPr>
        <w:t xml:space="preserve"> </w:t>
      </w:r>
      <w:r>
        <w:t>based</w:t>
      </w:r>
      <w:r>
        <w:rPr>
          <w:spacing w:val="-3"/>
        </w:rPr>
        <w:t xml:space="preserve"> </w:t>
      </w:r>
      <w:r>
        <w:t>on</w:t>
      </w:r>
      <w:r>
        <w:rPr>
          <w:spacing w:val="-4"/>
        </w:rPr>
        <w:t xml:space="preserve"> </w:t>
      </w:r>
      <w:r>
        <w:t>the</w:t>
      </w:r>
      <w:r>
        <w:rPr>
          <w:spacing w:val="-3"/>
        </w:rPr>
        <w:t xml:space="preserve"> </w:t>
      </w:r>
      <w:r>
        <w:t xml:space="preserve">daily </w:t>
      </w:r>
      <w:r w:rsidR="0025741F">
        <w:t>l</w:t>
      </w:r>
      <w:r w:rsidR="00A175F6">
        <w:t>evodopa</w:t>
      </w:r>
      <w:r>
        <w:t xml:space="preserve"> intake.</w:t>
      </w:r>
    </w:p>
    <w:p w14:paraId="52100114" w14:textId="4F3AC6E6" w:rsidR="00221078" w:rsidRDefault="00221078" w:rsidP="007337BA">
      <w:r>
        <w:t xml:space="preserve">The to-be-marketed formulation of </w:t>
      </w:r>
      <w:r w:rsidR="00A175F6">
        <w:t>foslevodopa</w:t>
      </w:r>
      <w:r>
        <w:t>/foscarbidopa was initiated close to the patient’s</w:t>
      </w:r>
      <w:r>
        <w:rPr>
          <w:spacing w:val="-1"/>
        </w:rPr>
        <w:t xml:space="preserve"> </w:t>
      </w:r>
      <w:r>
        <w:t>usual</w:t>
      </w:r>
      <w:r>
        <w:rPr>
          <w:spacing w:val="-2"/>
        </w:rPr>
        <w:t xml:space="preserve"> </w:t>
      </w:r>
      <w:r>
        <w:t>first</w:t>
      </w:r>
      <w:r>
        <w:rPr>
          <w:spacing w:val="-5"/>
        </w:rPr>
        <w:t xml:space="preserve"> </w:t>
      </w:r>
      <w:r>
        <w:t>morning</w:t>
      </w:r>
      <w:r>
        <w:rPr>
          <w:spacing w:val="-1"/>
        </w:rPr>
        <w:t xml:space="preserve"> </w:t>
      </w:r>
      <w:r>
        <w:t>dose</w:t>
      </w:r>
      <w:r>
        <w:rPr>
          <w:spacing w:val="-2"/>
        </w:rPr>
        <w:t xml:space="preserve"> </w:t>
      </w:r>
      <w:r>
        <w:t>and</w:t>
      </w:r>
      <w:r>
        <w:rPr>
          <w:spacing w:val="-2"/>
        </w:rPr>
        <w:t xml:space="preserve"> </w:t>
      </w:r>
      <w:r>
        <w:t>delivered</w:t>
      </w:r>
      <w:r>
        <w:rPr>
          <w:spacing w:val="-4"/>
        </w:rPr>
        <w:t xml:space="preserve"> </w:t>
      </w:r>
      <w:r>
        <w:t>continuously</w:t>
      </w:r>
      <w:r>
        <w:rPr>
          <w:spacing w:val="-3"/>
        </w:rPr>
        <w:t xml:space="preserve"> </w:t>
      </w:r>
      <w:r>
        <w:t>24</w:t>
      </w:r>
      <w:r>
        <w:rPr>
          <w:spacing w:val="-2"/>
        </w:rPr>
        <w:t xml:space="preserve"> </w:t>
      </w:r>
      <w:r>
        <w:t>h</w:t>
      </w:r>
      <w:r>
        <w:rPr>
          <w:spacing w:val="-1"/>
        </w:rPr>
        <w:t xml:space="preserve"> </w:t>
      </w:r>
      <w:r>
        <w:t>per</w:t>
      </w:r>
      <w:r>
        <w:rPr>
          <w:spacing w:val="-2"/>
        </w:rPr>
        <w:t xml:space="preserve"> </w:t>
      </w:r>
      <w:r>
        <w:t>day</w:t>
      </w:r>
      <w:r>
        <w:rPr>
          <w:spacing w:val="-3"/>
        </w:rPr>
        <w:t xml:space="preserve"> </w:t>
      </w:r>
      <w:r>
        <w:t>via</w:t>
      </w:r>
      <w:r>
        <w:rPr>
          <w:spacing w:val="-4"/>
        </w:rPr>
        <w:t xml:space="preserve"> </w:t>
      </w:r>
      <w:r>
        <w:t>an</w:t>
      </w:r>
      <w:r>
        <w:rPr>
          <w:spacing w:val="-3"/>
        </w:rPr>
        <w:t xml:space="preserve"> </w:t>
      </w:r>
      <w:r>
        <w:t>infusion</w:t>
      </w:r>
      <w:r>
        <w:rPr>
          <w:spacing w:val="-3"/>
        </w:rPr>
        <w:t xml:space="preserve"> </w:t>
      </w:r>
      <w:r>
        <w:t>set connected to a pump.</w:t>
      </w:r>
    </w:p>
    <w:p w14:paraId="4B062DF0" w14:textId="77777777" w:rsidR="00221078" w:rsidRDefault="00221078" w:rsidP="006703CC">
      <w:r>
        <w:t>Base infusion rate was adjusted at any time to achieve and maintain an optimal therapeutic response to maximise functional ‘On’ time during the day by minimising the number and duration</w:t>
      </w:r>
      <w:r>
        <w:rPr>
          <w:spacing w:val="-8"/>
        </w:rPr>
        <w:t xml:space="preserve"> </w:t>
      </w:r>
      <w:r>
        <w:t>of</w:t>
      </w:r>
      <w:r>
        <w:rPr>
          <w:spacing w:val="-4"/>
        </w:rPr>
        <w:t xml:space="preserve"> </w:t>
      </w:r>
      <w:r>
        <w:t>‘Off’</w:t>
      </w:r>
      <w:r>
        <w:rPr>
          <w:spacing w:val="-5"/>
        </w:rPr>
        <w:t xml:space="preserve"> </w:t>
      </w:r>
      <w:r>
        <w:t>episodes</w:t>
      </w:r>
      <w:r>
        <w:rPr>
          <w:spacing w:val="-5"/>
        </w:rPr>
        <w:t xml:space="preserve"> </w:t>
      </w:r>
      <w:r>
        <w:t>(bradykinesia)</w:t>
      </w:r>
      <w:r>
        <w:rPr>
          <w:spacing w:val="-5"/>
        </w:rPr>
        <w:t xml:space="preserve"> </w:t>
      </w:r>
      <w:r>
        <w:t>and</w:t>
      </w:r>
      <w:r>
        <w:rPr>
          <w:spacing w:val="-6"/>
        </w:rPr>
        <w:t xml:space="preserve"> </w:t>
      </w:r>
      <w:r>
        <w:t>minimising</w:t>
      </w:r>
      <w:r>
        <w:rPr>
          <w:spacing w:val="-3"/>
        </w:rPr>
        <w:t xml:space="preserve"> </w:t>
      </w:r>
      <w:r>
        <w:t>‘On’</w:t>
      </w:r>
      <w:r>
        <w:rPr>
          <w:spacing w:val="-6"/>
        </w:rPr>
        <w:t xml:space="preserve"> </w:t>
      </w:r>
      <w:r>
        <w:t>time</w:t>
      </w:r>
      <w:r>
        <w:rPr>
          <w:spacing w:val="-4"/>
        </w:rPr>
        <w:t xml:space="preserve"> </w:t>
      </w:r>
      <w:r>
        <w:t>with</w:t>
      </w:r>
      <w:r>
        <w:rPr>
          <w:spacing w:val="-3"/>
        </w:rPr>
        <w:t xml:space="preserve"> </w:t>
      </w:r>
      <w:r>
        <w:t>troublesome</w:t>
      </w:r>
      <w:r>
        <w:rPr>
          <w:spacing w:val="-4"/>
        </w:rPr>
        <w:t xml:space="preserve"> </w:t>
      </w:r>
      <w:r>
        <w:rPr>
          <w:spacing w:val="-2"/>
        </w:rPr>
        <w:t>dyskinesia.</w:t>
      </w:r>
    </w:p>
    <w:p w14:paraId="471D2994" w14:textId="77777777" w:rsidR="00221078" w:rsidRDefault="00221078" w:rsidP="007337BA">
      <w:r>
        <w:t>During</w:t>
      </w:r>
      <w:r>
        <w:rPr>
          <w:spacing w:val="-2"/>
        </w:rPr>
        <w:t xml:space="preserve"> </w:t>
      </w:r>
      <w:r>
        <w:t>the</w:t>
      </w:r>
      <w:r>
        <w:rPr>
          <w:spacing w:val="-5"/>
        </w:rPr>
        <w:t xml:space="preserve"> </w:t>
      </w:r>
      <w:r>
        <w:t>optimisation</w:t>
      </w:r>
      <w:r>
        <w:rPr>
          <w:spacing w:val="-4"/>
        </w:rPr>
        <w:t xml:space="preserve"> </w:t>
      </w:r>
      <w:r>
        <w:t>period,</w:t>
      </w:r>
      <w:r>
        <w:rPr>
          <w:spacing w:val="-3"/>
        </w:rPr>
        <w:t xml:space="preserve"> </w:t>
      </w:r>
      <w:r>
        <w:t>concomitant</w:t>
      </w:r>
      <w:r>
        <w:rPr>
          <w:spacing w:val="-3"/>
        </w:rPr>
        <w:t xml:space="preserve"> </w:t>
      </w:r>
      <w:r>
        <w:t>PD</w:t>
      </w:r>
      <w:r>
        <w:rPr>
          <w:spacing w:val="-3"/>
        </w:rPr>
        <w:t xml:space="preserve"> </w:t>
      </w:r>
      <w:r>
        <w:t>medications</w:t>
      </w:r>
      <w:r>
        <w:rPr>
          <w:spacing w:val="-2"/>
        </w:rPr>
        <w:t xml:space="preserve"> </w:t>
      </w:r>
      <w:r>
        <w:t>were</w:t>
      </w:r>
      <w:r>
        <w:rPr>
          <w:spacing w:val="-3"/>
        </w:rPr>
        <w:t xml:space="preserve"> </w:t>
      </w:r>
      <w:r>
        <w:t>tapered</w:t>
      </w:r>
      <w:r>
        <w:rPr>
          <w:spacing w:val="-3"/>
        </w:rPr>
        <w:t xml:space="preserve"> </w:t>
      </w:r>
      <w:r>
        <w:t>down</w:t>
      </w:r>
      <w:r>
        <w:rPr>
          <w:spacing w:val="-4"/>
        </w:rPr>
        <w:t xml:space="preserve"> </w:t>
      </w:r>
      <w:r>
        <w:t>or</w:t>
      </w:r>
      <w:r>
        <w:rPr>
          <w:spacing w:val="-3"/>
        </w:rPr>
        <w:t xml:space="preserve"> </w:t>
      </w:r>
      <w:r>
        <w:t>suspended, as and when needed. During the maintenance period, concomitant PD medications were to remain stable unless medically indicated.</w:t>
      </w:r>
    </w:p>
    <w:p w14:paraId="60AAED21" w14:textId="296F448B" w:rsidR="00640B3C" w:rsidRDefault="00221078" w:rsidP="006703CC">
      <w:pPr>
        <w:rPr>
          <w:spacing w:val="-2"/>
        </w:rPr>
      </w:pPr>
      <w:r>
        <w:t xml:space="preserve">The continuous infusion rates of </w:t>
      </w:r>
      <w:r w:rsidR="00A175F6">
        <w:t>foslevodopa</w:t>
      </w:r>
      <w:r>
        <w:t xml:space="preserve">/foscarbidopa were able to be customised to deliver doses ranging from approximately 600 to 4100 mg of </w:t>
      </w:r>
      <w:r w:rsidR="0025741F">
        <w:t>l</w:t>
      </w:r>
      <w:r w:rsidR="00A175F6">
        <w:t>evodopa</w:t>
      </w:r>
      <w:r>
        <w:t xml:space="preserve"> over a 24-hour period. Conversion</w:t>
      </w:r>
      <w:r>
        <w:rPr>
          <w:spacing w:val="-4"/>
        </w:rPr>
        <w:t xml:space="preserve"> </w:t>
      </w:r>
      <w:r>
        <w:t>from</w:t>
      </w:r>
      <w:r>
        <w:rPr>
          <w:spacing w:val="-2"/>
        </w:rPr>
        <w:t xml:space="preserve"> </w:t>
      </w:r>
      <w:r>
        <w:t>oral</w:t>
      </w:r>
      <w:r>
        <w:rPr>
          <w:spacing w:val="-3"/>
        </w:rPr>
        <w:t xml:space="preserve"> </w:t>
      </w:r>
      <w:r w:rsidR="0025741F">
        <w:t>l</w:t>
      </w:r>
      <w:r w:rsidR="00A175F6">
        <w:t>evodopa</w:t>
      </w:r>
      <w:r>
        <w:rPr>
          <w:spacing w:val="-3"/>
        </w:rPr>
        <w:t xml:space="preserve"> </w:t>
      </w:r>
      <w:r>
        <w:t>to</w:t>
      </w:r>
      <w:r>
        <w:rPr>
          <w:spacing w:val="-3"/>
        </w:rPr>
        <w:t xml:space="preserve"> </w:t>
      </w:r>
      <w:proofErr w:type="spellStart"/>
      <w:r w:rsidR="00A175F6">
        <w:t>foslevodopa</w:t>
      </w:r>
      <w:proofErr w:type="spellEnd"/>
      <w:r>
        <w:t>/</w:t>
      </w:r>
      <w:proofErr w:type="spellStart"/>
      <w:r>
        <w:t>foscarbidopa</w:t>
      </w:r>
      <w:proofErr w:type="spellEnd"/>
      <w:r>
        <w:rPr>
          <w:spacing w:val="-2"/>
        </w:rPr>
        <w:t xml:space="preserve"> </w:t>
      </w:r>
      <w:r>
        <w:t>were</w:t>
      </w:r>
      <w:r>
        <w:rPr>
          <w:spacing w:val="-3"/>
        </w:rPr>
        <w:t xml:space="preserve"> </w:t>
      </w:r>
      <w:r>
        <w:t>achieved</w:t>
      </w:r>
      <w:r>
        <w:rPr>
          <w:spacing w:val="-3"/>
        </w:rPr>
        <w:t xml:space="preserve"> </w:t>
      </w:r>
      <w:r>
        <w:t>in</w:t>
      </w:r>
      <w:r>
        <w:rPr>
          <w:spacing w:val="-4"/>
        </w:rPr>
        <w:t xml:space="preserve"> </w:t>
      </w:r>
      <w:r>
        <w:t>in</w:t>
      </w:r>
      <w:r>
        <w:rPr>
          <w:spacing w:val="-4"/>
        </w:rPr>
        <w:t xml:space="preserve"> </w:t>
      </w:r>
      <w:r>
        <w:t>an</w:t>
      </w:r>
      <w:r>
        <w:rPr>
          <w:spacing w:val="-4"/>
        </w:rPr>
        <w:t xml:space="preserve"> </w:t>
      </w:r>
      <w:r>
        <w:t>average</w:t>
      </w:r>
      <w:r>
        <w:rPr>
          <w:spacing w:val="-3"/>
        </w:rPr>
        <w:t xml:space="preserve"> </w:t>
      </w:r>
      <w:r>
        <w:t>of</w:t>
      </w:r>
      <w:r w:rsidR="00F77184">
        <w:t xml:space="preserve"> </w:t>
      </w:r>
      <w:r>
        <w:t>3.5</w:t>
      </w:r>
      <w:r>
        <w:rPr>
          <w:spacing w:val="-4"/>
        </w:rPr>
        <w:t xml:space="preserve"> </w:t>
      </w:r>
      <w:r>
        <w:t>outpatient</w:t>
      </w:r>
      <w:r>
        <w:rPr>
          <w:spacing w:val="-3"/>
        </w:rPr>
        <w:t xml:space="preserve"> </w:t>
      </w:r>
      <w:r>
        <w:rPr>
          <w:spacing w:val="-2"/>
        </w:rPr>
        <w:t>visits.</w:t>
      </w:r>
    </w:p>
    <w:p w14:paraId="2FA76333" w14:textId="68AAC979" w:rsidR="00221078" w:rsidRDefault="00221078" w:rsidP="006703CC">
      <w:pPr>
        <w:pStyle w:val="FigureTitle"/>
      </w:pPr>
      <w:r w:rsidRPr="00AC1DFE">
        <w:t xml:space="preserve">Figure </w:t>
      </w:r>
      <w:r w:rsidR="00CF6998" w:rsidRPr="00AC1DFE">
        <w:t>1</w:t>
      </w:r>
      <w:r w:rsidRPr="00AC1DFE">
        <w:t xml:space="preserve">: Study </w:t>
      </w:r>
      <w:r w:rsidRPr="006703CC">
        <w:t>design</w:t>
      </w:r>
      <w:r w:rsidR="00555A9B" w:rsidRPr="00AC1DFE">
        <w:t xml:space="preserve"> for M15-741</w:t>
      </w:r>
    </w:p>
    <w:p w14:paraId="4C47CB78" w14:textId="0C68968B" w:rsidR="006703CC" w:rsidRPr="00AC1DFE" w:rsidRDefault="006703CC" w:rsidP="006703CC">
      <w:r w:rsidRPr="00AC1DFE">
        <w:rPr>
          <w:noProof/>
        </w:rPr>
        <w:drawing>
          <wp:inline distT="0" distB="0" distL="0" distR="0" wp14:anchorId="236400A7" wp14:editId="4E79DC4F">
            <wp:extent cx="4966335" cy="2850515"/>
            <wp:effectExtent l="0" t="0" r="5715" b="6985"/>
            <wp:docPr id="18" name="Image 18" descr="This figure illustrates the study design for the M15-741 clinical trial. It includes details such as the screening period (10-42 days) and the treatment period (52 week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This figure illustrates the study design for the M15-741 clinical trial. It includes details such as the screening period (10-42 days) and the treatment period (52 weeks).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6335" cy="2850515"/>
                    </a:xfrm>
                    <a:prstGeom prst="rect">
                      <a:avLst/>
                    </a:prstGeom>
                  </pic:spPr>
                </pic:pic>
              </a:graphicData>
            </a:graphic>
          </wp:inline>
        </w:drawing>
      </w:r>
    </w:p>
    <w:p w14:paraId="56F85200" w14:textId="77777777" w:rsidR="00221078" w:rsidRDefault="00221078" w:rsidP="00555A9B">
      <w:pPr>
        <w:pStyle w:val="Heading6"/>
      </w:pPr>
      <w:r>
        <w:t>Baseline</w:t>
      </w:r>
      <w:r>
        <w:rPr>
          <w:spacing w:val="-4"/>
        </w:rPr>
        <w:t xml:space="preserve"> </w:t>
      </w:r>
      <w:r>
        <w:t>characteristics</w:t>
      </w:r>
    </w:p>
    <w:p w14:paraId="0F6EBB72" w14:textId="77777777" w:rsidR="00221078" w:rsidRDefault="00221078" w:rsidP="006703CC">
      <w:r>
        <w:t>223 subjects were enrolled. Most subjects were male (60.1%). The mean (SD) age was 63.8 (9.29)</w:t>
      </w:r>
      <w:r>
        <w:rPr>
          <w:spacing w:val="-2"/>
        </w:rPr>
        <w:t xml:space="preserve"> </w:t>
      </w:r>
      <w:r>
        <w:t>years.</w:t>
      </w:r>
      <w:r>
        <w:rPr>
          <w:spacing w:val="40"/>
        </w:rPr>
        <w:t xml:space="preserve"> </w:t>
      </w:r>
      <w:r>
        <w:t>A</w:t>
      </w:r>
      <w:r>
        <w:rPr>
          <w:spacing w:val="-3"/>
        </w:rPr>
        <w:t xml:space="preserve"> </w:t>
      </w:r>
      <w:r>
        <w:t>comparable</w:t>
      </w:r>
      <w:r>
        <w:rPr>
          <w:spacing w:val="-2"/>
        </w:rPr>
        <w:t xml:space="preserve"> </w:t>
      </w:r>
      <w:r>
        <w:t>proportion</w:t>
      </w:r>
      <w:r>
        <w:rPr>
          <w:spacing w:val="-3"/>
        </w:rPr>
        <w:t xml:space="preserve"> </w:t>
      </w:r>
      <w:r>
        <w:t>of</w:t>
      </w:r>
      <w:r>
        <w:rPr>
          <w:spacing w:val="-4"/>
        </w:rPr>
        <w:t xml:space="preserve"> </w:t>
      </w:r>
      <w:r>
        <w:t>subjects</w:t>
      </w:r>
      <w:r>
        <w:rPr>
          <w:spacing w:val="-3"/>
        </w:rPr>
        <w:t xml:space="preserve"> </w:t>
      </w:r>
      <w:r>
        <w:t>were</w:t>
      </w:r>
      <w:r>
        <w:rPr>
          <w:spacing w:val="-2"/>
        </w:rPr>
        <w:t xml:space="preserve"> </w:t>
      </w:r>
      <w:r>
        <w:t>aged</w:t>
      </w:r>
      <w:r>
        <w:rPr>
          <w:spacing w:val="-2"/>
        </w:rPr>
        <w:t xml:space="preserve"> </w:t>
      </w:r>
      <w:r>
        <w:t>above</w:t>
      </w:r>
      <w:r>
        <w:rPr>
          <w:spacing w:val="-2"/>
        </w:rPr>
        <w:t xml:space="preserve"> </w:t>
      </w:r>
      <w:r>
        <w:t>and</w:t>
      </w:r>
      <w:r>
        <w:rPr>
          <w:spacing w:val="-2"/>
        </w:rPr>
        <w:t xml:space="preserve"> </w:t>
      </w:r>
      <w:r>
        <w:t>below</w:t>
      </w:r>
      <w:r>
        <w:rPr>
          <w:spacing w:val="-3"/>
        </w:rPr>
        <w:t xml:space="preserve"> </w:t>
      </w:r>
      <w:r>
        <w:t>65</w:t>
      </w:r>
      <w:r>
        <w:rPr>
          <w:spacing w:val="-2"/>
        </w:rPr>
        <w:t xml:space="preserve"> </w:t>
      </w:r>
      <w:r>
        <w:t>years.</w:t>
      </w:r>
      <w:r>
        <w:rPr>
          <w:spacing w:val="-2"/>
        </w:rPr>
        <w:t xml:space="preserve"> </w:t>
      </w:r>
      <w:r>
        <w:t>Around 46% of subjects had ≥ 10 years since the diagnosis of PD.</w:t>
      </w:r>
    </w:p>
    <w:p w14:paraId="2619B80B" w14:textId="3F432776" w:rsidR="00221078" w:rsidRDefault="00221078" w:rsidP="00A74AA1">
      <w:r>
        <w:t xml:space="preserve">223 subjects were categorised into </w:t>
      </w:r>
      <w:r w:rsidR="0081325A">
        <w:t>2</w:t>
      </w:r>
      <w:r>
        <w:t xml:space="preserve"> ‘exploratory’ modal dose-groups i.e., a low-dose category with modal total daily dose &lt; 1800 mg </w:t>
      </w:r>
      <w:r w:rsidR="003A1E09">
        <w:t>LD</w:t>
      </w:r>
      <w:r>
        <w:t xml:space="preserve"> or a high-dose category with modal total daily</w:t>
      </w:r>
      <w:r>
        <w:rPr>
          <w:spacing w:val="-3"/>
        </w:rPr>
        <w:t xml:space="preserve"> </w:t>
      </w:r>
      <w:r>
        <w:t>dose</w:t>
      </w:r>
      <w:r>
        <w:rPr>
          <w:spacing w:val="-2"/>
        </w:rPr>
        <w:t xml:space="preserve"> </w:t>
      </w:r>
      <w:r>
        <w:t>≥</w:t>
      </w:r>
      <w:r>
        <w:rPr>
          <w:spacing w:val="-2"/>
        </w:rPr>
        <w:t xml:space="preserve"> </w:t>
      </w:r>
      <w:r>
        <w:t>1800</w:t>
      </w:r>
      <w:r>
        <w:rPr>
          <w:spacing w:val="-2"/>
        </w:rPr>
        <w:t xml:space="preserve"> </w:t>
      </w:r>
      <w:r>
        <w:t>mg</w:t>
      </w:r>
      <w:r>
        <w:rPr>
          <w:spacing w:val="-1"/>
        </w:rPr>
        <w:t xml:space="preserve"> </w:t>
      </w:r>
      <w:r w:rsidR="003A1E09">
        <w:t>LD</w:t>
      </w:r>
      <w:r>
        <w:t>.</w:t>
      </w:r>
      <w:r>
        <w:rPr>
          <w:spacing w:val="-4"/>
        </w:rPr>
        <w:t xml:space="preserve"> </w:t>
      </w:r>
      <w:r>
        <w:t>119</w:t>
      </w:r>
      <w:r>
        <w:rPr>
          <w:spacing w:val="-2"/>
        </w:rPr>
        <w:t xml:space="preserve"> </w:t>
      </w:r>
      <w:r>
        <w:t>subjects</w:t>
      </w:r>
      <w:r>
        <w:rPr>
          <w:spacing w:val="-1"/>
        </w:rPr>
        <w:t xml:space="preserve"> </w:t>
      </w:r>
      <w:r>
        <w:t>were</w:t>
      </w:r>
      <w:r>
        <w:rPr>
          <w:spacing w:val="-2"/>
        </w:rPr>
        <w:t xml:space="preserve"> </w:t>
      </w:r>
      <w:r>
        <w:t>in</w:t>
      </w:r>
      <w:r>
        <w:rPr>
          <w:spacing w:val="-3"/>
        </w:rPr>
        <w:t xml:space="preserve"> </w:t>
      </w:r>
      <w:r>
        <w:t>the</w:t>
      </w:r>
      <w:r>
        <w:rPr>
          <w:spacing w:val="-2"/>
        </w:rPr>
        <w:t xml:space="preserve"> </w:t>
      </w:r>
      <w:r>
        <w:t>low-dose</w:t>
      </w:r>
      <w:r>
        <w:rPr>
          <w:spacing w:val="-4"/>
        </w:rPr>
        <w:t xml:space="preserve"> </w:t>
      </w:r>
      <w:r>
        <w:t>category</w:t>
      </w:r>
      <w:r>
        <w:rPr>
          <w:spacing w:val="-3"/>
        </w:rPr>
        <w:t xml:space="preserve"> </w:t>
      </w:r>
      <w:r>
        <w:t>and</w:t>
      </w:r>
      <w:r>
        <w:rPr>
          <w:spacing w:val="-2"/>
        </w:rPr>
        <w:t xml:space="preserve"> </w:t>
      </w:r>
      <w:r>
        <w:t>104</w:t>
      </w:r>
      <w:r>
        <w:rPr>
          <w:spacing w:val="-2"/>
        </w:rPr>
        <w:t xml:space="preserve"> </w:t>
      </w:r>
      <w:r>
        <w:t>subjects</w:t>
      </w:r>
      <w:r>
        <w:rPr>
          <w:spacing w:val="-1"/>
        </w:rPr>
        <w:t xml:space="preserve"> </w:t>
      </w:r>
      <w:r>
        <w:t>in</w:t>
      </w:r>
      <w:r>
        <w:rPr>
          <w:spacing w:val="-3"/>
        </w:rPr>
        <w:t xml:space="preserve"> </w:t>
      </w:r>
      <w:r>
        <w:t>the high-dose category.</w:t>
      </w:r>
    </w:p>
    <w:p w14:paraId="7011DA93" w14:textId="26B449CB" w:rsidR="00221078" w:rsidRDefault="00221078" w:rsidP="006703CC">
      <w:pPr>
        <w:pStyle w:val="TableTitle"/>
        <w:spacing w:after="0"/>
      </w:pPr>
      <w:r>
        <w:t>Table</w:t>
      </w:r>
      <w:r>
        <w:rPr>
          <w:spacing w:val="-6"/>
        </w:rPr>
        <w:t xml:space="preserve"> </w:t>
      </w:r>
      <w:r w:rsidR="00916328">
        <w:t>6</w:t>
      </w:r>
      <w:r>
        <w:t>:</w:t>
      </w:r>
      <w:r>
        <w:rPr>
          <w:spacing w:val="-6"/>
        </w:rPr>
        <w:t xml:space="preserve"> </w:t>
      </w:r>
      <w:r>
        <w:t>Baseline</w:t>
      </w:r>
      <w:r>
        <w:rPr>
          <w:spacing w:val="-6"/>
        </w:rPr>
        <w:t xml:space="preserve"> </w:t>
      </w:r>
      <w:r>
        <w:rPr>
          <w:spacing w:val="-2"/>
        </w:rPr>
        <w:t>demographics</w:t>
      </w:r>
    </w:p>
    <w:p w14:paraId="497168BE" w14:textId="1ECC21C2" w:rsidR="006703CC" w:rsidRDefault="006703CC" w:rsidP="006703CC">
      <w:r>
        <w:rPr>
          <w:noProof/>
        </w:rPr>
        <w:drawing>
          <wp:inline distT="0" distB="0" distL="0" distR="0" wp14:anchorId="1837D610" wp14:editId="311BDB56">
            <wp:extent cx="5605780" cy="5572125"/>
            <wp:effectExtent l="0" t="0" r="0" b="9525"/>
            <wp:docPr id="19" name="Image 19" descr="This table presents the baseline demographics of the study participants. It includes information such as sex/gender, weight, and geographic 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This table presents the baseline demographics of the study participants. It includes information such as sex/gender, weight, and geographic reg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5780" cy="5572125"/>
                    </a:xfrm>
                    <a:prstGeom prst="rect">
                      <a:avLst/>
                    </a:prstGeom>
                  </pic:spPr>
                </pic:pic>
              </a:graphicData>
            </a:graphic>
          </wp:inline>
        </w:drawing>
      </w:r>
    </w:p>
    <w:p w14:paraId="795F9DC3" w14:textId="3DDAA772" w:rsidR="00221078" w:rsidRDefault="00221078" w:rsidP="00555A9B">
      <w:pPr>
        <w:pStyle w:val="Heading6"/>
      </w:pPr>
      <w:r>
        <w:t>Subject</w:t>
      </w:r>
      <w:r w:rsidR="00926495">
        <w:t>s</w:t>
      </w:r>
    </w:p>
    <w:p w14:paraId="4477983D" w14:textId="723EB96D" w:rsidR="008E0BFC" w:rsidRDefault="00221078" w:rsidP="00A74AA1">
      <w:r>
        <w:t>A high proportion (39.9%) of subjects discontinued from the study.</w:t>
      </w:r>
    </w:p>
    <w:p w14:paraId="240E994C" w14:textId="77777777" w:rsidR="00221078" w:rsidRDefault="00221078" w:rsidP="00221078">
      <w:r>
        <w:t>The Sponsor conducted an interim analysis at 12 weeks of treatment period (before 8</w:t>
      </w:r>
      <w:r>
        <w:rPr>
          <w:position w:val="5"/>
          <w:sz w:val="14"/>
        </w:rPr>
        <w:t>th</w:t>
      </w:r>
      <w:r>
        <w:rPr>
          <w:spacing w:val="26"/>
          <w:position w:val="5"/>
          <w:sz w:val="14"/>
        </w:rPr>
        <w:t xml:space="preserve"> </w:t>
      </w:r>
      <w:r>
        <w:t>July 2020). The analysis showed that difficulties with using the drug delivery system and infusion site skin AEs were the commonest causes for discontinuation. As a risk mitigation strategy, study sites and subjects underwent retraining, with a specific focus on</w:t>
      </w:r>
      <w:r>
        <w:rPr>
          <w:spacing w:val="-1"/>
        </w:rPr>
        <w:t xml:space="preserve"> </w:t>
      </w:r>
      <w:r>
        <w:t>the correct</w:t>
      </w:r>
      <w:r>
        <w:rPr>
          <w:spacing w:val="-3"/>
        </w:rPr>
        <w:t xml:space="preserve"> </w:t>
      </w:r>
      <w:r>
        <w:t>use and</w:t>
      </w:r>
      <w:r>
        <w:rPr>
          <w:spacing w:val="-2"/>
        </w:rPr>
        <w:t xml:space="preserve"> </w:t>
      </w:r>
      <w:r>
        <w:t>application</w:t>
      </w:r>
      <w:r>
        <w:rPr>
          <w:spacing w:val="-3"/>
        </w:rPr>
        <w:t xml:space="preserve"> </w:t>
      </w:r>
      <w:r>
        <w:t>of the infusion</w:t>
      </w:r>
      <w:r>
        <w:rPr>
          <w:spacing w:val="-1"/>
        </w:rPr>
        <w:t xml:space="preserve"> </w:t>
      </w:r>
      <w:r>
        <w:t>set cannula and aseptic techniques. In addition, Neria™ guard, the primary intended commercial infusion</w:t>
      </w:r>
      <w:r>
        <w:rPr>
          <w:spacing w:val="-3"/>
        </w:rPr>
        <w:t xml:space="preserve"> </w:t>
      </w:r>
      <w:r>
        <w:t>set for delivery</w:t>
      </w:r>
      <w:r>
        <w:rPr>
          <w:spacing w:val="-1"/>
        </w:rPr>
        <w:t xml:space="preserve"> </w:t>
      </w:r>
      <w:r>
        <w:t xml:space="preserve">of </w:t>
      </w:r>
      <w:r w:rsidR="00A175F6">
        <w:t>foslevodopa</w:t>
      </w:r>
      <w:r>
        <w:t>/foscarbidopa, was added in</w:t>
      </w:r>
      <w:r>
        <w:rPr>
          <w:spacing w:val="-1"/>
        </w:rPr>
        <w:t xml:space="preserve"> </w:t>
      </w:r>
      <w:r>
        <w:t>protocol</w:t>
      </w:r>
      <w:r>
        <w:rPr>
          <w:spacing w:val="-2"/>
        </w:rPr>
        <w:t xml:space="preserve"> </w:t>
      </w:r>
      <w:r>
        <w:t>Version</w:t>
      </w:r>
      <w:r>
        <w:rPr>
          <w:spacing w:val="-1"/>
        </w:rPr>
        <w:t xml:space="preserve"> </w:t>
      </w:r>
      <w:r>
        <w:t>6. Subjects who enrolled under protocol Version 6 were required to begin the study using the neria guard infusion</w:t>
      </w:r>
      <w:r>
        <w:rPr>
          <w:spacing w:val="-5"/>
        </w:rPr>
        <w:t xml:space="preserve"> </w:t>
      </w:r>
      <w:r>
        <w:t>set</w:t>
      </w:r>
      <w:r>
        <w:rPr>
          <w:spacing w:val="-2"/>
        </w:rPr>
        <w:t xml:space="preserve"> </w:t>
      </w:r>
      <w:r>
        <w:t>rather</w:t>
      </w:r>
      <w:r>
        <w:rPr>
          <w:spacing w:val="-2"/>
        </w:rPr>
        <w:t xml:space="preserve"> </w:t>
      </w:r>
      <w:r>
        <w:t>than</w:t>
      </w:r>
      <w:r>
        <w:rPr>
          <w:spacing w:val="-3"/>
        </w:rPr>
        <w:t xml:space="preserve"> </w:t>
      </w:r>
      <w:r>
        <w:t>the</w:t>
      </w:r>
      <w:r>
        <w:rPr>
          <w:spacing w:val="-2"/>
        </w:rPr>
        <w:t xml:space="preserve"> </w:t>
      </w:r>
      <w:r>
        <w:t>Cleo</w:t>
      </w:r>
      <w:r>
        <w:rPr>
          <w:spacing w:val="-2"/>
        </w:rPr>
        <w:t xml:space="preserve"> </w:t>
      </w:r>
      <w:r>
        <w:t>90</w:t>
      </w:r>
      <w:r>
        <w:rPr>
          <w:spacing w:val="-2"/>
        </w:rPr>
        <w:t xml:space="preserve"> </w:t>
      </w:r>
      <w:r>
        <w:t>infusion</w:t>
      </w:r>
      <w:r>
        <w:rPr>
          <w:spacing w:val="-3"/>
        </w:rPr>
        <w:t xml:space="preserve"> </w:t>
      </w:r>
      <w:r>
        <w:t>set.</w:t>
      </w:r>
      <w:r>
        <w:rPr>
          <w:spacing w:val="-2"/>
        </w:rPr>
        <w:t xml:space="preserve"> </w:t>
      </w:r>
      <w:r>
        <w:t>The</w:t>
      </w:r>
      <w:r>
        <w:rPr>
          <w:spacing w:val="-3"/>
        </w:rPr>
        <w:t xml:space="preserve"> </w:t>
      </w:r>
      <w:r>
        <w:t>analysis</w:t>
      </w:r>
      <w:r>
        <w:rPr>
          <w:spacing w:val="-1"/>
        </w:rPr>
        <w:t xml:space="preserve"> </w:t>
      </w:r>
      <w:r>
        <w:t>of</w:t>
      </w:r>
      <w:r>
        <w:rPr>
          <w:spacing w:val="-2"/>
        </w:rPr>
        <w:t xml:space="preserve"> </w:t>
      </w:r>
      <w:r>
        <w:t>human</w:t>
      </w:r>
      <w:r>
        <w:rPr>
          <w:spacing w:val="-3"/>
        </w:rPr>
        <w:t xml:space="preserve"> </w:t>
      </w:r>
      <w:r>
        <w:t>factor</w:t>
      </w:r>
      <w:r>
        <w:rPr>
          <w:spacing w:val="-4"/>
        </w:rPr>
        <w:t xml:space="preserve"> </w:t>
      </w:r>
      <w:r>
        <w:t>study</w:t>
      </w:r>
      <w:r>
        <w:rPr>
          <w:spacing w:val="-3"/>
        </w:rPr>
        <w:t xml:space="preserve"> </w:t>
      </w:r>
      <w:r>
        <w:t>at</w:t>
      </w:r>
      <w:r>
        <w:rPr>
          <w:spacing w:val="-2"/>
        </w:rPr>
        <w:t xml:space="preserve"> </w:t>
      </w:r>
      <w:r>
        <w:t>later</w:t>
      </w:r>
      <w:r>
        <w:rPr>
          <w:spacing w:val="-2"/>
        </w:rPr>
        <w:t xml:space="preserve"> </w:t>
      </w:r>
      <w:r>
        <w:t xml:space="preserve">time points suggested that the </w:t>
      </w:r>
      <w:r w:rsidR="00277FAD">
        <w:t>N</w:t>
      </w:r>
      <w:r>
        <w:t>eria guard infusion set showed fewer local manipulations and increased patient compliance.</w:t>
      </w:r>
    </w:p>
    <w:p w14:paraId="63968949" w14:textId="4BAA2C36" w:rsidR="00221078" w:rsidRDefault="00221078" w:rsidP="006703CC">
      <w:pPr>
        <w:pStyle w:val="TableTitle"/>
      </w:pPr>
      <w:r>
        <w:t>Table</w:t>
      </w:r>
      <w:r>
        <w:rPr>
          <w:spacing w:val="-6"/>
        </w:rPr>
        <w:t xml:space="preserve"> </w:t>
      </w:r>
      <w:r w:rsidR="00916328">
        <w:t>7</w:t>
      </w:r>
      <w:r>
        <w:t>:</w:t>
      </w:r>
      <w:r>
        <w:rPr>
          <w:spacing w:val="-6"/>
        </w:rPr>
        <w:t xml:space="preserve"> </w:t>
      </w:r>
      <w:r>
        <w:t>Subject</w:t>
      </w:r>
      <w:r>
        <w:rPr>
          <w:spacing w:val="-7"/>
        </w:rPr>
        <w:t xml:space="preserve"> </w:t>
      </w:r>
      <w:r w:rsidRPr="006703CC">
        <w:t>disposition</w:t>
      </w:r>
    </w:p>
    <w:p w14:paraId="0B56A1A0" w14:textId="7A48DF95" w:rsidR="00221078" w:rsidRPr="006703CC" w:rsidRDefault="006703CC" w:rsidP="006703CC">
      <w:r>
        <w:rPr>
          <w:noProof/>
        </w:rPr>
        <w:drawing>
          <wp:inline distT="0" distB="0" distL="0" distR="0" wp14:anchorId="1A155A14" wp14:editId="402D7C45">
            <wp:extent cx="4733925" cy="4619625"/>
            <wp:effectExtent l="0" t="0" r="9525" b="9525"/>
            <wp:docPr id="20" name="Image 20" descr="This table outlines the subject disposition in the study. It includes details such as the number of subjects enrolled, the number who completed the study, those who discontinued, and the reasons for discontinu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his table outlines the subject disposition in the study. It includes details such as the number of subjects enrolled, the number who completed the study, those who discontinued, and the reasons for discontinuation.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3925" cy="4619625"/>
                    </a:xfrm>
                    <a:prstGeom prst="rect">
                      <a:avLst/>
                    </a:prstGeom>
                  </pic:spPr>
                </pic:pic>
              </a:graphicData>
            </a:graphic>
          </wp:inline>
        </w:drawing>
      </w:r>
    </w:p>
    <w:p w14:paraId="635E6AEF" w14:textId="77777777" w:rsidR="00221078" w:rsidRDefault="00221078" w:rsidP="006703CC">
      <w:r w:rsidRPr="00E53BFC">
        <w:t xml:space="preserve">A comparative analysis of subject disposition across the subsets of patient population treated before and after the protocol change </w:t>
      </w:r>
      <w:r w:rsidR="00916328" w:rsidRPr="00E53BFC">
        <w:t xml:space="preserve">is shown in Table </w:t>
      </w:r>
      <w:r w:rsidR="008020C5" w:rsidRPr="00E53BFC">
        <w:t>8</w:t>
      </w:r>
      <w:r w:rsidR="00E53BFC">
        <w:t>.</w:t>
      </w:r>
    </w:p>
    <w:p w14:paraId="14253C3F" w14:textId="3AE0E6D3" w:rsidR="00221078" w:rsidRDefault="00221078" w:rsidP="006703CC">
      <w:pPr>
        <w:pStyle w:val="TableTitle"/>
      </w:pPr>
      <w:r>
        <w:t>Table</w:t>
      </w:r>
      <w:r>
        <w:rPr>
          <w:spacing w:val="-2"/>
        </w:rPr>
        <w:t xml:space="preserve"> </w:t>
      </w:r>
      <w:r w:rsidR="00E53BFC">
        <w:t>8</w:t>
      </w:r>
      <w:r>
        <w:t>:</w:t>
      </w:r>
      <w:r>
        <w:rPr>
          <w:spacing w:val="-3"/>
        </w:rPr>
        <w:t xml:space="preserve"> </w:t>
      </w:r>
      <w:r>
        <w:t>Comparative</w:t>
      </w:r>
      <w:r>
        <w:rPr>
          <w:spacing w:val="-2"/>
        </w:rPr>
        <w:t xml:space="preserve"> </w:t>
      </w:r>
      <w:r>
        <w:t>analysis</w:t>
      </w:r>
      <w:r>
        <w:rPr>
          <w:spacing w:val="-3"/>
        </w:rPr>
        <w:t xml:space="preserve"> </w:t>
      </w:r>
      <w:r>
        <w:t>of</w:t>
      </w:r>
      <w:r>
        <w:rPr>
          <w:spacing w:val="-3"/>
        </w:rPr>
        <w:t xml:space="preserve"> </w:t>
      </w:r>
      <w:r w:rsidRPr="006703CC">
        <w:t>subject</w:t>
      </w:r>
      <w:r>
        <w:rPr>
          <w:spacing w:val="-3"/>
        </w:rPr>
        <w:t xml:space="preserve"> </w:t>
      </w:r>
      <w:r>
        <w:t>disposition</w:t>
      </w:r>
      <w:r>
        <w:rPr>
          <w:spacing w:val="-4"/>
        </w:rPr>
        <w:t xml:space="preserve"> </w:t>
      </w:r>
      <w:r>
        <w:t>across</w:t>
      </w:r>
      <w:r>
        <w:rPr>
          <w:spacing w:val="-3"/>
        </w:rPr>
        <w:t xml:space="preserve"> </w:t>
      </w:r>
      <w:r>
        <w:t>the</w:t>
      </w:r>
      <w:r>
        <w:rPr>
          <w:spacing w:val="-2"/>
        </w:rPr>
        <w:t xml:space="preserve"> </w:t>
      </w:r>
      <w:r>
        <w:t>subsets</w:t>
      </w:r>
      <w:r>
        <w:rPr>
          <w:spacing w:val="-3"/>
        </w:rPr>
        <w:t xml:space="preserve"> </w:t>
      </w:r>
      <w:r>
        <w:t>of</w:t>
      </w:r>
      <w:r>
        <w:rPr>
          <w:spacing w:val="-3"/>
        </w:rPr>
        <w:t xml:space="preserve"> </w:t>
      </w:r>
      <w:r>
        <w:t>patient</w:t>
      </w:r>
      <w:r>
        <w:rPr>
          <w:spacing w:val="-3"/>
        </w:rPr>
        <w:t xml:space="preserve"> </w:t>
      </w:r>
      <w:r>
        <w:t>population</w:t>
      </w:r>
      <w:r>
        <w:rPr>
          <w:spacing w:val="-4"/>
        </w:rPr>
        <w:t xml:space="preserve"> </w:t>
      </w:r>
      <w:r>
        <w:t>treated</w:t>
      </w:r>
      <w:r>
        <w:rPr>
          <w:spacing w:val="-3"/>
        </w:rPr>
        <w:t xml:space="preserve"> </w:t>
      </w:r>
      <w:r>
        <w:t>before</w:t>
      </w:r>
      <w:r>
        <w:rPr>
          <w:spacing w:val="-2"/>
        </w:rPr>
        <w:t xml:space="preserve"> </w:t>
      </w:r>
      <w:r>
        <w:t>and after the protocol change</w:t>
      </w:r>
    </w:p>
    <w:p w14:paraId="75991E1F" w14:textId="0DCAD7FA" w:rsidR="00714419" w:rsidRDefault="0081325A" w:rsidP="00875B07">
      <w:r>
        <w:rPr>
          <w:noProof/>
        </w:rPr>
        <w:drawing>
          <wp:inline distT="0" distB="0" distL="0" distR="0" wp14:anchorId="39CC467F" wp14:editId="3CF2D793">
            <wp:extent cx="4962525" cy="4314825"/>
            <wp:effectExtent l="0" t="0" r="9525" b="9525"/>
            <wp:docPr id="1546639757" name="Picture 1" descr="This table provides a comparative analysis of subject disposition across the subsets of the patient population treated before and after the protocol change. It includes data on the number of subjects in each subset, those who discontinued, and the reasons for discontin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9757" name="Picture 1" descr="This table provides a comparative analysis of subject disposition across the subsets of the patient population treated before and after the protocol change. It includes data on the number of subjects in each subset, those who discontinued, and the reasons for discontinuation. "/>
                    <pic:cNvPicPr/>
                  </pic:nvPicPr>
                  <pic:blipFill>
                    <a:blip r:embed="rId29"/>
                    <a:stretch>
                      <a:fillRect/>
                    </a:stretch>
                  </pic:blipFill>
                  <pic:spPr>
                    <a:xfrm>
                      <a:off x="0" y="0"/>
                      <a:ext cx="4962525" cy="4314825"/>
                    </a:xfrm>
                    <a:prstGeom prst="rect">
                      <a:avLst/>
                    </a:prstGeom>
                  </pic:spPr>
                </pic:pic>
              </a:graphicData>
            </a:graphic>
          </wp:inline>
        </w:drawing>
      </w:r>
    </w:p>
    <w:p w14:paraId="2D4F861F" w14:textId="042EAD70" w:rsidR="00221078" w:rsidRDefault="00221078" w:rsidP="00435A1B">
      <w:pPr>
        <w:pStyle w:val="Heading6"/>
      </w:pPr>
      <w:r>
        <w:t>Results</w:t>
      </w:r>
    </w:p>
    <w:p w14:paraId="4B9A9402" w14:textId="148EA881" w:rsidR="00714419" w:rsidRPr="00875B07" w:rsidRDefault="00221078" w:rsidP="00875B07">
      <w:r>
        <w:t>At week 26, there was an overall improvement in the “exploratory efficacy endpoints”. There was an improvement in the “On-time” with and without dyskinesia, along with a reduction in the “Off-time”. Improvements in sleep symptoms and health-related quality of life were achieved.</w:t>
      </w:r>
      <w:r>
        <w:rPr>
          <w:spacing w:val="-2"/>
        </w:rPr>
        <w:t xml:space="preserve"> </w:t>
      </w:r>
      <w:r>
        <w:t>A</w:t>
      </w:r>
      <w:r>
        <w:rPr>
          <w:spacing w:val="-5"/>
        </w:rPr>
        <w:t xml:space="preserve"> </w:t>
      </w:r>
      <w:r>
        <w:t>similar</w:t>
      </w:r>
      <w:r>
        <w:rPr>
          <w:spacing w:val="-2"/>
        </w:rPr>
        <w:t xml:space="preserve"> </w:t>
      </w:r>
      <w:r>
        <w:t>improvement</w:t>
      </w:r>
      <w:r>
        <w:rPr>
          <w:spacing w:val="-2"/>
        </w:rPr>
        <w:t xml:space="preserve"> </w:t>
      </w:r>
      <w:r>
        <w:t>in</w:t>
      </w:r>
      <w:r>
        <w:rPr>
          <w:spacing w:val="-3"/>
        </w:rPr>
        <w:t xml:space="preserve"> </w:t>
      </w:r>
      <w:r>
        <w:t>“motor</w:t>
      </w:r>
      <w:r>
        <w:rPr>
          <w:spacing w:val="-2"/>
        </w:rPr>
        <w:t xml:space="preserve"> </w:t>
      </w:r>
      <w:r>
        <w:t>aspects</w:t>
      </w:r>
      <w:r>
        <w:rPr>
          <w:spacing w:val="-3"/>
        </w:rPr>
        <w:t xml:space="preserve"> </w:t>
      </w:r>
      <w:r>
        <w:t>of</w:t>
      </w:r>
      <w:r>
        <w:rPr>
          <w:spacing w:val="-2"/>
        </w:rPr>
        <w:t xml:space="preserve"> </w:t>
      </w:r>
      <w:r>
        <w:t>experiences</w:t>
      </w:r>
      <w:r>
        <w:rPr>
          <w:spacing w:val="-2"/>
        </w:rPr>
        <w:t xml:space="preserve"> </w:t>
      </w:r>
      <w:r>
        <w:t>of</w:t>
      </w:r>
      <w:r>
        <w:rPr>
          <w:spacing w:val="-2"/>
        </w:rPr>
        <w:t xml:space="preserve"> </w:t>
      </w:r>
      <w:r>
        <w:t>daily</w:t>
      </w:r>
      <w:r>
        <w:rPr>
          <w:spacing w:val="-3"/>
        </w:rPr>
        <w:t xml:space="preserve"> </w:t>
      </w:r>
      <w:r>
        <w:t>living</w:t>
      </w:r>
      <w:r>
        <w:rPr>
          <w:spacing w:val="-2"/>
        </w:rPr>
        <w:t xml:space="preserve"> </w:t>
      </w:r>
      <w:r>
        <w:t>and</w:t>
      </w:r>
      <w:r>
        <w:rPr>
          <w:spacing w:val="-2"/>
        </w:rPr>
        <w:t xml:space="preserve"> </w:t>
      </w:r>
      <w:r>
        <w:t>quality</w:t>
      </w:r>
      <w:r>
        <w:rPr>
          <w:spacing w:val="-3"/>
        </w:rPr>
        <w:t xml:space="preserve"> </w:t>
      </w:r>
      <w:r>
        <w:t>of life endpoints were not reported.</w:t>
      </w:r>
    </w:p>
    <w:p w14:paraId="5BEEE74C" w14:textId="515690A3" w:rsidR="00313328" w:rsidRPr="00711382" w:rsidRDefault="00313328" w:rsidP="00875B07">
      <w:pPr>
        <w:pStyle w:val="TableTitle"/>
      </w:pPr>
      <w:r w:rsidRPr="00711382">
        <w:t xml:space="preserve">Table 9: </w:t>
      </w:r>
      <w:r w:rsidR="00711382" w:rsidRPr="00711382">
        <w:t xml:space="preserve">Efficacy </w:t>
      </w:r>
      <w:r w:rsidR="00711382" w:rsidRPr="00875B07">
        <w:t>endpoints</w:t>
      </w:r>
    </w:p>
    <w:p w14:paraId="6AD5715A" w14:textId="77777777" w:rsidR="00875B07" w:rsidRDefault="00875B07" w:rsidP="00875B07">
      <w:bookmarkStart w:id="64" w:name="Study_M15-739"/>
      <w:bookmarkEnd w:id="64"/>
      <w:r w:rsidRPr="00711382">
        <w:rPr>
          <w:noProof/>
        </w:rPr>
        <w:drawing>
          <wp:inline distT="0" distB="0" distL="0" distR="0" wp14:anchorId="3CD5BB72" wp14:editId="6E84DDBA">
            <wp:extent cx="5154295" cy="2583815"/>
            <wp:effectExtent l="0" t="0" r="8255" b="6985"/>
            <wp:docPr id="22" name="Image 22" descr="This table provides the results for each efficacy endpoint of the stu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This table provides the results for each efficacy endpoint of the stud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4295" cy="2583815"/>
                    </a:xfrm>
                    <a:prstGeom prst="rect">
                      <a:avLst/>
                    </a:prstGeom>
                  </pic:spPr>
                </pic:pic>
              </a:graphicData>
            </a:graphic>
          </wp:inline>
        </w:drawing>
      </w:r>
    </w:p>
    <w:p w14:paraId="2326EF6D" w14:textId="2B6F607D" w:rsidR="00221078" w:rsidRDefault="00221078" w:rsidP="000D6440">
      <w:pPr>
        <w:pStyle w:val="Heading5"/>
      </w:pPr>
      <w:r>
        <w:t>Study</w:t>
      </w:r>
      <w:r>
        <w:rPr>
          <w:spacing w:val="-8"/>
        </w:rPr>
        <w:t xml:space="preserve"> </w:t>
      </w:r>
      <w:r>
        <w:t>M15-</w:t>
      </w:r>
      <w:r>
        <w:rPr>
          <w:spacing w:val="-5"/>
        </w:rPr>
        <w:t>739</w:t>
      </w:r>
    </w:p>
    <w:p w14:paraId="27BBF480" w14:textId="77777777" w:rsidR="00221078" w:rsidRDefault="00221078" w:rsidP="00711382">
      <w:r>
        <w:t>A</w:t>
      </w:r>
      <w:r>
        <w:rPr>
          <w:spacing w:val="-5"/>
        </w:rPr>
        <w:t xml:space="preserve"> </w:t>
      </w:r>
      <w:r>
        <w:t>phase</w:t>
      </w:r>
      <w:r>
        <w:rPr>
          <w:spacing w:val="-4"/>
        </w:rPr>
        <w:t xml:space="preserve"> </w:t>
      </w:r>
      <w:r>
        <w:t>Ib,</w:t>
      </w:r>
      <w:r>
        <w:rPr>
          <w:spacing w:val="-5"/>
        </w:rPr>
        <w:t xml:space="preserve"> </w:t>
      </w:r>
      <w:r>
        <w:t>single-arm,</w:t>
      </w:r>
      <w:r>
        <w:rPr>
          <w:spacing w:val="-4"/>
        </w:rPr>
        <w:t xml:space="preserve"> </w:t>
      </w:r>
      <w:r>
        <w:t>open-label,</w:t>
      </w:r>
      <w:r>
        <w:rPr>
          <w:spacing w:val="-5"/>
        </w:rPr>
        <w:t xml:space="preserve"> </w:t>
      </w:r>
      <w:r>
        <w:t>outpatient</w:t>
      </w:r>
      <w:r>
        <w:rPr>
          <w:spacing w:val="-3"/>
        </w:rPr>
        <w:t xml:space="preserve"> </w:t>
      </w:r>
      <w:r>
        <w:rPr>
          <w:spacing w:val="-2"/>
        </w:rPr>
        <w:t>study.</w:t>
      </w:r>
    </w:p>
    <w:p w14:paraId="709FAC69" w14:textId="13BC2297" w:rsidR="00221078" w:rsidRDefault="00221078" w:rsidP="00875B07">
      <w:r>
        <w:t xml:space="preserve">The primary objective was to assess local and systemic safety and tolerability of </w:t>
      </w:r>
      <w:r w:rsidR="00A175F6">
        <w:t>foslevodopa</w:t>
      </w:r>
      <w:r>
        <w:t>/foscarbidopa over 4 weeks in an outpatient setting. The secondary objective was</w:t>
      </w:r>
      <w:r>
        <w:rPr>
          <w:spacing w:val="40"/>
        </w:rPr>
        <w:t xml:space="preserve"> </w:t>
      </w:r>
      <w:r>
        <w:t xml:space="preserve">to assess steady-state </w:t>
      </w:r>
      <w:r w:rsidR="002A37D4">
        <w:t>LD</w:t>
      </w:r>
      <w:r>
        <w:t xml:space="preserve"> levels. The exploratory objectives were to assess the efficacy of </w:t>
      </w:r>
      <w:r w:rsidR="00A175F6">
        <w:t>foslevodopa</w:t>
      </w:r>
      <w:r>
        <w:t>/foscarbidopa</w:t>
      </w:r>
      <w:r>
        <w:rPr>
          <w:spacing w:val="-4"/>
        </w:rPr>
        <w:t xml:space="preserve"> </w:t>
      </w:r>
      <w:r>
        <w:t>in</w:t>
      </w:r>
      <w:r>
        <w:rPr>
          <w:spacing w:val="-5"/>
        </w:rPr>
        <w:t xml:space="preserve"> </w:t>
      </w:r>
      <w:r>
        <w:t>subjects</w:t>
      </w:r>
      <w:r>
        <w:rPr>
          <w:spacing w:val="-3"/>
        </w:rPr>
        <w:t xml:space="preserve"> </w:t>
      </w:r>
      <w:r>
        <w:t>whose</w:t>
      </w:r>
      <w:r>
        <w:rPr>
          <w:spacing w:val="-4"/>
        </w:rPr>
        <w:t xml:space="preserve"> </w:t>
      </w:r>
      <w:r>
        <w:t>motor</w:t>
      </w:r>
      <w:r>
        <w:rPr>
          <w:spacing w:val="-7"/>
        </w:rPr>
        <w:t xml:space="preserve"> </w:t>
      </w:r>
      <w:r>
        <w:t>complications</w:t>
      </w:r>
      <w:r>
        <w:rPr>
          <w:spacing w:val="-3"/>
        </w:rPr>
        <w:t xml:space="preserve"> </w:t>
      </w:r>
      <w:r>
        <w:t>were</w:t>
      </w:r>
      <w:r>
        <w:rPr>
          <w:spacing w:val="-4"/>
        </w:rPr>
        <w:t xml:space="preserve"> </w:t>
      </w:r>
      <w:r>
        <w:t>inadequately</w:t>
      </w:r>
      <w:r>
        <w:rPr>
          <w:spacing w:val="-5"/>
        </w:rPr>
        <w:t xml:space="preserve"> </w:t>
      </w:r>
      <w:r>
        <w:t>controlled by current therapy.</w:t>
      </w:r>
    </w:p>
    <w:p w14:paraId="38A63726" w14:textId="77777777" w:rsidR="00221078" w:rsidRDefault="00221078" w:rsidP="00875B07">
      <w:r>
        <w:t>21</w:t>
      </w:r>
      <w:r>
        <w:rPr>
          <w:spacing w:val="-3"/>
        </w:rPr>
        <w:t xml:space="preserve"> </w:t>
      </w:r>
      <w:r>
        <w:t>subjects</w:t>
      </w:r>
      <w:r>
        <w:rPr>
          <w:spacing w:val="-2"/>
        </w:rPr>
        <w:t xml:space="preserve"> </w:t>
      </w:r>
      <w:r>
        <w:t>were</w:t>
      </w:r>
      <w:r>
        <w:rPr>
          <w:spacing w:val="-3"/>
        </w:rPr>
        <w:t xml:space="preserve"> </w:t>
      </w:r>
      <w:r>
        <w:t>recruited.</w:t>
      </w:r>
      <w:r>
        <w:rPr>
          <w:spacing w:val="-3"/>
        </w:rPr>
        <w:t xml:space="preserve"> </w:t>
      </w:r>
      <w:r>
        <w:t>14</w:t>
      </w:r>
      <w:r>
        <w:rPr>
          <w:spacing w:val="-3"/>
        </w:rPr>
        <w:t xml:space="preserve"> </w:t>
      </w:r>
      <w:r>
        <w:t>subjects</w:t>
      </w:r>
      <w:r>
        <w:rPr>
          <w:spacing w:val="-4"/>
        </w:rPr>
        <w:t xml:space="preserve"> </w:t>
      </w:r>
      <w:r>
        <w:t>completed</w:t>
      </w:r>
      <w:r>
        <w:rPr>
          <w:spacing w:val="-3"/>
        </w:rPr>
        <w:t xml:space="preserve"> </w:t>
      </w:r>
      <w:r>
        <w:t>the</w:t>
      </w:r>
      <w:r>
        <w:rPr>
          <w:spacing w:val="-3"/>
        </w:rPr>
        <w:t xml:space="preserve"> </w:t>
      </w:r>
      <w:r>
        <w:t>study.</w:t>
      </w:r>
      <w:r>
        <w:rPr>
          <w:spacing w:val="-2"/>
        </w:rPr>
        <w:t xml:space="preserve"> </w:t>
      </w:r>
      <w:r>
        <w:t>Mean</w:t>
      </w:r>
      <w:r>
        <w:rPr>
          <w:spacing w:val="-4"/>
        </w:rPr>
        <w:t xml:space="preserve"> </w:t>
      </w:r>
      <w:r>
        <w:t>subject</w:t>
      </w:r>
      <w:r>
        <w:rPr>
          <w:spacing w:val="-3"/>
        </w:rPr>
        <w:t xml:space="preserve"> </w:t>
      </w:r>
      <w:r>
        <w:t>age</w:t>
      </w:r>
      <w:r>
        <w:rPr>
          <w:spacing w:val="-3"/>
        </w:rPr>
        <w:t xml:space="preserve"> </w:t>
      </w:r>
      <w:r>
        <w:t>was</w:t>
      </w:r>
      <w:r>
        <w:rPr>
          <w:spacing w:val="-2"/>
        </w:rPr>
        <w:t xml:space="preserve"> </w:t>
      </w:r>
      <w:r>
        <w:t>61.6</w:t>
      </w:r>
      <w:r>
        <w:rPr>
          <w:spacing w:val="-3"/>
        </w:rPr>
        <w:t xml:space="preserve"> </w:t>
      </w:r>
      <w:r>
        <w:t>y (Range: 35-77 years). 62% of the subjects were males.</w:t>
      </w:r>
    </w:p>
    <w:p w14:paraId="5B9E8226" w14:textId="5F45072D" w:rsidR="00221078" w:rsidRDefault="00221078" w:rsidP="00875B07">
      <w:pPr>
        <w:pStyle w:val="TableTitle"/>
      </w:pPr>
      <w:r>
        <w:t>Table</w:t>
      </w:r>
      <w:r>
        <w:rPr>
          <w:spacing w:val="-7"/>
        </w:rPr>
        <w:t xml:space="preserve"> </w:t>
      </w:r>
      <w:r w:rsidR="00D80F58">
        <w:t>10</w:t>
      </w:r>
      <w:r>
        <w:t>:</w:t>
      </w:r>
      <w:r>
        <w:rPr>
          <w:spacing w:val="-7"/>
        </w:rPr>
        <w:t xml:space="preserve"> </w:t>
      </w:r>
      <w:r>
        <w:t>Demographic</w:t>
      </w:r>
      <w:r>
        <w:rPr>
          <w:spacing w:val="-7"/>
        </w:rPr>
        <w:t xml:space="preserve"> </w:t>
      </w:r>
      <w:r>
        <w:rPr>
          <w:spacing w:val="-2"/>
        </w:rPr>
        <w:t>summary</w:t>
      </w:r>
    </w:p>
    <w:p w14:paraId="66C747B0" w14:textId="324C14E8" w:rsidR="00875B07" w:rsidRDefault="00875B07" w:rsidP="00875B07">
      <w:r>
        <w:rPr>
          <w:noProof/>
        </w:rPr>
        <w:drawing>
          <wp:inline distT="0" distB="0" distL="0" distR="0" wp14:anchorId="16EFEA63" wp14:editId="0CFFA6A5">
            <wp:extent cx="4495800" cy="1019175"/>
            <wp:effectExtent l="0" t="0" r="0" b="9525"/>
            <wp:docPr id="23" name="Image 23" descr="This table provides a demographic summary of the study participants. It includes key demographic characteristics such as age, weight, height and sex (males and femal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This table provides a demographic summary of the study participants. It includes key demographic characteristics such as age, weight, height and sex (males and female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0" cy="1019175"/>
                    </a:xfrm>
                    <a:prstGeom prst="rect">
                      <a:avLst/>
                    </a:prstGeom>
                  </pic:spPr>
                </pic:pic>
              </a:graphicData>
            </a:graphic>
          </wp:inline>
        </w:drawing>
      </w:r>
    </w:p>
    <w:p w14:paraId="465D0423" w14:textId="77777777" w:rsidR="00221078" w:rsidRDefault="00221078" w:rsidP="007D1E43">
      <w:pPr>
        <w:pStyle w:val="Heading5"/>
      </w:pPr>
      <w:r w:rsidRPr="00E454B9">
        <w:t>Exploratory</w:t>
      </w:r>
      <w:r w:rsidRPr="00E454B9">
        <w:rPr>
          <w:spacing w:val="-6"/>
        </w:rPr>
        <w:t xml:space="preserve"> </w:t>
      </w:r>
      <w:r w:rsidRPr="00E454B9">
        <w:t>efficacy</w:t>
      </w:r>
      <w:r w:rsidRPr="00E454B9">
        <w:rPr>
          <w:spacing w:val="-6"/>
        </w:rPr>
        <w:t xml:space="preserve"> </w:t>
      </w:r>
      <w:r w:rsidRPr="00E454B9">
        <w:rPr>
          <w:spacing w:val="-2"/>
        </w:rPr>
        <w:t>results</w:t>
      </w:r>
    </w:p>
    <w:p w14:paraId="79748342" w14:textId="3474B025" w:rsidR="00221078" w:rsidRDefault="00221078" w:rsidP="00E454B9">
      <w:r>
        <w:t>17 of the 20 subjects had improvement in "Off" time. The mean (SD) reduction of "Off" time</w:t>
      </w:r>
      <w:r>
        <w:rPr>
          <w:spacing w:val="40"/>
        </w:rPr>
        <w:t xml:space="preserve"> </w:t>
      </w:r>
      <w:r>
        <w:t>from baseline to study end was 3.24 (3.65) hours across subjects (46.2% improvement). Four subjects reported &gt; 90% reduction of daily "Off" time at the end of the study. There was an overall</w:t>
      </w:r>
      <w:r>
        <w:rPr>
          <w:spacing w:val="-3"/>
        </w:rPr>
        <w:t xml:space="preserve"> </w:t>
      </w:r>
      <w:r>
        <w:t>reduction</w:t>
      </w:r>
      <w:r>
        <w:rPr>
          <w:spacing w:val="-4"/>
        </w:rPr>
        <w:t xml:space="preserve"> </w:t>
      </w:r>
      <w:r>
        <w:t>in</w:t>
      </w:r>
      <w:r>
        <w:rPr>
          <w:spacing w:val="-4"/>
        </w:rPr>
        <w:t xml:space="preserve"> </w:t>
      </w:r>
      <w:r>
        <w:t>normalized</w:t>
      </w:r>
      <w:r>
        <w:rPr>
          <w:spacing w:val="-3"/>
        </w:rPr>
        <w:t xml:space="preserve"> </w:t>
      </w:r>
      <w:r>
        <w:t>"Off"</w:t>
      </w:r>
      <w:r>
        <w:rPr>
          <w:spacing w:val="-3"/>
        </w:rPr>
        <w:t xml:space="preserve"> </w:t>
      </w:r>
      <w:r>
        <w:t>time</w:t>
      </w:r>
      <w:r>
        <w:rPr>
          <w:spacing w:val="-3"/>
        </w:rPr>
        <w:t xml:space="preserve"> </w:t>
      </w:r>
      <w:r>
        <w:t>and</w:t>
      </w:r>
      <w:r>
        <w:rPr>
          <w:spacing w:val="-3"/>
        </w:rPr>
        <w:t xml:space="preserve"> </w:t>
      </w:r>
      <w:r>
        <w:t>"On"</w:t>
      </w:r>
      <w:r>
        <w:rPr>
          <w:spacing w:val="-6"/>
        </w:rPr>
        <w:t xml:space="preserve"> </w:t>
      </w:r>
      <w:r>
        <w:t>time</w:t>
      </w:r>
      <w:r>
        <w:rPr>
          <w:spacing w:val="-3"/>
        </w:rPr>
        <w:t xml:space="preserve"> </w:t>
      </w:r>
      <w:r>
        <w:t>with</w:t>
      </w:r>
      <w:r>
        <w:rPr>
          <w:spacing w:val="-2"/>
        </w:rPr>
        <w:t xml:space="preserve"> </w:t>
      </w:r>
      <w:r>
        <w:t>non-troublesome</w:t>
      </w:r>
      <w:r>
        <w:rPr>
          <w:spacing w:val="-3"/>
        </w:rPr>
        <w:t xml:space="preserve"> </w:t>
      </w:r>
      <w:r>
        <w:t>dyskinesia.</w:t>
      </w:r>
      <w:r>
        <w:rPr>
          <w:spacing w:val="40"/>
        </w:rPr>
        <w:t xml:space="preserve"> </w:t>
      </w:r>
      <w:r>
        <w:t>and A mean improvement of 3.99 (5.37) hours was reported for</w:t>
      </w:r>
      <w:r>
        <w:rPr>
          <w:spacing w:val="40"/>
        </w:rPr>
        <w:t xml:space="preserve"> </w:t>
      </w:r>
      <w:r>
        <w:t xml:space="preserve">"On" time with troublesome </w:t>
      </w:r>
      <w:r>
        <w:rPr>
          <w:spacing w:val="-2"/>
        </w:rPr>
        <w:t>dyskinesia</w:t>
      </w:r>
      <w:r w:rsidR="00E454B9">
        <w:rPr>
          <w:spacing w:val="-2"/>
        </w:rPr>
        <w:t>.</w:t>
      </w:r>
    </w:p>
    <w:p w14:paraId="77F27412" w14:textId="2D620B81" w:rsidR="00221078" w:rsidRDefault="00221078" w:rsidP="00E454B9">
      <w:r>
        <w:t>The</w:t>
      </w:r>
      <w:r>
        <w:rPr>
          <w:spacing w:val="-5"/>
        </w:rPr>
        <w:t xml:space="preserve"> </w:t>
      </w:r>
      <w:r>
        <w:t>Sponsor</w:t>
      </w:r>
      <w:r>
        <w:rPr>
          <w:spacing w:val="-3"/>
        </w:rPr>
        <w:t xml:space="preserve"> </w:t>
      </w:r>
      <w:r>
        <w:t>considered</w:t>
      </w:r>
      <w:r>
        <w:rPr>
          <w:spacing w:val="-3"/>
        </w:rPr>
        <w:t xml:space="preserve"> </w:t>
      </w:r>
      <w:r>
        <w:t>that</w:t>
      </w:r>
      <w:r>
        <w:rPr>
          <w:spacing w:val="-3"/>
        </w:rPr>
        <w:t xml:space="preserve"> </w:t>
      </w:r>
      <w:r>
        <w:t>the</w:t>
      </w:r>
      <w:r>
        <w:rPr>
          <w:spacing w:val="-3"/>
        </w:rPr>
        <w:t xml:space="preserve"> </w:t>
      </w:r>
      <w:r>
        <w:t>overall</w:t>
      </w:r>
      <w:r>
        <w:rPr>
          <w:spacing w:val="-3"/>
        </w:rPr>
        <w:t xml:space="preserve"> </w:t>
      </w:r>
      <w:r>
        <w:t>exploratory</w:t>
      </w:r>
      <w:r>
        <w:rPr>
          <w:spacing w:val="-4"/>
        </w:rPr>
        <w:t xml:space="preserve"> </w:t>
      </w:r>
      <w:r>
        <w:t>efficacy</w:t>
      </w:r>
      <w:r>
        <w:rPr>
          <w:spacing w:val="-4"/>
        </w:rPr>
        <w:t xml:space="preserve"> </w:t>
      </w:r>
      <w:r>
        <w:t>data</w:t>
      </w:r>
      <w:r>
        <w:rPr>
          <w:spacing w:val="-3"/>
        </w:rPr>
        <w:t xml:space="preserve"> </w:t>
      </w:r>
      <w:r>
        <w:t>associated</w:t>
      </w:r>
      <w:r>
        <w:rPr>
          <w:spacing w:val="-5"/>
        </w:rPr>
        <w:t xml:space="preserve"> </w:t>
      </w:r>
      <w:r>
        <w:t>with</w:t>
      </w:r>
      <w:r>
        <w:rPr>
          <w:spacing w:val="-2"/>
        </w:rPr>
        <w:t xml:space="preserve"> </w:t>
      </w:r>
      <w:r>
        <w:t>reduction</w:t>
      </w:r>
      <w:r>
        <w:rPr>
          <w:spacing w:val="-4"/>
        </w:rPr>
        <w:t xml:space="preserve"> </w:t>
      </w:r>
      <w:r>
        <w:t xml:space="preserve">of "Off" time and improvement in "On" time were consistent with data reported from previous </w:t>
      </w:r>
      <w:r w:rsidR="00A175F6">
        <w:t>Duodopa</w:t>
      </w:r>
      <w:r>
        <w:t xml:space="preserve"> studies.</w:t>
      </w:r>
    </w:p>
    <w:p w14:paraId="2B5BD0F9" w14:textId="3A2175F5" w:rsidR="00221078" w:rsidRPr="00AB76D0" w:rsidRDefault="00AB76D0" w:rsidP="00E454B9">
      <w:r w:rsidRPr="00AB76D0">
        <w:t>The Delegate noted the</w:t>
      </w:r>
      <w:r w:rsidR="00854218">
        <w:t>re were</w:t>
      </w:r>
      <w:r w:rsidR="00221078" w:rsidRPr="00AB76D0">
        <w:t xml:space="preserve"> wide standard deviation</w:t>
      </w:r>
      <w:r w:rsidR="00854218">
        <w:t>s</w:t>
      </w:r>
      <w:r w:rsidR="00221078" w:rsidRPr="00AB76D0">
        <w:t xml:space="preserve"> for the efficacy endpoints. The low number</w:t>
      </w:r>
      <w:r w:rsidR="00221078" w:rsidRPr="00AB76D0">
        <w:rPr>
          <w:spacing w:val="-4"/>
        </w:rPr>
        <w:t xml:space="preserve"> </w:t>
      </w:r>
      <w:r w:rsidR="00221078" w:rsidRPr="00AB76D0">
        <w:t>of</w:t>
      </w:r>
      <w:r w:rsidR="00221078" w:rsidRPr="00AB76D0">
        <w:rPr>
          <w:spacing w:val="-2"/>
        </w:rPr>
        <w:t xml:space="preserve"> </w:t>
      </w:r>
      <w:r w:rsidR="00221078" w:rsidRPr="00AB76D0">
        <w:t>participants</w:t>
      </w:r>
      <w:r w:rsidR="00221078" w:rsidRPr="00AB76D0">
        <w:rPr>
          <w:spacing w:val="-2"/>
        </w:rPr>
        <w:t xml:space="preserve"> </w:t>
      </w:r>
      <w:r w:rsidR="00221078" w:rsidRPr="00AB76D0">
        <w:t>and</w:t>
      </w:r>
      <w:r w:rsidR="00221078" w:rsidRPr="00AB76D0">
        <w:rPr>
          <w:spacing w:val="-5"/>
        </w:rPr>
        <w:t xml:space="preserve"> </w:t>
      </w:r>
      <w:r w:rsidR="00221078" w:rsidRPr="00AB76D0">
        <w:t>the</w:t>
      </w:r>
      <w:r w:rsidR="00221078" w:rsidRPr="00AB76D0">
        <w:rPr>
          <w:spacing w:val="-1"/>
        </w:rPr>
        <w:t xml:space="preserve"> </w:t>
      </w:r>
      <w:r w:rsidR="00221078" w:rsidRPr="00AB76D0">
        <w:t>natural</w:t>
      </w:r>
      <w:r w:rsidR="00221078" w:rsidRPr="00AB76D0">
        <w:rPr>
          <w:spacing w:val="-5"/>
        </w:rPr>
        <w:t xml:space="preserve"> </w:t>
      </w:r>
      <w:r w:rsidR="00221078" w:rsidRPr="00AB76D0">
        <w:t>variability</w:t>
      </w:r>
      <w:r w:rsidR="00221078" w:rsidRPr="00AB76D0">
        <w:rPr>
          <w:spacing w:val="-3"/>
        </w:rPr>
        <w:t xml:space="preserve"> </w:t>
      </w:r>
      <w:r w:rsidR="00221078" w:rsidRPr="00AB76D0">
        <w:t>of</w:t>
      </w:r>
      <w:r w:rsidR="00221078" w:rsidRPr="00AB76D0">
        <w:rPr>
          <w:spacing w:val="-2"/>
        </w:rPr>
        <w:t xml:space="preserve"> </w:t>
      </w:r>
      <w:r w:rsidR="00221078" w:rsidRPr="00AB76D0">
        <w:t>these</w:t>
      </w:r>
      <w:r w:rsidR="00221078" w:rsidRPr="00AB76D0">
        <w:rPr>
          <w:spacing w:val="-4"/>
        </w:rPr>
        <w:t xml:space="preserve"> </w:t>
      </w:r>
      <w:r w:rsidR="00221078" w:rsidRPr="00AB76D0">
        <w:t>endpoints</w:t>
      </w:r>
      <w:r w:rsidR="00221078" w:rsidRPr="00AB76D0">
        <w:rPr>
          <w:spacing w:val="-4"/>
        </w:rPr>
        <w:t xml:space="preserve"> </w:t>
      </w:r>
      <w:r w:rsidR="00221078" w:rsidRPr="00AB76D0">
        <w:t>might</w:t>
      </w:r>
      <w:r w:rsidR="00221078" w:rsidRPr="00AB76D0">
        <w:rPr>
          <w:spacing w:val="-1"/>
        </w:rPr>
        <w:t xml:space="preserve"> </w:t>
      </w:r>
      <w:r w:rsidR="00221078" w:rsidRPr="00AB76D0">
        <w:t>have</w:t>
      </w:r>
      <w:r w:rsidR="00221078" w:rsidRPr="00AB76D0">
        <w:rPr>
          <w:spacing w:val="-4"/>
        </w:rPr>
        <w:t xml:space="preserve"> </w:t>
      </w:r>
      <w:r w:rsidR="00221078" w:rsidRPr="00AB76D0">
        <w:t>contributed</w:t>
      </w:r>
      <w:r w:rsidR="00221078" w:rsidRPr="00AB76D0">
        <w:rPr>
          <w:spacing w:val="-5"/>
        </w:rPr>
        <w:t xml:space="preserve"> </w:t>
      </w:r>
      <w:r w:rsidR="00221078" w:rsidRPr="00AB76D0">
        <w:t>to</w:t>
      </w:r>
      <w:r w:rsidR="00221078" w:rsidRPr="00AB76D0">
        <w:rPr>
          <w:spacing w:val="-3"/>
        </w:rPr>
        <w:t xml:space="preserve"> </w:t>
      </w:r>
      <w:r w:rsidR="00221078" w:rsidRPr="00AB76D0">
        <w:t xml:space="preserve">this </w:t>
      </w:r>
      <w:r w:rsidR="00221078" w:rsidRPr="00AB76D0">
        <w:rPr>
          <w:spacing w:val="-2"/>
        </w:rPr>
        <w:t>observation.</w:t>
      </w:r>
    </w:p>
    <w:p w14:paraId="71145436" w14:textId="77777777" w:rsidR="00221078" w:rsidRPr="007D1E43" w:rsidRDefault="00221078" w:rsidP="00863C6F">
      <w:pPr>
        <w:pStyle w:val="Heading4"/>
      </w:pPr>
      <w:bookmarkStart w:id="65" w:name="Safety"/>
      <w:bookmarkStart w:id="66" w:name="_Toc182486554"/>
      <w:bookmarkEnd w:id="65"/>
      <w:r w:rsidRPr="007D1E43">
        <w:t>Safety</w:t>
      </w:r>
      <w:bookmarkEnd w:id="66"/>
    </w:p>
    <w:p w14:paraId="33EF91A1" w14:textId="77777777" w:rsidR="00221078" w:rsidRDefault="00221078" w:rsidP="00E454B9">
      <w:r>
        <w:t>Safety endpoints were assessed as primary endpoints in studies M15-741 and M15-737. Both these</w:t>
      </w:r>
      <w:r>
        <w:rPr>
          <w:spacing w:val="-2"/>
        </w:rPr>
        <w:t xml:space="preserve"> </w:t>
      </w:r>
      <w:r>
        <w:t>studies</w:t>
      </w:r>
      <w:r>
        <w:rPr>
          <w:spacing w:val="-1"/>
        </w:rPr>
        <w:t xml:space="preserve"> </w:t>
      </w:r>
      <w:r>
        <w:t>were</w:t>
      </w:r>
      <w:r>
        <w:rPr>
          <w:spacing w:val="-4"/>
        </w:rPr>
        <w:t xml:space="preserve"> </w:t>
      </w:r>
      <w:r>
        <w:t>ongoing</w:t>
      </w:r>
      <w:r>
        <w:rPr>
          <w:spacing w:val="-1"/>
        </w:rPr>
        <w:t xml:space="preserve"> </w:t>
      </w:r>
      <w:r>
        <w:t>at</w:t>
      </w:r>
      <w:r>
        <w:rPr>
          <w:spacing w:val="-2"/>
        </w:rPr>
        <w:t xml:space="preserve"> </w:t>
      </w:r>
      <w:r>
        <w:t>the</w:t>
      </w:r>
      <w:r>
        <w:rPr>
          <w:spacing w:val="-2"/>
        </w:rPr>
        <w:t xml:space="preserve"> </w:t>
      </w:r>
      <w:r>
        <w:t>time</w:t>
      </w:r>
      <w:r>
        <w:rPr>
          <w:spacing w:val="-2"/>
        </w:rPr>
        <w:t xml:space="preserve"> </w:t>
      </w:r>
      <w:r>
        <w:t>of</w:t>
      </w:r>
      <w:r>
        <w:rPr>
          <w:spacing w:val="-2"/>
        </w:rPr>
        <w:t xml:space="preserve"> </w:t>
      </w:r>
      <w:r>
        <w:t>clinical</w:t>
      </w:r>
      <w:r>
        <w:rPr>
          <w:spacing w:val="-2"/>
        </w:rPr>
        <w:t xml:space="preserve"> </w:t>
      </w:r>
      <w:r>
        <w:t>evaluation.</w:t>
      </w:r>
      <w:r>
        <w:rPr>
          <w:spacing w:val="-2"/>
        </w:rPr>
        <w:t xml:space="preserve"> </w:t>
      </w:r>
      <w:r>
        <w:t>Data</w:t>
      </w:r>
      <w:r>
        <w:rPr>
          <w:spacing w:val="-4"/>
        </w:rPr>
        <w:t xml:space="preserve"> </w:t>
      </w:r>
      <w:r>
        <w:t>from</w:t>
      </w:r>
      <w:r>
        <w:rPr>
          <w:spacing w:val="-1"/>
        </w:rPr>
        <w:t xml:space="preserve"> </w:t>
      </w:r>
      <w:r>
        <w:t>an</w:t>
      </w:r>
      <w:r>
        <w:rPr>
          <w:spacing w:val="-3"/>
        </w:rPr>
        <w:t xml:space="preserve"> </w:t>
      </w:r>
      <w:r>
        <w:t>interim</w:t>
      </w:r>
      <w:r>
        <w:rPr>
          <w:spacing w:val="-1"/>
        </w:rPr>
        <w:t xml:space="preserve"> </w:t>
      </w:r>
      <w:r>
        <w:t>cut-off</w:t>
      </w:r>
      <w:r>
        <w:rPr>
          <w:spacing w:val="-2"/>
        </w:rPr>
        <w:t xml:space="preserve"> </w:t>
      </w:r>
      <w:r>
        <w:t>of</w:t>
      </w:r>
      <w:r>
        <w:rPr>
          <w:spacing w:val="-2"/>
        </w:rPr>
        <w:t xml:space="preserve"> </w:t>
      </w:r>
      <w:r>
        <w:t>30</w:t>
      </w:r>
      <w:r>
        <w:rPr>
          <w:position w:val="5"/>
          <w:sz w:val="14"/>
        </w:rPr>
        <w:t>th</w:t>
      </w:r>
      <w:r>
        <w:rPr>
          <w:spacing w:val="40"/>
          <w:position w:val="5"/>
          <w:sz w:val="14"/>
        </w:rPr>
        <w:t xml:space="preserve"> </w:t>
      </w:r>
      <w:r>
        <w:t>March 2021 were included in the application.</w:t>
      </w:r>
    </w:p>
    <w:p w14:paraId="08B2AAA1" w14:textId="08F7417F" w:rsidR="00221078" w:rsidRDefault="00221078" w:rsidP="00E454B9">
      <w:r>
        <w:t>In</w:t>
      </w:r>
      <w:r>
        <w:rPr>
          <w:spacing w:val="-2"/>
        </w:rPr>
        <w:t xml:space="preserve"> </w:t>
      </w:r>
      <w:r>
        <w:t>the</w:t>
      </w:r>
      <w:r>
        <w:rPr>
          <w:spacing w:val="-1"/>
        </w:rPr>
        <w:t xml:space="preserve"> </w:t>
      </w:r>
      <w:r>
        <w:t>safety</w:t>
      </w:r>
      <w:r>
        <w:rPr>
          <w:spacing w:val="-2"/>
        </w:rPr>
        <w:t xml:space="preserve"> </w:t>
      </w:r>
      <w:r>
        <w:t>analysis,</w:t>
      </w:r>
      <w:r>
        <w:rPr>
          <w:spacing w:val="-1"/>
        </w:rPr>
        <w:t xml:space="preserve"> </w:t>
      </w:r>
      <w:r>
        <w:t>data</w:t>
      </w:r>
      <w:r>
        <w:rPr>
          <w:spacing w:val="-1"/>
        </w:rPr>
        <w:t xml:space="preserve"> </w:t>
      </w:r>
      <w:r>
        <w:t>was categorised</w:t>
      </w:r>
      <w:r>
        <w:rPr>
          <w:spacing w:val="-3"/>
        </w:rPr>
        <w:t xml:space="preserve"> </w:t>
      </w:r>
      <w:r>
        <w:t>as two ‘exploratory’</w:t>
      </w:r>
      <w:r>
        <w:rPr>
          <w:spacing w:val="-2"/>
        </w:rPr>
        <w:t xml:space="preserve"> </w:t>
      </w:r>
      <w:r>
        <w:t>modal</w:t>
      </w:r>
      <w:r>
        <w:rPr>
          <w:spacing w:val="-1"/>
        </w:rPr>
        <w:t xml:space="preserve"> </w:t>
      </w:r>
      <w:r>
        <w:t>dose-groups i.e.,</w:t>
      </w:r>
      <w:r>
        <w:rPr>
          <w:spacing w:val="-1"/>
        </w:rPr>
        <w:t xml:space="preserve"> </w:t>
      </w:r>
      <w:r>
        <w:t>a</w:t>
      </w:r>
      <w:r>
        <w:rPr>
          <w:spacing w:val="-1"/>
        </w:rPr>
        <w:t xml:space="preserve"> </w:t>
      </w:r>
      <w:r>
        <w:t xml:space="preserve">low- dose category with modal total daily dose &lt; 1800 mg </w:t>
      </w:r>
      <w:r w:rsidR="009F71DB">
        <w:t>LD</w:t>
      </w:r>
      <w:r>
        <w:t xml:space="preserve"> or a high-dose category with modal total</w:t>
      </w:r>
      <w:r>
        <w:rPr>
          <w:spacing w:val="-2"/>
        </w:rPr>
        <w:t xml:space="preserve"> </w:t>
      </w:r>
      <w:r>
        <w:t>daily</w:t>
      </w:r>
      <w:r>
        <w:rPr>
          <w:spacing w:val="-3"/>
        </w:rPr>
        <w:t xml:space="preserve"> </w:t>
      </w:r>
      <w:r>
        <w:t>dose</w:t>
      </w:r>
      <w:r>
        <w:rPr>
          <w:spacing w:val="-4"/>
        </w:rPr>
        <w:t xml:space="preserve"> </w:t>
      </w:r>
      <w:r>
        <w:t>≥</w:t>
      </w:r>
      <w:r>
        <w:rPr>
          <w:spacing w:val="-2"/>
        </w:rPr>
        <w:t xml:space="preserve"> </w:t>
      </w:r>
      <w:r>
        <w:t>1800</w:t>
      </w:r>
      <w:r>
        <w:rPr>
          <w:spacing w:val="-4"/>
        </w:rPr>
        <w:t xml:space="preserve"> </w:t>
      </w:r>
      <w:r>
        <w:t>mg</w:t>
      </w:r>
      <w:r>
        <w:rPr>
          <w:spacing w:val="-1"/>
        </w:rPr>
        <w:t xml:space="preserve"> </w:t>
      </w:r>
      <w:r w:rsidR="009F71DB">
        <w:t>LD</w:t>
      </w:r>
      <w:r>
        <w:t>.</w:t>
      </w:r>
      <w:r>
        <w:rPr>
          <w:spacing w:val="-2"/>
        </w:rPr>
        <w:t xml:space="preserve"> </w:t>
      </w:r>
      <w:r>
        <w:t>It</w:t>
      </w:r>
      <w:r>
        <w:rPr>
          <w:spacing w:val="-2"/>
        </w:rPr>
        <w:t xml:space="preserve"> </w:t>
      </w:r>
      <w:r>
        <w:t>was</w:t>
      </w:r>
      <w:r>
        <w:rPr>
          <w:spacing w:val="-1"/>
        </w:rPr>
        <w:t xml:space="preserve"> </w:t>
      </w:r>
      <w:r>
        <w:t>noted</w:t>
      </w:r>
      <w:r>
        <w:rPr>
          <w:spacing w:val="-2"/>
        </w:rPr>
        <w:t xml:space="preserve"> </w:t>
      </w:r>
      <w:r>
        <w:t>that</w:t>
      </w:r>
      <w:r>
        <w:rPr>
          <w:spacing w:val="-2"/>
        </w:rPr>
        <w:t xml:space="preserve"> </w:t>
      </w:r>
      <w:r>
        <w:t>the</w:t>
      </w:r>
      <w:r>
        <w:rPr>
          <w:spacing w:val="-4"/>
        </w:rPr>
        <w:t xml:space="preserve"> </w:t>
      </w:r>
      <w:r>
        <w:t>ongoing</w:t>
      </w:r>
      <w:r>
        <w:rPr>
          <w:spacing w:val="-1"/>
        </w:rPr>
        <w:t xml:space="preserve"> </w:t>
      </w:r>
      <w:r>
        <w:t>open-label</w:t>
      </w:r>
      <w:r>
        <w:rPr>
          <w:spacing w:val="-2"/>
        </w:rPr>
        <w:t xml:space="preserve"> </w:t>
      </w:r>
      <w:r>
        <w:t>phase</w:t>
      </w:r>
      <w:r>
        <w:rPr>
          <w:spacing w:val="-4"/>
        </w:rPr>
        <w:t xml:space="preserve"> </w:t>
      </w:r>
      <w:r>
        <w:t>III</w:t>
      </w:r>
      <w:r>
        <w:rPr>
          <w:spacing w:val="-2"/>
        </w:rPr>
        <w:t xml:space="preserve"> </w:t>
      </w:r>
      <w:r>
        <w:t>studies</w:t>
      </w:r>
      <w:r>
        <w:rPr>
          <w:spacing w:val="-1"/>
        </w:rPr>
        <w:t xml:space="preserve"> </w:t>
      </w:r>
      <w:r>
        <w:t>were not designed or powered to determine differences in efficacy or safety between dose-groups.</w:t>
      </w:r>
    </w:p>
    <w:p w14:paraId="0BA9F72B" w14:textId="3EFF18E2" w:rsidR="00981509" w:rsidRDefault="00221078" w:rsidP="00D80F58">
      <w:r>
        <w:t>At</w:t>
      </w:r>
      <w:r>
        <w:rPr>
          <w:spacing w:val="-2"/>
        </w:rPr>
        <w:t xml:space="preserve"> </w:t>
      </w:r>
      <w:r>
        <w:t>clinical</w:t>
      </w:r>
      <w:r>
        <w:rPr>
          <w:spacing w:val="-4"/>
        </w:rPr>
        <w:t xml:space="preserve"> </w:t>
      </w:r>
      <w:r>
        <w:t>cut-off</w:t>
      </w:r>
      <w:r>
        <w:rPr>
          <w:spacing w:val="-2"/>
        </w:rPr>
        <w:t xml:space="preserve"> </w:t>
      </w:r>
      <w:r>
        <w:t>(30</w:t>
      </w:r>
      <w:r>
        <w:rPr>
          <w:spacing w:val="-2"/>
        </w:rPr>
        <w:t xml:space="preserve"> </w:t>
      </w:r>
      <w:r>
        <w:t>March</w:t>
      </w:r>
      <w:r>
        <w:rPr>
          <w:spacing w:val="-1"/>
        </w:rPr>
        <w:t xml:space="preserve"> </w:t>
      </w:r>
      <w:r>
        <w:t>2021),</w:t>
      </w:r>
      <w:r>
        <w:rPr>
          <w:spacing w:val="-2"/>
        </w:rPr>
        <w:t xml:space="preserve"> </w:t>
      </w:r>
      <w:r>
        <w:t>36</w:t>
      </w:r>
      <w:r>
        <w:rPr>
          <w:spacing w:val="-4"/>
        </w:rPr>
        <w:t xml:space="preserve"> </w:t>
      </w:r>
      <w:r>
        <w:t>subjects</w:t>
      </w:r>
      <w:r>
        <w:rPr>
          <w:spacing w:val="-1"/>
        </w:rPr>
        <w:t xml:space="preserve"> </w:t>
      </w:r>
      <w:r>
        <w:t>were</w:t>
      </w:r>
      <w:r>
        <w:rPr>
          <w:spacing w:val="-2"/>
        </w:rPr>
        <w:t xml:space="preserve"> </w:t>
      </w:r>
      <w:r>
        <w:t>included</w:t>
      </w:r>
      <w:r>
        <w:rPr>
          <w:spacing w:val="-2"/>
        </w:rPr>
        <w:t xml:space="preserve"> </w:t>
      </w:r>
      <w:r>
        <w:t>in</w:t>
      </w:r>
      <w:r>
        <w:rPr>
          <w:spacing w:val="-5"/>
        </w:rPr>
        <w:t xml:space="preserve"> </w:t>
      </w:r>
      <w:r>
        <w:t>controlled</w:t>
      </w:r>
      <w:r>
        <w:rPr>
          <w:spacing w:val="-2"/>
        </w:rPr>
        <w:t xml:space="preserve"> </w:t>
      </w:r>
      <w:r>
        <w:t>studies</w:t>
      </w:r>
      <w:r>
        <w:rPr>
          <w:spacing w:val="-1"/>
        </w:rPr>
        <w:t xml:space="preserve"> </w:t>
      </w:r>
      <w:r>
        <w:t xml:space="preserve">with </w:t>
      </w:r>
      <w:r w:rsidR="00A175F6">
        <w:t>foslevodopa</w:t>
      </w:r>
      <w:r>
        <w:t xml:space="preserve"> and foscarbidopa and 518 subjects dosed across the clinical program.</w:t>
      </w:r>
    </w:p>
    <w:p w14:paraId="7FBDE929" w14:textId="681E396A" w:rsidR="00221078" w:rsidRDefault="00221078" w:rsidP="00E454B9">
      <w:pPr>
        <w:pStyle w:val="TableTitle"/>
      </w:pPr>
      <w:r>
        <w:t>Table</w:t>
      </w:r>
      <w:r>
        <w:rPr>
          <w:spacing w:val="-9"/>
        </w:rPr>
        <w:t xml:space="preserve"> </w:t>
      </w:r>
      <w:r w:rsidR="00D80F58">
        <w:t>11</w:t>
      </w:r>
      <w:r>
        <w:t>:</w:t>
      </w:r>
      <w:r>
        <w:rPr>
          <w:spacing w:val="-8"/>
        </w:rPr>
        <w:t xml:space="preserve"> </w:t>
      </w:r>
      <w:r>
        <w:t>Exposure</w:t>
      </w:r>
      <w:r>
        <w:rPr>
          <w:spacing w:val="-8"/>
        </w:rPr>
        <w:t xml:space="preserve"> </w:t>
      </w:r>
      <w:r>
        <w:t>to</w:t>
      </w:r>
      <w:r>
        <w:rPr>
          <w:spacing w:val="-11"/>
        </w:rPr>
        <w:t xml:space="preserve"> </w:t>
      </w:r>
      <w:proofErr w:type="spellStart"/>
      <w:r w:rsidR="00A175F6" w:rsidRPr="00E454B9">
        <w:t>foslevodopa</w:t>
      </w:r>
      <w:proofErr w:type="spellEnd"/>
      <w:r>
        <w:t>/</w:t>
      </w:r>
      <w:proofErr w:type="spellStart"/>
      <w:r>
        <w:t>foscarbidopa</w:t>
      </w:r>
      <w:proofErr w:type="spellEnd"/>
      <w:r>
        <w:rPr>
          <w:spacing w:val="-9"/>
        </w:rPr>
        <w:t xml:space="preserve"> </w:t>
      </w:r>
      <w:r w:rsidRPr="00E454B9">
        <w:t>across</w:t>
      </w:r>
      <w:r>
        <w:rPr>
          <w:spacing w:val="-10"/>
        </w:rPr>
        <w:t xml:space="preserve"> </w:t>
      </w:r>
      <w:r>
        <w:t>clinical</w:t>
      </w:r>
      <w:r>
        <w:rPr>
          <w:spacing w:val="-9"/>
        </w:rPr>
        <w:t xml:space="preserve"> </w:t>
      </w:r>
      <w:r>
        <w:rPr>
          <w:spacing w:val="-2"/>
        </w:rPr>
        <w:t>studies</w:t>
      </w:r>
    </w:p>
    <w:tbl>
      <w:tblPr>
        <w:tblStyle w:val="TableTGAblue2023"/>
        <w:tblW w:w="9595" w:type="dxa"/>
        <w:tblLayout w:type="fixed"/>
        <w:tblLook w:val="01E0" w:firstRow="1" w:lastRow="1" w:firstColumn="1" w:lastColumn="1" w:noHBand="0" w:noVBand="0"/>
      </w:tblPr>
      <w:tblGrid>
        <w:gridCol w:w="1696"/>
        <w:gridCol w:w="1560"/>
        <w:gridCol w:w="1099"/>
        <w:gridCol w:w="1136"/>
        <w:gridCol w:w="1134"/>
        <w:gridCol w:w="1553"/>
        <w:gridCol w:w="1417"/>
      </w:tblGrid>
      <w:tr w:rsidR="00221078" w:rsidRPr="00E454B9" w14:paraId="6DD83777" w14:textId="77777777" w:rsidTr="00E454B9">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E4E0DBB" w14:textId="4A7F622A" w:rsidR="00221078" w:rsidRPr="00E454B9" w:rsidRDefault="00221078" w:rsidP="00E454B9">
            <w:pPr>
              <w:jc w:val="center"/>
              <w:rPr>
                <w:b w:val="0"/>
                <w:sz w:val="20"/>
                <w:szCs w:val="20"/>
              </w:rPr>
            </w:pPr>
            <w:r w:rsidRPr="00E454B9">
              <w:rPr>
                <w:sz w:val="20"/>
                <w:szCs w:val="20"/>
              </w:rPr>
              <w:t>Study</w:t>
            </w:r>
            <w:r w:rsidR="00F216F1" w:rsidRPr="00E454B9">
              <w:rPr>
                <w:sz w:val="20"/>
                <w:szCs w:val="20"/>
              </w:rPr>
              <w:t xml:space="preserve"> </w:t>
            </w:r>
            <w:r w:rsidRPr="00E454B9">
              <w:rPr>
                <w:sz w:val="20"/>
                <w:szCs w:val="20"/>
              </w:rPr>
              <w:t>type/ Parkinson’s disease</w:t>
            </w:r>
          </w:p>
        </w:tc>
        <w:tc>
          <w:tcPr>
            <w:tcW w:w="4929" w:type="dxa"/>
            <w:gridSpan w:val="4"/>
          </w:tcPr>
          <w:p w14:paraId="3371861E" w14:textId="77777777" w:rsidR="00221078" w:rsidRPr="00E454B9" w:rsidRDefault="00221078" w:rsidP="00E454B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454B9">
              <w:rPr>
                <w:sz w:val="20"/>
                <w:szCs w:val="20"/>
              </w:rPr>
              <w:t>Controlled</w:t>
            </w:r>
            <w:r w:rsidRPr="00E454B9">
              <w:rPr>
                <w:spacing w:val="8"/>
                <w:sz w:val="20"/>
                <w:szCs w:val="20"/>
              </w:rPr>
              <w:t xml:space="preserve"> </w:t>
            </w:r>
            <w:r w:rsidRPr="00E454B9">
              <w:rPr>
                <w:sz w:val="20"/>
                <w:szCs w:val="20"/>
              </w:rPr>
              <w:t>studies</w:t>
            </w:r>
          </w:p>
        </w:tc>
        <w:tc>
          <w:tcPr>
            <w:tcW w:w="1553" w:type="dxa"/>
          </w:tcPr>
          <w:p w14:paraId="2532F5CE" w14:textId="77777777" w:rsidR="00221078" w:rsidRPr="00E454B9" w:rsidRDefault="00221078" w:rsidP="00E454B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454B9">
              <w:rPr>
                <w:sz w:val="20"/>
                <w:szCs w:val="20"/>
              </w:rPr>
              <w:t>Uncontrolled studies</w:t>
            </w:r>
          </w:p>
        </w:tc>
        <w:tc>
          <w:tcPr>
            <w:tcW w:w="1417" w:type="dxa"/>
            <w:vMerge w:val="restart"/>
          </w:tcPr>
          <w:p w14:paraId="2F0CAF90" w14:textId="77777777" w:rsidR="00221078" w:rsidRPr="00E454B9" w:rsidRDefault="00221078" w:rsidP="00E454B9">
            <w:pPr>
              <w:ind w:left="-67"/>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454B9">
              <w:rPr>
                <w:sz w:val="20"/>
                <w:szCs w:val="20"/>
              </w:rPr>
              <w:t>Total</w:t>
            </w:r>
          </w:p>
          <w:p w14:paraId="14B7E4FB" w14:textId="50F72158" w:rsidR="00221078" w:rsidRPr="00E454B9" w:rsidRDefault="00A175F6" w:rsidP="00E454B9">
            <w:pPr>
              <w:ind w:left="-67"/>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454B9">
              <w:rPr>
                <w:sz w:val="20"/>
                <w:szCs w:val="20"/>
              </w:rPr>
              <w:t>Foslevodopa</w:t>
            </w:r>
            <w:proofErr w:type="spellEnd"/>
            <w:r w:rsidR="00221078" w:rsidRPr="00E454B9">
              <w:rPr>
                <w:sz w:val="20"/>
                <w:szCs w:val="20"/>
              </w:rPr>
              <w:t xml:space="preserve"> </w:t>
            </w:r>
            <w:r w:rsidR="00221078" w:rsidRPr="00E454B9">
              <w:rPr>
                <w:spacing w:val="-4"/>
                <w:sz w:val="20"/>
                <w:szCs w:val="20"/>
              </w:rPr>
              <w:t>and</w:t>
            </w:r>
            <w:r w:rsidR="00221078" w:rsidRPr="00E454B9">
              <w:rPr>
                <w:sz w:val="20"/>
                <w:szCs w:val="20"/>
              </w:rPr>
              <w:t xml:space="preserve"> </w:t>
            </w:r>
            <w:proofErr w:type="spellStart"/>
            <w:r w:rsidR="00221078" w:rsidRPr="00E454B9">
              <w:rPr>
                <w:sz w:val="20"/>
                <w:szCs w:val="20"/>
              </w:rPr>
              <w:t>Foscarbidopa</w:t>
            </w:r>
            <w:proofErr w:type="spellEnd"/>
          </w:p>
        </w:tc>
      </w:tr>
      <w:tr w:rsidR="00221078" w:rsidRPr="00E454B9" w14:paraId="19F26C04" w14:textId="77777777" w:rsidTr="00E454B9">
        <w:trPr>
          <w:trHeight w:val="1079"/>
        </w:trPr>
        <w:tc>
          <w:tcPr>
            <w:cnfStyle w:val="001000000000" w:firstRow="0" w:lastRow="0" w:firstColumn="1" w:lastColumn="0" w:oddVBand="0" w:evenVBand="0" w:oddHBand="0" w:evenHBand="0" w:firstRowFirstColumn="0" w:firstRowLastColumn="0" w:lastRowFirstColumn="0" w:lastRowLastColumn="0"/>
            <w:tcW w:w="1696" w:type="dxa"/>
            <w:vMerge/>
          </w:tcPr>
          <w:p w14:paraId="1AD4B89C" w14:textId="77777777" w:rsidR="00221078" w:rsidRPr="00E454B9" w:rsidRDefault="00221078" w:rsidP="00E454B9">
            <w:pPr>
              <w:jc w:val="center"/>
              <w:rPr>
                <w:sz w:val="20"/>
                <w:szCs w:val="20"/>
              </w:rPr>
            </w:pPr>
          </w:p>
        </w:tc>
        <w:tc>
          <w:tcPr>
            <w:tcW w:w="1560" w:type="dxa"/>
          </w:tcPr>
          <w:p w14:paraId="372A7DAB" w14:textId="5794CC5D" w:rsidR="00221078" w:rsidRPr="00E454B9" w:rsidRDefault="00A175F6"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454B9">
              <w:rPr>
                <w:sz w:val="20"/>
                <w:szCs w:val="20"/>
              </w:rPr>
              <w:t>Foslevodopa</w:t>
            </w:r>
            <w:proofErr w:type="spellEnd"/>
            <w:r w:rsidR="00221078" w:rsidRPr="00E454B9">
              <w:rPr>
                <w:sz w:val="20"/>
                <w:szCs w:val="20"/>
              </w:rPr>
              <w:t xml:space="preserve"> </w:t>
            </w:r>
            <w:r w:rsidR="00221078" w:rsidRPr="00E454B9">
              <w:rPr>
                <w:spacing w:val="-4"/>
                <w:sz w:val="20"/>
                <w:szCs w:val="20"/>
              </w:rPr>
              <w:t>and</w:t>
            </w:r>
            <w:r w:rsidR="00E454B9">
              <w:rPr>
                <w:sz w:val="20"/>
                <w:szCs w:val="20"/>
              </w:rPr>
              <w:t xml:space="preserve"> </w:t>
            </w:r>
            <w:proofErr w:type="spellStart"/>
            <w:r w:rsidR="00221078" w:rsidRPr="00E454B9">
              <w:rPr>
                <w:sz w:val="20"/>
                <w:szCs w:val="20"/>
              </w:rPr>
              <w:t>Foscarbidopa</w:t>
            </w:r>
            <w:proofErr w:type="spellEnd"/>
          </w:p>
        </w:tc>
        <w:tc>
          <w:tcPr>
            <w:tcW w:w="1099" w:type="dxa"/>
          </w:tcPr>
          <w:p w14:paraId="7423CF2D"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z w:val="20"/>
                <w:szCs w:val="20"/>
              </w:rPr>
              <w:t>Placebo</w:t>
            </w:r>
          </w:p>
        </w:tc>
        <w:tc>
          <w:tcPr>
            <w:tcW w:w="1136" w:type="dxa"/>
          </w:tcPr>
          <w:p w14:paraId="1CCFEB2F"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z w:val="20"/>
                <w:szCs w:val="20"/>
              </w:rPr>
              <w:t xml:space="preserve">*Control </w:t>
            </w:r>
            <w:r w:rsidRPr="00E454B9">
              <w:rPr>
                <w:b/>
                <w:bCs/>
                <w:spacing w:val="-10"/>
                <w:sz w:val="20"/>
                <w:szCs w:val="20"/>
              </w:rPr>
              <w:t>A</w:t>
            </w:r>
          </w:p>
        </w:tc>
        <w:tc>
          <w:tcPr>
            <w:tcW w:w="1134" w:type="dxa"/>
          </w:tcPr>
          <w:p w14:paraId="6F7E2B09"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z w:val="20"/>
                <w:szCs w:val="20"/>
              </w:rPr>
              <w:t xml:space="preserve">*Control </w:t>
            </w:r>
            <w:r w:rsidRPr="00E454B9">
              <w:rPr>
                <w:b/>
                <w:bCs/>
                <w:spacing w:val="-10"/>
                <w:sz w:val="20"/>
                <w:szCs w:val="20"/>
              </w:rPr>
              <w:t>B</w:t>
            </w:r>
          </w:p>
        </w:tc>
        <w:tc>
          <w:tcPr>
            <w:tcW w:w="1553" w:type="dxa"/>
          </w:tcPr>
          <w:p w14:paraId="52604E0D" w14:textId="73AD17BB" w:rsidR="00221078" w:rsidRPr="00E454B9" w:rsidRDefault="00A175F6"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454B9">
              <w:rPr>
                <w:sz w:val="20"/>
                <w:szCs w:val="20"/>
              </w:rPr>
              <w:t>Foslevodopa</w:t>
            </w:r>
            <w:proofErr w:type="spellEnd"/>
            <w:r w:rsidR="00221078" w:rsidRPr="00E454B9">
              <w:rPr>
                <w:sz w:val="20"/>
                <w:szCs w:val="20"/>
              </w:rPr>
              <w:t xml:space="preserve"> </w:t>
            </w:r>
            <w:r w:rsidR="00221078" w:rsidRPr="00E454B9">
              <w:rPr>
                <w:spacing w:val="-4"/>
                <w:sz w:val="20"/>
                <w:szCs w:val="20"/>
              </w:rPr>
              <w:t>and</w:t>
            </w:r>
            <w:r w:rsidR="00E454B9">
              <w:rPr>
                <w:spacing w:val="-4"/>
                <w:sz w:val="20"/>
                <w:szCs w:val="20"/>
              </w:rPr>
              <w:t xml:space="preserve"> </w:t>
            </w:r>
            <w:proofErr w:type="spellStart"/>
            <w:r w:rsidR="00221078" w:rsidRPr="00E454B9">
              <w:rPr>
                <w:sz w:val="20"/>
                <w:szCs w:val="20"/>
              </w:rPr>
              <w:t>Foscarbidopa</w:t>
            </w:r>
            <w:proofErr w:type="spellEnd"/>
          </w:p>
        </w:tc>
        <w:tc>
          <w:tcPr>
            <w:tcW w:w="1417" w:type="dxa"/>
            <w:vMerge/>
          </w:tcPr>
          <w:p w14:paraId="539F1B98"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21078" w:rsidRPr="00E454B9" w14:paraId="70AE6CC6" w14:textId="77777777" w:rsidTr="00E454B9">
        <w:trPr>
          <w:trHeight w:val="719"/>
        </w:trPr>
        <w:tc>
          <w:tcPr>
            <w:cnfStyle w:val="001000000000" w:firstRow="0" w:lastRow="0" w:firstColumn="1" w:lastColumn="0" w:oddVBand="0" w:evenVBand="0" w:oddHBand="0" w:evenHBand="0" w:firstRowFirstColumn="0" w:firstRowLastColumn="0" w:lastRowFirstColumn="0" w:lastRowLastColumn="0"/>
            <w:tcW w:w="1696" w:type="dxa"/>
          </w:tcPr>
          <w:p w14:paraId="0426881C" w14:textId="77777777" w:rsidR="00221078" w:rsidRPr="00E454B9" w:rsidRDefault="00221078" w:rsidP="00E454B9">
            <w:pPr>
              <w:rPr>
                <w:b/>
                <w:bCs/>
                <w:sz w:val="20"/>
                <w:szCs w:val="20"/>
              </w:rPr>
            </w:pPr>
            <w:r w:rsidRPr="00E454B9">
              <w:rPr>
                <w:b/>
                <w:bCs/>
                <w:sz w:val="20"/>
                <w:szCs w:val="20"/>
              </w:rPr>
              <w:t>Clinical pharmacology</w:t>
            </w:r>
          </w:p>
        </w:tc>
        <w:tc>
          <w:tcPr>
            <w:tcW w:w="1560" w:type="dxa"/>
          </w:tcPr>
          <w:p w14:paraId="5540458E"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36</w:t>
            </w:r>
          </w:p>
        </w:tc>
        <w:tc>
          <w:tcPr>
            <w:tcW w:w="1099" w:type="dxa"/>
          </w:tcPr>
          <w:p w14:paraId="1DB938F2"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36</w:t>
            </w:r>
          </w:p>
        </w:tc>
        <w:tc>
          <w:tcPr>
            <w:tcW w:w="1136" w:type="dxa"/>
          </w:tcPr>
          <w:p w14:paraId="65CA6604"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10"/>
                <w:sz w:val="20"/>
                <w:szCs w:val="20"/>
              </w:rPr>
              <w:t>0</w:t>
            </w:r>
          </w:p>
        </w:tc>
        <w:tc>
          <w:tcPr>
            <w:tcW w:w="1134" w:type="dxa"/>
          </w:tcPr>
          <w:p w14:paraId="20B899F2"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10"/>
                <w:sz w:val="20"/>
                <w:szCs w:val="20"/>
              </w:rPr>
              <w:t>0</w:t>
            </w:r>
          </w:p>
        </w:tc>
        <w:tc>
          <w:tcPr>
            <w:tcW w:w="1553" w:type="dxa"/>
          </w:tcPr>
          <w:p w14:paraId="64F6A15E"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187</w:t>
            </w:r>
          </w:p>
        </w:tc>
        <w:tc>
          <w:tcPr>
            <w:tcW w:w="1417" w:type="dxa"/>
          </w:tcPr>
          <w:p w14:paraId="649985C9"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z w:val="20"/>
                <w:szCs w:val="20"/>
              </w:rPr>
              <w:t>223**</w:t>
            </w:r>
          </w:p>
        </w:tc>
      </w:tr>
      <w:tr w:rsidR="00221078" w:rsidRPr="00E454B9" w14:paraId="4CF5687A" w14:textId="77777777" w:rsidTr="00E454B9">
        <w:trPr>
          <w:trHeight w:val="481"/>
        </w:trPr>
        <w:tc>
          <w:tcPr>
            <w:cnfStyle w:val="001000000000" w:firstRow="0" w:lastRow="0" w:firstColumn="1" w:lastColumn="0" w:oddVBand="0" w:evenVBand="0" w:oddHBand="0" w:evenHBand="0" w:firstRowFirstColumn="0" w:firstRowLastColumn="0" w:lastRowFirstColumn="0" w:lastRowLastColumn="0"/>
            <w:tcW w:w="1696" w:type="dxa"/>
          </w:tcPr>
          <w:p w14:paraId="6E8FD253" w14:textId="2E1C009C" w:rsidR="00221078" w:rsidRPr="00E454B9" w:rsidRDefault="00221078" w:rsidP="00E454B9">
            <w:pPr>
              <w:rPr>
                <w:spacing w:val="-8"/>
                <w:sz w:val="20"/>
                <w:szCs w:val="20"/>
              </w:rPr>
            </w:pPr>
            <w:r w:rsidRPr="00E454B9">
              <w:rPr>
                <w:sz w:val="20"/>
                <w:szCs w:val="20"/>
              </w:rPr>
              <w:t>Other</w:t>
            </w:r>
            <w:r w:rsidR="00E454B9">
              <w:rPr>
                <w:spacing w:val="-8"/>
                <w:sz w:val="20"/>
                <w:szCs w:val="20"/>
              </w:rPr>
              <w:t xml:space="preserve"> </w:t>
            </w:r>
            <w:r w:rsidRPr="00E454B9">
              <w:rPr>
                <w:sz w:val="20"/>
                <w:szCs w:val="20"/>
              </w:rPr>
              <w:t>(phase</w:t>
            </w:r>
            <w:r w:rsidRPr="00E454B9">
              <w:rPr>
                <w:spacing w:val="-6"/>
                <w:sz w:val="20"/>
                <w:szCs w:val="20"/>
              </w:rPr>
              <w:t xml:space="preserve"> </w:t>
            </w:r>
            <w:r w:rsidRPr="00E454B9">
              <w:rPr>
                <w:spacing w:val="-4"/>
                <w:sz w:val="20"/>
                <w:szCs w:val="20"/>
              </w:rPr>
              <w:t>III)</w:t>
            </w:r>
          </w:p>
        </w:tc>
        <w:tc>
          <w:tcPr>
            <w:tcW w:w="1560" w:type="dxa"/>
          </w:tcPr>
          <w:p w14:paraId="1E84B7A9"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454B9">
              <w:rPr>
                <w:spacing w:val="-10"/>
                <w:sz w:val="20"/>
                <w:szCs w:val="20"/>
              </w:rPr>
              <w:t>0</w:t>
            </w:r>
          </w:p>
        </w:tc>
        <w:tc>
          <w:tcPr>
            <w:tcW w:w="1099" w:type="dxa"/>
          </w:tcPr>
          <w:p w14:paraId="64868B76"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454B9">
              <w:rPr>
                <w:spacing w:val="-10"/>
                <w:sz w:val="20"/>
                <w:szCs w:val="20"/>
              </w:rPr>
              <w:t>0</w:t>
            </w:r>
          </w:p>
        </w:tc>
        <w:tc>
          <w:tcPr>
            <w:tcW w:w="1136" w:type="dxa"/>
          </w:tcPr>
          <w:p w14:paraId="18A10922"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454B9">
              <w:rPr>
                <w:spacing w:val="-10"/>
                <w:sz w:val="20"/>
                <w:szCs w:val="20"/>
              </w:rPr>
              <w:t>0</w:t>
            </w:r>
          </w:p>
        </w:tc>
        <w:tc>
          <w:tcPr>
            <w:tcW w:w="1134" w:type="dxa"/>
          </w:tcPr>
          <w:p w14:paraId="74E819F7"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454B9">
              <w:rPr>
                <w:spacing w:val="-10"/>
                <w:sz w:val="20"/>
                <w:szCs w:val="20"/>
              </w:rPr>
              <w:t>0</w:t>
            </w:r>
          </w:p>
        </w:tc>
        <w:tc>
          <w:tcPr>
            <w:tcW w:w="1553" w:type="dxa"/>
          </w:tcPr>
          <w:p w14:paraId="073916EA"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454B9">
              <w:rPr>
                <w:spacing w:val="-5"/>
                <w:sz w:val="20"/>
                <w:szCs w:val="20"/>
              </w:rPr>
              <w:t>295</w:t>
            </w:r>
          </w:p>
        </w:tc>
        <w:tc>
          <w:tcPr>
            <w:tcW w:w="1417" w:type="dxa"/>
          </w:tcPr>
          <w:p w14:paraId="3430BDFD"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454B9">
              <w:rPr>
                <w:sz w:val="20"/>
                <w:szCs w:val="20"/>
              </w:rPr>
              <w:t>295***</w:t>
            </w:r>
          </w:p>
        </w:tc>
      </w:tr>
      <w:tr w:rsidR="00221078" w:rsidRPr="00E454B9" w14:paraId="10CF9F1B" w14:textId="77777777" w:rsidTr="00E454B9">
        <w:trPr>
          <w:trHeight w:val="479"/>
        </w:trPr>
        <w:tc>
          <w:tcPr>
            <w:cnfStyle w:val="001000000000" w:firstRow="0" w:lastRow="0" w:firstColumn="1" w:lastColumn="0" w:oddVBand="0" w:evenVBand="0" w:oddHBand="0" w:evenHBand="0" w:firstRowFirstColumn="0" w:firstRowLastColumn="0" w:lastRowFirstColumn="0" w:lastRowLastColumn="0"/>
            <w:tcW w:w="1696" w:type="dxa"/>
          </w:tcPr>
          <w:p w14:paraId="7DB5FACA" w14:textId="77777777" w:rsidR="00221078" w:rsidRPr="00E454B9" w:rsidRDefault="00221078" w:rsidP="00E454B9">
            <w:pPr>
              <w:rPr>
                <w:b/>
                <w:bCs/>
                <w:sz w:val="20"/>
                <w:szCs w:val="20"/>
              </w:rPr>
            </w:pPr>
            <w:r w:rsidRPr="00E454B9">
              <w:rPr>
                <w:b/>
                <w:bCs/>
                <w:spacing w:val="-4"/>
                <w:sz w:val="20"/>
                <w:szCs w:val="20"/>
              </w:rPr>
              <w:t>TOTAL</w:t>
            </w:r>
          </w:p>
        </w:tc>
        <w:tc>
          <w:tcPr>
            <w:tcW w:w="1560" w:type="dxa"/>
          </w:tcPr>
          <w:p w14:paraId="49631BDB"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36</w:t>
            </w:r>
          </w:p>
        </w:tc>
        <w:tc>
          <w:tcPr>
            <w:tcW w:w="1099" w:type="dxa"/>
          </w:tcPr>
          <w:p w14:paraId="7A307FCA"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36</w:t>
            </w:r>
          </w:p>
        </w:tc>
        <w:tc>
          <w:tcPr>
            <w:tcW w:w="1136" w:type="dxa"/>
          </w:tcPr>
          <w:p w14:paraId="31A3636B"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10"/>
                <w:sz w:val="20"/>
                <w:szCs w:val="20"/>
              </w:rPr>
              <w:t>0</w:t>
            </w:r>
          </w:p>
        </w:tc>
        <w:tc>
          <w:tcPr>
            <w:tcW w:w="1134" w:type="dxa"/>
          </w:tcPr>
          <w:p w14:paraId="6429BD3C"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10"/>
                <w:sz w:val="20"/>
                <w:szCs w:val="20"/>
              </w:rPr>
              <w:t>0</w:t>
            </w:r>
          </w:p>
        </w:tc>
        <w:tc>
          <w:tcPr>
            <w:tcW w:w="1553" w:type="dxa"/>
          </w:tcPr>
          <w:p w14:paraId="304D9DEF"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482</w:t>
            </w:r>
          </w:p>
        </w:tc>
        <w:tc>
          <w:tcPr>
            <w:tcW w:w="1417" w:type="dxa"/>
          </w:tcPr>
          <w:p w14:paraId="2CB0AC52" w14:textId="77777777" w:rsidR="00221078" w:rsidRPr="00E454B9" w:rsidRDefault="00221078" w:rsidP="00E454B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4B9">
              <w:rPr>
                <w:b/>
                <w:bCs/>
                <w:spacing w:val="-5"/>
                <w:sz w:val="20"/>
                <w:szCs w:val="20"/>
              </w:rPr>
              <w:t>518</w:t>
            </w:r>
          </w:p>
        </w:tc>
      </w:tr>
    </w:tbl>
    <w:p w14:paraId="658DF053" w14:textId="2A9A06EA" w:rsidR="00221078" w:rsidRDefault="00221078" w:rsidP="00E454B9">
      <w:pPr>
        <w:spacing w:before="120"/>
      </w:pPr>
      <w:r>
        <w:t>At</w:t>
      </w:r>
      <w:r>
        <w:rPr>
          <w:spacing w:val="-2"/>
        </w:rPr>
        <w:t xml:space="preserve"> </w:t>
      </w:r>
      <w:r>
        <w:t>the</w:t>
      </w:r>
      <w:r>
        <w:rPr>
          <w:spacing w:val="-2"/>
        </w:rPr>
        <w:t xml:space="preserve"> </w:t>
      </w:r>
      <w:r>
        <w:t>time</w:t>
      </w:r>
      <w:r>
        <w:rPr>
          <w:spacing w:val="-2"/>
        </w:rPr>
        <w:t xml:space="preserve"> </w:t>
      </w:r>
      <w:r>
        <w:t>of</w:t>
      </w:r>
      <w:r>
        <w:rPr>
          <w:spacing w:val="-2"/>
        </w:rPr>
        <w:t xml:space="preserve"> </w:t>
      </w:r>
      <w:r>
        <w:t>data</w:t>
      </w:r>
      <w:r>
        <w:rPr>
          <w:spacing w:val="-2"/>
        </w:rPr>
        <w:t xml:space="preserve"> </w:t>
      </w:r>
      <w:r>
        <w:t>cut-off</w:t>
      </w:r>
      <w:r>
        <w:rPr>
          <w:spacing w:val="-2"/>
        </w:rPr>
        <w:t xml:space="preserve"> </w:t>
      </w:r>
      <w:r>
        <w:t>(30</w:t>
      </w:r>
      <w:r>
        <w:rPr>
          <w:spacing w:val="-2"/>
        </w:rPr>
        <w:t xml:space="preserve"> </w:t>
      </w:r>
      <w:r>
        <w:t>March</w:t>
      </w:r>
      <w:r>
        <w:rPr>
          <w:spacing w:val="-1"/>
        </w:rPr>
        <w:t xml:space="preserve"> </w:t>
      </w:r>
      <w:r>
        <w:t>2021),</w:t>
      </w:r>
      <w:r>
        <w:rPr>
          <w:spacing w:val="-2"/>
        </w:rPr>
        <w:t xml:space="preserve"> </w:t>
      </w:r>
      <w:r>
        <w:t>515</w:t>
      </w:r>
      <w:r>
        <w:rPr>
          <w:spacing w:val="-4"/>
        </w:rPr>
        <w:t xml:space="preserve"> </w:t>
      </w:r>
      <w:r>
        <w:t>subjects</w:t>
      </w:r>
      <w:r>
        <w:rPr>
          <w:spacing w:val="-1"/>
        </w:rPr>
        <w:t xml:space="preserve"> </w:t>
      </w:r>
      <w:r>
        <w:t>had</w:t>
      </w:r>
      <w:r>
        <w:rPr>
          <w:spacing w:val="-2"/>
        </w:rPr>
        <w:t xml:space="preserve"> </w:t>
      </w:r>
      <w:r>
        <w:t>received</w:t>
      </w:r>
      <w:r>
        <w:rPr>
          <w:spacing w:val="-4"/>
        </w:rPr>
        <w:t xml:space="preserve"> </w:t>
      </w:r>
      <w:r>
        <w:t>≥</w:t>
      </w:r>
      <w:r>
        <w:rPr>
          <w:spacing w:val="-2"/>
        </w:rPr>
        <w:t xml:space="preserve"> </w:t>
      </w:r>
      <w:r>
        <w:t>1</w:t>
      </w:r>
      <w:r>
        <w:rPr>
          <w:spacing w:val="-2"/>
        </w:rPr>
        <w:t xml:space="preserve"> </w:t>
      </w:r>
      <w:r>
        <w:t>dose</w:t>
      </w:r>
      <w:r>
        <w:rPr>
          <w:spacing w:val="-2"/>
        </w:rPr>
        <w:t xml:space="preserve"> </w:t>
      </w:r>
      <w:r>
        <w:t>of</w:t>
      </w:r>
      <w:r>
        <w:rPr>
          <w:spacing w:val="-2"/>
        </w:rPr>
        <w:t xml:space="preserve"> </w:t>
      </w:r>
      <w:r w:rsidR="00A175F6">
        <w:t>foslevodopa</w:t>
      </w:r>
      <w:r>
        <w:t xml:space="preserve"> and foscarbidopa and 144 subjects with advanced PD had been exposed ≥ 12 months.</w:t>
      </w:r>
    </w:p>
    <w:p w14:paraId="1149848F" w14:textId="37A33D10" w:rsidR="00221078" w:rsidRDefault="00221078" w:rsidP="00E454B9">
      <w:r>
        <w:t xml:space="preserve">In Study M15-737, the mean exposure to </w:t>
      </w:r>
      <w:r w:rsidR="00A175F6">
        <w:t>foslevodopa</w:t>
      </w:r>
      <w:r>
        <w:t>/foscarbidopa was 236.2 days and 144.2 person-years. As of the data cut-off date for the interim report (30 March 2021), only 12 subjects</w:t>
      </w:r>
      <w:r>
        <w:rPr>
          <w:spacing w:val="-1"/>
        </w:rPr>
        <w:t xml:space="preserve"> </w:t>
      </w:r>
      <w:r>
        <w:t>had</w:t>
      </w:r>
      <w:r>
        <w:rPr>
          <w:spacing w:val="-2"/>
        </w:rPr>
        <w:t xml:space="preserve"> </w:t>
      </w:r>
      <w:r>
        <w:t>reached</w:t>
      </w:r>
      <w:r>
        <w:rPr>
          <w:spacing w:val="-4"/>
        </w:rPr>
        <w:t xml:space="preserve"> </w:t>
      </w:r>
      <w:r>
        <w:t>Week</w:t>
      </w:r>
      <w:r>
        <w:rPr>
          <w:spacing w:val="-3"/>
        </w:rPr>
        <w:t xml:space="preserve"> </w:t>
      </w:r>
      <w:r>
        <w:t>24.</w:t>
      </w:r>
      <w:r>
        <w:rPr>
          <w:spacing w:val="-2"/>
        </w:rPr>
        <w:t xml:space="preserve"> </w:t>
      </w:r>
      <w:r>
        <w:t>Hence</w:t>
      </w:r>
      <w:r>
        <w:rPr>
          <w:spacing w:val="-4"/>
        </w:rPr>
        <w:t xml:space="preserve"> </w:t>
      </w:r>
      <w:r>
        <w:t>safety</w:t>
      </w:r>
      <w:r>
        <w:rPr>
          <w:spacing w:val="-3"/>
        </w:rPr>
        <w:t xml:space="preserve"> </w:t>
      </w:r>
      <w:r>
        <w:t>data</w:t>
      </w:r>
      <w:r>
        <w:rPr>
          <w:spacing w:val="-2"/>
        </w:rPr>
        <w:t xml:space="preserve"> </w:t>
      </w:r>
      <w:r>
        <w:t>from</w:t>
      </w:r>
      <w:r>
        <w:rPr>
          <w:spacing w:val="-1"/>
        </w:rPr>
        <w:t xml:space="preserve"> </w:t>
      </w:r>
      <w:r>
        <w:t>this</w:t>
      </w:r>
      <w:r>
        <w:rPr>
          <w:spacing w:val="-3"/>
        </w:rPr>
        <w:t xml:space="preserve"> </w:t>
      </w:r>
      <w:r>
        <w:t>study</w:t>
      </w:r>
      <w:r>
        <w:rPr>
          <w:spacing w:val="-3"/>
        </w:rPr>
        <w:t xml:space="preserve"> </w:t>
      </w:r>
      <w:r>
        <w:t>does</w:t>
      </w:r>
      <w:r>
        <w:rPr>
          <w:spacing w:val="-1"/>
        </w:rPr>
        <w:t xml:space="preserve"> </w:t>
      </w:r>
      <w:r>
        <w:t>not</w:t>
      </w:r>
      <w:r>
        <w:rPr>
          <w:spacing w:val="-2"/>
        </w:rPr>
        <w:t xml:space="preserve"> </w:t>
      </w:r>
      <w:r>
        <w:t>add</w:t>
      </w:r>
      <w:r>
        <w:rPr>
          <w:spacing w:val="-2"/>
        </w:rPr>
        <w:t xml:space="preserve"> </w:t>
      </w:r>
      <w:r>
        <w:t>much</w:t>
      </w:r>
      <w:r>
        <w:rPr>
          <w:spacing w:val="-1"/>
        </w:rPr>
        <w:t xml:space="preserve"> </w:t>
      </w:r>
      <w:r>
        <w:t>to</w:t>
      </w:r>
      <w:r>
        <w:rPr>
          <w:spacing w:val="-4"/>
        </w:rPr>
        <w:t xml:space="preserve"> </w:t>
      </w:r>
      <w:r>
        <w:t>support the overall evidence.</w:t>
      </w:r>
    </w:p>
    <w:p w14:paraId="5EE02DE3" w14:textId="30AEB3A8" w:rsidR="00221078" w:rsidRDefault="00221078" w:rsidP="00863C6F">
      <w:pPr>
        <w:pStyle w:val="Heading5"/>
      </w:pPr>
      <w:bookmarkStart w:id="67" w:name="TEAE"/>
      <w:bookmarkEnd w:id="67"/>
      <w:r w:rsidRPr="00D407EC">
        <w:t>T</w:t>
      </w:r>
      <w:r w:rsidR="000B0AF9" w:rsidRPr="00D407EC">
        <w:t xml:space="preserve">reatment emergent </w:t>
      </w:r>
      <w:r w:rsidR="00511162" w:rsidRPr="00D407EC">
        <w:t>adverse events (T</w:t>
      </w:r>
      <w:r w:rsidRPr="00D407EC">
        <w:t>EAE</w:t>
      </w:r>
      <w:r w:rsidR="00511162" w:rsidRPr="00D407EC">
        <w:t>)</w:t>
      </w:r>
    </w:p>
    <w:p w14:paraId="594D3A26" w14:textId="1E1ED674" w:rsidR="00221078" w:rsidRDefault="002E65FC" w:rsidP="00D407EC">
      <w:r w:rsidRPr="00654911">
        <w:rPr>
          <w:iCs/>
        </w:rPr>
        <w:t xml:space="preserve">In </w:t>
      </w:r>
      <w:r w:rsidR="00731107">
        <w:rPr>
          <w:iCs/>
        </w:rPr>
        <w:t>S</w:t>
      </w:r>
      <w:r w:rsidRPr="00654911">
        <w:rPr>
          <w:iCs/>
        </w:rPr>
        <w:t xml:space="preserve">tudy </w:t>
      </w:r>
      <w:r w:rsidR="00221078" w:rsidRPr="00654911">
        <w:rPr>
          <w:iCs/>
        </w:rPr>
        <w:t>M15-741</w:t>
      </w:r>
      <w:r w:rsidR="00654911">
        <w:t>,</w:t>
      </w:r>
      <w:r w:rsidR="00221078">
        <w:t xml:space="preserve"> 92.4% of subjects experienced some form of a TEAE. Highest incidence of TEAEs occurred in the General Disorders and Administration Site Conditions (80.7%) </w:t>
      </w:r>
      <w:r w:rsidR="008703A7">
        <w:rPr>
          <w:spacing w:val="-4"/>
        </w:rPr>
        <w:t xml:space="preserve">followed by </w:t>
      </w:r>
      <w:r w:rsidR="008703A7">
        <w:t>n</w:t>
      </w:r>
      <w:r w:rsidR="00221078">
        <w:t>ervous</w:t>
      </w:r>
      <w:r w:rsidR="00221078">
        <w:rPr>
          <w:spacing w:val="-3"/>
        </w:rPr>
        <w:t xml:space="preserve"> </w:t>
      </w:r>
      <w:r w:rsidR="00221078">
        <w:t>system</w:t>
      </w:r>
      <w:r w:rsidR="00221078">
        <w:rPr>
          <w:spacing w:val="-3"/>
        </w:rPr>
        <w:t xml:space="preserve"> </w:t>
      </w:r>
      <w:r w:rsidR="00221078">
        <w:t>disorders</w:t>
      </w:r>
      <w:r w:rsidR="00221078">
        <w:rPr>
          <w:spacing w:val="-3"/>
        </w:rPr>
        <w:t xml:space="preserve"> </w:t>
      </w:r>
      <w:r w:rsidR="00221078">
        <w:t>(44.4%),</w:t>
      </w:r>
      <w:r w:rsidR="00221078">
        <w:rPr>
          <w:spacing w:val="-6"/>
        </w:rPr>
        <w:t xml:space="preserve"> </w:t>
      </w:r>
      <w:r w:rsidR="00221078">
        <w:t>infections</w:t>
      </w:r>
      <w:r w:rsidR="00221078">
        <w:rPr>
          <w:spacing w:val="-3"/>
        </w:rPr>
        <w:t xml:space="preserve"> </w:t>
      </w:r>
      <w:r w:rsidR="00221078">
        <w:t>and</w:t>
      </w:r>
      <w:r w:rsidR="00221078">
        <w:rPr>
          <w:spacing w:val="-4"/>
        </w:rPr>
        <w:t xml:space="preserve"> </w:t>
      </w:r>
      <w:r w:rsidR="00221078">
        <w:t>infestations (42.6%) and psychiatric disorders (42.6%)</w:t>
      </w:r>
      <w:r w:rsidR="008703A7">
        <w:t>.</w:t>
      </w:r>
    </w:p>
    <w:p w14:paraId="02BCB819" w14:textId="08D5005D" w:rsidR="00221078" w:rsidRDefault="00654911" w:rsidP="00511162">
      <w:r w:rsidRPr="009F081E">
        <w:rPr>
          <w:iCs/>
        </w:rPr>
        <w:t xml:space="preserve">In Study </w:t>
      </w:r>
      <w:r w:rsidR="00221078" w:rsidRPr="009F081E">
        <w:rPr>
          <w:iCs/>
        </w:rPr>
        <w:t>M15-737</w:t>
      </w:r>
      <w:r w:rsidR="009F081E">
        <w:t>,</w:t>
      </w:r>
      <w:r w:rsidR="00221078">
        <w:t xml:space="preserve"> 45.8% of subjects experienced some form of a TEAE. TEAEs were evenly distributed between modal dose-categories. Administration Site Conditions (16.7%) were the commonest events.</w:t>
      </w:r>
      <w:r w:rsidR="00221078">
        <w:rPr>
          <w:spacing w:val="-3"/>
        </w:rPr>
        <w:t xml:space="preserve"> </w:t>
      </w:r>
      <w:r w:rsidR="00221078">
        <w:t>Infections</w:t>
      </w:r>
      <w:r w:rsidR="00221078">
        <w:rPr>
          <w:spacing w:val="-2"/>
        </w:rPr>
        <w:t xml:space="preserve"> </w:t>
      </w:r>
      <w:r w:rsidR="00221078">
        <w:t>and</w:t>
      </w:r>
      <w:r w:rsidR="00221078">
        <w:rPr>
          <w:spacing w:val="-3"/>
        </w:rPr>
        <w:t xml:space="preserve"> </w:t>
      </w:r>
      <w:r w:rsidR="00221078">
        <w:t>Infestations</w:t>
      </w:r>
      <w:r w:rsidR="00221078">
        <w:rPr>
          <w:spacing w:val="-2"/>
        </w:rPr>
        <w:t xml:space="preserve"> </w:t>
      </w:r>
      <w:r w:rsidR="00221078">
        <w:t>were</w:t>
      </w:r>
      <w:r w:rsidR="00221078">
        <w:rPr>
          <w:spacing w:val="-3"/>
        </w:rPr>
        <w:t xml:space="preserve"> </w:t>
      </w:r>
      <w:r w:rsidR="00221078">
        <w:t>reported</w:t>
      </w:r>
      <w:r w:rsidR="00221078">
        <w:rPr>
          <w:spacing w:val="-3"/>
        </w:rPr>
        <w:t xml:space="preserve"> </w:t>
      </w:r>
      <w:r w:rsidR="00221078">
        <w:t>in</w:t>
      </w:r>
      <w:r w:rsidR="00221078">
        <w:rPr>
          <w:spacing w:val="-4"/>
        </w:rPr>
        <w:t xml:space="preserve"> </w:t>
      </w:r>
      <w:r w:rsidR="00221078">
        <w:t>around</w:t>
      </w:r>
      <w:r w:rsidR="00221078">
        <w:rPr>
          <w:spacing w:val="-3"/>
        </w:rPr>
        <w:t xml:space="preserve"> </w:t>
      </w:r>
      <w:r w:rsidR="00221078">
        <w:t>11%</w:t>
      </w:r>
      <w:r w:rsidR="00221078">
        <w:rPr>
          <w:spacing w:val="-4"/>
        </w:rPr>
        <w:t xml:space="preserve"> </w:t>
      </w:r>
      <w:r w:rsidR="00221078">
        <w:t>subjects.</w:t>
      </w:r>
      <w:r w:rsidR="00221078">
        <w:rPr>
          <w:spacing w:val="40"/>
        </w:rPr>
        <w:t xml:space="preserve"> </w:t>
      </w:r>
      <w:r w:rsidR="00221078">
        <w:t>Most</w:t>
      </w:r>
      <w:r w:rsidR="00221078">
        <w:rPr>
          <w:spacing w:val="-3"/>
        </w:rPr>
        <w:t xml:space="preserve"> </w:t>
      </w:r>
      <w:r w:rsidR="00221078">
        <w:t>AEs</w:t>
      </w:r>
      <w:r w:rsidR="00221078">
        <w:rPr>
          <w:spacing w:val="-2"/>
        </w:rPr>
        <w:t xml:space="preserve"> </w:t>
      </w:r>
      <w:r w:rsidR="00221078">
        <w:t>were</w:t>
      </w:r>
      <w:r w:rsidR="00221078">
        <w:rPr>
          <w:spacing w:val="-3"/>
        </w:rPr>
        <w:t xml:space="preserve"> </w:t>
      </w:r>
      <w:r w:rsidR="00221078">
        <w:t>non- serious, and</w:t>
      </w:r>
      <w:r w:rsidR="00221078">
        <w:rPr>
          <w:spacing w:val="-1"/>
        </w:rPr>
        <w:t xml:space="preserve"> </w:t>
      </w:r>
      <w:r w:rsidR="00221078">
        <w:t>mi</w:t>
      </w:r>
      <w:r w:rsidR="00835572">
        <w:t xml:space="preserve">ld </w:t>
      </w:r>
      <w:r w:rsidR="00221078">
        <w:t>or moderate in severity. Most infusion</w:t>
      </w:r>
      <w:r w:rsidR="00221078">
        <w:rPr>
          <w:spacing w:val="-2"/>
        </w:rPr>
        <w:t xml:space="preserve"> </w:t>
      </w:r>
      <w:r w:rsidR="00221078">
        <w:t xml:space="preserve">site skin AEs resolved with or without </w:t>
      </w:r>
      <w:r w:rsidR="00221078">
        <w:rPr>
          <w:spacing w:val="-2"/>
        </w:rPr>
        <w:t>treatment.</w:t>
      </w:r>
    </w:p>
    <w:p w14:paraId="228227D5" w14:textId="77777777" w:rsidR="00221078" w:rsidRDefault="00221078" w:rsidP="00863C6F">
      <w:pPr>
        <w:pStyle w:val="Heading5"/>
      </w:pPr>
      <w:bookmarkStart w:id="68" w:name="Treatment-related_adverse_events"/>
      <w:bookmarkEnd w:id="68"/>
      <w:r>
        <w:t>Treatment-related</w:t>
      </w:r>
      <w:r>
        <w:rPr>
          <w:spacing w:val="-11"/>
        </w:rPr>
        <w:t xml:space="preserve"> </w:t>
      </w:r>
      <w:r>
        <w:t>adverse</w:t>
      </w:r>
      <w:r>
        <w:rPr>
          <w:spacing w:val="-11"/>
        </w:rPr>
        <w:t xml:space="preserve"> </w:t>
      </w:r>
      <w:r>
        <w:rPr>
          <w:spacing w:val="-2"/>
        </w:rPr>
        <w:t>events</w:t>
      </w:r>
    </w:p>
    <w:p w14:paraId="763EE666" w14:textId="702420BF" w:rsidR="00221078" w:rsidRDefault="00221078" w:rsidP="00D407EC">
      <w:r>
        <w:t>Across</w:t>
      </w:r>
      <w:r>
        <w:rPr>
          <w:spacing w:val="-4"/>
        </w:rPr>
        <w:t xml:space="preserve"> </w:t>
      </w:r>
      <w:r>
        <w:t>studies,</w:t>
      </w:r>
      <w:r>
        <w:rPr>
          <w:spacing w:val="-3"/>
        </w:rPr>
        <w:t xml:space="preserve"> </w:t>
      </w:r>
      <w:r>
        <w:t>the</w:t>
      </w:r>
      <w:r>
        <w:rPr>
          <w:spacing w:val="-3"/>
        </w:rPr>
        <w:t xml:space="preserve"> </w:t>
      </w:r>
      <w:r>
        <w:t>administration</w:t>
      </w:r>
      <w:r>
        <w:rPr>
          <w:spacing w:val="-6"/>
        </w:rPr>
        <w:t xml:space="preserve"> </w:t>
      </w:r>
      <w:r>
        <w:t>site</w:t>
      </w:r>
      <w:r>
        <w:rPr>
          <w:spacing w:val="-5"/>
        </w:rPr>
        <w:t xml:space="preserve"> </w:t>
      </w:r>
      <w:r>
        <w:t>conditions</w:t>
      </w:r>
      <w:r>
        <w:rPr>
          <w:spacing w:val="-2"/>
        </w:rPr>
        <w:t xml:space="preserve"> </w:t>
      </w:r>
      <w:r>
        <w:t>were</w:t>
      </w:r>
      <w:r>
        <w:rPr>
          <w:spacing w:val="-3"/>
        </w:rPr>
        <w:t xml:space="preserve"> </w:t>
      </w:r>
      <w:r>
        <w:t>the</w:t>
      </w:r>
      <w:r>
        <w:rPr>
          <w:spacing w:val="-5"/>
        </w:rPr>
        <w:t xml:space="preserve"> </w:t>
      </w:r>
      <w:r>
        <w:t>commonest</w:t>
      </w:r>
      <w:r>
        <w:rPr>
          <w:spacing w:val="-3"/>
        </w:rPr>
        <w:t xml:space="preserve"> </w:t>
      </w:r>
      <w:r>
        <w:t>events</w:t>
      </w:r>
      <w:r>
        <w:rPr>
          <w:spacing w:val="-2"/>
        </w:rPr>
        <w:t xml:space="preserve"> </w:t>
      </w:r>
      <w:r>
        <w:t>reported.</w:t>
      </w:r>
      <w:r>
        <w:rPr>
          <w:spacing w:val="-3"/>
        </w:rPr>
        <w:t xml:space="preserve"> </w:t>
      </w:r>
      <w:r>
        <w:t xml:space="preserve">Other commonly reported events were related to the underlying clinical condition PD, such as psychiatric </w:t>
      </w:r>
      <w:r w:rsidR="00EC38A6">
        <w:t>d</w:t>
      </w:r>
      <w:r>
        <w:t xml:space="preserve">isorders and nervous </w:t>
      </w:r>
      <w:r w:rsidR="00EC38A6">
        <w:t>s</w:t>
      </w:r>
      <w:r>
        <w:t xml:space="preserve">ystem </w:t>
      </w:r>
      <w:r w:rsidR="00EC38A6">
        <w:t>d</w:t>
      </w:r>
      <w:r>
        <w:t>isorders (each 31.4%).</w:t>
      </w:r>
    </w:p>
    <w:p w14:paraId="0858513F" w14:textId="77777777" w:rsidR="00221078" w:rsidRDefault="00221078" w:rsidP="00863C6F">
      <w:pPr>
        <w:pStyle w:val="Heading5"/>
      </w:pPr>
      <w:bookmarkStart w:id="69" w:name="Deaths"/>
      <w:bookmarkEnd w:id="69"/>
      <w:r>
        <w:t>Deaths</w:t>
      </w:r>
    </w:p>
    <w:p w14:paraId="541ABFCD" w14:textId="17361E65" w:rsidR="004374B1" w:rsidRDefault="00731107" w:rsidP="00D407EC">
      <w:r>
        <w:t xml:space="preserve">In Study </w:t>
      </w:r>
      <w:r w:rsidR="00221078">
        <w:t>M15-741</w:t>
      </w:r>
      <w:r>
        <w:t>,</w:t>
      </w:r>
      <w:r w:rsidR="00221078">
        <w:t xml:space="preserve"> </w:t>
      </w:r>
      <w:r>
        <w:t xml:space="preserve">5 </w:t>
      </w:r>
      <w:r w:rsidR="00221078">
        <w:t xml:space="preserve">deaths were reported. All patients were in the high-dose category. </w:t>
      </w:r>
    </w:p>
    <w:p w14:paraId="3F318201" w14:textId="0004DA5E" w:rsidR="00221078" w:rsidRDefault="00221078" w:rsidP="00511162">
      <w:r>
        <w:t>Three</w:t>
      </w:r>
      <w:r>
        <w:rPr>
          <w:spacing w:val="-4"/>
        </w:rPr>
        <w:t xml:space="preserve"> </w:t>
      </w:r>
      <w:r>
        <w:t>deaths</w:t>
      </w:r>
      <w:r>
        <w:rPr>
          <w:spacing w:val="-3"/>
        </w:rPr>
        <w:t xml:space="preserve"> </w:t>
      </w:r>
      <w:r w:rsidR="00535911">
        <w:rPr>
          <w:spacing w:val="-3"/>
        </w:rPr>
        <w:t>were considered TEAEs</w:t>
      </w:r>
      <w:r w:rsidR="0081325A">
        <w:rPr>
          <w:spacing w:val="-3"/>
        </w:rPr>
        <w:t>,</w:t>
      </w:r>
      <w:r w:rsidR="00535911">
        <w:rPr>
          <w:spacing w:val="-3"/>
        </w:rPr>
        <w:t xml:space="preserve"> as they </w:t>
      </w:r>
      <w:r>
        <w:t>occurred</w:t>
      </w:r>
      <w:r>
        <w:rPr>
          <w:spacing w:val="-4"/>
        </w:rPr>
        <w:t xml:space="preserve"> </w:t>
      </w:r>
      <w:r>
        <w:t>within</w:t>
      </w:r>
      <w:r>
        <w:rPr>
          <w:spacing w:val="-5"/>
        </w:rPr>
        <w:t xml:space="preserve"> </w:t>
      </w:r>
      <w:r>
        <w:t>30</w:t>
      </w:r>
      <w:r>
        <w:rPr>
          <w:spacing w:val="-4"/>
        </w:rPr>
        <w:t xml:space="preserve"> </w:t>
      </w:r>
      <w:r>
        <w:t>days</w:t>
      </w:r>
      <w:r>
        <w:rPr>
          <w:spacing w:val="-2"/>
        </w:rPr>
        <w:t xml:space="preserve"> </w:t>
      </w:r>
      <w:r>
        <w:t>after</w:t>
      </w:r>
      <w:r>
        <w:rPr>
          <w:spacing w:val="-4"/>
        </w:rPr>
        <w:t xml:space="preserve"> </w:t>
      </w:r>
      <w:r>
        <w:t>the</w:t>
      </w:r>
      <w:r>
        <w:rPr>
          <w:spacing w:val="-4"/>
        </w:rPr>
        <w:t xml:space="preserve"> </w:t>
      </w:r>
      <w:r w:rsidR="00D22AB9">
        <w:rPr>
          <w:spacing w:val="-4"/>
        </w:rPr>
        <w:t xml:space="preserve">last dose of </w:t>
      </w:r>
      <w:proofErr w:type="spellStart"/>
      <w:r w:rsidR="00A175F6">
        <w:t>foslevodopa</w:t>
      </w:r>
      <w:proofErr w:type="spellEnd"/>
      <w:r>
        <w:t>/</w:t>
      </w:r>
      <w:proofErr w:type="spellStart"/>
      <w:r>
        <w:t>foscarbidopa</w:t>
      </w:r>
      <w:proofErr w:type="spellEnd"/>
      <w:r>
        <w:t>:</w:t>
      </w:r>
    </w:p>
    <w:p w14:paraId="695528F7" w14:textId="3CC5D8A3" w:rsidR="00221078" w:rsidRDefault="00221078" w:rsidP="007F1AFB">
      <w:pPr>
        <w:pStyle w:val="Numberbullet0"/>
        <w:numPr>
          <w:ilvl w:val="0"/>
          <w:numId w:val="37"/>
        </w:numPr>
      </w:pPr>
      <w:r>
        <w:t>Cardio-respiratory</w:t>
      </w:r>
      <w:r w:rsidRPr="00575194">
        <w:rPr>
          <w:spacing w:val="-7"/>
        </w:rPr>
        <w:t xml:space="preserve"> </w:t>
      </w:r>
      <w:r>
        <w:t>arrest:</w:t>
      </w:r>
      <w:r w:rsidRPr="00575194">
        <w:rPr>
          <w:spacing w:val="-6"/>
        </w:rPr>
        <w:t xml:space="preserve"> </w:t>
      </w:r>
      <w:r>
        <w:t>Day</w:t>
      </w:r>
      <w:r w:rsidRPr="00575194">
        <w:rPr>
          <w:spacing w:val="-6"/>
        </w:rPr>
        <w:t xml:space="preserve"> </w:t>
      </w:r>
      <w:r>
        <w:t>108,</w:t>
      </w:r>
      <w:r w:rsidRPr="00575194">
        <w:rPr>
          <w:spacing w:val="-5"/>
        </w:rPr>
        <w:t xml:space="preserve"> </w:t>
      </w:r>
      <w:r w:rsidR="00535911">
        <w:t>70-75</w:t>
      </w:r>
      <w:r>
        <w:t>-year-o</w:t>
      </w:r>
      <w:r w:rsidR="00535911">
        <w:t>ld</w:t>
      </w:r>
      <w:r w:rsidR="00167153">
        <w:t xml:space="preserve"> </w:t>
      </w:r>
      <w:r>
        <w:t>female</w:t>
      </w:r>
      <w:r w:rsidRPr="00575194">
        <w:rPr>
          <w:spacing w:val="-5"/>
        </w:rPr>
        <w:t xml:space="preserve"> </w:t>
      </w:r>
      <w:r>
        <w:t>(deterioration</w:t>
      </w:r>
      <w:r w:rsidRPr="00575194">
        <w:rPr>
          <w:spacing w:val="-6"/>
        </w:rPr>
        <w:t xml:space="preserve"> </w:t>
      </w:r>
      <w:r>
        <w:t>in</w:t>
      </w:r>
      <w:r w:rsidRPr="00575194">
        <w:rPr>
          <w:spacing w:val="-8"/>
        </w:rPr>
        <w:t xml:space="preserve"> </w:t>
      </w:r>
      <w:r>
        <w:t>general</w:t>
      </w:r>
      <w:r w:rsidRPr="00575194">
        <w:rPr>
          <w:spacing w:val="-5"/>
        </w:rPr>
        <w:t xml:space="preserve"> </w:t>
      </w:r>
      <w:r w:rsidRPr="00575194">
        <w:rPr>
          <w:spacing w:val="-2"/>
        </w:rPr>
        <w:t>health)</w:t>
      </w:r>
    </w:p>
    <w:p w14:paraId="03118C50" w14:textId="7E9532AB" w:rsidR="00221078" w:rsidRDefault="00221078" w:rsidP="000B5F3D">
      <w:pPr>
        <w:pStyle w:val="Numberbullet0"/>
      </w:pPr>
      <w:r>
        <w:t xml:space="preserve">Cerebrovascular accident: Day 117, </w:t>
      </w:r>
      <w:r w:rsidR="00535911">
        <w:t>60-</w:t>
      </w:r>
      <w:r>
        <w:t>65-year-o</w:t>
      </w:r>
      <w:r w:rsidR="00535911">
        <w:t>ld</w:t>
      </w:r>
      <w:r>
        <w:t xml:space="preserve"> male (complex medical history that included</w:t>
      </w:r>
      <w:r>
        <w:rPr>
          <w:spacing w:val="-7"/>
        </w:rPr>
        <w:t xml:space="preserve"> </w:t>
      </w:r>
      <w:r>
        <w:t>an</w:t>
      </w:r>
      <w:r>
        <w:rPr>
          <w:spacing w:val="-8"/>
        </w:rPr>
        <w:t xml:space="preserve"> </w:t>
      </w:r>
      <w:r>
        <w:t>inferior</w:t>
      </w:r>
      <w:r>
        <w:rPr>
          <w:spacing w:val="-7"/>
        </w:rPr>
        <w:t xml:space="preserve"> </w:t>
      </w:r>
      <w:r>
        <w:t>myocardial</w:t>
      </w:r>
      <w:r>
        <w:rPr>
          <w:spacing w:val="-7"/>
        </w:rPr>
        <w:t xml:space="preserve"> </w:t>
      </w:r>
      <w:r>
        <w:t>infarction,</w:t>
      </w:r>
      <w:r>
        <w:rPr>
          <w:spacing w:val="-7"/>
        </w:rPr>
        <w:t xml:space="preserve"> </w:t>
      </w:r>
      <w:r>
        <w:t>emphysema</w:t>
      </w:r>
      <w:r>
        <w:rPr>
          <w:spacing w:val="-7"/>
        </w:rPr>
        <w:t xml:space="preserve"> </w:t>
      </w:r>
      <w:r>
        <w:t>and</w:t>
      </w:r>
      <w:r>
        <w:rPr>
          <w:spacing w:val="-7"/>
        </w:rPr>
        <w:t xml:space="preserve"> </w:t>
      </w:r>
      <w:r>
        <w:t>abdominal</w:t>
      </w:r>
      <w:r>
        <w:rPr>
          <w:spacing w:val="-7"/>
        </w:rPr>
        <w:t xml:space="preserve"> </w:t>
      </w:r>
      <w:r>
        <w:t>aortic</w:t>
      </w:r>
      <w:r>
        <w:rPr>
          <w:spacing w:val="-8"/>
        </w:rPr>
        <w:t xml:space="preserve"> </w:t>
      </w:r>
      <w:r>
        <w:t>aneurysm)</w:t>
      </w:r>
    </w:p>
    <w:p w14:paraId="6BDB40B5" w14:textId="4C1CE32B" w:rsidR="000B5F3D" w:rsidRPr="000B5F3D" w:rsidRDefault="00221078" w:rsidP="00D407EC">
      <w:pPr>
        <w:pStyle w:val="Numberbullet0"/>
        <w:rPr>
          <w:sz w:val="24"/>
        </w:rPr>
      </w:pPr>
      <w:r>
        <w:t>Acute</w:t>
      </w:r>
      <w:r w:rsidRPr="00511162">
        <w:rPr>
          <w:spacing w:val="-6"/>
        </w:rPr>
        <w:t xml:space="preserve"> </w:t>
      </w:r>
      <w:r>
        <w:t>large</w:t>
      </w:r>
      <w:r w:rsidRPr="00511162">
        <w:rPr>
          <w:spacing w:val="-6"/>
        </w:rPr>
        <w:t xml:space="preserve"> </w:t>
      </w:r>
      <w:r>
        <w:t>right</w:t>
      </w:r>
      <w:r w:rsidRPr="00511162">
        <w:rPr>
          <w:spacing w:val="-6"/>
        </w:rPr>
        <w:t xml:space="preserve"> </w:t>
      </w:r>
      <w:r w:rsidRPr="00D407EC">
        <w:t>cerebral</w:t>
      </w:r>
      <w:r w:rsidRPr="00511162">
        <w:rPr>
          <w:spacing w:val="-8"/>
        </w:rPr>
        <w:t xml:space="preserve"> </w:t>
      </w:r>
      <w:r>
        <w:t>subdural</w:t>
      </w:r>
      <w:r w:rsidRPr="00511162">
        <w:rPr>
          <w:spacing w:val="-8"/>
        </w:rPr>
        <w:t xml:space="preserve"> </w:t>
      </w:r>
      <w:r>
        <w:t>haematoma</w:t>
      </w:r>
      <w:r w:rsidRPr="00511162">
        <w:rPr>
          <w:spacing w:val="-6"/>
        </w:rPr>
        <w:t xml:space="preserve"> </w:t>
      </w:r>
      <w:r>
        <w:t>and</w:t>
      </w:r>
      <w:r w:rsidRPr="00511162">
        <w:rPr>
          <w:spacing w:val="-8"/>
        </w:rPr>
        <w:t xml:space="preserve"> </w:t>
      </w:r>
      <w:r>
        <w:t>intracranial</w:t>
      </w:r>
      <w:r w:rsidRPr="00511162">
        <w:rPr>
          <w:spacing w:val="-8"/>
        </w:rPr>
        <w:t xml:space="preserve"> </w:t>
      </w:r>
      <w:r>
        <w:t>mass:</w:t>
      </w:r>
      <w:r w:rsidRPr="00511162">
        <w:rPr>
          <w:spacing w:val="-7"/>
        </w:rPr>
        <w:t xml:space="preserve"> </w:t>
      </w:r>
      <w:r>
        <w:t>Day</w:t>
      </w:r>
      <w:r w:rsidRPr="00511162">
        <w:rPr>
          <w:spacing w:val="-7"/>
        </w:rPr>
        <w:t xml:space="preserve"> </w:t>
      </w:r>
      <w:r>
        <w:t>289,</w:t>
      </w:r>
      <w:r w:rsidRPr="00511162">
        <w:rPr>
          <w:spacing w:val="-6"/>
        </w:rPr>
        <w:t xml:space="preserve"> </w:t>
      </w:r>
      <w:r w:rsidR="00535911">
        <w:t>65-70</w:t>
      </w:r>
      <w:r>
        <w:t>-year-</w:t>
      </w:r>
      <w:r w:rsidR="00835572">
        <w:t>old</w:t>
      </w:r>
      <w:r>
        <w:t xml:space="preserve"> female (secondary to a fall from her bed without assistance)</w:t>
      </w:r>
    </w:p>
    <w:p w14:paraId="35525749" w14:textId="064D0765" w:rsidR="00221078" w:rsidRDefault="00221078" w:rsidP="00D407EC">
      <w:r>
        <w:t>Two</w:t>
      </w:r>
      <w:r w:rsidRPr="000B5F3D">
        <w:rPr>
          <w:spacing w:val="-6"/>
        </w:rPr>
        <w:t xml:space="preserve"> </w:t>
      </w:r>
      <w:r>
        <w:t>deaths</w:t>
      </w:r>
      <w:r w:rsidRPr="000B5F3D">
        <w:rPr>
          <w:spacing w:val="-4"/>
        </w:rPr>
        <w:t xml:space="preserve"> </w:t>
      </w:r>
      <w:r>
        <w:t>occurred</w:t>
      </w:r>
      <w:r w:rsidR="00D22AB9">
        <w:t xml:space="preserve"> more than</w:t>
      </w:r>
      <w:r w:rsidRPr="000B5F3D">
        <w:rPr>
          <w:spacing w:val="-3"/>
        </w:rPr>
        <w:t xml:space="preserve"> </w:t>
      </w:r>
      <w:r>
        <w:t>30</w:t>
      </w:r>
      <w:r w:rsidRPr="000B5F3D">
        <w:rPr>
          <w:spacing w:val="-3"/>
        </w:rPr>
        <w:t xml:space="preserve"> </w:t>
      </w:r>
      <w:r>
        <w:t>days</w:t>
      </w:r>
      <w:r w:rsidRPr="000B5F3D">
        <w:rPr>
          <w:spacing w:val="-2"/>
        </w:rPr>
        <w:t xml:space="preserve"> </w:t>
      </w:r>
      <w:r>
        <w:t>after</w:t>
      </w:r>
      <w:r w:rsidRPr="000B5F3D">
        <w:rPr>
          <w:spacing w:val="-3"/>
        </w:rPr>
        <w:t xml:space="preserve"> </w:t>
      </w:r>
      <w:r>
        <w:t>the</w:t>
      </w:r>
      <w:r w:rsidRPr="000B5F3D">
        <w:rPr>
          <w:spacing w:val="-3"/>
        </w:rPr>
        <w:t xml:space="preserve"> </w:t>
      </w:r>
      <w:r>
        <w:t>last</w:t>
      </w:r>
      <w:r w:rsidRPr="000B5F3D">
        <w:rPr>
          <w:spacing w:val="-3"/>
        </w:rPr>
        <w:t xml:space="preserve"> </w:t>
      </w:r>
      <w:r>
        <w:t>dose</w:t>
      </w:r>
      <w:r w:rsidRPr="000B5F3D">
        <w:rPr>
          <w:spacing w:val="-3"/>
        </w:rPr>
        <w:t xml:space="preserve"> </w:t>
      </w:r>
      <w:r>
        <w:t>of</w:t>
      </w:r>
      <w:r w:rsidRPr="000B5F3D">
        <w:rPr>
          <w:spacing w:val="-3"/>
        </w:rPr>
        <w:t xml:space="preserve"> </w:t>
      </w:r>
      <w:r w:rsidR="00A175F6">
        <w:rPr>
          <w:spacing w:val="-2"/>
        </w:rPr>
        <w:t>foslevodopa</w:t>
      </w:r>
      <w:r w:rsidRPr="000B5F3D">
        <w:rPr>
          <w:spacing w:val="-2"/>
        </w:rPr>
        <w:t>/foscarbidopa:</w:t>
      </w:r>
    </w:p>
    <w:p w14:paraId="32EB62F6" w14:textId="2352624B" w:rsidR="00221078" w:rsidRDefault="00221078" w:rsidP="000B5F3D">
      <w:pPr>
        <w:pStyle w:val="Numberbullet0"/>
      </w:pPr>
      <w:r>
        <w:t>Multiple</w:t>
      </w:r>
      <w:r>
        <w:rPr>
          <w:spacing w:val="-7"/>
        </w:rPr>
        <w:t xml:space="preserve"> </w:t>
      </w:r>
      <w:r>
        <w:t>organ</w:t>
      </w:r>
      <w:r>
        <w:rPr>
          <w:spacing w:val="-7"/>
        </w:rPr>
        <w:t xml:space="preserve"> </w:t>
      </w:r>
      <w:r>
        <w:t>failure</w:t>
      </w:r>
      <w:r>
        <w:rPr>
          <w:spacing w:val="-6"/>
        </w:rPr>
        <w:t xml:space="preserve"> </w:t>
      </w:r>
      <w:r>
        <w:t>from</w:t>
      </w:r>
      <w:r>
        <w:rPr>
          <w:spacing w:val="-6"/>
        </w:rPr>
        <w:t xml:space="preserve"> </w:t>
      </w:r>
      <w:r>
        <w:t>Day</w:t>
      </w:r>
      <w:r>
        <w:rPr>
          <w:spacing w:val="-7"/>
        </w:rPr>
        <w:t xml:space="preserve"> </w:t>
      </w:r>
      <w:r>
        <w:t>119</w:t>
      </w:r>
      <w:r>
        <w:rPr>
          <w:spacing w:val="-8"/>
        </w:rPr>
        <w:t xml:space="preserve"> </w:t>
      </w:r>
      <w:r>
        <w:t>in</w:t>
      </w:r>
      <w:r>
        <w:rPr>
          <w:spacing w:val="-7"/>
        </w:rPr>
        <w:t xml:space="preserve"> </w:t>
      </w:r>
      <w:r>
        <w:t>a</w:t>
      </w:r>
      <w:r>
        <w:rPr>
          <w:spacing w:val="-6"/>
        </w:rPr>
        <w:t xml:space="preserve"> </w:t>
      </w:r>
      <w:r w:rsidR="00535911">
        <w:t>70-75</w:t>
      </w:r>
      <w:r>
        <w:t>-year-o</w:t>
      </w:r>
      <w:r w:rsidR="00835572">
        <w:t>ld</w:t>
      </w:r>
      <w:r>
        <w:rPr>
          <w:spacing w:val="-6"/>
        </w:rPr>
        <w:t xml:space="preserve"> </w:t>
      </w:r>
      <w:r>
        <w:rPr>
          <w:spacing w:val="-2"/>
        </w:rPr>
        <w:t>female</w:t>
      </w:r>
    </w:p>
    <w:p w14:paraId="0B40503C" w14:textId="2FF42302" w:rsidR="00221078" w:rsidRDefault="00221078" w:rsidP="000B5F3D">
      <w:pPr>
        <w:pStyle w:val="Numberbullet0"/>
      </w:pPr>
      <w:r>
        <w:t>Cachexia</w:t>
      </w:r>
      <w:r>
        <w:rPr>
          <w:spacing w:val="-6"/>
        </w:rPr>
        <w:t xml:space="preserve"> </w:t>
      </w:r>
      <w:r>
        <w:t>from</w:t>
      </w:r>
      <w:r>
        <w:rPr>
          <w:spacing w:val="-3"/>
        </w:rPr>
        <w:t xml:space="preserve"> </w:t>
      </w:r>
      <w:r>
        <w:t>Day</w:t>
      </w:r>
      <w:r>
        <w:rPr>
          <w:spacing w:val="-5"/>
        </w:rPr>
        <w:t xml:space="preserve"> </w:t>
      </w:r>
      <w:r>
        <w:t>311</w:t>
      </w:r>
      <w:r>
        <w:rPr>
          <w:spacing w:val="-4"/>
        </w:rPr>
        <w:t xml:space="preserve"> </w:t>
      </w:r>
      <w:r>
        <w:t>in</w:t>
      </w:r>
      <w:r>
        <w:rPr>
          <w:spacing w:val="-7"/>
        </w:rPr>
        <w:t xml:space="preserve"> </w:t>
      </w:r>
      <w:r>
        <w:t>a</w:t>
      </w:r>
      <w:r>
        <w:rPr>
          <w:spacing w:val="-4"/>
        </w:rPr>
        <w:t xml:space="preserve"> </w:t>
      </w:r>
      <w:r w:rsidR="00535911">
        <w:t>35-40</w:t>
      </w:r>
      <w:r>
        <w:t>-year-o</w:t>
      </w:r>
      <w:r w:rsidR="00835572">
        <w:t>ld</w:t>
      </w:r>
      <w:r>
        <w:rPr>
          <w:spacing w:val="-7"/>
        </w:rPr>
        <w:t xml:space="preserve"> </w:t>
      </w:r>
      <w:r>
        <w:t>female</w:t>
      </w:r>
      <w:r>
        <w:rPr>
          <w:spacing w:val="-4"/>
        </w:rPr>
        <w:t xml:space="preserve"> </w:t>
      </w:r>
      <w:r>
        <w:t>(in</w:t>
      </w:r>
      <w:r>
        <w:rPr>
          <w:spacing w:val="-5"/>
        </w:rPr>
        <w:t xml:space="preserve"> </w:t>
      </w:r>
      <w:r>
        <w:t>context</w:t>
      </w:r>
      <w:r>
        <w:rPr>
          <w:spacing w:val="-4"/>
        </w:rPr>
        <w:t xml:space="preserve"> </w:t>
      </w:r>
      <w:r>
        <w:t>of</w:t>
      </w:r>
      <w:r>
        <w:rPr>
          <w:spacing w:val="-4"/>
        </w:rPr>
        <w:t xml:space="preserve"> </w:t>
      </w:r>
      <w:r>
        <w:t>urinary</w:t>
      </w:r>
      <w:r>
        <w:rPr>
          <w:spacing w:val="-5"/>
        </w:rPr>
        <w:t xml:space="preserve"> </w:t>
      </w:r>
      <w:r>
        <w:t>infection,</w:t>
      </w:r>
      <w:r>
        <w:rPr>
          <w:spacing w:val="-4"/>
        </w:rPr>
        <w:t xml:space="preserve"> </w:t>
      </w:r>
      <w:r>
        <w:t>2 respiratory infections and prolonged immobility)</w:t>
      </w:r>
    </w:p>
    <w:p w14:paraId="2D400FE9" w14:textId="6A8B2453" w:rsidR="00221078" w:rsidRDefault="00221078" w:rsidP="00D407EC">
      <w:r>
        <w:t>The</w:t>
      </w:r>
      <w:r>
        <w:rPr>
          <w:spacing w:val="-8"/>
        </w:rPr>
        <w:t xml:space="preserve"> </w:t>
      </w:r>
      <w:r>
        <w:t>study</w:t>
      </w:r>
      <w:r>
        <w:rPr>
          <w:spacing w:val="-5"/>
        </w:rPr>
        <w:t xml:space="preserve"> </w:t>
      </w:r>
      <w:r w:rsidR="00AE48B9">
        <w:rPr>
          <w:spacing w:val="-5"/>
        </w:rPr>
        <w:t>i</w:t>
      </w:r>
      <w:r>
        <w:t>nvestigator</w:t>
      </w:r>
      <w:r>
        <w:rPr>
          <w:spacing w:val="-4"/>
        </w:rPr>
        <w:t xml:space="preserve"> </w:t>
      </w:r>
      <w:r>
        <w:t>did</w:t>
      </w:r>
      <w:r>
        <w:rPr>
          <w:spacing w:val="-4"/>
        </w:rPr>
        <w:t xml:space="preserve"> </w:t>
      </w:r>
      <w:r>
        <w:t>not</w:t>
      </w:r>
      <w:r>
        <w:rPr>
          <w:spacing w:val="-4"/>
        </w:rPr>
        <w:t xml:space="preserve"> </w:t>
      </w:r>
      <w:r>
        <w:t>consider</w:t>
      </w:r>
      <w:r>
        <w:rPr>
          <w:spacing w:val="-4"/>
        </w:rPr>
        <w:t xml:space="preserve"> </w:t>
      </w:r>
      <w:r>
        <w:t>any</w:t>
      </w:r>
      <w:r>
        <w:rPr>
          <w:spacing w:val="-5"/>
        </w:rPr>
        <w:t xml:space="preserve"> </w:t>
      </w:r>
      <w:r>
        <w:t>of</w:t>
      </w:r>
      <w:r>
        <w:rPr>
          <w:spacing w:val="-4"/>
        </w:rPr>
        <w:t xml:space="preserve"> </w:t>
      </w:r>
      <w:r>
        <w:t>the</w:t>
      </w:r>
      <w:r>
        <w:rPr>
          <w:spacing w:val="-6"/>
        </w:rPr>
        <w:t xml:space="preserve"> </w:t>
      </w:r>
      <w:r>
        <w:t>reported</w:t>
      </w:r>
      <w:r>
        <w:rPr>
          <w:spacing w:val="-4"/>
        </w:rPr>
        <w:t xml:space="preserve"> </w:t>
      </w:r>
      <w:r>
        <w:t>deaths</w:t>
      </w:r>
      <w:r>
        <w:rPr>
          <w:spacing w:val="-3"/>
        </w:rPr>
        <w:t xml:space="preserve"> </w:t>
      </w:r>
      <w:r>
        <w:t>as</w:t>
      </w:r>
      <w:r>
        <w:rPr>
          <w:spacing w:val="-3"/>
        </w:rPr>
        <w:t xml:space="preserve"> </w:t>
      </w:r>
      <w:r>
        <w:t>treatment</w:t>
      </w:r>
      <w:r w:rsidR="00402ADD">
        <w:t xml:space="preserve"> </w:t>
      </w:r>
      <w:r>
        <w:rPr>
          <w:spacing w:val="-2"/>
        </w:rPr>
        <w:t>related.</w:t>
      </w:r>
    </w:p>
    <w:p w14:paraId="1377FE2C" w14:textId="0B771F17" w:rsidR="00221078" w:rsidRDefault="002269E0" w:rsidP="00D407EC">
      <w:pPr>
        <w:pStyle w:val="Heading5"/>
      </w:pPr>
      <w:bookmarkStart w:id="70" w:name="SAEs"/>
      <w:bookmarkStart w:id="71" w:name="M15-741:_SAEs_were_reported_for_55_(24.7"/>
      <w:bookmarkEnd w:id="70"/>
      <w:bookmarkEnd w:id="71"/>
      <w:r w:rsidRPr="00D407EC">
        <w:t>Serious</w:t>
      </w:r>
      <w:r>
        <w:t xml:space="preserve"> adverse events (SAEs)</w:t>
      </w:r>
    </w:p>
    <w:p w14:paraId="7D5EA949" w14:textId="1238CD41" w:rsidR="00221078" w:rsidRDefault="007E2CDF" w:rsidP="00D407EC">
      <w:r>
        <w:rPr>
          <w:iCs/>
        </w:rPr>
        <w:t xml:space="preserve">In </w:t>
      </w:r>
      <w:r w:rsidR="00C559F5">
        <w:rPr>
          <w:iCs/>
        </w:rPr>
        <w:t xml:space="preserve">Study </w:t>
      </w:r>
      <w:r w:rsidR="00221078" w:rsidRPr="007E2CDF">
        <w:rPr>
          <w:iCs/>
        </w:rPr>
        <w:t>M15-741</w:t>
      </w:r>
      <w:r>
        <w:rPr>
          <w:iCs/>
        </w:rPr>
        <w:t>,</w:t>
      </w:r>
      <w:r w:rsidR="00221078" w:rsidRPr="007E2CDF">
        <w:rPr>
          <w:iCs/>
        </w:rPr>
        <w:t xml:space="preserve"> </w:t>
      </w:r>
      <w:r w:rsidR="00221078">
        <w:t xml:space="preserve">SAEs were reported for 55 (24.7%) subjects, with similar incidence between modal dose-categories. </w:t>
      </w:r>
      <w:r w:rsidR="00E4139B">
        <w:t>The m</w:t>
      </w:r>
      <w:r w:rsidR="00221078">
        <w:t xml:space="preserve">ost frequently reported SAEs were </w:t>
      </w:r>
      <w:r w:rsidR="00D1725A">
        <w:t>i</w:t>
      </w:r>
      <w:r w:rsidR="00221078">
        <w:t>nfusion site cellulitis (4.5%), infusion site abscess and hallucination (each 2.7% overall), psychotic disorder and PD (each 2.2% overall). Most SAEs were considered possibly treatment-related, with no general trend with regards to modal dose-category. Eight (3.6%) subjects had SAEs that led to premature discontinuation</w:t>
      </w:r>
      <w:r w:rsidR="00221078">
        <w:rPr>
          <w:spacing w:val="-3"/>
        </w:rPr>
        <w:t xml:space="preserve"> </w:t>
      </w:r>
      <w:r w:rsidR="00221078">
        <w:t>of</w:t>
      </w:r>
      <w:r w:rsidR="00221078">
        <w:rPr>
          <w:spacing w:val="-4"/>
        </w:rPr>
        <w:t xml:space="preserve"> </w:t>
      </w:r>
      <w:r w:rsidR="00221078">
        <w:t>study</w:t>
      </w:r>
      <w:r w:rsidR="00221078">
        <w:rPr>
          <w:spacing w:val="-3"/>
        </w:rPr>
        <w:t xml:space="preserve"> </w:t>
      </w:r>
      <w:r w:rsidR="00221078">
        <w:t>drug</w:t>
      </w:r>
      <w:r w:rsidR="00E4139B">
        <w:rPr>
          <w:spacing w:val="-3"/>
        </w:rPr>
        <w:t xml:space="preserve">, including </w:t>
      </w:r>
      <w:r w:rsidR="00221078">
        <w:t>infusion</w:t>
      </w:r>
      <w:r w:rsidR="00221078">
        <w:rPr>
          <w:spacing w:val="-3"/>
        </w:rPr>
        <w:t xml:space="preserve"> </w:t>
      </w:r>
      <w:r w:rsidR="00221078">
        <w:t>site</w:t>
      </w:r>
      <w:r w:rsidR="00221078">
        <w:rPr>
          <w:spacing w:val="-2"/>
        </w:rPr>
        <w:t xml:space="preserve"> </w:t>
      </w:r>
      <w:r w:rsidR="00221078">
        <w:t>abscess</w:t>
      </w:r>
      <w:r w:rsidR="00221078">
        <w:rPr>
          <w:spacing w:val="-3"/>
        </w:rPr>
        <w:t xml:space="preserve"> </w:t>
      </w:r>
      <w:r w:rsidR="00221078">
        <w:t>in</w:t>
      </w:r>
      <w:r w:rsidR="00221078">
        <w:rPr>
          <w:spacing w:val="-3"/>
        </w:rPr>
        <w:t xml:space="preserve"> </w:t>
      </w:r>
      <w:r w:rsidR="00221078">
        <w:t>3</w:t>
      </w:r>
      <w:r w:rsidR="00221078">
        <w:rPr>
          <w:spacing w:val="-2"/>
        </w:rPr>
        <w:t xml:space="preserve"> </w:t>
      </w:r>
      <w:r w:rsidR="00221078">
        <w:t>subjects,</w:t>
      </w:r>
      <w:r w:rsidR="00221078">
        <w:rPr>
          <w:spacing w:val="-4"/>
        </w:rPr>
        <w:t xml:space="preserve"> </w:t>
      </w:r>
      <w:r w:rsidR="00221078">
        <w:t>infusion</w:t>
      </w:r>
      <w:r w:rsidR="00221078">
        <w:rPr>
          <w:spacing w:val="-3"/>
        </w:rPr>
        <w:t xml:space="preserve"> </w:t>
      </w:r>
      <w:r w:rsidR="00221078">
        <w:t>site</w:t>
      </w:r>
      <w:r w:rsidR="00221078">
        <w:rPr>
          <w:spacing w:val="-2"/>
        </w:rPr>
        <w:t xml:space="preserve"> </w:t>
      </w:r>
      <w:r w:rsidR="00221078">
        <w:t>cellulitis</w:t>
      </w:r>
      <w:r w:rsidR="00221078">
        <w:rPr>
          <w:spacing w:val="-1"/>
        </w:rPr>
        <w:t xml:space="preserve"> </w:t>
      </w:r>
      <w:r w:rsidR="00221078">
        <w:t>in</w:t>
      </w:r>
      <w:r w:rsidR="00221078">
        <w:rPr>
          <w:spacing w:val="-3"/>
        </w:rPr>
        <w:t xml:space="preserve"> </w:t>
      </w:r>
      <w:r w:rsidR="00221078">
        <w:t>2 subjects, PD in 2 subjects and hallucination in 1 subject.</w:t>
      </w:r>
    </w:p>
    <w:p w14:paraId="66FA69C0" w14:textId="1BAB4A5D" w:rsidR="00221078" w:rsidRDefault="00844463" w:rsidP="00D407EC">
      <w:r>
        <w:t xml:space="preserve">In </w:t>
      </w:r>
      <w:r w:rsidR="00C559F5">
        <w:t xml:space="preserve">Study </w:t>
      </w:r>
      <w:r w:rsidR="00221078">
        <w:t>M15-737: 5 (6.9%) subjects experienced an SAE, 4 in the high-dose category but none were considered</w:t>
      </w:r>
      <w:r w:rsidR="00221078">
        <w:rPr>
          <w:spacing w:val="-3"/>
        </w:rPr>
        <w:t xml:space="preserve"> </w:t>
      </w:r>
      <w:r w:rsidR="00221078">
        <w:t>treatment-related.</w:t>
      </w:r>
      <w:r w:rsidR="00221078">
        <w:rPr>
          <w:spacing w:val="-3"/>
        </w:rPr>
        <w:t xml:space="preserve"> </w:t>
      </w:r>
      <w:r w:rsidR="00221078">
        <w:t>Three</w:t>
      </w:r>
      <w:r w:rsidR="00221078">
        <w:rPr>
          <w:spacing w:val="-3"/>
        </w:rPr>
        <w:t xml:space="preserve"> </w:t>
      </w:r>
      <w:r w:rsidR="00221078">
        <w:t>(4.2%)</w:t>
      </w:r>
      <w:r w:rsidR="00221078">
        <w:rPr>
          <w:spacing w:val="-6"/>
        </w:rPr>
        <w:t xml:space="preserve"> </w:t>
      </w:r>
      <w:r w:rsidR="00221078">
        <w:t>subjects</w:t>
      </w:r>
      <w:r w:rsidR="00221078">
        <w:rPr>
          <w:spacing w:val="-2"/>
        </w:rPr>
        <w:t xml:space="preserve"> </w:t>
      </w:r>
      <w:r w:rsidR="00221078">
        <w:t>experienced</w:t>
      </w:r>
      <w:r w:rsidR="00221078">
        <w:rPr>
          <w:spacing w:val="-3"/>
        </w:rPr>
        <w:t xml:space="preserve"> </w:t>
      </w:r>
      <w:r w:rsidR="00221078">
        <w:t>a</w:t>
      </w:r>
      <w:r w:rsidR="00221078">
        <w:rPr>
          <w:spacing w:val="-5"/>
        </w:rPr>
        <w:t xml:space="preserve"> </w:t>
      </w:r>
      <w:r w:rsidR="00221078">
        <w:t>severe</w:t>
      </w:r>
      <w:r w:rsidR="00221078">
        <w:rPr>
          <w:spacing w:val="-2"/>
        </w:rPr>
        <w:t xml:space="preserve"> </w:t>
      </w:r>
      <w:r w:rsidR="00221078">
        <w:t>TEAE,</w:t>
      </w:r>
      <w:r w:rsidR="00221078">
        <w:rPr>
          <w:spacing w:val="-3"/>
        </w:rPr>
        <w:t xml:space="preserve"> </w:t>
      </w:r>
      <w:r w:rsidR="00221078">
        <w:t>all</w:t>
      </w:r>
      <w:r w:rsidR="00221078">
        <w:rPr>
          <w:spacing w:val="-3"/>
        </w:rPr>
        <w:t xml:space="preserve"> </w:t>
      </w:r>
      <w:r w:rsidR="00221078">
        <w:t>from</w:t>
      </w:r>
      <w:r w:rsidR="00221078">
        <w:rPr>
          <w:spacing w:val="-2"/>
        </w:rPr>
        <w:t xml:space="preserve"> </w:t>
      </w:r>
      <w:r w:rsidR="00221078">
        <w:t>the high-dose category.</w:t>
      </w:r>
    </w:p>
    <w:p w14:paraId="2FB7E363" w14:textId="77777777" w:rsidR="00221078" w:rsidRDefault="00221078" w:rsidP="00D407EC">
      <w:pPr>
        <w:pStyle w:val="Heading5"/>
      </w:pPr>
      <w:bookmarkStart w:id="72" w:name="Discontinuations_due_to_AEs"/>
      <w:bookmarkEnd w:id="72"/>
      <w:r>
        <w:t>Discontinuations</w:t>
      </w:r>
      <w:r>
        <w:rPr>
          <w:spacing w:val="-8"/>
        </w:rPr>
        <w:t xml:space="preserve"> </w:t>
      </w:r>
      <w:r>
        <w:t>due</w:t>
      </w:r>
      <w:r>
        <w:rPr>
          <w:spacing w:val="-7"/>
        </w:rPr>
        <w:t xml:space="preserve"> </w:t>
      </w:r>
      <w:r>
        <w:t>to</w:t>
      </w:r>
      <w:r>
        <w:rPr>
          <w:spacing w:val="-5"/>
        </w:rPr>
        <w:t xml:space="preserve"> </w:t>
      </w:r>
      <w:r w:rsidRPr="00D407EC">
        <w:t>AEs</w:t>
      </w:r>
    </w:p>
    <w:p w14:paraId="3C9B1160" w14:textId="5353091A" w:rsidR="00221078" w:rsidRDefault="00221078" w:rsidP="00D407EC">
      <w:r>
        <w:t xml:space="preserve">In </w:t>
      </w:r>
      <w:r w:rsidR="00C559F5">
        <w:t xml:space="preserve">Study </w:t>
      </w:r>
      <w:r w:rsidRPr="007E2CDF">
        <w:rPr>
          <w:iCs/>
        </w:rPr>
        <w:t>M15-741, 54</w:t>
      </w:r>
      <w:r>
        <w:t xml:space="preserve"> (24.2%) subjects experienced AEs that lead to study drug discontinuation, with similar</w:t>
      </w:r>
      <w:r>
        <w:rPr>
          <w:spacing w:val="-3"/>
        </w:rPr>
        <w:t xml:space="preserve"> </w:t>
      </w:r>
      <w:r>
        <w:t>distribution</w:t>
      </w:r>
      <w:r>
        <w:rPr>
          <w:spacing w:val="-4"/>
        </w:rPr>
        <w:t xml:space="preserve"> </w:t>
      </w:r>
      <w:r>
        <w:t>between</w:t>
      </w:r>
      <w:r>
        <w:rPr>
          <w:spacing w:val="-4"/>
        </w:rPr>
        <w:t xml:space="preserve"> </w:t>
      </w:r>
      <w:r>
        <w:t>modal</w:t>
      </w:r>
      <w:r>
        <w:rPr>
          <w:spacing w:val="-3"/>
        </w:rPr>
        <w:t xml:space="preserve"> </w:t>
      </w:r>
      <w:r>
        <w:t>dose-categories</w:t>
      </w:r>
      <w:r>
        <w:rPr>
          <w:spacing w:val="-4"/>
        </w:rPr>
        <w:t xml:space="preserve"> </w:t>
      </w:r>
      <w:r>
        <w:t>overall</w:t>
      </w:r>
      <w:r>
        <w:rPr>
          <w:spacing w:val="-3"/>
        </w:rPr>
        <w:t xml:space="preserve"> </w:t>
      </w:r>
      <w:r>
        <w:t>and</w:t>
      </w:r>
      <w:r>
        <w:rPr>
          <w:spacing w:val="-3"/>
        </w:rPr>
        <w:t xml:space="preserve"> </w:t>
      </w:r>
      <w:r>
        <w:t>by</w:t>
      </w:r>
      <w:r>
        <w:rPr>
          <w:spacing w:val="-4"/>
        </w:rPr>
        <w:t xml:space="preserve"> </w:t>
      </w:r>
      <w:r>
        <w:t>PT.</w:t>
      </w:r>
      <w:r>
        <w:rPr>
          <w:spacing w:val="-3"/>
        </w:rPr>
        <w:t xml:space="preserve"> </w:t>
      </w:r>
      <w:r>
        <w:t>Overall</w:t>
      </w:r>
      <w:r>
        <w:rPr>
          <w:spacing w:val="-5"/>
        </w:rPr>
        <w:t xml:space="preserve"> </w:t>
      </w:r>
      <w:r>
        <w:t>AEs</w:t>
      </w:r>
      <w:r>
        <w:rPr>
          <w:spacing w:val="-2"/>
        </w:rPr>
        <w:t xml:space="preserve"> </w:t>
      </w:r>
      <w:r>
        <w:t>reported</w:t>
      </w:r>
      <w:r>
        <w:rPr>
          <w:spacing w:val="-3"/>
        </w:rPr>
        <w:t xml:space="preserve"> </w:t>
      </w:r>
      <w:r>
        <w:t>in</w:t>
      </w:r>
      <w:r>
        <w:rPr>
          <w:spacing w:val="-4"/>
        </w:rPr>
        <w:t xml:space="preserve"> </w:t>
      </w:r>
      <w:r>
        <w:t>≥ 3 subjects that lead to study</w:t>
      </w:r>
      <w:r>
        <w:rPr>
          <w:spacing w:val="-1"/>
        </w:rPr>
        <w:t xml:space="preserve"> </w:t>
      </w:r>
      <w:r>
        <w:t>drug discontinuation</w:t>
      </w:r>
      <w:r>
        <w:rPr>
          <w:spacing w:val="-1"/>
        </w:rPr>
        <w:t xml:space="preserve"> </w:t>
      </w:r>
      <w:r>
        <w:t>by</w:t>
      </w:r>
      <w:r>
        <w:rPr>
          <w:spacing w:val="-1"/>
        </w:rPr>
        <w:t xml:space="preserve"> </w:t>
      </w:r>
      <w:r>
        <w:t>PT, included:</w:t>
      </w:r>
      <w:r>
        <w:rPr>
          <w:spacing w:val="-1"/>
        </w:rPr>
        <w:t xml:space="preserve"> </w:t>
      </w:r>
      <w:r>
        <w:t>Infusion</w:t>
      </w:r>
      <w:r>
        <w:rPr>
          <w:spacing w:val="-1"/>
        </w:rPr>
        <w:t xml:space="preserve"> </w:t>
      </w:r>
      <w:r>
        <w:t>site events (infusion site</w:t>
      </w:r>
      <w:r>
        <w:rPr>
          <w:spacing w:val="-2"/>
        </w:rPr>
        <w:t xml:space="preserve"> </w:t>
      </w:r>
      <w:r>
        <w:t>cellulitis, 4.0%;</w:t>
      </w:r>
      <w:r>
        <w:rPr>
          <w:spacing w:val="-1"/>
        </w:rPr>
        <w:t xml:space="preserve"> </w:t>
      </w:r>
      <w:r>
        <w:t>infusion</w:t>
      </w:r>
      <w:r>
        <w:rPr>
          <w:spacing w:val="-1"/>
        </w:rPr>
        <w:t xml:space="preserve"> </w:t>
      </w:r>
      <w:r>
        <w:t>site erythema, 3.6%;</w:t>
      </w:r>
      <w:r>
        <w:rPr>
          <w:spacing w:val="-1"/>
        </w:rPr>
        <w:t xml:space="preserve"> </w:t>
      </w:r>
      <w:r>
        <w:t>infusion</w:t>
      </w:r>
      <w:r>
        <w:rPr>
          <w:spacing w:val="-1"/>
        </w:rPr>
        <w:t xml:space="preserve"> </w:t>
      </w:r>
      <w:r>
        <w:t>site nodule and infusion</w:t>
      </w:r>
      <w:r>
        <w:rPr>
          <w:spacing w:val="-1"/>
        </w:rPr>
        <w:t xml:space="preserve"> </w:t>
      </w:r>
      <w:r>
        <w:t>site oedema; each 1.8%; and infusion site reaction and infusion site abscess</w:t>
      </w:r>
      <w:r w:rsidR="004E4297">
        <w:t>)</w:t>
      </w:r>
      <w:r>
        <w:t>.</w:t>
      </w:r>
    </w:p>
    <w:p w14:paraId="3E53CDE3" w14:textId="1B0CA246" w:rsidR="00221078" w:rsidRDefault="00221078" w:rsidP="00D407EC">
      <w:r>
        <w:t>Since</w:t>
      </w:r>
      <w:r>
        <w:rPr>
          <w:spacing w:val="-3"/>
        </w:rPr>
        <w:t xml:space="preserve"> </w:t>
      </w:r>
      <w:r>
        <w:t>a</w:t>
      </w:r>
      <w:r>
        <w:rPr>
          <w:spacing w:val="-3"/>
        </w:rPr>
        <w:t xml:space="preserve"> </w:t>
      </w:r>
      <w:r>
        <w:t>higher</w:t>
      </w:r>
      <w:r>
        <w:rPr>
          <w:spacing w:val="-3"/>
        </w:rPr>
        <w:t xml:space="preserve"> </w:t>
      </w:r>
      <w:r>
        <w:t>than</w:t>
      </w:r>
      <w:r>
        <w:rPr>
          <w:spacing w:val="-4"/>
        </w:rPr>
        <w:t xml:space="preserve"> </w:t>
      </w:r>
      <w:r>
        <w:t>anticipated</w:t>
      </w:r>
      <w:r>
        <w:rPr>
          <w:spacing w:val="-3"/>
        </w:rPr>
        <w:t xml:space="preserve"> </w:t>
      </w:r>
      <w:r>
        <w:t>number</w:t>
      </w:r>
      <w:r>
        <w:rPr>
          <w:spacing w:val="-3"/>
        </w:rPr>
        <w:t xml:space="preserve"> </w:t>
      </w:r>
      <w:r>
        <w:t>of</w:t>
      </w:r>
      <w:r>
        <w:rPr>
          <w:spacing w:val="-3"/>
        </w:rPr>
        <w:t xml:space="preserve"> </w:t>
      </w:r>
      <w:r>
        <w:t>treatment</w:t>
      </w:r>
      <w:r>
        <w:rPr>
          <w:spacing w:val="-3"/>
        </w:rPr>
        <w:t xml:space="preserve"> </w:t>
      </w:r>
      <w:r>
        <w:t>discontinuations</w:t>
      </w:r>
      <w:r>
        <w:rPr>
          <w:spacing w:val="-2"/>
        </w:rPr>
        <w:t xml:space="preserve"> </w:t>
      </w:r>
      <w:r>
        <w:t>were</w:t>
      </w:r>
      <w:r>
        <w:rPr>
          <w:spacing w:val="-5"/>
        </w:rPr>
        <w:t xml:space="preserve"> </w:t>
      </w:r>
      <w:r>
        <w:t>observed</w:t>
      </w:r>
      <w:r>
        <w:rPr>
          <w:spacing w:val="-3"/>
        </w:rPr>
        <w:t xml:space="preserve"> </w:t>
      </w:r>
      <w:r>
        <w:t>in</w:t>
      </w:r>
      <w:r>
        <w:rPr>
          <w:spacing w:val="-4"/>
        </w:rPr>
        <w:t xml:space="preserve"> </w:t>
      </w:r>
      <w:r w:rsidRPr="000C48F6">
        <w:rPr>
          <w:iCs/>
        </w:rPr>
        <w:t>M15- 741</w:t>
      </w:r>
      <w:r>
        <w:t>, irrespective of modal dose-category, most within the first 12 weeks of treatment, the Sponsor undertook an internal investigation. The main causes of treatment discontinuations appeared to be infusion site AEs and difficulties with using the drug delivery system.</w:t>
      </w:r>
    </w:p>
    <w:p w14:paraId="300E53A2" w14:textId="1865B566" w:rsidR="00221078" w:rsidRDefault="00221078" w:rsidP="00D407EC">
      <w:r>
        <w:t>The following mitigation measures were implemented: (a) Retraining of study sites and subjects, with specific focus on the correct use of the infusion set and cannula, and on aseptic techniques;</w:t>
      </w:r>
      <w:r>
        <w:rPr>
          <w:spacing w:val="-1"/>
        </w:rPr>
        <w:t xml:space="preserve"> </w:t>
      </w:r>
      <w:r>
        <w:t>(b) The</w:t>
      </w:r>
      <w:r>
        <w:rPr>
          <w:spacing w:val="-2"/>
        </w:rPr>
        <w:t xml:space="preserve"> </w:t>
      </w:r>
      <w:r>
        <w:t>Neria™ guard, the primary</w:t>
      </w:r>
      <w:r>
        <w:rPr>
          <w:spacing w:val="-1"/>
        </w:rPr>
        <w:t xml:space="preserve"> </w:t>
      </w:r>
      <w:r>
        <w:t>intended commercial</w:t>
      </w:r>
      <w:r>
        <w:rPr>
          <w:spacing w:val="-2"/>
        </w:rPr>
        <w:t xml:space="preserve"> </w:t>
      </w:r>
      <w:r>
        <w:t>infusion</w:t>
      </w:r>
      <w:r>
        <w:rPr>
          <w:spacing w:val="-3"/>
        </w:rPr>
        <w:t xml:space="preserve"> </w:t>
      </w:r>
      <w:r>
        <w:t>set for delivery</w:t>
      </w:r>
      <w:r>
        <w:rPr>
          <w:spacing w:val="-1"/>
        </w:rPr>
        <w:t xml:space="preserve"> </w:t>
      </w:r>
      <w:r>
        <w:t xml:space="preserve">of </w:t>
      </w:r>
      <w:r w:rsidR="00A175F6">
        <w:t>foslevodopa</w:t>
      </w:r>
      <w:r>
        <w:t>/foscarbidopa,</w:t>
      </w:r>
      <w:r>
        <w:rPr>
          <w:spacing w:val="-4"/>
        </w:rPr>
        <w:t xml:space="preserve"> </w:t>
      </w:r>
      <w:r>
        <w:t>was</w:t>
      </w:r>
      <w:r>
        <w:rPr>
          <w:spacing w:val="-3"/>
        </w:rPr>
        <w:t xml:space="preserve"> </w:t>
      </w:r>
      <w:r>
        <w:t>added</w:t>
      </w:r>
      <w:r>
        <w:rPr>
          <w:spacing w:val="-4"/>
        </w:rPr>
        <w:t xml:space="preserve"> </w:t>
      </w:r>
      <w:r>
        <w:t>as</w:t>
      </w:r>
      <w:r>
        <w:rPr>
          <w:spacing w:val="-3"/>
        </w:rPr>
        <w:t xml:space="preserve"> </w:t>
      </w:r>
      <w:r>
        <w:t>an</w:t>
      </w:r>
      <w:r>
        <w:rPr>
          <w:spacing w:val="-5"/>
        </w:rPr>
        <w:t xml:space="preserve"> </w:t>
      </w:r>
      <w:r>
        <w:t>alternative</w:t>
      </w:r>
      <w:r>
        <w:rPr>
          <w:spacing w:val="-4"/>
        </w:rPr>
        <w:t xml:space="preserve"> </w:t>
      </w:r>
      <w:r>
        <w:t>infusion</w:t>
      </w:r>
      <w:r>
        <w:rPr>
          <w:spacing w:val="-5"/>
        </w:rPr>
        <w:t xml:space="preserve"> </w:t>
      </w:r>
      <w:r>
        <w:t>set.</w:t>
      </w:r>
      <w:r>
        <w:rPr>
          <w:spacing w:val="-4"/>
        </w:rPr>
        <w:t xml:space="preserve"> </w:t>
      </w:r>
      <w:r>
        <w:t>These</w:t>
      </w:r>
      <w:r>
        <w:rPr>
          <w:spacing w:val="-4"/>
        </w:rPr>
        <w:t xml:space="preserve"> </w:t>
      </w:r>
      <w:r>
        <w:t>mitigation</w:t>
      </w:r>
      <w:r>
        <w:rPr>
          <w:spacing w:val="-7"/>
        </w:rPr>
        <w:t xml:space="preserve"> </w:t>
      </w:r>
      <w:r>
        <w:t>measures were fully implemented by 08 July 2020 (Protocol v6). The effect of these measures was evaluated by comparing key safety parameters for subjects enrolled before 08 July 2020 (Sample 1 [n = 157]) to those enrolled after 08 July 2020 (Sample 2 [n = 66])</w:t>
      </w:r>
      <w:r w:rsidR="004C1BB0">
        <w:t>.</w:t>
      </w:r>
    </w:p>
    <w:p w14:paraId="35436A79" w14:textId="58EE1D55" w:rsidR="00221078" w:rsidRDefault="00221078">
      <w:pPr>
        <w:pStyle w:val="ListBullet"/>
      </w:pPr>
      <w:r>
        <w:t>The</w:t>
      </w:r>
      <w:r w:rsidRPr="00AD31F7">
        <w:rPr>
          <w:spacing w:val="-7"/>
        </w:rPr>
        <w:t xml:space="preserve"> </w:t>
      </w:r>
      <w:r>
        <w:t>percentage</w:t>
      </w:r>
      <w:r w:rsidRPr="00AD31F7">
        <w:rPr>
          <w:spacing w:val="-8"/>
        </w:rPr>
        <w:t xml:space="preserve"> </w:t>
      </w:r>
      <w:r>
        <w:t>of</w:t>
      </w:r>
      <w:r w:rsidRPr="00AD31F7">
        <w:rPr>
          <w:spacing w:val="-7"/>
        </w:rPr>
        <w:t xml:space="preserve"> </w:t>
      </w:r>
      <w:r>
        <w:t>subjects</w:t>
      </w:r>
      <w:r w:rsidRPr="00AD31F7">
        <w:rPr>
          <w:spacing w:val="-4"/>
        </w:rPr>
        <w:t xml:space="preserve"> </w:t>
      </w:r>
      <w:r>
        <w:t>who</w:t>
      </w:r>
      <w:r w:rsidRPr="00AD31F7">
        <w:rPr>
          <w:spacing w:val="-7"/>
        </w:rPr>
        <w:t xml:space="preserve"> </w:t>
      </w:r>
      <w:r>
        <w:t>discontinued</w:t>
      </w:r>
      <w:r w:rsidRPr="00AD31F7">
        <w:rPr>
          <w:spacing w:val="-6"/>
        </w:rPr>
        <w:t xml:space="preserve"> </w:t>
      </w:r>
      <w:r w:rsidR="00A175F6">
        <w:t>foslevodopa</w:t>
      </w:r>
      <w:r>
        <w:t>/foscarbidopa</w:t>
      </w:r>
      <w:r w:rsidRPr="00AD31F7">
        <w:rPr>
          <w:spacing w:val="-7"/>
        </w:rPr>
        <w:t xml:space="preserve"> </w:t>
      </w:r>
      <w:r>
        <w:t>was</w:t>
      </w:r>
      <w:r w:rsidRPr="00AD31F7">
        <w:rPr>
          <w:spacing w:val="-5"/>
        </w:rPr>
        <w:t xml:space="preserve"> </w:t>
      </w:r>
      <w:r>
        <w:t>lower</w:t>
      </w:r>
      <w:r w:rsidRPr="00AD31F7">
        <w:rPr>
          <w:spacing w:val="-6"/>
        </w:rPr>
        <w:t xml:space="preserve"> </w:t>
      </w:r>
      <w:r w:rsidRPr="00AD31F7">
        <w:rPr>
          <w:spacing w:val="-5"/>
        </w:rPr>
        <w:t>in</w:t>
      </w:r>
      <w:r w:rsidR="00AD31F7" w:rsidRPr="00AD31F7">
        <w:rPr>
          <w:spacing w:val="-5"/>
        </w:rPr>
        <w:t xml:space="preserve"> </w:t>
      </w:r>
      <w:r>
        <w:t>Sample</w:t>
      </w:r>
      <w:r w:rsidRPr="00AD31F7">
        <w:rPr>
          <w:spacing w:val="-4"/>
        </w:rPr>
        <w:t xml:space="preserve"> </w:t>
      </w:r>
      <w:r>
        <w:t>2</w:t>
      </w:r>
      <w:r w:rsidRPr="00AD31F7">
        <w:rPr>
          <w:spacing w:val="-3"/>
        </w:rPr>
        <w:t xml:space="preserve"> </w:t>
      </w:r>
      <w:r>
        <w:t>(12.1%)</w:t>
      </w:r>
      <w:r w:rsidRPr="00AD31F7">
        <w:rPr>
          <w:spacing w:val="-4"/>
        </w:rPr>
        <w:t xml:space="preserve"> </w:t>
      </w:r>
      <w:r>
        <w:t>vs.</w:t>
      </w:r>
      <w:r w:rsidRPr="00AD31F7">
        <w:rPr>
          <w:spacing w:val="-3"/>
        </w:rPr>
        <w:t xml:space="preserve"> </w:t>
      </w:r>
      <w:r>
        <w:t>Sample</w:t>
      </w:r>
      <w:r w:rsidRPr="00AD31F7">
        <w:rPr>
          <w:spacing w:val="-4"/>
        </w:rPr>
        <w:t xml:space="preserve"> </w:t>
      </w:r>
      <w:r>
        <w:t>1</w:t>
      </w:r>
      <w:r w:rsidRPr="00AD31F7">
        <w:rPr>
          <w:spacing w:val="-3"/>
        </w:rPr>
        <w:t xml:space="preserve"> </w:t>
      </w:r>
      <w:r w:rsidRPr="00AD31F7">
        <w:rPr>
          <w:spacing w:val="-2"/>
        </w:rPr>
        <w:t>(31.2%)</w:t>
      </w:r>
      <w:r w:rsidR="004C1BB0">
        <w:rPr>
          <w:spacing w:val="-2"/>
        </w:rPr>
        <w:t>.</w:t>
      </w:r>
    </w:p>
    <w:p w14:paraId="7658862F" w14:textId="7FF63472" w:rsidR="00221078" w:rsidRDefault="00221078" w:rsidP="002269E0">
      <w:pPr>
        <w:pStyle w:val="ListBullet"/>
      </w:pPr>
      <w:r>
        <w:t>The percentage of subjects with infusion site reactions was lower in Sample 2 (53.0%) vs.</w:t>
      </w:r>
      <w:r>
        <w:rPr>
          <w:spacing w:val="-2"/>
        </w:rPr>
        <w:t xml:space="preserve"> </w:t>
      </w:r>
      <w:r>
        <w:t>Sample</w:t>
      </w:r>
      <w:r>
        <w:rPr>
          <w:spacing w:val="-2"/>
        </w:rPr>
        <w:t xml:space="preserve"> </w:t>
      </w:r>
      <w:r>
        <w:t>1</w:t>
      </w:r>
      <w:r>
        <w:rPr>
          <w:spacing w:val="-2"/>
        </w:rPr>
        <w:t xml:space="preserve"> </w:t>
      </w:r>
      <w:r>
        <w:t>(83.4%).</w:t>
      </w:r>
      <w:r>
        <w:rPr>
          <w:spacing w:val="-2"/>
        </w:rPr>
        <w:t xml:space="preserve"> </w:t>
      </w:r>
      <w:r>
        <w:t>A</w:t>
      </w:r>
      <w:r>
        <w:rPr>
          <w:spacing w:val="-3"/>
        </w:rPr>
        <w:t xml:space="preserve"> </w:t>
      </w:r>
      <w:r>
        <w:t>similar</w:t>
      </w:r>
      <w:r>
        <w:rPr>
          <w:spacing w:val="-2"/>
        </w:rPr>
        <w:t xml:space="preserve"> </w:t>
      </w:r>
      <w:r>
        <w:t>pattern</w:t>
      </w:r>
      <w:r>
        <w:rPr>
          <w:spacing w:val="-3"/>
        </w:rPr>
        <w:t xml:space="preserve"> </w:t>
      </w:r>
      <w:r>
        <w:t>was</w:t>
      </w:r>
      <w:r>
        <w:rPr>
          <w:spacing w:val="-1"/>
        </w:rPr>
        <w:t xml:space="preserve"> </w:t>
      </w:r>
      <w:r>
        <w:t>observed</w:t>
      </w:r>
      <w:r>
        <w:rPr>
          <w:spacing w:val="-2"/>
        </w:rPr>
        <w:t xml:space="preserve"> </w:t>
      </w:r>
      <w:r>
        <w:t>in</w:t>
      </w:r>
      <w:r>
        <w:rPr>
          <w:spacing w:val="-3"/>
        </w:rPr>
        <w:t xml:space="preserve"> </w:t>
      </w:r>
      <w:r>
        <w:t>the</w:t>
      </w:r>
      <w:r>
        <w:rPr>
          <w:spacing w:val="-2"/>
        </w:rPr>
        <w:t xml:space="preserve"> </w:t>
      </w:r>
      <w:r>
        <w:t>percentage</w:t>
      </w:r>
      <w:r>
        <w:rPr>
          <w:spacing w:val="-2"/>
        </w:rPr>
        <w:t xml:space="preserve"> </w:t>
      </w:r>
      <w:r>
        <w:t>of</w:t>
      </w:r>
      <w:r>
        <w:rPr>
          <w:spacing w:val="-2"/>
        </w:rPr>
        <w:t xml:space="preserve"> </w:t>
      </w:r>
      <w:r>
        <w:t>subjects</w:t>
      </w:r>
      <w:r>
        <w:rPr>
          <w:spacing w:val="-1"/>
        </w:rPr>
        <w:t xml:space="preserve"> </w:t>
      </w:r>
      <w:r>
        <w:t>who discontinued</w:t>
      </w:r>
      <w:r>
        <w:rPr>
          <w:spacing w:val="-3"/>
        </w:rPr>
        <w:t xml:space="preserve"> </w:t>
      </w:r>
      <w:r w:rsidR="00A175F6">
        <w:t>foslevodopa</w:t>
      </w:r>
      <w:r>
        <w:t>/foscarbidopa</w:t>
      </w:r>
      <w:r>
        <w:rPr>
          <w:spacing w:val="-3"/>
        </w:rPr>
        <w:t xml:space="preserve"> </w:t>
      </w:r>
      <w:r>
        <w:t>because</w:t>
      </w:r>
      <w:r>
        <w:rPr>
          <w:spacing w:val="-3"/>
        </w:rPr>
        <w:t xml:space="preserve"> </w:t>
      </w:r>
      <w:r>
        <w:t>of</w:t>
      </w:r>
      <w:r>
        <w:rPr>
          <w:spacing w:val="-3"/>
        </w:rPr>
        <w:t xml:space="preserve"> </w:t>
      </w:r>
      <w:r>
        <w:t>infusion</w:t>
      </w:r>
      <w:r>
        <w:rPr>
          <w:spacing w:val="-6"/>
        </w:rPr>
        <w:t xml:space="preserve"> </w:t>
      </w:r>
      <w:r>
        <w:t>site</w:t>
      </w:r>
      <w:r>
        <w:rPr>
          <w:spacing w:val="-3"/>
        </w:rPr>
        <w:t xml:space="preserve"> </w:t>
      </w:r>
      <w:r>
        <w:t>reactions,</w:t>
      </w:r>
      <w:r>
        <w:rPr>
          <w:spacing w:val="-3"/>
        </w:rPr>
        <w:t xml:space="preserve"> </w:t>
      </w:r>
      <w:r>
        <w:t>with</w:t>
      </w:r>
      <w:r>
        <w:rPr>
          <w:spacing w:val="-2"/>
        </w:rPr>
        <w:t xml:space="preserve"> </w:t>
      </w:r>
      <w:r>
        <w:t>1.5%</w:t>
      </w:r>
      <w:r>
        <w:rPr>
          <w:spacing w:val="-5"/>
        </w:rPr>
        <w:t xml:space="preserve"> </w:t>
      </w:r>
      <w:r>
        <w:t>in Sample 2 vs. 5.7% in Sample 1</w:t>
      </w:r>
      <w:r w:rsidR="004C1BB0">
        <w:t>.</w:t>
      </w:r>
    </w:p>
    <w:p w14:paraId="3D20BE4C" w14:textId="10ECBF2F" w:rsidR="00221078" w:rsidRDefault="00221078" w:rsidP="00D407EC">
      <w:pPr>
        <w:pStyle w:val="ListBullet"/>
      </w:pPr>
      <w:r>
        <w:t>The percentage of subjects with infusion site infections was lower in Sample 2 (16.7%) vs. Sample 1 (26.1%). A</w:t>
      </w:r>
      <w:r>
        <w:rPr>
          <w:spacing w:val="-1"/>
        </w:rPr>
        <w:t xml:space="preserve"> </w:t>
      </w:r>
      <w:r>
        <w:t>similar pattern</w:t>
      </w:r>
      <w:r>
        <w:rPr>
          <w:spacing w:val="-1"/>
        </w:rPr>
        <w:t xml:space="preserve"> </w:t>
      </w:r>
      <w:r>
        <w:t>was observed in</w:t>
      </w:r>
      <w:r>
        <w:rPr>
          <w:spacing w:val="-1"/>
        </w:rPr>
        <w:t xml:space="preserve"> </w:t>
      </w:r>
      <w:r>
        <w:t>the percentage of subjects who discontinued</w:t>
      </w:r>
      <w:r>
        <w:rPr>
          <w:spacing w:val="-4"/>
        </w:rPr>
        <w:t xml:space="preserve"> </w:t>
      </w:r>
      <w:r w:rsidR="00A175F6">
        <w:t>foslevodopa</w:t>
      </w:r>
      <w:r>
        <w:t>/foscarbidopa</w:t>
      </w:r>
      <w:r>
        <w:rPr>
          <w:spacing w:val="-4"/>
        </w:rPr>
        <w:t xml:space="preserve"> </w:t>
      </w:r>
      <w:r>
        <w:t>because</w:t>
      </w:r>
      <w:r>
        <w:rPr>
          <w:spacing w:val="-4"/>
        </w:rPr>
        <w:t xml:space="preserve"> </w:t>
      </w:r>
      <w:r>
        <w:t>of</w:t>
      </w:r>
      <w:r>
        <w:rPr>
          <w:spacing w:val="-4"/>
        </w:rPr>
        <w:t xml:space="preserve"> </w:t>
      </w:r>
      <w:r>
        <w:t>infusion</w:t>
      </w:r>
      <w:r>
        <w:rPr>
          <w:spacing w:val="-6"/>
        </w:rPr>
        <w:t xml:space="preserve"> </w:t>
      </w:r>
      <w:r>
        <w:t>site</w:t>
      </w:r>
      <w:r>
        <w:rPr>
          <w:spacing w:val="-4"/>
        </w:rPr>
        <w:t xml:space="preserve"> </w:t>
      </w:r>
      <w:r>
        <w:t>infections,</w:t>
      </w:r>
      <w:r>
        <w:rPr>
          <w:spacing w:val="-4"/>
        </w:rPr>
        <w:t xml:space="preserve"> </w:t>
      </w:r>
      <w:r>
        <w:t>with</w:t>
      </w:r>
      <w:r>
        <w:rPr>
          <w:spacing w:val="-3"/>
        </w:rPr>
        <w:t xml:space="preserve"> </w:t>
      </w:r>
      <w:r>
        <w:t>none</w:t>
      </w:r>
      <w:r>
        <w:rPr>
          <w:spacing w:val="-4"/>
        </w:rPr>
        <w:t xml:space="preserve"> </w:t>
      </w:r>
      <w:r>
        <w:t>in Sample 2 vs. 5.1% in Sample 1</w:t>
      </w:r>
      <w:r w:rsidR="004C1BB0">
        <w:t>.</w:t>
      </w:r>
    </w:p>
    <w:p w14:paraId="10F8D72C" w14:textId="121A8FC3" w:rsidR="002269E0" w:rsidRPr="002269E0" w:rsidRDefault="00221078">
      <w:pPr>
        <w:pStyle w:val="ListBullet"/>
      </w:pPr>
      <w:r w:rsidRPr="002269E0">
        <w:t>The percentage of subjects with TEAEs associated with product complaints was lower in</w:t>
      </w:r>
      <w:r w:rsidR="004C1BB0">
        <w:t xml:space="preserve"> </w:t>
      </w:r>
      <w:r w:rsidRPr="002269E0">
        <w:t>Sample 2 (48.5%) vs. Sample 1 (75.8%).</w:t>
      </w:r>
    </w:p>
    <w:p w14:paraId="69A820DD" w14:textId="45F0B998" w:rsidR="00221078" w:rsidRDefault="00221078" w:rsidP="00D407EC">
      <w:r>
        <w:t>In</w:t>
      </w:r>
      <w:r w:rsidRPr="002269E0">
        <w:rPr>
          <w:spacing w:val="-3"/>
        </w:rPr>
        <w:t xml:space="preserve"> </w:t>
      </w:r>
      <w:r>
        <w:t>study</w:t>
      </w:r>
      <w:r w:rsidRPr="002269E0">
        <w:rPr>
          <w:spacing w:val="-3"/>
        </w:rPr>
        <w:t xml:space="preserve"> </w:t>
      </w:r>
      <w:r>
        <w:t>M15-737,</w:t>
      </w:r>
      <w:r w:rsidRPr="002269E0">
        <w:rPr>
          <w:spacing w:val="-2"/>
        </w:rPr>
        <w:t xml:space="preserve"> </w:t>
      </w:r>
      <w:r>
        <w:t>at</w:t>
      </w:r>
      <w:r w:rsidRPr="002269E0">
        <w:rPr>
          <w:spacing w:val="-2"/>
        </w:rPr>
        <w:t xml:space="preserve"> </w:t>
      </w:r>
      <w:r>
        <w:t>data-cut</w:t>
      </w:r>
      <w:r w:rsidRPr="002269E0">
        <w:rPr>
          <w:spacing w:val="-2"/>
        </w:rPr>
        <w:t xml:space="preserve"> </w:t>
      </w:r>
      <w:r>
        <w:t>off,</w:t>
      </w:r>
      <w:r w:rsidRPr="002269E0">
        <w:rPr>
          <w:spacing w:val="-2"/>
        </w:rPr>
        <w:t xml:space="preserve"> </w:t>
      </w:r>
      <w:r>
        <w:t>no</w:t>
      </w:r>
      <w:r w:rsidRPr="002269E0">
        <w:rPr>
          <w:spacing w:val="-4"/>
        </w:rPr>
        <w:t xml:space="preserve"> </w:t>
      </w:r>
      <w:r>
        <w:t>subject</w:t>
      </w:r>
      <w:r w:rsidRPr="002269E0">
        <w:rPr>
          <w:spacing w:val="-5"/>
        </w:rPr>
        <w:t xml:space="preserve"> </w:t>
      </w:r>
      <w:r>
        <w:t>had</w:t>
      </w:r>
      <w:r w:rsidRPr="002269E0">
        <w:rPr>
          <w:spacing w:val="-2"/>
        </w:rPr>
        <w:t xml:space="preserve"> </w:t>
      </w:r>
      <w:r>
        <w:t>treatment</w:t>
      </w:r>
      <w:r w:rsidRPr="002269E0">
        <w:rPr>
          <w:spacing w:val="-2"/>
        </w:rPr>
        <w:t xml:space="preserve"> </w:t>
      </w:r>
      <w:r>
        <w:t>discontinued</w:t>
      </w:r>
      <w:r w:rsidRPr="002269E0">
        <w:rPr>
          <w:spacing w:val="-2"/>
        </w:rPr>
        <w:t xml:space="preserve"> </w:t>
      </w:r>
      <w:r>
        <w:t>or</w:t>
      </w:r>
      <w:r w:rsidRPr="002269E0">
        <w:rPr>
          <w:spacing w:val="-4"/>
        </w:rPr>
        <w:t xml:space="preserve"> </w:t>
      </w:r>
      <w:r>
        <w:t>interrupted</w:t>
      </w:r>
      <w:r w:rsidRPr="002269E0">
        <w:rPr>
          <w:spacing w:val="-2"/>
        </w:rPr>
        <w:t xml:space="preserve"> </w:t>
      </w:r>
      <w:r>
        <w:t>due</w:t>
      </w:r>
      <w:r w:rsidRPr="002269E0">
        <w:rPr>
          <w:spacing w:val="-2"/>
        </w:rPr>
        <w:t xml:space="preserve"> </w:t>
      </w:r>
      <w:r>
        <w:t>to</w:t>
      </w:r>
      <w:r w:rsidRPr="002269E0">
        <w:rPr>
          <w:spacing w:val="-2"/>
        </w:rPr>
        <w:t xml:space="preserve"> </w:t>
      </w:r>
      <w:r>
        <w:t xml:space="preserve">a TEAE following </w:t>
      </w:r>
      <w:r w:rsidR="00A175F6">
        <w:t>foslevodopa</w:t>
      </w:r>
      <w:r>
        <w:t>/foscarbidopa infusion.</w:t>
      </w:r>
    </w:p>
    <w:p w14:paraId="45F30A3B" w14:textId="77777777" w:rsidR="00221078" w:rsidRDefault="00221078" w:rsidP="00863C6F">
      <w:pPr>
        <w:pStyle w:val="Heading5"/>
      </w:pPr>
      <w:bookmarkStart w:id="73" w:name="AEs_related_to_product_complaints"/>
      <w:bookmarkEnd w:id="73"/>
      <w:r>
        <w:t>AEs</w:t>
      </w:r>
      <w:r>
        <w:rPr>
          <w:spacing w:val="-5"/>
        </w:rPr>
        <w:t xml:space="preserve"> </w:t>
      </w:r>
      <w:r>
        <w:t>related</w:t>
      </w:r>
      <w:r>
        <w:rPr>
          <w:spacing w:val="-4"/>
        </w:rPr>
        <w:t xml:space="preserve"> </w:t>
      </w:r>
      <w:r>
        <w:t>to</w:t>
      </w:r>
      <w:r>
        <w:rPr>
          <w:spacing w:val="-5"/>
        </w:rPr>
        <w:t xml:space="preserve"> </w:t>
      </w:r>
      <w:r>
        <w:t>product</w:t>
      </w:r>
      <w:r>
        <w:rPr>
          <w:spacing w:val="-2"/>
        </w:rPr>
        <w:t xml:space="preserve"> complaints</w:t>
      </w:r>
    </w:p>
    <w:p w14:paraId="17DC5BAB" w14:textId="52F8F8F8" w:rsidR="00221078" w:rsidRDefault="000C48F6" w:rsidP="002269E0">
      <w:r w:rsidRPr="008F71C6">
        <w:rPr>
          <w:iCs/>
        </w:rPr>
        <w:t xml:space="preserve">In Study </w:t>
      </w:r>
      <w:r w:rsidR="00221078" w:rsidRPr="008F71C6">
        <w:rPr>
          <w:iCs/>
        </w:rPr>
        <w:t>M15-741</w:t>
      </w:r>
      <w:r w:rsidR="008F71C6">
        <w:rPr>
          <w:iCs/>
        </w:rPr>
        <w:t>,</w:t>
      </w:r>
      <w:r w:rsidR="00221078">
        <w:t xml:space="preserve"> </w:t>
      </w:r>
      <w:r w:rsidR="009039B7">
        <w:t>o</w:t>
      </w:r>
      <w:r w:rsidR="00221078">
        <w:t>ne-hundred and sixty-four (73.5%) subjects reported TEAEs associated with product</w:t>
      </w:r>
      <w:r w:rsidR="00221078">
        <w:rPr>
          <w:spacing w:val="-3"/>
        </w:rPr>
        <w:t xml:space="preserve"> </w:t>
      </w:r>
      <w:r w:rsidR="00221078">
        <w:t>complaints,</w:t>
      </w:r>
      <w:r w:rsidR="00221078">
        <w:rPr>
          <w:spacing w:val="-3"/>
        </w:rPr>
        <w:t xml:space="preserve"> </w:t>
      </w:r>
      <w:r w:rsidR="00221078">
        <w:t>with</w:t>
      </w:r>
      <w:r w:rsidR="00221078">
        <w:rPr>
          <w:spacing w:val="-5"/>
        </w:rPr>
        <w:t xml:space="preserve"> </w:t>
      </w:r>
      <w:r w:rsidR="00221078">
        <w:t>similar</w:t>
      </w:r>
      <w:r w:rsidR="00221078">
        <w:rPr>
          <w:spacing w:val="-3"/>
        </w:rPr>
        <w:t xml:space="preserve"> </w:t>
      </w:r>
      <w:r w:rsidR="00221078">
        <w:t>distribution</w:t>
      </w:r>
      <w:r w:rsidR="00221078">
        <w:rPr>
          <w:spacing w:val="-4"/>
        </w:rPr>
        <w:t xml:space="preserve"> </w:t>
      </w:r>
      <w:r w:rsidR="00221078">
        <w:t>between</w:t>
      </w:r>
      <w:r w:rsidR="00221078">
        <w:rPr>
          <w:spacing w:val="-4"/>
        </w:rPr>
        <w:t xml:space="preserve"> </w:t>
      </w:r>
      <w:r w:rsidR="00221078">
        <w:t>modal</w:t>
      </w:r>
      <w:r w:rsidR="00221078">
        <w:rPr>
          <w:spacing w:val="-3"/>
        </w:rPr>
        <w:t xml:space="preserve"> </w:t>
      </w:r>
      <w:r w:rsidR="00221078">
        <w:t>dose-categories.</w:t>
      </w:r>
      <w:r w:rsidR="00221078">
        <w:rPr>
          <w:spacing w:val="-5"/>
        </w:rPr>
        <w:t xml:space="preserve"> </w:t>
      </w:r>
      <w:r w:rsidR="00221078">
        <w:t>The</w:t>
      </w:r>
      <w:r w:rsidR="00221078">
        <w:rPr>
          <w:spacing w:val="-5"/>
        </w:rPr>
        <w:t xml:space="preserve"> </w:t>
      </w:r>
      <w:r w:rsidR="00221078">
        <w:t xml:space="preserve">incidence rates </w:t>
      </w:r>
      <w:proofErr w:type="gramStart"/>
      <w:r w:rsidR="00221078">
        <w:t>were:</w:t>
      </w:r>
      <w:proofErr w:type="gramEnd"/>
      <w:r w:rsidR="00221078">
        <w:t xml:space="preserve"> Cleo-90 infusion set (39.5%), the Neria</w:t>
      </w:r>
      <w:r w:rsidR="00221078">
        <w:rPr>
          <w:position w:val="5"/>
          <w:sz w:val="14"/>
        </w:rPr>
        <w:t>TM</w:t>
      </w:r>
      <w:r w:rsidR="00221078">
        <w:rPr>
          <w:spacing w:val="26"/>
          <w:position w:val="5"/>
          <w:sz w:val="14"/>
        </w:rPr>
        <w:t xml:space="preserve"> </w:t>
      </w:r>
      <w:r w:rsidR="00221078">
        <w:t>guard infusion set (10.8%) and the infusion pump (7.2%), with no notable differences between modal dose-categories.</w:t>
      </w:r>
    </w:p>
    <w:p w14:paraId="7BB5679D" w14:textId="1222E9BF" w:rsidR="00221078" w:rsidRDefault="008F71C6" w:rsidP="00D407EC">
      <w:r w:rsidRPr="009039B7">
        <w:rPr>
          <w:iCs/>
        </w:rPr>
        <w:t xml:space="preserve">In Study </w:t>
      </w:r>
      <w:r w:rsidR="00221078" w:rsidRPr="009039B7">
        <w:rPr>
          <w:iCs/>
        </w:rPr>
        <w:t>M15-737</w:t>
      </w:r>
      <w:r w:rsidR="009039B7">
        <w:rPr>
          <w:iCs/>
        </w:rPr>
        <w:t>,</w:t>
      </w:r>
      <w:r w:rsidR="00221078">
        <w:t xml:space="preserve"> </w:t>
      </w:r>
      <w:r w:rsidR="009039B7">
        <w:t>a</w:t>
      </w:r>
      <w:r w:rsidR="00221078">
        <w:t>t data cut-off, 12 (16.7%) subjects reported TEAEs associated with product complaints, with a higher proportion in the high-dose category (19.6%) vs. the low-dose category (11.5%). Most</w:t>
      </w:r>
      <w:r w:rsidR="00221078">
        <w:rPr>
          <w:spacing w:val="-2"/>
        </w:rPr>
        <w:t xml:space="preserve"> </w:t>
      </w:r>
      <w:r w:rsidR="00221078">
        <w:t>complaints (6.9%) related</w:t>
      </w:r>
      <w:r w:rsidR="00221078">
        <w:rPr>
          <w:spacing w:val="-1"/>
        </w:rPr>
        <w:t xml:space="preserve"> </w:t>
      </w:r>
      <w:r w:rsidR="00221078">
        <w:t>to the infusion set, with a higher proportion in the high-dose category (8.7%) vs. the low-dose category (3.8%). Four (5.6%) subjects from the</w:t>
      </w:r>
      <w:r w:rsidR="00221078">
        <w:rPr>
          <w:spacing w:val="-4"/>
        </w:rPr>
        <w:t xml:space="preserve"> </w:t>
      </w:r>
      <w:r w:rsidR="00221078">
        <w:t>high-dose</w:t>
      </w:r>
      <w:r w:rsidR="00221078">
        <w:rPr>
          <w:spacing w:val="-4"/>
        </w:rPr>
        <w:t xml:space="preserve"> </w:t>
      </w:r>
      <w:r w:rsidR="00221078">
        <w:t>category,</w:t>
      </w:r>
      <w:r w:rsidR="00221078">
        <w:rPr>
          <w:spacing w:val="-4"/>
        </w:rPr>
        <w:t xml:space="preserve"> </w:t>
      </w:r>
      <w:r w:rsidR="00221078">
        <w:t>reported</w:t>
      </w:r>
      <w:r w:rsidR="00221078">
        <w:rPr>
          <w:spacing w:val="-4"/>
        </w:rPr>
        <w:t xml:space="preserve"> </w:t>
      </w:r>
      <w:r w:rsidR="00221078">
        <w:t>AEs</w:t>
      </w:r>
      <w:r w:rsidR="00221078">
        <w:rPr>
          <w:spacing w:val="-3"/>
        </w:rPr>
        <w:t xml:space="preserve"> </w:t>
      </w:r>
      <w:r w:rsidR="00221078">
        <w:t>associated</w:t>
      </w:r>
      <w:r w:rsidR="00221078">
        <w:rPr>
          <w:spacing w:val="-4"/>
        </w:rPr>
        <w:t xml:space="preserve"> </w:t>
      </w:r>
      <w:r w:rsidR="00221078">
        <w:t>with</w:t>
      </w:r>
      <w:r w:rsidR="00221078">
        <w:rPr>
          <w:spacing w:val="-3"/>
        </w:rPr>
        <w:t xml:space="preserve"> </w:t>
      </w:r>
      <w:r w:rsidR="00A175F6">
        <w:t>foslevodopa</w:t>
      </w:r>
      <w:r w:rsidR="00221078">
        <w:t>/foscarbidopa.</w:t>
      </w:r>
      <w:r w:rsidR="00221078">
        <w:rPr>
          <w:spacing w:val="-4"/>
        </w:rPr>
        <w:t xml:space="preserve"> </w:t>
      </w:r>
      <w:r w:rsidR="00221078">
        <w:t>The</w:t>
      </w:r>
      <w:r w:rsidR="00221078">
        <w:rPr>
          <w:spacing w:val="-4"/>
        </w:rPr>
        <w:t xml:space="preserve"> </w:t>
      </w:r>
      <w:r w:rsidR="00221078">
        <w:t>evaluator has highlighted</w:t>
      </w:r>
      <w:r w:rsidR="00221078">
        <w:rPr>
          <w:spacing w:val="40"/>
        </w:rPr>
        <w:t xml:space="preserve"> </w:t>
      </w:r>
      <w:r w:rsidR="00221078">
        <w:t xml:space="preserve">that the results </w:t>
      </w:r>
      <w:r w:rsidR="00CC3FB3">
        <w:t>should</w:t>
      </w:r>
      <w:r w:rsidR="00221078">
        <w:t xml:space="preserve"> be interpreted with caution since available data were limited by the low number of participants.</w:t>
      </w:r>
    </w:p>
    <w:p w14:paraId="4A9EA2C0" w14:textId="23775F08" w:rsidR="00221078" w:rsidRDefault="00221078" w:rsidP="00863C6F">
      <w:pPr>
        <w:pStyle w:val="Heading5"/>
      </w:pPr>
      <w:bookmarkStart w:id="74" w:name="Infusion_site_reactions"/>
      <w:bookmarkEnd w:id="74"/>
      <w:r>
        <w:t>Infusion</w:t>
      </w:r>
      <w:r>
        <w:rPr>
          <w:spacing w:val="-4"/>
        </w:rPr>
        <w:t xml:space="preserve"> </w:t>
      </w:r>
      <w:r>
        <w:t>site</w:t>
      </w:r>
      <w:r>
        <w:rPr>
          <w:spacing w:val="-4"/>
        </w:rPr>
        <w:t xml:space="preserve"> </w:t>
      </w:r>
      <w:r w:rsidR="008703A7">
        <w:rPr>
          <w:spacing w:val="-2"/>
        </w:rPr>
        <w:t>infections</w:t>
      </w:r>
    </w:p>
    <w:p w14:paraId="42D68E1F" w14:textId="4EEE56E9" w:rsidR="00221078" w:rsidRDefault="005A6202" w:rsidP="00D407EC">
      <w:r>
        <w:t xml:space="preserve">In Study </w:t>
      </w:r>
      <w:r w:rsidR="00221078">
        <w:t>M15-741</w:t>
      </w:r>
      <w:r>
        <w:t>,</w:t>
      </w:r>
      <w:r w:rsidR="00221078">
        <w:t xml:space="preserve"> </w:t>
      </w:r>
      <w:r>
        <w:t>i</w:t>
      </w:r>
      <w:r w:rsidR="00221078">
        <w:t xml:space="preserve">ncidence of infusion site infections following </w:t>
      </w:r>
      <w:r w:rsidR="00A175F6">
        <w:t>foslevodopa</w:t>
      </w:r>
      <w:r w:rsidR="00221078">
        <w:t xml:space="preserve">/foscarbidopa infusion was 32.3% (n = 72), with higher incidence in subjects from the high dose-category (39.4%) compared with the low dose-category (26.1%). Sixty-six (29.6%) TEAEs were considered treatment-related following </w:t>
      </w:r>
      <w:r w:rsidR="00A175F6">
        <w:t>foslevodopa</w:t>
      </w:r>
      <w:r w:rsidR="00221078">
        <w:t>/foscarbidopa exposure. Infusion site cellulitis (23.8%; ‘dose-related’); infusion site abscess (8.5%; ‘dose-related’); and infusion site infection (5.8%; ‘dose-related’). Twelve (5.4%) events were considered severe, 14 (6.3%) events serious (infection</w:t>
      </w:r>
      <w:r w:rsidR="00221078">
        <w:rPr>
          <w:spacing w:val="-5"/>
        </w:rPr>
        <w:t xml:space="preserve"> </w:t>
      </w:r>
      <w:r w:rsidR="00221078">
        <w:t>site</w:t>
      </w:r>
      <w:r w:rsidR="00221078">
        <w:rPr>
          <w:spacing w:val="-4"/>
        </w:rPr>
        <w:t xml:space="preserve"> </w:t>
      </w:r>
      <w:r w:rsidR="00221078">
        <w:t>cellulitis,</w:t>
      </w:r>
      <w:r w:rsidR="00221078">
        <w:rPr>
          <w:spacing w:val="-2"/>
        </w:rPr>
        <w:t xml:space="preserve"> </w:t>
      </w:r>
      <w:r w:rsidR="00221078">
        <w:t>4.5%;</w:t>
      </w:r>
      <w:r w:rsidR="00221078">
        <w:rPr>
          <w:spacing w:val="-3"/>
        </w:rPr>
        <w:t xml:space="preserve"> </w:t>
      </w:r>
      <w:r w:rsidR="00221078">
        <w:t>and</w:t>
      </w:r>
      <w:r w:rsidR="00221078">
        <w:rPr>
          <w:spacing w:val="-2"/>
        </w:rPr>
        <w:t xml:space="preserve"> </w:t>
      </w:r>
      <w:r w:rsidR="00221078">
        <w:t>infusion</w:t>
      </w:r>
      <w:r w:rsidR="00221078">
        <w:rPr>
          <w:spacing w:val="-3"/>
        </w:rPr>
        <w:t xml:space="preserve"> </w:t>
      </w:r>
      <w:r w:rsidR="00221078">
        <w:t>site</w:t>
      </w:r>
      <w:r w:rsidR="00221078">
        <w:rPr>
          <w:spacing w:val="-2"/>
        </w:rPr>
        <w:t xml:space="preserve"> </w:t>
      </w:r>
      <w:r w:rsidR="00221078">
        <w:t>abscess,</w:t>
      </w:r>
      <w:r w:rsidR="00221078">
        <w:rPr>
          <w:spacing w:val="-2"/>
        </w:rPr>
        <w:t xml:space="preserve"> </w:t>
      </w:r>
      <w:r w:rsidR="00221078">
        <w:t>2.7%)</w:t>
      </w:r>
      <w:r w:rsidR="00221078">
        <w:rPr>
          <w:spacing w:val="-2"/>
        </w:rPr>
        <w:t xml:space="preserve"> </w:t>
      </w:r>
      <w:r w:rsidR="00221078">
        <w:t>and</w:t>
      </w:r>
      <w:r w:rsidR="00221078">
        <w:rPr>
          <w:spacing w:val="-2"/>
        </w:rPr>
        <w:t xml:space="preserve"> </w:t>
      </w:r>
      <w:r w:rsidR="00221078">
        <w:t>11</w:t>
      </w:r>
      <w:r w:rsidR="00221078">
        <w:rPr>
          <w:spacing w:val="-2"/>
        </w:rPr>
        <w:t xml:space="preserve"> </w:t>
      </w:r>
      <w:r w:rsidR="00221078">
        <w:t>(4.9%)</w:t>
      </w:r>
      <w:r w:rsidR="00221078">
        <w:rPr>
          <w:spacing w:val="-5"/>
        </w:rPr>
        <w:t xml:space="preserve"> </w:t>
      </w:r>
      <w:r w:rsidR="00221078">
        <w:t>events</w:t>
      </w:r>
      <w:r w:rsidR="00221078">
        <w:rPr>
          <w:spacing w:val="-1"/>
        </w:rPr>
        <w:t xml:space="preserve"> </w:t>
      </w:r>
      <w:r w:rsidR="00221078">
        <w:t>led</w:t>
      </w:r>
      <w:r w:rsidR="00221078">
        <w:rPr>
          <w:spacing w:val="-2"/>
        </w:rPr>
        <w:t xml:space="preserve"> </w:t>
      </w:r>
      <w:r w:rsidR="00221078">
        <w:t>to</w:t>
      </w:r>
      <w:r w:rsidR="00221078">
        <w:rPr>
          <w:spacing w:val="-4"/>
        </w:rPr>
        <w:t xml:space="preserve"> </w:t>
      </w:r>
      <w:r w:rsidR="00221078">
        <w:t xml:space="preserve">study drug discontinuation (10 of which were considered treatment-related). The evaluator highlighted </w:t>
      </w:r>
      <w:proofErr w:type="gramStart"/>
      <w:r w:rsidR="00221078">
        <w:t xml:space="preserve">that </w:t>
      </w:r>
      <w:r>
        <w:t xml:space="preserve">4 </w:t>
      </w:r>
      <w:r w:rsidR="00221078">
        <w:t>subjects</w:t>
      </w:r>
      <w:proofErr w:type="gramEnd"/>
      <w:r w:rsidR="00221078">
        <w:t xml:space="preserve"> experienced systemic complications of sepsis and/or metabolic encephalopathy, which required hospitalised treatment.</w:t>
      </w:r>
    </w:p>
    <w:p w14:paraId="3C170418" w14:textId="2DB780D0" w:rsidR="00221078" w:rsidRDefault="003A31ED" w:rsidP="00D407EC">
      <w:r>
        <w:t xml:space="preserve">In Study </w:t>
      </w:r>
      <w:r w:rsidR="00221078">
        <w:t>M15-737</w:t>
      </w:r>
      <w:r>
        <w:t>, 6</w:t>
      </w:r>
      <w:r w:rsidR="00221078">
        <w:t xml:space="preserve"> (8.3%) subjects experienced infusion site infections, all treatment-related. Infusion site cellulitis accounted for 5 (6.9%) events, 4 of which occurred from the high-dose category.</w:t>
      </w:r>
      <w:r w:rsidR="00221078">
        <w:rPr>
          <w:spacing w:val="-5"/>
        </w:rPr>
        <w:t xml:space="preserve"> </w:t>
      </w:r>
      <w:r w:rsidR="00221078">
        <w:t>None</w:t>
      </w:r>
      <w:r w:rsidR="00221078">
        <w:rPr>
          <w:spacing w:val="-3"/>
        </w:rPr>
        <w:t xml:space="preserve"> </w:t>
      </w:r>
      <w:r w:rsidR="00221078">
        <w:t>were</w:t>
      </w:r>
      <w:r w:rsidR="00221078">
        <w:rPr>
          <w:spacing w:val="-3"/>
        </w:rPr>
        <w:t xml:space="preserve"> </w:t>
      </w:r>
      <w:r w:rsidR="00221078">
        <w:t>severe,</w:t>
      </w:r>
      <w:r w:rsidR="00221078">
        <w:rPr>
          <w:spacing w:val="-3"/>
        </w:rPr>
        <w:t xml:space="preserve"> </w:t>
      </w:r>
      <w:r w:rsidR="00221078">
        <w:t>serious</w:t>
      </w:r>
      <w:r w:rsidR="00221078">
        <w:rPr>
          <w:spacing w:val="-2"/>
        </w:rPr>
        <w:t xml:space="preserve"> </w:t>
      </w:r>
      <w:r w:rsidR="00221078">
        <w:t>or</w:t>
      </w:r>
      <w:r w:rsidR="00221078">
        <w:rPr>
          <w:spacing w:val="-3"/>
        </w:rPr>
        <w:t xml:space="preserve"> </w:t>
      </w:r>
      <w:r w:rsidR="00221078">
        <w:t>resulted</w:t>
      </w:r>
      <w:r w:rsidR="00221078">
        <w:rPr>
          <w:spacing w:val="-3"/>
        </w:rPr>
        <w:t xml:space="preserve"> </w:t>
      </w:r>
      <w:r w:rsidR="00221078">
        <w:t>in</w:t>
      </w:r>
      <w:r w:rsidR="00221078">
        <w:rPr>
          <w:spacing w:val="-6"/>
        </w:rPr>
        <w:t xml:space="preserve"> </w:t>
      </w:r>
      <w:r w:rsidR="00221078">
        <w:t>discontinuation.</w:t>
      </w:r>
      <w:r w:rsidR="00221078">
        <w:rPr>
          <w:spacing w:val="-3"/>
        </w:rPr>
        <w:t xml:space="preserve"> </w:t>
      </w:r>
      <w:r w:rsidR="00221078">
        <w:t>Most</w:t>
      </w:r>
      <w:r w:rsidR="00221078">
        <w:rPr>
          <w:spacing w:val="-3"/>
        </w:rPr>
        <w:t xml:space="preserve"> </w:t>
      </w:r>
      <w:r w:rsidR="00221078">
        <w:t>resolved</w:t>
      </w:r>
      <w:r w:rsidR="00221078">
        <w:rPr>
          <w:spacing w:val="-3"/>
        </w:rPr>
        <w:t xml:space="preserve"> </w:t>
      </w:r>
      <w:r w:rsidR="00221078">
        <w:t>or</w:t>
      </w:r>
      <w:r w:rsidR="00221078">
        <w:rPr>
          <w:spacing w:val="-3"/>
        </w:rPr>
        <w:t xml:space="preserve"> </w:t>
      </w:r>
      <w:r w:rsidR="00221078">
        <w:t>recovered.</w:t>
      </w:r>
    </w:p>
    <w:p w14:paraId="067E6B1C" w14:textId="77777777" w:rsidR="00221078" w:rsidRDefault="00221078" w:rsidP="00863C6F">
      <w:pPr>
        <w:pStyle w:val="Heading5"/>
      </w:pPr>
      <w:bookmarkStart w:id="75" w:name="Hallucinations_and_psychosis"/>
      <w:bookmarkEnd w:id="75"/>
      <w:r>
        <w:t>Hallucinations</w:t>
      </w:r>
      <w:r>
        <w:rPr>
          <w:spacing w:val="-6"/>
        </w:rPr>
        <w:t xml:space="preserve"> </w:t>
      </w:r>
      <w:r>
        <w:t>and</w:t>
      </w:r>
      <w:r>
        <w:rPr>
          <w:spacing w:val="-5"/>
        </w:rPr>
        <w:t xml:space="preserve"> </w:t>
      </w:r>
      <w:r>
        <w:rPr>
          <w:spacing w:val="-2"/>
        </w:rPr>
        <w:t>psychosis</w:t>
      </w:r>
    </w:p>
    <w:p w14:paraId="3ADFD715" w14:textId="1C47B7D4" w:rsidR="00221078" w:rsidRDefault="008667A1" w:rsidP="00D407EC">
      <w:r>
        <w:t xml:space="preserve">In Study </w:t>
      </w:r>
      <w:r w:rsidR="00221078">
        <w:t>M15-741</w:t>
      </w:r>
      <w:r>
        <w:t xml:space="preserve">, </w:t>
      </w:r>
      <w:r w:rsidR="00A86251">
        <w:rPr>
          <w:spacing w:val="-4"/>
        </w:rPr>
        <w:t>m</w:t>
      </w:r>
      <w:r w:rsidR="00221078">
        <w:t>ost</w:t>
      </w:r>
      <w:r w:rsidR="00221078">
        <w:rPr>
          <w:spacing w:val="-3"/>
        </w:rPr>
        <w:t xml:space="preserve"> </w:t>
      </w:r>
      <w:r w:rsidR="00221078">
        <w:t>of</w:t>
      </w:r>
      <w:r w:rsidR="00221078">
        <w:rPr>
          <w:spacing w:val="-3"/>
        </w:rPr>
        <w:t xml:space="preserve"> </w:t>
      </w:r>
      <w:r w:rsidR="00221078">
        <w:t>these</w:t>
      </w:r>
      <w:r w:rsidR="00221078">
        <w:rPr>
          <w:spacing w:val="-3"/>
        </w:rPr>
        <w:t xml:space="preserve"> </w:t>
      </w:r>
      <w:r w:rsidR="00221078">
        <w:t>TEAEs</w:t>
      </w:r>
      <w:r w:rsidR="00221078">
        <w:rPr>
          <w:spacing w:val="-2"/>
        </w:rPr>
        <w:t xml:space="preserve"> </w:t>
      </w:r>
      <w:r w:rsidR="00221078">
        <w:t>(21.1%)</w:t>
      </w:r>
      <w:r w:rsidR="00221078">
        <w:rPr>
          <w:spacing w:val="-3"/>
        </w:rPr>
        <w:t xml:space="preserve"> </w:t>
      </w:r>
      <w:r w:rsidR="00221078">
        <w:t>were</w:t>
      </w:r>
      <w:r w:rsidR="00221078">
        <w:rPr>
          <w:spacing w:val="-3"/>
        </w:rPr>
        <w:t xml:space="preserve"> </w:t>
      </w:r>
      <w:r w:rsidR="00221078">
        <w:t>considered</w:t>
      </w:r>
      <w:r w:rsidR="00221078">
        <w:rPr>
          <w:spacing w:val="-3"/>
        </w:rPr>
        <w:t xml:space="preserve"> </w:t>
      </w:r>
      <w:r w:rsidR="00221078">
        <w:t>treatment-related.</w:t>
      </w:r>
      <w:r w:rsidR="00221078">
        <w:rPr>
          <w:spacing w:val="-5"/>
        </w:rPr>
        <w:t xml:space="preserve"> </w:t>
      </w:r>
      <w:r w:rsidR="00221078">
        <w:t>Of</w:t>
      </w:r>
      <w:r w:rsidR="00736040">
        <w:t xml:space="preserve"> the</w:t>
      </w:r>
      <w:r w:rsidR="00221078">
        <w:rPr>
          <w:spacing w:val="-3"/>
        </w:rPr>
        <w:t xml:space="preserve"> </w:t>
      </w:r>
      <w:r w:rsidR="00221078">
        <w:t>TEAEs</w:t>
      </w:r>
      <w:r w:rsidR="00221078">
        <w:rPr>
          <w:spacing w:val="-2"/>
        </w:rPr>
        <w:t xml:space="preserve"> </w:t>
      </w:r>
      <w:r w:rsidR="00221078">
        <w:t xml:space="preserve">reported, treatment-related events following </w:t>
      </w:r>
      <w:r w:rsidR="00A175F6">
        <w:t>foslevodopa</w:t>
      </w:r>
      <w:r w:rsidR="00221078">
        <w:t>/foscarbidopa exposure were reported for: Hallucination (16.6%); hallucination, visual (5.8%); psychotic disorder (2.2%); and hallucination, auditory (2.2%), with similar distribution between modal dose-categories.</w:t>
      </w:r>
    </w:p>
    <w:p w14:paraId="384B062A" w14:textId="77777777" w:rsidR="00221078" w:rsidRDefault="00221078" w:rsidP="00863C6F">
      <w:pPr>
        <w:pStyle w:val="Heading5"/>
      </w:pPr>
      <w:bookmarkStart w:id="76" w:name="Polyneuropathy_(peripheral_neuropathy)"/>
      <w:bookmarkEnd w:id="76"/>
      <w:r>
        <w:t>Polyneuropathy</w:t>
      </w:r>
      <w:r>
        <w:rPr>
          <w:spacing w:val="-11"/>
        </w:rPr>
        <w:t xml:space="preserve"> </w:t>
      </w:r>
      <w:r>
        <w:t>(peripheral</w:t>
      </w:r>
      <w:r>
        <w:rPr>
          <w:spacing w:val="-10"/>
        </w:rPr>
        <w:t xml:space="preserve"> </w:t>
      </w:r>
      <w:r>
        <w:rPr>
          <w:spacing w:val="-2"/>
        </w:rPr>
        <w:t>neuropathy)</w:t>
      </w:r>
    </w:p>
    <w:p w14:paraId="31384250" w14:textId="70E4C196" w:rsidR="00221078" w:rsidRDefault="00221078" w:rsidP="0071550A">
      <w:r>
        <w:t xml:space="preserve">No events of Guillain-Barré syndrome were reported in the </w:t>
      </w:r>
      <w:r w:rsidR="00A175F6">
        <w:t>foslevodopa</w:t>
      </w:r>
      <w:r>
        <w:t xml:space="preserve">/foscarbidopa clinical development program. No polyneuropathy events were reported in the phase I studies or in </w:t>
      </w:r>
      <w:r w:rsidRPr="00A86251">
        <w:rPr>
          <w:iCs/>
        </w:rPr>
        <w:t>M15-737</w:t>
      </w:r>
      <w:r>
        <w:t xml:space="preserve">, at the time of data cut-off. In </w:t>
      </w:r>
      <w:r w:rsidRPr="00A86251">
        <w:rPr>
          <w:iCs/>
        </w:rPr>
        <w:t>M15-741</w:t>
      </w:r>
      <w:r>
        <w:t>, 5 (2.2%) subjects experienced at least 1 polyneuropathy event, 4 in the high-dose category. Two cases of treatment-related peripheral polyneuropathy</w:t>
      </w:r>
      <w:r>
        <w:rPr>
          <w:spacing w:val="-3"/>
        </w:rPr>
        <w:t xml:space="preserve"> </w:t>
      </w:r>
      <w:r>
        <w:t>were</w:t>
      </w:r>
      <w:r>
        <w:rPr>
          <w:spacing w:val="-2"/>
        </w:rPr>
        <w:t xml:space="preserve"> </w:t>
      </w:r>
      <w:r>
        <w:t>reported</w:t>
      </w:r>
      <w:r>
        <w:rPr>
          <w:spacing w:val="-2"/>
        </w:rPr>
        <w:t xml:space="preserve"> </w:t>
      </w:r>
      <w:r>
        <w:t>(both</w:t>
      </w:r>
      <w:r>
        <w:rPr>
          <w:spacing w:val="-1"/>
        </w:rPr>
        <w:t xml:space="preserve"> </w:t>
      </w:r>
      <w:r>
        <w:t>high-dose</w:t>
      </w:r>
      <w:r>
        <w:rPr>
          <w:spacing w:val="-2"/>
        </w:rPr>
        <w:t xml:space="preserve"> </w:t>
      </w:r>
      <w:r>
        <w:t>category)</w:t>
      </w:r>
      <w:r>
        <w:rPr>
          <w:spacing w:val="-2"/>
        </w:rPr>
        <w:t xml:space="preserve"> </w:t>
      </w:r>
      <w:r>
        <w:t>and</w:t>
      </w:r>
      <w:r>
        <w:rPr>
          <w:spacing w:val="-2"/>
        </w:rPr>
        <w:t xml:space="preserve"> </w:t>
      </w:r>
      <w:r>
        <w:t>1</w:t>
      </w:r>
      <w:r>
        <w:rPr>
          <w:spacing w:val="-4"/>
        </w:rPr>
        <w:t xml:space="preserve"> </w:t>
      </w:r>
      <w:r>
        <w:t>severe</w:t>
      </w:r>
      <w:r>
        <w:rPr>
          <w:spacing w:val="-4"/>
        </w:rPr>
        <w:t xml:space="preserve"> </w:t>
      </w:r>
      <w:r>
        <w:t>event</w:t>
      </w:r>
      <w:r>
        <w:rPr>
          <w:spacing w:val="-2"/>
        </w:rPr>
        <w:t xml:space="preserve"> </w:t>
      </w:r>
      <w:r>
        <w:t>(in</w:t>
      </w:r>
      <w:r>
        <w:rPr>
          <w:spacing w:val="-3"/>
        </w:rPr>
        <w:t xml:space="preserve"> </w:t>
      </w:r>
      <w:r>
        <w:t>the</w:t>
      </w:r>
      <w:r>
        <w:rPr>
          <w:spacing w:val="-2"/>
        </w:rPr>
        <w:t xml:space="preserve"> </w:t>
      </w:r>
      <w:r>
        <w:t>high-dose category). No events led to study drug discontinuation.</w:t>
      </w:r>
    </w:p>
    <w:p w14:paraId="5654D4B9" w14:textId="77777777" w:rsidR="00221078" w:rsidRPr="002269E0" w:rsidRDefault="00221078" w:rsidP="00863C6F">
      <w:pPr>
        <w:pStyle w:val="Heading5"/>
      </w:pPr>
      <w:bookmarkStart w:id="77" w:name="Somnolence"/>
      <w:bookmarkEnd w:id="77"/>
      <w:r w:rsidRPr="002269E0">
        <w:t>Somnolence</w:t>
      </w:r>
    </w:p>
    <w:p w14:paraId="0F7198FF" w14:textId="40E331F7" w:rsidR="00221078" w:rsidRDefault="00221078" w:rsidP="002269E0">
      <w:r>
        <w:t xml:space="preserve">No somnolence events were reported in the phase I studies or in </w:t>
      </w:r>
      <w:r w:rsidRPr="00240D86">
        <w:rPr>
          <w:iCs/>
        </w:rPr>
        <w:t>M15-737</w:t>
      </w:r>
      <w:r>
        <w:t xml:space="preserve">, at the time of data cut-off. In </w:t>
      </w:r>
      <w:r w:rsidRPr="00240D86">
        <w:rPr>
          <w:iCs/>
        </w:rPr>
        <w:t>M15-741</w:t>
      </w:r>
      <w:r>
        <w:t xml:space="preserve">, incidence of somnolence following </w:t>
      </w:r>
      <w:r w:rsidR="00A175F6">
        <w:t>foslevodopa</w:t>
      </w:r>
      <w:r>
        <w:t>/foscarbidopa infusion was 4.9%,</w:t>
      </w:r>
      <w:r>
        <w:rPr>
          <w:spacing w:val="-3"/>
        </w:rPr>
        <w:t xml:space="preserve"> </w:t>
      </w:r>
      <w:r>
        <w:t>with</w:t>
      </w:r>
      <w:r>
        <w:rPr>
          <w:spacing w:val="-2"/>
        </w:rPr>
        <w:t xml:space="preserve"> </w:t>
      </w:r>
      <w:r>
        <w:t>lower</w:t>
      </w:r>
      <w:r>
        <w:rPr>
          <w:spacing w:val="-3"/>
        </w:rPr>
        <w:t xml:space="preserve"> </w:t>
      </w:r>
      <w:r>
        <w:t>incidence</w:t>
      </w:r>
      <w:r>
        <w:rPr>
          <w:spacing w:val="-3"/>
        </w:rPr>
        <w:t xml:space="preserve"> </w:t>
      </w:r>
      <w:r>
        <w:t>of</w:t>
      </w:r>
      <w:r>
        <w:rPr>
          <w:spacing w:val="-3"/>
        </w:rPr>
        <w:t xml:space="preserve"> </w:t>
      </w:r>
      <w:r>
        <w:t>somnolence</w:t>
      </w:r>
      <w:r>
        <w:rPr>
          <w:spacing w:val="-3"/>
        </w:rPr>
        <w:t xml:space="preserve"> </w:t>
      </w:r>
      <w:r>
        <w:t>reported</w:t>
      </w:r>
      <w:r>
        <w:rPr>
          <w:spacing w:val="-5"/>
        </w:rPr>
        <w:t xml:space="preserve"> </w:t>
      </w:r>
      <w:r>
        <w:t>in</w:t>
      </w:r>
      <w:r>
        <w:rPr>
          <w:spacing w:val="-4"/>
        </w:rPr>
        <w:t xml:space="preserve"> </w:t>
      </w:r>
      <w:r>
        <w:t>subjects</w:t>
      </w:r>
      <w:r>
        <w:rPr>
          <w:spacing w:val="-2"/>
        </w:rPr>
        <w:t xml:space="preserve"> </w:t>
      </w:r>
      <w:r>
        <w:t>categorised</w:t>
      </w:r>
      <w:r>
        <w:rPr>
          <w:spacing w:val="-3"/>
        </w:rPr>
        <w:t xml:space="preserve"> </w:t>
      </w:r>
      <w:r>
        <w:t>as</w:t>
      </w:r>
      <w:r>
        <w:rPr>
          <w:spacing w:val="-4"/>
        </w:rPr>
        <w:t xml:space="preserve"> </w:t>
      </w:r>
      <w:r>
        <w:t>high-dose</w:t>
      </w:r>
      <w:r>
        <w:rPr>
          <w:spacing w:val="-3"/>
        </w:rPr>
        <w:t xml:space="preserve"> </w:t>
      </w:r>
      <w:r>
        <w:t>(1.9%) compared with low-dose (7.6%).</w:t>
      </w:r>
    </w:p>
    <w:p w14:paraId="73A2C273" w14:textId="77777777" w:rsidR="00221078" w:rsidRDefault="00221078" w:rsidP="00863C6F">
      <w:pPr>
        <w:pStyle w:val="Heading5"/>
      </w:pPr>
      <w:bookmarkStart w:id="78" w:name="Falls_and_associated_injuries"/>
      <w:bookmarkEnd w:id="78"/>
      <w:r>
        <w:t>Falls</w:t>
      </w:r>
      <w:r>
        <w:rPr>
          <w:spacing w:val="-5"/>
        </w:rPr>
        <w:t xml:space="preserve"> </w:t>
      </w:r>
      <w:r>
        <w:t>and</w:t>
      </w:r>
      <w:r>
        <w:rPr>
          <w:spacing w:val="-4"/>
        </w:rPr>
        <w:t xml:space="preserve"> </w:t>
      </w:r>
      <w:r>
        <w:t>associated</w:t>
      </w:r>
      <w:r>
        <w:rPr>
          <w:spacing w:val="-4"/>
        </w:rPr>
        <w:t xml:space="preserve"> </w:t>
      </w:r>
      <w:r>
        <w:rPr>
          <w:spacing w:val="-2"/>
        </w:rPr>
        <w:t>injuries</w:t>
      </w:r>
    </w:p>
    <w:p w14:paraId="460AB41B" w14:textId="64912E90" w:rsidR="00221078" w:rsidRDefault="00240D86" w:rsidP="002269E0">
      <w:r>
        <w:t xml:space="preserve">In Study </w:t>
      </w:r>
      <w:r w:rsidR="00221078">
        <w:t>M15-741</w:t>
      </w:r>
      <w:r>
        <w:t>,</w:t>
      </w:r>
      <w:r w:rsidR="00221078">
        <w:t xml:space="preserve"> </w:t>
      </w:r>
      <w:r>
        <w:t>t</w:t>
      </w:r>
      <w:r w:rsidR="00221078">
        <w:t xml:space="preserve">he incidence of falls and associated injuries following </w:t>
      </w:r>
      <w:r w:rsidR="00A175F6">
        <w:t>foslevodopa</w:t>
      </w:r>
      <w:r w:rsidR="00221078">
        <w:t>/foscarbidopa infusion</w:t>
      </w:r>
      <w:r w:rsidR="00221078">
        <w:rPr>
          <w:spacing w:val="-4"/>
        </w:rPr>
        <w:t xml:space="preserve"> </w:t>
      </w:r>
      <w:r w:rsidR="00221078">
        <w:t>was</w:t>
      </w:r>
      <w:r w:rsidR="00221078">
        <w:rPr>
          <w:spacing w:val="-2"/>
        </w:rPr>
        <w:t xml:space="preserve"> </w:t>
      </w:r>
      <w:r w:rsidR="00221078">
        <w:t>15.7%,</w:t>
      </w:r>
      <w:r w:rsidR="00221078">
        <w:rPr>
          <w:spacing w:val="-3"/>
        </w:rPr>
        <w:t xml:space="preserve"> </w:t>
      </w:r>
      <w:r w:rsidR="00221078">
        <w:t>with</w:t>
      </w:r>
      <w:r w:rsidR="00221078">
        <w:rPr>
          <w:spacing w:val="-5"/>
        </w:rPr>
        <w:t xml:space="preserve"> </w:t>
      </w:r>
      <w:r w:rsidR="00221078">
        <w:t>higher</w:t>
      </w:r>
      <w:r w:rsidR="00221078">
        <w:rPr>
          <w:spacing w:val="-5"/>
        </w:rPr>
        <w:t xml:space="preserve"> </w:t>
      </w:r>
      <w:r w:rsidR="00221078">
        <w:t>incidence</w:t>
      </w:r>
      <w:r w:rsidR="00221078">
        <w:rPr>
          <w:spacing w:val="-3"/>
        </w:rPr>
        <w:t xml:space="preserve"> </w:t>
      </w:r>
      <w:r w:rsidR="00221078">
        <w:t>of</w:t>
      </w:r>
      <w:r w:rsidR="00221078">
        <w:rPr>
          <w:spacing w:val="-3"/>
        </w:rPr>
        <w:t xml:space="preserve"> </w:t>
      </w:r>
      <w:r w:rsidR="00221078">
        <w:t>falls</w:t>
      </w:r>
      <w:r w:rsidR="00221078">
        <w:rPr>
          <w:spacing w:val="-2"/>
        </w:rPr>
        <w:t xml:space="preserve"> </w:t>
      </w:r>
      <w:r w:rsidR="00221078">
        <w:t>and</w:t>
      </w:r>
      <w:r w:rsidR="00221078">
        <w:rPr>
          <w:spacing w:val="-3"/>
        </w:rPr>
        <w:t xml:space="preserve"> </w:t>
      </w:r>
      <w:r w:rsidR="00221078">
        <w:t>associated</w:t>
      </w:r>
      <w:r w:rsidR="00221078">
        <w:rPr>
          <w:spacing w:val="-5"/>
        </w:rPr>
        <w:t xml:space="preserve"> </w:t>
      </w:r>
      <w:r w:rsidR="00221078">
        <w:t>injuries</w:t>
      </w:r>
      <w:r w:rsidR="00221078">
        <w:rPr>
          <w:spacing w:val="-2"/>
        </w:rPr>
        <w:t xml:space="preserve"> </w:t>
      </w:r>
      <w:r w:rsidR="00221078">
        <w:t>reported</w:t>
      </w:r>
      <w:r w:rsidR="00221078">
        <w:rPr>
          <w:spacing w:val="-3"/>
        </w:rPr>
        <w:t xml:space="preserve"> </w:t>
      </w:r>
      <w:r w:rsidR="00221078">
        <w:t>in</w:t>
      </w:r>
      <w:r w:rsidR="00221078">
        <w:rPr>
          <w:spacing w:val="-4"/>
        </w:rPr>
        <w:t xml:space="preserve"> </w:t>
      </w:r>
      <w:r w:rsidR="00221078">
        <w:t>subjects categorised in the high modal dose-category (19.2%) compared with the low modal dose- category (12.6%).</w:t>
      </w:r>
    </w:p>
    <w:p w14:paraId="2502266D" w14:textId="77777777" w:rsidR="00221078" w:rsidRDefault="00221078" w:rsidP="00863C6F">
      <w:pPr>
        <w:pStyle w:val="Heading5"/>
      </w:pPr>
      <w:bookmarkStart w:id="79" w:name="Malignancies"/>
      <w:bookmarkEnd w:id="79"/>
      <w:r>
        <w:t>Malignancies</w:t>
      </w:r>
    </w:p>
    <w:p w14:paraId="5E88E037" w14:textId="69370275" w:rsidR="00221078" w:rsidRDefault="00221078" w:rsidP="002269E0">
      <w:r>
        <w:t>Due</w:t>
      </w:r>
      <w:r>
        <w:rPr>
          <w:spacing w:val="-3"/>
        </w:rPr>
        <w:t xml:space="preserve"> </w:t>
      </w:r>
      <w:r>
        <w:t>to</w:t>
      </w:r>
      <w:r>
        <w:rPr>
          <w:spacing w:val="-5"/>
        </w:rPr>
        <w:t xml:space="preserve"> </w:t>
      </w:r>
      <w:r>
        <w:t>concerns</w:t>
      </w:r>
      <w:r>
        <w:rPr>
          <w:spacing w:val="-2"/>
        </w:rPr>
        <w:t xml:space="preserve"> </w:t>
      </w:r>
      <w:r>
        <w:t>about</w:t>
      </w:r>
      <w:r>
        <w:rPr>
          <w:spacing w:val="-3"/>
        </w:rPr>
        <w:t xml:space="preserve"> </w:t>
      </w:r>
      <w:r>
        <w:t>potential</w:t>
      </w:r>
      <w:r>
        <w:rPr>
          <w:spacing w:val="-3"/>
        </w:rPr>
        <w:t xml:space="preserve"> </w:t>
      </w:r>
      <w:r>
        <w:t>carcinogenicity</w:t>
      </w:r>
      <w:r>
        <w:rPr>
          <w:spacing w:val="-4"/>
        </w:rPr>
        <w:t xml:space="preserve"> </w:t>
      </w:r>
      <w:r>
        <w:t>of</w:t>
      </w:r>
      <w:r>
        <w:rPr>
          <w:spacing w:val="-3"/>
        </w:rPr>
        <w:t xml:space="preserve"> </w:t>
      </w:r>
      <w:r>
        <w:t>hydrazine,</w:t>
      </w:r>
      <w:r>
        <w:rPr>
          <w:spacing w:val="-3"/>
        </w:rPr>
        <w:t xml:space="preserve"> </w:t>
      </w:r>
      <w:r>
        <w:t>malignancies</w:t>
      </w:r>
      <w:r>
        <w:rPr>
          <w:spacing w:val="-4"/>
        </w:rPr>
        <w:t xml:space="preserve"> </w:t>
      </w:r>
      <w:r>
        <w:t>were</w:t>
      </w:r>
      <w:r>
        <w:rPr>
          <w:spacing w:val="-3"/>
        </w:rPr>
        <w:t xml:space="preserve"> </w:t>
      </w:r>
      <w:r>
        <w:t>evaluated</w:t>
      </w:r>
      <w:r>
        <w:rPr>
          <w:spacing w:val="-3"/>
        </w:rPr>
        <w:t xml:space="preserve"> </w:t>
      </w:r>
      <w:r>
        <w:t xml:space="preserve">in the </w:t>
      </w:r>
      <w:r w:rsidR="00A175F6">
        <w:t>foslevodopa</w:t>
      </w:r>
      <w:r>
        <w:t>/foscarbidopa clinical development program.</w:t>
      </w:r>
    </w:p>
    <w:p w14:paraId="440E75CC" w14:textId="2804FCDF" w:rsidR="00221078" w:rsidRDefault="00221078" w:rsidP="002269E0">
      <w:r>
        <w:t>Three</w:t>
      </w:r>
      <w:r>
        <w:rPr>
          <w:spacing w:val="-2"/>
        </w:rPr>
        <w:t xml:space="preserve"> </w:t>
      </w:r>
      <w:r>
        <w:t>subjects</w:t>
      </w:r>
      <w:r>
        <w:rPr>
          <w:spacing w:val="-3"/>
        </w:rPr>
        <w:t xml:space="preserve"> </w:t>
      </w:r>
      <w:r>
        <w:t>in</w:t>
      </w:r>
      <w:r>
        <w:rPr>
          <w:spacing w:val="-3"/>
        </w:rPr>
        <w:t xml:space="preserve"> </w:t>
      </w:r>
      <w:r>
        <w:t>M15-741</w:t>
      </w:r>
      <w:r>
        <w:rPr>
          <w:spacing w:val="-2"/>
        </w:rPr>
        <w:t xml:space="preserve"> </w:t>
      </w:r>
      <w:r>
        <w:t>experienced</w:t>
      </w:r>
      <w:r>
        <w:rPr>
          <w:spacing w:val="-4"/>
        </w:rPr>
        <w:t xml:space="preserve"> </w:t>
      </w:r>
      <w:r>
        <w:t>malignancy</w:t>
      </w:r>
      <w:r>
        <w:rPr>
          <w:spacing w:val="-3"/>
        </w:rPr>
        <w:t xml:space="preserve"> </w:t>
      </w:r>
      <w:r>
        <w:t>events.</w:t>
      </w:r>
      <w:r>
        <w:rPr>
          <w:spacing w:val="-2"/>
        </w:rPr>
        <w:t xml:space="preserve"> </w:t>
      </w:r>
      <w:r>
        <w:t>Basal</w:t>
      </w:r>
      <w:r>
        <w:rPr>
          <w:spacing w:val="-2"/>
        </w:rPr>
        <w:t xml:space="preserve"> </w:t>
      </w:r>
      <w:r>
        <w:t>cell</w:t>
      </w:r>
      <w:r>
        <w:rPr>
          <w:spacing w:val="-2"/>
        </w:rPr>
        <w:t xml:space="preserve"> </w:t>
      </w:r>
      <w:r>
        <w:t>carcinoma</w:t>
      </w:r>
      <w:r>
        <w:rPr>
          <w:spacing w:val="-2"/>
        </w:rPr>
        <w:t xml:space="preserve"> </w:t>
      </w:r>
      <w:r>
        <w:t>in</w:t>
      </w:r>
      <w:r>
        <w:rPr>
          <w:spacing w:val="-3"/>
        </w:rPr>
        <w:t xml:space="preserve"> </w:t>
      </w:r>
      <w:r>
        <w:t>2</w:t>
      </w:r>
      <w:r>
        <w:rPr>
          <w:spacing w:val="-4"/>
        </w:rPr>
        <w:t xml:space="preserve"> </w:t>
      </w:r>
      <w:r>
        <w:t>subjects and squamous cell carcinoma of skin in 1 subject. None of these events resulted in study discontinuation or were considered treatment</w:t>
      </w:r>
      <w:r w:rsidR="00E0605F">
        <w:t xml:space="preserve"> </w:t>
      </w:r>
      <w:r>
        <w:t>related.</w:t>
      </w:r>
    </w:p>
    <w:p w14:paraId="79C9E873" w14:textId="77777777" w:rsidR="00221078" w:rsidRDefault="00221078" w:rsidP="002269E0">
      <w:r>
        <w:t>The</w:t>
      </w:r>
      <w:r>
        <w:rPr>
          <w:spacing w:val="-2"/>
        </w:rPr>
        <w:t xml:space="preserve"> </w:t>
      </w:r>
      <w:r>
        <w:t>low</w:t>
      </w:r>
      <w:r>
        <w:rPr>
          <w:spacing w:val="-3"/>
        </w:rPr>
        <w:t xml:space="preserve"> </w:t>
      </w:r>
      <w:r>
        <w:t>number</w:t>
      </w:r>
      <w:r>
        <w:rPr>
          <w:spacing w:val="-2"/>
        </w:rPr>
        <w:t xml:space="preserve"> </w:t>
      </w:r>
      <w:r>
        <w:t>of</w:t>
      </w:r>
      <w:r>
        <w:rPr>
          <w:spacing w:val="-2"/>
        </w:rPr>
        <w:t xml:space="preserve"> </w:t>
      </w:r>
      <w:r>
        <w:t>subjects and</w:t>
      </w:r>
      <w:r>
        <w:rPr>
          <w:spacing w:val="-2"/>
        </w:rPr>
        <w:t xml:space="preserve"> </w:t>
      </w:r>
      <w:r>
        <w:t>the</w:t>
      </w:r>
      <w:r>
        <w:rPr>
          <w:spacing w:val="-4"/>
        </w:rPr>
        <w:t xml:space="preserve"> </w:t>
      </w:r>
      <w:r>
        <w:t>shorter</w:t>
      </w:r>
      <w:r>
        <w:rPr>
          <w:spacing w:val="-2"/>
        </w:rPr>
        <w:t xml:space="preserve"> </w:t>
      </w:r>
      <w:r>
        <w:t>duration</w:t>
      </w:r>
      <w:r>
        <w:rPr>
          <w:spacing w:val="-3"/>
        </w:rPr>
        <w:t xml:space="preserve"> </w:t>
      </w:r>
      <w:r>
        <w:t>of</w:t>
      </w:r>
      <w:r>
        <w:rPr>
          <w:spacing w:val="-2"/>
        </w:rPr>
        <w:t xml:space="preserve"> </w:t>
      </w:r>
      <w:r>
        <w:t>Study</w:t>
      </w:r>
      <w:r>
        <w:rPr>
          <w:spacing w:val="-2"/>
        </w:rPr>
        <w:t xml:space="preserve"> </w:t>
      </w:r>
      <w:r>
        <w:t>M15-737</w:t>
      </w:r>
      <w:r>
        <w:rPr>
          <w:spacing w:val="-2"/>
        </w:rPr>
        <w:t xml:space="preserve"> </w:t>
      </w:r>
      <w:r>
        <w:t>does</w:t>
      </w:r>
      <w:r>
        <w:rPr>
          <w:spacing w:val="-3"/>
        </w:rPr>
        <w:t xml:space="preserve"> </w:t>
      </w:r>
      <w:r>
        <w:t>not</w:t>
      </w:r>
      <w:r>
        <w:rPr>
          <w:spacing w:val="-2"/>
        </w:rPr>
        <w:t xml:space="preserve"> </w:t>
      </w:r>
      <w:r>
        <w:t>suit</w:t>
      </w:r>
      <w:r>
        <w:rPr>
          <w:spacing w:val="-2"/>
        </w:rPr>
        <w:t xml:space="preserve"> </w:t>
      </w:r>
      <w:r>
        <w:t>the assessment of malignancy risks.</w:t>
      </w:r>
    </w:p>
    <w:p w14:paraId="51E77FB5" w14:textId="33E90DA0" w:rsidR="00221078" w:rsidRDefault="00221078" w:rsidP="002269E0">
      <w:r>
        <w:t>There</w:t>
      </w:r>
      <w:r>
        <w:rPr>
          <w:spacing w:val="-3"/>
        </w:rPr>
        <w:t xml:space="preserve"> </w:t>
      </w:r>
      <w:r>
        <w:t>were</w:t>
      </w:r>
      <w:r>
        <w:rPr>
          <w:spacing w:val="-3"/>
        </w:rPr>
        <w:t xml:space="preserve"> </w:t>
      </w:r>
      <w:r>
        <w:t>no</w:t>
      </w:r>
      <w:r>
        <w:rPr>
          <w:spacing w:val="-5"/>
        </w:rPr>
        <w:t xml:space="preserve"> </w:t>
      </w:r>
      <w:r>
        <w:t>cases</w:t>
      </w:r>
      <w:r>
        <w:rPr>
          <w:spacing w:val="-2"/>
        </w:rPr>
        <w:t xml:space="preserve"> </w:t>
      </w:r>
      <w:r>
        <w:t>of</w:t>
      </w:r>
      <w:r>
        <w:rPr>
          <w:spacing w:val="-3"/>
        </w:rPr>
        <w:t xml:space="preserve"> </w:t>
      </w:r>
      <w:r>
        <w:t>melanoma</w:t>
      </w:r>
      <w:r>
        <w:rPr>
          <w:spacing w:val="-3"/>
        </w:rPr>
        <w:t xml:space="preserve"> </w:t>
      </w:r>
      <w:r>
        <w:t>in</w:t>
      </w:r>
      <w:r>
        <w:rPr>
          <w:spacing w:val="-4"/>
        </w:rPr>
        <w:t xml:space="preserve"> </w:t>
      </w:r>
      <w:r>
        <w:t>the</w:t>
      </w:r>
      <w:r>
        <w:rPr>
          <w:spacing w:val="-5"/>
        </w:rPr>
        <w:t xml:space="preserve"> </w:t>
      </w:r>
      <w:r w:rsidR="00A175F6">
        <w:t>foslevodopa</w:t>
      </w:r>
      <w:r>
        <w:t>/foscarbidopa</w:t>
      </w:r>
      <w:r>
        <w:rPr>
          <w:spacing w:val="-3"/>
        </w:rPr>
        <w:t xml:space="preserve"> </w:t>
      </w:r>
      <w:r>
        <w:t>clinical</w:t>
      </w:r>
      <w:r>
        <w:rPr>
          <w:spacing w:val="-3"/>
        </w:rPr>
        <w:t xml:space="preserve"> </w:t>
      </w:r>
      <w:r>
        <w:t xml:space="preserve">development </w:t>
      </w:r>
      <w:r>
        <w:rPr>
          <w:spacing w:val="-2"/>
        </w:rPr>
        <w:t>program.</w:t>
      </w:r>
    </w:p>
    <w:p w14:paraId="62A8A7EB" w14:textId="77777777" w:rsidR="00221078" w:rsidRDefault="00221078" w:rsidP="00863C6F">
      <w:pPr>
        <w:pStyle w:val="Heading5"/>
      </w:pPr>
      <w:bookmarkStart w:id="80" w:name="Withdrawal_and_rebound"/>
      <w:bookmarkEnd w:id="80"/>
      <w:r>
        <w:t>Withdrawal</w:t>
      </w:r>
      <w:r>
        <w:rPr>
          <w:spacing w:val="-6"/>
        </w:rPr>
        <w:t xml:space="preserve"> </w:t>
      </w:r>
      <w:r>
        <w:t>and</w:t>
      </w:r>
      <w:r>
        <w:rPr>
          <w:spacing w:val="-5"/>
        </w:rPr>
        <w:t xml:space="preserve"> </w:t>
      </w:r>
      <w:r>
        <w:rPr>
          <w:spacing w:val="-2"/>
        </w:rPr>
        <w:t>rebound</w:t>
      </w:r>
    </w:p>
    <w:p w14:paraId="3619B7FD" w14:textId="716A7D8E" w:rsidR="00221078" w:rsidRDefault="00221078" w:rsidP="002269E0">
      <w:r>
        <w:t>Withdrawal</w:t>
      </w:r>
      <w:r>
        <w:rPr>
          <w:spacing w:val="-8"/>
        </w:rPr>
        <w:t xml:space="preserve"> </w:t>
      </w:r>
      <w:r>
        <w:t>or</w:t>
      </w:r>
      <w:r>
        <w:rPr>
          <w:spacing w:val="-5"/>
        </w:rPr>
        <w:t xml:space="preserve"> </w:t>
      </w:r>
      <w:r>
        <w:t>rebound</w:t>
      </w:r>
      <w:r>
        <w:rPr>
          <w:spacing w:val="-5"/>
        </w:rPr>
        <w:t xml:space="preserve"> </w:t>
      </w:r>
      <w:r>
        <w:t>effects</w:t>
      </w:r>
      <w:r>
        <w:rPr>
          <w:spacing w:val="-5"/>
        </w:rPr>
        <w:t xml:space="preserve"> </w:t>
      </w:r>
      <w:r>
        <w:t>with</w:t>
      </w:r>
      <w:r>
        <w:rPr>
          <w:spacing w:val="-7"/>
        </w:rPr>
        <w:t xml:space="preserve"> </w:t>
      </w:r>
      <w:r w:rsidR="00A175F6">
        <w:t>foslevodopa</w:t>
      </w:r>
      <w:r>
        <w:t>/foscarbidopa</w:t>
      </w:r>
      <w:r>
        <w:rPr>
          <w:spacing w:val="-5"/>
        </w:rPr>
        <w:t xml:space="preserve"> </w:t>
      </w:r>
      <w:r>
        <w:t>have</w:t>
      </w:r>
      <w:r>
        <w:rPr>
          <w:spacing w:val="-5"/>
        </w:rPr>
        <w:t xml:space="preserve"> </w:t>
      </w:r>
      <w:r>
        <w:t>not</w:t>
      </w:r>
      <w:r>
        <w:rPr>
          <w:spacing w:val="-5"/>
        </w:rPr>
        <w:t xml:space="preserve"> </w:t>
      </w:r>
      <w:r>
        <w:t>been</w:t>
      </w:r>
      <w:r>
        <w:rPr>
          <w:spacing w:val="-8"/>
        </w:rPr>
        <w:t xml:space="preserve"> </w:t>
      </w:r>
      <w:r>
        <w:rPr>
          <w:spacing w:val="-2"/>
        </w:rPr>
        <w:t>studied.</w:t>
      </w:r>
    </w:p>
    <w:p w14:paraId="13B44173" w14:textId="77777777" w:rsidR="00221078" w:rsidRDefault="00221078" w:rsidP="0071550A">
      <w:pPr>
        <w:pStyle w:val="Heading3"/>
      </w:pPr>
      <w:bookmarkStart w:id="81" w:name="Risk_Management_Plan_(RMP)_evaluation"/>
      <w:bookmarkStart w:id="82" w:name="_Toc182486555"/>
      <w:bookmarkEnd w:id="81"/>
      <w:r>
        <w:t>Risk</w:t>
      </w:r>
      <w:r>
        <w:rPr>
          <w:spacing w:val="-10"/>
        </w:rPr>
        <w:t xml:space="preserve"> </w:t>
      </w:r>
      <w:r w:rsidRPr="0071550A">
        <w:t>Management</w:t>
      </w:r>
      <w:r>
        <w:rPr>
          <w:spacing w:val="-7"/>
        </w:rPr>
        <w:t xml:space="preserve"> </w:t>
      </w:r>
      <w:r>
        <w:t>Plan</w:t>
      </w:r>
      <w:r>
        <w:rPr>
          <w:spacing w:val="-10"/>
        </w:rPr>
        <w:t xml:space="preserve"> </w:t>
      </w:r>
      <w:r>
        <w:t>(RMP)</w:t>
      </w:r>
      <w:r>
        <w:rPr>
          <w:spacing w:val="-10"/>
        </w:rPr>
        <w:t xml:space="preserve"> </w:t>
      </w:r>
      <w:r>
        <w:rPr>
          <w:spacing w:val="-2"/>
        </w:rPr>
        <w:t>evaluation</w:t>
      </w:r>
      <w:bookmarkEnd w:id="82"/>
    </w:p>
    <w:p w14:paraId="46C4BA16" w14:textId="64463F26" w:rsidR="009352BB" w:rsidRDefault="001E5CB5" w:rsidP="00A953BF">
      <w:r w:rsidRPr="00BD5DBD">
        <w:t>The summary of safety concerns and their associated risk monitoring and mitigation strategies are summarised in</w:t>
      </w:r>
      <w:r>
        <w:t xml:space="preserve"> </w:t>
      </w:r>
      <w:r w:rsidRPr="003B149C">
        <w:fldChar w:fldCharType="begin"/>
      </w:r>
      <w:r w:rsidRPr="003B149C">
        <w:instrText xml:space="preserve"> REF _Ref97629131 \h </w:instrText>
      </w:r>
      <w:r>
        <w:instrText xml:space="preserve"> \* MERGEFORMAT </w:instrText>
      </w:r>
      <w:r w:rsidRPr="003B149C">
        <w:fldChar w:fldCharType="separate"/>
      </w:r>
      <w:r w:rsidRPr="008B1CB5">
        <w:t xml:space="preserve">Table </w:t>
      </w:r>
      <w:r w:rsidR="00A953BF">
        <w:t>12</w:t>
      </w:r>
      <w:r w:rsidRPr="003B149C">
        <w:fldChar w:fldCharType="end"/>
      </w:r>
      <w:r w:rsidRPr="003B149C">
        <w:t>.</w:t>
      </w:r>
    </w:p>
    <w:p w14:paraId="53ED7F67" w14:textId="25C30C89" w:rsidR="00A953BF" w:rsidRDefault="00A953BF" w:rsidP="0071550A">
      <w:r w:rsidRPr="00BD5DBD">
        <w:t>The TGA may request an updated RMP at any stage of a product's life</w:t>
      </w:r>
      <w:r w:rsidR="00ED0E7F">
        <w:t xml:space="preserve"> </w:t>
      </w:r>
      <w:r w:rsidRPr="00BD5DBD">
        <w:t xml:space="preserve">cycle, during both the pre-approval and post-approval phases. Further information regarding the TGA’s risk management approach can be found in </w:t>
      </w:r>
      <w:hyperlink r:id="rId32" w:history="1">
        <w:r w:rsidRPr="00BD5DBD">
          <w:rPr>
            <w:rStyle w:val="Hyperlink"/>
            <w:szCs w:val="22"/>
          </w:rPr>
          <w:t>risk management plans for medicines and biologicals</w:t>
        </w:r>
      </w:hyperlink>
      <w:r w:rsidRPr="00BD5DBD">
        <w:t xml:space="preserve"> and </w:t>
      </w:r>
      <w:hyperlink r:id="rId33" w:history="1">
        <w:r w:rsidRPr="00BD5DBD">
          <w:rPr>
            <w:rStyle w:val="Hyperlink"/>
            <w:szCs w:val="22"/>
          </w:rPr>
          <w:t>the TGA's risk management approach</w:t>
        </w:r>
      </w:hyperlink>
      <w:r w:rsidRPr="00BD5DBD">
        <w:t xml:space="preserve">. Information on the </w:t>
      </w:r>
      <w:hyperlink r:id="rId34" w:history="1">
        <w:r w:rsidRPr="00BD5DBD">
          <w:rPr>
            <w:rStyle w:val="Hyperlink"/>
            <w:szCs w:val="22"/>
          </w:rPr>
          <w:t>Australia</w:t>
        </w:r>
        <w:r>
          <w:rPr>
            <w:rStyle w:val="Hyperlink"/>
            <w:szCs w:val="22"/>
          </w:rPr>
          <w:t>-</w:t>
        </w:r>
        <w:r w:rsidRPr="00BD5DBD">
          <w:rPr>
            <w:rStyle w:val="Hyperlink"/>
            <w:szCs w:val="22"/>
          </w:rPr>
          <w:t>specific annex</w:t>
        </w:r>
      </w:hyperlink>
      <w:r w:rsidRPr="00BD5DBD">
        <w:t xml:space="preserve"> (</w:t>
      </w:r>
      <w:hyperlink r:id="rId35" w:history="1">
        <w:r w:rsidRPr="00BD5DBD">
          <w:rPr>
            <w:rStyle w:val="Hyperlink"/>
            <w:szCs w:val="22"/>
          </w:rPr>
          <w:t>ASA</w:t>
        </w:r>
      </w:hyperlink>
      <w:r w:rsidRPr="00BD5DBD">
        <w:t>) can be found on the TGA website.</w:t>
      </w:r>
    </w:p>
    <w:p w14:paraId="1A179A52" w14:textId="0B0DBDD7" w:rsidR="00030B9B" w:rsidRDefault="00030B9B" w:rsidP="0071550A">
      <w:pPr>
        <w:pStyle w:val="TableTitle"/>
      </w:pPr>
      <w:r>
        <w:t xml:space="preserve">Table12: Safety </w:t>
      </w:r>
      <w:r w:rsidRPr="0071550A">
        <w:t>concerns</w:t>
      </w:r>
    </w:p>
    <w:p w14:paraId="3BA866D5" w14:textId="7CC79DDB" w:rsidR="0071550A" w:rsidRDefault="0071550A" w:rsidP="0071550A">
      <w:bookmarkStart w:id="83" w:name="_GoBack"/>
      <w:bookmarkEnd w:id="83"/>
      <w:r>
        <w:rPr>
          <w:noProof/>
        </w:rPr>
        <w:drawing>
          <wp:inline distT="0" distB="0" distL="0" distR="0" wp14:anchorId="3AC77C75" wp14:editId="11FE5F96">
            <wp:extent cx="5553075" cy="2236470"/>
            <wp:effectExtent l="0" t="0" r="9525" b="0"/>
            <wp:docPr id="24" name="Image 24" descr="This table outlines the safety concerns and their associated risk monitoring and mitigation strateg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his table outlines the safety concerns and their associated risk monitoring and mitigation strategi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3075" cy="2236470"/>
                    </a:xfrm>
                    <a:prstGeom prst="rect">
                      <a:avLst/>
                    </a:prstGeom>
                  </pic:spPr>
                </pic:pic>
              </a:graphicData>
            </a:graphic>
          </wp:inline>
        </w:drawing>
      </w:r>
    </w:p>
    <w:p w14:paraId="10CB6422" w14:textId="7E0AD327" w:rsidR="00A953BF" w:rsidRDefault="00A953BF" w:rsidP="0071550A">
      <w:r>
        <w:t>ASA</w:t>
      </w:r>
      <w:r>
        <w:rPr>
          <w:spacing w:val="-7"/>
        </w:rPr>
        <w:t xml:space="preserve"> </w:t>
      </w:r>
      <w:r>
        <w:t>version</w:t>
      </w:r>
      <w:r>
        <w:rPr>
          <w:spacing w:val="-4"/>
        </w:rPr>
        <w:t xml:space="preserve"> </w:t>
      </w:r>
      <w:r>
        <w:t>2.0</w:t>
      </w:r>
      <w:r>
        <w:rPr>
          <w:spacing w:val="-4"/>
        </w:rPr>
        <w:t xml:space="preserve"> </w:t>
      </w:r>
      <w:r>
        <w:t>(June</w:t>
      </w:r>
      <w:r>
        <w:rPr>
          <w:spacing w:val="-3"/>
        </w:rPr>
        <w:t xml:space="preserve"> </w:t>
      </w:r>
      <w:r>
        <w:t>2022)</w:t>
      </w:r>
      <w:r>
        <w:rPr>
          <w:spacing w:val="-3"/>
        </w:rPr>
        <w:t xml:space="preserve"> </w:t>
      </w:r>
      <w:r>
        <w:t>and</w:t>
      </w:r>
      <w:r>
        <w:rPr>
          <w:spacing w:val="-4"/>
        </w:rPr>
        <w:t xml:space="preserve"> </w:t>
      </w:r>
      <w:r>
        <w:t>existing</w:t>
      </w:r>
      <w:r>
        <w:rPr>
          <w:spacing w:val="-2"/>
        </w:rPr>
        <w:t xml:space="preserve"> </w:t>
      </w:r>
      <w:r>
        <w:t>Core</w:t>
      </w:r>
      <w:r>
        <w:rPr>
          <w:spacing w:val="-4"/>
        </w:rPr>
        <w:t xml:space="preserve"> </w:t>
      </w:r>
      <w:r>
        <w:t>RMP</w:t>
      </w:r>
      <w:r>
        <w:rPr>
          <w:spacing w:val="-6"/>
        </w:rPr>
        <w:t xml:space="preserve"> </w:t>
      </w:r>
      <w:r>
        <w:t>version</w:t>
      </w:r>
      <w:r>
        <w:rPr>
          <w:spacing w:val="-4"/>
        </w:rPr>
        <w:t xml:space="preserve"> </w:t>
      </w:r>
      <w:r>
        <w:t>1.0</w:t>
      </w:r>
      <w:r>
        <w:rPr>
          <w:spacing w:val="-4"/>
        </w:rPr>
        <w:t xml:space="preserve"> </w:t>
      </w:r>
      <w:r>
        <w:t>(July</w:t>
      </w:r>
      <w:r>
        <w:rPr>
          <w:spacing w:val="-4"/>
        </w:rPr>
        <w:t xml:space="preserve"> </w:t>
      </w:r>
      <w:r>
        <w:t>2021;</w:t>
      </w:r>
      <w:r>
        <w:rPr>
          <w:spacing w:val="-4"/>
        </w:rPr>
        <w:t xml:space="preserve"> </w:t>
      </w:r>
      <w:r>
        <w:t>DLP</w:t>
      </w:r>
      <w:r>
        <w:rPr>
          <w:spacing w:val="-5"/>
        </w:rPr>
        <w:t xml:space="preserve"> </w:t>
      </w:r>
      <w:r>
        <w:t>30</w:t>
      </w:r>
      <w:r>
        <w:rPr>
          <w:spacing w:val="-3"/>
        </w:rPr>
        <w:t xml:space="preserve"> </w:t>
      </w:r>
      <w:r>
        <w:t>March</w:t>
      </w:r>
      <w:r>
        <w:rPr>
          <w:spacing w:val="-2"/>
        </w:rPr>
        <w:t xml:space="preserve"> 2021) </w:t>
      </w:r>
      <w:r>
        <w:t>were</w:t>
      </w:r>
      <w:r>
        <w:rPr>
          <w:spacing w:val="-13"/>
        </w:rPr>
        <w:t xml:space="preserve"> </w:t>
      </w:r>
      <w:r>
        <w:t>evaluated.</w:t>
      </w:r>
    </w:p>
    <w:p w14:paraId="65CD2FB6" w14:textId="5E84A19E" w:rsidR="00A953BF" w:rsidRDefault="00A953BF" w:rsidP="00A953BF">
      <w:r>
        <w:t>The</w:t>
      </w:r>
      <w:r>
        <w:rPr>
          <w:spacing w:val="-9"/>
        </w:rPr>
        <w:t xml:space="preserve"> </w:t>
      </w:r>
      <w:r>
        <w:t>sponsor</w:t>
      </w:r>
      <w:r>
        <w:rPr>
          <w:spacing w:val="-4"/>
        </w:rPr>
        <w:t xml:space="preserve"> </w:t>
      </w:r>
      <w:r>
        <w:t>proposed</w:t>
      </w:r>
      <w:r>
        <w:rPr>
          <w:spacing w:val="-5"/>
        </w:rPr>
        <w:t xml:space="preserve"> </w:t>
      </w:r>
      <w:r>
        <w:t>‘Infusion</w:t>
      </w:r>
      <w:r>
        <w:rPr>
          <w:spacing w:val="-5"/>
        </w:rPr>
        <w:t xml:space="preserve"> </w:t>
      </w:r>
      <w:r>
        <w:t>site</w:t>
      </w:r>
      <w:r>
        <w:rPr>
          <w:spacing w:val="-4"/>
        </w:rPr>
        <w:t xml:space="preserve"> </w:t>
      </w:r>
      <w:r>
        <w:t>infection’</w:t>
      </w:r>
      <w:r>
        <w:rPr>
          <w:spacing w:val="-6"/>
        </w:rPr>
        <w:t xml:space="preserve"> </w:t>
      </w:r>
      <w:r>
        <w:t>as</w:t>
      </w:r>
      <w:r>
        <w:rPr>
          <w:spacing w:val="-3"/>
        </w:rPr>
        <w:t xml:space="preserve"> </w:t>
      </w:r>
      <w:r>
        <w:t>an</w:t>
      </w:r>
      <w:r>
        <w:rPr>
          <w:spacing w:val="-5"/>
        </w:rPr>
        <w:t xml:space="preserve"> </w:t>
      </w:r>
      <w:r>
        <w:t>important</w:t>
      </w:r>
      <w:r>
        <w:rPr>
          <w:spacing w:val="-7"/>
        </w:rPr>
        <w:t xml:space="preserve"> </w:t>
      </w:r>
      <w:r>
        <w:t>identified</w:t>
      </w:r>
      <w:r>
        <w:rPr>
          <w:spacing w:val="-6"/>
        </w:rPr>
        <w:t xml:space="preserve"> </w:t>
      </w:r>
      <w:r>
        <w:rPr>
          <w:spacing w:val="-2"/>
        </w:rPr>
        <w:t>risk.</w:t>
      </w:r>
    </w:p>
    <w:p w14:paraId="0BAC3E46" w14:textId="515F5E2A" w:rsidR="00A953BF" w:rsidRDefault="00A953BF" w:rsidP="0071550A">
      <w:r>
        <w:t>As</w:t>
      </w:r>
      <w:r>
        <w:rPr>
          <w:spacing w:val="-2"/>
        </w:rPr>
        <w:t xml:space="preserve"> </w:t>
      </w:r>
      <w:r>
        <w:t>per</w:t>
      </w:r>
      <w:r>
        <w:rPr>
          <w:spacing w:val="-3"/>
        </w:rPr>
        <w:t xml:space="preserve"> </w:t>
      </w:r>
      <w:r>
        <w:t>the</w:t>
      </w:r>
      <w:r>
        <w:rPr>
          <w:spacing w:val="-3"/>
        </w:rPr>
        <w:t xml:space="preserve"> </w:t>
      </w:r>
      <w:r>
        <w:t>RMP</w:t>
      </w:r>
      <w:r>
        <w:rPr>
          <w:spacing w:val="-4"/>
        </w:rPr>
        <w:t xml:space="preserve"> </w:t>
      </w:r>
      <w:r>
        <w:t>evaluator’s</w:t>
      </w:r>
      <w:r>
        <w:rPr>
          <w:spacing w:val="-2"/>
        </w:rPr>
        <w:t xml:space="preserve"> </w:t>
      </w:r>
      <w:r>
        <w:t>recommendation,</w:t>
      </w:r>
      <w:r>
        <w:rPr>
          <w:spacing w:val="-3"/>
        </w:rPr>
        <w:t xml:space="preserve"> </w:t>
      </w:r>
      <w:r>
        <w:t>the</w:t>
      </w:r>
      <w:r>
        <w:rPr>
          <w:spacing w:val="-3"/>
        </w:rPr>
        <w:t xml:space="preserve"> </w:t>
      </w:r>
      <w:r>
        <w:t>sponsor</w:t>
      </w:r>
      <w:r>
        <w:rPr>
          <w:spacing w:val="-3"/>
        </w:rPr>
        <w:t xml:space="preserve"> </w:t>
      </w:r>
      <w:r>
        <w:t>included</w:t>
      </w:r>
      <w:r>
        <w:rPr>
          <w:spacing w:val="-3"/>
        </w:rPr>
        <w:t xml:space="preserve"> </w:t>
      </w:r>
      <w:r>
        <w:t>‘impulse</w:t>
      </w:r>
      <w:r>
        <w:rPr>
          <w:spacing w:val="-3"/>
        </w:rPr>
        <w:t xml:space="preserve"> </w:t>
      </w:r>
      <w:r>
        <w:t>control disorders’ (I</w:t>
      </w:r>
      <w:r w:rsidR="008C163E">
        <w:t>C</w:t>
      </w:r>
      <w:r w:rsidR="00365C90">
        <w:t>D</w:t>
      </w:r>
      <w:r>
        <w:t>) and ‘polyneuropathy’ as Australia specific important identified risks.</w:t>
      </w:r>
    </w:p>
    <w:p w14:paraId="69DDBF25" w14:textId="70E7DE0B" w:rsidR="00A953BF" w:rsidRDefault="00A953BF" w:rsidP="00A953BF">
      <w:pPr>
        <w:pStyle w:val="ListBullet"/>
      </w:pPr>
      <w:r>
        <w:t>The</w:t>
      </w:r>
      <w:r>
        <w:rPr>
          <w:spacing w:val="-3"/>
        </w:rPr>
        <w:t xml:space="preserve"> </w:t>
      </w:r>
      <w:r>
        <w:t>sponsor</w:t>
      </w:r>
      <w:r>
        <w:rPr>
          <w:spacing w:val="-3"/>
        </w:rPr>
        <w:t xml:space="preserve"> </w:t>
      </w:r>
      <w:r>
        <w:t>proposed</w:t>
      </w:r>
      <w:r>
        <w:rPr>
          <w:spacing w:val="-4"/>
        </w:rPr>
        <w:t xml:space="preserve"> </w:t>
      </w:r>
      <w:r>
        <w:t>routine</w:t>
      </w:r>
      <w:r>
        <w:rPr>
          <w:spacing w:val="-3"/>
        </w:rPr>
        <w:t xml:space="preserve"> </w:t>
      </w:r>
      <w:r>
        <w:t>pharmacovigilance</w:t>
      </w:r>
      <w:r>
        <w:rPr>
          <w:spacing w:val="-3"/>
        </w:rPr>
        <w:t xml:space="preserve"> </w:t>
      </w:r>
      <w:r>
        <w:t>activities</w:t>
      </w:r>
      <w:r>
        <w:rPr>
          <w:spacing w:val="-4"/>
        </w:rPr>
        <w:t xml:space="preserve"> </w:t>
      </w:r>
      <w:r>
        <w:t>only</w:t>
      </w:r>
      <w:r>
        <w:rPr>
          <w:spacing w:val="-5"/>
        </w:rPr>
        <w:t xml:space="preserve"> </w:t>
      </w:r>
      <w:r>
        <w:t>which</w:t>
      </w:r>
      <w:r>
        <w:rPr>
          <w:spacing w:val="-4"/>
        </w:rPr>
        <w:t xml:space="preserve"> </w:t>
      </w:r>
      <w:r>
        <w:t>include</w:t>
      </w:r>
      <w:r>
        <w:rPr>
          <w:spacing w:val="-3"/>
        </w:rPr>
        <w:t xml:space="preserve"> </w:t>
      </w:r>
      <w:r>
        <w:t>a targeted follow-up questionnaire. The evaluator consider</w:t>
      </w:r>
      <w:r w:rsidR="00E879A3">
        <w:t>ed</w:t>
      </w:r>
      <w:r>
        <w:t xml:space="preserve"> this acceptable.</w:t>
      </w:r>
    </w:p>
    <w:p w14:paraId="7AFAE5B9" w14:textId="3C1C30A5" w:rsidR="00A953BF" w:rsidRDefault="00E879A3" w:rsidP="00A953BF">
      <w:pPr>
        <w:pStyle w:val="ListBullet"/>
      </w:pPr>
      <w:r>
        <w:t>The</w:t>
      </w:r>
      <w:r w:rsidR="00A953BF">
        <w:t xml:space="preserve"> sponsor proposed a commitment to tighten the PDE limit of uranium from 1.2 μg/day to 0.12 μg/day post approval. The acceptability</w:t>
      </w:r>
      <w:r w:rsidR="00A953BF">
        <w:rPr>
          <w:spacing w:val="-2"/>
        </w:rPr>
        <w:t xml:space="preserve"> </w:t>
      </w:r>
      <w:r w:rsidR="00A953BF">
        <w:t xml:space="preserve">of which, will be considered by the </w:t>
      </w:r>
      <w:r>
        <w:t>non</w:t>
      </w:r>
      <w:r w:rsidR="006030E2">
        <w:t>-clinical/</w:t>
      </w:r>
      <w:r w:rsidR="00A953BF">
        <w:t>tox</w:t>
      </w:r>
      <w:r>
        <w:t>icology</w:t>
      </w:r>
      <w:r w:rsidR="00A953BF">
        <w:t xml:space="preserve"> evaluator. In the tox</w:t>
      </w:r>
      <w:r w:rsidR="006030E2">
        <w:t>icology</w:t>
      </w:r>
      <w:r w:rsidR="00A953BF">
        <w:t xml:space="preserve"> evaluator’s report, kidney damage was stated as the principal effect of uranium toxicity. Prescribers are recommended to conduct periodic evaluation of renal function for patients on extended therapy with Vyalev as per the Product Information. From an RMP perspective, with the recommended patient monitoring and the appropriate controls in place as determined by</w:t>
      </w:r>
      <w:r w:rsidR="00A953BF">
        <w:rPr>
          <w:spacing w:val="-3"/>
        </w:rPr>
        <w:t xml:space="preserve"> </w:t>
      </w:r>
      <w:r w:rsidR="00A953BF">
        <w:t>the</w:t>
      </w:r>
      <w:r w:rsidR="00A953BF">
        <w:rPr>
          <w:spacing w:val="-4"/>
        </w:rPr>
        <w:t xml:space="preserve"> </w:t>
      </w:r>
      <w:r w:rsidR="00A953BF">
        <w:t>tox</w:t>
      </w:r>
      <w:r w:rsidR="00A953BF">
        <w:rPr>
          <w:spacing w:val="-3"/>
        </w:rPr>
        <w:t xml:space="preserve"> </w:t>
      </w:r>
      <w:r w:rsidR="00A953BF">
        <w:t>evaluator,</w:t>
      </w:r>
      <w:r w:rsidR="00A953BF">
        <w:rPr>
          <w:spacing w:val="-3"/>
        </w:rPr>
        <w:t xml:space="preserve"> </w:t>
      </w:r>
      <w:r w:rsidR="00A953BF">
        <w:t>the</w:t>
      </w:r>
      <w:r w:rsidR="00A953BF">
        <w:rPr>
          <w:spacing w:val="-4"/>
        </w:rPr>
        <w:t xml:space="preserve"> </w:t>
      </w:r>
      <w:r w:rsidR="00A953BF">
        <w:t>uranium</w:t>
      </w:r>
      <w:r w:rsidR="00A953BF">
        <w:rPr>
          <w:spacing w:val="-1"/>
        </w:rPr>
        <w:t xml:space="preserve"> </w:t>
      </w:r>
      <w:r w:rsidR="00A953BF">
        <w:t>content is</w:t>
      </w:r>
      <w:r w:rsidR="00A953BF">
        <w:rPr>
          <w:spacing w:val="-5"/>
        </w:rPr>
        <w:t xml:space="preserve"> </w:t>
      </w:r>
      <w:r w:rsidR="00A953BF">
        <w:t>not considered</w:t>
      </w:r>
      <w:r w:rsidR="00A953BF">
        <w:rPr>
          <w:spacing w:val="-2"/>
        </w:rPr>
        <w:t xml:space="preserve"> </w:t>
      </w:r>
      <w:r w:rsidR="00A953BF">
        <w:t>a</w:t>
      </w:r>
      <w:r w:rsidR="00A953BF">
        <w:rPr>
          <w:spacing w:val="-1"/>
        </w:rPr>
        <w:t xml:space="preserve"> </w:t>
      </w:r>
      <w:r w:rsidR="00A953BF">
        <w:t>safety</w:t>
      </w:r>
      <w:r w:rsidR="00A953BF">
        <w:rPr>
          <w:spacing w:val="-3"/>
        </w:rPr>
        <w:t xml:space="preserve"> </w:t>
      </w:r>
      <w:r w:rsidR="00A953BF">
        <w:t>concern</w:t>
      </w:r>
      <w:r w:rsidR="00A953BF">
        <w:rPr>
          <w:spacing w:val="-1"/>
        </w:rPr>
        <w:t xml:space="preserve"> </w:t>
      </w:r>
      <w:r w:rsidR="00A953BF">
        <w:t>in</w:t>
      </w:r>
      <w:r w:rsidR="00A953BF">
        <w:rPr>
          <w:spacing w:val="-1"/>
        </w:rPr>
        <w:t xml:space="preserve"> </w:t>
      </w:r>
      <w:r w:rsidR="00A953BF">
        <w:t>the</w:t>
      </w:r>
      <w:r w:rsidR="00A953BF">
        <w:rPr>
          <w:spacing w:val="-4"/>
        </w:rPr>
        <w:t xml:space="preserve"> </w:t>
      </w:r>
      <w:r w:rsidR="00A953BF">
        <w:t>RMP for Vyalev.</w:t>
      </w:r>
    </w:p>
    <w:p w14:paraId="064BF102" w14:textId="2083050E" w:rsidR="00A953BF" w:rsidRDefault="00A953BF" w:rsidP="00A953BF">
      <w:pPr>
        <w:pStyle w:val="ListBullet"/>
      </w:pPr>
      <w:r>
        <w:t>The</w:t>
      </w:r>
      <w:r>
        <w:rPr>
          <w:spacing w:val="-5"/>
        </w:rPr>
        <w:t xml:space="preserve"> </w:t>
      </w:r>
      <w:r>
        <w:t>risk</w:t>
      </w:r>
      <w:r>
        <w:rPr>
          <w:spacing w:val="-4"/>
        </w:rPr>
        <w:t xml:space="preserve"> </w:t>
      </w:r>
      <w:r>
        <w:t>minimisation</w:t>
      </w:r>
      <w:r>
        <w:rPr>
          <w:spacing w:val="-3"/>
        </w:rPr>
        <w:t xml:space="preserve"> </w:t>
      </w:r>
      <w:r>
        <w:t>plan</w:t>
      </w:r>
      <w:r>
        <w:rPr>
          <w:spacing w:val="-2"/>
        </w:rPr>
        <w:t xml:space="preserve"> </w:t>
      </w:r>
      <w:r>
        <w:t>was</w:t>
      </w:r>
      <w:r>
        <w:rPr>
          <w:spacing w:val="-4"/>
        </w:rPr>
        <w:t xml:space="preserve"> </w:t>
      </w:r>
      <w:r>
        <w:t>considered</w:t>
      </w:r>
      <w:r>
        <w:rPr>
          <w:spacing w:val="-3"/>
        </w:rPr>
        <w:t xml:space="preserve"> </w:t>
      </w:r>
      <w:r>
        <w:rPr>
          <w:spacing w:val="-2"/>
        </w:rPr>
        <w:t>acceptable.</w:t>
      </w:r>
    </w:p>
    <w:p w14:paraId="2A698483" w14:textId="16E820C3" w:rsidR="00A953BF" w:rsidRDefault="00A953BF" w:rsidP="00E96D24">
      <w:pPr>
        <w:pStyle w:val="Heading5"/>
      </w:pPr>
      <w:r>
        <w:t>Outstanding</w:t>
      </w:r>
      <w:r>
        <w:rPr>
          <w:spacing w:val="-6"/>
        </w:rPr>
        <w:t xml:space="preserve"> </w:t>
      </w:r>
      <w:r>
        <w:rPr>
          <w:spacing w:val="-2"/>
        </w:rPr>
        <w:t>issues</w:t>
      </w:r>
    </w:p>
    <w:p w14:paraId="2D0D6491" w14:textId="65AFA255" w:rsidR="00A953BF" w:rsidRPr="00BF3185" w:rsidRDefault="00A953BF" w:rsidP="00E96D24">
      <w:pPr>
        <w:pStyle w:val="ListBullet"/>
      </w:pPr>
      <w:r w:rsidRPr="00BF3185">
        <w:t>The sponsor propose</w:t>
      </w:r>
      <w:r w:rsidR="00F06B02">
        <w:t>d</w:t>
      </w:r>
      <w:r w:rsidRPr="00BF3185">
        <w:t xml:space="preserve"> to provide the CMI and Vyalev Instructions for Use (IFU) documents electronically only. The evaluator considered this approach as complex for patients to access, considering the demographics of the target population. This issue was brought to the Delegate’s attention to consider the clinical implications associated with the sponsor’s approach to provide the consumer information documents via QR code on the outer packaging only. The Delegate </w:t>
      </w:r>
      <w:r w:rsidR="00F06B02">
        <w:t>sought the</w:t>
      </w:r>
      <w:r w:rsidRPr="00BF3185">
        <w:t xml:space="preserve"> ACM’s advice on this matter.</w:t>
      </w:r>
    </w:p>
    <w:p w14:paraId="75D7D362" w14:textId="5F85D20D" w:rsidR="00A953BF" w:rsidRPr="00C5396A" w:rsidRDefault="00A953BF" w:rsidP="00E96D24">
      <w:pPr>
        <w:pStyle w:val="ListBullet"/>
      </w:pPr>
      <w:r w:rsidRPr="00C5396A">
        <w:t xml:space="preserve">The evaluator noted the following: </w:t>
      </w:r>
      <w:r w:rsidR="00B3529C" w:rsidRPr="00485E7F">
        <w:rPr>
          <w:i/>
          <w:iCs/>
        </w:rPr>
        <w:t>t</w:t>
      </w:r>
      <w:r w:rsidRPr="00485E7F">
        <w:rPr>
          <w:i/>
          <w:iCs/>
        </w:rPr>
        <w:t>he sponsor has been requested to closely monitor for medication error and/or device error and assess the clinical impact in PSUR reporting.</w:t>
      </w:r>
      <w:r w:rsidRPr="00C5396A">
        <w:t xml:space="preserve"> In view of the clinical data, the Delegate agrees with this recommendation and requests the Sponsor to clarify what measures have been taken to address this matter.</w:t>
      </w:r>
    </w:p>
    <w:p w14:paraId="73D54618" w14:textId="69966B8B" w:rsidR="00A953BF" w:rsidRDefault="00A953BF" w:rsidP="00E96D24">
      <w:pPr>
        <w:pStyle w:val="ListBullet"/>
      </w:pPr>
      <w:r>
        <w:t>The</w:t>
      </w:r>
      <w:r>
        <w:rPr>
          <w:spacing w:val="-4"/>
        </w:rPr>
        <w:t xml:space="preserve"> </w:t>
      </w:r>
      <w:r>
        <w:t>RMP</w:t>
      </w:r>
      <w:r>
        <w:rPr>
          <w:spacing w:val="-4"/>
        </w:rPr>
        <w:t xml:space="preserve"> </w:t>
      </w:r>
      <w:r>
        <w:t>evaluator</w:t>
      </w:r>
      <w:r>
        <w:rPr>
          <w:spacing w:val="-4"/>
        </w:rPr>
        <w:t xml:space="preserve"> </w:t>
      </w:r>
      <w:r>
        <w:t>supports</w:t>
      </w:r>
      <w:r>
        <w:rPr>
          <w:spacing w:val="-5"/>
        </w:rPr>
        <w:t xml:space="preserve"> </w:t>
      </w:r>
      <w:r>
        <w:t>the</w:t>
      </w:r>
      <w:r>
        <w:rPr>
          <w:spacing w:val="-4"/>
        </w:rPr>
        <w:t xml:space="preserve"> </w:t>
      </w:r>
      <w:r>
        <w:t>Delegate’s</w:t>
      </w:r>
      <w:r>
        <w:rPr>
          <w:spacing w:val="-5"/>
        </w:rPr>
        <w:t xml:space="preserve"> </w:t>
      </w:r>
      <w:r>
        <w:t>recommendation</w:t>
      </w:r>
      <w:r>
        <w:rPr>
          <w:spacing w:val="-4"/>
        </w:rPr>
        <w:t xml:space="preserve"> </w:t>
      </w:r>
      <w:r>
        <w:t>for</w:t>
      </w:r>
      <w:r>
        <w:rPr>
          <w:spacing w:val="-5"/>
        </w:rPr>
        <w:t xml:space="preserve"> </w:t>
      </w:r>
      <w:r>
        <w:t>the</w:t>
      </w:r>
      <w:r>
        <w:rPr>
          <w:spacing w:val="-4"/>
        </w:rPr>
        <w:t xml:space="preserve"> </w:t>
      </w:r>
      <w:r>
        <w:t>sponsor to</w:t>
      </w:r>
      <w:r>
        <w:rPr>
          <w:spacing w:val="-1"/>
        </w:rPr>
        <w:t xml:space="preserve"> </w:t>
      </w:r>
      <w:r>
        <w:t>implement appropriate training</w:t>
      </w:r>
      <w:r>
        <w:rPr>
          <w:spacing w:val="-2"/>
        </w:rPr>
        <w:t xml:space="preserve"> </w:t>
      </w:r>
      <w:r>
        <w:t>for healthcare</w:t>
      </w:r>
      <w:r>
        <w:rPr>
          <w:spacing w:val="-3"/>
        </w:rPr>
        <w:t xml:space="preserve"> </w:t>
      </w:r>
      <w:r>
        <w:t>professionals</w:t>
      </w:r>
      <w:r>
        <w:rPr>
          <w:spacing w:val="-4"/>
        </w:rPr>
        <w:t xml:space="preserve"> </w:t>
      </w:r>
      <w:r>
        <w:t>to</w:t>
      </w:r>
      <w:r>
        <w:rPr>
          <w:spacing w:val="-1"/>
        </w:rPr>
        <w:t xml:space="preserve"> </w:t>
      </w:r>
      <w:r>
        <w:t xml:space="preserve">undertake and complete before prescribing Vyalev. This approach </w:t>
      </w:r>
      <w:r w:rsidR="00CC3FB3">
        <w:t>would</w:t>
      </w:r>
      <w:r>
        <w:t xml:space="preserve"> further mitigate the potential for medication and/or device error. Please note, the risk of medication and/or device error is not a listed safety concern. The training for healthcare professionals is out of scope for the RMP.</w:t>
      </w:r>
    </w:p>
    <w:p w14:paraId="0A4C8BB6" w14:textId="1A0831DC" w:rsidR="00221078" w:rsidRDefault="00221078" w:rsidP="0071550A">
      <w:pPr>
        <w:pStyle w:val="Heading4"/>
      </w:pPr>
      <w:bookmarkStart w:id="84" w:name="_Toc182486556"/>
      <w:r>
        <w:t>RMP</w:t>
      </w:r>
      <w:r>
        <w:rPr>
          <w:spacing w:val="-9"/>
        </w:rPr>
        <w:t xml:space="preserve"> </w:t>
      </w:r>
      <w:r>
        <w:t>evaluator’s</w:t>
      </w:r>
      <w:r>
        <w:rPr>
          <w:spacing w:val="-7"/>
        </w:rPr>
        <w:t xml:space="preserve"> </w:t>
      </w:r>
      <w:r w:rsidRPr="0071550A">
        <w:t>recommendations</w:t>
      </w:r>
      <w:r>
        <w:rPr>
          <w:spacing w:val="-8"/>
        </w:rPr>
        <w:t xml:space="preserve"> </w:t>
      </w:r>
      <w:r>
        <w:t>regarding</w:t>
      </w:r>
      <w:r>
        <w:rPr>
          <w:spacing w:val="-7"/>
        </w:rPr>
        <w:t xml:space="preserve"> </w:t>
      </w:r>
      <w:r>
        <w:t>condition/s</w:t>
      </w:r>
      <w:r>
        <w:rPr>
          <w:spacing w:val="-7"/>
        </w:rPr>
        <w:t xml:space="preserve"> </w:t>
      </w:r>
      <w:r>
        <w:t>of</w:t>
      </w:r>
      <w:r>
        <w:rPr>
          <w:spacing w:val="-7"/>
        </w:rPr>
        <w:t xml:space="preserve"> </w:t>
      </w:r>
      <w:r>
        <w:rPr>
          <w:spacing w:val="-2"/>
        </w:rPr>
        <w:t>registration</w:t>
      </w:r>
      <w:bookmarkEnd w:id="84"/>
    </w:p>
    <w:p w14:paraId="359875E5" w14:textId="103E2C87" w:rsidR="00221078" w:rsidRDefault="00221078" w:rsidP="00217A4C">
      <w:r>
        <w:t>The</w:t>
      </w:r>
      <w:r>
        <w:rPr>
          <w:spacing w:val="-2"/>
        </w:rPr>
        <w:t xml:space="preserve"> </w:t>
      </w:r>
      <w:r>
        <w:t>Vyalev</w:t>
      </w:r>
      <w:r>
        <w:rPr>
          <w:spacing w:val="-1"/>
        </w:rPr>
        <w:t xml:space="preserve"> </w:t>
      </w:r>
      <w:r>
        <w:t>Core Risk</w:t>
      </w:r>
      <w:r>
        <w:rPr>
          <w:spacing w:val="-1"/>
        </w:rPr>
        <w:t xml:space="preserve"> </w:t>
      </w:r>
      <w:r>
        <w:t>Management Plan</w:t>
      </w:r>
      <w:r>
        <w:rPr>
          <w:spacing w:val="-1"/>
        </w:rPr>
        <w:t xml:space="preserve"> </w:t>
      </w:r>
      <w:r>
        <w:t>(RMP)</w:t>
      </w:r>
      <w:r w:rsidR="00CC3FB3">
        <w:t xml:space="preserve"> </w:t>
      </w:r>
      <w:r>
        <w:t>(version</w:t>
      </w:r>
      <w:r>
        <w:rPr>
          <w:spacing w:val="-1"/>
        </w:rPr>
        <w:t xml:space="preserve"> </w:t>
      </w:r>
      <w:r>
        <w:t>1.0, dated July</w:t>
      </w:r>
      <w:r>
        <w:rPr>
          <w:spacing w:val="-1"/>
        </w:rPr>
        <w:t xml:space="preserve"> </w:t>
      </w:r>
      <w:r>
        <w:t>2021, data lock</w:t>
      </w:r>
      <w:r>
        <w:rPr>
          <w:spacing w:val="-1"/>
        </w:rPr>
        <w:t xml:space="preserve"> </w:t>
      </w:r>
      <w:r>
        <w:t>point 30 March 2021), with Australian Specific Annex (version 2.0, dated June 2022), included with submission</w:t>
      </w:r>
      <w:r>
        <w:rPr>
          <w:spacing w:val="-4"/>
        </w:rPr>
        <w:t xml:space="preserve"> </w:t>
      </w:r>
      <w:r>
        <w:t>PM-2021-03724-1-1,</w:t>
      </w:r>
      <w:r>
        <w:rPr>
          <w:spacing w:val="-3"/>
        </w:rPr>
        <w:t xml:space="preserve"> </w:t>
      </w:r>
      <w:r>
        <w:t>and</w:t>
      </w:r>
      <w:r>
        <w:rPr>
          <w:spacing w:val="-3"/>
        </w:rPr>
        <w:t xml:space="preserve"> </w:t>
      </w:r>
      <w:r>
        <w:t>any</w:t>
      </w:r>
      <w:r>
        <w:rPr>
          <w:spacing w:val="-4"/>
        </w:rPr>
        <w:t xml:space="preserve"> </w:t>
      </w:r>
      <w:r>
        <w:t>subsequent</w:t>
      </w:r>
      <w:r>
        <w:rPr>
          <w:spacing w:val="-3"/>
        </w:rPr>
        <w:t xml:space="preserve"> </w:t>
      </w:r>
      <w:r>
        <w:t>revisions,</w:t>
      </w:r>
      <w:r>
        <w:rPr>
          <w:spacing w:val="-5"/>
        </w:rPr>
        <w:t xml:space="preserve"> </w:t>
      </w:r>
      <w:r>
        <w:t>as</w:t>
      </w:r>
      <w:r>
        <w:rPr>
          <w:spacing w:val="-2"/>
        </w:rPr>
        <w:t xml:space="preserve"> </w:t>
      </w:r>
      <w:r>
        <w:t>agreed</w:t>
      </w:r>
      <w:r>
        <w:rPr>
          <w:spacing w:val="-3"/>
        </w:rPr>
        <w:t xml:space="preserve"> </w:t>
      </w:r>
      <w:r>
        <w:t>with</w:t>
      </w:r>
      <w:r>
        <w:rPr>
          <w:spacing w:val="-2"/>
        </w:rPr>
        <w:t xml:space="preserve"> </w:t>
      </w:r>
      <w:r>
        <w:t>the</w:t>
      </w:r>
      <w:r>
        <w:rPr>
          <w:spacing w:val="-3"/>
        </w:rPr>
        <w:t xml:space="preserve"> </w:t>
      </w:r>
      <w:r>
        <w:t>TGA</w:t>
      </w:r>
      <w:r>
        <w:rPr>
          <w:spacing w:val="-4"/>
        </w:rPr>
        <w:t xml:space="preserve"> </w:t>
      </w:r>
      <w:r>
        <w:t>will</w:t>
      </w:r>
      <w:r>
        <w:rPr>
          <w:spacing w:val="-3"/>
        </w:rPr>
        <w:t xml:space="preserve"> </w:t>
      </w:r>
      <w:r>
        <w:t>be implemented in Australia</w:t>
      </w:r>
      <w:r w:rsidR="00170AEB">
        <w:t>.</w:t>
      </w:r>
    </w:p>
    <w:p w14:paraId="34EFB58C" w14:textId="2089648F" w:rsidR="00221078" w:rsidRDefault="00221078" w:rsidP="0071550A">
      <w:r w:rsidRPr="00ED2FCA">
        <w:t>As</w:t>
      </w:r>
      <w:r w:rsidRPr="00ED2FCA">
        <w:rPr>
          <w:spacing w:val="-1"/>
        </w:rPr>
        <w:t xml:space="preserve"> </w:t>
      </w:r>
      <w:proofErr w:type="spellStart"/>
      <w:r w:rsidRPr="00ED2FCA">
        <w:t>Vyalev</w:t>
      </w:r>
      <w:proofErr w:type="spellEnd"/>
      <w:r w:rsidRPr="00ED2FCA">
        <w:rPr>
          <w:spacing w:val="-5"/>
        </w:rPr>
        <w:t xml:space="preserve"> </w:t>
      </w:r>
      <w:r w:rsidRPr="00ED2FCA">
        <w:t>is</w:t>
      </w:r>
      <w:r w:rsidRPr="00ED2FCA">
        <w:rPr>
          <w:spacing w:val="-1"/>
        </w:rPr>
        <w:t xml:space="preserve"> </w:t>
      </w:r>
      <w:r w:rsidRPr="00ED2FCA">
        <w:t>a</w:t>
      </w:r>
      <w:r w:rsidRPr="00ED2FCA">
        <w:rPr>
          <w:spacing w:val="-2"/>
        </w:rPr>
        <w:t xml:space="preserve"> </w:t>
      </w:r>
      <w:r w:rsidRPr="00ED2FCA">
        <w:t>new</w:t>
      </w:r>
      <w:r w:rsidRPr="00ED2FCA">
        <w:rPr>
          <w:spacing w:val="-5"/>
        </w:rPr>
        <w:t xml:space="preserve"> </w:t>
      </w:r>
      <w:r w:rsidRPr="00ED2FCA">
        <w:t>chemical</w:t>
      </w:r>
      <w:r w:rsidRPr="00ED2FCA">
        <w:rPr>
          <w:spacing w:val="-2"/>
        </w:rPr>
        <w:t xml:space="preserve"> </w:t>
      </w:r>
      <w:r w:rsidRPr="00ED2FCA">
        <w:t>entity</w:t>
      </w:r>
      <w:r w:rsidR="008453DE">
        <w:t>,</w:t>
      </w:r>
      <w:r w:rsidRPr="00ED2FCA">
        <w:rPr>
          <w:spacing w:val="-3"/>
        </w:rPr>
        <w:t xml:space="preserve"> </w:t>
      </w:r>
      <w:r w:rsidRPr="00ED2FCA">
        <w:t>it</w:t>
      </w:r>
      <w:r w:rsidRPr="00ED2FCA">
        <w:rPr>
          <w:spacing w:val="-2"/>
        </w:rPr>
        <w:t xml:space="preserve"> </w:t>
      </w:r>
      <w:r w:rsidR="00CC3FB3">
        <w:t>should</w:t>
      </w:r>
      <w:r w:rsidRPr="00ED2FCA">
        <w:rPr>
          <w:spacing w:val="-2"/>
        </w:rPr>
        <w:t xml:space="preserve"> </w:t>
      </w:r>
      <w:r w:rsidRPr="00ED2FCA">
        <w:t>be</w:t>
      </w:r>
      <w:r w:rsidRPr="00ED2FCA">
        <w:rPr>
          <w:spacing w:val="-2"/>
        </w:rPr>
        <w:t xml:space="preserve"> </w:t>
      </w:r>
      <w:r w:rsidRPr="00ED2FCA">
        <w:t>included</w:t>
      </w:r>
      <w:r w:rsidRPr="00ED2FCA">
        <w:rPr>
          <w:spacing w:val="-2"/>
        </w:rPr>
        <w:t xml:space="preserve"> </w:t>
      </w:r>
      <w:r w:rsidRPr="00ED2FCA">
        <w:t>in</w:t>
      </w:r>
      <w:r w:rsidRPr="00ED2FCA">
        <w:rPr>
          <w:spacing w:val="-3"/>
        </w:rPr>
        <w:t xml:space="preserve"> </w:t>
      </w:r>
      <w:r w:rsidRPr="00ED2FCA">
        <w:t>the</w:t>
      </w:r>
      <w:r w:rsidRPr="00ED2FCA">
        <w:rPr>
          <w:spacing w:val="-2"/>
        </w:rPr>
        <w:t xml:space="preserve"> </w:t>
      </w:r>
      <w:r w:rsidRPr="00ED2FCA">
        <w:t>Black</w:t>
      </w:r>
      <w:r w:rsidRPr="00ED2FCA">
        <w:rPr>
          <w:spacing w:val="-3"/>
        </w:rPr>
        <w:t xml:space="preserve"> </w:t>
      </w:r>
      <w:r w:rsidRPr="00ED2FCA">
        <w:t>Triangle</w:t>
      </w:r>
      <w:r w:rsidRPr="00ED2FCA">
        <w:rPr>
          <w:spacing w:val="-4"/>
        </w:rPr>
        <w:t xml:space="preserve"> </w:t>
      </w:r>
      <w:r w:rsidRPr="00ED2FCA">
        <w:t>Scheme</w:t>
      </w:r>
      <w:r w:rsidR="008453DE">
        <w:t>.</w:t>
      </w:r>
      <w:r>
        <w:t xml:space="preserve"> The following wording is recommended for the condition</w:t>
      </w:r>
      <w:r w:rsidR="005520B6">
        <w:t>s</w:t>
      </w:r>
      <w:r>
        <w:t xml:space="preserve"> of </w:t>
      </w:r>
      <w:r>
        <w:rPr>
          <w:spacing w:val="-2"/>
        </w:rPr>
        <w:t>registration:</w:t>
      </w:r>
    </w:p>
    <w:p w14:paraId="6B149027" w14:textId="3DC0804D" w:rsidR="00221078" w:rsidRPr="00CC3FB3" w:rsidRDefault="00221078" w:rsidP="00EE5101">
      <w:pPr>
        <w:ind w:left="720"/>
        <w:rPr>
          <w:i/>
          <w:iCs/>
        </w:rPr>
      </w:pPr>
      <w:r w:rsidRPr="00CC3FB3">
        <w:rPr>
          <w:i/>
          <w:iCs/>
        </w:rPr>
        <w:t>Vyalev (</w:t>
      </w:r>
      <w:r w:rsidR="00A175F6" w:rsidRPr="00CC3FB3">
        <w:rPr>
          <w:i/>
          <w:iCs/>
        </w:rPr>
        <w:t>foslevodopa</w:t>
      </w:r>
      <w:r w:rsidRPr="00CC3FB3">
        <w:rPr>
          <w:i/>
          <w:iCs/>
        </w:rPr>
        <w:t>/foscarbidopa) is to be included in the Black Triangle Scheme. The PI and CMI for Vyalev must include the black triangle symbol and mandatory accompanying text for five</w:t>
      </w:r>
      <w:r w:rsidRPr="00CC3FB3">
        <w:rPr>
          <w:i/>
          <w:iCs/>
          <w:spacing w:val="-2"/>
        </w:rPr>
        <w:t xml:space="preserve"> </w:t>
      </w:r>
      <w:r w:rsidRPr="00CC3FB3">
        <w:rPr>
          <w:i/>
          <w:iCs/>
        </w:rPr>
        <w:t>years,</w:t>
      </w:r>
      <w:r w:rsidRPr="00CC3FB3">
        <w:rPr>
          <w:i/>
          <w:iCs/>
          <w:spacing w:val="-2"/>
        </w:rPr>
        <w:t xml:space="preserve"> </w:t>
      </w:r>
      <w:r w:rsidRPr="00CC3FB3">
        <w:rPr>
          <w:i/>
          <w:iCs/>
        </w:rPr>
        <w:t>which</w:t>
      </w:r>
      <w:r w:rsidRPr="00CC3FB3">
        <w:rPr>
          <w:i/>
          <w:iCs/>
          <w:spacing w:val="-1"/>
        </w:rPr>
        <w:t xml:space="preserve"> </w:t>
      </w:r>
      <w:r w:rsidRPr="00CC3FB3">
        <w:rPr>
          <w:i/>
          <w:iCs/>
        </w:rPr>
        <w:t>starts</w:t>
      </w:r>
      <w:r w:rsidRPr="00CC3FB3">
        <w:rPr>
          <w:i/>
          <w:iCs/>
          <w:spacing w:val="-1"/>
        </w:rPr>
        <w:t xml:space="preserve"> </w:t>
      </w:r>
      <w:r w:rsidRPr="00CC3FB3">
        <w:rPr>
          <w:i/>
          <w:iCs/>
        </w:rPr>
        <w:t>from</w:t>
      </w:r>
      <w:r w:rsidRPr="00CC3FB3">
        <w:rPr>
          <w:i/>
          <w:iCs/>
          <w:spacing w:val="-1"/>
        </w:rPr>
        <w:t xml:space="preserve"> </w:t>
      </w:r>
      <w:r w:rsidRPr="00CC3FB3">
        <w:rPr>
          <w:i/>
          <w:iCs/>
        </w:rPr>
        <w:t>the</w:t>
      </w:r>
      <w:r w:rsidRPr="00CC3FB3">
        <w:rPr>
          <w:i/>
          <w:iCs/>
          <w:spacing w:val="-2"/>
        </w:rPr>
        <w:t xml:space="preserve"> </w:t>
      </w:r>
      <w:r w:rsidRPr="00CC3FB3">
        <w:rPr>
          <w:i/>
          <w:iCs/>
        </w:rPr>
        <w:t>date</w:t>
      </w:r>
      <w:r w:rsidRPr="00CC3FB3">
        <w:rPr>
          <w:i/>
          <w:iCs/>
          <w:spacing w:val="-2"/>
        </w:rPr>
        <w:t xml:space="preserve"> </w:t>
      </w:r>
      <w:r w:rsidRPr="00CC3FB3">
        <w:rPr>
          <w:i/>
          <w:iCs/>
        </w:rPr>
        <w:t>that</w:t>
      </w:r>
      <w:r w:rsidRPr="00CC3FB3">
        <w:rPr>
          <w:i/>
          <w:iCs/>
          <w:spacing w:val="-2"/>
        </w:rPr>
        <w:t xml:space="preserve"> </w:t>
      </w:r>
      <w:r w:rsidRPr="00CC3FB3">
        <w:rPr>
          <w:i/>
          <w:iCs/>
        </w:rPr>
        <w:t>the</w:t>
      </w:r>
      <w:r w:rsidRPr="00CC3FB3">
        <w:rPr>
          <w:i/>
          <w:iCs/>
          <w:spacing w:val="-2"/>
        </w:rPr>
        <w:t xml:space="preserve"> </w:t>
      </w:r>
      <w:r w:rsidRPr="00CC3FB3">
        <w:rPr>
          <w:i/>
          <w:iCs/>
        </w:rPr>
        <w:t>sponsor</w:t>
      </w:r>
      <w:r w:rsidRPr="00CC3FB3">
        <w:rPr>
          <w:i/>
          <w:iCs/>
          <w:spacing w:val="-2"/>
        </w:rPr>
        <w:t xml:space="preserve"> </w:t>
      </w:r>
      <w:r w:rsidRPr="00CC3FB3">
        <w:rPr>
          <w:i/>
          <w:iCs/>
        </w:rPr>
        <w:t>notifies</w:t>
      </w:r>
      <w:r w:rsidRPr="00CC3FB3">
        <w:rPr>
          <w:i/>
          <w:iCs/>
          <w:spacing w:val="-1"/>
        </w:rPr>
        <w:t xml:space="preserve"> </w:t>
      </w:r>
      <w:r w:rsidRPr="00CC3FB3">
        <w:rPr>
          <w:i/>
          <w:iCs/>
        </w:rPr>
        <w:t>the</w:t>
      </w:r>
      <w:r w:rsidRPr="00CC3FB3">
        <w:rPr>
          <w:i/>
          <w:iCs/>
          <w:spacing w:val="-2"/>
        </w:rPr>
        <w:t xml:space="preserve"> </w:t>
      </w:r>
      <w:r w:rsidRPr="00CC3FB3">
        <w:rPr>
          <w:i/>
          <w:iCs/>
        </w:rPr>
        <w:t>TGA</w:t>
      </w:r>
      <w:r w:rsidRPr="00CC3FB3">
        <w:rPr>
          <w:i/>
          <w:iCs/>
          <w:spacing w:val="-3"/>
        </w:rPr>
        <w:t xml:space="preserve"> </w:t>
      </w:r>
      <w:r w:rsidRPr="00CC3FB3">
        <w:rPr>
          <w:i/>
          <w:iCs/>
        </w:rPr>
        <w:t>of</w:t>
      </w:r>
      <w:r w:rsidRPr="00CC3FB3">
        <w:rPr>
          <w:i/>
          <w:iCs/>
          <w:spacing w:val="-4"/>
        </w:rPr>
        <w:t xml:space="preserve"> </w:t>
      </w:r>
      <w:r w:rsidRPr="00CC3FB3">
        <w:rPr>
          <w:i/>
          <w:iCs/>
        </w:rPr>
        <w:t>supply</w:t>
      </w:r>
      <w:r w:rsidRPr="00CC3FB3">
        <w:rPr>
          <w:i/>
          <w:iCs/>
          <w:spacing w:val="-3"/>
        </w:rPr>
        <w:t xml:space="preserve"> </w:t>
      </w:r>
      <w:r w:rsidRPr="00CC3FB3">
        <w:rPr>
          <w:i/>
          <w:iCs/>
        </w:rPr>
        <w:t>of</w:t>
      </w:r>
      <w:r w:rsidRPr="00CC3FB3">
        <w:rPr>
          <w:i/>
          <w:iCs/>
          <w:spacing w:val="-2"/>
        </w:rPr>
        <w:t xml:space="preserve"> </w:t>
      </w:r>
      <w:r w:rsidRPr="00CC3FB3">
        <w:rPr>
          <w:i/>
          <w:iCs/>
        </w:rPr>
        <w:t>the</w:t>
      </w:r>
      <w:r w:rsidRPr="00CC3FB3">
        <w:rPr>
          <w:i/>
          <w:iCs/>
          <w:spacing w:val="-2"/>
        </w:rPr>
        <w:t xml:space="preserve"> </w:t>
      </w:r>
      <w:r w:rsidRPr="00CC3FB3">
        <w:rPr>
          <w:i/>
          <w:iCs/>
        </w:rPr>
        <w:t>product.</w:t>
      </w:r>
    </w:p>
    <w:p w14:paraId="74A4F87F" w14:textId="77777777" w:rsidR="00C22214" w:rsidRDefault="00C22214" w:rsidP="0071550A">
      <w:pPr>
        <w:pStyle w:val="Heading3"/>
      </w:pPr>
      <w:bookmarkStart w:id="85" w:name="_Toc247691531"/>
      <w:bookmarkStart w:id="86" w:name="_Toc314842515"/>
      <w:bookmarkStart w:id="87" w:name="_Toc103679299"/>
      <w:bookmarkStart w:id="88" w:name="_Toc182486557"/>
      <w:bookmarkEnd w:id="46"/>
      <w:r>
        <w:t xml:space="preserve">Risk-benefit </w:t>
      </w:r>
      <w:r w:rsidRPr="0071550A">
        <w:t>analysis</w:t>
      </w:r>
      <w:bookmarkEnd w:id="85"/>
      <w:bookmarkEnd w:id="86"/>
      <w:bookmarkEnd w:id="87"/>
      <w:bookmarkEnd w:id="88"/>
    </w:p>
    <w:p w14:paraId="77DE2655" w14:textId="77777777" w:rsidR="00C22214" w:rsidRDefault="00C22214" w:rsidP="0071550A">
      <w:pPr>
        <w:pStyle w:val="Heading4"/>
      </w:pPr>
      <w:bookmarkStart w:id="89" w:name="_Toc98931932"/>
      <w:bookmarkStart w:id="90" w:name="_Toc182486558"/>
      <w:r>
        <w:t xml:space="preserve">Delegate’s </w:t>
      </w:r>
      <w:r w:rsidRPr="0071550A">
        <w:t>considerations</w:t>
      </w:r>
      <w:bookmarkEnd w:id="89"/>
      <w:bookmarkEnd w:id="90"/>
    </w:p>
    <w:p w14:paraId="51DA9D36" w14:textId="78602B7B" w:rsidR="00EB573C" w:rsidRDefault="00EB573C" w:rsidP="001F47D7">
      <w:r>
        <w:t xml:space="preserve">In this application, the evidence to suggest a comparable efficacy and safety between </w:t>
      </w:r>
      <w:r w:rsidR="00A175F6">
        <w:t>foslevodopa</w:t>
      </w:r>
      <w:r>
        <w:t xml:space="preserve">/carbidopa (CSIC) and the </w:t>
      </w:r>
      <w:r w:rsidR="00A175F6">
        <w:t>Duodopa</w:t>
      </w:r>
      <w:r>
        <w:t xml:space="preserve"> (LCIG) is heavily dependent on the comparability</w:t>
      </w:r>
      <w:r>
        <w:rPr>
          <w:spacing w:val="-3"/>
        </w:rPr>
        <w:t xml:space="preserve"> </w:t>
      </w:r>
      <w:r>
        <w:t>of</w:t>
      </w:r>
      <w:r>
        <w:rPr>
          <w:spacing w:val="-2"/>
        </w:rPr>
        <w:t xml:space="preserve"> </w:t>
      </w:r>
      <w:r>
        <w:t>the</w:t>
      </w:r>
      <w:r>
        <w:rPr>
          <w:spacing w:val="-2"/>
        </w:rPr>
        <w:t xml:space="preserve"> </w:t>
      </w:r>
      <w:r>
        <w:t>PK</w:t>
      </w:r>
      <w:r>
        <w:rPr>
          <w:spacing w:val="-2"/>
        </w:rPr>
        <w:t xml:space="preserve"> </w:t>
      </w:r>
      <w:r>
        <w:t>parameters</w:t>
      </w:r>
      <w:r>
        <w:rPr>
          <w:spacing w:val="-2"/>
        </w:rPr>
        <w:t xml:space="preserve"> </w:t>
      </w:r>
      <w:r>
        <w:t>of</w:t>
      </w:r>
      <w:r>
        <w:rPr>
          <w:spacing w:val="-2"/>
        </w:rPr>
        <w:t xml:space="preserve"> </w:t>
      </w:r>
      <w:r>
        <w:t>these</w:t>
      </w:r>
      <w:r>
        <w:rPr>
          <w:spacing w:val="-2"/>
        </w:rPr>
        <w:t xml:space="preserve"> </w:t>
      </w:r>
      <w:r>
        <w:t>products.</w:t>
      </w:r>
      <w:r>
        <w:rPr>
          <w:spacing w:val="-4"/>
        </w:rPr>
        <w:t xml:space="preserve"> </w:t>
      </w:r>
      <w:r>
        <w:t>The</w:t>
      </w:r>
      <w:r>
        <w:rPr>
          <w:spacing w:val="-2"/>
        </w:rPr>
        <w:t xml:space="preserve"> </w:t>
      </w:r>
      <w:r>
        <w:t>Sponsor</w:t>
      </w:r>
      <w:r>
        <w:rPr>
          <w:spacing w:val="-2"/>
        </w:rPr>
        <w:t xml:space="preserve"> </w:t>
      </w:r>
      <w:r>
        <w:t>is</w:t>
      </w:r>
      <w:r>
        <w:rPr>
          <w:spacing w:val="-2"/>
        </w:rPr>
        <w:t xml:space="preserve"> </w:t>
      </w:r>
      <w:r>
        <w:t>requested</w:t>
      </w:r>
      <w:r>
        <w:rPr>
          <w:spacing w:val="-2"/>
        </w:rPr>
        <w:t xml:space="preserve"> </w:t>
      </w:r>
      <w:r>
        <w:t>to</w:t>
      </w:r>
      <w:r>
        <w:rPr>
          <w:spacing w:val="-2"/>
        </w:rPr>
        <w:t xml:space="preserve"> </w:t>
      </w:r>
      <w:r>
        <w:t>clarify</w:t>
      </w:r>
      <w:r>
        <w:rPr>
          <w:spacing w:val="-3"/>
        </w:rPr>
        <w:t xml:space="preserve"> </w:t>
      </w:r>
      <w:r>
        <w:t>the</w:t>
      </w:r>
      <w:r w:rsidR="00B07754">
        <w:t xml:space="preserve"> </w:t>
      </w:r>
      <w:r>
        <w:t>comparability</w:t>
      </w:r>
      <w:r>
        <w:rPr>
          <w:spacing w:val="-3"/>
        </w:rPr>
        <w:t xml:space="preserve"> </w:t>
      </w:r>
      <w:r>
        <w:t>between</w:t>
      </w:r>
      <w:r>
        <w:rPr>
          <w:spacing w:val="-3"/>
        </w:rPr>
        <w:t xml:space="preserve"> </w:t>
      </w:r>
      <w:r>
        <w:t>the</w:t>
      </w:r>
      <w:r>
        <w:rPr>
          <w:spacing w:val="-2"/>
        </w:rPr>
        <w:t xml:space="preserve"> </w:t>
      </w:r>
      <w:r w:rsidR="00A175F6">
        <w:t>Duodopa</w:t>
      </w:r>
      <w:r>
        <w:rPr>
          <w:spacing w:val="-2"/>
        </w:rPr>
        <w:t xml:space="preserve"> </w:t>
      </w:r>
      <w:r>
        <w:t>used</w:t>
      </w:r>
      <w:r>
        <w:rPr>
          <w:spacing w:val="-2"/>
        </w:rPr>
        <w:t xml:space="preserve"> </w:t>
      </w:r>
      <w:r>
        <w:t>in</w:t>
      </w:r>
      <w:r>
        <w:rPr>
          <w:spacing w:val="-5"/>
        </w:rPr>
        <w:t xml:space="preserve"> </w:t>
      </w:r>
      <w:r>
        <w:t>clinical</w:t>
      </w:r>
      <w:r>
        <w:rPr>
          <w:spacing w:val="-4"/>
        </w:rPr>
        <w:t xml:space="preserve"> </w:t>
      </w:r>
      <w:r>
        <w:t>studies</w:t>
      </w:r>
      <w:r>
        <w:rPr>
          <w:spacing w:val="-3"/>
        </w:rPr>
        <w:t xml:space="preserve"> </w:t>
      </w:r>
      <w:r>
        <w:t>in</w:t>
      </w:r>
      <w:r>
        <w:rPr>
          <w:spacing w:val="-3"/>
        </w:rPr>
        <w:t xml:space="preserve"> </w:t>
      </w:r>
      <w:r>
        <w:t>this</w:t>
      </w:r>
      <w:r>
        <w:rPr>
          <w:spacing w:val="-1"/>
        </w:rPr>
        <w:t xml:space="preserve"> </w:t>
      </w:r>
      <w:r>
        <w:t>application</w:t>
      </w:r>
      <w:r>
        <w:rPr>
          <w:spacing w:val="-3"/>
        </w:rPr>
        <w:t xml:space="preserve"> </w:t>
      </w:r>
      <w:r>
        <w:t>and</w:t>
      </w:r>
      <w:r>
        <w:rPr>
          <w:spacing w:val="-2"/>
        </w:rPr>
        <w:t xml:space="preserve"> </w:t>
      </w:r>
      <w:r>
        <w:t>the</w:t>
      </w:r>
      <w:r>
        <w:rPr>
          <w:spacing w:val="-2"/>
        </w:rPr>
        <w:t xml:space="preserve"> </w:t>
      </w:r>
      <w:r w:rsidR="00A175F6">
        <w:t>Duodopa</w:t>
      </w:r>
      <w:r>
        <w:t xml:space="preserve"> that has been approved by TGA.</w:t>
      </w:r>
    </w:p>
    <w:p w14:paraId="2A65ED14" w14:textId="34F3622E" w:rsidR="00CC3FB3" w:rsidRDefault="00EB573C" w:rsidP="001F47D7">
      <w:r>
        <w:t xml:space="preserve">In the BE Study M17-220 in healthy adults, the systemic exposure to </w:t>
      </w:r>
      <w:r w:rsidR="00CC3FB3">
        <w:t xml:space="preserve">LD </w:t>
      </w:r>
      <w:r>
        <w:t xml:space="preserve">following administration of </w:t>
      </w:r>
      <w:r w:rsidR="00A175F6">
        <w:t>foslevodopa</w:t>
      </w:r>
      <w:r>
        <w:t xml:space="preserve">/foscarbidopa 700/35 mg over 24 h was comparable to that of LCIG 350/87.5 mg </w:t>
      </w:r>
      <w:r w:rsidR="00CC3FB3">
        <w:t>LD</w:t>
      </w:r>
      <w:r>
        <w:t>/</w:t>
      </w:r>
      <w:r w:rsidR="00CC3FB3">
        <w:t>CD</w:t>
      </w:r>
      <w:r>
        <w:t xml:space="preserve"> over 16 h followed by </w:t>
      </w:r>
      <w:r w:rsidR="00CC3FB3">
        <w:t>2</w:t>
      </w:r>
      <w:r>
        <w:t xml:space="preserve"> 100/25 mg </w:t>
      </w:r>
      <w:r w:rsidR="00CC3FB3">
        <w:t>LD</w:t>
      </w:r>
      <w:r>
        <w:t>/</w:t>
      </w:r>
      <w:r w:rsidR="00CC3FB3">
        <w:t>CD</w:t>
      </w:r>
      <w:r>
        <w:t xml:space="preserve"> oral doses at 18 and</w:t>
      </w:r>
      <w:r w:rsidR="00CC3FB3">
        <w:t xml:space="preserve"> </w:t>
      </w:r>
      <w:r>
        <w:t xml:space="preserve">21 h after the start of infusion. It was noted that </w:t>
      </w:r>
      <w:r w:rsidR="00610352">
        <w:t xml:space="preserve">a </w:t>
      </w:r>
      <w:r>
        <w:t xml:space="preserve">subtherapeutic dose of </w:t>
      </w:r>
      <w:r w:rsidR="00A175F6">
        <w:t>foslevodopa</w:t>
      </w:r>
      <w:r>
        <w:t>/foscarbidopa was selected for this study.</w:t>
      </w:r>
    </w:p>
    <w:p w14:paraId="3A2DE560" w14:textId="77777777" w:rsidR="00F248A5" w:rsidRDefault="00EB573C" w:rsidP="001F47D7">
      <w:r>
        <w:t xml:space="preserve">The Sponsor’s rationale for the lower dose was </w:t>
      </w:r>
      <w:r>
        <w:rPr>
          <w:i/>
        </w:rPr>
        <w:t>to be in a tolerable range for healthy volunteers</w:t>
      </w:r>
      <w:r>
        <w:t>. In view of the dose proportionality that has been</w:t>
      </w:r>
      <w:r>
        <w:rPr>
          <w:spacing w:val="-2"/>
        </w:rPr>
        <w:t xml:space="preserve"> </w:t>
      </w:r>
      <w:r>
        <w:t>demonstrated</w:t>
      </w:r>
      <w:r>
        <w:rPr>
          <w:spacing w:val="-1"/>
        </w:rPr>
        <w:t xml:space="preserve"> </w:t>
      </w:r>
      <w:r>
        <w:t xml:space="preserve">for </w:t>
      </w:r>
      <w:r w:rsidR="00A175F6">
        <w:t>foslevodopa</w:t>
      </w:r>
      <w:r>
        <w:t>/foscarbidopa,</w:t>
      </w:r>
      <w:r>
        <w:rPr>
          <w:spacing w:val="-4"/>
        </w:rPr>
        <w:t xml:space="preserve"> </w:t>
      </w:r>
      <w:r>
        <w:t>this</w:t>
      </w:r>
      <w:r>
        <w:rPr>
          <w:spacing w:val="-3"/>
        </w:rPr>
        <w:t xml:space="preserve"> </w:t>
      </w:r>
      <w:r>
        <w:t>approach</w:t>
      </w:r>
      <w:r>
        <w:rPr>
          <w:spacing w:val="-3"/>
        </w:rPr>
        <w:t xml:space="preserve"> </w:t>
      </w:r>
      <w:r>
        <w:t>was</w:t>
      </w:r>
      <w:r>
        <w:rPr>
          <w:spacing w:val="-5"/>
        </w:rPr>
        <w:t xml:space="preserve"> </w:t>
      </w:r>
      <w:r>
        <w:t>considered</w:t>
      </w:r>
      <w:r>
        <w:rPr>
          <w:spacing w:val="-4"/>
        </w:rPr>
        <w:t xml:space="preserve"> </w:t>
      </w:r>
      <w:r>
        <w:t>as</w:t>
      </w:r>
      <w:r>
        <w:rPr>
          <w:spacing w:val="-3"/>
        </w:rPr>
        <w:t xml:space="preserve"> </w:t>
      </w:r>
      <w:r>
        <w:t>acceptable</w:t>
      </w:r>
      <w:r>
        <w:rPr>
          <w:spacing w:val="-3"/>
        </w:rPr>
        <w:t xml:space="preserve"> </w:t>
      </w:r>
      <w:r>
        <w:t>by</w:t>
      </w:r>
      <w:r>
        <w:rPr>
          <w:spacing w:val="-5"/>
        </w:rPr>
        <w:t xml:space="preserve"> </w:t>
      </w:r>
      <w:r>
        <w:t>the</w:t>
      </w:r>
      <w:r>
        <w:rPr>
          <w:spacing w:val="-4"/>
        </w:rPr>
        <w:t xml:space="preserve"> </w:t>
      </w:r>
      <w:r>
        <w:t>clinical</w:t>
      </w:r>
      <w:r>
        <w:rPr>
          <w:spacing w:val="-4"/>
        </w:rPr>
        <w:t xml:space="preserve"> </w:t>
      </w:r>
      <w:r>
        <w:t xml:space="preserve">evaluator. </w:t>
      </w:r>
    </w:p>
    <w:p w14:paraId="24CFA117" w14:textId="2C044092" w:rsidR="00CC3FB3" w:rsidRDefault="00EB573C" w:rsidP="001F47D7">
      <w:r>
        <w:t xml:space="preserve">The Delegate noted studies M15-738 and M15-739 that were aimed to demonstrate steady state plasma level for </w:t>
      </w:r>
      <w:r w:rsidR="00CC3FB3">
        <w:t>LD</w:t>
      </w:r>
      <w:r>
        <w:t xml:space="preserve"> and dose proportionality in patients with PD. </w:t>
      </w:r>
    </w:p>
    <w:p w14:paraId="5ED120DA" w14:textId="34045A9C" w:rsidR="00EB573C" w:rsidRDefault="00EB573C" w:rsidP="001F47D7">
      <w:r>
        <w:t>The</w:t>
      </w:r>
      <w:r>
        <w:rPr>
          <w:spacing w:val="-1"/>
        </w:rPr>
        <w:t xml:space="preserve"> </w:t>
      </w:r>
      <w:r>
        <w:t>toxicology</w:t>
      </w:r>
      <w:r>
        <w:rPr>
          <w:spacing w:val="-2"/>
        </w:rPr>
        <w:t xml:space="preserve"> </w:t>
      </w:r>
      <w:r>
        <w:t>evaluator</w:t>
      </w:r>
      <w:r>
        <w:rPr>
          <w:spacing w:val="-3"/>
        </w:rPr>
        <w:t xml:space="preserve"> </w:t>
      </w:r>
      <w:r>
        <w:t>highlighted</w:t>
      </w:r>
      <w:r>
        <w:rPr>
          <w:spacing w:val="-3"/>
        </w:rPr>
        <w:t xml:space="preserve"> </w:t>
      </w:r>
      <w:r>
        <w:t>hydrazine</w:t>
      </w:r>
      <w:r>
        <w:rPr>
          <w:spacing w:val="-3"/>
        </w:rPr>
        <w:t xml:space="preserve"> </w:t>
      </w:r>
      <w:r>
        <w:t>as an</w:t>
      </w:r>
      <w:r>
        <w:rPr>
          <w:spacing w:val="-2"/>
        </w:rPr>
        <w:t xml:space="preserve"> </w:t>
      </w:r>
      <w:r>
        <w:t>impurity</w:t>
      </w:r>
      <w:r>
        <w:rPr>
          <w:spacing w:val="-2"/>
        </w:rPr>
        <w:t xml:space="preserve"> </w:t>
      </w:r>
      <w:r>
        <w:t>in</w:t>
      </w:r>
      <w:r>
        <w:rPr>
          <w:spacing w:val="-2"/>
        </w:rPr>
        <w:t xml:space="preserve"> </w:t>
      </w:r>
      <w:r w:rsidR="00A175F6">
        <w:t>foslevodopa</w:t>
      </w:r>
      <w:r>
        <w:t xml:space="preserve">/foscarbidopa. </w:t>
      </w:r>
      <w:r w:rsidRPr="005C5303">
        <w:t>Based on the module 3 and 4 reports, the Delegate consider</w:t>
      </w:r>
      <w:r w:rsidR="00642C95">
        <w:t>ed</w:t>
      </w:r>
      <w:r w:rsidRPr="005C5303">
        <w:t xml:space="preserve"> that the daily hydrazine exposure level at the maximum dose of </w:t>
      </w:r>
      <w:r w:rsidR="00A175F6" w:rsidRPr="005C5303">
        <w:t>foslevodopa</w:t>
      </w:r>
      <w:r w:rsidRPr="005C5303">
        <w:t>/foscarbidopa is lower than the corresponding dose</w:t>
      </w:r>
      <w:r w:rsidR="00CD6105">
        <w:rPr>
          <w:spacing w:val="40"/>
        </w:rPr>
        <w:t xml:space="preserve"> </w:t>
      </w:r>
      <w:r w:rsidRPr="005C5303">
        <w:t>of</w:t>
      </w:r>
      <w:r w:rsidRPr="005C5303">
        <w:rPr>
          <w:spacing w:val="-2"/>
        </w:rPr>
        <w:t xml:space="preserve"> </w:t>
      </w:r>
      <w:r w:rsidRPr="005C5303">
        <w:t>TGA</w:t>
      </w:r>
      <w:r w:rsidRPr="005C5303">
        <w:rPr>
          <w:spacing w:val="-3"/>
        </w:rPr>
        <w:t xml:space="preserve"> </w:t>
      </w:r>
      <w:r w:rsidRPr="005C5303">
        <w:t>approved</w:t>
      </w:r>
      <w:r w:rsidRPr="005C5303">
        <w:rPr>
          <w:spacing w:val="-2"/>
        </w:rPr>
        <w:t xml:space="preserve"> </w:t>
      </w:r>
      <w:r w:rsidR="00A175F6" w:rsidRPr="005C5303">
        <w:t>Duodopa</w:t>
      </w:r>
      <w:r w:rsidRPr="005C5303">
        <w:rPr>
          <w:spacing w:val="-2"/>
        </w:rPr>
        <w:t xml:space="preserve"> </w:t>
      </w:r>
      <w:r w:rsidRPr="005C5303">
        <w:t>(0.5mg</w:t>
      </w:r>
      <w:r w:rsidRPr="005C5303">
        <w:rPr>
          <w:spacing w:val="-1"/>
        </w:rPr>
        <w:t xml:space="preserve"> </w:t>
      </w:r>
      <w:r w:rsidRPr="005C5303">
        <w:t>vs</w:t>
      </w:r>
      <w:r w:rsidRPr="005C5303">
        <w:rPr>
          <w:spacing w:val="-1"/>
        </w:rPr>
        <w:t xml:space="preserve"> </w:t>
      </w:r>
      <w:r w:rsidRPr="005C5303">
        <w:t>8mg).</w:t>
      </w:r>
      <w:r w:rsidRPr="005C5303">
        <w:rPr>
          <w:spacing w:val="-1"/>
        </w:rPr>
        <w:t xml:space="preserve"> </w:t>
      </w:r>
      <w:r>
        <w:t>Based</w:t>
      </w:r>
      <w:r>
        <w:rPr>
          <w:spacing w:val="-2"/>
        </w:rPr>
        <w:t xml:space="preserve"> </w:t>
      </w:r>
      <w:r>
        <w:t>on</w:t>
      </w:r>
      <w:r>
        <w:rPr>
          <w:spacing w:val="-3"/>
        </w:rPr>
        <w:t xml:space="preserve"> </w:t>
      </w:r>
      <w:r>
        <w:t>that</w:t>
      </w:r>
      <w:r>
        <w:rPr>
          <w:spacing w:val="-2"/>
        </w:rPr>
        <w:t xml:space="preserve"> </w:t>
      </w:r>
      <w:r>
        <w:t>finding,</w:t>
      </w:r>
      <w:r>
        <w:rPr>
          <w:spacing w:val="-2"/>
        </w:rPr>
        <w:t xml:space="preserve"> </w:t>
      </w:r>
      <w:r>
        <w:t>the</w:t>
      </w:r>
      <w:r>
        <w:rPr>
          <w:spacing w:val="-2"/>
        </w:rPr>
        <w:t xml:space="preserve"> </w:t>
      </w:r>
      <w:r w:rsidR="005317EE">
        <w:t>quality</w:t>
      </w:r>
      <w:r>
        <w:rPr>
          <w:spacing w:val="-2"/>
        </w:rPr>
        <w:t xml:space="preserve"> </w:t>
      </w:r>
      <w:r>
        <w:t>and</w:t>
      </w:r>
      <w:r>
        <w:rPr>
          <w:spacing w:val="-2"/>
        </w:rPr>
        <w:t xml:space="preserve"> </w:t>
      </w:r>
      <w:r w:rsidR="005317EE">
        <w:t>nonclinical</w:t>
      </w:r>
      <w:r w:rsidR="004940DE">
        <w:t xml:space="preserve"> (toxicology)</w:t>
      </w:r>
      <w:r>
        <w:rPr>
          <w:spacing w:val="-2"/>
        </w:rPr>
        <w:t xml:space="preserve"> </w:t>
      </w:r>
      <w:r>
        <w:t xml:space="preserve">evaluators concluded this impurity </w:t>
      </w:r>
      <w:r w:rsidR="00CD6105">
        <w:t>w</w:t>
      </w:r>
      <w:r>
        <w:t>as not a major concern.</w:t>
      </w:r>
    </w:p>
    <w:p w14:paraId="17E6251D" w14:textId="24FBA159" w:rsidR="00EB573C" w:rsidRDefault="00EB573C" w:rsidP="001F47D7">
      <w:r>
        <w:t>The</w:t>
      </w:r>
      <w:r>
        <w:rPr>
          <w:spacing w:val="-8"/>
        </w:rPr>
        <w:t xml:space="preserve"> </w:t>
      </w:r>
      <w:r>
        <w:t>Delegate</w:t>
      </w:r>
      <w:r>
        <w:rPr>
          <w:spacing w:val="-5"/>
        </w:rPr>
        <w:t xml:space="preserve"> </w:t>
      </w:r>
      <w:r>
        <w:t>noted</w:t>
      </w:r>
      <w:r>
        <w:rPr>
          <w:spacing w:val="-4"/>
        </w:rPr>
        <w:t xml:space="preserve"> </w:t>
      </w:r>
      <w:r>
        <w:t>the</w:t>
      </w:r>
      <w:r>
        <w:rPr>
          <w:spacing w:val="-3"/>
        </w:rPr>
        <w:t xml:space="preserve"> </w:t>
      </w:r>
      <w:r>
        <w:t>following</w:t>
      </w:r>
      <w:r>
        <w:rPr>
          <w:spacing w:val="-4"/>
        </w:rPr>
        <w:t xml:space="preserve"> </w:t>
      </w:r>
      <w:r>
        <w:t>in</w:t>
      </w:r>
      <w:r>
        <w:rPr>
          <w:spacing w:val="-5"/>
        </w:rPr>
        <w:t xml:space="preserve"> </w:t>
      </w:r>
      <w:r>
        <w:t>the</w:t>
      </w:r>
      <w:r>
        <w:rPr>
          <w:spacing w:val="-3"/>
        </w:rPr>
        <w:t xml:space="preserve"> </w:t>
      </w:r>
      <w:r w:rsidR="0007669D">
        <w:rPr>
          <w:spacing w:val="-3"/>
        </w:rPr>
        <w:t>c</w:t>
      </w:r>
      <w:r>
        <w:t>linical</w:t>
      </w:r>
      <w:r>
        <w:rPr>
          <w:spacing w:val="-5"/>
        </w:rPr>
        <w:t xml:space="preserve"> </w:t>
      </w:r>
      <w:r w:rsidR="0007669D">
        <w:rPr>
          <w:spacing w:val="-5"/>
        </w:rPr>
        <w:t>e</w:t>
      </w:r>
      <w:r>
        <w:t>valuator’s</w:t>
      </w:r>
      <w:r>
        <w:rPr>
          <w:spacing w:val="-2"/>
        </w:rPr>
        <w:t xml:space="preserve"> report:</w:t>
      </w:r>
    </w:p>
    <w:p w14:paraId="732A7BCF" w14:textId="5ED3D1CD" w:rsidR="00EB573C" w:rsidRDefault="00EB573C" w:rsidP="00AB4E2C">
      <w:pPr>
        <w:ind w:left="720"/>
        <w:rPr>
          <w:i/>
        </w:rPr>
      </w:pPr>
      <w:r>
        <w:rPr>
          <w:i/>
        </w:rPr>
        <w:t>Although</w:t>
      </w:r>
      <w:r>
        <w:rPr>
          <w:i/>
          <w:spacing w:val="-2"/>
        </w:rPr>
        <w:t xml:space="preserve"> </w:t>
      </w:r>
      <w:r>
        <w:rPr>
          <w:i/>
        </w:rPr>
        <w:t>no</w:t>
      </w:r>
      <w:r>
        <w:rPr>
          <w:i/>
          <w:spacing w:val="-2"/>
        </w:rPr>
        <w:t xml:space="preserve"> </w:t>
      </w:r>
      <w:r>
        <w:rPr>
          <w:i/>
        </w:rPr>
        <w:t>increased</w:t>
      </w:r>
      <w:r>
        <w:rPr>
          <w:i/>
          <w:spacing w:val="-3"/>
        </w:rPr>
        <w:t xml:space="preserve"> </w:t>
      </w:r>
      <w:r>
        <w:rPr>
          <w:i/>
        </w:rPr>
        <w:t>incidence</w:t>
      </w:r>
      <w:r>
        <w:rPr>
          <w:i/>
          <w:spacing w:val="-3"/>
        </w:rPr>
        <w:t xml:space="preserve"> </w:t>
      </w:r>
      <w:r>
        <w:rPr>
          <w:i/>
        </w:rPr>
        <w:t>of</w:t>
      </w:r>
      <w:r>
        <w:rPr>
          <w:i/>
          <w:spacing w:val="-4"/>
        </w:rPr>
        <w:t xml:space="preserve"> </w:t>
      </w:r>
      <w:r>
        <w:rPr>
          <w:i/>
        </w:rPr>
        <w:t>malignancies,</w:t>
      </w:r>
      <w:r>
        <w:rPr>
          <w:i/>
          <w:spacing w:val="-3"/>
        </w:rPr>
        <w:t xml:space="preserve"> </w:t>
      </w:r>
      <w:r>
        <w:rPr>
          <w:i/>
        </w:rPr>
        <w:t>or</w:t>
      </w:r>
      <w:r>
        <w:rPr>
          <w:i/>
          <w:spacing w:val="-2"/>
        </w:rPr>
        <w:t xml:space="preserve"> </w:t>
      </w:r>
      <w:r>
        <w:rPr>
          <w:i/>
        </w:rPr>
        <w:t>specific</w:t>
      </w:r>
      <w:r>
        <w:rPr>
          <w:i/>
          <w:spacing w:val="-3"/>
        </w:rPr>
        <w:t xml:space="preserve"> </w:t>
      </w:r>
      <w:r>
        <w:rPr>
          <w:i/>
        </w:rPr>
        <w:t>types</w:t>
      </w:r>
      <w:r>
        <w:rPr>
          <w:i/>
          <w:spacing w:val="-3"/>
        </w:rPr>
        <w:t xml:space="preserve"> </w:t>
      </w:r>
      <w:r>
        <w:rPr>
          <w:i/>
        </w:rPr>
        <w:t>of</w:t>
      </w:r>
      <w:r>
        <w:rPr>
          <w:i/>
          <w:spacing w:val="-4"/>
        </w:rPr>
        <w:t xml:space="preserve"> </w:t>
      </w:r>
      <w:r>
        <w:rPr>
          <w:i/>
        </w:rPr>
        <w:t>malignancy,</w:t>
      </w:r>
      <w:r>
        <w:rPr>
          <w:i/>
          <w:spacing w:val="-3"/>
        </w:rPr>
        <w:t xml:space="preserve"> </w:t>
      </w:r>
      <w:r>
        <w:rPr>
          <w:i/>
        </w:rPr>
        <w:t>were</w:t>
      </w:r>
      <w:r>
        <w:rPr>
          <w:i/>
          <w:spacing w:val="-3"/>
        </w:rPr>
        <w:t xml:space="preserve"> </w:t>
      </w:r>
      <w:r>
        <w:rPr>
          <w:i/>
        </w:rPr>
        <w:t>observed</w:t>
      </w:r>
      <w:r>
        <w:rPr>
          <w:i/>
          <w:spacing w:val="-3"/>
        </w:rPr>
        <w:t xml:space="preserve"> </w:t>
      </w:r>
      <w:r>
        <w:rPr>
          <w:i/>
        </w:rPr>
        <w:t xml:space="preserve">in the </w:t>
      </w:r>
      <w:r w:rsidR="00A175F6">
        <w:rPr>
          <w:i/>
        </w:rPr>
        <w:t>Duodopa</w:t>
      </w:r>
      <w:r>
        <w:rPr>
          <w:i/>
        </w:rPr>
        <w:t xml:space="preserve"> clinical program or post-market setting, or in the interim study results presented from the </w:t>
      </w:r>
      <w:r w:rsidR="00A175F6">
        <w:rPr>
          <w:i/>
        </w:rPr>
        <w:t>foslevodopa</w:t>
      </w:r>
      <w:r>
        <w:rPr>
          <w:i/>
        </w:rPr>
        <w:t>/foscarbidopa clinical program, an association with increased incidence of malignancies, particularly in the liver and lung (based on non-clinical findings secondary to hydrazine exposure), cannot be ruled out. Notwithstanding there is an approx. 15-fo</w:t>
      </w:r>
      <w:r w:rsidR="00A175F6">
        <w:rPr>
          <w:i/>
        </w:rPr>
        <w:t>Levodopa</w:t>
      </w:r>
      <w:r>
        <w:rPr>
          <w:i/>
        </w:rPr>
        <w:t xml:space="preserve"> greater reduction in hydrazine exposure with </w:t>
      </w:r>
      <w:r w:rsidR="00A175F6">
        <w:rPr>
          <w:i/>
        </w:rPr>
        <w:t>foslevodopa</w:t>
      </w:r>
      <w:r>
        <w:rPr>
          <w:i/>
        </w:rPr>
        <w:t xml:space="preserve">/foscarbidopa infusion compared with </w:t>
      </w:r>
      <w:r w:rsidR="0025741F">
        <w:rPr>
          <w:i/>
        </w:rPr>
        <w:t>l</w:t>
      </w:r>
      <w:r w:rsidR="00A175F6">
        <w:rPr>
          <w:i/>
        </w:rPr>
        <w:t>evodopa</w:t>
      </w:r>
      <w:r>
        <w:rPr>
          <w:i/>
        </w:rPr>
        <w:t>/carbidopa intestinal gel infusion (</w:t>
      </w:r>
      <w:r w:rsidR="00A175F6">
        <w:rPr>
          <w:i/>
        </w:rPr>
        <w:t>Duodopa</w:t>
      </w:r>
      <w:r>
        <w:rPr>
          <w:i/>
        </w:rPr>
        <w:t xml:space="preserve">), the risk of development of neoplasms remains, as the maximum hydrazine exposure following </w:t>
      </w:r>
      <w:r w:rsidR="00A175F6">
        <w:rPr>
          <w:i/>
        </w:rPr>
        <w:t>foslevodopa</w:t>
      </w:r>
      <w:r>
        <w:rPr>
          <w:i/>
        </w:rPr>
        <w:t>/foscarbidopa infusion (525 microgram/day) is still much higher than the maximum FDA-recommended levels of hydrazine in humans (39 microgram/day).</w:t>
      </w:r>
    </w:p>
    <w:p w14:paraId="3FDCAFD5" w14:textId="0A3DCC6A" w:rsidR="00EB573C" w:rsidRDefault="00EB573C" w:rsidP="001F47D7">
      <w:r>
        <w:t>The</w:t>
      </w:r>
      <w:r>
        <w:rPr>
          <w:spacing w:val="-3"/>
        </w:rPr>
        <w:t xml:space="preserve"> </w:t>
      </w:r>
      <w:r>
        <w:t>toxicology</w:t>
      </w:r>
      <w:r>
        <w:rPr>
          <w:spacing w:val="-4"/>
        </w:rPr>
        <w:t xml:space="preserve"> </w:t>
      </w:r>
      <w:r>
        <w:t>evaluator</w:t>
      </w:r>
      <w:r>
        <w:rPr>
          <w:spacing w:val="-5"/>
        </w:rPr>
        <w:t xml:space="preserve"> </w:t>
      </w:r>
      <w:r>
        <w:t>mentioned</w:t>
      </w:r>
      <w:r>
        <w:rPr>
          <w:spacing w:val="-3"/>
        </w:rPr>
        <w:t xml:space="preserve"> </w:t>
      </w:r>
      <w:r>
        <w:t>hydrazine</w:t>
      </w:r>
      <w:r>
        <w:rPr>
          <w:spacing w:val="-3"/>
        </w:rPr>
        <w:t xml:space="preserve"> </w:t>
      </w:r>
      <w:r>
        <w:t>as</w:t>
      </w:r>
      <w:r>
        <w:rPr>
          <w:spacing w:val="-2"/>
        </w:rPr>
        <w:t xml:space="preserve"> </w:t>
      </w:r>
      <w:r>
        <w:t>a</w:t>
      </w:r>
      <w:r>
        <w:rPr>
          <w:spacing w:val="-5"/>
        </w:rPr>
        <w:t xml:space="preserve"> </w:t>
      </w:r>
      <w:r>
        <w:t>rodent</w:t>
      </w:r>
      <w:r>
        <w:rPr>
          <w:spacing w:val="-3"/>
        </w:rPr>
        <w:t xml:space="preserve"> </w:t>
      </w:r>
      <w:r>
        <w:t>carcinogen</w:t>
      </w:r>
      <w:r w:rsidR="005E2D4A">
        <w:t xml:space="preserve"> and </w:t>
      </w:r>
      <w:r>
        <w:t>recommended the following statements be included in the proposed PI</w:t>
      </w:r>
      <w:r w:rsidR="005C1B3A">
        <w:t>.</w:t>
      </w:r>
    </w:p>
    <w:p w14:paraId="10524D22" w14:textId="7847E3AA" w:rsidR="00EB573C" w:rsidRDefault="00EB573C" w:rsidP="00935CD6">
      <w:pPr>
        <w:ind w:left="720"/>
        <w:rPr>
          <w:i/>
        </w:rPr>
      </w:pPr>
      <w:r>
        <w:rPr>
          <w:i/>
        </w:rPr>
        <w:t>VYALEV contains hydrazine, a degradation product of foscarbidopa. Hydrazine has been found to be</w:t>
      </w:r>
      <w:r>
        <w:rPr>
          <w:i/>
          <w:spacing w:val="-3"/>
        </w:rPr>
        <w:t xml:space="preserve"> </w:t>
      </w:r>
      <w:r>
        <w:rPr>
          <w:i/>
        </w:rPr>
        <w:t>genotoxic</w:t>
      </w:r>
      <w:r>
        <w:rPr>
          <w:i/>
          <w:spacing w:val="-3"/>
        </w:rPr>
        <w:t xml:space="preserve"> </w:t>
      </w:r>
      <w:r>
        <w:rPr>
          <w:i/>
        </w:rPr>
        <w:t>and</w:t>
      </w:r>
      <w:r>
        <w:rPr>
          <w:i/>
          <w:spacing w:val="-3"/>
        </w:rPr>
        <w:t xml:space="preserve"> </w:t>
      </w:r>
      <w:r>
        <w:rPr>
          <w:i/>
        </w:rPr>
        <w:t>a</w:t>
      </w:r>
      <w:r>
        <w:rPr>
          <w:i/>
          <w:spacing w:val="-3"/>
        </w:rPr>
        <w:t xml:space="preserve"> </w:t>
      </w:r>
      <w:r>
        <w:rPr>
          <w:i/>
        </w:rPr>
        <w:t>rodent</w:t>
      </w:r>
      <w:r>
        <w:rPr>
          <w:i/>
          <w:spacing w:val="-4"/>
        </w:rPr>
        <w:t xml:space="preserve"> </w:t>
      </w:r>
      <w:r>
        <w:rPr>
          <w:i/>
        </w:rPr>
        <w:t>carcinogen.</w:t>
      </w:r>
      <w:r>
        <w:rPr>
          <w:i/>
          <w:spacing w:val="-3"/>
        </w:rPr>
        <w:t xml:space="preserve"> </w:t>
      </w:r>
      <w:r>
        <w:rPr>
          <w:i/>
        </w:rPr>
        <w:t>It</w:t>
      </w:r>
      <w:r>
        <w:rPr>
          <w:i/>
          <w:spacing w:val="-2"/>
        </w:rPr>
        <w:t xml:space="preserve"> </w:t>
      </w:r>
      <w:r>
        <w:rPr>
          <w:i/>
        </w:rPr>
        <w:t>is</w:t>
      </w:r>
      <w:r>
        <w:rPr>
          <w:i/>
          <w:spacing w:val="-3"/>
        </w:rPr>
        <w:t xml:space="preserve"> </w:t>
      </w:r>
      <w:r>
        <w:rPr>
          <w:i/>
        </w:rPr>
        <w:t>considered</w:t>
      </w:r>
      <w:r>
        <w:rPr>
          <w:i/>
          <w:spacing w:val="-3"/>
        </w:rPr>
        <w:t xml:space="preserve"> </w:t>
      </w:r>
      <w:r>
        <w:rPr>
          <w:i/>
        </w:rPr>
        <w:t>by</w:t>
      </w:r>
      <w:r>
        <w:rPr>
          <w:i/>
          <w:spacing w:val="-4"/>
        </w:rPr>
        <w:t xml:space="preserve"> </w:t>
      </w:r>
      <w:r>
        <w:rPr>
          <w:i/>
        </w:rPr>
        <w:t>IARC</w:t>
      </w:r>
      <w:r>
        <w:rPr>
          <w:i/>
          <w:spacing w:val="-2"/>
        </w:rPr>
        <w:t xml:space="preserve"> </w:t>
      </w:r>
      <w:r>
        <w:rPr>
          <w:i/>
        </w:rPr>
        <w:t>(International</w:t>
      </w:r>
      <w:r>
        <w:rPr>
          <w:i/>
          <w:spacing w:val="-2"/>
        </w:rPr>
        <w:t xml:space="preserve"> </w:t>
      </w:r>
      <w:r>
        <w:rPr>
          <w:i/>
        </w:rPr>
        <w:t>Agency</w:t>
      </w:r>
      <w:r>
        <w:rPr>
          <w:i/>
          <w:spacing w:val="-3"/>
        </w:rPr>
        <w:t xml:space="preserve"> </w:t>
      </w:r>
      <w:r>
        <w:rPr>
          <w:i/>
        </w:rPr>
        <w:t>for</w:t>
      </w:r>
      <w:r>
        <w:rPr>
          <w:i/>
          <w:spacing w:val="-2"/>
        </w:rPr>
        <w:t xml:space="preserve"> </w:t>
      </w:r>
      <w:r>
        <w:rPr>
          <w:i/>
        </w:rPr>
        <w:t xml:space="preserve">Research on Cancer) to be a possible human carcinogen and by the US EPA (Environmental Protection Agency) to be a probable human carcinogen. The maximum recommended dose of foscarbidopa </w:t>
      </w:r>
      <w:r w:rsidR="00704437">
        <w:rPr>
          <w:i/>
        </w:rPr>
        <w:t>could</w:t>
      </w:r>
      <w:r>
        <w:rPr>
          <w:i/>
        </w:rPr>
        <w:t xml:space="preserve"> result in a hydrazine dose of approximately 0.5 mg/day which is higher than the recommended dose. The clinical significance of this hydrazine exposure is not known.</w:t>
      </w:r>
    </w:p>
    <w:p w14:paraId="32FCFD25" w14:textId="19FE66EB" w:rsidR="00A9756F" w:rsidRDefault="001E36B8" w:rsidP="00A9756F">
      <w:pPr>
        <w:rPr>
          <w:spacing w:val="-4"/>
        </w:rPr>
      </w:pPr>
      <w:r>
        <w:t xml:space="preserve">The Delegate noted that </w:t>
      </w:r>
      <w:r w:rsidR="00801840">
        <w:t>t</w:t>
      </w:r>
      <w:r w:rsidR="00060B41">
        <w:t>he</w:t>
      </w:r>
      <w:r w:rsidR="00EB573C" w:rsidRPr="003E2AA2">
        <w:t xml:space="preserve"> level of hydrazine in Vyalev </w:t>
      </w:r>
      <w:r w:rsidR="005C1B3A">
        <w:t>was</w:t>
      </w:r>
      <w:r w:rsidR="00EB573C" w:rsidRPr="003E2AA2">
        <w:t xml:space="preserve"> lower than in </w:t>
      </w:r>
      <w:r w:rsidR="00A175F6" w:rsidRPr="003E2AA2">
        <w:t>Duodopa</w:t>
      </w:r>
      <w:r>
        <w:t>. However</w:t>
      </w:r>
      <w:r w:rsidR="00801840">
        <w:t xml:space="preserve">, </w:t>
      </w:r>
      <w:r w:rsidR="008D0783">
        <w:t xml:space="preserve">the </w:t>
      </w:r>
      <w:r w:rsidR="001C6F54">
        <w:t xml:space="preserve">Delegate </w:t>
      </w:r>
      <w:r w:rsidR="002B3113">
        <w:t>also</w:t>
      </w:r>
      <w:r w:rsidR="008D0783">
        <w:t xml:space="preserve"> noted </w:t>
      </w:r>
      <w:r w:rsidR="002B3113">
        <w:t xml:space="preserve">concerns </w:t>
      </w:r>
      <w:r w:rsidR="00E344B1">
        <w:t xml:space="preserve">from a clinical </w:t>
      </w:r>
      <w:r w:rsidR="006F70EA">
        <w:t>perspective,</w:t>
      </w:r>
      <w:r w:rsidR="00EB573C" w:rsidRPr="003E2AA2">
        <w:rPr>
          <w:spacing w:val="-4"/>
        </w:rPr>
        <w:t xml:space="preserve"> </w:t>
      </w:r>
      <w:r w:rsidR="00BF41D7">
        <w:rPr>
          <w:spacing w:val="-4"/>
        </w:rPr>
        <w:t xml:space="preserve">with </w:t>
      </w:r>
      <w:r w:rsidR="009B1AA8">
        <w:rPr>
          <w:spacing w:val="-4"/>
        </w:rPr>
        <w:t>the following uncertainties</w:t>
      </w:r>
      <w:r w:rsidR="00DB5DF1">
        <w:rPr>
          <w:spacing w:val="-4"/>
        </w:rPr>
        <w:t>:</w:t>
      </w:r>
      <w:r w:rsidR="009B1AA8">
        <w:rPr>
          <w:spacing w:val="-4"/>
        </w:rPr>
        <w:t xml:space="preserve"> </w:t>
      </w:r>
    </w:p>
    <w:p w14:paraId="3A489A63" w14:textId="113D83F9" w:rsidR="00E664C6" w:rsidRDefault="00EB573C" w:rsidP="00A9756F">
      <w:pPr>
        <w:pStyle w:val="ListBullet"/>
      </w:pPr>
      <w:r w:rsidRPr="003E2AA2">
        <w:t>rate</w:t>
      </w:r>
      <w:r w:rsidRPr="003E2AA2">
        <w:rPr>
          <w:spacing w:val="-3"/>
        </w:rPr>
        <w:t xml:space="preserve"> </w:t>
      </w:r>
      <w:r w:rsidRPr="003E2AA2">
        <w:t xml:space="preserve">and magnitude of absorption of hydrazine from subcutaneous route of administration for Vyalev, compared to enteral route for </w:t>
      </w:r>
      <w:r w:rsidR="00A175F6" w:rsidRPr="003E2AA2">
        <w:t>Duodopa</w:t>
      </w:r>
    </w:p>
    <w:p w14:paraId="1F31EEC0" w14:textId="79132254" w:rsidR="00E664C6" w:rsidRDefault="00EB573C" w:rsidP="00313CB2">
      <w:pPr>
        <w:pStyle w:val="ListBullet"/>
      </w:pPr>
      <w:r w:rsidRPr="003E2AA2">
        <w:t>cumulative exposure from 24</w:t>
      </w:r>
      <w:r w:rsidR="009B15E9">
        <w:t>-</w:t>
      </w:r>
      <w:r w:rsidRPr="003E2AA2">
        <w:t>hour continuous infusion of Vyalev, compared to 16</w:t>
      </w:r>
      <w:r w:rsidR="00AE26A2">
        <w:t>-</w:t>
      </w:r>
      <w:r w:rsidRPr="003E2AA2">
        <w:t xml:space="preserve">hour infusion of </w:t>
      </w:r>
      <w:r w:rsidR="00A175F6" w:rsidRPr="003E2AA2">
        <w:t>Duodopa</w:t>
      </w:r>
      <w:r w:rsidRPr="003E2AA2">
        <w:t>, followed by</w:t>
      </w:r>
      <w:r w:rsidRPr="003E2AA2">
        <w:rPr>
          <w:spacing w:val="-1"/>
        </w:rPr>
        <w:t xml:space="preserve"> </w:t>
      </w:r>
      <w:r w:rsidRPr="003E2AA2">
        <w:t>a</w:t>
      </w:r>
      <w:r w:rsidR="00DB5DF1">
        <w:t>n</w:t>
      </w:r>
      <w:r w:rsidRPr="003E2AA2">
        <w:t xml:space="preserve"> 8</w:t>
      </w:r>
      <w:r w:rsidR="00DB5DF1">
        <w:t>-</w:t>
      </w:r>
      <w:r w:rsidRPr="003E2AA2">
        <w:t>hour break, in</w:t>
      </w:r>
      <w:r w:rsidRPr="003E2AA2">
        <w:rPr>
          <w:spacing w:val="-1"/>
        </w:rPr>
        <w:t xml:space="preserve"> </w:t>
      </w:r>
      <w:r w:rsidRPr="003E2AA2">
        <w:t>patients with advanced PD.</w:t>
      </w:r>
    </w:p>
    <w:p w14:paraId="4065C128" w14:textId="44D2D9BE" w:rsidR="00EB573C" w:rsidRPr="005E2D4A" w:rsidRDefault="00EB573C" w:rsidP="0071550A">
      <w:r w:rsidRPr="003E2AA2">
        <w:t>The Delegate</w:t>
      </w:r>
      <w:r w:rsidRPr="003E2AA2">
        <w:rPr>
          <w:spacing w:val="-2"/>
        </w:rPr>
        <w:t xml:space="preserve"> </w:t>
      </w:r>
      <w:r w:rsidR="00DB5DF1">
        <w:rPr>
          <w:spacing w:val="-2"/>
        </w:rPr>
        <w:t xml:space="preserve">sought </w:t>
      </w:r>
      <w:r w:rsidRPr="003E2AA2">
        <w:t>ACM’s advice on th</w:t>
      </w:r>
      <w:r w:rsidR="006108D2">
        <w:t xml:space="preserve">e above </w:t>
      </w:r>
      <w:r w:rsidR="00DB5DF1">
        <w:t>uncertainties</w:t>
      </w:r>
      <w:r w:rsidRPr="003E2AA2">
        <w:t>.</w:t>
      </w:r>
    </w:p>
    <w:p w14:paraId="2350EB9C" w14:textId="0FDCA78B" w:rsidR="006C2A97" w:rsidRDefault="00B02F08" w:rsidP="0071550A">
      <w:r>
        <w:t xml:space="preserve">The Delegate </w:t>
      </w:r>
      <w:r w:rsidR="00DB5DF1">
        <w:t>noted u</w:t>
      </w:r>
      <w:r w:rsidR="00EB573C">
        <w:t>ranium,</w:t>
      </w:r>
      <w:r w:rsidR="00EB573C">
        <w:rPr>
          <w:spacing w:val="-2"/>
        </w:rPr>
        <w:t xml:space="preserve"> </w:t>
      </w:r>
      <w:r w:rsidR="00EB573C">
        <w:t>as</w:t>
      </w:r>
      <w:r w:rsidR="00EB573C">
        <w:rPr>
          <w:spacing w:val="-1"/>
        </w:rPr>
        <w:t xml:space="preserve"> </w:t>
      </w:r>
      <w:r w:rsidR="00EB573C">
        <w:t>an</w:t>
      </w:r>
      <w:r w:rsidR="00EB573C">
        <w:rPr>
          <w:spacing w:val="-3"/>
        </w:rPr>
        <w:t xml:space="preserve"> </w:t>
      </w:r>
      <w:r w:rsidR="00EB573C">
        <w:t>impurity,</w:t>
      </w:r>
      <w:r w:rsidR="00EB573C">
        <w:rPr>
          <w:spacing w:val="-4"/>
        </w:rPr>
        <w:t xml:space="preserve"> </w:t>
      </w:r>
      <w:r w:rsidR="00EB573C">
        <w:t>is</w:t>
      </w:r>
      <w:r w:rsidR="00EB573C">
        <w:rPr>
          <w:spacing w:val="-1"/>
        </w:rPr>
        <w:t xml:space="preserve"> </w:t>
      </w:r>
      <w:r w:rsidR="00EB573C">
        <w:t>a</w:t>
      </w:r>
      <w:r w:rsidR="00EB573C">
        <w:rPr>
          <w:spacing w:val="-2"/>
        </w:rPr>
        <w:t xml:space="preserve"> </w:t>
      </w:r>
      <w:r w:rsidR="00EB573C">
        <w:t>critical</w:t>
      </w:r>
      <w:r w:rsidR="00EB573C">
        <w:rPr>
          <w:spacing w:val="-4"/>
        </w:rPr>
        <w:t xml:space="preserve"> </w:t>
      </w:r>
      <w:r w:rsidR="00EB573C">
        <w:t>safety</w:t>
      </w:r>
      <w:r w:rsidR="00EB573C">
        <w:rPr>
          <w:spacing w:val="-3"/>
        </w:rPr>
        <w:t xml:space="preserve"> </w:t>
      </w:r>
      <w:r w:rsidR="00EB573C">
        <w:t>issue</w:t>
      </w:r>
      <w:r w:rsidR="00EB573C">
        <w:rPr>
          <w:spacing w:val="-2"/>
        </w:rPr>
        <w:t xml:space="preserve"> </w:t>
      </w:r>
      <w:r w:rsidR="00EB573C">
        <w:t>of</w:t>
      </w:r>
      <w:r w:rsidR="00EB573C">
        <w:rPr>
          <w:spacing w:val="-4"/>
        </w:rPr>
        <w:t xml:space="preserve"> </w:t>
      </w:r>
      <w:r w:rsidR="00EB573C">
        <w:t>concern.</w:t>
      </w:r>
      <w:r w:rsidR="00EB573C">
        <w:rPr>
          <w:spacing w:val="-2"/>
        </w:rPr>
        <w:t xml:space="preserve"> </w:t>
      </w:r>
      <w:r w:rsidR="00EB573C">
        <w:t>The</w:t>
      </w:r>
      <w:r w:rsidR="00EB573C">
        <w:rPr>
          <w:spacing w:val="-2"/>
        </w:rPr>
        <w:t xml:space="preserve"> </w:t>
      </w:r>
      <w:r w:rsidR="00E624BE">
        <w:t>quality</w:t>
      </w:r>
      <w:r w:rsidR="00EB573C">
        <w:rPr>
          <w:spacing w:val="-2"/>
        </w:rPr>
        <w:t xml:space="preserve"> </w:t>
      </w:r>
      <w:r w:rsidR="00EB573C">
        <w:t>evaluator</w:t>
      </w:r>
      <w:r w:rsidR="00EB573C">
        <w:rPr>
          <w:spacing w:val="-4"/>
        </w:rPr>
        <w:t xml:space="preserve"> </w:t>
      </w:r>
      <w:r w:rsidR="00EB573C">
        <w:t>stated that</w:t>
      </w:r>
      <w:r w:rsidR="006C2A97">
        <w:t>:</w:t>
      </w:r>
    </w:p>
    <w:p w14:paraId="2647043D" w14:textId="62213E83" w:rsidR="00E77D4C" w:rsidRDefault="00A175F6" w:rsidP="00E77D4C">
      <w:pPr>
        <w:ind w:left="720"/>
        <w:rPr>
          <w:i/>
          <w:u w:val="single"/>
        </w:rPr>
      </w:pPr>
      <w:r>
        <w:rPr>
          <w:i/>
        </w:rPr>
        <w:t>foslevodopa</w:t>
      </w:r>
      <w:r w:rsidR="00EB573C">
        <w:rPr>
          <w:i/>
        </w:rPr>
        <w:t xml:space="preserve"> and foscarbidopa are made from </w:t>
      </w:r>
      <w:r w:rsidR="0025741F">
        <w:rPr>
          <w:i/>
        </w:rPr>
        <w:t>l</w:t>
      </w:r>
      <w:r>
        <w:rPr>
          <w:i/>
        </w:rPr>
        <w:t>evodopa</w:t>
      </w:r>
      <w:r w:rsidR="00EB573C">
        <w:rPr>
          <w:i/>
        </w:rPr>
        <w:t xml:space="preserve"> and carbidopa using a</w:t>
      </w:r>
      <w:r w:rsidR="001F47D7">
        <w:rPr>
          <w:i/>
        </w:rPr>
        <w:t xml:space="preserve"> </w:t>
      </w:r>
      <w:r w:rsidR="00EB573C">
        <w:rPr>
          <w:i/>
        </w:rPr>
        <w:t>phosphorylating reagent itself made from phosphate salts.</w:t>
      </w:r>
      <w:r w:rsidR="00EB573C">
        <w:rPr>
          <w:i/>
          <w:spacing w:val="40"/>
        </w:rPr>
        <w:t xml:space="preserve"> </w:t>
      </w:r>
      <w:r w:rsidR="00EB573C">
        <w:rPr>
          <w:i/>
        </w:rPr>
        <w:t xml:space="preserve">Those salts can contain uranium as an </w:t>
      </w:r>
      <w:proofErr w:type="gramStart"/>
      <w:r w:rsidR="00EB573C">
        <w:rPr>
          <w:i/>
        </w:rPr>
        <w:t>impurity</w:t>
      </w:r>
      <w:proofErr w:type="gramEnd"/>
      <w:r w:rsidR="00EB573C">
        <w:rPr>
          <w:i/>
        </w:rPr>
        <w:t xml:space="preserve"> and they are used in the last synthetic step in preparation of the drug substances. Thus, uranium is a risk associated with </w:t>
      </w:r>
      <w:r>
        <w:rPr>
          <w:i/>
        </w:rPr>
        <w:t>foslevodopa</w:t>
      </w:r>
      <w:r w:rsidR="00EB573C">
        <w:rPr>
          <w:i/>
        </w:rPr>
        <w:t xml:space="preserve"> and foscarbidopa and not </w:t>
      </w:r>
      <w:r>
        <w:rPr>
          <w:i/>
        </w:rPr>
        <w:t>Duodopa</w:t>
      </w:r>
      <w:r w:rsidR="00EB573C">
        <w:rPr>
          <w:i/>
        </w:rPr>
        <w:t xml:space="preserve"> (or most other drugs</w:t>
      </w:r>
      <w:r w:rsidR="00EB573C" w:rsidRPr="00CD5DA6">
        <w:rPr>
          <w:i/>
        </w:rPr>
        <w:t>).</w:t>
      </w:r>
    </w:p>
    <w:p w14:paraId="73924A52" w14:textId="77777777" w:rsidR="009855A9" w:rsidRPr="009855A9" w:rsidRDefault="00EB573C" w:rsidP="00E77D4C">
      <w:pPr>
        <w:rPr>
          <w:iCs/>
        </w:rPr>
      </w:pPr>
      <w:r w:rsidRPr="00CD5DA6">
        <w:t>The toxicology evaluator recommended a uranium PDE (Permitted Daily Exposure) of 0.12 μg/day.</w:t>
      </w:r>
      <w:r>
        <w:rPr>
          <w:spacing w:val="-1"/>
        </w:rPr>
        <w:t xml:space="preserve"> </w:t>
      </w:r>
      <w:r>
        <w:t>The</w:t>
      </w:r>
      <w:r>
        <w:rPr>
          <w:spacing w:val="-1"/>
        </w:rPr>
        <w:t xml:space="preserve"> </w:t>
      </w:r>
      <w:r>
        <w:t>Delegate noted the</w:t>
      </w:r>
      <w:r>
        <w:rPr>
          <w:spacing w:val="-1"/>
        </w:rPr>
        <w:t xml:space="preserve"> </w:t>
      </w:r>
      <w:r>
        <w:t xml:space="preserve">Sponsor’s commitment to adopt </w:t>
      </w:r>
      <w:r>
        <w:rPr>
          <w:i/>
        </w:rPr>
        <w:t xml:space="preserve">control strategies </w:t>
      </w:r>
      <w:r>
        <w:t>to limit</w:t>
      </w:r>
      <w:r>
        <w:rPr>
          <w:spacing w:val="-2"/>
        </w:rPr>
        <w:t xml:space="preserve"> </w:t>
      </w:r>
      <w:r>
        <w:t>the</w:t>
      </w:r>
      <w:r>
        <w:rPr>
          <w:spacing w:val="-4"/>
        </w:rPr>
        <w:t xml:space="preserve"> </w:t>
      </w:r>
      <w:r>
        <w:t>uranium</w:t>
      </w:r>
      <w:r>
        <w:rPr>
          <w:spacing w:val="-3"/>
        </w:rPr>
        <w:t xml:space="preserve"> </w:t>
      </w:r>
      <w:r>
        <w:t>content</w:t>
      </w:r>
      <w:r>
        <w:rPr>
          <w:spacing w:val="-5"/>
        </w:rPr>
        <w:t xml:space="preserve"> </w:t>
      </w:r>
      <w:r>
        <w:t>&lt;</w:t>
      </w:r>
      <w:r>
        <w:rPr>
          <w:u w:val="single"/>
        </w:rPr>
        <w:t>0</w:t>
      </w:r>
      <w:r w:rsidRPr="009F0947">
        <w:t>.12</w:t>
      </w:r>
      <w:r w:rsidRPr="009F0947">
        <w:rPr>
          <w:spacing w:val="-2"/>
        </w:rPr>
        <w:t xml:space="preserve"> </w:t>
      </w:r>
      <w:r w:rsidRPr="009F0947">
        <w:t>μg/day.</w:t>
      </w:r>
      <w:r w:rsidRPr="009F0947">
        <w:rPr>
          <w:spacing w:val="-2"/>
        </w:rPr>
        <w:t xml:space="preserve"> </w:t>
      </w:r>
      <w:r w:rsidRPr="009F0947">
        <w:t>The</w:t>
      </w:r>
      <w:r w:rsidRPr="009F0947">
        <w:rPr>
          <w:spacing w:val="-2"/>
        </w:rPr>
        <w:t xml:space="preserve"> </w:t>
      </w:r>
      <w:r w:rsidRPr="009F0947">
        <w:t>Delegate</w:t>
      </w:r>
      <w:r w:rsidRPr="009F0947">
        <w:rPr>
          <w:spacing w:val="-2"/>
        </w:rPr>
        <w:t xml:space="preserve"> </w:t>
      </w:r>
      <w:r w:rsidRPr="009F0947">
        <w:t>has</w:t>
      </w:r>
      <w:r w:rsidRPr="009F0947">
        <w:rPr>
          <w:spacing w:val="-1"/>
        </w:rPr>
        <w:t xml:space="preserve"> </w:t>
      </w:r>
      <w:r w:rsidRPr="009F0947">
        <w:t>also</w:t>
      </w:r>
      <w:r w:rsidRPr="009F0947">
        <w:rPr>
          <w:spacing w:val="-2"/>
        </w:rPr>
        <w:t xml:space="preserve"> </w:t>
      </w:r>
      <w:r w:rsidRPr="009F0947">
        <w:t>noted</w:t>
      </w:r>
      <w:r w:rsidRPr="009F0947">
        <w:rPr>
          <w:spacing w:val="-2"/>
        </w:rPr>
        <w:t xml:space="preserve"> </w:t>
      </w:r>
      <w:r w:rsidRPr="009F0947">
        <w:t>the</w:t>
      </w:r>
      <w:r w:rsidRPr="009F0947">
        <w:rPr>
          <w:spacing w:val="-4"/>
        </w:rPr>
        <w:t xml:space="preserve"> </w:t>
      </w:r>
      <w:r w:rsidRPr="009F0947">
        <w:t>Sponsor’s</w:t>
      </w:r>
      <w:r w:rsidRPr="009F0947">
        <w:rPr>
          <w:spacing w:val="-3"/>
        </w:rPr>
        <w:t xml:space="preserve"> </w:t>
      </w:r>
      <w:r w:rsidRPr="009F0947">
        <w:t>commitment to develop an analytical method by Q1 2023 that will be capable to demonstrate whether the uranium level is &lt;0.12 μg/day (PDE</w:t>
      </w:r>
      <w:r>
        <w:t>) and the toxicology evaluator’s comment</w:t>
      </w:r>
      <w:r>
        <w:rPr>
          <w:spacing w:val="-3"/>
        </w:rPr>
        <w:t xml:space="preserve"> </w:t>
      </w:r>
      <w:r>
        <w:t xml:space="preserve">in this regard that the level of uranium until demonstrated by a validated method can only be </w:t>
      </w:r>
      <w:r w:rsidRPr="009855A9">
        <w:rPr>
          <w:iCs/>
        </w:rPr>
        <w:t xml:space="preserve">referred to as an interim limit based on practicality. </w:t>
      </w:r>
    </w:p>
    <w:p w14:paraId="231059CF" w14:textId="06E83ED9" w:rsidR="00EB573C" w:rsidRPr="006845DE" w:rsidRDefault="00EB573C" w:rsidP="0071550A">
      <w:r w:rsidRPr="009855A9">
        <w:t xml:space="preserve">The toxicology evaluator also commented that </w:t>
      </w:r>
      <w:r w:rsidRPr="009855A9">
        <w:rPr>
          <w:i/>
        </w:rPr>
        <w:t xml:space="preserve">the issue </w:t>
      </w:r>
      <w:r w:rsidR="00CC3FB3" w:rsidRPr="009855A9">
        <w:rPr>
          <w:i/>
        </w:rPr>
        <w:t>should</w:t>
      </w:r>
      <w:r w:rsidRPr="009855A9">
        <w:rPr>
          <w:i/>
        </w:rPr>
        <w:t xml:space="preserve"> be rectified as soon as possible to further minimise the risk. </w:t>
      </w:r>
      <w:r>
        <w:t xml:space="preserve">The Delegate </w:t>
      </w:r>
      <w:r w:rsidR="004B4A7C">
        <w:t>noted</w:t>
      </w:r>
      <w:r>
        <w:t xml:space="preserve"> that</w:t>
      </w:r>
      <w:r w:rsidR="003F46D6">
        <w:t xml:space="preserve"> </w:t>
      </w:r>
      <w:r w:rsidRPr="004552B8">
        <w:t>the uncertainty regarding the actual level of uranium and the associated risks remains until</w:t>
      </w:r>
      <w:r w:rsidRPr="004552B8">
        <w:rPr>
          <w:spacing w:val="-1"/>
        </w:rPr>
        <w:t xml:space="preserve"> </w:t>
      </w:r>
      <w:r w:rsidRPr="004552B8">
        <w:t>it is demonstrated by a suitable analytical method.</w:t>
      </w:r>
      <w:r>
        <w:t xml:space="preserve"> </w:t>
      </w:r>
      <w:r w:rsidR="006845DE">
        <w:t xml:space="preserve">The Delegate further noted that </w:t>
      </w:r>
      <w:r w:rsidRPr="006845DE">
        <w:t xml:space="preserve">the critical issue </w:t>
      </w:r>
      <w:r w:rsidR="00CC3FB3" w:rsidRPr="006845DE">
        <w:t>would</w:t>
      </w:r>
      <w:r w:rsidRPr="006845DE">
        <w:t xml:space="preserve"> be the uncertainty regarding the absolute risk and the cumulative risk from the potential exposure of up to 1.1 μg/day, which is around 10 times greater than the toxicology evaluator’s recommended PDE for uranium.</w:t>
      </w:r>
    </w:p>
    <w:p w14:paraId="3875B7C9" w14:textId="77777777" w:rsidR="00243B25" w:rsidRDefault="00F07E81" w:rsidP="001F47D7">
      <w:r>
        <w:t xml:space="preserve">The Delegate </w:t>
      </w:r>
      <w:r w:rsidR="005115BB">
        <w:t>highlighted that t</w:t>
      </w:r>
      <w:r w:rsidR="00EB573C" w:rsidRPr="00BC199E">
        <w:t xml:space="preserve">he risks associated with the uranium content in Vyalev need to be evaluated in the context of the use of </w:t>
      </w:r>
      <w:r w:rsidR="00A175F6" w:rsidRPr="00BC199E">
        <w:t>foslevodopa</w:t>
      </w:r>
      <w:r w:rsidR="00EB573C" w:rsidRPr="00BC199E">
        <w:t>/foscarbidopa in</w:t>
      </w:r>
      <w:r w:rsidR="00EB573C" w:rsidRPr="00BC199E">
        <w:rPr>
          <w:spacing w:val="-1"/>
        </w:rPr>
        <w:t xml:space="preserve"> </w:t>
      </w:r>
      <w:r w:rsidR="00EB573C" w:rsidRPr="00BC199E">
        <w:t xml:space="preserve">patients with advanced PD, if approved. </w:t>
      </w:r>
      <w:r w:rsidR="00EB573C">
        <w:t>The risks due to systemic exposure are potentiated by the radioactive nature of the uranium as an element, the long half-life</w:t>
      </w:r>
      <w:r w:rsidR="006845DE">
        <w:t xml:space="preserve">. </w:t>
      </w:r>
    </w:p>
    <w:p w14:paraId="4A06B297" w14:textId="07BE0A34" w:rsidR="00243B25" w:rsidRDefault="00316B69" w:rsidP="001F47D7">
      <w:r>
        <w:t>According to the Agency for Toxic Substances and Disease Registry (</w:t>
      </w:r>
      <w:r w:rsidR="00EB573C" w:rsidRPr="0075501A">
        <w:rPr>
          <w:iCs/>
        </w:rPr>
        <w:t>ATSDR</w:t>
      </w:r>
      <w:r>
        <w:rPr>
          <w:i/>
        </w:rPr>
        <w:t>)</w:t>
      </w:r>
      <w:r w:rsidR="0075501A">
        <w:rPr>
          <w:i/>
        </w:rPr>
        <w:t xml:space="preserve"> the</w:t>
      </w:r>
      <w:r w:rsidR="00EB573C">
        <w:rPr>
          <w:i/>
        </w:rPr>
        <w:t xml:space="preserve"> least radioactive isotope is 238U with a half-life of 4.5 billion years </w:t>
      </w:r>
      <w:r w:rsidR="00EB573C" w:rsidRPr="00516EED">
        <w:rPr>
          <w:i/>
          <w:iCs/>
        </w:rPr>
        <w:t xml:space="preserve">and the potential systemic effects from this agent that </w:t>
      </w:r>
      <w:r w:rsidR="00704437" w:rsidRPr="00516EED">
        <w:rPr>
          <w:i/>
          <w:iCs/>
        </w:rPr>
        <w:t>could</w:t>
      </w:r>
      <w:r w:rsidR="00EB573C" w:rsidRPr="00516EED">
        <w:rPr>
          <w:i/>
          <w:iCs/>
        </w:rPr>
        <w:t xml:space="preserve"> remain in the body for a prolonged </w:t>
      </w:r>
      <w:proofErr w:type="gramStart"/>
      <w:r w:rsidR="00EB573C" w:rsidRPr="00516EED">
        <w:rPr>
          <w:i/>
          <w:iCs/>
        </w:rPr>
        <w:t>period of time</w:t>
      </w:r>
      <w:proofErr w:type="gramEnd"/>
      <w:r w:rsidR="00EB573C">
        <w:t>.</w:t>
      </w:r>
      <w:r w:rsidR="008A6F8E">
        <w:rPr>
          <w:rStyle w:val="FootnoteReference"/>
        </w:rPr>
        <w:footnoteReference w:id="6"/>
      </w:r>
      <w:r w:rsidR="00EB573C">
        <w:t xml:space="preserve"> ATSDR states: </w:t>
      </w:r>
      <w:r w:rsidR="00EB573C">
        <w:rPr>
          <w:i/>
        </w:rPr>
        <w:t>Uranium that is absorbed is deposited throughout the body; the highest levels are found in the bones, liver, and kidneys. Sixty-six percent of the uranium in the body is found in your bones. It can remain in the bones for a long time; the half-life of uranium in bones is 70–200 days (this is the amount</w:t>
      </w:r>
      <w:r w:rsidR="00EB573C">
        <w:rPr>
          <w:i/>
          <w:spacing w:val="-1"/>
        </w:rPr>
        <w:t xml:space="preserve"> </w:t>
      </w:r>
      <w:r w:rsidR="00EB573C">
        <w:rPr>
          <w:i/>
        </w:rPr>
        <w:t xml:space="preserve">of time that it takes for half of the uranium to leave the bones). Most of the uranium that is not in bones leaves the body in 1–2 weeks </w:t>
      </w:r>
      <w:r w:rsidR="00EB573C">
        <w:t>[4]).</w:t>
      </w:r>
    </w:p>
    <w:p w14:paraId="3C5753D0" w14:textId="5FE27DEF" w:rsidR="00EA78DC" w:rsidRDefault="00EB573C" w:rsidP="0071550A">
      <w:r>
        <w:t>From</w:t>
      </w:r>
      <w:r w:rsidR="00243B25">
        <w:t xml:space="preserve"> </w:t>
      </w:r>
      <w:r>
        <w:t xml:space="preserve">a clinical perspective, with the background of a serious neurological condition and possibly &gt;1 co-morbidities, it is highly likely to be difficult to identify the onset of any possible adverse effects from the greater (continuous) exposure to uranium from the continuous infusion of </w:t>
      </w:r>
      <w:r w:rsidR="00A175F6">
        <w:t>foslevodopa</w:t>
      </w:r>
      <w:r>
        <w:t>/foscarbidopa.</w:t>
      </w:r>
      <w:r>
        <w:rPr>
          <w:spacing w:val="-3"/>
        </w:rPr>
        <w:t xml:space="preserve"> </w:t>
      </w:r>
      <w:r>
        <w:t>In</w:t>
      </w:r>
      <w:r>
        <w:rPr>
          <w:spacing w:val="-4"/>
        </w:rPr>
        <w:t xml:space="preserve"> </w:t>
      </w:r>
      <w:r>
        <w:t>view</w:t>
      </w:r>
      <w:r>
        <w:rPr>
          <w:spacing w:val="-4"/>
        </w:rPr>
        <w:t xml:space="preserve"> </w:t>
      </w:r>
      <w:r>
        <w:t>of</w:t>
      </w:r>
      <w:r>
        <w:rPr>
          <w:spacing w:val="-3"/>
        </w:rPr>
        <w:t xml:space="preserve"> </w:t>
      </w:r>
      <w:r>
        <w:t>the</w:t>
      </w:r>
      <w:r>
        <w:rPr>
          <w:spacing w:val="-3"/>
        </w:rPr>
        <w:t xml:space="preserve"> </w:t>
      </w:r>
      <w:r>
        <w:t>uranium</w:t>
      </w:r>
      <w:r>
        <w:rPr>
          <w:spacing w:val="-2"/>
        </w:rPr>
        <w:t xml:space="preserve"> </w:t>
      </w:r>
      <w:r>
        <w:t>content</w:t>
      </w:r>
      <w:r>
        <w:rPr>
          <w:spacing w:val="-3"/>
        </w:rPr>
        <w:t xml:space="preserve"> </w:t>
      </w:r>
      <w:r>
        <w:t>in</w:t>
      </w:r>
      <w:r>
        <w:rPr>
          <w:spacing w:val="-6"/>
        </w:rPr>
        <w:t xml:space="preserve"> </w:t>
      </w:r>
      <w:r>
        <w:t>Vyalev,</w:t>
      </w:r>
      <w:r>
        <w:rPr>
          <w:spacing w:val="-3"/>
        </w:rPr>
        <w:t xml:space="preserve"> </w:t>
      </w:r>
      <w:r>
        <w:t>the</w:t>
      </w:r>
      <w:r>
        <w:rPr>
          <w:spacing w:val="-5"/>
        </w:rPr>
        <w:t xml:space="preserve"> </w:t>
      </w:r>
      <w:r>
        <w:t>Delegate</w:t>
      </w:r>
      <w:r>
        <w:rPr>
          <w:spacing w:val="-5"/>
        </w:rPr>
        <w:t xml:space="preserve"> </w:t>
      </w:r>
      <w:r>
        <w:t>consider</w:t>
      </w:r>
      <w:r w:rsidR="00AB2CF0">
        <w:t>ed</w:t>
      </w:r>
      <w:r w:rsidR="00264369">
        <w:t xml:space="preserve"> </w:t>
      </w:r>
      <w:r>
        <w:t>that there is uncertainty about the exposure implications to carers and to the environment from the disposal of the waste (single use vials, infusion set, syringe and vial adapter). In addition, there</w:t>
      </w:r>
      <w:r>
        <w:rPr>
          <w:spacing w:val="40"/>
        </w:rPr>
        <w:t xml:space="preserve"> </w:t>
      </w:r>
      <w:r>
        <w:t xml:space="preserve">is also uncertainty about the effects from the uranium </w:t>
      </w:r>
      <w:r w:rsidR="00AB2CF0">
        <w:t>that</w:t>
      </w:r>
      <w:r>
        <w:t xml:space="preserve"> will be excreted by the patients.</w:t>
      </w:r>
    </w:p>
    <w:p w14:paraId="455212B2" w14:textId="1F26A299" w:rsidR="00EB573C" w:rsidRDefault="00EB573C" w:rsidP="001F47D7">
      <w:r>
        <w:t>In consideration</w:t>
      </w:r>
      <w:r>
        <w:rPr>
          <w:spacing w:val="-3"/>
        </w:rPr>
        <w:t xml:space="preserve"> </w:t>
      </w:r>
      <w:r>
        <w:t>of</w:t>
      </w:r>
      <w:r>
        <w:rPr>
          <w:spacing w:val="-2"/>
        </w:rPr>
        <w:t xml:space="preserve"> </w:t>
      </w:r>
      <w:r>
        <w:t>the</w:t>
      </w:r>
      <w:r>
        <w:rPr>
          <w:spacing w:val="-2"/>
        </w:rPr>
        <w:t xml:space="preserve"> </w:t>
      </w:r>
      <w:r>
        <w:t>above</w:t>
      </w:r>
      <w:r>
        <w:rPr>
          <w:spacing w:val="-2"/>
        </w:rPr>
        <w:t xml:space="preserve"> </w:t>
      </w:r>
      <w:r>
        <w:t>facts</w:t>
      </w:r>
      <w:r>
        <w:rPr>
          <w:spacing w:val="-1"/>
        </w:rPr>
        <w:t xml:space="preserve"> </w:t>
      </w:r>
      <w:r>
        <w:t>and</w:t>
      </w:r>
      <w:r>
        <w:rPr>
          <w:spacing w:val="-2"/>
        </w:rPr>
        <w:t xml:space="preserve"> </w:t>
      </w:r>
      <w:r>
        <w:t>reasons,</w:t>
      </w:r>
      <w:r>
        <w:rPr>
          <w:spacing w:val="-1"/>
        </w:rPr>
        <w:t xml:space="preserve"> </w:t>
      </w:r>
      <w:r>
        <w:t>the</w:t>
      </w:r>
      <w:r>
        <w:rPr>
          <w:spacing w:val="-2"/>
        </w:rPr>
        <w:t xml:space="preserve"> </w:t>
      </w:r>
      <w:r>
        <w:t>Delegate</w:t>
      </w:r>
      <w:r>
        <w:rPr>
          <w:spacing w:val="-2"/>
        </w:rPr>
        <w:t xml:space="preserve"> </w:t>
      </w:r>
      <w:r w:rsidR="00EA78DC">
        <w:t>was</w:t>
      </w:r>
      <w:r>
        <w:rPr>
          <w:spacing w:val="-1"/>
        </w:rPr>
        <w:t xml:space="preserve"> </w:t>
      </w:r>
      <w:r>
        <w:t>not</w:t>
      </w:r>
      <w:r>
        <w:rPr>
          <w:spacing w:val="-2"/>
        </w:rPr>
        <w:t xml:space="preserve"> </w:t>
      </w:r>
      <w:r>
        <w:t>convinced</w:t>
      </w:r>
      <w:r>
        <w:rPr>
          <w:spacing w:val="-2"/>
        </w:rPr>
        <w:t xml:space="preserve"> </w:t>
      </w:r>
      <w:r>
        <w:t>that,</w:t>
      </w:r>
      <w:r>
        <w:rPr>
          <w:spacing w:val="-2"/>
        </w:rPr>
        <w:t xml:space="preserve"> </w:t>
      </w:r>
      <w:r>
        <w:t>if</w:t>
      </w:r>
      <w:r>
        <w:rPr>
          <w:spacing w:val="-2"/>
        </w:rPr>
        <w:t xml:space="preserve"> </w:t>
      </w:r>
      <w:r>
        <w:t>approved,</w:t>
      </w:r>
      <w:r>
        <w:rPr>
          <w:spacing w:val="-4"/>
        </w:rPr>
        <w:t xml:space="preserve"> </w:t>
      </w:r>
      <w:r>
        <w:t>use of Vyalev will not put health practitioners, patients with advanced PD, their carers and the environment</w:t>
      </w:r>
      <w:r>
        <w:rPr>
          <w:spacing w:val="-1"/>
        </w:rPr>
        <w:t xml:space="preserve"> </w:t>
      </w:r>
      <w:r>
        <w:t>at</w:t>
      </w:r>
      <w:r>
        <w:rPr>
          <w:spacing w:val="-1"/>
        </w:rPr>
        <w:t xml:space="preserve"> </w:t>
      </w:r>
      <w:r>
        <w:t>risks from exposure</w:t>
      </w:r>
      <w:r>
        <w:rPr>
          <w:spacing w:val="-1"/>
        </w:rPr>
        <w:t xml:space="preserve"> </w:t>
      </w:r>
      <w:r>
        <w:t>to</w:t>
      </w:r>
      <w:r>
        <w:rPr>
          <w:spacing w:val="-3"/>
        </w:rPr>
        <w:t xml:space="preserve"> </w:t>
      </w:r>
      <w:r>
        <w:t>uranium.</w:t>
      </w:r>
      <w:r>
        <w:rPr>
          <w:spacing w:val="-1"/>
        </w:rPr>
        <w:t xml:space="preserve"> </w:t>
      </w:r>
      <w:r>
        <w:t>The</w:t>
      </w:r>
      <w:r>
        <w:rPr>
          <w:spacing w:val="-1"/>
        </w:rPr>
        <w:t xml:space="preserve"> </w:t>
      </w:r>
      <w:r>
        <w:t>Delegate</w:t>
      </w:r>
      <w:r>
        <w:rPr>
          <w:spacing w:val="-1"/>
        </w:rPr>
        <w:t xml:space="preserve"> </w:t>
      </w:r>
      <w:r>
        <w:t>consider</w:t>
      </w:r>
      <w:r w:rsidR="00EA78DC">
        <w:t>ed</w:t>
      </w:r>
      <w:r>
        <w:t xml:space="preserve"> that</w:t>
      </w:r>
      <w:r>
        <w:rPr>
          <w:spacing w:val="-1"/>
        </w:rPr>
        <w:t xml:space="preserve"> </w:t>
      </w:r>
      <w:r>
        <w:t>Vyalev</w:t>
      </w:r>
      <w:r>
        <w:rPr>
          <w:spacing w:val="-2"/>
        </w:rPr>
        <w:t xml:space="preserve"> </w:t>
      </w:r>
      <w:r w:rsidR="00CC3FB3">
        <w:t>should</w:t>
      </w:r>
      <w:r>
        <w:rPr>
          <w:spacing w:val="-1"/>
        </w:rPr>
        <w:t xml:space="preserve"> </w:t>
      </w:r>
      <w:r>
        <w:t>only be</w:t>
      </w:r>
      <w:r>
        <w:rPr>
          <w:spacing w:val="-2"/>
        </w:rPr>
        <w:t xml:space="preserve"> </w:t>
      </w:r>
      <w:r>
        <w:t>registered</w:t>
      </w:r>
      <w:r>
        <w:rPr>
          <w:spacing w:val="-2"/>
        </w:rPr>
        <w:t xml:space="preserve"> </w:t>
      </w:r>
      <w:r w:rsidR="00EA78DC">
        <w:rPr>
          <w:spacing w:val="-2"/>
        </w:rPr>
        <w:t>i</w:t>
      </w:r>
      <w:r>
        <w:t>n</w:t>
      </w:r>
      <w:r>
        <w:rPr>
          <w:spacing w:val="-3"/>
        </w:rPr>
        <w:t xml:space="preserve"> </w:t>
      </w:r>
      <w:r w:rsidR="00EA78DC">
        <w:rPr>
          <w:spacing w:val="-3"/>
        </w:rPr>
        <w:t xml:space="preserve">the </w:t>
      </w:r>
      <w:r>
        <w:t>ARTG,</w:t>
      </w:r>
      <w:r>
        <w:rPr>
          <w:spacing w:val="-2"/>
        </w:rPr>
        <w:t xml:space="preserve"> </w:t>
      </w:r>
      <w:r>
        <w:t>once</w:t>
      </w:r>
      <w:r>
        <w:rPr>
          <w:spacing w:val="-2"/>
        </w:rPr>
        <w:t xml:space="preserve"> </w:t>
      </w:r>
      <w:r>
        <w:t>the</w:t>
      </w:r>
      <w:r>
        <w:rPr>
          <w:spacing w:val="-2"/>
        </w:rPr>
        <w:t xml:space="preserve"> </w:t>
      </w:r>
      <w:r>
        <w:t>actual</w:t>
      </w:r>
      <w:r>
        <w:rPr>
          <w:spacing w:val="-2"/>
        </w:rPr>
        <w:t xml:space="preserve"> </w:t>
      </w:r>
      <w:r>
        <w:t>level</w:t>
      </w:r>
      <w:r>
        <w:rPr>
          <w:spacing w:val="-2"/>
        </w:rPr>
        <w:t xml:space="preserve"> </w:t>
      </w:r>
      <w:r>
        <w:t>of</w:t>
      </w:r>
      <w:r>
        <w:rPr>
          <w:spacing w:val="-4"/>
        </w:rPr>
        <w:t xml:space="preserve"> </w:t>
      </w:r>
      <w:r>
        <w:t>uranium</w:t>
      </w:r>
      <w:r>
        <w:rPr>
          <w:spacing w:val="-1"/>
        </w:rPr>
        <w:t xml:space="preserve"> </w:t>
      </w:r>
      <w:r>
        <w:t>has</w:t>
      </w:r>
      <w:r>
        <w:rPr>
          <w:spacing w:val="-1"/>
        </w:rPr>
        <w:t xml:space="preserve"> </w:t>
      </w:r>
      <w:r>
        <w:t>been</w:t>
      </w:r>
      <w:r>
        <w:rPr>
          <w:spacing w:val="-3"/>
        </w:rPr>
        <w:t xml:space="preserve"> </w:t>
      </w:r>
      <w:r>
        <w:t>demonstrated</w:t>
      </w:r>
      <w:r>
        <w:rPr>
          <w:spacing w:val="-2"/>
        </w:rPr>
        <w:t xml:space="preserve"> </w:t>
      </w:r>
      <w:r>
        <w:t>as</w:t>
      </w:r>
      <w:r>
        <w:rPr>
          <w:spacing w:val="-1"/>
        </w:rPr>
        <w:t xml:space="preserve"> </w:t>
      </w:r>
      <w:r>
        <w:t>&lt;</w:t>
      </w:r>
      <w:r w:rsidRPr="00BD0A3F">
        <w:t>0.12</w:t>
      </w:r>
      <w:r w:rsidRPr="00BD0A3F">
        <w:rPr>
          <w:spacing w:val="-2"/>
        </w:rPr>
        <w:t xml:space="preserve"> </w:t>
      </w:r>
      <w:r w:rsidRPr="00BD0A3F">
        <w:t>μg/day</w:t>
      </w:r>
      <w:r>
        <w:t xml:space="preserve"> (0.02 ppm) by a validated test. The Delegate </w:t>
      </w:r>
      <w:r w:rsidR="002B5596">
        <w:t>sought</w:t>
      </w:r>
      <w:r>
        <w:t xml:space="preserve"> ACM’s advice on this matter.</w:t>
      </w:r>
    </w:p>
    <w:p w14:paraId="78A40EDA" w14:textId="71D1BE84" w:rsidR="00EB573C" w:rsidRDefault="00EB573C" w:rsidP="001F47D7">
      <w:r>
        <w:t>Based</w:t>
      </w:r>
      <w:r>
        <w:rPr>
          <w:spacing w:val="-3"/>
        </w:rPr>
        <w:t xml:space="preserve"> </w:t>
      </w:r>
      <w:r>
        <w:t>on</w:t>
      </w:r>
      <w:r>
        <w:rPr>
          <w:spacing w:val="-4"/>
        </w:rPr>
        <w:t xml:space="preserve"> </w:t>
      </w:r>
      <w:r>
        <w:t>the</w:t>
      </w:r>
      <w:r>
        <w:rPr>
          <w:spacing w:val="-3"/>
        </w:rPr>
        <w:t xml:space="preserve"> </w:t>
      </w:r>
      <w:r>
        <w:t>comparability</w:t>
      </w:r>
      <w:r>
        <w:rPr>
          <w:spacing w:val="-4"/>
        </w:rPr>
        <w:t xml:space="preserve"> </w:t>
      </w:r>
      <w:r>
        <w:t>of</w:t>
      </w:r>
      <w:r>
        <w:rPr>
          <w:spacing w:val="-3"/>
        </w:rPr>
        <w:t xml:space="preserve"> </w:t>
      </w:r>
      <w:r>
        <w:t>PK</w:t>
      </w:r>
      <w:r>
        <w:rPr>
          <w:spacing w:val="-3"/>
        </w:rPr>
        <w:t xml:space="preserve"> </w:t>
      </w:r>
      <w:r>
        <w:t>parameters,</w:t>
      </w:r>
      <w:r>
        <w:rPr>
          <w:spacing w:val="-3"/>
        </w:rPr>
        <w:t xml:space="preserve"> </w:t>
      </w:r>
      <w:r>
        <w:t>the</w:t>
      </w:r>
      <w:r>
        <w:rPr>
          <w:spacing w:val="-3"/>
        </w:rPr>
        <w:t xml:space="preserve"> </w:t>
      </w:r>
      <w:r>
        <w:t>efficacy</w:t>
      </w:r>
      <w:r>
        <w:rPr>
          <w:spacing w:val="-4"/>
        </w:rPr>
        <w:t xml:space="preserve"> </w:t>
      </w:r>
      <w:r>
        <w:t>profiles</w:t>
      </w:r>
      <w:r>
        <w:rPr>
          <w:spacing w:val="-2"/>
        </w:rPr>
        <w:t xml:space="preserve"> </w:t>
      </w:r>
      <w:r>
        <w:t>of</w:t>
      </w:r>
      <w:r>
        <w:rPr>
          <w:spacing w:val="-3"/>
        </w:rPr>
        <w:t xml:space="preserve"> </w:t>
      </w:r>
      <w:r w:rsidR="00A175F6">
        <w:t>foslevodopa</w:t>
      </w:r>
      <w:r>
        <w:t xml:space="preserve">/foscarbidopa CSCI and </w:t>
      </w:r>
      <w:r w:rsidR="00A175F6">
        <w:t>Duodopa</w:t>
      </w:r>
      <w:r>
        <w:t xml:space="preserve"> LGIC are expected to be essentially similar. The exploratory efficacy results from the ongoing phase III studies (</w:t>
      </w:r>
      <w:r>
        <w:rPr>
          <w:i/>
        </w:rPr>
        <w:t xml:space="preserve">M15-741 </w:t>
      </w:r>
      <w:r>
        <w:t xml:space="preserve">and </w:t>
      </w:r>
      <w:r>
        <w:rPr>
          <w:i/>
        </w:rPr>
        <w:t>M15-737</w:t>
      </w:r>
      <w:r>
        <w:t>), and the completed phase I study (</w:t>
      </w:r>
      <w:r>
        <w:rPr>
          <w:i/>
        </w:rPr>
        <w:t>M15-739</w:t>
      </w:r>
      <w:r>
        <w:t xml:space="preserve">) suggests a comparable efficacy profile between the </w:t>
      </w:r>
      <w:r w:rsidR="00A175F6">
        <w:t>foslevodopa</w:t>
      </w:r>
      <w:r>
        <w:t xml:space="preserve">/foscarbidopa </w:t>
      </w:r>
      <w:r w:rsidR="00A175F6">
        <w:t>foslevodopa</w:t>
      </w:r>
      <w:r>
        <w:t xml:space="preserve">/foscarbidopa CSCI and </w:t>
      </w:r>
      <w:r w:rsidR="00A175F6">
        <w:t>Duodopa</w:t>
      </w:r>
      <w:r>
        <w:t xml:space="preserve"> LGIC.</w:t>
      </w:r>
    </w:p>
    <w:p w14:paraId="7CB2036B" w14:textId="77777777" w:rsidR="00327F3C" w:rsidRDefault="00EB573C" w:rsidP="001F47D7">
      <w:pPr>
        <w:rPr>
          <w:spacing w:val="-1"/>
        </w:rPr>
      </w:pPr>
      <w:r>
        <w:t xml:space="preserve">M15-741 is the only study that included a reasonable number of subjects and provided exploratory efficacy data </w:t>
      </w:r>
      <w:r w:rsidR="00BF0FE6">
        <w:t xml:space="preserve">for </w:t>
      </w:r>
      <w:r>
        <w:t xml:space="preserve">a reasonable duration of time. However, the high discontinuation rate in this study (39.9% (n = 89 subjects)) was considered as a limitation that may have implications on the internal validity of the study findings. With due consideration of the exploratory nature of the efficacy endpoints, </w:t>
      </w:r>
      <w:r w:rsidR="00A175F6">
        <w:t>foslevodopa</w:t>
      </w:r>
      <w:r>
        <w:t>/foscarbidopa treatment showed clinically meaningful reductions in motor complications and improvements in motor symptom control</w:t>
      </w:r>
      <w:r>
        <w:rPr>
          <w:spacing w:val="-4"/>
        </w:rPr>
        <w:t xml:space="preserve"> </w:t>
      </w:r>
      <w:r>
        <w:t>in</w:t>
      </w:r>
      <w:r>
        <w:rPr>
          <w:spacing w:val="-3"/>
        </w:rPr>
        <w:t xml:space="preserve"> </w:t>
      </w:r>
      <w:r>
        <w:t>subjects</w:t>
      </w:r>
      <w:r>
        <w:rPr>
          <w:spacing w:val="-1"/>
        </w:rPr>
        <w:t xml:space="preserve"> </w:t>
      </w:r>
      <w:r>
        <w:t>with</w:t>
      </w:r>
      <w:r>
        <w:rPr>
          <w:spacing w:val="-1"/>
        </w:rPr>
        <w:t xml:space="preserve"> </w:t>
      </w:r>
      <w:r>
        <w:t>advanced</w:t>
      </w:r>
      <w:r>
        <w:rPr>
          <w:spacing w:val="-2"/>
        </w:rPr>
        <w:t xml:space="preserve"> </w:t>
      </w:r>
      <w:r>
        <w:t>PD,</w:t>
      </w:r>
      <w:r>
        <w:rPr>
          <w:spacing w:val="-2"/>
        </w:rPr>
        <w:t xml:space="preserve"> </w:t>
      </w:r>
      <w:r>
        <w:t>which</w:t>
      </w:r>
      <w:r>
        <w:rPr>
          <w:spacing w:val="-1"/>
        </w:rPr>
        <w:t xml:space="preserve"> </w:t>
      </w:r>
      <w:r>
        <w:t>were</w:t>
      </w:r>
      <w:r>
        <w:rPr>
          <w:spacing w:val="-2"/>
        </w:rPr>
        <w:t xml:space="preserve"> </w:t>
      </w:r>
      <w:r>
        <w:t>generally</w:t>
      </w:r>
      <w:r>
        <w:rPr>
          <w:spacing w:val="-3"/>
        </w:rPr>
        <w:t xml:space="preserve"> </w:t>
      </w:r>
      <w:r>
        <w:t>consistent</w:t>
      </w:r>
      <w:r>
        <w:rPr>
          <w:spacing w:val="-2"/>
        </w:rPr>
        <w:t xml:space="preserve"> </w:t>
      </w:r>
      <w:r>
        <w:t>with</w:t>
      </w:r>
      <w:r>
        <w:rPr>
          <w:spacing w:val="-1"/>
        </w:rPr>
        <w:t xml:space="preserve"> </w:t>
      </w:r>
      <w:r w:rsidR="00A175F6">
        <w:t>Duodopa</w:t>
      </w:r>
      <w:r>
        <w:t>.</w:t>
      </w:r>
      <w:r>
        <w:rPr>
          <w:spacing w:val="-1"/>
        </w:rPr>
        <w:t xml:space="preserve"> </w:t>
      </w:r>
    </w:p>
    <w:p w14:paraId="48DAB961" w14:textId="08D6E95C" w:rsidR="00EB573C" w:rsidRPr="000F321E" w:rsidRDefault="00887880" w:rsidP="001F47D7">
      <w:r>
        <w:rPr>
          <w:spacing w:val="-1"/>
        </w:rPr>
        <w:t xml:space="preserve">The Delegate noted </w:t>
      </w:r>
      <w:r w:rsidRPr="000F321E">
        <w:rPr>
          <w:spacing w:val="-1"/>
        </w:rPr>
        <w:t xml:space="preserve">that </w:t>
      </w:r>
      <w:r w:rsidR="00EB573C" w:rsidRPr="000F321E">
        <w:t>data</w:t>
      </w:r>
      <w:r w:rsidR="00EB573C" w:rsidRPr="000F321E">
        <w:rPr>
          <w:spacing w:val="-2"/>
        </w:rPr>
        <w:t xml:space="preserve"> </w:t>
      </w:r>
      <w:r w:rsidR="00EB573C" w:rsidRPr="000F321E">
        <w:t>to</w:t>
      </w:r>
      <w:r w:rsidR="00EB573C" w:rsidRPr="000F321E">
        <w:rPr>
          <w:spacing w:val="-2"/>
        </w:rPr>
        <w:t xml:space="preserve"> </w:t>
      </w:r>
      <w:r w:rsidR="00EB573C" w:rsidRPr="000F321E">
        <w:t>support</w:t>
      </w:r>
      <w:r w:rsidR="00EB573C" w:rsidRPr="000F321E">
        <w:rPr>
          <w:spacing w:val="-2"/>
        </w:rPr>
        <w:t xml:space="preserve"> </w:t>
      </w:r>
      <w:r w:rsidR="00EB573C" w:rsidRPr="000F321E">
        <w:t>long</w:t>
      </w:r>
      <w:r w:rsidR="00EB573C" w:rsidRPr="000F321E">
        <w:rPr>
          <w:spacing w:val="-1"/>
        </w:rPr>
        <w:t xml:space="preserve"> </w:t>
      </w:r>
      <w:r w:rsidR="00EB573C" w:rsidRPr="000F321E">
        <w:t>term</w:t>
      </w:r>
      <w:r w:rsidR="00EB573C" w:rsidRPr="000F321E">
        <w:rPr>
          <w:spacing w:val="-1"/>
        </w:rPr>
        <w:t xml:space="preserve"> </w:t>
      </w:r>
      <w:r w:rsidR="00EB573C" w:rsidRPr="000F321E">
        <w:t>efficacy</w:t>
      </w:r>
      <w:r w:rsidR="00EB573C" w:rsidRPr="000F321E">
        <w:rPr>
          <w:spacing w:val="-3"/>
        </w:rPr>
        <w:t xml:space="preserve"> </w:t>
      </w:r>
      <w:r w:rsidRPr="000F321E">
        <w:t>was</w:t>
      </w:r>
      <w:r w:rsidR="00EB573C" w:rsidRPr="000F321E">
        <w:rPr>
          <w:spacing w:val="-1"/>
        </w:rPr>
        <w:t xml:space="preserve"> </w:t>
      </w:r>
      <w:r w:rsidR="00EB573C" w:rsidRPr="000F321E">
        <w:t>lacking</w:t>
      </w:r>
      <w:r w:rsidR="00EB573C" w:rsidRPr="000F321E">
        <w:rPr>
          <w:spacing w:val="-3"/>
        </w:rPr>
        <w:t xml:space="preserve"> </w:t>
      </w:r>
      <w:r w:rsidR="00EB573C" w:rsidRPr="000F321E">
        <w:t>in</w:t>
      </w:r>
      <w:r w:rsidR="00EB573C" w:rsidRPr="000F321E">
        <w:rPr>
          <w:spacing w:val="-3"/>
        </w:rPr>
        <w:t xml:space="preserve"> </w:t>
      </w:r>
      <w:r w:rsidR="00EB573C" w:rsidRPr="000F321E">
        <w:t>this</w:t>
      </w:r>
      <w:r w:rsidR="00EB573C" w:rsidRPr="000F321E">
        <w:rPr>
          <w:spacing w:val="-1"/>
        </w:rPr>
        <w:t xml:space="preserve"> </w:t>
      </w:r>
      <w:r w:rsidR="00EB573C" w:rsidRPr="000F321E">
        <w:t>submission.</w:t>
      </w:r>
      <w:r w:rsidR="00EB573C" w:rsidRPr="000F321E">
        <w:rPr>
          <w:spacing w:val="-2"/>
        </w:rPr>
        <w:t xml:space="preserve"> </w:t>
      </w:r>
      <w:r w:rsidR="00EB573C" w:rsidRPr="000F321E">
        <w:t>Th</w:t>
      </w:r>
      <w:r w:rsidRPr="000F321E">
        <w:t>e Delegate considere</w:t>
      </w:r>
      <w:r w:rsidR="000F321E" w:rsidRPr="000F321E">
        <w:t xml:space="preserve">d this </w:t>
      </w:r>
      <w:r w:rsidR="00EB573C" w:rsidRPr="000F321E">
        <w:t>important,</w:t>
      </w:r>
      <w:r w:rsidR="00EB573C" w:rsidRPr="000F321E">
        <w:rPr>
          <w:spacing w:val="-2"/>
        </w:rPr>
        <w:t xml:space="preserve"> </w:t>
      </w:r>
      <w:r w:rsidR="00EB573C" w:rsidRPr="000F321E">
        <w:t>particularly</w:t>
      </w:r>
      <w:r w:rsidR="00EB573C" w:rsidRPr="000F321E">
        <w:rPr>
          <w:spacing w:val="-5"/>
        </w:rPr>
        <w:t xml:space="preserve"> </w:t>
      </w:r>
      <w:r w:rsidR="00EB573C" w:rsidRPr="000F321E">
        <w:t xml:space="preserve">in view of the drug tolerance and reduction of therapeutic effect from continuous </w:t>
      </w:r>
      <w:r w:rsidR="0025741F">
        <w:t>l</w:t>
      </w:r>
      <w:r w:rsidR="00A175F6" w:rsidRPr="000F321E">
        <w:t>evodopa</w:t>
      </w:r>
      <w:r w:rsidR="00EB573C" w:rsidRPr="000F321E">
        <w:t xml:space="preserve"> administration. This possibility was the rationale to suspend the </w:t>
      </w:r>
      <w:r w:rsidR="00A175F6" w:rsidRPr="000F321E">
        <w:t>Duodopa</w:t>
      </w:r>
      <w:r w:rsidR="00EB573C" w:rsidRPr="000F321E">
        <w:t xml:space="preserve"> infusion overnight.</w:t>
      </w:r>
    </w:p>
    <w:p w14:paraId="77B72CE5" w14:textId="278BDFF9" w:rsidR="00EB573C" w:rsidRPr="00BD0C6A" w:rsidRDefault="00EB573C" w:rsidP="001F47D7">
      <w:pPr>
        <w:rPr>
          <w:u w:val="single"/>
        </w:rPr>
      </w:pPr>
      <w:r w:rsidRPr="00BD0C6A">
        <w:t>The</w:t>
      </w:r>
      <w:r w:rsidRPr="00BD0C6A">
        <w:rPr>
          <w:spacing w:val="-10"/>
        </w:rPr>
        <w:t xml:space="preserve"> </w:t>
      </w:r>
      <w:r w:rsidRPr="00BD0C6A">
        <w:t>Delegate</w:t>
      </w:r>
      <w:r w:rsidRPr="00BD0C6A">
        <w:rPr>
          <w:spacing w:val="-7"/>
        </w:rPr>
        <w:t xml:space="preserve"> </w:t>
      </w:r>
      <w:r w:rsidR="00D63F73">
        <w:t xml:space="preserve">noted a </w:t>
      </w:r>
      <w:r w:rsidRPr="00BD0C6A">
        <w:t>mechanistic</w:t>
      </w:r>
      <w:r w:rsidRPr="00BD0C6A">
        <w:rPr>
          <w:spacing w:val="-5"/>
        </w:rPr>
        <w:t xml:space="preserve"> </w:t>
      </w:r>
      <w:r w:rsidRPr="00BD0C6A">
        <w:t>possibility</w:t>
      </w:r>
      <w:r w:rsidRPr="00BD0C6A">
        <w:rPr>
          <w:spacing w:val="-6"/>
        </w:rPr>
        <w:t xml:space="preserve"> </w:t>
      </w:r>
      <w:r w:rsidRPr="00BD0C6A">
        <w:t>for</w:t>
      </w:r>
      <w:r w:rsidRPr="00BD0C6A">
        <w:rPr>
          <w:spacing w:val="-6"/>
        </w:rPr>
        <w:t xml:space="preserve"> </w:t>
      </w:r>
      <w:r w:rsidR="00A175F6" w:rsidRPr="00BD0C6A">
        <w:t>foslevodopa</w:t>
      </w:r>
      <w:r w:rsidRPr="00BD0C6A">
        <w:t>/foscarbidopa</w:t>
      </w:r>
      <w:r w:rsidRPr="00BD0C6A">
        <w:rPr>
          <w:spacing w:val="-5"/>
        </w:rPr>
        <w:t xml:space="preserve"> </w:t>
      </w:r>
      <w:r w:rsidRPr="00BD0C6A">
        <w:rPr>
          <w:spacing w:val="-2"/>
        </w:rPr>
        <w:t xml:space="preserve">continuous </w:t>
      </w:r>
      <w:r w:rsidRPr="00BD0C6A">
        <w:t>infusion to result in the above issue. Long term efficacy data is required to conclude that the treatment benefits reported in Study M15-741 are sustained. The Delegate is aware that a (M15-736) Phase 3 randomized, double-blind, double-dummy, active-controlled study that compared</w:t>
      </w:r>
      <w:r w:rsidRPr="00BD0C6A">
        <w:rPr>
          <w:spacing w:val="-3"/>
        </w:rPr>
        <w:t xml:space="preserve"> </w:t>
      </w:r>
      <w:r w:rsidRPr="00BD0C6A">
        <w:t>the</w:t>
      </w:r>
      <w:r w:rsidRPr="00BD0C6A">
        <w:rPr>
          <w:spacing w:val="-3"/>
        </w:rPr>
        <w:t xml:space="preserve"> </w:t>
      </w:r>
      <w:r w:rsidRPr="00BD0C6A">
        <w:t>efficacy,</w:t>
      </w:r>
      <w:r w:rsidRPr="00BD0C6A">
        <w:rPr>
          <w:spacing w:val="-5"/>
        </w:rPr>
        <w:t xml:space="preserve"> </w:t>
      </w:r>
      <w:r w:rsidRPr="00BD0C6A">
        <w:t>safety</w:t>
      </w:r>
      <w:r w:rsidRPr="00BD0C6A">
        <w:rPr>
          <w:spacing w:val="-4"/>
        </w:rPr>
        <w:t xml:space="preserve"> </w:t>
      </w:r>
      <w:r w:rsidRPr="00BD0C6A">
        <w:t>and</w:t>
      </w:r>
      <w:r w:rsidRPr="00BD0C6A">
        <w:rPr>
          <w:spacing w:val="-3"/>
        </w:rPr>
        <w:t xml:space="preserve"> </w:t>
      </w:r>
      <w:r w:rsidRPr="00BD0C6A">
        <w:t>tolerability</w:t>
      </w:r>
      <w:r w:rsidRPr="00BD0C6A">
        <w:rPr>
          <w:spacing w:val="-4"/>
        </w:rPr>
        <w:t xml:space="preserve"> </w:t>
      </w:r>
      <w:r w:rsidRPr="00BD0C6A">
        <w:t>of</w:t>
      </w:r>
      <w:r w:rsidRPr="00BD0C6A">
        <w:rPr>
          <w:spacing w:val="-3"/>
        </w:rPr>
        <w:t xml:space="preserve"> </w:t>
      </w:r>
      <w:r w:rsidRPr="00BD0C6A">
        <w:t>ABBV-951</w:t>
      </w:r>
      <w:r w:rsidRPr="00BD0C6A">
        <w:rPr>
          <w:spacing w:val="-3"/>
        </w:rPr>
        <w:t xml:space="preserve"> </w:t>
      </w:r>
      <w:r w:rsidRPr="00BD0C6A">
        <w:t>(foscarbidopa/</w:t>
      </w:r>
      <w:r w:rsidR="00A175F6" w:rsidRPr="00BD0C6A">
        <w:t>foslevodopa</w:t>
      </w:r>
      <w:r w:rsidRPr="00BD0C6A">
        <w:t>)</w:t>
      </w:r>
      <w:r w:rsidRPr="00BD0C6A">
        <w:rPr>
          <w:spacing w:val="-3"/>
        </w:rPr>
        <w:t xml:space="preserve"> </w:t>
      </w:r>
      <w:r w:rsidRPr="00BD0C6A">
        <w:t>to</w:t>
      </w:r>
      <w:r w:rsidRPr="00BD0C6A">
        <w:rPr>
          <w:spacing w:val="-5"/>
        </w:rPr>
        <w:t xml:space="preserve"> </w:t>
      </w:r>
      <w:r w:rsidRPr="00BD0C6A">
        <w:t xml:space="preserve">oral immediate-release </w:t>
      </w:r>
      <w:r w:rsidR="008C163E" w:rsidRPr="00BD0C6A">
        <w:t>CARBIDOPA</w:t>
      </w:r>
      <w:r w:rsidRPr="00BD0C6A">
        <w:t>/</w:t>
      </w:r>
      <w:r w:rsidR="00A175F6" w:rsidRPr="00BD0C6A">
        <w:t>LEVODOPA</w:t>
      </w:r>
      <w:r w:rsidRPr="00BD0C6A">
        <w:t xml:space="preserve"> in patients with advanced PD was submitted to FDA but was not submitted to TGA for evaluation.</w:t>
      </w:r>
    </w:p>
    <w:p w14:paraId="7E8CFEB2" w14:textId="6A777AA7" w:rsidR="00233976" w:rsidRDefault="00EB573C" w:rsidP="001F47D7">
      <w:r>
        <w:t xml:space="preserve">Long term safety data for </w:t>
      </w:r>
      <w:r w:rsidR="00A175F6">
        <w:t>foslevodopa</w:t>
      </w:r>
      <w:r>
        <w:t xml:space="preserve">/foscarbidopa is lacking in this submission. The Delegate has noted that the safety data set has satisfied the minimum requirement for a New Chemical Entity: </w:t>
      </w:r>
      <w:r>
        <w:rPr>
          <w:i/>
        </w:rPr>
        <w:t xml:space="preserve">144 subjects with advanced PD had been exposed ≥ 12 months. </w:t>
      </w:r>
      <w:r>
        <w:t xml:space="preserve">The study M15-741 provided safety data up to 26 weeks. In Study M15-737, as of the data cut-off date for the interim report (30 March 2021), only 12 subjects had reached Week 24. Safety also has been extrapolated from </w:t>
      </w:r>
      <w:r w:rsidR="00A175F6">
        <w:t>Duodopa</w:t>
      </w:r>
      <w:r>
        <w:t>, based on the comparability of PK parameters.</w:t>
      </w:r>
    </w:p>
    <w:p w14:paraId="0C1B0732" w14:textId="65F85DD6" w:rsidR="00233976" w:rsidRDefault="00EB573C" w:rsidP="0071550A">
      <w:pPr>
        <w:rPr>
          <w:spacing w:val="-3"/>
        </w:rPr>
      </w:pPr>
      <w:r w:rsidRPr="00233976">
        <w:t xml:space="preserve">However, the Delegate considers that in view of the frequent interventions to change the infusion site, the infusion site adverse events, the handling of the complex infusion pump (as described below) and more importantly due to the uncertainties related to the uranium content, the </w:t>
      </w:r>
      <w:r w:rsidR="00A175F6" w:rsidRPr="00233976">
        <w:t>foslevodopa</w:t>
      </w:r>
      <w:r w:rsidRPr="00233976">
        <w:t xml:space="preserve">/foscarbidopa has a safety profile that is distinct from </w:t>
      </w:r>
      <w:r w:rsidR="00A175F6" w:rsidRPr="00233976">
        <w:t>Duodopa</w:t>
      </w:r>
      <w:r w:rsidRPr="00233976">
        <w:t xml:space="preserve">. </w:t>
      </w:r>
      <w:r>
        <w:t>Hence, long term safety and patient compliance data</w:t>
      </w:r>
      <w:r>
        <w:rPr>
          <w:spacing w:val="-1"/>
        </w:rPr>
        <w:t xml:space="preserve"> </w:t>
      </w:r>
      <w:r>
        <w:t>is required for the assessment of benefit-risk profile for this product,</w:t>
      </w:r>
      <w:r>
        <w:rPr>
          <w:spacing w:val="-3"/>
        </w:rPr>
        <w:t xml:space="preserve"> </w:t>
      </w:r>
      <w:r>
        <w:t>rather</w:t>
      </w:r>
      <w:r>
        <w:rPr>
          <w:spacing w:val="-3"/>
        </w:rPr>
        <w:t xml:space="preserve"> </w:t>
      </w:r>
      <w:r>
        <w:t>than</w:t>
      </w:r>
      <w:r>
        <w:rPr>
          <w:spacing w:val="-4"/>
        </w:rPr>
        <w:t xml:space="preserve"> </w:t>
      </w:r>
      <w:r>
        <w:t>extrapolation</w:t>
      </w:r>
      <w:r>
        <w:rPr>
          <w:spacing w:val="-4"/>
        </w:rPr>
        <w:t xml:space="preserve"> </w:t>
      </w:r>
      <w:r>
        <w:t>of</w:t>
      </w:r>
      <w:r>
        <w:rPr>
          <w:spacing w:val="-3"/>
        </w:rPr>
        <w:t xml:space="preserve"> </w:t>
      </w:r>
      <w:r>
        <w:t>safety</w:t>
      </w:r>
      <w:r>
        <w:rPr>
          <w:spacing w:val="-4"/>
        </w:rPr>
        <w:t xml:space="preserve"> </w:t>
      </w:r>
      <w:r>
        <w:t>data</w:t>
      </w:r>
      <w:r>
        <w:rPr>
          <w:spacing w:val="-3"/>
        </w:rPr>
        <w:t xml:space="preserve"> </w:t>
      </w:r>
      <w:r>
        <w:t>from</w:t>
      </w:r>
      <w:r>
        <w:rPr>
          <w:spacing w:val="-2"/>
        </w:rPr>
        <w:t xml:space="preserve"> </w:t>
      </w:r>
      <w:proofErr w:type="spellStart"/>
      <w:r w:rsidR="00A175F6">
        <w:t>Duodopa</w:t>
      </w:r>
      <w:proofErr w:type="spellEnd"/>
      <w:r>
        <w:t>.</w:t>
      </w:r>
    </w:p>
    <w:p w14:paraId="4942387D" w14:textId="09E24423" w:rsidR="00EB573C" w:rsidRPr="00233976" w:rsidRDefault="00EB573C" w:rsidP="001F47D7">
      <w:r w:rsidRPr="00233976">
        <w:t>Similarly,</w:t>
      </w:r>
      <w:r w:rsidRPr="00233976">
        <w:rPr>
          <w:spacing w:val="-3"/>
        </w:rPr>
        <w:t xml:space="preserve"> </w:t>
      </w:r>
      <w:r w:rsidRPr="00233976">
        <w:t>the</w:t>
      </w:r>
      <w:r w:rsidRPr="00233976">
        <w:rPr>
          <w:spacing w:val="-5"/>
        </w:rPr>
        <w:t xml:space="preserve"> </w:t>
      </w:r>
      <w:r w:rsidRPr="00233976">
        <w:t>Delegate</w:t>
      </w:r>
      <w:r w:rsidRPr="00233976">
        <w:rPr>
          <w:spacing w:val="-3"/>
        </w:rPr>
        <w:t xml:space="preserve"> </w:t>
      </w:r>
      <w:r w:rsidRPr="00233976">
        <w:t>is</w:t>
      </w:r>
      <w:r w:rsidRPr="00233976">
        <w:rPr>
          <w:spacing w:val="-2"/>
        </w:rPr>
        <w:t xml:space="preserve"> </w:t>
      </w:r>
      <w:r w:rsidRPr="00233976">
        <w:t xml:space="preserve">aware of the potential for motor complications from the high dose of </w:t>
      </w:r>
      <w:r w:rsidR="0025741F" w:rsidRPr="00233976">
        <w:t>l</w:t>
      </w:r>
      <w:r w:rsidR="00A175F6" w:rsidRPr="00233976">
        <w:t>evodopa</w:t>
      </w:r>
      <w:r w:rsidRPr="00233976">
        <w:t xml:space="preserve"> in </w:t>
      </w:r>
      <w:proofErr w:type="spellStart"/>
      <w:r w:rsidRPr="00233976">
        <w:t>Vyalev</w:t>
      </w:r>
      <w:proofErr w:type="spellEnd"/>
      <w:r w:rsidRPr="00233976">
        <w:t xml:space="preserve"> [[5] [6]]. It is an</w:t>
      </w:r>
      <w:r w:rsidRPr="00233976">
        <w:rPr>
          <w:spacing w:val="-1"/>
        </w:rPr>
        <w:t xml:space="preserve"> </w:t>
      </w:r>
      <w:r w:rsidRPr="00233976">
        <w:t>important safety</w:t>
      </w:r>
      <w:r w:rsidRPr="00233976">
        <w:rPr>
          <w:spacing w:val="-1"/>
        </w:rPr>
        <w:t xml:space="preserve"> </w:t>
      </w:r>
      <w:r w:rsidRPr="00233976">
        <w:t>aspect to consider, in</w:t>
      </w:r>
      <w:r w:rsidRPr="00233976">
        <w:rPr>
          <w:spacing w:val="-1"/>
        </w:rPr>
        <w:t xml:space="preserve"> </w:t>
      </w:r>
      <w:r w:rsidRPr="00233976">
        <w:t>view of the relatively</w:t>
      </w:r>
      <w:r w:rsidRPr="00233976">
        <w:rPr>
          <w:spacing w:val="-1"/>
        </w:rPr>
        <w:t xml:space="preserve"> </w:t>
      </w:r>
      <w:r w:rsidRPr="00233976">
        <w:t>higher daily</w:t>
      </w:r>
      <w:r w:rsidRPr="00233976">
        <w:rPr>
          <w:spacing w:val="-1"/>
        </w:rPr>
        <w:t xml:space="preserve"> </w:t>
      </w:r>
      <w:r w:rsidRPr="00233976">
        <w:t xml:space="preserve">dose of </w:t>
      </w:r>
      <w:r w:rsidR="0025741F" w:rsidRPr="00233976">
        <w:t>l</w:t>
      </w:r>
      <w:r w:rsidR="00A175F6" w:rsidRPr="00233976">
        <w:t>evodopa</w:t>
      </w:r>
      <w:r w:rsidRPr="00233976">
        <w:t xml:space="preserve"> in </w:t>
      </w:r>
      <w:proofErr w:type="spellStart"/>
      <w:r w:rsidRPr="00233976">
        <w:t>Vyalev</w:t>
      </w:r>
      <w:proofErr w:type="spellEnd"/>
      <w:r w:rsidRPr="00233976">
        <w:t xml:space="preserve"> (4260 mg), compared to </w:t>
      </w:r>
      <w:r w:rsidR="00A175F6" w:rsidRPr="00233976">
        <w:t>Duodopa</w:t>
      </w:r>
      <w:r w:rsidRPr="00233976">
        <w:t xml:space="preserve"> (3500 mg). It was noted that such events have not been reported from the available data from the studies included in the dossier. However, the efficacy (interim) data is limited by the short duration and the exploratory nature.</w:t>
      </w:r>
    </w:p>
    <w:p w14:paraId="0C7DF173" w14:textId="2C2B4041" w:rsidR="00EB573C" w:rsidRDefault="00EB573C" w:rsidP="001F47D7">
      <w:r>
        <w:t>Across studies, administration site conditions were the commonest TEAEs that were reported. These</w:t>
      </w:r>
      <w:r>
        <w:rPr>
          <w:spacing w:val="-1"/>
        </w:rPr>
        <w:t xml:space="preserve"> </w:t>
      </w:r>
      <w:r>
        <w:t>TEAEs were also the commonest reason for treatment discontinuation</w:t>
      </w:r>
      <w:r>
        <w:rPr>
          <w:spacing w:val="-2"/>
        </w:rPr>
        <w:t xml:space="preserve"> </w:t>
      </w:r>
      <w:r>
        <w:t>in Study M15-741. The Delegate has noted the Sponsor’s intervention to address this issue by re-retraining</w:t>
      </w:r>
      <w:r>
        <w:rPr>
          <w:spacing w:val="40"/>
        </w:rPr>
        <w:t xml:space="preserve"> </w:t>
      </w:r>
      <w:r>
        <w:t xml:space="preserve">subjects and study sites </w:t>
      </w:r>
      <w:proofErr w:type="gramStart"/>
      <w:r>
        <w:t>and also</w:t>
      </w:r>
      <w:proofErr w:type="gramEnd"/>
      <w:r>
        <w:t xml:space="preserve"> the introduction of the Neria™ guard, the primary intended commercial infusion set for delivery of </w:t>
      </w:r>
      <w:r w:rsidR="00A175F6">
        <w:t>foslevodopa</w:t>
      </w:r>
      <w:r>
        <w:t>/foscarbidopa. The incidence for these TEAEs were</w:t>
      </w:r>
      <w:r>
        <w:rPr>
          <w:spacing w:val="-1"/>
        </w:rPr>
        <w:t xml:space="preserve"> </w:t>
      </w:r>
      <w:r>
        <w:t>lower</w:t>
      </w:r>
      <w:r>
        <w:rPr>
          <w:spacing w:val="-1"/>
        </w:rPr>
        <w:t xml:space="preserve"> </w:t>
      </w:r>
      <w:r>
        <w:t>in</w:t>
      </w:r>
      <w:r>
        <w:rPr>
          <w:spacing w:val="-2"/>
        </w:rPr>
        <w:t xml:space="preserve"> </w:t>
      </w:r>
      <w:r>
        <w:t>the</w:t>
      </w:r>
      <w:r>
        <w:rPr>
          <w:spacing w:val="-3"/>
        </w:rPr>
        <w:t xml:space="preserve"> </w:t>
      </w:r>
      <w:r>
        <w:t>Study</w:t>
      </w:r>
      <w:r>
        <w:rPr>
          <w:spacing w:val="-2"/>
        </w:rPr>
        <w:t xml:space="preserve"> </w:t>
      </w:r>
      <w:r>
        <w:t>M15-737,</w:t>
      </w:r>
      <w:r>
        <w:rPr>
          <w:spacing w:val="-1"/>
        </w:rPr>
        <w:t xml:space="preserve"> </w:t>
      </w:r>
      <w:r>
        <w:t>compared</w:t>
      </w:r>
      <w:r>
        <w:rPr>
          <w:spacing w:val="-1"/>
        </w:rPr>
        <w:t xml:space="preserve"> </w:t>
      </w:r>
      <w:r>
        <w:t>to</w:t>
      </w:r>
      <w:r>
        <w:rPr>
          <w:spacing w:val="-1"/>
        </w:rPr>
        <w:t xml:space="preserve"> </w:t>
      </w:r>
      <w:r>
        <w:t>study</w:t>
      </w:r>
      <w:r>
        <w:rPr>
          <w:spacing w:val="-2"/>
        </w:rPr>
        <w:t xml:space="preserve"> </w:t>
      </w:r>
      <w:r>
        <w:t>M15-741.</w:t>
      </w:r>
      <w:r>
        <w:rPr>
          <w:spacing w:val="-1"/>
        </w:rPr>
        <w:t xml:space="preserve"> </w:t>
      </w:r>
      <w:r>
        <w:t>However,</w:t>
      </w:r>
      <w:r>
        <w:rPr>
          <w:spacing w:val="-1"/>
        </w:rPr>
        <w:t xml:space="preserve"> </w:t>
      </w:r>
      <w:r>
        <w:t>the</w:t>
      </w:r>
      <w:r>
        <w:rPr>
          <w:spacing w:val="-3"/>
        </w:rPr>
        <w:t xml:space="preserve"> </w:t>
      </w:r>
      <w:r>
        <w:t>safety</w:t>
      </w:r>
      <w:r>
        <w:rPr>
          <w:spacing w:val="-2"/>
        </w:rPr>
        <w:t xml:space="preserve"> </w:t>
      </w:r>
      <w:r>
        <w:t>data from</w:t>
      </w:r>
      <w:r>
        <w:rPr>
          <w:spacing w:val="-1"/>
        </w:rPr>
        <w:t xml:space="preserve"> </w:t>
      </w:r>
      <w:r>
        <w:t>Study</w:t>
      </w:r>
      <w:r>
        <w:rPr>
          <w:spacing w:val="-1"/>
        </w:rPr>
        <w:t xml:space="preserve"> </w:t>
      </w:r>
      <w:r>
        <w:t>M15-737 is limited by</w:t>
      </w:r>
      <w:r>
        <w:rPr>
          <w:spacing w:val="-1"/>
        </w:rPr>
        <w:t xml:space="preserve"> </w:t>
      </w:r>
      <w:r>
        <w:t>the short duration</w:t>
      </w:r>
      <w:r>
        <w:rPr>
          <w:spacing w:val="-1"/>
        </w:rPr>
        <w:t xml:space="preserve"> </w:t>
      </w:r>
      <w:r>
        <w:t>and the low</w:t>
      </w:r>
      <w:r>
        <w:rPr>
          <w:spacing w:val="-1"/>
        </w:rPr>
        <w:t xml:space="preserve"> </w:t>
      </w:r>
      <w:r>
        <w:t>number of</w:t>
      </w:r>
      <w:r>
        <w:rPr>
          <w:spacing w:val="-2"/>
        </w:rPr>
        <w:t xml:space="preserve"> </w:t>
      </w:r>
      <w:r>
        <w:t>subjects. Long term safety</w:t>
      </w:r>
      <w:r>
        <w:rPr>
          <w:spacing w:val="-3"/>
        </w:rPr>
        <w:t xml:space="preserve"> </w:t>
      </w:r>
      <w:r>
        <w:t>data</w:t>
      </w:r>
      <w:r>
        <w:rPr>
          <w:spacing w:val="-2"/>
        </w:rPr>
        <w:t xml:space="preserve"> </w:t>
      </w:r>
      <w:r>
        <w:t>from</w:t>
      </w:r>
      <w:r>
        <w:rPr>
          <w:spacing w:val="-1"/>
        </w:rPr>
        <w:t xml:space="preserve"> </w:t>
      </w:r>
      <w:r>
        <w:t>the</w:t>
      </w:r>
      <w:r>
        <w:rPr>
          <w:spacing w:val="-2"/>
        </w:rPr>
        <w:t xml:space="preserve"> </w:t>
      </w:r>
      <w:r>
        <w:t>ongoing</w:t>
      </w:r>
      <w:r>
        <w:rPr>
          <w:spacing w:val="-1"/>
        </w:rPr>
        <w:t xml:space="preserve"> </w:t>
      </w:r>
      <w:r>
        <w:t>studies</w:t>
      </w:r>
      <w:r>
        <w:rPr>
          <w:spacing w:val="-1"/>
        </w:rPr>
        <w:t xml:space="preserve"> </w:t>
      </w:r>
      <w:r>
        <w:t>is</w:t>
      </w:r>
      <w:r>
        <w:rPr>
          <w:spacing w:val="-1"/>
        </w:rPr>
        <w:t xml:space="preserve"> </w:t>
      </w:r>
      <w:r>
        <w:t>needed</w:t>
      </w:r>
      <w:r>
        <w:rPr>
          <w:spacing w:val="-2"/>
        </w:rPr>
        <w:t xml:space="preserve"> </w:t>
      </w:r>
      <w:r>
        <w:t>to</w:t>
      </w:r>
      <w:r>
        <w:rPr>
          <w:spacing w:val="-2"/>
        </w:rPr>
        <w:t xml:space="preserve"> </w:t>
      </w:r>
      <w:r>
        <w:t>make</w:t>
      </w:r>
      <w:r>
        <w:rPr>
          <w:spacing w:val="-2"/>
        </w:rPr>
        <w:t xml:space="preserve"> </w:t>
      </w:r>
      <w:r>
        <w:t>any</w:t>
      </w:r>
      <w:r>
        <w:rPr>
          <w:spacing w:val="-3"/>
        </w:rPr>
        <w:t xml:space="preserve"> </w:t>
      </w:r>
      <w:r>
        <w:t>conclusions</w:t>
      </w:r>
      <w:r>
        <w:rPr>
          <w:spacing w:val="-1"/>
        </w:rPr>
        <w:t xml:space="preserve"> </w:t>
      </w:r>
      <w:r>
        <w:t>in</w:t>
      </w:r>
      <w:r>
        <w:rPr>
          <w:spacing w:val="-3"/>
        </w:rPr>
        <w:t xml:space="preserve"> </w:t>
      </w:r>
      <w:r>
        <w:t>this</w:t>
      </w:r>
      <w:r>
        <w:rPr>
          <w:spacing w:val="-1"/>
        </w:rPr>
        <w:t xml:space="preserve"> </w:t>
      </w:r>
      <w:r>
        <w:t>regard.</w:t>
      </w:r>
      <w:r>
        <w:rPr>
          <w:spacing w:val="40"/>
        </w:rPr>
        <w:t xml:space="preserve"> </w:t>
      </w:r>
      <w:r>
        <w:t>Based</w:t>
      </w:r>
      <w:r>
        <w:rPr>
          <w:spacing w:val="-2"/>
        </w:rPr>
        <w:t xml:space="preserve"> </w:t>
      </w:r>
      <w:r>
        <w:t xml:space="preserve">on the above findings, the Delegate considers that training </w:t>
      </w:r>
      <w:r w:rsidR="00CC3FB3">
        <w:t>should</w:t>
      </w:r>
      <w:r>
        <w:t xml:space="preserve"> be mandated for prescribers prior to administering this medicine. Patient education regarding the handling of the device is equally</w:t>
      </w:r>
      <w:r>
        <w:rPr>
          <w:spacing w:val="-4"/>
        </w:rPr>
        <w:t xml:space="preserve"> </w:t>
      </w:r>
      <w:r>
        <w:t>important</w:t>
      </w:r>
      <w:r>
        <w:rPr>
          <w:spacing w:val="-3"/>
        </w:rPr>
        <w:t xml:space="preserve"> </w:t>
      </w:r>
      <w:r>
        <w:t>to</w:t>
      </w:r>
      <w:r>
        <w:rPr>
          <w:spacing w:val="-3"/>
        </w:rPr>
        <w:t xml:space="preserve"> </w:t>
      </w:r>
      <w:r>
        <w:t>achieve</w:t>
      </w:r>
      <w:r>
        <w:rPr>
          <w:spacing w:val="-3"/>
        </w:rPr>
        <w:t xml:space="preserve"> </w:t>
      </w:r>
      <w:r>
        <w:t>treatment</w:t>
      </w:r>
      <w:r>
        <w:rPr>
          <w:spacing w:val="-3"/>
        </w:rPr>
        <w:t xml:space="preserve"> </w:t>
      </w:r>
      <w:r>
        <w:t>compliance</w:t>
      </w:r>
      <w:r>
        <w:rPr>
          <w:spacing w:val="-5"/>
        </w:rPr>
        <w:t xml:space="preserve"> </w:t>
      </w:r>
      <w:r>
        <w:t>and</w:t>
      </w:r>
      <w:r>
        <w:rPr>
          <w:spacing w:val="-3"/>
        </w:rPr>
        <w:t xml:space="preserve"> </w:t>
      </w:r>
      <w:r>
        <w:t>reduce</w:t>
      </w:r>
      <w:r>
        <w:rPr>
          <w:spacing w:val="-3"/>
        </w:rPr>
        <w:t xml:space="preserve"> </w:t>
      </w:r>
      <w:r>
        <w:t>the</w:t>
      </w:r>
      <w:r>
        <w:rPr>
          <w:spacing w:val="-3"/>
        </w:rPr>
        <w:t xml:space="preserve"> </w:t>
      </w:r>
      <w:r>
        <w:t>likelihood</w:t>
      </w:r>
      <w:r>
        <w:rPr>
          <w:spacing w:val="-5"/>
        </w:rPr>
        <w:t xml:space="preserve"> </w:t>
      </w:r>
      <w:r>
        <w:t>for</w:t>
      </w:r>
      <w:r>
        <w:rPr>
          <w:spacing w:val="-3"/>
        </w:rPr>
        <w:t xml:space="preserve"> </w:t>
      </w:r>
      <w:r>
        <w:t xml:space="preserve">administration site TEAEs. The Delegate noted that the infusion set (canula) needs to be replaced every </w:t>
      </w:r>
      <w:r w:rsidR="001D7FE9">
        <w:t xml:space="preserve">3 </w:t>
      </w:r>
      <w:r>
        <w:t xml:space="preserve">days, along with rotation of infusion site, which </w:t>
      </w:r>
      <w:r w:rsidR="00CC3FB3">
        <w:t>should</w:t>
      </w:r>
      <w:r>
        <w:t xml:space="preserve"> be at least 2.5cm from sites used in the previous 12 days. As evidenced in Study M15-741, retraining of study sites and personnel was required to prevent subjects from early discontinuation of the study. Long term patient compliance data from M15-737 will provide greater certainty in this matter.</w:t>
      </w:r>
    </w:p>
    <w:p w14:paraId="56A47AAE" w14:textId="273DCAE9" w:rsidR="00EB573C" w:rsidRDefault="00EB573C" w:rsidP="0071550A">
      <w:r>
        <w:t>The sub-cutaneous infusion site, particularly with frequent change of sites once every three</w:t>
      </w:r>
      <w:r>
        <w:rPr>
          <w:spacing w:val="40"/>
        </w:rPr>
        <w:t xml:space="preserve"> </w:t>
      </w:r>
      <w:r>
        <w:t>days is prone for infection</w:t>
      </w:r>
      <w:r>
        <w:rPr>
          <w:spacing w:val="-3"/>
        </w:rPr>
        <w:t xml:space="preserve"> </w:t>
      </w:r>
      <w:r>
        <w:t>and sepsis, as reported</w:t>
      </w:r>
      <w:r>
        <w:rPr>
          <w:spacing w:val="-2"/>
        </w:rPr>
        <w:t xml:space="preserve"> </w:t>
      </w:r>
      <w:r>
        <w:t>in</w:t>
      </w:r>
      <w:r>
        <w:rPr>
          <w:spacing w:val="-3"/>
        </w:rPr>
        <w:t xml:space="preserve"> </w:t>
      </w:r>
      <w:r>
        <w:t>study</w:t>
      </w:r>
      <w:r>
        <w:rPr>
          <w:spacing w:val="-1"/>
        </w:rPr>
        <w:t xml:space="preserve"> </w:t>
      </w:r>
      <w:r>
        <w:t>M15-741. Each vial</w:t>
      </w:r>
      <w:r>
        <w:rPr>
          <w:spacing w:val="-2"/>
        </w:rPr>
        <w:t xml:space="preserve"> </w:t>
      </w:r>
      <w:r>
        <w:t>delivers 2400</w:t>
      </w:r>
      <w:r>
        <w:rPr>
          <w:spacing w:val="-2"/>
        </w:rPr>
        <w:t xml:space="preserve"> </w:t>
      </w:r>
      <w:r>
        <w:t xml:space="preserve">mg of </w:t>
      </w:r>
      <w:proofErr w:type="spellStart"/>
      <w:r w:rsidR="00A175F6">
        <w:t>foslevodopa</w:t>
      </w:r>
      <w:proofErr w:type="spellEnd"/>
      <w:r>
        <w:t>, thus for a patient receiving a dose greater than 2400mg will need to replace the vial manually and those receiving the maximum dose of 5999mg will need to change three vials a day. The Delegate considers that the above issues are highly likely to have a negative impact</w:t>
      </w:r>
      <w:r>
        <w:rPr>
          <w:spacing w:val="40"/>
        </w:rPr>
        <w:t xml:space="preserve"> </w:t>
      </w:r>
      <w:r>
        <w:t>on</w:t>
      </w:r>
      <w:r>
        <w:rPr>
          <w:spacing w:val="-3"/>
        </w:rPr>
        <w:t xml:space="preserve"> </w:t>
      </w:r>
      <w:r>
        <w:t>patient</w:t>
      </w:r>
      <w:r>
        <w:rPr>
          <w:spacing w:val="-2"/>
        </w:rPr>
        <w:t xml:space="preserve"> </w:t>
      </w:r>
      <w:r>
        <w:t>compliance</w:t>
      </w:r>
      <w:r>
        <w:rPr>
          <w:spacing w:val="-2"/>
        </w:rPr>
        <w:t xml:space="preserve"> </w:t>
      </w:r>
      <w:r>
        <w:t>and</w:t>
      </w:r>
      <w:r>
        <w:rPr>
          <w:spacing w:val="-2"/>
        </w:rPr>
        <w:t xml:space="preserve"> </w:t>
      </w:r>
      <w:r>
        <w:t>increase</w:t>
      </w:r>
      <w:r>
        <w:rPr>
          <w:spacing w:val="-2"/>
        </w:rPr>
        <w:t xml:space="preserve"> </w:t>
      </w:r>
      <w:r>
        <w:t>the</w:t>
      </w:r>
      <w:r>
        <w:rPr>
          <w:spacing w:val="-2"/>
        </w:rPr>
        <w:t xml:space="preserve"> </w:t>
      </w:r>
      <w:r>
        <w:t>risk</w:t>
      </w:r>
      <w:r>
        <w:rPr>
          <w:spacing w:val="-3"/>
        </w:rPr>
        <w:t xml:space="preserve"> </w:t>
      </w:r>
      <w:r>
        <w:t>for</w:t>
      </w:r>
      <w:r>
        <w:rPr>
          <w:spacing w:val="-4"/>
        </w:rPr>
        <w:t xml:space="preserve"> </w:t>
      </w:r>
      <w:r>
        <w:t>infusion-site</w:t>
      </w:r>
      <w:r>
        <w:rPr>
          <w:spacing w:val="-2"/>
        </w:rPr>
        <w:t xml:space="preserve"> </w:t>
      </w:r>
      <w:r>
        <w:t>related</w:t>
      </w:r>
      <w:r>
        <w:rPr>
          <w:spacing w:val="-2"/>
        </w:rPr>
        <w:t xml:space="preserve"> </w:t>
      </w:r>
      <w:r>
        <w:t>events,</w:t>
      </w:r>
      <w:r>
        <w:rPr>
          <w:spacing w:val="-4"/>
        </w:rPr>
        <w:t xml:space="preserve"> </w:t>
      </w:r>
      <w:r>
        <w:t>infection</w:t>
      </w:r>
      <w:r>
        <w:rPr>
          <w:spacing w:val="-3"/>
        </w:rPr>
        <w:t xml:space="preserve"> </w:t>
      </w:r>
      <w:r>
        <w:t>and</w:t>
      </w:r>
      <w:r>
        <w:rPr>
          <w:spacing w:val="-5"/>
        </w:rPr>
        <w:t xml:space="preserve"> </w:t>
      </w:r>
      <w:r>
        <w:t>sepsis.</w:t>
      </w:r>
    </w:p>
    <w:p w14:paraId="7F033DFF" w14:textId="17B1DD80" w:rsidR="00EB573C" w:rsidRDefault="00EB573C" w:rsidP="001F47D7">
      <w:r>
        <w:t>The</w:t>
      </w:r>
      <w:r>
        <w:rPr>
          <w:spacing w:val="-3"/>
        </w:rPr>
        <w:t xml:space="preserve"> </w:t>
      </w:r>
      <w:r>
        <w:t>lack</w:t>
      </w:r>
      <w:r>
        <w:rPr>
          <w:spacing w:val="-4"/>
        </w:rPr>
        <w:t xml:space="preserve"> </w:t>
      </w:r>
      <w:r>
        <w:t>of</w:t>
      </w:r>
      <w:r>
        <w:rPr>
          <w:spacing w:val="-5"/>
        </w:rPr>
        <w:t xml:space="preserve"> </w:t>
      </w:r>
      <w:r>
        <w:t>head-to-head</w:t>
      </w:r>
      <w:r>
        <w:rPr>
          <w:spacing w:val="-5"/>
        </w:rPr>
        <w:t xml:space="preserve"> </w:t>
      </w:r>
      <w:r>
        <w:t>comparison</w:t>
      </w:r>
      <w:r>
        <w:rPr>
          <w:spacing w:val="-4"/>
        </w:rPr>
        <w:t xml:space="preserve"> </w:t>
      </w:r>
      <w:r>
        <w:t>data</w:t>
      </w:r>
      <w:r>
        <w:rPr>
          <w:spacing w:val="-3"/>
        </w:rPr>
        <w:t xml:space="preserve"> </w:t>
      </w:r>
      <w:r>
        <w:t>between</w:t>
      </w:r>
      <w:r>
        <w:rPr>
          <w:spacing w:val="-6"/>
        </w:rPr>
        <w:t xml:space="preserve"> </w:t>
      </w:r>
      <w:r w:rsidR="00A175F6">
        <w:t>foslevodopa</w:t>
      </w:r>
      <w:r>
        <w:t>/foscarbidopa</w:t>
      </w:r>
      <w:r>
        <w:rPr>
          <w:spacing w:val="-3"/>
        </w:rPr>
        <w:t xml:space="preserve"> </w:t>
      </w:r>
      <w:r>
        <w:t>and</w:t>
      </w:r>
      <w:r>
        <w:rPr>
          <w:spacing w:val="-3"/>
        </w:rPr>
        <w:t xml:space="preserve"> </w:t>
      </w:r>
      <w:r w:rsidR="00A175F6">
        <w:t>Duodopa</w:t>
      </w:r>
      <w:r>
        <w:t xml:space="preserve"> limits the ability to make any conclusions regarding comparative treatment benefit for </w:t>
      </w:r>
      <w:r w:rsidR="00A175F6">
        <w:t>foslevodopa</w:t>
      </w:r>
      <w:r>
        <w:t xml:space="preserve">/foscarbidopa, compared to </w:t>
      </w:r>
      <w:r w:rsidR="00A175F6">
        <w:t>Duodopa</w:t>
      </w:r>
      <w:r>
        <w:t>.</w:t>
      </w:r>
    </w:p>
    <w:p w14:paraId="3916F296" w14:textId="77777777" w:rsidR="00C22214" w:rsidRDefault="00C22214" w:rsidP="0091166A">
      <w:pPr>
        <w:pStyle w:val="Heading5"/>
      </w:pPr>
      <w:bookmarkStart w:id="91" w:name="_Toc98931933"/>
      <w:r w:rsidRPr="00D23139">
        <w:t>Proposed action</w:t>
      </w:r>
      <w:bookmarkEnd w:id="91"/>
    </w:p>
    <w:p w14:paraId="7B2037E7" w14:textId="77777777" w:rsidR="0091166A" w:rsidRDefault="00FA2A11" w:rsidP="00FA2A11">
      <w:bookmarkStart w:id="92" w:name="_Toc98931934"/>
      <w:r>
        <w:t xml:space="preserve">Bioequivalence between the </w:t>
      </w:r>
      <w:r w:rsidR="00A175F6">
        <w:t>foslevodopa</w:t>
      </w:r>
      <w:r>
        <w:t xml:space="preserve">/foscarbidopa and the </w:t>
      </w:r>
      <w:r w:rsidR="00A175F6">
        <w:t>Duodopa</w:t>
      </w:r>
      <w:r>
        <w:t xml:space="preserve"> is adequately demonstrated</w:t>
      </w:r>
      <w:r>
        <w:rPr>
          <w:spacing w:val="-2"/>
        </w:rPr>
        <w:t xml:space="preserve"> </w:t>
      </w:r>
      <w:r>
        <w:t>in</w:t>
      </w:r>
      <w:r>
        <w:rPr>
          <w:spacing w:val="-3"/>
        </w:rPr>
        <w:t xml:space="preserve"> </w:t>
      </w:r>
      <w:r>
        <w:t>healthy</w:t>
      </w:r>
      <w:r>
        <w:rPr>
          <w:spacing w:val="-5"/>
        </w:rPr>
        <w:t xml:space="preserve"> </w:t>
      </w:r>
      <w:r>
        <w:t>adults</w:t>
      </w:r>
      <w:r>
        <w:rPr>
          <w:spacing w:val="-3"/>
        </w:rPr>
        <w:t xml:space="preserve"> </w:t>
      </w:r>
      <w:r>
        <w:t>and</w:t>
      </w:r>
      <w:r>
        <w:rPr>
          <w:spacing w:val="-2"/>
        </w:rPr>
        <w:t xml:space="preserve"> </w:t>
      </w:r>
      <w:r>
        <w:t>not</w:t>
      </w:r>
      <w:r>
        <w:rPr>
          <w:spacing w:val="-2"/>
        </w:rPr>
        <w:t xml:space="preserve"> </w:t>
      </w:r>
      <w:r>
        <w:t>in</w:t>
      </w:r>
      <w:r>
        <w:rPr>
          <w:spacing w:val="-3"/>
        </w:rPr>
        <w:t xml:space="preserve"> </w:t>
      </w:r>
      <w:r>
        <w:t>patients</w:t>
      </w:r>
      <w:r>
        <w:rPr>
          <w:spacing w:val="-3"/>
        </w:rPr>
        <w:t xml:space="preserve"> </w:t>
      </w:r>
      <w:r>
        <w:t>with</w:t>
      </w:r>
      <w:r>
        <w:rPr>
          <w:spacing w:val="-2"/>
        </w:rPr>
        <w:t xml:space="preserve"> </w:t>
      </w:r>
      <w:r>
        <w:t>PD.</w:t>
      </w:r>
      <w:r>
        <w:rPr>
          <w:spacing w:val="-4"/>
        </w:rPr>
        <w:t xml:space="preserve"> </w:t>
      </w:r>
      <w:r>
        <w:t>The</w:t>
      </w:r>
      <w:r>
        <w:rPr>
          <w:spacing w:val="-2"/>
        </w:rPr>
        <w:t xml:space="preserve"> </w:t>
      </w:r>
      <w:r>
        <w:t>risks</w:t>
      </w:r>
      <w:r>
        <w:rPr>
          <w:spacing w:val="-2"/>
        </w:rPr>
        <w:t xml:space="preserve"> </w:t>
      </w:r>
      <w:r>
        <w:t>associated</w:t>
      </w:r>
      <w:r>
        <w:rPr>
          <w:spacing w:val="-2"/>
        </w:rPr>
        <w:t xml:space="preserve"> </w:t>
      </w:r>
      <w:r>
        <w:t>with</w:t>
      </w:r>
      <w:r>
        <w:rPr>
          <w:spacing w:val="-2"/>
        </w:rPr>
        <w:t xml:space="preserve"> </w:t>
      </w:r>
      <w:r>
        <w:t>the cumulative</w:t>
      </w:r>
      <w:r>
        <w:rPr>
          <w:spacing w:val="-3"/>
        </w:rPr>
        <w:t xml:space="preserve"> </w:t>
      </w:r>
      <w:r>
        <w:t>exposure</w:t>
      </w:r>
      <w:r>
        <w:rPr>
          <w:spacing w:val="-3"/>
        </w:rPr>
        <w:t xml:space="preserve"> </w:t>
      </w:r>
      <w:r>
        <w:t>to</w:t>
      </w:r>
      <w:r>
        <w:rPr>
          <w:spacing w:val="-3"/>
        </w:rPr>
        <w:t xml:space="preserve"> </w:t>
      </w:r>
      <w:r>
        <w:t>hydrazine</w:t>
      </w:r>
      <w:r>
        <w:rPr>
          <w:spacing w:val="-3"/>
        </w:rPr>
        <w:t xml:space="preserve"> </w:t>
      </w:r>
      <w:r>
        <w:t>and</w:t>
      </w:r>
      <w:r>
        <w:rPr>
          <w:spacing w:val="-3"/>
        </w:rPr>
        <w:t xml:space="preserve"> </w:t>
      </w:r>
      <w:r>
        <w:t>absolute</w:t>
      </w:r>
      <w:r>
        <w:rPr>
          <w:spacing w:val="-3"/>
        </w:rPr>
        <w:t xml:space="preserve"> </w:t>
      </w:r>
      <w:r>
        <w:t>and</w:t>
      </w:r>
      <w:r>
        <w:rPr>
          <w:spacing w:val="-3"/>
        </w:rPr>
        <w:t xml:space="preserve"> </w:t>
      </w:r>
      <w:r>
        <w:t>cumulative</w:t>
      </w:r>
      <w:r>
        <w:rPr>
          <w:spacing w:val="-3"/>
        </w:rPr>
        <w:t xml:space="preserve"> </w:t>
      </w:r>
      <w:r>
        <w:t>exposure</w:t>
      </w:r>
      <w:r>
        <w:rPr>
          <w:spacing w:val="-3"/>
        </w:rPr>
        <w:t xml:space="preserve"> </w:t>
      </w:r>
      <w:r>
        <w:t>to</w:t>
      </w:r>
      <w:r>
        <w:rPr>
          <w:spacing w:val="-3"/>
        </w:rPr>
        <w:t xml:space="preserve"> </w:t>
      </w:r>
      <w:r>
        <w:t>uranium</w:t>
      </w:r>
      <w:r>
        <w:rPr>
          <w:spacing w:val="-4"/>
        </w:rPr>
        <w:t xml:space="preserve"> </w:t>
      </w:r>
      <w:r>
        <w:t>in</w:t>
      </w:r>
      <w:r>
        <w:rPr>
          <w:spacing w:val="-4"/>
        </w:rPr>
        <w:t xml:space="preserve"> </w:t>
      </w:r>
      <w:r>
        <w:t xml:space="preserve">patients with advanced PD is a critical issue. Studies that were aimed to provide comparative efficacy and safety between </w:t>
      </w:r>
      <w:r w:rsidR="00A175F6">
        <w:t>foslevodopa</w:t>
      </w:r>
      <w:r>
        <w:t xml:space="preserve">/foscarbidopa are limited by the lack of internal validity, low number of participants and short duration. </w:t>
      </w:r>
    </w:p>
    <w:p w14:paraId="374AF559" w14:textId="64891CBC" w:rsidR="00FA2A11" w:rsidRDefault="00FA2A11" w:rsidP="00FA2A11">
      <w:r>
        <w:t xml:space="preserve">As a new fixed dose combination medicine, containing two new chemical entities, the long-term efficacy and safety data for </w:t>
      </w:r>
      <w:r w:rsidR="00A175F6">
        <w:t>foslevodopa</w:t>
      </w:r>
      <w:r>
        <w:t>/foscarbidopa is lacking in this submission.</w:t>
      </w:r>
    </w:p>
    <w:p w14:paraId="0D171812" w14:textId="77777777" w:rsidR="00C22214" w:rsidRDefault="00C22214" w:rsidP="00C22214">
      <w:pPr>
        <w:pStyle w:val="Heading4"/>
      </w:pPr>
      <w:bookmarkStart w:id="93" w:name="_Toc182486559"/>
      <w:bookmarkEnd w:id="92"/>
      <w:r>
        <w:t>Independent expert advice</w:t>
      </w:r>
      <w:bookmarkEnd w:id="93"/>
    </w:p>
    <w:p w14:paraId="4A031B64" w14:textId="77777777" w:rsidR="00C22214" w:rsidRDefault="00C22214" w:rsidP="00C22214">
      <w:pPr>
        <w:rPr>
          <w:szCs w:val="22"/>
        </w:rPr>
      </w:pPr>
      <w:r w:rsidRPr="00BD5DBD">
        <w:rPr>
          <w:szCs w:val="22"/>
        </w:rPr>
        <w:t>The Delegate received the following independent expert advice.</w:t>
      </w:r>
    </w:p>
    <w:p w14:paraId="318CFABC" w14:textId="108E67F8" w:rsidR="00C22214" w:rsidRPr="00F73346" w:rsidRDefault="00C22214" w:rsidP="000D6440">
      <w:pPr>
        <w:pStyle w:val="Heading5"/>
      </w:pPr>
      <w:bookmarkStart w:id="94" w:name="_Toc98931936"/>
      <w:bookmarkStart w:id="95" w:name="_Toc247691532"/>
      <w:bookmarkStart w:id="96" w:name="_Toc314842516"/>
      <w:r w:rsidRPr="00F73346">
        <w:t xml:space="preserve">Advisory Committee </w:t>
      </w:r>
      <w:r w:rsidR="008C43B1">
        <w:t xml:space="preserve">on Medicines (ACM) </w:t>
      </w:r>
      <w:r w:rsidRPr="00F73346">
        <w:t>considerations</w:t>
      </w:r>
      <w:bookmarkEnd w:id="94"/>
    </w:p>
    <w:p w14:paraId="087BB9CB" w14:textId="77270E09" w:rsidR="00C22214" w:rsidRPr="00BD5DBD" w:rsidRDefault="00C22214" w:rsidP="00C22214">
      <w:pPr>
        <w:rPr>
          <w:bCs/>
          <w:szCs w:val="22"/>
        </w:rPr>
      </w:pPr>
      <w:r w:rsidRPr="00BD5DBD">
        <w:rPr>
          <w:bCs/>
          <w:szCs w:val="22"/>
        </w:rPr>
        <w:t xml:space="preserve">The </w:t>
      </w:r>
      <w:hyperlink r:id="rId3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11C9F653" w:rsidR="00C22214" w:rsidRDefault="00C22214" w:rsidP="00C22214">
      <w:pPr>
        <w:pStyle w:val="Heading5"/>
      </w:pPr>
      <w:r w:rsidRPr="00F73346">
        <w:t>Specific advice</w:t>
      </w:r>
      <w:r w:rsidR="000D6440">
        <w:t xml:space="preserve"> from the ACM</w:t>
      </w:r>
      <w:r w:rsidRPr="00F73346">
        <w:t xml:space="preserve"> to the Delegate</w:t>
      </w:r>
    </w:p>
    <w:p w14:paraId="4697535B" w14:textId="089E14CE" w:rsidR="004A147F" w:rsidRPr="00B62F76" w:rsidRDefault="004A147F" w:rsidP="00B62F76">
      <w:pPr>
        <w:pStyle w:val="Numberbullet0"/>
        <w:numPr>
          <w:ilvl w:val="0"/>
          <w:numId w:val="40"/>
        </w:numPr>
        <w:rPr>
          <w:b/>
          <w:bCs/>
          <w:i/>
          <w:iCs/>
        </w:rPr>
      </w:pPr>
      <w:r w:rsidRPr="00B62F76">
        <w:rPr>
          <w:b/>
          <w:bCs/>
          <w:i/>
          <w:iCs/>
        </w:rPr>
        <w:t xml:space="preserve">Please comment on the risks (absolute and cumulative) associated with hydrazine as an impurity in Vyalev and its potential long-term effects in patients with advanced Parkinson’s disease, particularly in view of its carcinogenic potential in rodents. Are there any concerns regarding the level and bioavailability of hydrazine from subcutaneous route of administration of </w:t>
      </w:r>
      <w:proofErr w:type="spellStart"/>
      <w:r w:rsidRPr="00B62F76">
        <w:rPr>
          <w:b/>
          <w:bCs/>
          <w:i/>
          <w:iCs/>
        </w:rPr>
        <w:t>Vyalev</w:t>
      </w:r>
      <w:proofErr w:type="spellEnd"/>
      <w:r w:rsidRPr="00B62F76">
        <w:rPr>
          <w:b/>
          <w:bCs/>
          <w:i/>
          <w:iCs/>
        </w:rPr>
        <w:t>?</w:t>
      </w:r>
    </w:p>
    <w:p w14:paraId="72003ABC" w14:textId="3390D33E" w:rsidR="004A147F" w:rsidRDefault="004A147F" w:rsidP="003579E5">
      <w:r>
        <w:t>The ACM noted that hydrazine is a reagent used in the synthesis of carbidopa and is present as a degradation impurity of foscarbidopa in Vyalev. Hydrazine is noted to be genotoxic, a rodent carcinogen and a possible human carcinogen with cumulative exposure. The ACM noted the proposed finished product limits for hydrazine (relative to the foscarbidopa) for clinical in-use are 1740 ppm.</w:t>
      </w:r>
    </w:p>
    <w:p w14:paraId="0DDA3EE1" w14:textId="5604B209" w:rsidR="004A147F" w:rsidRDefault="004A147F" w:rsidP="003579E5">
      <w:r>
        <w:t>The ACM noted that the risks of hydrazine are cumulative but difficult to clinically quantify given the inconclusive evidence regarding whether hydrazine is mutagenic or non-mutagenic, and the lack of human and subcutaneous toxicity data.</w:t>
      </w:r>
    </w:p>
    <w:p w14:paraId="6FCB0A0A" w14:textId="35277FB6" w:rsidR="004A147F" w:rsidRDefault="004A147F" w:rsidP="0071550A">
      <w:r>
        <w:t xml:space="preserve">The toxicity assessment was completed based off data from animal modelling and assumed a life-time hydrazine exposure however potential patients receiving Vyalev will not be exposed for 70 years. It is noted that this product will not be used for a lifetime hence the use calculation of cancer risk by the sponsor across 5, 10 and 20 years. The ACM considered that given patients with advanced PD likely have a further 10 years of life, this is a suitable approach. </w:t>
      </w:r>
    </w:p>
    <w:p w14:paraId="5B4D2009" w14:textId="204FFEC6" w:rsidR="004A147F" w:rsidRDefault="004A147F" w:rsidP="003579E5">
      <w:r>
        <w:t xml:space="preserve">The ACM also noted lower hydrazine levels in Vyalev than in </w:t>
      </w:r>
      <w:r w:rsidR="00A175F6">
        <w:t>Duodopa</w:t>
      </w:r>
      <w:r>
        <w:t xml:space="preserve">, which is administered enterally not subcutaneously, and there have been no post market safety signals related to hydrazine exposure nor increased cancer incidence from </w:t>
      </w:r>
      <w:proofErr w:type="spellStart"/>
      <w:r w:rsidR="00A175F6">
        <w:t>Duodopa</w:t>
      </w:r>
      <w:proofErr w:type="spellEnd"/>
      <w:r>
        <w:t xml:space="preserve"> to date.</w:t>
      </w:r>
    </w:p>
    <w:p w14:paraId="38D2E398" w14:textId="364414B1" w:rsidR="004A147F" w:rsidRDefault="004A147F" w:rsidP="0071550A">
      <w:r>
        <w:t xml:space="preserve">The ACM was of the view that although human exposure to hydrazine in Vyalev likely exceeds permissible daily exposure (PDE) and Acceptable Intake (AI) levels, the risk of patient harm from subcutaneous administration resulting from the potential durations of Vyalev therapy is difficult to quantify. However, the ACM considered the hydrazine levels at the maximum limit to be concerning and advised that hydrazine levels </w:t>
      </w:r>
      <w:r w:rsidR="00CC3FB3">
        <w:t>should</w:t>
      </w:r>
      <w:r>
        <w:t xml:space="preserve"> be kept as low as practicable.</w:t>
      </w:r>
    </w:p>
    <w:p w14:paraId="0D720E65" w14:textId="1BC02B26" w:rsidR="004A147F" w:rsidRDefault="004A147F" w:rsidP="003579E5">
      <w:r>
        <w:t xml:space="preserve">The ACM agreed that this risk </w:t>
      </w:r>
      <w:r w:rsidR="00CC3FB3">
        <w:t>should</w:t>
      </w:r>
      <w:r>
        <w:t xml:space="preserve"> be clearly highlighted in the Product Information.</w:t>
      </w:r>
    </w:p>
    <w:p w14:paraId="4C17E622" w14:textId="6CDA9381" w:rsidR="00AB0319" w:rsidRPr="0057713D" w:rsidRDefault="004A147F" w:rsidP="0057713D">
      <w:pPr>
        <w:pStyle w:val="Numberbullet0"/>
        <w:rPr>
          <w:b/>
          <w:bCs/>
          <w:i/>
          <w:iCs/>
        </w:rPr>
      </w:pPr>
      <w:r w:rsidRPr="0057713D">
        <w:rPr>
          <w:b/>
          <w:bCs/>
          <w:i/>
          <w:iCs/>
        </w:rPr>
        <w:t>Please comment on the risks (absolute and cumulative) associated with uranium as an impurity in Vyalev and its potential long-term effects.</w:t>
      </w:r>
    </w:p>
    <w:p w14:paraId="6B9EF9CD" w14:textId="61CFB4D8" w:rsidR="004A147F" w:rsidRPr="0071550A" w:rsidRDefault="004A147F" w:rsidP="0071550A">
      <w:pPr>
        <w:pStyle w:val="Numberbullet2"/>
        <w:rPr>
          <w:b/>
          <w:bCs/>
          <w:i/>
          <w:iCs/>
        </w:rPr>
      </w:pPr>
      <w:r w:rsidRPr="0071550A">
        <w:rPr>
          <w:b/>
          <w:bCs/>
          <w:i/>
          <w:iCs/>
        </w:rPr>
        <w:t xml:space="preserve">At this stage, are there any concerns regarding the uncertainties related to the level of uranium? </w:t>
      </w:r>
    </w:p>
    <w:p w14:paraId="4CE227C1" w14:textId="3AD16CA0" w:rsidR="004A147F" w:rsidRPr="0071550A" w:rsidRDefault="004A147F" w:rsidP="0071550A">
      <w:pPr>
        <w:pStyle w:val="Numberbullet2"/>
        <w:rPr>
          <w:b/>
          <w:bCs/>
          <w:i/>
          <w:iCs/>
        </w:rPr>
      </w:pPr>
      <w:r w:rsidRPr="0071550A">
        <w:rPr>
          <w:b/>
          <w:bCs/>
          <w:i/>
          <w:iCs/>
        </w:rPr>
        <w:t xml:space="preserve">b. Does the committee consider that the actual level of uranium in Vyalev </w:t>
      </w:r>
      <w:r w:rsidR="00CC3FB3" w:rsidRPr="0071550A">
        <w:rPr>
          <w:b/>
          <w:bCs/>
          <w:i/>
          <w:iCs/>
        </w:rPr>
        <w:t>should</w:t>
      </w:r>
      <w:r w:rsidRPr="0071550A">
        <w:rPr>
          <w:b/>
          <w:bCs/>
          <w:i/>
          <w:iCs/>
        </w:rPr>
        <w:t xml:space="preserve"> be demonstrated by the Sponsor’s proposed analytical method prior to registration of this product on the ARTG?</w:t>
      </w:r>
    </w:p>
    <w:p w14:paraId="475187F6" w14:textId="530B9ECC" w:rsidR="004A147F" w:rsidRDefault="004A147F" w:rsidP="0071550A">
      <w:r>
        <w:t xml:space="preserve">The ACM noted that uranium was identified as a possible impurity from the phosphorylation steps in the synthesis of </w:t>
      </w:r>
      <w:r w:rsidR="00A175F6">
        <w:t>foslevodopa</w:t>
      </w:r>
      <w:r>
        <w:t xml:space="preserve"> and foscarbidopa. The contaminant uranium species has not been identified, and the ACM was of the view that as that toxicity varies with solubility, the associated risk cannot be properly elucidated until this is characterised. It was noted that the low level of uranium was attributed as a challenge to characterise the species of uranium.</w:t>
      </w:r>
    </w:p>
    <w:p w14:paraId="1DD9BDCA" w14:textId="7FD7CAFA" w:rsidR="004A147F" w:rsidRDefault="004A147F" w:rsidP="003579E5">
      <w:r>
        <w:t>Uranium has been shown to be poorly absorbed following inhalation, oral or dermal exposure in rat models, but SC administration resulted in higher uranium bioavailability. Uranium has a long half-life (70-200 days in bones) however the implications of uranium accumulation and potential nephrotoxic effects is unknown following SC administration. Due to the paucity of human data, it is noted that the toxicology assessment is based on animal data.</w:t>
      </w:r>
    </w:p>
    <w:p w14:paraId="4552A48E" w14:textId="1492D4FB" w:rsidR="004A147F" w:rsidRDefault="004A147F" w:rsidP="003579E5">
      <w:r>
        <w:t xml:space="preserve">The maximum uranium exposure following </w:t>
      </w:r>
      <w:r w:rsidR="00A175F6">
        <w:t>foslevodopa</w:t>
      </w:r>
      <w:r>
        <w:t xml:space="preserve">/foscarbidopa infusion (1.1 μg/day) is ten times higher than the maximum recommended levels of uranium in humans (0.12 μg/day) so the risk of development of renal toxicity remains, particularly in view of the continuous infusion. The ACM noted that the Sponsor has confirmed that they have adopted the required control strategy to achieve the level of uranium (0.02 ppm or 0.12 μg/day) as stipulated by the toxicology evaluator, however the ACM note it is likely to take additional time to measure uranium down to a Permitted Daily Exposure level of 0.12 μg/day. The ACM noted different detection limits existed for </w:t>
      </w:r>
      <w:r w:rsidR="00A175F6">
        <w:t>foslevodopa</w:t>
      </w:r>
      <w:r>
        <w:t xml:space="preserve"> (&lt; 0.18 ppm) and foscarbidopa (&lt; 0.04 ppm) and advised additional information </w:t>
      </w:r>
      <w:proofErr w:type="gramStart"/>
      <w:r>
        <w:t>be</w:t>
      </w:r>
      <w:proofErr w:type="gramEnd"/>
      <w:r>
        <w:t xml:space="preserve"> provided to substantiate this difference.</w:t>
      </w:r>
    </w:p>
    <w:p w14:paraId="0E7FC1F1" w14:textId="600153E9" w:rsidR="004A147F" w:rsidRDefault="004A147F" w:rsidP="003579E5">
      <w:r>
        <w:t>The ACM expressed concern regarding potential risks not just to the patient, but to carers and healthcare professionals handling and disposing of the product, device and infusion set, and through urinary excretion.</w:t>
      </w:r>
    </w:p>
    <w:p w14:paraId="563FF2AC" w14:textId="77777777" w:rsidR="004A147F" w:rsidRDefault="004A147F" w:rsidP="003579E5">
      <w:r>
        <w:t xml:space="preserve">The ACM noted that the uranium content validated analytical method will be submitted by the end of quarter 1 2023. The ACM advised the TGA to await this data given the multiple uncertainties present at this stage which impact the risk-benefit profile. </w:t>
      </w:r>
    </w:p>
    <w:p w14:paraId="47A2C662" w14:textId="74B3170F" w:rsidR="004A147F" w:rsidRPr="0057713D" w:rsidRDefault="004A147F" w:rsidP="0057713D">
      <w:pPr>
        <w:pStyle w:val="Numberbullet0"/>
        <w:rPr>
          <w:b/>
          <w:bCs/>
          <w:i/>
          <w:iCs/>
        </w:rPr>
      </w:pPr>
      <w:r w:rsidRPr="0057713D">
        <w:rPr>
          <w:b/>
          <w:bCs/>
          <w:i/>
          <w:iCs/>
        </w:rPr>
        <w:t>The TGA</w:t>
      </w:r>
      <w:r w:rsidR="0057713D">
        <w:rPr>
          <w:b/>
          <w:bCs/>
          <w:i/>
          <w:iCs/>
        </w:rPr>
        <w:t>-</w:t>
      </w:r>
      <w:r w:rsidRPr="0057713D">
        <w:rPr>
          <w:b/>
          <w:bCs/>
          <w:i/>
          <w:iCs/>
        </w:rPr>
        <w:t xml:space="preserve">approved </w:t>
      </w:r>
      <w:r w:rsidR="00A175F6">
        <w:rPr>
          <w:b/>
          <w:bCs/>
          <w:i/>
          <w:iCs/>
        </w:rPr>
        <w:t>Duodopa</w:t>
      </w:r>
      <w:r w:rsidRPr="0057713D">
        <w:rPr>
          <w:b/>
          <w:bCs/>
          <w:i/>
          <w:iCs/>
        </w:rPr>
        <w:t xml:space="preserve"> PI states that “Continuous </w:t>
      </w:r>
      <w:r w:rsidR="0025741F">
        <w:rPr>
          <w:b/>
          <w:bCs/>
          <w:i/>
          <w:iCs/>
        </w:rPr>
        <w:t>l</w:t>
      </w:r>
      <w:r w:rsidR="00A175F6">
        <w:rPr>
          <w:b/>
          <w:bCs/>
          <w:i/>
          <w:iCs/>
        </w:rPr>
        <w:t>evodopa</w:t>
      </w:r>
      <w:r w:rsidRPr="0057713D">
        <w:rPr>
          <w:b/>
          <w:bCs/>
          <w:i/>
          <w:iCs/>
        </w:rPr>
        <w:t xml:space="preserve"> administration may lead to the development of tolerance and reduction of therapeutic effect”. This possibility was one of the rationale</w:t>
      </w:r>
      <w:r w:rsidR="0057713D">
        <w:rPr>
          <w:b/>
          <w:bCs/>
          <w:i/>
          <w:iCs/>
        </w:rPr>
        <w:t>s</w:t>
      </w:r>
      <w:r w:rsidRPr="0057713D">
        <w:rPr>
          <w:b/>
          <w:bCs/>
          <w:i/>
          <w:iCs/>
        </w:rPr>
        <w:t xml:space="preserve"> to suspend the </w:t>
      </w:r>
      <w:r w:rsidR="00A175F6">
        <w:rPr>
          <w:b/>
          <w:bCs/>
          <w:i/>
          <w:iCs/>
        </w:rPr>
        <w:t>Duodopa</w:t>
      </w:r>
      <w:r w:rsidRPr="0057713D">
        <w:rPr>
          <w:b/>
          <w:bCs/>
          <w:i/>
          <w:iCs/>
        </w:rPr>
        <w:t xml:space="preserve"> infusion overnight. Does the ACM consider the above issues as a limitation for </w:t>
      </w:r>
      <w:proofErr w:type="spellStart"/>
      <w:r w:rsidRPr="0057713D">
        <w:rPr>
          <w:b/>
          <w:bCs/>
          <w:i/>
          <w:iCs/>
        </w:rPr>
        <w:t>Vyalev</w:t>
      </w:r>
      <w:proofErr w:type="spellEnd"/>
      <w:r w:rsidRPr="0057713D">
        <w:rPr>
          <w:b/>
          <w:bCs/>
          <w:i/>
          <w:iCs/>
        </w:rPr>
        <w:t xml:space="preserve"> when </w:t>
      </w:r>
      <w:r w:rsidR="0025741F">
        <w:rPr>
          <w:b/>
          <w:bCs/>
          <w:i/>
          <w:iCs/>
        </w:rPr>
        <w:t>l</w:t>
      </w:r>
      <w:r w:rsidR="00A175F6">
        <w:rPr>
          <w:b/>
          <w:bCs/>
          <w:i/>
          <w:iCs/>
        </w:rPr>
        <w:t>evodopa</w:t>
      </w:r>
      <w:r w:rsidRPr="0057713D">
        <w:rPr>
          <w:b/>
          <w:bCs/>
          <w:i/>
          <w:iCs/>
        </w:rPr>
        <w:t xml:space="preserve"> will be administered as a continuous infusion? If so, does the ACM consider there is a need for long term efficacy data at this stage? </w:t>
      </w:r>
    </w:p>
    <w:p w14:paraId="30251394" w14:textId="2DFCEA5C" w:rsidR="004A147F" w:rsidRDefault="004A147F" w:rsidP="003579E5">
      <w:r>
        <w:t>The ACM was of the view that continuous dosing is not an issue.</w:t>
      </w:r>
    </w:p>
    <w:p w14:paraId="196CD0B6" w14:textId="5AB7A7A8" w:rsidR="004A147F" w:rsidRDefault="004A147F" w:rsidP="003579E5">
      <w:r>
        <w:t xml:space="preserve">The ACM considered the need in advanced PD to maintain additional dopaminergic stimulation for as much of the 24-hour period as possible, and there are patients who require 24-hour treatment with </w:t>
      </w:r>
      <w:r w:rsidR="00A175F6">
        <w:t>Duodopa</w:t>
      </w:r>
      <w:r>
        <w:t xml:space="preserve"> or require oral </w:t>
      </w:r>
      <w:r w:rsidR="0025741F">
        <w:t>l</w:t>
      </w:r>
      <w:r w:rsidR="00A175F6">
        <w:t>evodopa</w:t>
      </w:r>
      <w:r>
        <w:t>/carbidopa doses overnight to maintain mobility and symptom control, to ensure comfortable sleeping positions and reduce falls risk attending the bathroom overnight.</w:t>
      </w:r>
    </w:p>
    <w:p w14:paraId="7E8F9594" w14:textId="52A7C8DF" w:rsidR="004A147F" w:rsidRDefault="004A147F" w:rsidP="003579E5">
      <w:r>
        <w:t xml:space="preserve">The ACM noted the lack of evidence to support this concern of tolerance with continuous </w:t>
      </w:r>
      <w:r w:rsidR="0025741F">
        <w:t>l</w:t>
      </w:r>
      <w:r w:rsidR="00A175F6">
        <w:t>evodopa</w:t>
      </w:r>
      <w:r>
        <w:t xml:space="preserve"> administration and was of the view that it is unlikely that tolerance is a significant issue, rather it is likely a ho</w:t>
      </w:r>
      <w:r w:rsidR="00B46AD8">
        <w:t>ld</w:t>
      </w:r>
      <w:r>
        <w:t xml:space="preserve">over from historical ideas regarding neuroprotection and </w:t>
      </w:r>
      <w:r w:rsidR="0025741F">
        <w:t>l</w:t>
      </w:r>
      <w:r w:rsidR="00A175F6">
        <w:t>evodopa</w:t>
      </w:r>
      <w:r>
        <w:t xml:space="preserve"> toxicity which have been disproven.</w:t>
      </w:r>
    </w:p>
    <w:p w14:paraId="656A4932" w14:textId="52F1CBD3" w:rsidR="004A147F" w:rsidRDefault="004A147F" w:rsidP="0071550A">
      <w:r>
        <w:t xml:space="preserve">Maintenance of effect and long-term safety data </w:t>
      </w:r>
      <w:r w:rsidR="00CC3FB3">
        <w:t>would</w:t>
      </w:r>
      <w:r>
        <w:t xml:space="preserve"> provide additional reassurance when available. </w:t>
      </w:r>
    </w:p>
    <w:p w14:paraId="3986FBE0" w14:textId="1B50F320" w:rsidR="004A147F" w:rsidRPr="0057713D" w:rsidRDefault="004A147F" w:rsidP="0057713D">
      <w:pPr>
        <w:pStyle w:val="Numberbullet0"/>
        <w:rPr>
          <w:b/>
          <w:bCs/>
          <w:i/>
          <w:iCs/>
        </w:rPr>
      </w:pPr>
      <w:r w:rsidRPr="0057713D">
        <w:rPr>
          <w:b/>
          <w:bCs/>
          <w:i/>
          <w:iCs/>
        </w:rPr>
        <w:t xml:space="preserve">In view of the relatively higher dose of </w:t>
      </w:r>
      <w:r w:rsidR="0025741F">
        <w:rPr>
          <w:b/>
          <w:bCs/>
          <w:i/>
          <w:iCs/>
        </w:rPr>
        <w:t>l</w:t>
      </w:r>
      <w:r w:rsidR="00A175F6">
        <w:rPr>
          <w:b/>
          <w:bCs/>
          <w:i/>
          <w:iCs/>
        </w:rPr>
        <w:t>evodopa</w:t>
      </w:r>
      <w:r w:rsidRPr="0057713D">
        <w:rPr>
          <w:b/>
          <w:bCs/>
          <w:i/>
          <w:iCs/>
        </w:rPr>
        <w:t xml:space="preserve"> in </w:t>
      </w:r>
      <w:proofErr w:type="spellStart"/>
      <w:r w:rsidRPr="0057713D">
        <w:rPr>
          <w:b/>
          <w:bCs/>
          <w:i/>
          <w:iCs/>
        </w:rPr>
        <w:t>Vyalev</w:t>
      </w:r>
      <w:proofErr w:type="spellEnd"/>
      <w:r w:rsidRPr="0057713D">
        <w:rPr>
          <w:b/>
          <w:bCs/>
          <w:i/>
          <w:iCs/>
        </w:rPr>
        <w:t xml:space="preserve">, compared to </w:t>
      </w:r>
      <w:proofErr w:type="spellStart"/>
      <w:r w:rsidR="00A175F6">
        <w:rPr>
          <w:b/>
          <w:bCs/>
          <w:i/>
          <w:iCs/>
        </w:rPr>
        <w:t>Duodopa</w:t>
      </w:r>
      <w:proofErr w:type="spellEnd"/>
      <w:r w:rsidRPr="0057713D">
        <w:rPr>
          <w:b/>
          <w:bCs/>
          <w:i/>
          <w:iCs/>
        </w:rPr>
        <w:t xml:space="preserve">, are there any concerns for motor complications due to </w:t>
      </w:r>
      <w:r w:rsidR="0025741F">
        <w:rPr>
          <w:b/>
          <w:bCs/>
          <w:i/>
          <w:iCs/>
        </w:rPr>
        <w:t>l</w:t>
      </w:r>
      <w:r w:rsidR="00A175F6">
        <w:rPr>
          <w:b/>
          <w:bCs/>
          <w:i/>
          <w:iCs/>
        </w:rPr>
        <w:t>evodopa</w:t>
      </w:r>
      <w:r w:rsidRPr="0057713D">
        <w:rPr>
          <w:b/>
          <w:bCs/>
          <w:i/>
          <w:iCs/>
        </w:rPr>
        <w:t xml:space="preserve">? If so, does the ACM consider there is a need for long term efficacy data at this stage? </w:t>
      </w:r>
    </w:p>
    <w:p w14:paraId="73F33A9C" w14:textId="38848544" w:rsidR="004A147F" w:rsidRDefault="004A147F" w:rsidP="003579E5">
      <w:r>
        <w:t xml:space="preserve">The ACM considered that motor fluctuations and dyskinesia are known dose-related complications of </w:t>
      </w:r>
      <w:r w:rsidR="0025741F">
        <w:t>l</w:t>
      </w:r>
      <w:r w:rsidR="00A175F6">
        <w:t>evodopa</w:t>
      </w:r>
      <w:r>
        <w:t xml:space="preserve"> in the advanced PD patient cohort.</w:t>
      </w:r>
    </w:p>
    <w:p w14:paraId="551C6829" w14:textId="4EF9583F" w:rsidR="004A147F" w:rsidRDefault="004A147F" w:rsidP="003579E5">
      <w:r>
        <w:t xml:space="preserve">The ACM noted there was an immaturity to the data, however advised that there is long term experience with </w:t>
      </w:r>
      <w:r w:rsidR="0025741F">
        <w:t>l</w:t>
      </w:r>
      <w:r w:rsidR="00A175F6">
        <w:t>evodopa</w:t>
      </w:r>
      <w:r>
        <w:t xml:space="preserve"> via other routes of administration. The ACM noted pharmacokinetic data in healthy adults (M17-220 and M20-141) and the single arm efficacy trial did provide some reassurance, however noted that efficacy data from a controlled trial </w:t>
      </w:r>
      <w:r w:rsidR="00CC3FB3">
        <w:t>would</w:t>
      </w:r>
      <w:r>
        <w:t xml:space="preserve"> enable additional assessment. The ACM advised that longer term efficacy data </w:t>
      </w:r>
      <w:r w:rsidR="00CC3FB3">
        <w:t>would</w:t>
      </w:r>
      <w:r>
        <w:t xml:space="preserve"> be useful when available.</w:t>
      </w:r>
    </w:p>
    <w:p w14:paraId="3DD4BF8A" w14:textId="40CCFBBE" w:rsidR="004A147F" w:rsidRDefault="004A147F" w:rsidP="003579E5">
      <w:r>
        <w:t xml:space="preserve">The ACM discussed the toxicity profile of </w:t>
      </w:r>
      <w:r w:rsidR="0025741F">
        <w:t>l</w:t>
      </w:r>
      <w:r w:rsidR="00A175F6">
        <w:t>evodopa</w:t>
      </w:r>
      <w:r>
        <w:t xml:space="preserve"> and was of the view that the idea that </w:t>
      </w:r>
      <w:r w:rsidR="0025741F">
        <w:t>l</w:t>
      </w:r>
      <w:r w:rsidR="00A175F6">
        <w:t>evodopa</w:t>
      </w:r>
      <w:r>
        <w:t xml:space="preserve"> is neurotoxic is likely overstated and historical. The ACM advised that in current practice </w:t>
      </w:r>
      <w:r w:rsidR="0025741F">
        <w:t>l</w:t>
      </w:r>
      <w:r w:rsidR="00A175F6">
        <w:t>evodopa</w:t>
      </w:r>
      <w:r>
        <w:t xml:space="preserve"> dosing is individually monitored and titrated by subspecialist neurologists, who have appropriate expertise and understanding of </w:t>
      </w:r>
      <w:r w:rsidR="0025741F">
        <w:t>l</w:t>
      </w:r>
      <w:r w:rsidR="00A175F6">
        <w:t>evodopa</w:t>
      </w:r>
      <w:r>
        <w:t xml:space="preserve">’s toxicity profile. </w:t>
      </w:r>
    </w:p>
    <w:p w14:paraId="25C4F863" w14:textId="3B967FDB" w:rsidR="004A147F" w:rsidRPr="00130383" w:rsidRDefault="004A147F" w:rsidP="00130383">
      <w:pPr>
        <w:pStyle w:val="Numberbullet0"/>
        <w:rPr>
          <w:b/>
          <w:bCs/>
          <w:i/>
          <w:iCs/>
        </w:rPr>
      </w:pPr>
      <w:r w:rsidRPr="00130383">
        <w:rPr>
          <w:b/>
          <w:bCs/>
          <w:i/>
          <w:iCs/>
        </w:rPr>
        <w:t xml:space="preserve">In view of the infusion-related reactions, sepsis and high treatment-related discontinuation rates based on the interim study results, does the ACM consider there is a need for further long-term safety data at this stage? </w:t>
      </w:r>
    </w:p>
    <w:p w14:paraId="26EDE9CF" w14:textId="078A65EA" w:rsidR="004A147F" w:rsidRDefault="004A147F" w:rsidP="0071550A">
      <w:r>
        <w:t xml:space="preserve">The ACM advised that longer term safety data </w:t>
      </w:r>
      <w:r w:rsidR="00CC3FB3">
        <w:t>would</w:t>
      </w:r>
      <w:r>
        <w:t xml:space="preserve"> be needed to further understand the safety profile of Vyalev, given the high treatment-related discontinuation rate and the correlation to delivery device issues and infusion-related reactions. The ACM noted that both exposure numbers and duration of data collection for safety assessment are limitations to interpretability at this stage and this impacts on the ability to make conclusions regarding safety (with the device) at the stage.</w:t>
      </w:r>
    </w:p>
    <w:p w14:paraId="102F6EC3" w14:textId="77777777" w:rsidR="004A147F" w:rsidRDefault="004A147F" w:rsidP="003579E5">
      <w:r>
        <w:t xml:space="preserve">The ACM also noted that the infusion device requires separate evaluation via the devices pathway and was informed that at this time a device application has not yet been submitted to the TGA. </w:t>
      </w:r>
    </w:p>
    <w:p w14:paraId="69D7A635" w14:textId="662FACFC" w:rsidR="004A147F" w:rsidRPr="00130383" w:rsidRDefault="004A147F" w:rsidP="00130383">
      <w:pPr>
        <w:pStyle w:val="Numberbullet0"/>
        <w:rPr>
          <w:b/>
          <w:bCs/>
          <w:i/>
          <w:iCs/>
        </w:rPr>
      </w:pPr>
      <w:r w:rsidRPr="00130383">
        <w:rPr>
          <w:b/>
          <w:bCs/>
          <w:i/>
          <w:iCs/>
        </w:rPr>
        <w:t xml:space="preserve">Does the ACM consider that the access to Vyalev </w:t>
      </w:r>
      <w:r w:rsidR="00CC3FB3">
        <w:rPr>
          <w:b/>
          <w:bCs/>
          <w:i/>
          <w:iCs/>
        </w:rPr>
        <w:t>should</w:t>
      </w:r>
      <w:r w:rsidRPr="00130383">
        <w:rPr>
          <w:b/>
          <w:bCs/>
          <w:i/>
          <w:iCs/>
        </w:rPr>
        <w:t xml:space="preserve"> be restricted to those prescribers who have completed training for the use of the infusion device? </w:t>
      </w:r>
    </w:p>
    <w:p w14:paraId="35AA50D6" w14:textId="63748032" w:rsidR="004A147F" w:rsidRDefault="004A147F" w:rsidP="003579E5">
      <w:r>
        <w:t xml:space="preserve">The ACM highlighted that usability of the infusion device is an important safety consideration and expected that education and clinical support on usage </w:t>
      </w:r>
      <w:r w:rsidR="00CC3FB3">
        <w:t>would</w:t>
      </w:r>
      <w:r>
        <w:t xml:space="preserve"> be provided by the sponsor to users and healthcare professionals in line with other products for advanced PD. The ACM also noted that it is reasonable to assume that patients and carers will be able to change the SC catheter and load the medication into the device.</w:t>
      </w:r>
    </w:p>
    <w:p w14:paraId="61EBE15B" w14:textId="113C3510" w:rsidR="004A147F" w:rsidRDefault="004A147F" w:rsidP="0071550A">
      <w:r>
        <w:t xml:space="preserve">The ACM agreed that prescribing access </w:t>
      </w:r>
      <w:r w:rsidR="00CC3FB3">
        <w:t>should</w:t>
      </w:r>
      <w:r>
        <w:t xml:space="preserve"> mirror other comparable agents within this </w:t>
      </w:r>
      <w:r w:rsidRPr="00630FE1">
        <w:t>fie</w:t>
      </w:r>
      <w:r w:rsidR="00630FE1" w:rsidRPr="00630FE1">
        <w:t>ld</w:t>
      </w:r>
      <w:r w:rsidRPr="00630FE1">
        <w:t>.</w:t>
      </w:r>
      <w:r>
        <w:t xml:space="preserve"> </w:t>
      </w:r>
    </w:p>
    <w:p w14:paraId="31314211" w14:textId="6B69D698" w:rsidR="004A147F" w:rsidRDefault="004A147F" w:rsidP="003579E5">
      <w:r>
        <w:t xml:space="preserve">The ACM noted the 40% patient discontinuation rate within the clinical trial (M15-741) in addition to the ‘product complaints’ adverse event of interest and discussed, whether discontinuation was due to infusion device issues. The ACM queried whether additional training </w:t>
      </w:r>
      <w:r w:rsidR="00CC3FB3">
        <w:t>would</w:t>
      </w:r>
      <w:r>
        <w:t xml:space="preserve"> improve the usability of the infusion device.</w:t>
      </w:r>
    </w:p>
    <w:p w14:paraId="49C05021" w14:textId="4462D4EE" w:rsidR="004A147F" w:rsidRPr="00130383" w:rsidRDefault="004A147F" w:rsidP="00130383">
      <w:pPr>
        <w:pStyle w:val="Numberbullet0"/>
        <w:rPr>
          <w:b/>
          <w:bCs/>
          <w:i/>
          <w:iCs/>
        </w:rPr>
      </w:pPr>
      <w:r w:rsidRPr="00130383">
        <w:rPr>
          <w:b/>
          <w:bCs/>
          <w:i/>
          <w:iCs/>
        </w:rPr>
        <w:t xml:space="preserve">The Sponsor is proposing to provide the CMI and Vyalev Instructions for Use (IFU) documents electronically only (QR code on the outer packaging). Does the committee consider this approach acceptable in a patient population with advanced Parkinson’s Disease </w:t>
      </w:r>
      <w:proofErr w:type="gramStart"/>
      <w:r w:rsidRPr="00130383">
        <w:rPr>
          <w:b/>
          <w:bCs/>
          <w:i/>
          <w:iCs/>
        </w:rPr>
        <w:t>and also</w:t>
      </w:r>
      <w:proofErr w:type="gramEnd"/>
      <w:r w:rsidRPr="00130383">
        <w:rPr>
          <w:b/>
          <w:bCs/>
          <w:i/>
          <w:iCs/>
        </w:rPr>
        <w:t xml:space="preserve"> in consideration of the patient demographics? </w:t>
      </w:r>
    </w:p>
    <w:p w14:paraId="296F3332" w14:textId="77E7292D" w:rsidR="004A147F" w:rsidRDefault="004A147F" w:rsidP="0071550A">
      <w:r>
        <w:t xml:space="preserve">The ACM considered there to be potential benefits to all patients for the CMI and IFU documents to be provided electronically via a QR code, specifically with the capability to increase font and graphic size and the increased contrast on an electronic device, making these documents easier to read, searchable and more durable. The ACM acknowledged that provision of printed CMIs on request from doctors and pharmacists </w:t>
      </w:r>
      <w:r w:rsidR="00CC3FB3">
        <w:t>would</w:t>
      </w:r>
      <w:r>
        <w:t xml:space="preserve"> remain feasible.</w:t>
      </w:r>
    </w:p>
    <w:p w14:paraId="2A0BD0C5" w14:textId="1A767AEE" w:rsidR="004A147F" w:rsidRDefault="004A147F" w:rsidP="003579E5">
      <w:r>
        <w:t xml:space="preserve">The ACM was of the view that to transition from the inclusion of printed patient instructions within a product to electronic availability via a QR code only </w:t>
      </w:r>
      <w:r w:rsidR="00CC3FB3">
        <w:t>would</w:t>
      </w:r>
      <w:r>
        <w:t xml:space="preserve"> require consumer engagement and an educational awareness campaign, as this approach varies from current practice. </w:t>
      </w:r>
    </w:p>
    <w:p w14:paraId="7D0804CE" w14:textId="2254D39C" w:rsidR="004A147F" w:rsidRPr="004A147F" w:rsidRDefault="004A147F" w:rsidP="003579E5">
      <w:r>
        <w:t>The ACM did not consider legislative requirements in making this recommendation.</w:t>
      </w:r>
    </w:p>
    <w:p w14:paraId="5291EA2A" w14:textId="2672DA93" w:rsidR="00C22214" w:rsidRDefault="00FC6EED" w:rsidP="00C22214">
      <w:pPr>
        <w:pStyle w:val="Heading5"/>
      </w:pPr>
      <w:r>
        <w:t>ACM c</w:t>
      </w:r>
      <w:r w:rsidR="00C22214" w:rsidRPr="00F73346">
        <w:t>onclusion</w:t>
      </w:r>
    </w:p>
    <w:p w14:paraId="1FD8C836" w14:textId="161247B2" w:rsidR="0000377D" w:rsidRPr="0071550A" w:rsidRDefault="00FD5B21" w:rsidP="0071550A">
      <w:r>
        <w:t>The proposed indication considered by the ACM was:</w:t>
      </w:r>
    </w:p>
    <w:p w14:paraId="05326D0C" w14:textId="7075117E" w:rsidR="00FD5B21" w:rsidRPr="0071550A" w:rsidRDefault="00FD5B21" w:rsidP="0071550A">
      <w:pPr>
        <w:ind w:left="720"/>
        <w:rPr>
          <w:i/>
          <w:iCs/>
        </w:rPr>
      </w:pPr>
      <w:r w:rsidRPr="0071550A">
        <w:rPr>
          <w:i/>
          <w:iCs/>
        </w:rPr>
        <w:t>For the treatment of advanced idiopathic Parkinson’s disease with severe motor fluctuations despite optimised alternative pharmacological treatment.</w:t>
      </w:r>
    </w:p>
    <w:p w14:paraId="437E41B9" w14:textId="5DB9E584" w:rsidR="00C4518B" w:rsidRDefault="00FD5B21" w:rsidP="0071550A">
      <w:r>
        <w:t xml:space="preserve">The ACM agreed there </w:t>
      </w:r>
      <w:r w:rsidR="00DD3CAA">
        <w:t>was</w:t>
      </w:r>
      <w:r>
        <w:t xml:space="preserve"> currently insufficient safety data to support the proposed use of this product. The main area of uncertainty is the actual level of uranium in Vyalev. The ACM noted that the uranium content validated analytical method will be submitted by the end of quarter 1 2023. The ACM </w:t>
      </w:r>
      <w:r w:rsidR="00013B4C">
        <w:t>advised</w:t>
      </w:r>
      <w:r>
        <w:t xml:space="preserve"> the TGA</w:t>
      </w:r>
      <w:r w:rsidR="00AF4A51">
        <w:t xml:space="preserve"> to</w:t>
      </w:r>
      <w:r>
        <w:t xml:space="preserve"> defer its decision until this data is provided for evaluation.</w:t>
      </w:r>
    </w:p>
    <w:p w14:paraId="433FDA77" w14:textId="1D7D69C3" w:rsidR="00FD5B21" w:rsidRPr="00FD5B21" w:rsidRDefault="00FD5B21" w:rsidP="0071550A">
      <w:r>
        <w:t xml:space="preserve">The ACM also noted the availability of the additional phase </w:t>
      </w:r>
      <w:r w:rsidR="00E15FF4">
        <w:t>III</w:t>
      </w:r>
      <w:r>
        <w:t xml:space="preserve"> study and recommended that this be provided to the TGA for consideration.</w:t>
      </w:r>
    </w:p>
    <w:p w14:paraId="6A48E74B" w14:textId="26D0D78C" w:rsidR="00D6036F" w:rsidRDefault="00D6036F" w:rsidP="00D6036F">
      <w:pPr>
        <w:pStyle w:val="Heading4"/>
      </w:pPr>
      <w:bookmarkStart w:id="97" w:name="_Toc182486560"/>
      <w:r w:rsidRPr="000349EF">
        <w:t>Risk</w:t>
      </w:r>
      <w:r w:rsidR="00264369">
        <w:t>-</w:t>
      </w:r>
      <w:r w:rsidRPr="000349EF">
        <w:t>benefit assessment</w:t>
      </w:r>
      <w:r w:rsidR="00CA78CD">
        <w:t xml:space="preserve"> of new data</w:t>
      </w:r>
      <w:bookmarkEnd w:id="97"/>
    </w:p>
    <w:p w14:paraId="09C76C9C" w14:textId="73137404" w:rsidR="0057713D" w:rsidRDefault="00AF4A51" w:rsidP="0092298B">
      <w:r>
        <w:t>In response to the concern</w:t>
      </w:r>
      <w:r w:rsidR="003C7CA7">
        <w:t>s</w:t>
      </w:r>
      <w:r>
        <w:t xml:space="preserve"> raised by the Delegate and </w:t>
      </w:r>
      <w:r w:rsidR="00497BCC">
        <w:t xml:space="preserve">the </w:t>
      </w:r>
      <w:r>
        <w:t>ACM, the Sponsor submitted</w:t>
      </w:r>
      <w:r w:rsidR="0057713D">
        <w:t>:</w:t>
      </w:r>
    </w:p>
    <w:p w14:paraId="54A820CB" w14:textId="3CC6BEB9" w:rsidR="0047480B" w:rsidRDefault="00AF4A51" w:rsidP="0092298B">
      <w:pPr>
        <w:pStyle w:val="ListBullet"/>
      </w:pPr>
      <w:r>
        <w:t xml:space="preserve">additional </w:t>
      </w:r>
      <w:r w:rsidR="0057713D" w:rsidRPr="0092298B">
        <w:t>long</w:t>
      </w:r>
      <w:r w:rsidR="0057713D">
        <w:t>-term safety and efficacy data</w:t>
      </w:r>
    </w:p>
    <w:p w14:paraId="2981516E" w14:textId="5065C985" w:rsidR="0057713D" w:rsidRDefault="0057713D" w:rsidP="0092298B">
      <w:pPr>
        <w:pStyle w:val="ListBullet2"/>
      </w:pPr>
      <w:r>
        <w:t>Study M15-736 and its extension study</w:t>
      </w:r>
    </w:p>
    <w:p w14:paraId="619A0148" w14:textId="56452C7F" w:rsidR="0057713D" w:rsidRDefault="0057713D" w:rsidP="0092298B">
      <w:pPr>
        <w:pStyle w:val="ListBullet2"/>
      </w:pPr>
      <w:r>
        <w:t>Third interim Clinical Study Report for Study M15-741 and its extension study</w:t>
      </w:r>
    </w:p>
    <w:p w14:paraId="7922FFED" w14:textId="05AD6C77" w:rsidR="00AF4A51" w:rsidRDefault="0057713D" w:rsidP="0092298B">
      <w:pPr>
        <w:pStyle w:val="ListBullet"/>
      </w:pPr>
      <w:r>
        <w:t xml:space="preserve">updated control strategy to support tightening of the uranium limit to </w:t>
      </w:r>
      <w:r>
        <w:rPr>
          <w:rFonts w:eastAsia="Times New Roman"/>
          <w:szCs w:val="22"/>
          <w:lang w:val="en-US"/>
        </w:rPr>
        <w:t>0.12 μg/day.</w:t>
      </w:r>
    </w:p>
    <w:p w14:paraId="51D7176C" w14:textId="1EEA5156" w:rsidR="0020723E" w:rsidRDefault="0020723E" w:rsidP="0092298B">
      <w:pPr>
        <w:pStyle w:val="Heading5"/>
      </w:pPr>
      <w:r>
        <w:t>Manufacturing and quality control data</w:t>
      </w:r>
    </w:p>
    <w:p w14:paraId="304823FC" w14:textId="77777777" w:rsidR="00DA241D" w:rsidRDefault="0047480B" w:rsidP="0092298B">
      <w:r>
        <w:t xml:space="preserve">Based on the evaluation of the new data, the </w:t>
      </w:r>
      <w:r w:rsidR="0020723E">
        <w:t>quality</w:t>
      </w:r>
      <w:r>
        <w:t xml:space="preserve"> evaluator stated that </w:t>
      </w:r>
      <w:r w:rsidRPr="000A2F8F">
        <w:rPr>
          <w:i/>
          <w:iCs/>
        </w:rPr>
        <w:t xml:space="preserve">the new control </w:t>
      </w:r>
      <w:r w:rsidR="00CC3FB3">
        <w:rPr>
          <w:i/>
          <w:iCs/>
        </w:rPr>
        <w:t>should</w:t>
      </w:r>
      <w:r w:rsidRPr="000A2F8F">
        <w:rPr>
          <w:i/>
          <w:iCs/>
        </w:rPr>
        <w:t xml:space="preserve"> ensure that the product meets the PDE of 0.12 μg/day</w:t>
      </w:r>
      <w:r>
        <w:rPr>
          <w:i/>
          <w:iCs/>
        </w:rPr>
        <w:t xml:space="preserve">, </w:t>
      </w:r>
      <w:r>
        <w:t xml:space="preserve">which was the upper limit for the uranium content that was previously specified by the evaluator. </w:t>
      </w:r>
    </w:p>
    <w:p w14:paraId="60583F08" w14:textId="1690137B" w:rsidR="0047480B" w:rsidRDefault="0047480B" w:rsidP="0047480B">
      <w:r>
        <w:t xml:space="preserve">There </w:t>
      </w:r>
      <w:r w:rsidR="0020723E">
        <w:t>were</w:t>
      </w:r>
      <w:r>
        <w:t xml:space="preserve"> no outstanding </w:t>
      </w:r>
      <w:r w:rsidR="0020723E">
        <w:t xml:space="preserve">quality or manufacturing issues </w:t>
      </w:r>
      <w:r>
        <w:t xml:space="preserve">related to </w:t>
      </w:r>
      <w:r w:rsidR="0020723E">
        <w:t>these components of the</w:t>
      </w:r>
      <w:r>
        <w:t xml:space="preserve"> submission.</w:t>
      </w:r>
    </w:p>
    <w:p w14:paraId="514D8216" w14:textId="02B5B50B" w:rsidR="0020723E" w:rsidRDefault="0020723E" w:rsidP="0020723E">
      <w:pPr>
        <w:pStyle w:val="Heading5"/>
      </w:pPr>
      <w:r>
        <w:t>Efficacy and safety data</w:t>
      </w:r>
    </w:p>
    <w:p w14:paraId="21FA92A4" w14:textId="11BA1CCD" w:rsidR="004A44DC" w:rsidRDefault="0047480B" w:rsidP="0092298B">
      <w:r>
        <w:t xml:space="preserve">The </w:t>
      </w:r>
      <w:r w:rsidR="0020723E">
        <w:t xml:space="preserve">additional </w:t>
      </w:r>
      <w:r>
        <w:t xml:space="preserve">phase III study 736 provided comparative efficacy and safety data between </w:t>
      </w:r>
      <w:proofErr w:type="spellStart"/>
      <w:r>
        <w:t>Vyalev</w:t>
      </w:r>
      <w:proofErr w:type="spellEnd"/>
      <w:r>
        <w:t xml:space="preserve"> and oral </w:t>
      </w:r>
      <w:r w:rsidR="00DA241D">
        <w:t>levodopa</w:t>
      </w:r>
      <w:r>
        <w:t>/</w:t>
      </w:r>
      <w:r w:rsidR="00DA241D">
        <w:t>carbidopa</w:t>
      </w:r>
      <w:r>
        <w:t>.</w:t>
      </w:r>
    </w:p>
    <w:p w14:paraId="3476EE2C" w14:textId="5F357C9E" w:rsidR="0047480B" w:rsidRDefault="0047480B" w:rsidP="0092298B">
      <w:pPr>
        <w:rPr>
          <w:lang w:eastAsia="ja-JP"/>
        </w:rPr>
      </w:pPr>
      <w:r>
        <w:t xml:space="preserve">In terms of long-term data, it appears that the magnitude of treatment benefit (improvement in </w:t>
      </w:r>
      <w:r>
        <w:rPr>
          <w:lang w:eastAsia="ja-JP"/>
        </w:rPr>
        <w:t xml:space="preserve">“On” Time without Troublesome Dyskinesia and “Off” time (around 3 hours each)) in </w:t>
      </w:r>
      <w:r w:rsidR="00772936">
        <w:rPr>
          <w:lang w:eastAsia="ja-JP"/>
        </w:rPr>
        <w:t>S</w:t>
      </w:r>
      <w:r>
        <w:rPr>
          <w:lang w:eastAsia="ja-JP"/>
        </w:rPr>
        <w:t xml:space="preserve">tudy 741 at week 26 was sustained until week 54. It was also comparable with the treatment outcomes in </w:t>
      </w:r>
      <w:r w:rsidR="00772936">
        <w:rPr>
          <w:lang w:eastAsia="ja-JP"/>
        </w:rPr>
        <w:t>S</w:t>
      </w:r>
      <w:r>
        <w:rPr>
          <w:lang w:eastAsia="ja-JP"/>
        </w:rPr>
        <w:t>tudy 736.</w:t>
      </w:r>
    </w:p>
    <w:p w14:paraId="519BE6C6" w14:textId="585C319F" w:rsidR="0047480B" w:rsidRDefault="0047480B" w:rsidP="0092298B">
      <w:pPr>
        <w:rPr>
          <w:lang w:eastAsia="ja-JP"/>
        </w:rPr>
      </w:pPr>
      <w:r w:rsidRPr="00C34105">
        <w:rPr>
          <w:lang w:eastAsia="ja-JP"/>
        </w:rPr>
        <w:t xml:space="preserve">The lower magnitude of treatment benefit in </w:t>
      </w:r>
      <w:r w:rsidR="0041211A" w:rsidRPr="00C34105">
        <w:rPr>
          <w:lang w:eastAsia="ja-JP"/>
        </w:rPr>
        <w:t>S</w:t>
      </w:r>
      <w:r w:rsidRPr="00C34105">
        <w:rPr>
          <w:lang w:eastAsia="ja-JP"/>
        </w:rPr>
        <w:t xml:space="preserve">tudy 737 was noted and the Sponsor </w:t>
      </w:r>
      <w:r w:rsidR="0020723E" w:rsidRPr="00C34105">
        <w:rPr>
          <w:lang w:eastAsia="ja-JP"/>
        </w:rPr>
        <w:t>was</w:t>
      </w:r>
      <w:r w:rsidRPr="00C34105">
        <w:rPr>
          <w:lang w:eastAsia="ja-JP"/>
        </w:rPr>
        <w:t xml:space="preserve"> requested to clarify.</w:t>
      </w:r>
    </w:p>
    <w:p w14:paraId="64D60448" w14:textId="78987C0C" w:rsidR="0020723E" w:rsidRDefault="0047480B" w:rsidP="00C34105">
      <w:pPr>
        <w:rPr>
          <w:lang w:eastAsia="ja-JP"/>
        </w:rPr>
      </w:pPr>
      <w:r>
        <w:rPr>
          <w:lang w:eastAsia="ja-JP"/>
        </w:rPr>
        <w:t>The high study discontinuation</w:t>
      </w:r>
      <w:r w:rsidR="002B5A44">
        <w:rPr>
          <w:lang w:eastAsia="ja-JP"/>
        </w:rPr>
        <w:t>s</w:t>
      </w:r>
      <w:r>
        <w:rPr>
          <w:lang w:eastAsia="ja-JP"/>
        </w:rPr>
        <w:t xml:space="preserve"> due to both infusion site reactions and infections was noted. The </w:t>
      </w:r>
      <w:r w:rsidR="0020723E">
        <w:rPr>
          <w:lang w:eastAsia="ja-JP"/>
        </w:rPr>
        <w:t xml:space="preserve">clinical </w:t>
      </w:r>
      <w:r>
        <w:rPr>
          <w:lang w:eastAsia="ja-JP"/>
        </w:rPr>
        <w:t xml:space="preserve">evaluator highlighted that </w:t>
      </w:r>
      <w:r w:rsidRPr="00753E08">
        <w:rPr>
          <w:i/>
          <w:iCs/>
          <w:lang w:eastAsia="ja-JP"/>
        </w:rPr>
        <w:t>While ‘inf</w:t>
      </w:r>
      <w:r>
        <w:rPr>
          <w:i/>
          <w:iCs/>
          <w:lang w:eastAsia="ja-JP"/>
        </w:rPr>
        <w:t>usion</w:t>
      </w:r>
      <w:r w:rsidRPr="00753E08">
        <w:rPr>
          <w:i/>
          <w:iCs/>
          <w:lang w:eastAsia="ja-JP"/>
        </w:rPr>
        <w:t xml:space="preserve"> site infection’ is an Important Identified Risk for Vyalev continuous subcutaneous treatment, the high number of study discontinuations (35-39%) in 2 phase III clinical studies remains an ongoing concern</w:t>
      </w:r>
      <w:r>
        <w:rPr>
          <w:lang w:eastAsia="ja-JP"/>
        </w:rPr>
        <w:t>. Majority of subjects (82%) in study 741 that provided long term safety data for up to 52 weeks reported infusion site reactions. It was also noted that most of these events were mi</w:t>
      </w:r>
      <w:r w:rsidR="007140F4">
        <w:rPr>
          <w:lang w:eastAsia="ja-JP"/>
        </w:rPr>
        <w:t>ld</w:t>
      </w:r>
      <w:r>
        <w:rPr>
          <w:lang w:eastAsia="ja-JP"/>
        </w:rPr>
        <w:t xml:space="preserve"> in severity.</w:t>
      </w:r>
    </w:p>
    <w:p w14:paraId="64F11D22" w14:textId="65A8682F" w:rsidR="0047480B" w:rsidRDefault="0047480B" w:rsidP="00C34105">
      <w:pPr>
        <w:rPr>
          <w:lang w:eastAsia="ja-JP"/>
        </w:rPr>
      </w:pPr>
      <w:r>
        <w:rPr>
          <w:lang w:eastAsia="ja-JP"/>
        </w:rPr>
        <w:t xml:space="preserve">In response to </w:t>
      </w:r>
      <w:r w:rsidR="0020723E">
        <w:rPr>
          <w:lang w:eastAsia="ja-JP"/>
        </w:rPr>
        <w:t xml:space="preserve">the </w:t>
      </w:r>
      <w:r>
        <w:rPr>
          <w:lang w:eastAsia="ja-JP"/>
        </w:rPr>
        <w:t>evaluator’s request, the Sponsor provided the following as further explanations, with a focus on the infusion site reactions that led to discontinuation.</w:t>
      </w:r>
    </w:p>
    <w:p w14:paraId="10F78E13" w14:textId="199B37C9" w:rsidR="0047480B" w:rsidRPr="00C34105" w:rsidRDefault="0047480B" w:rsidP="00C34105">
      <w:pPr>
        <w:ind w:left="720"/>
        <w:rPr>
          <w:i/>
          <w:iCs/>
        </w:rPr>
      </w:pPr>
      <w:r w:rsidRPr="00C34105">
        <w:rPr>
          <w:i/>
          <w:iCs/>
        </w:rPr>
        <w:t>AEs that led to Vyalev discontinuation were 26% and 21% in each study, respectively.  The Sponsor has compared the incidence of infusion site AEs and discontinuation rate observed in the Vyalev phase III clinical studies to other PD products delivered as continuous SC infusions e.g., apomorphine (23% discontinued before 12 weeks). In both apomorphine studies, infusion site reactions were common (59% and 71%, respectively; skin nodules at the infusion site in particular). The Sponsor has also cited the incidence rate of skin events with SC infusion therapies, including insulin administration.</w:t>
      </w:r>
    </w:p>
    <w:p w14:paraId="789AF4CB" w14:textId="34F542B3" w:rsidR="00C14F6E" w:rsidRDefault="0047480B" w:rsidP="00C34105">
      <w:pPr>
        <w:ind w:left="720"/>
      </w:pPr>
      <w:r w:rsidRPr="002917EF">
        <w:t xml:space="preserve">The Sponsor highlighted that </w:t>
      </w:r>
      <w:r w:rsidRPr="00C34105">
        <w:rPr>
          <w:i/>
          <w:iCs/>
        </w:rPr>
        <w:t>most of the premature discontinuations in both Vyalev phase III studies occurred during the first 4-6 weeks of treatment, which emphasises the importance of training and education during treatment</w:t>
      </w:r>
      <w:r w:rsidRPr="002917EF">
        <w:t>.</w:t>
      </w:r>
    </w:p>
    <w:p w14:paraId="49F6AFCB" w14:textId="09A9E07F" w:rsidR="0047480B" w:rsidRPr="00C14F6E" w:rsidRDefault="00C14F6E" w:rsidP="00C34105">
      <w:r>
        <w:t>The Delegate</w:t>
      </w:r>
      <w:r w:rsidR="0047480B" w:rsidRPr="00C14F6E">
        <w:t xml:space="preserve"> considered that the Sponsor’s proposed training and prescriber education may enable to reduce the discontinuation rates. The nature of infusion site AEs and rate of discontinuations were </w:t>
      </w:r>
      <w:proofErr w:type="gramStart"/>
      <w:r w:rsidR="0047480B" w:rsidRPr="00C14F6E">
        <w:t>similar to</w:t>
      </w:r>
      <w:proofErr w:type="gramEnd"/>
      <w:r w:rsidR="0047480B" w:rsidRPr="00C14F6E">
        <w:t xml:space="preserve"> previously submitted data and no new safety concerns were identified.</w:t>
      </w:r>
    </w:p>
    <w:p w14:paraId="17C2DEA8" w14:textId="5A281063" w:rsidR="0047480B" w:rsidRDefault="0047480B" w:rsidP="00C34105">
      <w:pPr>
        <w:rPr>
          <w:lang w:eastAsia="ja-JP"/>
        </w:rPr>
      </w:pPr>
      <w:bookmarkStart w:id="98" w:name="_Hlk136446417"/>
      <w:r>
        <w:rPr>
          <w:lang w:eastAsia="ja-JP"/>
        </w:rPr>
        <w:t>A nearly five-</w:t>
      </w:r>
      <w:r w:rsidR="005E3CFF">
        <w:rPr>
          <w:lang w:eastAsia="ja-JP"/>
        </w:rPr>
        <w:t>fold</w:t>
      </w:r>
      <w:r>
        <w:rPr>
          <w:lang w:eastAsia="ja-JP"/>
        </w:rPr>
        <w:t xml:space="preserve"> increase in the rate of incidence of hallucination or psychosis was reported in subjects in the Vyalev arm, compared to oral </w:t>
      </w:r>
      <w:r w:rsidR="005E3CFF">
        <w:rPr>
          <w:lang w:eastAsia="ja-JP"/>
        </w:rPr>
        <w:t>levodopa</w:t>
      </w:r>
      <w:r>
        <w:rPr>
          <w:lang w:eastAsia="ja-JP"/>
        </w:rPr>
        <w:t>/</w:t>
      </w:r>
      <w:r w:rsidR="005E3CFF">
        <w:rPr>
          <w:lang w:eastAsia="ja-JP"/>
        </w:rPr>
        <w:t>carbidopa</w:t>
      </w:r>
      <w:r>
        <w:rPr>
          <w:lang w:eastAsia="ja-JP"/>
        </w:rPr>
        <w:t xml:space="preserve"> arm in </w:t>
      </w:r>
      <w:r w:rsidR="00222A2C">
        <w:rPr>
          <w:lang w:eastAsia="ja-JP"/>
        </w:rPr>
        <w:t>S</w:t>
      </w:r>
      <w:r>
        <w:rPr>
          <w:lang w:eastAsia="ja-JP"/>
        </w:rPr>
        <w:t xml:space="preserve">tudy 736 (14.9% vs 3%). </w:t>
      </w:r>
      <w:r>
        <w:t>A dose-dependent increase (almost twice) in the incidence was noted (</w:t>
      </w:r>
      <w:r w:rsidRPr="00D803B2">
        <w:rPr>
          <w:lang w:eastAsia="ja-JP"/>
        </w:rPr>
        <w:t>20.7% high-dose vs 11.1% low-dose</w:t>
      </w:r>
      <w:r>
        <w:t xml:space="preserve">). </w:t>
      </w:r>
      <w:r>
        <w:rPr>
          <w:lang w:eastAsia="ja-JP"/>
        </w:rPr>
        <w:t xml:space="preserve">With due consideration of the limitations of indirect comparison (lack of 54-week data with </w:t>
      </w:r>
      <w:r w:rsidR="00A175F6">
        <w:rPr>
          <w:lang w:eastAsia="ja-JP"/>
        </w:rPr>
        <w:t>Duodopa</w:t>
      </w:r>
      <w:r>
        <w:rPr>
          <w:lang w:eastAsia="ja-JP"/>
        </w:rPr>
        <w:t xml:space="preserve">), the incidence rate for these events in the Vyalev arm is much higher (three times) than that reported from studies with </w:t>
      </w:r>
      <w:r w:rsidR="00A175F6">
        <w:rPr>
          <w:lang w:eastAsia="ja-JP"/>
        </w:rPr>
        <w:t>Duodopa</w:t>
      </w:r>
      <w:r>
        <w:rPr>
          <w:lang w:eastAsia="ja-JP"/>
        </w:rPr>
        <w:t xml:space="preserve"> (5.8%).</w:t>
      </w:r>
    </w:p>
    <w:p w14:paraId="29E499B1" w14:textId="65C76422" w:rsidR="0047480B" w:rsidRDefault="0047480B" w:rsidP="00C34105">
      <w:pPr>
        <w:rPr>
          <w:lang w:eastAsia="ja-JP"/>
        </w:rPr>
      </w:pPr>
      <w:r>
        <w:rPr>
          <w:lang w:eastAsia="ja-JP"/>
        </w:rPr>
        <w:t>Nil new types of adverse events were noted in the long-term safety data.</w:t>
      </w:r>
    </w:p>
    <w:p w14:paraId="41E8D9CB" w14:textId="69EB95F2" w:rsidR="0047480B" w:rsidRDefault="0047480B" w:rsidP="00C34105">
      <w:pPr>
        <w:rPr>
          <w:lang w:eastAsia="ja-JP"/>
        </w:rPr>
      </w:pPr>
      <w:r w:rsidRPr="00A91E5B">
        <w:rPr>
          <w:lang w:eastAsia="ja-JP"/>
        </w:rPr>
        <w:t xml:space="preserve">Vyafuser pump is the device that was utilised to administer Vyalev in the clinical studies included in this submission. </w:t>
      </w:r>
      <w:r w:rsidR="00A91E5B">
        <w:rPr>
          <w:lang w:eastAsia="ja-JP"/>
        </w:rPr>
        <w:t>The Delegate</w:t>
      </w:r>
      <w:r w:rsidRPr="00A91E5B">
        <w:rPr>
          <w:lang w:eastAsia="ja-JP"/>
        </w:rPr>
        <w:t xml:space="preserve"> noted that Vyalev can only be administered with </w:t>
      </w:r>
      <w:r w:rsidR="00DA4F29">
        <w:rPr>
          <w:lang w:eastAsia="ja-JP"/>
        </w:rPr>
        <w:t xml:space="preserve">the </w:t>
      </w:r>
      <w:r w:rsidRPr="00A91E5B">
        <w:rPr>
          <w:lang w:eastAsia="ja-JP"/>
        </w:rPr>
        <w:t>Vyafuser pump. This device ha</w:t>
      </w:r>
      <w:r w:rsidR="00A4224B">
        <w:rPr>
          <w:lang w:eastAsia="ja-JP"/>
        </w:rPr>
        <w:t>d</w:t>
      </w:r>
      <w:r w:rsidRPr="00A91E5B">
        <w:rPr>
          <w:lang w:eastAsia="ja-JP"/>
        </w:rPr>
        <w:t xml:space="preserve"> not yet been evaluated by TGA. </w:t>
      </w:r>
      <w:r w:rsidR="00A4224B">
        <w:rPr>
          <w:lang w:eastAsia="ja-JP"/>
        </w:rPr>
        <w:t xml:space="preserve">The Delegate further noted that </w:t>
      </w:r>
      <w:r w:rsidRPr="00A91E5B">
        <w:rPr>
          <w:lang w:eastAsia="ja-JP"/>
        </w:rPr>
        <w:t xml:space="preserve">US FDA has refused approval of Vyalev and issued a Complete Response Letter (CRL) to the Sponsor to address numerous outstanding issues related to the device. This </w:t>
      </w:r>
      <w:r w:rsidR="00E975A5">
        <w:rPr>
          <w:lang w:eastAsia="ja-JP"/>
        </w:rPr>
        <w:t>was</w:t>
      </w:r>
      <w:r w:rsidRPr="00A91E5B">
        <w:rPr>
          <w:lang w:eastAsia="ja-JP"/>
        </w:rPr>
        <w:t xml:space="preserve"> considered a critical uncertainty, </w:t>
      </w:r>
      <w:proofErr w:type="gramStart"/>
      <w:r w:rsidRPr="00A91E5B">
        <w:rPr>
          <w:lang w:eastAsia="ja-JP"/>
        </w:rPr>
        <w:t>in view of the fact that</w:t>
      </w:r>
      <w:proofErr w:type="gramEnd"/>
      <w:r w:rsidRPr="00A91E5B">
        <w:rPr>
          <w:lang w:eastAsia="ja-JP"/>
        </w:rPr>
        <w:t xml:space="preserve"> safety and quality aspects of Vyafuser pump are integral to achieve the expected treatment benefits for patients with advanced </w:t>
      </w:r>
      <w:r w:rsidR="00E975A5">
        <w:rPr>
          <w:lang w:eastAsia="ja-JP"/>
        </w:rPr>
        <w:t>PD.</w:t>
      </w:r>
    </w:p>
    <w:p w14:paraId="1F690529" w14:textId="28D80EFF" w:rsidR="005A25EC" w:rsidRDefault="005A25EC" w:rsidP="00C34105">
      <w:pPr>
        <w:pStyle w:val="Heading4"/>
      </w:pPr>
      <w:bookmarkStart w:id="99" w:name="_Toc182486561"/>
      <w:r w:rsidRPr="00C34105">
        <w:t>Proposed</w:t>
      </w:r>
      <w:r>
        <w:t xml:space="preserve"> action</w:t>
      </w:r>
      <w:bookmarkEnd w:id="99"/>
    </w:p>
    <w:p w14:paraId="1B21B86B" w14:textId="07C0727D" w:rsidR="00B07167" w:rsidRPr="00A91E5B" w:rsidRDefault="00B07167" w:rsidP="00C34105">
      <w:pPr>
        <w:rPr>
          <w:lang w:eastAsia="ja-JP"/>
        </w:rPr>
      </w:pPr>
      <w:r>
        <w:rPr>
          <w:lang w:eastAsia="ja-JP"/>
        </w:rPr>
        <w:t>The Delegate noted the following.</w:t>
      </w:r>
    </w:p>
    <w:bookmarkEnd w:id="98"/>
    <w:p w14:paraId="7B677DB8" w14:textId="77777777" w:rsidR="00A428F4" w:rsidRDefault="00A428F4" w:rsidP="00C34105">
      <w:pPr>
        <w:pStyle w:val="ListBullet"/>
      </w:pPr>
      <w:r>
        <w:t xml:space="preserve">The revised controls appear to lower the </w:t>
      </w:r>
      <w:r w:rsidRPr="00C34105">
        <w:t>level</w:t>
      </w:r>
      <w:r>
        <w:t xml:space="preserve"> of uranium below the </w:t>
      </w:r>
      <w:r w:rsidRPr="0029066F">
        <w:t>PDE of 0.12 μg/day</w:t>
      </w:r>
      <w:r>
        <w:t xml:space="preserve">. </w:t>
      </w:r>
    </w:p>
    <w:p w14:paraId="4C4EF8F9" w14:textId="77777777" w:rsidR="00A428F4" w:rsidRDefault="00A428F4" w:rsidP="00B07167">
      <w:pPr>
        <w:pStyle w:val="ListBullet"/>
      </w:pPr>
      <w:r>
        <w:t>The magnitude of treatment benefit appears to be sustained until 52 weeks of treatment with Vyalev.</w:t>
      </w:r>
    </w:p>
    <w:p w14:paraId="0CB24F7D" w14:textId="09A0FFC4" w:rsidR="00A428F4" w:rsidRDefault="00A428F4" w:rsidP="002B66CB">
      <w:pPr>
        <w:pStyle w:val="ListBullet"/>
      </w:pPr>
      <w:r>
        <w:t>Five-</w:t>
      </w:r>
      <w:r w:rsidR="002B66CB">
        <w:t>fold</w:t>
      </w:r>
      <w:r>
        <w:t xml:space="preserve"> increase in the incidence of hallucinations and psychosis in Vyalev arm, compared to oral </w:t>
      </w:r>
      <w:r w:rsidR="008C163E">
        <w:t>CARBIDOPA</w:t>
      </w:r>
      <w:r>
        <w:t>/</w:t>
      </w:r>
      <w:r w:rsidR="00A175F6">
        <w:t>LEVODOPA</w:t>
      </w:r>
      <w:r>
        <w:t xml:space="preserve"> arm highlights a safety concern. A dose-dependent effect was noted.</w:t>
      </w:r>
    </w:p>
    <w:p w14:paraId="2FA01885" w14:textId="77777777" w:rsidR="00A428F4" w:rsidRDefault="00A428F4" w:rsidP="002B66CB">
      <w:pPr>
        <w:pStyle w:val="ListBullet"/>
      </w:pPr>
      <w:r>
        <w:t>High discontinuations rates that were related to infusion site reactions and infections were noted. Prescriber and user education may mitigate this risk to a certain extent. Post market safety data will enable to assess the impact of these events in a clinical setting.</w:t>
      </w:r>
    </w:p>
    <w:p w14:paraId="2BD9834E" w14:textId="0080A8A5" w:rsidR="00A428F4" w:rsidRDefault="00A428F4" w:rsidP="002B66CB">
      <w:pPr>
        <w:pStyle w:val="ListBullet"/>
      </w:pPr>
      <w:r>
        <w:t>The Vyafuser pump has not yet been evaluated by TGA. The outstanding device-related issues listed in the US FDA’s CRL is a concern and highlights potential uncertainties related to the safe and effective administration of Vyalev and to achieve the expected treatment benefits.</w:t>
      </w:r>
    </w:p>
    <w:p w14:paraId="549D13B0" w14:textId="6F692418" w:rsidR="00A428F4" w:rsidRPr="0043561D" w:rsidRDefault="00A428F4" w:rsidP="00C34105">
      <w:r w:rsidRPr="0043561D">
        <w:t xml:space="preserve">At this point in time, </w:t>
      </w:r>
      <w:r w:rsidR="0043561D">
        <w:t>the Delegate was</w:t>
      </w:r>
      <w:r w:rsidRPr="0043561D">
        <w:t xml:space="preserve"> inclined to reject this application to register Vyalev. However, </w:t>
      </w:r>
      <w:r w:rsidR="00C64C5D">
        <w:t>the</w:t>
      </w:r>
      <w:r w:rsidR="004C203C">
        <w:t xml:space="preserve"> Delegate was</w:t>
      </w:r>
      <w:r w:rsidRPr="0043561D">
        <w:t xml:space="preserve"> prepared to consider deferral to making a regulatory decision if the application to </w:t>
      </w:r>
      <w:r w:rsidR="00322E69">
        <w:t>include</w:t>
      </w:r>
      <w:r w:rsidR="00322E69" w:rsidRPr="0043561D">
        <w:t xml:space="preserve"> </w:t>
      </w:r>
      <w:r w:rsidRPr="0043561D">
        <w:t>the Vyafuser</w:t>
      </w:r>
      <w:r w:rsidR="00897696">
        <w:t xml:space="preserve"> pump</w:t>
      </w:r>
      <w:r w:rsidRPr="0043561D">
        <w:t xml:space="preserve"> </w:t>
      </w:r>
      <w:r w:rsidR="00322E69">
        <w:t xml:space="preserve">in the ARTG </w:t>
      </w:r>
      <w:r w:rsidR="00AB5912">
        <w:t>wa</w:t>
      </w:r>
      <w:r w:rsidRPr="0043561D">
        <w:t>s imminent.</w:t>
      </w:r>
      <w:r w:rsidR="00821768">
        <w:t xml:space="preserve"> </w:t>
      </w:r>
      <w:r w:rsidRPr="0043561D">
        <w:t>This</w:t>
      </w:r>
      <w:r w:rsidR="00821768">
        <w:t xml:space="preserve"> was</w:t>
      </w:r>
      <w:r w:rsidRPr="0043561D">
        <w:t xml:space="preserve"> in consideration of the outstanding device-related issues listed in the US FDA’s Complete Response Letter and FDA’s refusal to approve Vyalev.</w:t>
      </w:r>
    </w:p>
    <w:p w14:paraId="2DFA30F6" w14:textId="7D03A171" w:rsidR="00CB11D4" w:rsidRDefault="002B4AC5" w:rsidP="00C34105">
      <w:r w:rsidRPr="00AE7252">
        <w:t>T</w:t>
      </w:r>
      <w:r w:rsidR="00CB11D4" w:rsidRPr="00AE7252">
        <w:t xml:space="preserve">he </w:t>
      </w:r>
      <w:hyperlink r:id="rId38" w:history="1">
        <w:r w:rsidR="00270F37" w:rsidRPr="00AE7252">
          <w:rPr>
            <w:rStyle w:val="Hyperlink"/>
            <w:szCs w:val="22"/>
          </w:rPr>
          <w:t>ACM</w:t>
        </w:r>
      </w:hyperlink>
      <w:r w:rsidR="00270F37" w:rsidRPr="00AE7252">
        <w:t xml:space="preserve"> </w:t>
      </w:r>
      <w:r w:rsidR="00CB11D4">
        <w:t xml:space="preserve">was </w:t>
      </w:r>
      <w:r w:rsidR="00CB11D4" w:rsidRPr="000349EF">
        <w:t xml:space="preserve">requested to provide advice </w:t>
      </w:r>
      <w:r w:rsidR="007663F9">
        <w:t xml:space="preserve">based on the additional data, evaluations and </w:t>
      </w:r>
      <w:r w:rsidR="007F0AA3">
        <w:t>the Delegate’s second risk/benefit assessment</w:t>
      </w:r>
      <w:r w:rsidR="0070324F">
        <w:t>, to inform the regulatory decision.</w:t>
      </w:r>
    </w:p>
    <w:p w14:paraId="43DFDCA2" w14:textId="4B68A68C" w:rsidR="00D6036F" w:rsidRDefault="00DE5E61" w:rsidP="00C34105">
      <w:pPr>
        <w:pStyle w:val="Heading4"/>
      </w:pPr>
      <w:bookmarkStart w:id="100" w:name="_Toc182486562"/>
      <w:r>
        <w:t xml:space="preserve">Independent expert advice on </w:t>
      </w:r>
      <w:r w:rsidR="000917AE" w:rsidRPr="000349EF">
        <w:t xml:space="preserve">additional </w:t>
      </w:r>
      <w:r w:rsidR="00F543ED">
        <w:t xml:space="preserve">data and </w:t>
      </w:r>
      <w:r w:rsidR="000917AE" w:rsidRPr="000349EF">
        <w:t>questions</w:t>
      </w:r>
      <w:bookmarkEnd w:id="100"/>
    </w:p>
    <w:p w14:paraId="45C94F49" w14:textId="77777777" w:rsidR="00B12F78" w:rsidRDefault="00F543ED" w:rsidP="006F4882">
      <w:pPr>
        <w:rPr>
          <w:rFonts w:cstheme="minorHAnsi"/>
        </w:rPr>
      </w:pPr>
      <w:r w:rsidRPr="007E1460">
        <w:rPr>
          <w:rFonts w:cstheme="minorHAnsi"/>
        </w:rPr>
        <w:t>The ACM noted that the data considered at the October 2022 meeting demonstrated efficacy</w:t>
      </w:r>
      <w:r w:rsidR="00465A9D">
        <w:rPr>
          <w:rFonts w:cstheme="minorHAnsi"/>
        </w:rPr>
        <w:t>. However, it w</w:t>
      </w:r>
      <w:r w:rsidRPr="007E1460">
        <w:rPr>
          <w:rFonts w:cstheme="minorHAnsi"/>
        </w:rPr>
        <w:t xml:space="preserve">as limited in relation to </w:t>
      </w:r>
      <w:r w:rsidR="00B12F78">
        <w:rPr>
          <w:rFonts w:cstheme="minorHAnsi"/>
        </w:rPr>
        <w:t xml:space="preserve">the </w:t>
      </w:r>
      <w:r w:rsidRPr="007E1460">
        <w:rPr>
          <w:rFonts w:cstheme="minorHAnsi"/>
        </w:rPr>
        <w:t>number of patients and duration of treatment.</w:t>
      </w:r>
      <w:r>
        <w:rPr>
          <w:rFonts w:cstheme="minorHAnsi"/>
        </w:rPr>
        <w:t xml:space="preserve"> </w:t>
      </w:r>
    </w:p>
    <w:p w14:paraId="151F750D" w14:textId="17536243" w:rsidR="00F543ED" w:rsidRDefault="00F543ED" w:rsidP="006F4882">
      <w:pPr>
        <w:rPr>
          <w:rFonts w:cstheme="minorHAnsi"/>
        </w:rPr>
      </w:pPr>
      <w:r>
        <w:rPr>
          <w:rFonts w:cstheme="minorHAnsi"/>
        </w:rPr>
        <w:t>The ACM acknowledged that additional data ha</w:t>
      </w:r>
      <w:r w:rsidR="00B12F78">
        <w:rPr>
          <w:rFonts w:cstheme="minorHAnsi"/>
        </w:rPr>
        <w:t>d</w:t>
      </w:r>
      <w:r>
        <w:rPr>
          <w:rFonts w:cstheme="minorHAnsi"/>
        </w:rPr>
        <w:t xml:space="preserve"> been provided since October 2022 including an additional Phase III study (</w:t>
      </w:r>
      <w:r w:rsidR="00B12F78">
        <w:rPr>
          <w:rFonts w:cstheme="minorHAnsi"/>
        </w:rPr>
        <w:t xml:space="preserve">Study </w:t>
      </w:r>
      <w:r>
        <w:rPr>
          <w:rFonts w:cstheme="minorHAnsi"/>
        </w:rPr>
        <w:t>M15-736) and follow up data for Study M15-741.</w:t>
      </w:r>
    </w:p>
    <w:p w14:paraId="7B6E4E9A" w14:textId="77777777" w:rsidR="00A45B28" w:rsidRDefault="00A45B28" w:rsidP="00A45B28">
      <w:r w:rsidRPr="00465A9D">
        <w:rPr>
          <w:bCs/>
          <w:szCs w:val="22"/>
        </w:rPr>
        <w:t xml:space="preserve">The </w:t>
      </w:r>
      <w:r w:rsidRPr="00465A9D">
        <w:t xml:space="preserve">ACM noted that as of August 2024, </w:t>
      </w:r>
      <w:proofErr w:type="spellStart"/>
      <w:r w:rsidRPr="00465A9D">
        <w:t>foslevodopa</w:t>
      </w:r>
      <w:proofErr w:type="spellEnd"/>
      <w:r w:rsidRPr="00465A9D">
        <w:t xml:space="preserve"> and </w:t>
      </w:r>
      <w:proofErr w:type="spellStart"/>
      <w:r w:rsidRPr="00465A9D">
        <w:t>foscarbidopa</w:t>
      </w:r>
      <w:proofErr w:type="spellEnd"/>
      <w:r w:rsidRPr="00465A9D">
        <w:t xml:space="preserve"> ha</w:t>
      </w:r>
      <w:r>
        <w:t>d</w:t>
      </w:r>
      <w:r w:rsidRPr="00465A9D">
        <w:t xml:space="preserve"> been approved within the European Union, Canada and Japan.</w:t>
      </w:r>
    </w:p>
    <w:p w14:paraId="0A652E54" w14:textId="351928A6" w:rsidR="00470A52" w:rsidRPr="00F73346" w:rsidRDefault="00470A52" w:rsidP="00470A52">
      <w:pPr>
        <w:pStyle w:val="Heading5"/>
      </w:pPr>
      <w:r w:rsidRPr="00F73346">
        <w:t xml:space="preserve">Specific advice </w:t>
      </w:r>
      <w:r w:rsidR="000D6440">
        <w:t xml:space="preserve">from the ACM </w:t>
      </w:r>
      <w:r w:rsidRPr="00F73346">
        <w:t>to the Delegate</w:t>
      </w:r>
    </w:p>
    <w:p w14:paraId="4AAA4870" w14:textId="256635B0" w:rsidR="00FF5D52" w:rsidRPr="00FF5D52" w:rsidRDefault="00FF5D52" w:rsidP="00E10CEA">
      <w:r w:rsidRPr="00FF5D52">
        <w:t>The ACM advised the following in response to the Delegate’s specific request for advice</w:t>
      </w:r>
      <w:r w:rsidR="00580EC2">
        <w:t>.</w:t>
      </w:r>
      <w:r w:rsidRPr="00FF5D52">
        <w:t xml:space="preserve"> </w:t>
      </w:r>
    </w:p>
    <w:p w14:paraId="01A9C151" w14:textId="4882B61A" w:rsidR="00FF5D52" w:rsidRPr="00580EC2" w:rsidRDefault="00FF5D52" w:rsidP="0003236E">
      <w:pPr>
        <w:pStyle w:val="Numberbullet0"/>
        <w:numPr>
          <w:ilvl w:val="0"/>
          <w:numId w:val="38"/>
        </w:numPr>
        <w:rPr>
          <w:b/>
          <w:bCs/>
          <w:i/>
          <w:iCs/>
        </w:rPr>
      </w:pPr>
      <w:r w:rsidRPr="00580EC2">
        <w:rPr>
          <w:b/>
          <w:bCs/>
          <w:i/>
          <w:iCs/>
        </w:rPr>
        <w:t>A nearly five-fo</w:t>
      </w:r>
      <w:r w:rsidR="00953FBE">
        <w:rPr>
          <w:b/>
          <w:bCs/>
          <w:i/>
          <w:iCs/>
        </w:rPr>
        <w:t>ld</w:t>
      </w:r>
      <w:r w:rsidRPr="00580EC2">
        <w:rPr>
          <w:b/>
          <w:bCs/>
          <w:i/>
          <w:iCs/>
        </w:rPr>
        <w:t xml:space="preserve"> increase in the rate of incidence of hallucination or psychosis was reported in subjects in the Vyalev arm, compared to oral </w:t>
      </w:r>
      <w:r w:rsidR="00953FBE">
        <w:rPr>
          <w:b/>
          <w:bCs/>
          <w:i/>
          <w:iCs/>
        </w:rPr>
        <w:t>levodopa</w:t>
      </w:r>
      <w:r w:rsidRPr="00580EC2">
        <w:rPr>
          <w:b/>
          <w:bCs/>
          <w:i/>
          <w:iCs/>
        </w:rPr>
        <w:t>/</w:t>
      </w:r>
      <w:r w:rsidR="00953FBE">
        <w:rPr>
          <w:b/>
          <w:bCs/>
          <w:i/>
          <w:iCs/>
        </w:rPr>
        <w:t xml:space="preserve">carbidopa </w:t>
      </w:r>
      <w:r w:rsidRPr="00580EC2">
        <w:rPr>
          <w:b/>
          <w:bCs/>
          <w:i/>
          <w:iCs/>
        </w:rPr>
        <w:t xml:space="preserve">arm in </w:t>
      </w:r>
      <w:r w:rsidR="00C26A13">
        <w:rPr>
          <w:b/>
          <w:bCs/>
          <w:i/>
          <w:iCs/>
        </w:rPr>
        <w:t>S</w:t>
      </w:r>
      <w:r w:rsidRPr="00580EC2">
        <w:rPr>
          <w:b/>
          <w:bCs/>
          <w:i/>
          <w:iCs/>
        </w:rPr>
        <w:t>tudy 736 (14.9% vs 3%). With due consideration of the limitations of indirect comparison (lack of 54</w:t>
      </w:r>
      <w:r w:rsidR="00C26A13">
        <w:rPr>
          <w:b/>
          <w:bCs/>
          <w:i/>
          <w:iCs/>
        </w:rPr>
        <w:t>-</w:t>
      </w:r>
      <w:r w:rsidRPr="00580EC2">
        <w:rPr>
          <w:b/>
          <w:bCs/>
          <w:i/>
          <w:iCs/>
        </w:rPr>
        <w:t xml:space="preserve">week data with </w:t>
      </w:r>
      <w:r w:rsidR="00A175F6">
        <w:rPr>
          <w:b/>
          <w:bCs/>
          <w:i/>
          <w:iCs/>
        </w:rPr>
        <w:t>Duodopa</w:t>
      </w:r>
      <w:r w:rsidRPr="00580EC2">
        <w:rPr>
          <w:b/>
          <w:bCs/>
          <w:i/>
          <w:iCs/>
        </w:rPr>
        <w:t xml:space="preserve">), the incidence rate for these events in the Vyalev arm is higher than that reported from studies with </w:t>
      </w:r>
      <w:r w:rsidR="00A175F6">
        <w:rPr>
          <w:b/>
          <w:bCs/>
          <w:i/>
          <w:iCs/>
        </w:rPr>
        <w:t>Duodopa</w:t>
      </w:r>
      <w:r w:rsidRPr="00580EC2">
        <w:rPr>
          <w:b/>
          <w:bCs/>
          <w:i/>
          <w:iCs/>
        </w:rPr>
        <w:t xml:space="preserve"> (5.8%). Please comment on any potential implications on the safety profile of this observation. Please advise the need for additional risk mitigation strategies.</w:t>
      </w:r>
    </w:p>
    <w:p w14:paraId="408E5B52" w14:textId="24B54B9E" w:rsidR="00FF5D52" w:rsidRPr="00FF5D52" w:rsidRDefault="00FF5D52" w:rsidP="00C34105">
      <w:r w:rsidRPr="00FF5D52">
        <w:t>The ACM advised that hallucination or psychosis is a known side effect of dopaminergic stimulation therapies. The ACM indicated that hallucination or psychosis may be more common in the context of continuous stimulation due to the likely improved bioavailability of subcutaneously administered therapies. As such</w:t>
      </w:r>
      <w:r w:rsidR="007259B3">
        <w:t>,</w:t>
      </w:r>
      <w:r w:rsidRPr="00FF5D52">
        <w:t xml:space="preserve"> the ACM suggested that dose titration (or discontinuation) may be an option for affected patients.</w:t>
      </w:r>
    </w:p>
    <w:p w14:paraId="3A87C214" w14:textId="0A9FB0D7" w:rsidR="00B264CE" w:rsidRDefault="00FF5D52" w:rsidP="00C34105">
      <w:r w:rsidRPr="00FF5D52">
        <w:t>In providing this advice, the ACM highlighted that hallucination or psychosis are a concerning event and advised that close monitoring of patients with these adverse events is required. The ACM noted that treating neurologists are familiar with these adverse events and the safety profile of dopaminergic stimulation therapies and no additional risk mitigation strategies are indicated.</w:t>
      </w:r>
    </w:p>
    <w:p w14:paraId="5B3F49BD" w14:textId="55655625" w:rsidR="00FF5D52" w:rsidRPr="00B264CE" w:rsidRDefault="00FF5D52" w:rsidP="00B264CE">
      <w:pPr>
        <w:pStyle w:val="Numberbullet0"/>
        <w:rPr>
          <w:b/>
          <w:bCs/>
          <w:i/>
          <w:iCs/>
        </w:rPr>
      </w:pPr>
      <w:r w:rsidRPr="00B264CE">
        <w:rPr>
          <w:b/>
          <w:bCs/>
          <w:i/>
          <w:iCs/>
        </w:rPr>
        <w:t xml:space="preserve"> Please comment on the adequacy of long-term efficacy and safety data of Vyalev for the proposed indication</w:t>
      </w:r>
    </w:p>
    <w:p w14:paraId="6BBC1B74" w14:textId="2BA6BCFB" w:rsidR="00FF5D52" w:rsidRPr="00FF5D52" w:rsidRDefault="00FF5D52" w:rsidP="004453EF">
      <w:r w:rsidRPr="00FF5D52">
        <w:t>On balance</w:t>
      </w:r>
      <w:r w:rsidR="00A94DB0">
        <w:t>,</w:t>
      </w:r>
      <w:r w:rsidRPr="00FF5D52">
        <w:t xml:space="preserve"> the ACM was of the view that the long-term efficacy and safety data is adequate to support Vyalev for the treatment of advanced idiopathic Parkinson’s </w:t>
      </w:r>
      <w:r w:rsidR="002C58E0">
        <w:t>D</w:t>
      </w:r>
      <w:r w:rsidRPr="00FF5D52">
        <w:t>isease with severe motor fluctuations.</w:t>
      </w:r>
    </w:p>
    <w:p w14:paraId="2A761565" w14:textId="7CE86D77" w:rsidR="00FF5D52" w:rsidRPr="00FF5D52" w:rsidRDefault="00FF5D52" w:rsidP="00C34105">
      <w:r w:rsidRPr="00FF5D52">
        <w:t xml:space="preserve">The ACM advised that the treatment effect appears </w:t>
      </w:r>
      <w:proofErr w:type="gramStart"/>
      <w:r w:rsidRPr="00FF5D52">
        <w:t>similar to</w:t>
      </w:r>
      <w:proofErr w:type="gramEnd"/>
      <w:r w:rsidRPr="00FF5D52">
        <w:t xml:space="preserve"> existing device assisted therapies. Further noting that the provided efficacy data demonstrates that the treatment effect of Vyalev is sustained up to 52 weeks, with extension studies providing additional data. Additionally, the Phase III study (M15-736) provided comparative data between Vyalev and oral </w:t>
      </w:r>
      <w:r w:rsidR="008C163E">
        <w:t>CARBIDOPA</w:t>
      </w:r>
      <w:r w:rsidRPr="00FF5D52">
        <w:t>/</w:t>
      </w:r>
      <w:r w:rsidR="00A175F6">
        <w:t>LEVODOPA</w:t>
      </w:r>
      <w:r w:rsidRPr="00FF5D52">
        <w:t xml:space="preserve"> supporting the use of Vyalev in the proposed population.</w:t>
      </w:r>
    </w:p>
    <w:p w14:paraId="4DEBD350" w14:textId="0574E896" w:rsidR="00FF5D52" w:rsidRPr="004E44E0" w:rsidRDefault="00FF5D52" w:rsidP="00C34105">
      <w:r w:rsidRPr="00FF5D52">
        <w:t>The ACM noted that the safety profile for Vyalev appears to align with the real</w:t>
      </w:r>
      <w:r w:rsidR="0050097E">
        <w:t>-</w:t>
      </w:r>
      <w:r w:rsidRPr="00FF5D52">
        <w:t>wor</w:t>
      </w:r>
      <w:r w:rsidR="002C58E0">
        <w:t>ld</w:t>
      </w:r>
      <w:r w:rsidRPr="00FF5D52">
        <w:t xml:space="preserve"> experience for these types of medicines. The ACM discussed the high incidence of infusion site reactions and infections within the submitted studies and indicated that within clinical practice these adverse events, if recurrent, may necessitate discontinuation. The ACM also commented on the rates of dyskinesia (11% in M15-736) and advised that dyskinesia often accompanies good motor control within advanced disease and as such is not always troubling for patients. The ACM advised that patients receiving device-assisted pharmacotherapies for PD receive intensive support from nursing </w:t>
      </w:r>
      <w:r w:rsidRPr="004E44E0">
        <w:t>services</w:t>
      </w:r>
      <w:r w:rsidR="003238B4" w:rsidRPr="004E44E0">
        <w:t>,</w:t>
      </w:r>
      <w:r w:rsidRPr="004E44E0">
        <w:t xml:space="preserve"> which are usually funded by the sponsors. The ACM was of the view that this nurse</w:t>
      </w:r>
      <w:r w:rsidR="00205E98" w:rsidRPr="004E44E0">
        <w:t>-</w:t>
      </w:r>
      <w:r w:rsidRPr="004E44E0">
        <w:t xml:space="preserve">provided support </w:t>
      </w:r>
      <w:r w:rsidR="00CC3FB3" w:rsidRPr="004E44E0">
        <w:t>would</w:t>
      </w:r>
      <w:r w:rsidRPr="004E44E0">
        <w:t xml:space="preserve"> assist with the mitigation and management of the risks of infusion site reactions and other adverse effects as well as facilitating pharmacovigilance.</w:t>
      </w:r>
    </w:p>
    <w:p w14:paraId="6B16761B" w14:textId="0A588F73" w:rsidR="00FF5D52" w:rsidRPr="00FF5D52" w:rsidRDefault="00FF5D52" w:rsidP="00C34105">
      <w:r w:rsidRPr="00FF5D52">
        <w:t>The ACM also noted that Vyalev is less invasive than some other treatment options and having another option is useful for patients and clinicians.</w:t>
      </w:r>
    </w:p>
    <w:p w14:paraId="57BDE60A" w14:textId="0283F0F1" w:rsidR="00FF5D52" w:rsidRPr="003238B4" w:rsidRDefault="00FF5D52" w:rsidP="003238B4">
      <w:pPr>
        <w:pStyle w:val="Numberbullet0"/>
        <w:rPr>
          <w:b/>
          <w:bCs/>
          <w:i/>
          <w:iCs/>
        </w:rPr>
      </w:pPr>
      <w:r w:rsidRPr="003238B4">
        <w:rPr>
          <w:b/>
          <w:bCs/>
          <w:i/>
          <w:iCs/>
        </w:rPr>
        <w:t xml:space="preserve">Please comment on whether the issues listed in the FDA’s Complete Response Letter regarding the device </w:t>
      </w:r>
      <w:r w:rsidR="00704437">
        <w:rPr>
          <w:b/>
          <w:bCs/>
          <w:i/>
          <w:iCs/>
        </w:rPr>
        <w:t>could</w:t>
      </w:r>
      <w:r w:rsidRPr="003238B4">
        <w:rPr>
          <w:b/>
          <w:bCs/>
          <w:i/>
          <w:iCs/>
        </w:rPr>
        <w:t xml:space="preserve"> affect the efficacy and safety of </w:t>
      </w:r>
      <w:proofErr w:type="spellStart"/>
      <w:r w:rsidRPr="003238B4">
        <w:rPr>
          <w:b/>
          <w:bCs/>
          <w:i/>
          <w:iCs/>
        </w:rPr>
        <w:t>Vyalev</w:t>
      </w:r>
      <w:proofErr w:type="spellEnd"/>
    </w:p>
    <w:p w14:paraId="426453C4" w14:textId="5A1204AB" w:rsidR="00FF5D52" w:rsidRPr="00FF5D52" w:rsidRDefault="00FF5D52" w:rsidP="00C34105">
      <w:r w:rsidRPr="00FF5D52">
        <w:t xml:space="preserve">The ACM discussed the issues listed in the FDA’s Complete Response Letter and noted that these appear to mainly relate to deficiencies in testing and specifications. However, the ACM also acknowledged that </w:t>
      </w:r>
      <w:r w:rsidR="00CC3FB3">
        <w:t>should</w:t>
      </w:r>
      <w:r w:rsidRPr="00FF5D52">
        <w:t xml:space="preserve"> there be issues with the battery alarms and flow accuracy etc, these </w:t>
      </w:r>
      <w:r w:rsidR="00704437">
        <w:t>could</w:t>
      </w:r>
      <w:r w:rsidRPr="00FF5D52">
        <w:t xml:space="preserve"> potentially affect the efficacy and safety of the medicine. The ACM advised that with the limited information available it is challenging to provide advice on the extent to which the identified issues with the device </w:t>
      </w:r>
      <w:r w:rsidR="00704437">
        <w:t>could</w:t>
      </w:r>
      <w:r w:rsidRPr="00FF5D52">
        <w:t xml:space="preserve"> affect the efficacy and safety of the medicine.</w:t>
      </w:r>
    </w:p>
    <w:p w14:paraId="7707AC91" w14:textId="0049EC2B" w:rsidR="0035334A" w:rsidRDefault="00FF5D52" w:rsidP="00C34105">
      <w:r w:rsidRPr="00FF5D52">
        <w:t xml:space="preserve">The ACM was of the view that it </w:t>
      </w:r>
      <w:r w:rsidR="00CC3FB3">
        <w:t>would</w:t>
      </w:r>
      <w:r w:rsidRPr="00FF5D52">
        <w:t xml:space="preserve"> be unlikely that the medicine will be used without the device, and if the medicine were approved it </w:t>
      </w:r>
      <w:r w:rsidR="00CC3FB3">
        <w:t>would</w:t>
      </w:r>
      <w:r w:rsidRPr="00FF5D52">
        <w:t xml:space="preserve"> be assumed that it (the medicine) </w:t>
      </w:r>
      <w:r w:rsidR="00CC3FB3">
        <w:t>would</w:t>
      </w:r>
      <w:r w:rsidRPr="00FF5D52">
        <w:t xml:space="preserve"> not be marketed until the associated device has been appropriately evaluated.</w:t>
      </w:r>
    </w:p>
    <w:p w14:paraId="1DEE5EB2" w14:textId="46A10339" w:rsidR="00FF5D52" w:rsidRPr="00FF5D52" w:rsidRDefault="00FF5D52" w:rsidP="004453EF">
      <w:r w:rsidRPr="00FF5D52">
        <w:t>The ACM also noted that the device is referenced within the medicine PI and the specificity of Vyalev (medicine) only to be administered with the Vyafuser device</w:t>
      </w:r>
      <w:r w:rsidRPr="00C76EBC">
        <w:t xml:space="preserve">. In consideration of the regulatory issues and the outstanding issues with the device, </w:t>
      </w:r>
      <w:r w:rsidR="00C76EBC">
        <w:t xml:space="preserve">the ACM noted that it </w:t>
      </w:r>
      <w:r w:rsidRPr="00C76EBC">
        <w:t>may be appropriate to consider approval of the registration of the medicine only after the device has been fully considered by the TGA and an appropriate recommendation/decision reached.</w:t>
      </w:r>
    </w:p>
    <w:p w14:paraId="5CB399FF" w14:textId="2A057913" w:rsidR="00FF5D52" w:rsidRPr="00FF5D52" w:rsidRDefault="00FF5D52" w:rsidP="00205E98">
      <w:pPr>
        <w:pStyle w:val="Heading5"/>
      </w:pPr>
      <w:r w:rsidRPr="00FF5D52">
        <w:t>ACM conclusion</w:t>
      </w:r>
    </w:p>
    <w:p w14:paraId="7127A27A" w14:textId="0B129629" w:rsidR="00FF5D52" w:rsidRPr="00FF5D52" w:rsidRDefault="00FF5D52" w:rsidP="00C34105">
      <w:r w:rsidRPr="00FF5D52">
        <w:t>The ACM considered this product to have an overall positive benefit-risk profile for the indication:</w:t>
      </w:r>
    </w:p>
    <w:p w14:paraId="1891102B" w14:textId="747A1C76" w:rsidR="00FF5D52" w:rsidRPr="00C34105" w:rsidRDefault="00FF5D52" w:rsidP="00C34105">
      <w:pPr>
        <w:ind w:left="720"/>
        <w:rPr>
          <w:i/>
          <w:iCs/>
        </w:rPr>
      </w:pPr>
      <w:r w:rsidRPr="00C34105">
        <w:rPr>
          <w:i/>
          <w:iCs/>
        </w:rPr>
        <w:t>For the treatment of advanced idiopathic Parkinson’s disease with severe motor fluctuations despite optimised alternative pharmacological treatment.</w:t>
      </w:r>
    </w:p>
    <w:p w14:paraId="6EDDD395" w14:textId="0F634AEE" w:rsidR="004022C7" w:rsidRPr="004022C7" w:rsidRDefault="00FF5D52" w:rsidP="00C34105">
      <w:r w:rsidRPr="00FF5D52">
        <w:t>The ACM also noted the regulatory challenges due to the associated device not yet being available for evaluation by the TGA, particularly in view of the outstanding issues with the device</w:t>
      </w:r>
      <w:r w:rsidR="00BD4B26">
        <w:t>. They</w:t>
      </w:r>
      <w:r w:rsidRPr="00FF5D52">
        <w:t xml:space="preserve"> acknowledged that this may impact on the Delegate’s ability to make a favourable regulatory decision in terms of the registration of the medicine at this time.</w:t>
      </w:r>
    </w:p>
    <w:p w14:paraId="307F236C" w14:textId="1663F3CB" w:rsidR="00C22214" w:rsidRPr="002E238E" w:rsidRDefault="004C2D6B" w:rsidP="00C22214">
      <w:pPr>
        <w:pStyle w:val="Heading2"/>
      </w:pPr>
      <w:bookmarkStart w:id="101" w:name="_Toc103679300"/>
      <w:bookmarkStart w:id="102" w:name="_Toc182486563"/>
      <w:r w:rsidRPr="004C66A8">
        <w:t>Regulatory decision</w:t>
      </w:r>
      <w:bookmarkEnd w:id="95"/>
      <w:bookmarkEnd w:id="96"/>
      <w:bookmarkEnd w:id="101"/>
      <w:bookmarkEnd w:id="102"/>
    </w:p>
    <w:p w14:paraId="4EF22939" w14:textId="545DB1F5" w:rsidR="00C22214" w:rsidRDefault="00FB2610" w:rsidP="004C66A8">
      <w:r>
        <w:t>Based on</w:t>
      </w:r>
      <w:r w:rsidR="00FB7B67">
        <w:t xml:space="preserve"> the evaluation of additional data for quality, safety and efficacy, and </w:t>
      </w:r>
      <w:r>
        <w:t xml:space="preserve">subsequent </w:t>
      </w:r>
      <w:r w:rsidR="0026086D">
        <w:t xml:space="preserve">application </w:t>
      </w:r>
      <w:r w:rsidR="00073340">
        <w:t xml:space="preserve">to include the Vyafuser pump in the ARTG, </w:t>
      </w:r>
      <w:r w:rsidR="005E3281">
        <w:t>the TGA decided to register Vyalev</w:t>
      </w:r>
      <w:r w:rsidR="005E3281">
        <w:br/>
        <w:t>(</w:t>
      </w:r>
      <w:r w:rsidR="00A175F6">
        <w:rPr>
          <w:rFonts w:cs="Cambria"/>
          <w:szCs w:val="22"/>
        </w:rPr>
        <w:t>foslevodopa</w:t>
      </w:r>
      <w:r w:rsidR="00D809B5">
        <w:rPr>
          <w:rFonts w:cs="Cambria"/>
          <w:szCs w:val="22"/>
        </w:rPr>
        <w:t xml:space="preserve"> 2400 mg/10 mL and foscarbidopa 120 mg/10 mL</w:t>
      </w:r>
      <w:r w:rsidR="00245EE1">
        <w:rPr>
          <w:rFonts w:cs="Cambria"/>
          <w:szCs w:val="22"/>
        </w:rPr>
        <w:t>)</w:t>
      </w:r>
      <w:r w:rsidR="00D809B5">
        <w:rPr>
          <w:rFonts w:cs="Cambria"/>
          <w:szCs w:val="22"/>
        </w:rPr>
        <w:t xml:space="preserve"> solution for subcutaneous infusion vial</w:t>
      </w:r>
      <w:r w:rsidR="00B27E25">
        <w:rPr>
          <w:rFonts w:cs="Cambria"/>
          <w:szCs w:val="22"/>
        </w:rPr>
        <w:t xml:space="preserve"> for the </w:t>
      </w:r>
      <w:r w:rsidR="00C22214" w:rsidRPr="0017005C">
        <w:t>following indication</w:t>
      </w:r>
      <w:r w:rsidR="00245EE1">
        <w:t>.</w:t>
      </w:r>
    </w:p>
    <w:p w14:paraId="086A7362" w14:textId="42C85B25" w:rsidR="00B27E25" w:rsidRPr="004C66A8" w:rsidRDefault="0024316E" w:rsidP="004C66A8">
      <w:pPr>
        <w:ind w:left="720"/>
        <w:rPr>
          <w:i/>
          <w:iCs/>
        </w:rPr>
      </w:pPr>
      <w:r w:rsidRPr="004C66A8">
        <w:rPr>
          <w:i/>
          <w:iCs/>
        </w:rPr>
        <w:t>For the treatment of advanced idiopathic Parkinson’s disease with severe motor</w:t>
      </w:r>
      <w:r w:rsidR="004C66A8" w:rsidRPr="004C66A8">
        <w:rPr>
          <w:i/>
          <w:iCs/>
        </w:rPr>
        <w:t xml:space="preserve"> </w:t>
      </w:r>
      <w:r w:rsidRPr="004C66A8">
        <w:rPr>
          <w:i/>
          <w:iCs/>
        </w:rPr>
        <w:t>fluctuations despite optimised alternative pharmacological treatment.</w:t>
      </w:r>
    </w:p>
    <w:p w14:paraId="0D732DA4" w14:textId="37A8302D" w:rsidR="00854D98" w:rsidRPr="00D23139" w:rsidRDefault="00854D98" w:rsidP="004C66A8">
      <w:pPr>
        <w:pStyle w:val="Heading3"/>
      </w:pPr>
      <w:bookmarkStart w:id="103" w:name="_Toc103679301"/>
      <w:bookmarkStart w:id="104" w:name="_Toc182486564"/>
      <w:r w:rsidRPr="00D23139">
        <w:t xml:space="preserve">Specific conditions of </w:t>
      </w:r>
      <w:r w:rsidRPr="004C66A8">
        <w:t>registration</w:t>
      </w:r>
      <w:r w:rsidRPr="00D23139">
        <w:t xml:space="preserve"> applying to these goods</w:t>
      </w:r>
      <w:bookmarkEnd w:id="103"/>
      <w:bookmarkEnd w:id="104"/>
    </w:p>
    <w:p w14:paraId="6B67AB20" w14:textId="2954B5AF" w:rsidR="00702795" w:rsidRDefault="00702795" w:rsidP="004C66A8">
      <w:r>
        <w:t>Vyalev (</w:t>
      </w:r>
      <w:r w:rsidR="00A175F6">
        <w:t>foslevodopa</w:t>
      </w:r>
      <w:r>
        <w:t>/foscarbidopa) is to be included in the Black Triangle Scheme. The</w:t>
      </w:r>
      <w:r w:rsidR="00470E18">
        <w:t xml:space="preserve"> </w:t>
      </w:r>
      <w:r>
        <w:t xml:space="preserve">PI and CMI for Vyalev must include the black triangle symbol and mandatory accompanying text for </w:t>
      </w:r>
      <w:r w:rsidR="003436D4">
        <w:t>5</w:t>
      </w:r>
      <w:r>
        <w:t xml:space="preserve"> years, which starts from the date that the sponsor notifies</w:t>
      </w:r>
      <w:r w:rsidR="00093A33">
        <w:t xml:space="preserve"> </w:t>
      </w:r>
      <w:r>
        <w:t>the TGA of supply of the product.</w:t>
      </w:r>
    </w:p>
    <w:p w14:paraId="70694FE0" w14:textId="73A04BA0" w:rsidR="00990A6E" w:rsidRPr="002758EA" w:rsidRDefault="00990A6E" w:rsidP="004C66A8">
      <w:r w:rsidRPr="002758EA">
        <w:t>The Vyalev EU Risk Management Plan (RMP) (version 1.2, dated May 2022, data lock</w:t>
      </w:r>
      <w:r w:rsidR="00894848">
        <w:t xml:space="preserve"> </w:t>
      </w:r>
      <w:r w:rsidRPr="002758EA">
        <w:t>point 05 November 2021), with Australian Specific Annex (version 4.0, dated April</w:t>
      </w:r>
      <w:r w:rsidR="00894848">
        <w:t xml:space="preserve"> </w:t>
      </w:r>
      <w:r w:rsidRPr="002758EA">
        <w:t>2023), included with submission PM-2021-03724-1-1, and any subsequent revisions,</w:t>
      </w:r>
      <w:r w:rsidR="00894848">
        <w:t xml:space="preserve"> </w:t>
      </w:r>
      <w:r w:rsidRPr="002758EA">
        <w:t>as agreed with the TGA will be implemented in Australia.</w:t>
      </w:r>
    </w:p>
    <w:p w14:paraId="72A7A942" w14:textId="7BC91528" w:rsidR="00316AF3" w:rsidRDefault="00990A6E" w:rsidP="004C66A8">
      <w:r w:rsidRPr="002758EA">
        <w:t>An obligatory component of risk management plans is routine pharmacovigilance.</w:t>
      </w:r>
      <w:r w:rsidR="00894848">
        <w:t xml:space="preserve"> </w:t>
      </w:r>
      <w:r w:rsidRPr="002758EA">
        <w:t>Routine pharmacovigilance includes the submission of periodic safety update</w:t>
      </w:r>
      <w:r w:rsidR="00894848">
        <w:t xml:space="preserve"> </w:t>
      </w:r>
      <w:r w:rsidRPr="002758EA">
        <w:t>reports (PSURs).</w:t>
      </w:r>
      <w:r w:rsidR="00894848">
        <w:t xml:space="preserve"> </w:t>
      </w:r>
      <w:r w:rsidRPr="002758EA">
        <w:t>Unless agreed separately between the supplier who is the recipient of the approval</w:t>
      </w:r>
      <w:r w:rsidR="00894848">
        <w:t xml:space="preserve"> </w:t>
      </w:r>
      <w:r w:rsidRPr="002758EA">
        <w:t>and the TGA, the first report must be submitted to TGA no later than 15 calendar</w:t>
      </w:r>
      <w:r w:rsidR="00894848">
        <w:t xml:space="preserve"> </w:t>
      </w:r>
      <w:r w:rsidRPr="002758EA">
        <w:t xml:space="preserve">months after the date of </w:t>
      </w:r>
      <w:r w:rsidR="00632D4B">
        <w:t>the registration</w:t>
      </w:r>
      <w:r w:rsidRPr="002758EA">
        <w:t xml:space="preserve"> approval letter. The subsequent reports must be</w:t>
      </w:r>
      <w:r w:rsidR="005B5774">
        <w:t xml:space="preserve"> </w:t>
      </w:r>
      <w:r w:rsidRPr="002758EA">
        <w:t>submitted no less frequently than annually from the date of the first submitted</w:t>
      </w:r>
      <w:r w:rsidR="005B5774">
        <w:t xml:space="preserve"> </w:t>
      </w:r>
      <w:r w:rsidRPr="002758EA">
        <w:t>report until the period covered by such reports is not less than three years from the</w:t>
      </w:r>
      <w:r w:rsidR="005B5774">
        <w:t xml:space="preserve"> </w:t>
      </w:r>
      <w:r w:rsidRPr="002758EA">
        <w:t xml:space="preserve">date of this approval letter. The annual submission may be made up of </w:t>
      </w:r>
      <w:r w:rsidR="004F2CE3">
        <w:t>2</w:t>
      </w:r>
      <w:r w:rsidRPr="002758EA">
        <w:t xml:space="preserve"> PSURs</w:t>
      </w:r>
      <w:r w:rsidR="005B5774">
        <w:t xml:space="preserve"> </w:t>
      </w:r>
      <w:r w:rsidRPr="002758EA">
        <w:t xml:space="preserve">each covering </w:t>
      </w:r>
      <w:r w:rsidR="004F2CE3">
        <w:t>6</w:t>
      </w:r>
      <w:r w:rsidRPr="002758EA">
        <w:t xml:space="preserve"> months. If the sponsor wishes, the </w:t>
      </w:r>
      <w:r w:rsidR="00583835" w:rsidRPr="002758EA">
        <w:t>six-monthly</w:t>
      </w:r>
      <w:r w:rsidRPr="002758EA">
        <w:t xml:space="preserve"> reports may be</w:t>
      </w:r>
      <w:r w:rsidR="005B5774">
        <w:t xml:space="preserve"> </w:t>
      </w:r>
      <w:r w:rsidRPr="002758EA">
        <w:t>submitted separately as they become available</w:t>
      </w:r>
      <w:r w:rsidR="002B22F6">
        <w:t>.</w:t>
      </w:r>
    </w:p>
    <w:p w14:paraId="6FEA8D24" w14:textId="6516ED87" w:rsidR="00990A6E" w:rsidRPr="002758EA" w:rsidRDefault="002B22F6" w:rsidP="004C66A8">
      <w:pPr>
        <w:rPr>
          <w:rFonts w:cs="Cambria"/>
          <w:szCs w:val="22"/>
        </w:rPr>
      </w:pPr>
      <w:r>
        <w:t>R</w:t>
      </w:r>
      <w:r w:rsidR="00990A6E" w:rsidRPr="002758EA">
        <w:t>eports can be</w:t>
      </w:r>
      <w:r>
        <w:t xml:space="preserve"> </w:t>
      </w:r>
      <w:r w:rsidR="00990A6E" w:rsidRPr="002758EA">
        <w:t>provided in line with the published list of EU reference dates no less frequently than</w:t>
      </w:r>
      <w:r>
        <w:t xml:space="preserve"> </w:t>
      </w:r>
      <w:r w:rsidR="00990A6E" w:rsidRPr="002758EA">
        <w:t>annually from the date of the first submitted report until the period covered by such</w:t>
      </w:r>
      <w:r>
        <w:t xml:space="preserve"> </w:t>
      </w:r>
      <w:r w:rsidR="00990A6E" w:rsidRPr="002758EA">
        <w:t xml:space="preserve">reports is not less than </w:t>
      </w:r>
      <w:r w:rsidR="004F2CE3">
        <w:t>3</w:t>
      </w:r>
      <w:r w:rsidR="00990A6E" w:rsidRPr="002758EA">
        <w:t xml:space="preserve"> years from the date of this approval letter.</w:t>
      </w:r>
      <w:r w:rsidR="00E66B8E">
        <w:t xml:space="preserve"> </w:t>
      </w:r>
      <w:r w:rsidR="00990A6E" w:rsidRPr="002758EA">
        <w:t>The reports are to at least meet the requirements for PSURs as described in the</w:t>
      </w:r>
      <w:r w:rsidR="00E66B8E">
        <w:t xml:space="preserve"> </w:t>
      </w:r>
      <w:r w:rsidR="00990A6E" w:rsidRPr="002758EA">
        <w:t>European Medicines Agency’s Guideline on good pharmacovigilance practices (GVP)</w:t>
      </w:r>
      <w:r w:rsidR="00E66B8E">
        <w:t xml:space="preserve"> </w:t>
      </w:r>
      <w:r w:rsidR="00990A6E" w:rsidRPr="002758EA">
        <w:t>Module VII-periodic safety update report (Rev 1), Part VII.B Structures and processes.</w:t>
      </w:r>
      <w:r w:rsidR="00E66B8E">
        <w:t xml:space="preserve"> </w:t>
      </w:r>
      <w:r w:rsidR="00990A6E" w:rsidRPr="002758EA">
        <w:rPr>
          <w:rFonts w:cs="Cambria"/>
          <w:szCs w:val="22"/>
        </w:rPr>
        <w:t>Note that submission of a PSUR does not constitute an application to vary the</w:t>
      </w:r>
      <w:r w:rsidR="00E66B8E">
        <w:rPr>
          <w:rFonts w:cs="Cambria"/>
          <w:szCs w:val="22"/>
        </w:rPr>
        <w:t xml:space="preserve"> </w:t>
      </w:r>
      <w:r w:rsidR="00990A6E" w:rsidRPr="002758EA">
        <w:rPr>
          <w:rFonts w:cs="Cambria"/>
          <w:szCs w:val="22"/>
        </w:rPr>
        <w:t xml:space="preserve">registration. Each report must have been prepared within </w:t>
      </w:r>
      <w:r w:rsidR="002C02DD">
        <w:rPr>
          <w:rFonts w:cs="Cambria"/>
          <w:szCs w:val="22"/>
        </w:rPr>
        <w:t>90</w:t>
      </w:r>
      <w:r w:rsidR="00990A6E" w:rsidRPr="002758EA">
        <w:rPr>
          <w:rFonts w:cs="Cambria"/>
          <w:szCs w:val="22"/>
        </w:rPr>
        <w:t xml:space="preserve"> calendar days of the</w:t>
      </w:r>
      <w:r w:rsidR="00E66B8E">
        <w:rPr>
          <w:rFonts w:cs="Cambria"/>
          <w:szCs w:val="22"/>
        </w:rPr>
        <w:t xml:space="preserve"> </w:t>
      </w:r>
      <w:r w:rsidR="00990A6E" w:rsidRPr="002758EA">
        <w:rPr>
          <w:rFonts w:cs="Cambria"/>
          <w:szCs w:val="22"/>
        </w:rPr>
        <w:t>data lock point for that report.</w:t>
      </w:r>
    </w:p>
    <w:p w14:paraId="451DC3FC" w14:textId="3BE9BAC7" w:rsidR="00C22214" w:rsidRDefault="00CC047F" w:rsidP="005865A5">
      <w:pPr>
        <w:pStyle w:val="Heading2"/>
      </w:pPr>
      <w:bookmarkStart w:id="105" w:name="_Toc103679303"/>
      <w:bookmarkStart w:id="106" w:name="_Toc182486565"/>
      <w:r>
        <w:t xml:space="preserve">Attachment </w:t>
      </w:r>
      <w:r w:rsidR="00EA484D">
        <w:t>–</w:t>
      </w:r>
      <w:r>
        <w:t xml:space="preserve"> </w:t>
      </w:r>
      <w:r w:rsidR="00C22214">
        <w:t>Product Information</w:t>
      </w:r>
      <w:bookmarkEnd w:id="105"/>
      <w:r w:rsidR="006600F4">
        <w:t xml:space="preserve"> (PI)</w:t>
      </w:r>
      <w:bookmarkEnd w:id="106"/>
    </w:p>
    <w:p w14:paraId="40740B65" w14:textId="10AF2C74" w:rsidR="00C22214" w:rsidRPr="004C66A8" w:rsidRDefault="00675F81" w:rsidP="004C66A8">
      <w:pPr>
        <w:rPr>
          <w:szCs w:val="22"/>
        </w:rPr>
      </w:pPr>
      <w:r w:rsidRPr="00BD5DBD">
        <w:rPr>
          <w:szCs w:val="22"/>
        </w:rPr>
        <w:t xml:space="preserve">The </w:t>
      </w:r>
      <w:hyperlink r:id="rId39" w:history="1">
        <w:r w:rsidRPr="00BD5DBD">
          <w:rPr>
            <w:rStyle w:val="Hyperlink"/>
            <w:szCs w:val="22"/>
          </w:rPr>
          <w:t>Product Information</w:t>
        </w:r>
      </w:hyperlink>
      <w:r w:rsidRPr="00BD5DBD">
        <w:rPr>
          <w:szCs w:val="22"/>
        </w:rPr>
        <w:t xml:space="preserve"> (</w:t>
      </w:r>
      <w:hyperlink r:id="rId40"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proofErr w:type="spellStart"/>
      <w:r w:rsidR="002C372C">
        <w:t>Vyalev</w:t>
      </w:r>
      <w:proofErr w:type="spellEnd"/>
      <w:r w:rsidRPr="00BD5DBD">
        <w:rPr>
          <w:szCs w:val="22"/>
        </w:rPr>
        <w:t xml:space="preserve"> </w:t>
      </w:r>
      <w:r w:rsidR="00F95415">
        <w:rPr>
          <w:szCs w:val="22"/>
        </w:rPr>
        <w:t>is at</w:t>
      </w:r>
      <w:r w:rsidRPr="00BD5DBD">
        <w:rPr>
          <w:szCs w:val="22"/>
        </w:rPr>
        <w:t xml:space="preserve"> Attachment 1. </w:t>
      </w:r>
      <w:r w:rsidR="0025785B">
        <w:t xml:space="preserve">It may have been superseded. </w:t>
      </w:r>
      <w:r w:rsidR="001738A0">
        <w:rPr>
          <w:szCs w:val="22"/>
        </w:rPr>
        <w:t>To view the current</w:t>
      </w:r>
      <w:r w:rsidRPr="00BD5DBD">
        <w:rPr>
          <w:szCs w:val="22"/>
        </w:rPr>
        <w:t xml:space="preserve"> PI and </w:t>
      </w:r>
      <w:hyperlink r:id="rId41" w:history="1">
        <w:r w:rsidRPr="00BD5DBD">
          <w:rPr>
            <w:rStyle w:val="Hyperlink"/>
            <w:szCs w:val="22"/>
          </w:rPr>
          <w:t>Consumer Medicines Information</w:t>
        </w:r>
      </w:hyperlink>
      <w:r w:rsidRPr="00BD5DBD">
        <w:rPr>
          <w:szCs w:val="22"/>
        </w:rPr>
        <w:t xml:space="preserve"> (CMI), please </w:t>
      </w:r>
      <w:r w:rsidR="002C372C">
        <w:rPr>
          <w:szCs w:val="22"/>
        </w:rPr>
        <w:t>use</w:t>
      </w:r>
      <w:r w:rsidRPr="00BD5DBD">
        <w:rPr>
          <w:szCs w:val="22"/>
        </w:rPr>
        <w:t xml:space="preserve"> the TGA </w:t>
      </w:r>
      <w:hyperlink r:id="rId42" w:history="1">
        <w:r w:rsidRPr="00BD5DBD">
          <w:rPr>
            <w:rStyle w:val="Hyperlink"/>
            <w:szCs w:val="22"/>
          </w:rPr>
          <w:t>PI/CMI search facility.</w:t>
        </w:r>
      </w:hyperlink>
    </w:p>
    <w:p w14:paraId="53357BF3" w14:textId="276457B5" w:rsidR="00C22214" w:rsidRDefault="00C22214" w:rsidP="00C22214">
      <w:pPr>
        <w:rPr>
          <w:lang w:eastAsia="ja-JP"/>
        </w:rPr>
        <w:sectPr w:rsidR="00C22214" w:rsidSect="00192ED8">
          <w:headerReference w:type="default" r:id="rId43"/>
          <w:footerReference w:type="default" r:id="rId44"/>
          <w:pgSz w:w="11906" w:h="16838" w:code="9"/>
          <w:pgMar w:top="1134" w:right="1418" w:bottom="1560" w:left="1418" w:header="573" w:footer="384"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53426A">
            <w:pPr>
              <w:pStyle w:val="Address"/>
              <w:jc w:val="center"/>
              <w:rPr>
                <w:rStyle w:val="Hyperlink"/>
                <w:b/>
                <w:color w:val="auto"/>
                <w:sz w:val="22"/>
              </w:rPr>
            </w:pPr>
            <w:hyperlink r:id="rId46"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rsidP="00192ED8"/>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6AE46" w14:textId="77777777" w:rsidR="000029BC" w:rsidRDefault="000029BC" w:rsidP="00F02AEC">
      <w:pPr>
        <w:spacing w:after="0" w:line="240" w:lineRule="auto"/>
      </w:pPr>
      <w:r>
        <w:separator/>
      </w:r>
    </w:p>
  </w:endnote>
  <w:endnote w:type="continuationSeparator" w:id="0">
    <w:p w14:paraId="62DE239B" w14:textId="77777777" w:rsidR="000029BC" w:rsidRDefault="000029BC" w:rsidP="00F02AEC">
      <w:pPr>
        <w:spacing w:after="0" w:line="240" w:lineRule="auto"/>
      </w:pPr>
      <w:r>
        <w:continuationSeparator/>
      </w:r>
    </w:p>
  </w:endnote>
  <w:endnote w:type="continuationNotice" w:id="1">
    <w:p w14:paraId="0F29E532" w14:textId="77777777" w:rsidR="000029BC" w:rsidRDefault="000029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00"/>
      <w:gridCol w:w="1726"/>
    </w:tblGrid>
    <w:tr w:rsidR="005F1A4C" w:rsidRPr="004A3084" w14:paraId="0E5F848D" w14:textId="77777777" w:rsidTr="005F1A4C">
      <w:trPr>
        <w:trHeight w:val="423"/>
      </w:trPr>
      <w:tc>
        <w:tcPr>
          <w:tcW w:w="7338" w:type="dxa"/>
          <w:tcBorders>
            <w:top w:val="single" w:sz="4" w:space="0" w:color="auto"/>
          </w:tcBorders>
        </w:tcPr>
        <w:p w14:paraId="28316CCD" w14:textId="0750D7E7" w:rsidR="005F1A4C" w:rsidRPr="004A3084" w:rsidRDefault="005F1A4C" w:rsidP="005F1A4C">
          <w:pPr>
            <w:pStyle w:val="Footer"/>
          </w:pPr>
          <w:proofErr w:type="spellStart"/>
          <w:r w:rsidRPr="00487162">
            <w:t>AusPA</w:t>
          </w:r>
          <w:r>
            <w:t>R</w:t>
          </w:r>
          <w:proofErr w:type="spellEnd"/>
          <w:r>
            <w:t xml:space="preserve"> - </w:t>
          </w:r>
          <w:proofErr w:type="spellStart"/>
          <w:r>
            <w:t>Vyalev</w:t>
          </w:r>
          <w:proofErr w:type="spellEnd"/>
          <w:r>
            <w:t xml:space="preserve"> -</w:t>
          </w:r>
          <w:r w:rsidRPr="00460036">
            <w:t xml:space="preserve"> </w:t>
          </w:r>
          <w:proofErr w:type="spellStart"/>
          <w:r>
            <w:t>Fos</w:t>
          </w:r>
          <w:r w:rsidR="00A175F6">
            <w:t>levodopa</w:t>
          </w:r>
          <w:proofErr w:type="spellEnd"/>
          <w:r>
            <w:t>/</w:t>
          </w:r>
          <w:proofErr w:type="spellStart"/>
          <w:r>
            <w:t>foscarbidopa</w:t>
          </w:r>
          <w:proofErr w:type="spellEnd"/>
          <w:r w:rsidRPr="00460036">
            <w:t xml:space="preserve"> </w:t>
          </w:r>
          <w:r>
            <w:t xml:space="preserve">– </w:t>
          </w:r>
          <w:proofErr w:type="spellStart"/>
          <w:r>
            <w:t>A</w:t>
          </w:r>
          <w:r w:rsidR="00154987">
            <w:t>bbvie</w:t>
          </w:r>
          <w:proofErr w:type="spellEnd"/>
          <w:r w:rsidR="00154987">
            <w:t xml:space="preserve"> </w:t>
          </w:r>
          <w:r>
            <w:t xml:space="preserve">Pty Ltd - </w:t>
          </w:r>
          <w:r w:rsidR="00916246" w:rsidRPr="00C23EC5">
            <w:t>PM-2021-03724-1-1</w:t>
          </w:r>
          <w:r>
            <w:br/>
          </w:r>
          <w:r w:rsidR="003C5496">
            <w:t xml:space="preserve">Date of finalisation: 21 October </w:t>
          </w:r>
          <w:r w:rsidR="00A11466">
            <w:t>2024</w:t>
          </w:r>
        </w:p>
      </w:tc>
      <w:tc>
        <w:tcPr>
          <w:tcW w:w="1734" w:type="dxa"/>
          <w:tcBorders>
            <w:top w:val="single" w:sz="4" w:space="0" w:color="auto"/>
          </w:tcBorders>
        </w:tcPr>
        <w:sdt>
          <w:sdtPr>
            <w:id w:val="-1274707131"/>
            <w:docPartObj>
              <w:docPartGallery w:val="Page Numbers (Top of Page)"/>
              <w:docPartUnique/>
            </w:docPartObj>
          </w:sdtPr>
          <w:sdtEndPr/>
          <w:sdtContent>
            <w:p w14:paraId="0B27BBE2" w14:textId="77777777" w:rsidR="005F1A4C" w:rsidRPr="004A3084" w:rsidRDefault="005F1A4C" w:rsidP="005F1A4C">
              <w:pPr>
                <w:pStyle w:val="Footer"/>
                <w:jc w:val="right"/>
              </w:pPr>
              <w:r w:rsidRPr="004A3084">
                <w:t xml:space="preserve">Page </w:t>
              </w:r>
              <w:r>
                <w:fldChar w:fldCharType="begin"/>
              </w:r>
              <w:r>
                <w:instrText xml:space="preserve"> PAGE </w:instrText>
              </w:r>
              <w:r>
                <w:fldChar w:fldCharType="separate"/>
              </w:r>
              <w:r>
                <w:t>2</w:t>
              </w:r>
              <w:r>
                <w:rPr>
                  <w:noProof/>
                </w:rPr>
                <w:fldChar w:fldCharType="end"/>
              </w:r>
              <w:r w:rsidRPr="004A3084">
                <w:t xml:space="preserve"> of </w:t>
              </w:r>
              <w:r>
                <w:fldChar w:fldCharType="begin"/>
              </w:r>
              <w:r>
                <w:instrText xml:space="preserve"> NUMPAGES  </w:instrText>
              </w:r>
              <w:r>
                <w:fldChar w:fldCharType="separate"/>
              </w:r>
              <w:r>
                <w:t>47</w:t>
              </w:r>
              <w:r>
                <w:fldChar w:fldCharType="end"/>
              </w:r>
            </w:p>
          </w:sdtContent>
        </w:sdt>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8799F84" w:rsidR="007452E8" w:rsidRPr="00D407EC" w:rsidRDefault="00D407EC" w:rsidP="00D407EC">
          <w:pPr>
            <w:pStyle w:val="Footer"/>
          </w:pPr>
          <w:proofErr w:type="spellStart"/>
          <w:r w:rsidRPr="00487162">
            <w:t>AusPA</w:t>
          </w:r>
          <w:r>
            <w:t>R</w:t>
          </w:r>
          <w:proofErr w:type="spellEnd"/>
          <w:r>
            <w:t xml:space="preserve"> - </w:t>
          </w:r>
          <w:proofErr w:type="spellStart"/>
          <w:r>
            <w:t>Vyalev</w:t>
          </w:r>
          <w:proofErr w:type="spellEnd"/>
          <w:r>
            <w:t xml:space="preserve"> -</w:t>
          </w:r>
          <w:r w:rsidRPr="00460036">
            <w:t xml:space="preserve"> </w:t>
          </w:r>
          <w:proofErr w:type="spellStart"/>
          <w:r>
            <w:t>Foslevodopa</w:t>
          </w:r>
          <w:proofErr w:type="spellEnd"/>
          <w:r>
            <w:t>/</w:t>
          </w:r>
          <w:proofErr w:type="spellStart"/>
          <w:r>
            <w:t>foscarbidopa</w:t>
          </w:r>
          <w:proofErr w:type="spellEnd"/>
          <w:r w:rsidRPr="00460036">
            <w:t xml:space="preserve"> </w:t>
          </w:r>
          <w:r>
            <w:t xml:space="preserve">– </w:t>
          </w:r>
          <w:proofErr w:type="spellStart"/>
          <w:r>
            <w:t>Abbvie</w:t>
          </w:r>
          <w:proofErr w:type="spellEnd"/>
          <w:r>
            <w:t xml:space="preserve"> Pty Ltd - </w:t>
          </w:r>
          <w:r w:rsidRPr="00C23EC5">
            <w:t>PM-2021-03724-1-1</w:t>
          </w:r>
          <w:r>
            <w:br/>
            <w:t>Date of finalisation: 21 October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4DC92" w14:textId="77777777" w:rsidR="000029BC" w:rsidRDefault="000029BC" w:rsidP="00F02AEC">
      <w:pPr>
        <w:spacing w:after="0" w:line="240" w:lineRule="auto"/>
      </w:pPr>
      <w:r>
        <w:separator/>
      </w:r>
    </w:p>
  </w:footnote>
  <w:footnote w:type="continuationSeparator" w:id="0">
    <w:p w14:paraId="722AA18D" w14:textId="77777777" w:rsidR="000029BC" w:rsidRDefault="000029BC" w:rsidP="00F02AEC">
      <w:pPr>
        <w:spacing w:after="0" w:line="240" w:lineRule="auto"/>
      </w:pPr>
      <w:r>
        <w:continuationSeparator/>
      </w:r>
    </w:p>
  </w:footnote>
  <w:footnote w:type="continuationNotice" w:id="1">
    <w:p w14:paraId="41CA386A" w14:textId="77777777" w:rsidR="000029BC" w:rsidRDefault="000029BC">
      <w:pPr>
        <w:spacing w:after="0" w:line="240" w:lineRule="auto"/>
      </w:pPr>
    </w:p>
  </w:footnote>
  <w:footnote w:id="2">
    <w:p w14:paraId="68402A9B" w14:textId="42E6F8E0" w:rsidR="007452E8" w:rsidRPr="00A93DC6" w:rsidRDefault="007452E8" w:rsidP="0071550A">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4B690876" w14:textId="5D46E2CB" w:rsidR="008303BC" w:rsidRPr="002A18B4" w:rsidRDefault="008303BC">
      <w:pPr>
        <w:pStyle w:val="FootnoteText"/>
        <w:rPr>
          <w:szCs w:val="17"/>
        </w:rPr>
      </w:pPr>
      <w:r>
        <w:rPr>
          <w:rStyle w:val="FootnoteReference"/>
        </w:rPr>
        <w:footnoteRef/>
      </w:r>
      <w:r>
        <w:t xml:space="preserve"> </w:t>
      </w:r>
      <w:r w:rsidR="002A18B4" w:rsidRPr="002A18B4">
        <w:rPr>
          <w:szCs w:val="17"/>
        </w:rPr>
        <w:t xml:space="preserve">Armstrong, M.J. and M.S. Okun, </w:t>
      </w:r>
      <w:r w:rsidR="002A18B4" w:rsidRPr="002A18B4">
        <w:rPr>
          <w:i/>
          <w:iCs/>
          <w:szCs w:val="17"/>
        </w:rPr>
        <w:t xml:space="preserve">Diagnosis and Treatment of Parkinson Disease: A Review. </w:t>
      </w:r>
      <w:r w:rsidR="002A18B4" w:rsidRPr="002A18B4">
        <w:rPr>
          <w:szCs w:val="17"/>
        </w:rPr>
        <w:t xml:space="preserve">Jama, 2020. </w:t>
      </w:r>
      <w:r w:rsidR="002A18B4" w:rsidRPr="002A18B4">
        <w:rPr>
          <w:b/>
          <w:bCs/>
          <w:szCs w:val="17"/>
        </w:rPr>
        <w:t>323</w:t>
      </w:r>
      <w:r w:rsidR="002A18B4" w:rsidRPr="002A18B4">
        <w:rPr>
          <w:szCs w:val="17"/>
        </w:rPr>
        <w:t>(6): p. 548-560</w:t>
      </w:r>
    </w:p>
  </w:footnote>
  <w:footnote w:id="4">
    <w:p w14:paraId="03E12CD7" w14:textId="77777777" w:rsidR="000D068F" w:rsidRPr="008225A2" w:rsidRDefault="000D068F" w:rsidP="000D068F">
      <w:pPr>
        <w:pStyle w:val="FootnoteText"/>
        <w:rPr>
          <w:szCs w:val="17"/>
        </w:rPr>
      </w:pPr>
      <w:r>
        <w:rPr>
          <w:rStyle w:val="FootnoteReference"/>
        </w:rPr>
        <w:footnoteRef/>
      </w:r>
      <w:r>
        <w:t xml:space="preserve"> </w:t>
      </w:r>
      <w:r w:rsidRPr="008225A2">
        <w:rPr>
          <w:szCs w:val="17"/>
        </w:rPr>
        <w:t xml:space="preserve">Cacabelos, R., </w:t>
      </w:r>
      <w:r w:rsidRPr="008225A2">
        <w:rPr>
          <w:i/>
          <w:iCs/>
          <w:szCs w:val="17"/>
        </w:rPr>
        <w:t xml:space="preserve">Parkinson's Disease: From Pathogenesis to Pharmacogenomics. </w:t>
      </w:r>
      <w:r w:rsidRPr="008225A2">
        <w:rPr>
          <w:szCs w:val="17"/>
        </w:rPr>
        <w:t xml:space="preserve">Int J Mol Sci, 2017. </w:t>
      </w:r>
      <w:r w:rsidRPr="008225A2">
        <w:rPr>
          <w:b/>
          <w:bCs/>
          <w:szCs w:val="17"/>
        </w:rPr>
        <w:t>18</w:t>
      </w:r>
      <w:r w:rsidRPr="008225A2">
        <w:rPr>
          <w:szCs w:val="17"/>
        </w:rPr>
        <w:t>(3).</w:t>
      </w:r>
    </w:p>
  </w:footnote>
  <w:footnote w:id="5">
    <w:p w14:paraId="224CD836" w14:textId="08F6B647" w:rsidR="00500D68" w:rsidRDefault="00500D68">
      <w:pPr>
        <w:pStyle w:val="FootnoteText"/>
      </w:pPr>
      <w:r>
        <w:rPr>
          <w:rStyle w:val="FootnoteReference"/>
        </w:rPr>
        <w:footnoteRef/>
      </w:r>
      <w:r>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6">
    <w:p w14:paraId="353CAA40" w14:textId="0F061A43" w:rsidR="008A6F8E" w:rsidRPr="0071550A" w:rsidRDefault="008A6F8E" w:rsidP="0071550A">
      <w:pPr>
        <w:pStyle w:val="FootnoteText"/>
      </w:pPr>
      <w:r w:rsidRPr="001D7FE9">
        <w:rPr>
          <w:rStyle w:val="FootnoteReference"/>
          <w:sz w:val="16"/>
          <w:szCs w:val="16"/>
        </w:rPr>
        <w:footnoteRef/>
      </w:r>
      <w:r w:rsidRPr="001D7FE9">
        <w:t xml:space="preserve"> </w:t>
      </w:r>
      <w:r w:rsidR="00EC195D" w:rsidRPr="001D7FE9">
        <w:t>U.S.</w:t>
      </w:r>
      <w:r w:rsidR="00EC195D" w:rsidRPr="001D7FE9">
        <w:rPr>
          <w:spacing w:val="-8"/>
        </w:rPr>
        <w:t xml:space="preserve"> </w:t>
      </w:r>
      <w:r w:rsidR="00EC195D" w:rsidRPr="001D7FE9">
        <w:t>Department of Health and Human Services,</w:t>
      </w:r>
      <w:r w:rsidR="00EC195D" w:rsidRPr="001D7FE9">
        <w:rPr>
          <w:spacing w:val="-6"/>
        </w:rPr>
        <w:t xml:space="preserve"> </w:t>
      </w:r>
      <w:r w:rsidR="00EC195D" w:rsidRPr="001D7FE9">
        <w:t>A.T.S.D.R.,</w:t>
      </w:r>
      <w:r w:rsidR="00EC195D" w:rsidRPr="001D7FE9">
        <w:rPr>
          <w:spacing w:val="-5"/>
        </w:rPr>
        <w:t xml:space="preserve"> </w:t>
      </w:r>
      <w:r w:rsidR="00EC195D" w:rsidRPr="001D7FE9">
        <w:rPr>
          <w:i/>
          <w:spacing w:val="-2"/>
        </w:rPr>
        <w:t>TOXICOLOGICAL</w:t>
      </w:r>
      <w:r w:rsidR="001D7FE9">
        <w:rPr>
          <w:i/>
          <w:spacing w:val="-2"/>
        </w:rPr>
        <w:t xml:space="preserve"> </w:t>
      </w:r>
      <w:r w:rsidR="00EC195D" w:rsidRPr="001D7FE9">
        <w:rPr>
          <w:i/>
          <w:spacing w:val="-2"/>
        </w:rPr>
        <w:t>PROFILE</w:t>
      </w:r>
      <w:r w:rsidR="00EC195D" w:rsidRPr="001D7FE9">
        <w:rPr>
          <w:i/>
          <w:spacing w:val="17"/>
        </w:rPr>
        <w:t xml:space="preserve"> </w:t>
      </w:r>
      <w:r w:rsidR="00EC195D" w:rsidRPr="001D7FE9">
        <w:rPr>
          <w:i/>
          <w:spacing w:val="-2"/>
        </w:rPr>
        <w:t>FOR</w:t>
      </w:r>
      <w:r w:rsidR="00EC195D" w:rsidRPr="001D7FE9">
        <w:rPr>
          <w:i/>
          <w:spacing w:val="20"/>
        </w:rPr>
        <w:t xml:space="preserve"> </w:t>
      </w:r>
      <w:r w:rsidR="00EC195D" w:rsidRPr="001D7FE9">
        <w:rPr>
          <w:i/>
          <w:spacing w:val="-2"/>
        </w:rPr>
        <w:t>URANIUM.</w:t>
      </w:r>
      <w:r w:rsidR="00EC195D" w:rsidRPr="001D7FE9">
        <w:rPr>
          <w:i/>
          <w:spacing w:val="21"/>
        </w:rPr>
        <w:t xml:space="preserve"> </w:t>
      </w:r>
      <w:r w:rsidR="00EC195D" w:rsidRPr="001D7FE9">
        <w:rPr>
          <w:color w:val="0000FF"/>
          <w:spacing w:val="-2"/>
          <w:u w:val="single" w:color="0000FF"/>
        </w:rPr>
        <w:t>https:</w:t>
      </w:r>
      <w:hyperlink r:id="rId1">
        <w:r w:rsidR="00EC195D" w:rsidRPr="001D7FE9">
          <w:rPr>
            <w:color w:val="0000FF"/>
            <w:spacing w:val="-2"/>
            <w:u w:val="single" w:color="0000FF"/>
          </w:rPr>
          <w:t>//www.atsdr.cdc.gov/ToxProfiles/tp150.pdf</w:t>
        </w:r>
        <w:r w:rsidR="00EC195D" w:rsidRPr="001D7FE9">
          <w:rPr>
            <w:spacing w:val="-2"/>
          </w:rPr>
          <w:t>,</w:t>
        </w:r>
      </w:hyperlink>
      <w:r w:rsidR="00EC195D" w:rsidRPr="001D7FE9">
        <w:rPr>
          <w:spacing w:val="19"/>
        </w:rPr>
        <w:t xml:space="preserve"> </w:t>
      </w:r>
      <w:r w:rsidR="00EC195D" w:rsidRPr="001D7FE9">
        <w:rPr>
          <w:spacing w:val="-2"/>
        </w:rPr>
        <w:t>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6FF30CD7" w:rsidR="007452E8" w:rsidRPr="00CB0550" w:rsidRDefault="00B25F64" w:rsidP="00B25F64">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3426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822926606" name="Picture 82292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45417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693132754" name="Picture 169313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E364B"/>
    <w:multiLevelType w:val="hybridMultilevel"/>
    <w:tmpl w:val="460479C8"/>
    <w:lvl w:ilvl="0" w:tplc="54E682EE">
      <w:numFmt w:val="bullet"/>
      <w:lvlText w:val=""/>
      <w:lvlJc w:val="left"/>
      <w:pPr>
        <w:ind w:left="827" w:hanging="361"/>
      </w:pPr>
      <w:rPr>
        <w:rFonts w:ascii="Symbol" w:eastAsia="Symbol" w:hAnsi="Symbol" w:cs="Symbol" w:hint="default"/>
        <w:spacing w:val="0"/>
        <w:w w:val="100"/>
        <w:lang w:val="en-US" w:eastAsia="en-US" w:bidi="ar-SA"/>
      </w:rPr>
    </w:lvl>
    <w:lvl w:ilvl="1" w:tplc="72B4EDEE">
      <w:numFmt w:val="bullet"/>
      <w:lvlText w:val="o"/>
      <w:lvlJc w:val="left"/>
      <w:pPr>
        <w:ind w:left="1548" w:hanging="360"/>
      </w:pPr>
      <w:rPr>
        <w:rFonts w:ascii="Courier New" w:eastAsia="Courier New" w:hAnsi="Courier New" w:cs="Courier New" w:hint="default"/>
        <w:b w:val="0"/>
        <w:bCs w:val="0"/>
        <w:i w:val="0"/>
        <w:iCs w:val="0"/>
        <w:spacing w:val="0"/>
        <w:w w:val="100"/>
        <w:sz w:val="21"/>
        <w:szCs w:val="21"/>
        <w:lang w:val="en-US" w:eastAsia="en-US" w:bidi="ar-SA"/>
      </w:rPr>
    </w:lvl>
    <w:lvl w:ilvl="2" w:tplc="78D874D8">
      <w:numFmt w:val="bullet"/>
      <w:lvlText w:val="•"/>
      <w:lvlJc w:val="left"/>
      <w:pPr>
        <w:ind w:left="1977" w:hanging="360"/>
      </w:pPr>
      <w:rPr>
        <w:rFonts w:hint="default"/>
        <w:lang w:val="en-US" w:eastAsia="en-US" w:bidi="ar-SA"/>
      </w:rPr>
    </w:lvl>
    <w:lvl w:ilvl="3" w:tplc="27869716">
      <w:numFmt w:val="bullet"/>
      <w:lvlText w:val="•"/>
      <w:lvlJc w:val="left"/>
      <w:pPr>
        <w:ind w:left="2415" w:hanging="360"/>
      </w:pPr>
      <w:rPr>
        <w:rFonts w:hint="default"/>
        <w:lang w:val="en-US" w:eastAsia="en-US" w:bidi="ar-SA"/>
      </w:rPr>
    </w:lvl>
    <w:lvl w:ilvl="4" w:tplc="C8BA328C">
      <w:numFmt w:val="bullet"/>
      <w:lvlText w:val="•"/>
      <w:lvlJc w:val="left"/>
      <w:pPr>
        <w:ind w:left="2853" w:hanging="360"/>
      </w:pPr>
      <w:rPr>
        <w:rFonts w:hint="default"/>
        <w:lang w:val="en-US" w:eastAsia="en-US" w:bidi="ar-SA"/>
      </w:rPr>
    </w:lvl>
    <w:lvl w:ilvl="5" w:tplc="99F4BFEA">
      <w:numFmt w:val="bullet"/>
      <w:lvlText w:val="•"/>
      <w:lvlJc w:val="left"/>
      <w:pPr>
        <w:ind w:left="3291" w:hanging="360"/>
      </w:pPr>
      <w:rPr>
        <w:rFonts w:hint="default"/>
        <w:lang w:val="en-US" w:eastAsia="en-US" w:bidi="ar-SA"/>
      </w:rPr>
    </w:lvl>
    <w:lvl w:ilvl="6" w:tplc="0CA0AD92">
      <w:numFmt w:val="bullet"/>
      <w:lvlText w:val="•"/>
      <w:lvlJc w:val="left"/>
      <w:pPr>
        <w:ind w:left="3729" w:hanging="360"/>
      </w:pPr>
      <w:rPr>
        <w:rFonts w:hint="default"/>
        <w:lang w:val="en-US" w:eastAsia="en-US" w:bidi="ar-SA"/>
      </w:rPr>
    </w:lvl>
    <w:lvl w:ilvl="7" w:tplc="5E5C78CA">
      <w:numFmt w:val="bullet"/>
      <w:lvlText w:val="•"/>
      <w:lvlJc w:val="left"/>
      <w:pPr>
        <w:ind w:left="4167" w:hanging="360"/>
      </w:pPr>
      <w:rPr>
        <w:rFonts w:hint="default"/>
        <w:lang w:val="en-US" w:eastAsia="en-US" w:bidi="ar-SA"/>
      </w:rPr>
    </w:lvl>
    <w:lvl w:ilvl="8" w:tplc="3B988386">
      <w:numFmt w:val="bullet"/>
      <w:lvlText w:val="•"/>
      <w:lvlJc w:val="left"/>
      <w:pPr>
        <w:ind w:left="4605" w:hanging="360"/>
      </w:pPr>
      <w:rPr>
        <w:rFonts w:hint="default"/>
        <w:lang w:val="en-US" w:eastAsia="en-US" w:bidi="ar-SA"/>
      </w:rPr>
    </w:lvl>
  </w:abstractNum>
  <w:abstractNum w:abstractNumId="1" w15:restartNumberingAfterBreak="0">
    <w:nsid w:val="0BA2068A"/>
    <w:multiLevelType w:val="hybridMultilevel"/>
    <w:tmpl w:val="F7DC7AB8"/>
    <w:lvl w:ilvl="0" w:tplc="68F0234E">
      <w:start w:val="1"/>
      <w:numFmt w:val="decimal"/>
      <w:lvlText w:val="%1."/>
      <w:lvlJc w:val="left"/>
      <w:pPr>
        <w:ind w:left="455" w:hanging="361"/>
      </w:pPr>
      <w:rPr>
        <w:rFonts w:ascii="Cambria" w:eastAsia="Cambria" w:hAnsi="Cambria" w:cs="Cambria" w:hint="default"/>
        <w:b w:val="0"/>
        <w:bCs w:val="0"/>
        <w:i w:val="0"/>
        <w:iCs w:val="0"/>
        <w:spacing w:val="0"/>
        <w:w w:val="100"/>
        <w:sz w:val="21"/>
        <w:szCs w:val="21"/>
        <w:lang w:val="en-US" w:eastAsia="en-US" w:bidi="ar-SA"/>
      </w:rPr>
    </w:lvl>
    <w:lvl w:ilvl="1" w:tplc="E79271F8">
      <w:start w:val="1"/>
      <w:numFmt w:val="lowerLetter"/>
      <w:lvlText w:val="%2."/>
      <w:lvlJc w:val="left"/>
      <w:pPr>
        <w:ind w:left="1548" w:hanging="361"/>
      </w:pPr>
      <w:rPr>
        <w:rFonts w:ascii="Cambria" w:eastAsia="Cambria" w:hAnsi="Cambria" w:cs="Cambria" w:hint="default"/>
        <w:b w:val="0"/>
        <w:bCs w:val="0"/>
        <w:i w:val="0"/>
        <w:iCs w:val="0"/>
        <w:spacing w:val="0"/>
        <w:w w:val="100"/>
        <w:sz w:val="21"/>
        <w:szCs w:val="21"/>
        <w:lang w:val="en-US" w:eastAsia="en-US" w:bidi="ar-SA"/>
      </w:rPr>
    </w:lvl>
    <w:lvl w:ilvl="2" w:tplc="B08466FE">
      <w:numFmt w:val="bullet"/>
      <w:lvlText w:val="•"/>
      <w:lvlJc w:val="left"/>
      <w:pPr>
        <w:ind w:left="1977" w:hanging="361"/>
      </w:pPr>
      <w:rPr>
        <w:rFonts w:hint="default"/>
        <w:lang w:val="en-US" w:eastAsia="en-US" w:bidi="ar-SA"/>
      </w:rPr>
    </w:lvl>
    <w:lvl w:ilvl="3" w:tplc="7A0446A6">
      <w:numFmt w:val="bullet"/>
      <w:lvlText w:val="•"/>
      <w:lvlJc w:val="left"/>
      <w:pPr>
        <w:ind w:left="2415" w:hanging="361"/>
      </w:pPr>
      <w:rPr>
        <w:rFonts w:hint="default"/>
        <w:lang w:val="en-US" w:eastAsia="en-US" w:bidi="ar-SA"/>
      </w:rPr>
    </w:lvl>
    <w:lvl w:ilvl="4" w:tplc="DF2657E6">
      <w:numFmt w:val="bullet"/>
      <w:lvlText w:val="•"/>
      <w:lvlJc w:val="left"/>
      <w:pPr>
        <w:ind w:left="2853" w:hanging="361"/>
      </w:pPr>
      <w:rPr>
        <w:rFonts w:hint="default"/>
        <w:lang w:val="en-US" w:eastAsia="en-US" w:bidi="ar-SA"/>
      </w:rPr>
    </w:lvl>
    <w:lvl w:ilvl="5" w:tplc="804E9674">
      <w:numFmt w:val="bullet"/>
      <w:lvlText w:val="•"/>
      <w:lvlJc w:val="left"/>
      <w:pPr>
        <w:ind w:left="3291" w:hanging="361"/>
      </w:pPr>
      <w:rPr>
        <w:rFonts w:hint="default"/>
        <w:lang w:val="en-US" w:eastAsia="en-US" w:bidi="ar-SA"/>
      </w:rPr>
    </w:lvl>
    <w:lvl w:ilvl="6" w:tplc="512A1082">
      <w:numFmt w:val="bullet"/>
      <w:lvlText w:val="•"/>
      <w:lvlJc w:val="left"/>
      <w:pPr>
        <w:ind w:left="3729" w:hanging="361"/>
      </w:pPr>
      <w:rPr>
        <w:rFonts w:hint="default"/>
        <w:lang w:val="en-US" w:eastAsia="en-US" w:bidi="ar-SA"/>
      </w:rPr>
    </w:lvl>
    <w:lvl w:ilvl="7" w:tplc="B244623A">
      <w:numFmt w:val="bullet"/>
      <w:lvlText w:val="•"/>
      <w:lvlJc w:val="left"/>
      <w:pPr>
        <w:ind w:left="4167" w:hanging="361"/>
      </w:pPr>
      <w:rPr>
        <w:rFonts w:hint="default"/>
        <w:lang w:val="en-US" w:eastAsia="en-US" w:bidi="ar-SA"/>
      </w:rPr>
    </w:lvl>
    <w:lvl w:ilvl="8" w:tplc="D9201E8A">
      <w:numFmt w:val="bullet"/>
      <w:lvlText w:val="•"/>
      <w:lvlJc w:val="left"/>
      <w:pPr>
        <w:ind w:left="4605" w:hanging="361"/>
      </w:pPr>
      <w:rPr>
        <w:rFonts w:hint="default"/>
        <w:lang w:val="en-US" w:eastAsia="en-US" w:bidi="ar-SA"/>
      </w:rPr>
    </w:lvl>
  </w:abstractNum>
  <w:abstractNum w:abstractNumId="2" w15:restartNumberingAfterBreak="0">
    <w:nsid w:val="10053F11"/>
    <w:multiLevelType w:val="multilevel"/>
    <w:tmpl w:val="EC8C7AD8"/>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1F5231A"/>
    <w:multiLevelType w:val="hybridMultilevel"/>
    <w:tmpl w:val="B8BA2E72"/>
    <w:lvl w:ilvl="0" w:tplc="3822BC16">
      <w:start w:val="1"/>
      <w:numFmt w:val="decimal"/>
      <w:lvlText w:val="%1."/>
      <w:lvlJc w:val="left"/>
      <w:pPr>
        <w:ind w:left="840" w:hanging="721"/>
      </w:pPr>
      <w:rPr>
        <w:rFonts w:ascii="Cambria" w:eastAsia="Cambria" w:hAnsi="Cambria" w:cs="Cambria" w:hint="default"/>
        <w:b w:val="0"/>
        <w:bCs w:val="0"/>
        <w:i w:val="0"/>
        <w:iCs w:val="0"/>
        <w:spacing w:val="0"/>
        <w:w w:val="100"/>
        <w:sz w:val="22"/>
        <w:szCs w:val="22"/>
        <w:lang w:val="en-US" w:eastAsia="en-US" w:bidi="ar-SA"/>
      </w:rPr>
    </w:lvl>
    <w:lvl w:ilvl="1" w:tplc="166EDC84">
      <w:numFmt w:val="bullet"/>
      <w:lvlText w:val="•"/>
      <w:lvlJc w:val="left"/>
      <w:pPr>
        <w:ind w:left="1726" w:hanging="721"/>
      </w:pPr>
      <w:rPr>
        <w:rFonts w:hint="default"/>
        <w:lang w:val="en-US" w:eastAsia="en-US" w:bidi="ar-SA"/>
      </w:rPr>
    </w:lvl>
    <w:lvl w:ilvl="2" w:tplc="66809AE0">
      <w:numFmt w:val="bullet"/>
      <w:lvlText w:val="•"/>
      <w:lvlJc w:val="left"/>
      <w:pPr>
        <w:ind w:left="2613" w:hanging="721"/>
      </w:pPr>
      <w:rPr>
        <w:rFonts w:hint="default"/>
        <w:lang w:val="en-US" w:eastAsia="en-US" w:bidi="ar-SA"/>
      </w:rPr>
    </w:lvl>
    <w:lvl w:ilvl="3" w:tplc="0C28B6C2">
      <w:numFmt w:val="bullet"/>
      <w:lvlText w:val="•"/>
      <w:lvlJc w:val="left"/>
      <w:pPr>
        <w:ind w:left="3499" w:hanging="721"/>
      </w:pPr>
      <w:rPr>
        <w:rFonts w:hint="default"/>
        <w:lang w:val="en-US" w:eastAsia="en-US" w:bidi="ar-SA"/>
      </w:rPr>
    </w:lvl>
    <w:lvl w:ilvl="4" w:tplc="D3A4D494">
      <w:numFmt w:val="bullet"/>
      <w:lvlText w:val="•"/>
      <w:lvlJc w:val="left"/>
      <w:pPr>
        <w:ind w:left="4386" w:hanging="721"/>
      </w:pPr>
      <w:rPr>
        <w:rFonts w:hint="default"/>
        <w:lang w:val="en-US" w:eastAsia="en-US" w:bidi="ar-SA"/>
      </w:rPr>
    </w:lvl>
    <w:lvl w:ilvl="5" w:tplc="BBF07602">
      <w:numFmt w:val="bullet"/>
      <w:lvlText w:val="•"/>
      <w:lvlJc w:val="left"/>
      <w:pPr>
        <w:ind w:left="5273" w:hanging="721"/>
      </w:pPr>
      <w:rPr>
        <w:rFonts w:hint="default"/>
        <w:lang w:val="en-US" w:eastAsia="en-US" w:bidi="ar-SA"/>
      </w:rPr>
    </w:lvl>
    <w:lvl w:ilvl="6" w:tplc="89CA828C">
      <w:numFmt w:val="bullet"/>
      <w:lvlText w:val="•"/>
      <w:lvlJc w:val="left"/>
      <w:pPr>
        <w:ind w:left="6159" w:hanging="721"/>
      </w:pPr>
      <w:rPr>
        <w:rFonts w:hint="default"/>
        <w:lang w:val="en-US" w:eastAsia="en-US" w:bidi="ar-SA"/>
      </w:rPr>
    </w:lvl>
    <w:lvl w:ilvl="7" w:tplc="ACCCACF4">
      <w:numFmt w:val="bullet"/>
      <w:lvlText w:val="•"/>
      <w:lvlJc w:val="left"/>
      <w:pPr>
        <w:ind w:left="7046" w:hanging="721"/>
      </w:pPr>
      <w:rPr>
        <w:rFonts w:hint="default"/>
        <w:lang w:val="en-US" w:eastAsia="en-US" w:bidi="ar-SA"/>
      </w:rPr>
    </w:lvl>
    <w:lvl w:ilvl="8" w:tplc="9C6C6B92">
      <w:numFmt w:val="bullet"/>
      <w:lvlText w:val="•"/>
      <w:lvlJc w:val="left"/>
      <w:pPr>
        <w:ind w:left="7933" w:hanging="721"/>
      </w:pPr>
      <w:rPr>
        <w:rFonts w:hint="default"/>
        <w:lang w:val="en-US" w:eastAsia="en-US" w:bidi="ar-SA"/>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80A681A"/>
    <w:multiLevelType w:val="hybridMultilevel"/>
    <w:tmpl w:val="D722F1D2"/>
    <w:lvl w:ilvl="0" w:tplc="8CA62536">
      <w:start w:val="1"/>
      <w:numFmt w:val="decimal"/>
      <w:lvlText w:val="%1."/>
      <w:lvlJc w:val="left"/>
      <w:pPr>
        <w:ind w:left="840" w:hanging="361"/>
      </w:pPr>
      <w:rPr>
        <w:rFonts w:ascii="Cambria" w:eastAsia="Cambria" w:hAnsi="Cambria" w:cs="Cambria" w:hint="default"/>
        <w:b w:val="0"/>
        <w:bCs w:val="0"/>
        <w:i w:val="0"/>
        <w:iCs w:val="0"/>
        <w:spacing w:val="0"/>
        <w:w w:val="100"/>
        <w:sz w:val="22"/>
        <w:szCs w:val="22"/>
        <w:lang w:val="en-US" w:eastAsia="en-US" w:bidi="ar-SA"/>
      </w:rPr>
    </w:lvl>
    <w:lvl w:ilvl="1" w:tplc="DCDC7CC6">
      <w:numFmt w:val="bullet"/>
      <w:lvlText w:val="•"/>
      <w:lvlJc w:val="left"/>
      <w:pPr>
        <w:ind w:left="1726" w:hanging="361"/>
      </w:pPr>
      <w:rPr>
        <w:rFonts w:hint="default"/>
        <w:lang w:val="en-US" w:eastAsia="en-US" w:bidi="ar-SA"/>
      </w:rPr>
    </w:lvl>
    <w:lvl w:ilvl="2" w:tplc="1E18C43E">
      <w:numFmt w:val="bullet"/>
      <w:lvlText w:val="•"/>
      <w:lvlJc w:val="left"/>
      <w:pPr>
        <w:ind w:left="2613" w:hanging="361"/>
      </w:pPr>
      <w:rPr>
        <w:rFonts w:hint="default"/>
        <w:lang w:val="en-US" w:eastAsia="en-US" w:bidi="ar-SA"/>
      </w:rPr>
    </w:lvl>
    <w:lvl w:ilvl="3" w:tplc="367A6574">
      <w:numFmt w:val="bullet"/>
      <w:lvlText w:val="•"/>
      <w:lvlJc w:val="left"/>
      <w:pPr>
        <w:ind w:left="3499" w:hanging="361"/>
      </w:pPr>
      <w:rPr>
        <w:rFonts w:hint="default"/>
        <w:lang w:val="en-US" w:eastAsia="en-US" w:bidi="ar-SA"/>
      </w:rPr>
    </w:lvl>
    <w:lvl w:ilvl="4" w:tplc="7F149F22">
      <w:numFmt w:val="bullet"/>
      <w:lvlText w:val="•"/>
      <w:lvlJc w:val="left"/>
      <w:pPr>
        <w:ind w:left="4386" w:hanging="361"/>
      </w:pPr>
      <w:rPr>
        <w:rFonts w:hint="default"/>
        <w:lang w:val="en-US" w:eastAsia="en-US" w:bidi="ar-SA"/>
      </w:rPr>
    </w:lvl>
    <w:lvl w:ilvl="5" w:tplc="7FB49AC4">
      <w:numFmt w:val="bullet"/>
      <w:lvlText w:val="•"/>
      <w:lvlJc w:val="left"/>
      <w:pPr>
        <w:ind w:left="5273" w:hanging="361"/>
      </w:pPr>
      <w:rPr>
        <w:rFonts w:hint="default"/>
        <w:lang w:val="en-US" w:eastAsia="en-US" w:bidi="ar-SA"/>
      </w:rPr>
    </w:lvl>
    <w:lvl w:ilvl="6" w:tplc="C028302E">
      <w:numFmt w:val="bullet"/>
      <w:lvlText w:val="•"/>
      <w:lvlJc w:val="left"/>
      <w:pPr>
        <w:ind w:left="6159" w:hanging="361"/>
      </w:pPr>
      <w:rPr>
        <w:rFonts w:hint="default"/>
        <w:lang w:val="en-US" w:eastAsia="en-US" w:bidi="ar-SA"/>
      </w:rPr>
    </w:lvl>
    <w:lvl w:ilvl="7" w:tplc="D4185D22">
      <w:numFmt w:val="bullet"/>
      <w:lvlText w:val="•"/>
      <w:lvlJc w:val="left"/>
      <w:pPr>
        <w:ind w:left="7046" w:hanging="361"/>
      </w:pPr>
      <w:rPr>
        <w:rFonts w:hint="default"/>
        <w:lang w:val="en-US" w:eastAsia="en-US" w:bidi="ar-SA"/>
      </w:rPr>
    </w:lvl>
    <w:lvl w:ilvl="8" w:tplc="70DAC76E">
      <w:numFmt w:val="bullet"/>
      <w:lvlText w:val="•"/>
      <w:lvlJc w:val="left"/>
      <w:pPr>
        <w:ind w:left="7933" w:hanging="361"/>
      </w:pPr>
      <w:rPr>
        <w:rFonts w:hint="default"/>
        <w:lang w:val="en-US" w:eastAsia="en-US" w:bidi="ar-SA"/>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8C66FED"/>
    <w:multiLevelType w:val="hybridMultilevel"/>
    <w:tmpl w:val="2EA25AEE"/>
    <w:lvl w:ilvl="0" w:tplc="C200F36C">
      <w:start w:val="3"/>
      <w:numFmt w:val="decimal"/>
      <w:lvlText w:val="%1."/>
      <w:lvlJc w:val="left"/>
      <w:pPr>
        <w:ind w:left="455" w:hanging="361"/>
      </w:pPr>
      <w:rPr>
        <w:rFonts w:ascii="Cambria" w:eastAsia="Cambria" w:hAnsi="Cambria" w:cs="Cambria" w:hint="default"/>
        <w:b w:val="0"/>
        <w:bCs w:val="0"/>
        <w:i w:val="0"/>
        <w:iCs w:val="0"/>
        <w:spacing w:val="0"/>
        <w:w w:val="100"/>
        <w:sz w:val="21"/>
        <w:szCs w:val="21"/>
        <w:lang w:val="en-US" w:eastAsia="en-US" w:bidi="ar-SA"/>
      </w:rPr>
    </w:lvl>
    <w:lvl w:ilvl="1" w:tplc="310ABA6C">
      <w:numFmt w:val="bullet"/>
      <w:lvlText w:val="•"/>
      <w:lvlJc w:val="left"/>
      <w:pPr>
        <w:ind w:left="962" w:hanging="361"/>
      </w:pPr>
      <w:rPr>
        <w:rFonts w:hint="default"/>
        <w:lang w:val="en-US" w:eastAsia="en-US" w:bidi="ar-SA"/>
      </w:rPr>
    </w:lvl>
    <w:lvl w:ilvl="2" w:tplc="55A2B21A">
      <w:numFmt w:val="bullet"/>
      <w:lvlText w:val="•"/>
      <w:lvlJc w:val="left"/>
      <w:pPr>
        <w:ind w:left="1464" w:hanging="361"/>
      </w:pPr>
      <w:rPr>
        <w:rFonts w:hint="default"/>
        <w:lang w:val="en-US" w:eastAsia="en-US" w:bidi="ar-SA"/>
      </w:rPr>
    </w:lvl>
    <w:lvl w:ilvl="3" w:tplc="1882806C">
      <w:numFmt w:val="bullet"/>
      <w:lvlText w:val="•"/>
      <w:lvlJc w:val="left"/>
      <w:pPr>
        <w:ind w:left="1966" w:hanging="361"/>
      </w:pPr>
      <w:rPr>
        <w:rFonts w:hint="default"/>
        <w:lang w:val="en-US" w:eastAsia="en-US" w:bidi="ar-SA"/>
      </w:rPr>
    </w:lvl>
    <w:lvl w:ilvl="4" w:tplc="15361498">
      <w:numFmt w:val="bullet"/>
      <w:lvlText w:val="•"/>
      <w:lvlJc w:val="left"/>
      <w:pPr>
        <w:ind w:left="2468" w:hanging="361"/>
      </w:pPr>
      <w:rPr>
        <w:rFonts w:hint="default"/>
        <w:lang w:val="en-US" w:eastAsia="en-US" w:bidi="ar-SA"/>
      </w:rPr>
    </w:lvl>
    <w:lvl w:ilvl="5" w:tplc="66A41C92">
      <w:numFmt w:val="bullet"/>
      <w:lvlText w:val="•"/>
      <w:lvlJc w:val="left"/>
      <w:pPr>
        <w:ind w:left="2970" w:hanging="361"/>
      </w:pPr>
      <w:rPr>
        <w:rFonts w:hint="default"/>
        <w:lang w:val="en-US" w:eastAsia="en-US" w:bidi="ar-SA"/>
      </w:rPr>
    </w:lvl>
    <w:lvl w:ilvl="6" w:tplc="5EA422E2">
      <w:numFmt w:val="bullet"/>
      <w:lvlText w:val="•"/>
      <w:lvlJc w:val="left"/>
      <w:pPr>
        <w:ind w:left="3472" w:hanging="361"/>
      </w:pPr>
      <w:rPr>
        <w:rFonts w:hint="default"/>
        <w:lang w:val="en-US" w:eastAsia="en-US" w:bidi="ar-SA"/>
      </w:rPr>
    </w:lvl>
    <w:lvl w:ilvl="7" w:tplc="C13EDCA4">
      <w:numFmt w:val="bullet"/>
      <w:lvlText w:val="•"/>
      <w:lvlJc w:val="left"/>
      <w:pPr>
        <w:ind w:left="3974" w:hanging="361"/>
      </w:pPr>
      <w:rPr>
        <w:rFonts w:hint="default"/>
        <w:lang w:val="en-US" w:eastAsia="en-US" w:bidi="ar-SA"/>
      </w:rPr>
    </w:lvl>
    <w:lvl w:ilvl="8" w:tplc="2626C598">
      <w:numFmt w:val="bullet"/>
      <w:lvlText w:val="•"/>
      <w:lvlJc w:val="left"/>
      <w:pPr>
        <w:ind w:left="4476" w:hanging="361"/>
      </w:pPr>
      <w:rPr>
        <w:rFonts w:hint="default"/>
        <w:lang w:val="en-US" w:eastAsia="en-US" w:bidi="ar-SA"/>
      </w:rPr>
    </w:lvl>
  </w:abstractNum>
  <w:abstractNum w:abstractNumId="11" w15:restartNumberingAfterBreak="0">
    <w:nsid w:val="327F7717"/>
    <w:multiLevelType w:val="hybridMultilevel"/>
    <w:tmpl w:val="08C4B9BA"/>
    <w:lvl w:ilvl="0" w:tplc="9CE46656">
      <w:start w:val="1"/>
      <w:numFmt w:val="decimal"/>
      <w:lvlText w:val="%1."/>
      <w:lvlJc w:val="left"/>
      <w:pPr>
        <w:ind w:left="840" w:hanging="361"/>
      </w:pPr>
      <w:rPr>
        <w:rFonts w:ascii="Cambria" w:eastAsia="Cambria" w:hAnsi="Cambria" w:cs="Cambria" w:hint="default"/>
        <w:b w:val="0"/>
        <w:bCs w:val="0"/>
        <w:i w:val="0"/>
        <w:iCs w:val="0"/>
        <w:spacing w:val="0"/>
        <w:w w:val="100"/>
        <w:sz w:val="22"/>
        <w:szCs w:val="22"/>
        <w:lang w:val="en-US" w:eastAsia="en-US" w:bidi="ar-SA"/>
      </w:rPr>
    </w:lvl>
    <w:lvl w:ilvl="1" w:tplc="7BDE96C2">
      <w:start w:val="1"/>
      <w:numFmt w:val="lowerLetter"/>
      <w:lvlText w:val="%2."/>
      <w:lvlJc w:val="left"/>
      <w:pPr>
        <w:ind w:left="1560" w:hanging="360"/>
      </w:pPr>
      <w:rPr>
        <w:rFonts w:ascii="Cambria" w:eastAsia="Cambria" w:hAnsi="Cambria" w:cs="Cambria" w:hint="default"/>
        <w:b w:val="0"/>
        <w:bCs w:val="0"/>
        <w:i w:val="0"/>
        <w:iCs w:val="0"/>
        <w:spacing w:val="0"/>
        <w:w w:val="100"/>
        <w:sz w:val="22"/>
        <w:szCs w:val="22"/>
        <w:lang w:val="en-US" w:eastAsia="en-US" w:bidi="ar-SA"/>
      </w:rPr>
    </w:lvl>
    <w:lvl w:ilvl="2" w:tplc="25E2A45E">
      <w:numFmt w:val="bullet"/>
      <w:lvlText w:val="•"/>
      <w:lvlJc w:val="left"/>
      <w:pPr>
        <w:ind w:left="2465" w:hanging="360"/>
      </w:pPr>
      <w:rPr>
        <w:rFonts w:hint="default"/>
        <w:lang w:val="en-US" w:eastAsia="en-US" w:bidi="ar-SA"/>
      </w:rPr>
    </w:lvl>
    <w:lvl w:ilvl="3" w:tplc="22FC82EC">
      <w:numFmt w:val="bullet"/>
      <w:lvlText w:val="•"/>
      <w:lvlJc w:val="left"/>
      <w:pPr>
        <w:ind w:left="3370" w:hanging="360"/>
      </w:pPr>
      <w:rPr>
        <w:rFonts w:hint="default"/>
        <w:lang w:val="en-US" w:eastAsia="en-US" w:bidi="ar-SA"/>
      </w:rPr>
    </w:lvl>
    <w:lvl w:ilvl="4" w:tplc="2B9C6FBE">
      <w:numFmt w:val="bullet"/>
      <w:lvlText w:val="•"/>
      <w:lvlJc w:val="left"/>
      <w:pPr>
        <w:ind w:left="4275" w:hanging="360"/>
      </w:pPr>
      <w:rPr>
        <w:rFonts w:hint="default"/>
        <w:lang w:val="en-US" w:eastAsia="en-US" w:bidi="ar-SA"/>
      </w:rPr>
    </w:lvl>
    <w:lvl w:ilvl="5" w:tplc="539868F8">
      <w:numFmt w:val="bullet"/>
      <w:lvlText w:val="•"/>
      <w:lvlJc w:val="left"/>
      <w:pPr>
        <w:ind w:left="5180" w:hanging="360"/>
      </w:pPr>
      <w:rPr>
        <w:rFonts w:hint="default"/>
        <w:lang w:val="en-US" w:eastAsia="en-US" w:bidi="ar-SA"/>
      </w:rPr>
    </w:lvl>
    <w:lvl w:ilvl="6" w:tplc="7602C3E8">
      <w:numFmt w:val="bullet"/>
      <w:lvlText w:val="•"/>
      <w:lvlJc w:val="left"/>
      <w:pPr>
        <w:ind w:left="6085" w:hanging="360"/>
      </w:pPr>
      <w:rPr>
        <w:rFonts w:hint="default"/>
        <w:lang w:val="en-US" w:eastAsia="en-US" w:bidi="ar-SA"/>
      </w:rPr>
    </w:lvl>
    <w:lvl w:ilvl="7" w:tplc="1242D0A2">
      <w:numFmt w:val="bullet"/>
      <w:lvlText w:val="•"/>
      <w:lvlJc w:val="left"/>
      <w:pPr>
        <w:ind w:left="6990" w:hanging="360"/>
      </w:pPr>
      <w:rPr>
        <w:rFonts w:hint="default"/>
        <w:lang w:val="en-US" w:eastAsia="en-US" w:bidi="ar-SA"/>
      </w:rPr>
    </w:lvl>
    <w:lvl w:ilvl="8" w:tplc="5F129E98">
      <w:numFmt w:val="bullet"/>
      <w:lvlText w:val="•"/>
      <w:lvlJc w:val="left"/>
      <w:pPr>
        <w:ind w:left="7896" w:hanging="360"/>
      </w:pPr>
      <w:rPr>
        <w:rFonts w:hint="default"/>
        <w:lang w:val="en-US" w:eastAsia="en-US" w:bidi="ar-SA"/>
      </w:rPr>
    </w:lvl>
  </w:abstractNum>
  <w:abstractNum w:abstractNumId="12" w15:restartNumberingAfterBreak="0">
    <w:nsid w:val="3DF76EAF"/>
    <w:multiLevelType w:val="hybridMultilevel"/>
    <w:tmpl w:val="ED661A00"/>
    <w:lvl w:ilvl="0" w:tplc="B482786E">
      <w:numFmt w:val="bullet"/>
      <w:lvlText w:val=""/>
      <w:lvlJc w:val="left"/>
      <w:pPr>
        <w:ind w:left="839" w:hanging="361"/>
      </w:pPr>
      <w:rPr>
        <w:rFonts w:ascii="Symbol" w:eastAsia="Symbol" w:hAnsi="Symbol" w:cs="Symbol" w:hint="default"/>
        <w:b w:val="0"/>
        <w:bCs w:val="0"/>
        <w:i w:val="0"/>
        <w:iCs w:val="0"/>
        <w:spacing w:val="0"/>
        <w:w w:val="100"/>
        <w:sz w:val="22"/>
        <w:szCs w:val="22"/>
        <w:lang w:val="en-US" w:eastAsia="en-US" w:bidi="ar-SA"/>
      </w:rPr>
    </w:lvl>
    <w:lvl w:ilvl="1" w:tplc="97004B22">
      <w:numFmt w:val="bullet"/>
      <w:lvlText w:val="•"/>
      <w:lvlJc w:val="left"/>
      <w:pPr>
        <w:ind w:left="1726" w:hanging="361"/>
      </w:pPr>
      <w:rPr>
        <w:rFonts w:hint="default"/>
        <w:lang w:val="en-US" w:eastAsia="en-US" w:bidi="ar-SA"/>
      </w:rPr>
    </w:lvl>
    <w:lvl w:ilvl="2" w:tplc="D6C011C0">
      <w:numFmt w:val="bullet"/>
      <w:lvlText w:val="•"/>
      <w:lvlJc w:val="left"/>
      <w:pPr>
        <w:ind w:left="2613" w:hanging="361"/>
      </w:pPr>
      <w:rPr>
        <w:rFonts w:hint="default"/>
        <w:lang w:val="en-US" w:eastAsia="en-US" w:bidi="ar-SA"/>
      </w:rPr>
    </w:lvl>
    <w:lvl w:ilvl="3" w:tplc="43822C0A">
      <w:numFmt w:val="bullet"/>
      <w:lvlText w:val="•"/>
      <w:lvlJc w:val="left"/>
      <w:pPr>
        <w:ind w:left="3499" w:hanging="361"/>
      </w:pPr>
      <w:rPr>
        <w:rFonts w:hint="default"/>
        <w:lang w:val="en-US" w:eastAsia="en-US" w:bidi="ar-SA"/>
      </w:rPr>
    </w:lvl>
    <w:lvl w:ilvl="4" w:tplc="C21C2316">
      <w:numFmt w:val="bullet"/>
      <w:lvlText w:val="•"/>
      <w:lvlJc w:val="left"/>
      <w:pPr>
        <w:ind w:left="4386" w:hanging="361"/>
      </w:pPr>
      <w:rPr>
        <w:rFonts w:hint="default"/>
        <w:lang w:val="en-US" w:eastAsia="en-US" w:bidi="ar-SA"/>
      </w:rPr>
    </w:lvl>
    <w:lvl w:ilvl="5" w:tplc="7038B51E">
      <w:numFmt w:val="bullet"/>
      <w:lvlText w:val="•"/>
      <w:lvlJc w:val="left"/>
      <w:pPr>
        <w:ind w:left="5273" w:hanging="361"/>
      </w:pPr>
      <w:rPr>
        <w:rFonts w:hint="default"/>
        <w:lang w:val="en-US" w:eastAsia="en-US" w:bidi="ar-SA"/>
      </w:rPr>
    </w:lvl>
    <w:lvl w:ilvl="6" w:tplc="EFFC532E">
      <w:numFmt w:val="bullet"/>
      <w:lvlText w:val="•"/>
      <w:lvlJc w:val="left"/>
      <w:pPr>
        <w:ind w:left="6159" w:hanging="361"/>
      </w:pPr>
      <w:rPr>
        <w:rFonts w:hint="default"/>
        <w:lang w:val="en-US" w:eastAsia="en-US" w:bidi="ar-SA"/>
      </w:rPr>
    </w:lvl>
    <w:lvl w:ilvl="7" w:tplc="73563F0A">
      <w:numFmt w:val="bullet"/>
      <w:lvlText w:val="•"/>
      <w:lvlJc w:val="left"/>
      <w:pPr>
        <w:ind w:left="7046" w:hanging="361"/>
      </w:pPr>
      <w:rPr>
        <w:rFonts w:hint="default"/>
        <w:lang w:val="en-US" w:eastAsia="en-US" w:bidi="ar-SA"/>
      </w:rPr>
    </w:lvl>
    <w:lvl w:ilvl="8" w:tplc="DDA47DF6">
      <w:numFmt w:val="bullet"/>
      <w:lvlText w:val="•"/>
      <w:lvlJc w:val="left"/>
      <w:pPr>
        <w:ind w:left="7933" w:hanging="361"/>
      </w:pPr>
      <w:rPr>
        <w:rFonts w:hint="default"/>
        <w:lang w:val="en-US" w:eastAsia="en-US" w:bidi="ar-SA"/>
      </w:rPr>
    </w:lvl>
  </w:abstractNum>
  <w:abstractNum w:abstractNumId="13" w15:restartNumberingAfterBreak="0">
    <w:nsid w:val="44966BC9"/>
    <w:multiLevelType w:val="hybridMultilevel"/>
    <w:tmpl w:val="B8563F86"/>
    <w:lvl w:ilvl="0" w:tplc="589A712E">
      <w:numFmt w:val="bullet"/>
      <w:lvlText w:val="•"/>
      <w:lvlJc w:val="left"/>
      <w:pPr>
        <w:ind w:left="119" w:hanging="99"/>
      </w:pPr>
      <w:rPr>
        <w:rFonts w:ascii="Cambria" w:eastAsia="Cambria" w:hAnsi="Cambria" w:cs="Cambria" w:hint="default"/>
        <w:b w:val="0"/>
        <w:bCs w:val="0"/>
        <w:i w:val="0"/>
        <w:iCs w:val="0"/>
        <w:spacing w:val="0"/>
        <w:w w:val="87"/>
        <w:sz w:val="20"/>
        <w:szCs w:val="20"/>
        <w:lang w:val="en-US" w:eastAsia="en-US" w:bidi="ar-SA"/>
      </w:rPr>
    </w:lvl>
    <w:lvl w:ilvl="1" w:tplc="74508DCC">
      <w:numFmt w:val="bullet"/>
      <w:lvlText w:val="•"/>
      <w:lvlJc w:val="left"/>
      <w:pPr>
        <w:ind w:left="1078" w:hanging="99"/>
      </w:pPr>
      <w:rPr>
        <w:rFonts w:hint="default"/>
        <w:lang w:val="en-US" w:eastAsia="en-US" w:bidi="ar-SA"/>
      </w:rPr>
    </w:lvl>
    <w:lvl w:ilvl="2" w:tplc="3F8E9FFC">
      <w:numFmt w:val="bullet"/>
      <w:lvlText w:val="•"/>
      <w:lvlJc w:val="left"/>
      <w:pPr>
        <w:ind w:left="2037" w:hanging="99"/>
      </w:pPr>
      <w:rPr>
        <w:rFonts w:hint="default"/>
        <w:lang w:val="en-US" w:eastAsia="en-US" w:bidi="ar-SA"/>
      </w:rPr>
    </w:lvl>
    <w:lvl w:ilvl="3" w:tplc="FF7CD558">
      <w:numFmt w:val="bullet"/>
      <w:lvlText w:val="•"/>
      <w:lvlJc w:val="left"/>
      <w:pPr>
        <w:ind w:left="2995" w:hanging="99"/>
      </w:pPr>
      <w:rPr>
        <w:rFonts w:hint="default"/>
        <w:lang w:val="en-US" w:eastAsia="en-US" w:bidi="ar-SA"/>
      </w:rPr>
    </w:lvl>
    <w:lvl w:ilvl="4" w:tplc="28FE0702">
      <w:numFmt w:val="bullet"/>
      <w:lvlText w:val="•"/>
      <w:lvlJc w:val="left"/>
      <w:pPr>
        <w:ind w:left="3954" w:hanging="99"/>
      </w:pPr>
      <w:rPr>
        <w:rFonts w:hint="default"/>
        <w:lang w:val="en-US" w:eastAsia="en-US" w:bidi="ar-SA"/>
      </w:rPr>
    </w:lvl>
    <w:lvl w:ilvl="5" w:tplc="1E3663FC">
      <w:numFmt w:val="bullet"/>
      <w:lvlText w:val="•"/>
      <w:lvlJc w:val="left"/>
      <w:pPr>
        <w:ind w:left="4913" w:hanging="99"/>
      </w:pPr>
      <w:rPr>
        <w:rFonts w:hint="default"/>
        <w:lang w:val="en-US" w:eastAsia="en-US" w:bidi="ar-SA"/>
      </w:rPr>
    </w:lvl>
    <w:lvl w:ilvl="6" w:tplc="595A4F66">
      <w:numFmt w:val="bullet"/>
      <w:lvlText w:val="•"/>
      <w:lvlJc w:val="left"/>
      <w:pPr>
        <w:ind w:left="5871" w:hanging="99"/>
      </w:pPr>
      <w:rPr>
        <w:rFonts w:hint="default"/>
        <w:lang w:val="en-US" w:eastAsia="en-US" w:bidi="ar-SA"/>
      </w:rPr>
    </w:lvl>
    <w:lvl w:ilvl="7" w:tplc="8F321280">
      <w:numFmt w:val="bullet"/>
      <w:lvlText w:val="•"/>
      <w:lvlJc w:val="left"/>
      <w:pPr>
        <w:ind w:left="6830" w:hanging="99"/>
      </w:pPr>
      <w:rPr>
        <w:rFonts w:hint="default"/>
        <w:lang w:val="en-US" w:eastAsia="en-US" w:bidi="ar-SA"/>
      </w:rPr>
    </w:lvl>
    <w:lvl w:ilvl="8" w:tplc="F424CD36">
      <w:numFmt w:val="bullet"/>
      <w:lvlText w:val="•"/>
      <w:lvlJc w:val="left"/>
      <w:pPr>
        <w:ind w:left="7789" w:hanging="99"/>
      </w:pPr>
      <w:rPr>
        <w:rFonts w:hint="default"/>
        <w:lang w:val="en-US" w:eastAsia="en-US" w:bidi="ar-SA"/>
      </w:rPr>
    </w:lvl>
  </w:abstractNum>
  <w:abstractNum w:abstractNumId="14" w15:restartNumberingAfterBreak="0">
    <w:nsid w:val="45690BBA"/>
    <w:multiLevelType w:val="hybridMultilevel"/>
    <w:tmpl w:val="0F8E1306"/>
    <w:lvl w:ilvl="0" w:tplc="09AEBBEA">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8294E198">
      <w:numFmt w:val="bullet"/>
      <w:lvlText w:val="•"/>
      <w:lvlJc w:val="left"/>
      <w:pPr>
        <w:ind w:left="1726" w:hanging="361"/>
      </w:pPr>
      <w:rPr>
        <w:rFonts w:hint="default"/>
        <w:lang w:val="en-US" w:eastAsia="en-US" w:bidi="ar-SA"/>
      </w:rPr>
    </w:lvl>
    <w:lvl w:ilvl="2" w:tplc="442E2D6A">
      <w:numFmt w:val="bullet"/>
      <w:lvlText w:val="•"/>
      <w:lvlJc w:val="left"/>
      <w:pPr>
        <w:ind w:left="2613" w:hanging="361"/>
      </w:pPr>
      <w:rPr>
        <w:rFonts w:hint="default"/>
        <w:lang w:val="en-US" w:eastAsia="en-US" w:bidi="ar-SA"/>
      </w:rPr>
    </w:lvl>
    <w:lvl w:ilvl="3" w:tplc="C3D0BA06">
      <w:numFmt w:val="bullet"/>
      <w:lvlText w:val="•"/>
      <w:lvlJc w:val="left"/>
      <w:pPr>
        <w:ind w:left="3499" w:hanging="361"/>
      </w:pPr>
      <w:rPr>
        <w:rFonts w:hint="default"/>
        <w:lang w:val="en-US" w:eastAsia="en-US" w:bidi="ar-SA"/>
      </w:rPr>
    </w:lvl>
    <w:lvl w:ilvl="4" w:tplc="1A12A044">
      <w:numFmt w:val="bullet"/>
      <w:lvlText w:val="•"/>
      <w:lvlJc w:val="left"/>
      <w:pPr>
        <w:ind w:left="4386" w:hanging="361"/>
      </w:pPr>
      <w:rPr>
        <w:rFonts w:hint="default"/>
        <w:lang w:val="en-US" w:eastAsia="en-US" w:bidi="ar-SA"/>
      </w:rPr>
    </w:lvl>
    <w:lvl w:ilvl="5" w:tplc="C9184AD4">
      <w:numFmt w:val="bullet"/>
      <w:lvlText w:val="•"/>
      <w:lvlJc w:val="left"/>
      <w:pPr>
        <w:ind w:left="5273" w:hanging="361"/>
      </w:pPr>
      <w:rPr>
        <w:rFonts w:hint="default"/>
        <w:lang w:val="en-US" w:eastAsia="en-US" w:bidi="ar-SA"/>
      </w:rPr>
    </w:lvl>
    <w:lvl w:ilvl="6" w:tplc="291805AE">
      <w:numFmt w:val="bullet"/>
      <w:lvlText w:val="•"/>
      <w:lvlJc w:val="left"/>
      <w:pPr>
        <w:ind w:left="6159" w:hanging="361"/>
      </w:pPr>
      <w:rPr>
        <w:rFonts w:hint="default"/>
        <w:lang w:val="en-US" w:eastAsia="en-US" w:bidi="ar-SA"/>
      </w:rPr>
    </w:lvl>
    <w:lvl w:ilvl="7" w:tplc="348A1852">
      <w:numFmt w:val="bullet"/>
      <w:lvlText w:val="•"/>
      <w:lvlJc w:val="left"/>
      <w:pPr>
        <w:ind w:left="7046" w:hanging="361"/>
      </w:pPr>
      <w:rPr>
        <w:rFonts w:hint="default"/>
        <w:lang w:val="en-US" w:eastAsia="en-US" w:bidi="ar-SA"/>
      </w:rPr>
    </w:lvl>
    <w:lvl w:ilvl="8" w:tplc="4C9A2418">
      <w:numFmt w:val="bullet"/>
      <w:lvlText w:val="•"/>
      <w:lvlJc w:val="left"/>
      <w:pPr>
        <w:ind w:left="7933" w:hanging="361"/>
      </w:pPr>
      <w:rPr>
        <w:rFonts w:hint="default"/>
        <w:lang w:val="en-US" w:eastAsia="en-US" w:bidi="ar-SA"/>
      </w:rPr>
    </w:lvl>
  </w:abstractNum>
  <w:abstractNum w:abstractNumId="15"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6" w15:restartNumberingAfterBreak="0">
    <w:nsid w:val="48EE1414"/>
    <w:multiLevelType w:val="hybridMultilevel"/>
    <w:tmpl w:val="D146E552"/>
    <w:lvl w:ilvl="0" w:tplc="061A744A">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C5049E16">
      <w:numFmt w:val="bullet"/>
      <w:lvlText w:val="•"/>
      <w:lvlJc w:val="left"/>
      <w:pPr>
        <w:ind w:left="1286" w:hanging="360"/>
      </w:pPr>
      <w:rPr>
        <w:rFonts w:hint="default"/>
        <w:lang w:val="en-US" w:eastAsia="en-US" w:bidi="ar-SA"/>
      </w:rPr>
    </w:lvl>
    <w:lvl w:ilvl="2" w:tplc="3F621BF2">
      <w:numFmt w:val="bullet"/>
      <w:lvlText w:val="•"/>
      <w:lvlJc w:val="left"/>
      <w:pPr>
        <w:ind w:left="1752" w:hanging="360"/>
      </w:pPr>
      <w:rPr>
        <w:rFonts w:hint="default"/>
        <w:lang w:val="en-US" w:eastAsia="en-US" w:bidi="ar-SA"/>
      </w:rPr>
    </w:lvl>
    <w:lvl w:ilvl="3" w:tplc="7E4CB0F6">
      <w:numFmt w:val="bullet"/>
      <w:lvlText w:val="•"/>
      <w:lvlJc w:val="left"/>
      <w:pPr>
        <w:ind w:left="2218" w:hanging="360"/>
      </w:pPr>
      <w:rPr>
        <w:rFonts w:hint="default"/>
        <w:lang w:val="en-US" w:eastAsia="en-US" w:bidi="ar-SA"/>
      </w:rPr>
    </w:lvl>
    <w:lvl w:ilvl="4" w:tplc="3CC6EF0A">
      <w:numFmt w:val="bullet"/>
      <w:lvlText w:val="•"/>
      <w:lvlJc w:val="left"/>
      <w:pPr>
        <w:ind w:left="2684" w:hanging="360"/>
      </w:pPr>
      <w:rPr>
        <w:rFonts w:hint="default"/>
        <w:lang w:val="en-US" w:eastAsia="en-US" w:bidi="ar-SA"/>
      </w:rPr>
    </w:lvl>
    <w:lvl w:ilvl="5" w:tplc="D382CF22">
      <w:numFmt w:val="bullet"/>
      <w:lvlText w:val="•"/>
      <w:lvlJc w:val="left"/>
      <w:pPr>
        <w:ind w:left="3150" w:hanging="360"/>
      </w:pPr>
      <w:rPr>
        <w:rFonts w:hint="default"/>
        <w:lang w:val="en-US" w:eastAsia="en-US" w:bidi="ar-SA"/>
      </w:rPr>
    </w:lvl>
    <w:lvl w:ilvl="6" w:tplc="DCB0FCC0">
      <w:numFmt w:val="bullet"/>
      <w:lvlText w:val="•"/>
      <w:lvlJc w:val="left"/>
      <w:pPr>
        <w:ind w:left="3616" w:hanging="360"/>
      </w:pPr>
      <w:rPr>
        <w:rFonts w:hint="default"/>
        <w:lang w:val="en-US" w:eastAsia="en-US" w:bidi="ar-SA"/>
      </w:rPr>
    </w:lvl>
    <w:lvl w:ilvl="7" w:tplc="FF10C316">
      <w:numFmt w:val="bullet"/>
      <w:lvlText w:val="•"/>
      <w:lvlJc w:val="left"/>
      <w:pPr>
        <w:ind w:left="4082" w:hanging="360"/>
      </w:pPr>
      <w:rPr>
        <w:rFonts w:hint="default"/>
        <w:lang w:val="en-US" w:eastAsia="en-US" w:bidi="ar-SA"/>
      </w:rPr>
    </w:lvl>
    <w:lvl w:ilvl="8" w:tplc="B3682E62">
      <w:numFmt w:val="bullet"/>
      <w:lvlText w:val="•"/>
      <w:lvlJc w:val="left"/>
      <w:pPr>
        <w:ind w:left="4548" w:hanging="360"/>
      </w:pPr>
      <w:rPr>
        <w:rFonts w:hint="default"/>
        <w:lang w:val="en-US" w:eastAsia="en-US" w:bidi="ar-SA"/>
      </w:rPr>
    </w:lvl>
  </w:abstractNum>
  <w:abstractNum w:abstractNumId="17" w15:restartNumberingAfterBreak="0">
    <w:nsid w:val="49F32F6F"/>
    <w:multiLevelType w:val="hybridMultilevel"/>
    <w:tmpl w:val="05E46094"/>
    <w:lvl w:ilvl="0" w:tplc="8CFAECA8">
      <w:start w:val="1"/>
      <w:numFmt w:val="decimal"/>
      <w:lvlText w:val="%1."/>
      <w:lvlJc w:val="left"/>
      <w:pPr>
        <w:ind w:left="840" w:hanging="721"/>
      </w:pPr>
      <w:rPr>
        <w:rFonts w:ascii="Cambria" w:eastAsia="Cambria" w:hAnsi="Cambria" w:cs="Cambria" w:hint="default"/>
        <w:b w:val="0"/>
        <w:bCs w:val="0"/>
        <w:i w:val="0"/>
        <w:iCs w:val="0"/>
        <w:spacing w:val="0"/>
        <w:w w:val="100"/>
        <w:sz w:val="22"/>
        <w:szCs w:val="22"/>
        <w:lang w:val="en-US" w:eastAsia="en-US" w:bidi="ar-SA"/>
      </w:rPr>
    </w:lvl>
    <w:lvl w:ilvl="1" w:tplc="8FE6D220">
      <w:numFmt w:val="bullet"/>
      <w:lvlText w:val="•"/>
      <w:lvlJc w:val="left"/>
      <w:pPr>
        <w:ind w:left="1726" w:hanging="721"/>
      </w:pPr>
      <w:rPr>
        <w:rFonts w:hint="default"/>
        <w:lang w:val="en-US" w:eastAsia="en-US" w:bidi="ar-SA"/>
      </w:rPr>
    </w:lvl>
    <w:lvl w:ilvl="2" w:tplc="AA62DFCA">
      <w:numFmt w:val="bullet"/>
      <w:lvlText w:val="•"/>
      <w:lvlJc w:val="left"/>
      <w:pPr>
        <w:ind w:left="2613" w:hanging="721"/>
      </w:pPr>
      <w:rPr>
        <w:rFonts w:hint="default"/>
        <w:lang w:val="en-US" w:eastAsia="en-US" w:bidi="ar-SA"/>
      </w:rPr>
    </w:lvl>
    <w:lvl w:ilvl="3" w:tplc="D0549DEC">
      <w:numFmt w:val="bullet"/>
      <w:lvlText w:val="•"/>
      <w:lvlJc w:val="left"/>
      <w:pPr>
        <w:ind w:left="3499" w:hanging="721"/>
      </w:pPr>
      <w:rPr>
        <w:rFonts w:hint="default"/>
        <w:lang w:val="en-US" w:eastAsia="en-US" w:bidi="ar-SA"/>
      </w:rPr>
    </w:lvl>
    <w:lvl w:ilvl="4" w:tplc="FC249096">
      <w:numFmt w:val="bullet"/>
      <w:lvlText w:val="•"/>
      <w:lvlJc w:val="left"/>
      <w:pPr>
        <w:ind w:left="4386" w:hanging="721"/>
      </w:pPr>
      <w:rPr>
        <w:rFonts w:hint="default"/>
        <w:lang w:val="en-US" w:eastAsia="en-US" w:bidi="ar-SA"/>
      </w:rPr>
    </w:lvl>
    <w:lvl w:ilvl="5" w:tplc="49747144">
      <w:numFmt w:val="bullet"/>
      <w:lvlText w:val="•"/>
      <w:lvlJc w:val="left"/>
      <w:pPr>
        <w:ind w:left="5273" w:hanging="721"/>
      </w:pPr>
      <w:rPr>
        <w:rFonts w:hint="default"/>
        <w:lang w:val="en-US" w:eastAsia="en-US" w:bidi="ar-SA"/>
      </w:rPr>
    </w:lvl>
    <w:lvl w:ilvl="6" w:tplc="B4443AAA">
      <w:numFmt w:val="bullet"/>
      <w:lvlText w:val="•"/>
      <w:lvlJc w:val="left"/>
      <w:pPr>
        <w:ind w:left="6159" w:hanging="721"/>
      </w:pPr>
      <w:rPr>
        <w:rFonts w:hint="default"/>
        <w:lang w:val="en-US" w:eastAsia="en-US" w:bidi="ar-SA"/>
      </w:rPr>
    </w:lvl>
    <w:lvl w:ilvl="7" w:tplc="E13E9C0C">
      <w:numFmt w:val="bullet"/>
      <w:lvlText w:val="•"/>
      <w:lvlJc w:val="left"/>
      <w:pPr>
        <w:ind w:left="7046" w:hanging="721"/>
      </w:pPr>
      <w:rPr>
        <w:rFonts w:hint="default"/>
        <w:lang w:val="en-US" w:eastAsia="en-US" w:bidi="ar-SA"/>
      </w:rPr>
    </w:lvl>
    <w:lvl w:ilvl="8" w:tplc="1B0E513E">
      <w:numFmt w:val="bullet"/>
      <w:lvlText w:val="•"/>
      <w:lvlJc w:val="left"/>
      <w:pPr>
        <w:ind w:left="7933" w:hanging="721"/>
      </w:pPr>
      <w:rPr>
        <w:rFonts w:hint="default"/>
        <w:lang w:val="en-US" w:eastAsia="en-US" w:bidi="ar-SA"/>
      </w:rPr>
    </w:lvl>
  </w:abstractNum>
  <w:abstractNum w:abstractNumId="18" w15:restartNumberingAfterBreak="0">
    <w:nsid w:val="4EA83F68"/>
    <w:multiLevelType w:val="hybridMultilevel"/>
    <w:tmpl w:val="62969330"/>
    <w:lvl w:ilvl="0" w:tplc="09DA3608">
      <w:numFmt w:val="bullet"/>
      <w:lvlText w:val="•"/>
      <w:lvlJc w:val="left"/>
      <w:pPr>
        <w:ind w:left="191" w:hanging="84"/>
      </w:pPr>
      <w:rPr>
        <w:rFonts w:ascii="Times New Roman" w:eastAsia="Times New Roman" w:hAnsi="Times New Roman" w:cs="Times New Roman" w:hint="default"/>
        <w:b w:val="0"/>
        <w:bCs w:val="0"/>
        <w:i w:val="0"/>
        <w:iCs w:val="0"/>
        <w:spacing w:val="0"/>
        <w:w w:val="99"/>
        <w:sz w:val="18"/>
        <w:szCs w:val="18"/>
        <w:lang w:val="en-US" w:eastAsia="en-US" w:bidi="ar-SA"/>
      </w:rPr>
    </w:lvl>
    <w:lvl w:ilvl="1" w:tplc="2D8EE744">
      <w:numFmt w:val="bullet"/>
      <w:lvlText w:val="•"/>
      <w:lvlJc w:val="left"/>
      <w:pPr>
        <w:ind w:left="360" w:hanging="84"/>
      </w:pPr>
      <w:rPr>
        <w:rFonts w:hint="default"/>
        <w:lang w:val="en-US" w:eastAsia="en-US" w:bidi="ar-SA"/>
      </w:rPr>
    </w:lvl>
    <w:lvl w:ilvl="2" w:tplc="9912BCBE">
      <w:numFmt w:val="bullet"/>
      <w:lvlText w:val="•"/>
      <w:lvlJc w:val="left"/>
      <w:pPr>
        <w:ind w:left="520" w:hanging="84"/>
      </w:pPr>
      <w:rPr>
        <w:rFonts w:hint="default"/>
        <w:lang w:val="en-US" w:eastAsia="en-US" w:bidi="ar-SA"/>
      </w:rPr>
    </w:lvl>
    <w:lvl w:ilvl="3" w:tplc="5472083C">
      <w:numFmt w:val="bullet"/>
      <w:lvlText w:val="•"/>
      <w:lvlJc w:val="left"/>
      <w:pPr>
        <w:ind w:left="680" w:hanging="84"/>
      </w:pPr>
      <w:rPr>
        <w:rFonts w:hint="default"/>
        <w:lang w:val="en-US" w:eastAsia="en-US" w:bidi="ar-SA"/>
      </w:rPr>
    </w:lvl>
    <w:lvl w:ilvl="4" w:tplc="4E5695DE">
      <w:numFmt w:val="bullet"/>
      <w:lvlText w:val="•"/>
      <w:lvlJc w:val="left"/>
      <w:pPr>
        <w:ind w:left="840" w:hanging="84"/>
      </w:pPr>
      <w:rPr>
        <w:rFonts w:hint="default"/>
        <w:lang w:val="en-US" w:eastAsia="en-US" w:bidi="ar-SA"/>
      </w:rPr>
    </w:lvl>
    <w:lvl w:ilvl="5" w:tplc="EFC86886">
      <w:numFmt w:val="bullet"/>
      <w:lvlText w:val="•"/>
      <w:lvlJc w:val="left"/>
      <w:pPr>
        <w:ind w:left="1000" w:hanging="84"/>
      </w:pPr>
      <w:rPr>
        <w:rFonts w:hint="default"/>
        <w:lang w:val="en-US" w:eastAsia="en-US" w:bidi="ar-SA"/>
      </w:rPr>
    </w:lvl>
    <w:lvl w:ilvl="6" w:tplc="4260E386">
      <w:numFmt w:val="bullet"/>
      <w:lvlText w:val="•"/>
      <w:lvlJc w:val="left"/>
      <w:pPr>
        <w:ind w:left="1160" w:hanging="84"/>
      </w:pPr>
      <w:rPr>
        <w:rFonts w:hint="default"/>
        <w:lang w:val="en-US" w:eastAsia="en-US" w:bidi="ar-SA"/>
      </w:rPr>
    </w:lvl>
    <w:lvl w:ilvl="7" w:tplc="4AE6D40C">
      <w:numFmt w:val="bullet"/>
      <w:lvlText w:val="•"/>
      <w:lvlJc w:val="left"/>
      <w:pPr>
        <w:ind w:left="1320" w:hanging="84"/>
      </w:pPr>
      <w:rPr>
        <w:rFonts w:hint="default"/>
        <w:lang w:val="en-US" w:eastAsia="en-US" w:bidi="ar-SA"/>
      </w:rPr>
    </w:lvl>
    <w:lvl w:ilvl="8" w:tplc="8390CF8A">
      <w:numFmt w:val="bullet"/>
      <w:lvlText w:val="•"/>
      <w:lvlJc w:val="left"/>
      <w:pPr>
        <w:ind w:left="1480" w:hanging="84"/>
      </w:pPr>
      <w:rPr>
        <w:rFonts w:hint="default"/>
        <w:lang w:val="en-US" w:eastAsia="en-US" w:bidi="ar-SA"/>
      </w:rPr>
    </w:lvl>
  </w:abstractNum>
  <w:abstractNum w:abstractNumId="1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3" w15:restartNumberingAfterBreak="0">
    <w:nsid w:val="5AA36434"/>
    <w:multiLevelType w:val="hybridMultilevel"/>
    <w:tmpl w:val="C02ABCF4"/>
    <w:lvl w:ilvl="0" w:tplc="53205C04">
      <w:start w:val="1"/>
      <w:numFmt w:val="decimal"/>
      <w:lvlText w:val="%1."/>
      <w:lvlJc w:val="left"/>
      <w:pPr>
        <w:ind w:left="686" w:hanging="207"/>
      </w:pPr>
      <w:rPr>
        <w:rFonts w:ascii="Cambria" w:eastAsia="Cambria" w:hAnsi="Cambria" w:cs="Cambria" w:hint="default"/>
        <w:b w:val="0"/>
        <w:bCs w:val="0"/>
        <w:i w:val="0"/>
        <w:iCs w:val="0"/>
        <w:spacing w:val="0"/>
        <w:w w:val="100"/>
        <w:sz w:val="22"/>
        <w:szCs w:val="22"/>
        <w:lang w:val="en-US" w:eastAsia="en-US" w:bidi="ar-SA"/>
      </w:rPr>
    </w:lvl>
    <w:lvl w:ilvl="1" w:tplc="811A631C">
      <w:numFmt w:val="bullet"/>
      <w:lvlText w:val="•"/>
      <w:lvlJc w:val="left"/>
      <w:pPr>
        <w:ind w:left="1582" w:hanging="207"/>
      </w:pPr>
      <w:rPr>
        <w:rFonts w:hint="default"/>
        <w:lang w:val="en-US" w:eastAsia="en-US" w:bidi="ar-SA"/>
      </w:rPr>
    </w:lvl>
    <w:lvl w:ilvl="2" w:tplc="87F43AF6">
      <w:numFmt w:val="bullet"/>
      <w:lvlText w:val="•"/>
      <w:lvlJc w:val="left"/>
      <w:pPr>
        <w:ind w:left="2485" w:hanging="207"/>
      </w:pPr>
      <w:rPr>
        <w:rFonts w:hint="default"/>
        <w:lang w:val="en-US" w:eastAsia="en-US" w:bidi="ar-SA"/>
      </w:rPr>
    </w:lvl>
    <w:lvl w:ilvl="3" w:tplc="67B26DD6">
      <w:numFmt w:val="bullet"/>
      <w:lvlText w:val="•"/>
      <w:lvlJc w:val="left"/>
      <w:pPr>
        <w:ind w:left="3387" w:hanging="207"/>
      </w:pPr>
      <w:rPr>
        <w:rFonts w:hint="default"/>
        <w:lang w:val="en-US" w:eastAsia="en-US" w:bidi="ar-SA"/>
      </w:rPr>
    </w:lvl>
    <w:lvl w:ilvl="4" w:tplc="410CEB3E">
      <w:numFmt w:val="bullet"/>
      <w:lvlText w:val="•"/>
      <w:lvlJc w:val="left"/>
      <w:pPr>
        <w:ind w:left="4290" w:hanging="207"/>
      </w:pPr>
      <w:rPr>
        <w:rFonts w:hint="default"/>
        <w:lang w:val="en-US" w:eastAsia="en-US" w:bidi="ar-SA"/>
      </w:rPr>
    </w:lvl>
    <w:lvl w:ilvl="5" w:tplc="493E324C">
      <w:numFmt w:val="bullet"/>
      <w:lvlText w:val="•"/>
      <w:lvlJc w:val="left"/>
      <w:pPr>
        <w:ind w:left="5193" w:hanging="207"/>
      </w:pPr>
      <w:rPr>
        <w:rFonts w:hint="default"/>
        <w:lang w:val="en-US" w:eastAsia="en-US" w:bidi="ar-SA"/>
      </w:rPr>
    </w:lvl>
    <w:lvl w:ilvl="6" w:tplc="10A4CADA">
      <w:numFmt w:val="bullet"/>
      <w:lvlText w:val="•"/>
      <w:lvlJc w:val="left"/>
      <w:pPr>
        <w:ind w:left="6095" w:hanging="207"/>
      </w:pPr>
      <w:rPr>
        <w:rFonts w:hint="default"/>
        <w:lang w:val="en-US" w:eastAsia="en-US" w:bidi="ar-SA"/>
      </w:rPr>
    </w:lvl>
    <w:lvl w:ilvl="7" w:tplc="A3A2EFE0">
      <w:numFmt w:val="bullet"/>
      <w:lvlText w:val="•"/>
      <w:lvlJc w:val="left"/>
      <w:pPr>
        <w:ind w:left="6998" w:hanging="207"/>
      </w:pPr>
      <w:rPr>
        <w:rFonts w:hint="default"/>
        <w:lang w:val="en-US" w:eastAsia="en-US" w:bidi="ar-SA"/>
      </w:rPr>
    </w:lvl>
    <w:lvl w:ilvl="8" w:tplc="053C1E00">
      <w:numFmt w:val="bullet"/>
      <w:lvlText w:val="•"/>
      <w:lvlJc w:val="left"/>
      <w:pPr>
        <w:ind w:left="7901" w:hanging="207"/>
      </w:pPr>
      <w:rPr>
        <w:rFonts w:hint="default"/>
        <w:lang w:val="en-US" w:eastAsia="en-US" w:bidi="ar-SA"/>
      </w:rPr>
    </w:lvl>
  </w:abstractNum>
  <w:abstractNum w:abstractNumId="24" w15:restartNumberingAfterBreak="0">
    <w:nsid w:val="5E466F5F"/>
    <w:multiLevelType w:val="hybridMultilevel"/>
    <w:tmpl w:val="992EEB3A"/>
    <w:lvl w:ilvl="0" w:tplc="935A4E22">
      <w:numFmt w:val="bullet"/>
      <w:lvlText w:val=""/>
      <w:lvlJc w:val="left"/>
      <w:pPr>
        <w:ind w:left="547" w:hanging="286"/>
      </w:pPr>
      <w:rPr>
        <w:rFonts w:ascii="Symbol" w:eastAsia="Symbol" w:hAnsi="Symbol" w:cs="Symbol" w:hint="default"/>
        <w:b w:val="0"/>
        <w:bCs w:val="0"/>
        <w:i w:val="0"/>
        <w:iCs w:val="0"/>
        <w:spacing w:val="0"/>
        <w:w w:val="100"/>
        <w:sz w:val="23"/>
        <w:szCs w:val="23"/>
        <w:lang w:val="en-US" w:eastAsia="en-US" w:bidi="ar-SA"/>
      </w:rPr>
    </w:lvl>
    <w:lvl w:ilvl="1" w:tplc="ED96183A">
      <w:numFmt w:val="bullet"/>
      <w:lvlText w:val="o"/>
      <w:lvlJc w:val="left"/>
      <w:pPr>
        <w:ind w:left="1560" w:hanging="360"/>
      </w:pPr>
      <w:rPr>
        <w:rFonts w:ascii="Courier New" w:eastAsia="Courier New" w:hAnsi="Courier New" w:cs="Courier New" w:hint="default"/>
        <w:b w:val="0"/>
        <w:bCs w:val="0"/>
        <w:i w:val="0"/>
        <w:iCs w:val="0"/>
        <w:spacing w:val="0"/>
        <w:w w:val="100"/>
        <w:sz w:val="23"/>
        <w:szCs w:val="23"/>
        <w:lang w:val="en-US" w:eastAsia="en-US" w:bidi="ar-SA"/>
      </w:rPr>
    </w:lvl>
    <w:lvl w:ilvl="2" w:tplc="E6444ACC">
      <w:numFmt w:val="bullet"/>
      <w:lvlText w:val="•"/>
      <w:lvlJc w:val="left"/>
      <w:pPr>
        <w:ind w:left="2465" w:hanging="360"/>
      </w:pPr>
      <w:rPr>
        <w:rFonts w:hint="default"/>
        <w:lang w:val="en-US" w:eastAsia="en-US" w:bidi="ar-SA"/>
      </w:rPr>
    </w:lvl>
    <w:lvl w:ilvl="3" w:tplc="ED06A4DA">
      <w:numFmt w:val="bullet"/>
      <w:lvlText w:val="•"/>
      <w:lvlJc w:val="left"/>
      <w:pPr>
        <w:ind w:left="3370" w:hanging="360"/>
      </w:pPr>
      <w:rPr>
        <w:rFonts w:hint="default"/>
        <w:lang w:val="en-US" w:eastAsia="en-US" w:bidi="ar-SA"/>
      </w:rPr>
    </w:lvl>
    <w:lvl w:ilvl="4" w:tplc="B9A6AC32">
      <w:numFmt w:val="bullet"/>
      <w:lvlText w:val="•"/>
      <w:lvlJc w:val="left"/>
      <w:pPr>
        <w:ind w:left="4275" w:hanging="360"/>
      </w:pPr>
      <w:rPr>
        <w:rFonts w:hint="default"/>
        <w:lang w:val="en-US" w:eastAsia="en-US" w:bidi="ar-SA"/>
      </w:rPr>
    </w:lvl>
    <w:lvl w:ilvl="5" w:tplc="662875FE">
      <w:numFmt w:val="bullet"/>
      <w:lvlText w:val="•"/>
      <w:lvlJc w:val="left"/>
      <w:pPr>
        <w:ind w:left="5180" w:hanging="360"/>
      </w:pPr>
      <w:rPr>
        <w:rFonts w:hint="default"/>
        <w:lang w:val="en-US" w:eastAsia="en-US" w:bidi="ar-SA"/>
      </w:rPr>
    </w:lvl>
    <w:lvl w:ilvl="6" w:tplc="2A78C56C">
      <w:numFmt w:val="bullet"/>
      <w:lvlText w:val="•"/>
      <w:lvlJc w:val="left"/>
      <w:pPr>
        <w:ind w:left="6085" w:hanging="360"/>
      </w:pPr>
      <w:rPr>
        <w:rFonts w:hint="default"/>
        <w:lang w:val="en-US" w:eastAsia="en-US" w:bidi="ar-SA"/>
      </w:rPr>
    </w:lvl>
    <w:lvl w:ilvl="7" w:tplc="7C90295E">
      <w:numFmt w:val="bullet"/>
      <w:lvlText w:val="•"/>
      <w:lvlJc w:val="left"/>
      <w:pPr>
        <w:ind w:left="6990" w:hanging="360"/>
      </w:pPr>
      <w:rPr>
        <w:rFonts w:hint="default"/>
        <w:lang w:val="en-US" w:eastAsia="en-US" w:bidi="ar-SA"/>
      </w:rPr>
    </w:lvl>
    <w:lvl w:ilvl="8" w:tplc="64BE39B0">
      <w:numFmt w:val="bullet"/>
      <w:lvlText w:val="•"/>
      <w:lvlJc w:val="left"/>
      <w:pPr>
        <w:ind w:left="7896" w:hanging="360"/>
      </w:pPr>
      <w:rPr>
        <w:rFonts w:hint="default"/>
        <w:lang w:val="en-US" w:eastAsia="en-US" w:bidi="ar-SA"/>
      </w:rPr>
    </w:lvl>
  </w:abstractNum>
  <w:abstractNum w:abstractNumId="25" w15:restartNumberingAfterBreak="0">
    <w:nsid w:val="70280B2E"/>
    <w:multiLevelType w:val="hybridMultilevel"/>
    <w:tmpl w:val="2AC05740"/>
    <w:lvl w:ilvl="0" w:tplc="A23C6BDE">
      <w:numFmt w:val="bullet"/>
      <w:lvlText w:val=""/>
      <w:lvlJc w:val="left"/>
      <w:pPr>
        <w:ind w:left="489" w:hanging="229"/>
      </w:pPr>
      <w:rPr>
        <w:rFonts w:ascii="Symbol" w:eastAsia="Symbol" w:hAnsi="Symbol" w:cs="Symbol" w:hint="default"/>
        <w:spacing w:val="0"/>
        <w:w w:val="100"/>
        <w:lang w:val="en-US" w:eastAsia="en-US" w:bidi="ar-SA"/>
      </w:rPr>
    </w:lvl>
    <w:lvl w:ilvl="1" w:tplc="9AEE0C18">
      <w:numFmt w:val="bullet"/>
      <w:lvlText w:val="o"/>
      <w:lvlJc w:val="left"/>
      <w:pPr>
        <w:ind w:left="1560" w:hanging="361"/>
      </w:pPr>
      <w:rPr>
        <w:rFonts w:ascii="Courier New" w:eastAsia="Courier New" w:hAnsi="Courier New" w:cs="Courier New" w:hint="default"/>
        <w:spacing w:val="0"/>
        <w:w w:val="100"/>
        <w:lang w:val="en-US" w:eastAsia="en-US" w:bidi="ar-SA"/>
      </w:rPr>
    </w:lvl>
    <w:lvl w:ilvl="2" w:tplc="44E2E892">
      <w:numFmt w:val="bullet"/>
      <w:lvlText w:val="•"/>
      <w:lvlJc w:val="left"/>
      <w:pPr>
        <w:ind w:left="2465" w:hanging="361"/>
      </w:pPr>
      <w:rPr>
        <w:rFonts w:hint="default"/>
        <w:lang w:val="en-US" w:eastAsia="en-US" w:bidi="ar-SA"/>
      </w:rPr>
    </w:lvl>
    <w:lvl w:ilvl="3" w:tplc="E2A68ED4">
      <w:numFmt w:val="bullet"/>
      <w:lvlText w:val="•"/>
      <w:lvlJc w:val="left"/>
      <w:pPr>
        <w:ind w:left="3370" w:hanging="361"/>
      </w:pPr>
      <w:rPr>
        <w:rFonts w:hint="default"/>
        <w:lang w:val="en-US" w:eastAsia="en-US" w:bidi="ar-SA"/>
      </w:rPr>
    </w:lvl>
    <w:lvl w:ilvl="4" w:tplc="F59A95B6">
      <w:numFmt w:val="bullet"/>
      <w:lvlText w:val="•"/>
      <w:lvlJc w:val="left"/>
      <w:pPr>
        <w:ind w:left="4275" w:hanging="361"/>
      </w:pPr>
      <w:rPr>
        <w:rFonts w:hint="default"/>
        <w:lang w:val="en-US" w:eastAsia="en-US" w:bidi="ar-SA"/>
      </w:rPr>
    </w:lvl>
    <w:lvl w:ilvl="5" w:tplc="D17E62DE">
      <w:numFmt w:val="bullet"/>
      <w:lvlText w:val="•"/>
      <w:lvlJc w:val="left"/>
      <w:pPr>
        <w:ind w:left="5180" w:hanging="361"/>
      </w:pPr>
      <w:rPr>
        <w:rFonts w:hint="default"/>
        <w:lang w:val="en-US" w:eastAsia="en-US" w:bidi="ar-SA"/>
      </w:rPr>
    </w:lvl>
    <w:lvl w:ilvl="6" w:tplc="57028160">
      <w:numFmt w:val="bullet"/>
      <w:lvlText w:val="•"/>
      <w:lvlJc w:val="left"/>
      <w:pPr>
        <w:ind w:left="6085" w:hanging="361"/>
      </w:pPr>
      <w:rPr>
        <w:rFonts w:hint="default"/>
        <w:lang w:val="en-US" w:eastAsia="en-US" w:bidi="ar-SA"/>
      </w:rPr>
    </w:lvl>
    <w:lvl w:ilvl="7" w:tplc="BF6664DC">
      <w:numFmt w:val="bullet"/>
      <w:lvlText w:val="•"/>
      <w:lvlJc w:val="left"/>
      <w:pPr>
        <w:ind w:left="6990" w:hanging="361"/>
      </w:pPr>
      <w:rPr>
        <w:rFonts w:hint="default"/>
        <w:lang w:val="en-US" w:eastAsia="en-US" w:bidi="ar-SA"/>
      </w:rPr>
    </w:lvl>
    <w:lvl w:ilvl="8" w:tplc="E3560EB2">
      <w:numFmt w:val="bullet"/>
      <w:lvlText w:val="•"/>
      <w:lvlJc w:val="left"/>
      <w:pPr>
        <w:ind w:left="7896" w:hanging="361"/>
      </w:pPr>
      <w:rPr>
        <w:rFonts w:hint="default"/>
        <w:lang w:val="en-US" w:eastAsia="en-US" w:bidi="ar-SA"/>
      </w:rPr>
    </w:lvl>
  </w:abstractNum>
  <w:abstractNum w:abstractNumId="26" w15:restartNumberingAfterBreak="0">
    <w:nsid w:val="72F45C4B"/>
    <w:multiLevelType w:val="hybridMultilevel"/>
    <w:tmpl w:val="F1CCA088"/>
    <w:lvl w:ilvl="0" w:tplc="10EC82F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C512E6D0">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2" w:tplc="4E08FCDE">
      <w:numFmt w:val="bullet"/>
      <w:lvlText w:val="•"/>
      <w:lvlJc w:val="left"/>
      <w:pPr>
        <w:ind w:left="2465" w:hanging="361"/>
      </w:pPr>
      <w:rPr>
        <w:rFonts w:hint="default"/>
        <w:lang w:val="en-US" w:eastAsia="en-US" w:bidi="ar-SA"/>
      </w:rPr>
    </w:lvl>
    <w:lvl w:ilvl="3" w:tplc="740091AA">
      <w:numFmt w:val="bullet"/>
      <w:lvlText w:val="•"/>
      <w:lvlJc w:val="left"/>
      <w:pPr>
        <w:ind w:left="3370" w:hanging="361"/>
      </w:pPr>
      <w:rPr>
        <w:rFonts w:hint="default"/>
        <w:lang w:val="en-US" w:eastAsia="en-US" w:bidi="ar-SA"/>
      </w:rPr>
    </w:lvl>
    <w:lvl w:ilvl="4" w:tplc="90429E14">
      <w:numFmt w:val="bullet"/>
      <w:lvlText w:val="•"/>
      <w:lvlJc w:val="left"/>
      <w:pPr>
        <w:ind w:left="4275" w:hanging="361"/>
      </w:pPr>
      <w:rPr>
        <w:rFonts w:hint="default"/>
        <w:lang w:val="en-US" w:eastAsia="en-US" w:bidi="ar-SA"/>
      </w:rPr>
    </w:lvl>
    <w:lvl w:ilvl="5" w:tplc="FADC7250">
      <w:numFmt w:val="bullet"/>
      <w:lvlText w:val="•"/>
      <w:lvlJc w:val="left"/>
      <w:pPr>
        <w:ind w:left="5180" w:hanging="361"/>
      </w:pPr>
      <w:rPr>
        <w:rFonts w:hint="default"/>
        <w:lang w:val="en-US" w:eastAsia="en-US" w:bidi="ar-SA"/>
      </w:rPr>
    </w:lvl>
    <w:lvl w:ilvl="6" w:tplc="EFB6A906">
      <w:numFmt w:val="bullet"/>
      <w:lvlText w:val="•"/>
      <w:lvlJc w:val="left"/>
      <w:pPr>
        <w:ind w:left="6085" w:hanging="361"/>
      </w:pPr>
      <w:rPr>
        <w:rFonts w:hint="default"/>
        <w:lang w:val="en-US" w:eastAsia="en-US" w:bidi="ar-SA"/>
      </w:rPr>
    </w:lvl>
    <w:lvl w:ilvl="7" w:tplc="DF568090">
      <w:numFmt w:val="bullet"/>
      <w:lvlText w:val="•"/>
      <w:lvlJc w:val="left"/>
      <w:pPr>
        <w:ind w:left="6990" w:hanging="361"/>
      </w:pPr>
      <w:rPr>
        <w:rFonts w:hint="default"/>
        <w:lang w:val="en-US" w:eastAsia="en-US" w:bidi="ar-SA"/>
      </w:rPr>
    </w:lvl>
    <w:lvl w:ilvl="8" w:tplc="9EDAA8CC">
      <w:numFmt w:val="bullet"/>
      <w:lvlText w:val="•"/>
      <w:lvlJc w:val="left"/>
      <w:pPr>
        <w:ind w:left="7896" w:hanging="361"/>
      </w:pPr>
      <w:rPr>
        <w:rFonts w:hint="default"/>
        <w:lang w:val="en-US" w:eastAsia="en-US" w:bidi="ar-SA"/>
      </w:rPr>
    </w:lvl>
  </w:abstractNum>
  <w:abstractNum w:abstractNumId="27" w15:restartNumberingAfterBreak="0">
    <w:nsid w:val="75470685"/>
    <w:multiLevelType w:val="hybridMultilevel"/>
    <w:tmpl w:val="A74E0702"/>
    <w:lvl w:ilvl="0" w:tplc="36F22FC0">
      <w:numFmt w:val="bullet"/>
      <w:lvlText w:val=""/>
      <w:lvlJc w:val="left"/>
      <w:pPr>
        <w:ind w:left="827" w:hanging="361"/>
      </w:pPr>
      <w:rPr>
        <w:rFonts w:ascii="Symbol" w:eastAsia="Symbol" w:hAnsi="Symbol" w:cs="Symbol" w:hint="default"/>
        <w:b w:val="0"/>
        <w:bCs w:val="0"/>
        <w:i w:val="0"/>
        <w:iCs w:val="0"/>
        <w:spacing w:val="0"/>
        <w:w w:val="100"/>
        <w:sz w:val="21"/>
        <w:szCs w:val="21"/>
        <w:lang w:val="en-US" w:eastAsia="en-US" w:bidi="ar-SA"/>
      </w:rPr>
    </w:lvl>
    <w:lvl w:ilvl="1" w:tplc="2EBC2780">
      <w:numFmt w:val="bullet"/>
      <w:lvlText w:val="•"/>
      <w:lvlJc w:val="left"/>
      <w:pPr>
        <w:ind w:left="1286" w:hanging="361"/>
      </w:pPr>
      <w:rPr>
        <w:rFonts w:hint="default"/>
        <w:lang w:val="en-US" w:eastAsia="en-US" w:bidi="ar-SA"/>
      </w:rPr>
    </w:lvl>
    <w:lvl w:ilvl="2" w:tplc="B4E66232">
      <w:numFmt w:val="bullet"/>
      <w:lvlText w:val="•"/>
      <w:lvlJc w:val="left"/>
      <w:pPr>
        <w:ind w:left="1752" w:hanging="361"/>
      </w:pPr>
      <w:rPr>
        <w:rFonts w:hint="default"/>
        <w:lang w:val="en-US" w:eastAsia="en-US" w:bidi="ar-SA"/>
      </w:rPr>
    </w:lvl>
    <w:lvl w:ilvl="3" w:tplc="80162EB2">
      <w:numFmt w:val="bullet"/>
      <w:lvlText w:val="•"/>
      <w:lvlJc w:val="left"/>
      <w:pPr>
        <w:ind w:left="2218" w:hanging="361"/>
      </w:pPr>
      <w:rPr>
        <w:rFonts w:hint="default"/>
        <w:lang w:val="en-US" w:eastAsia="en-US" w:bidi="ar-SA"/>
      </w:rPr>
    </w:lvl>
    <w:lvl w:ilvl="4" w:tplc="BA50270C">
      <w:numFmt w:val="bullet"/>
      <w:lvlText w:val="•"/>
      <w:lvlJc w:val="left"/>
      <w:pPr>
        <w:ind w:left="2684" w:hanging="361"/>
      </w:pPr>
      <w:rPr>
        <w:rFonts w:hint="default"/>
        <w:lang w:val="en-US" w:eastAsia="en-US" w:bidi="ar-SA"/>
      </w:rPr>
    </w:lvl>
    <w:lvl w:ilvl="5" w:tplc="3FA4FFCC">
      <w:numFmt w:val="bullet"/>
      <w:lvlText w:val="•"/>
      <w:lvlJc w:val="left"/>
      <w:pPr>
        <w:ind w:left="3150" w:hanging="361"/>
      </w:pPr>
      <w:rPr>
        <w:rFonts w:hint="default"/>
        <w:lang w:val="en-US" w:eastAsia="en-US" w:bidi="ar-SA"/>
      </w:rPr>
    </w:lvl>
    <w:lvl w:ilvl="6" w:tplc="D2EC2DAA">
      <w:numFmt w:val="bullet"/>
      <w:lvlText w:val="•"/>
      <w:lvlJc w:val="left"/>
      <w:pPr>
        <w:ind w:left="3616" w:hanging="361"/>
      </w:pPr>
      <w:rPr>
        <w:rFonts w:hint="default"/>
        <w:lang w:val="en-US" w:eastAsia="en-US" w:bidi="ar-SA"/>
      </w:rPr>
    </w:lvl>
    <w:lvl w:ilvl="7" w:tplc="5400032A">
      <w:numFmt w:val="bullet"/>
      <w:lvlText w:val="•"/>
      <w:lvlJc w:val="left"/>
      <w:pPr>
        <w:ind w:left="4082" w:hanging="361"/>
      </w:pPr>
      <w:rPr>
        <w:rFonts w:hint="default"/>
        <w:lang w:val="en-US" w:eastAsia="en-US" w:bidi="ar-SA"/>
      </w:rPr>
    </w:lvl>
    <w:lvl w:ilvl="8" w:tplc="A956B5C8">
      <w:numFmt w:val="bullet"/>
      <w:lvlText w:val="•"/>
      <w:lvlJc w:val="left"/>
      <w:pPr>
        <w:ind w:left="4548" w:hanging="361"/>
      </w:pPr>
      <w:rPr>
        <w:rFonts w:hint="default"/>
        <w:lang w:val="en-US" w:eastAsia="en-US" w:bidi="ar-SA"/>
      </w:rPr>
    </w:lvl>
  </w:abstractNum>
  <w:abstractNum w:abstractNumId="28" w15:restartNumberingAfterBreak="0">
    <w:nsid w:val="76EB58D9"/>
    <w:multiLevelType w:val="hybridMultilevel"/>
    <w:tmpl w:val="98C8B758"/>
    <w:lvl w:ilvl="0" w:tplc="2B8E634E">
      <w:start w:val="1"/>
      <w:numFmt w:val="lowerLetter"/>
      <w:lvlText w:val="%1."/>
      <w:lvlJc w:val="left"/>
      <w:pPr>
        <w:ind w:left="119" w:hanging="720"/>
      </w:pPr>
      <w:rPr>
        <w:rFonts w:ascii="Cambria" w:eastAsia="Cambria" w:hAnsi="Cambria" w:cs="Cambria" w:hint="default"/>
        <w:b w:val="0"/>
        <w:bCs w:val="0"/>
        <w:i/>
        <w:iCs/>
        <w:spacing w:val="-1"/>
        <w:w w:val="100"/>
        <w:sz w:val="22"/>
        <w:szCs w:val="22"/>
        <w:lang w:val="en-US" w:eastAsia="en-US" w:bidi="ar-SA"/>
      </w:rPr>
    </w:lvl>
    <w:lvl w:ilvl="1" w:tplc="348082B8">
      <w:numFmt w:val="bullet"/>
      <w:lvlText w:val="•"/>
      <w:lvlJc w:val="left"/>
      <w:pPr>
        <w:ind w:left="1078" w:hanging="720"/>
      </w:pPr>
      <w:rPr>
        <w:rFonts w:hint="default"/>
        <w:lang w:val="en-US" w:eastAsia="en-US" w:bidi="ar-SA"/>
      </w:rPr>
    </w:lvl>
    <w:lvl w:ilvl="2" w:tplc="67B870AE">
      <w:numFmt w:val="bullet"/>
      <w:lvlText w:val="•"/>
      <w:lvlJc w:val="left"/>
      <w:pPr>
        <w:ind w:left="2037" w:hanging="720"/>
      </w:pPr>
      <w:rPr>
        <w:rFonts w:hint="default"/>
        <w:lang w:val="en-US" w:eastAsia="en-US" w:bidi="ar-SA"/>
      </w:rPr>
    </w:lvl>
    <w:lvl w:ilvl="3" w:tplc="3D0C7E0A">
      <w:numFmt w:val="bullet"/>
      <w:lvlText w:val="•"/>
      <w:lvlJc w:val="left"/>
      <w:pPr>
        <w:ind w:left="2995" w:hanging="720"/>
      </w:pPr>
      <w:rPr>
        <w:rFonts w:hint="default"/>
        <w:lang w:val="en-US" w:eastAsia="en-US" w:bidi="ar-SA"/>
      </w:rPr>
    </w:lvl>
    <w:lvl w:ilvl="4" w:tplc="E5463864">
      <w:numFmt w:val="bullet"/>
      <w:lvlText w:val="•"/>
      <w:lvlJc w:val="left"/>
      <w:pPr>
        <w:ind w:left="3954" w:hanging="720"/>
      </w:pPr>
      <w:rPr>
        <w:rFonts w:hint="default"/>
        <w:lang w:val="en-US" w:eastAsia="en-US" w:bidi="ar-SA"/>
      </w:rPr>
    </w:lvl>
    <w:lvl w:ilvl="5" w:tplc="D7929EFA">
      <w:numFmt w:val="bullet"/>
      <w:lvlText w:val="•"/>
      <w:lvlJc w:val="left"/>
      <w:pPr>
        <w:ind w:left="4913" w:hanging="720"/>
      </w:pPr>
      <w:rPr>
        <w:rFonts w:hint="default"/>
        <w:lang w:val="en-US" w:eastAsia="en-US" w:bidi="ar-SA"/>
      </w:rPr>
    </w:lvl>
    <w:lvl w:ilvl="6" w:tplc="6DF6EDA6">
      <w:numFmt w:val="bullet"/>
      <w:lvlText w:val="•"/>
      <w:lvlJc w:val="left"/>
      <w:pPr>
        <w:ind w:left="5871" w:hanging="720"/>
      </w:pPr>
      <w:rPr>
        <w:rFonts w:hint="default"/>
        <w:lang w:val="en-US" w:eastAsia="en-US" w:bidi="ar-SA"/>
      </w:rPr>
    </w:lvl>
    <w:lvl w:ilvl="7" w:tplc="859080BC">
      <w:numFmt w:val="bullet"/>
      <w:lvlText w:val="•"/>
      <w:lvlJc w:val="left"/>
      <w:pPr>
        <w:ind w:left="6830" w:hanging="720"/>
      </w:pPr>
      <w:rPr>
        <w:rFonts w:hint="default"/>
        <w:lang w:val="en-US" w:eastAsia="en-US" w:bidi="ar-SA"/>
      </w:rPr>
    </w:lvl>
    <w:lvl w:ilvl="8" w:tplc="2058558C">
      <w:numFmt w:val="bullet"/>
      <w:lvlText w:val="•"/>
      <w:lvlJc w:val="left"/>
      <w:pPr>
        <w:ind w:left="7789" w:hanging="720"/>
      </w:pPr>
      <w:rPr>
        <w:rFonts w:hint="default"/>
        <w:lang w:val="en-US" w:eastAsia="en-US" w:bidi="ar-SA"/>
      </w:rPr>
    </w:lvl>
  </w:abstractNum>
  <w:abstractNum w:abstractNumId="29" w15:restartNumberingAfterBreak="0">
    <w:nsid w:val="77C34D30"/>
    <w:multiLevelType w:val="hybridMultilevel"/>
    <w:tmpl w:val="E67CCCB8"/>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2"/>
    <w:lvlOverride w:ilvl="0">
      <w:lvl w:ilvl="0">
        <w:start w:val="1"/>
        <w:numFmt w:val="decimal"/>
        <w:pStyle w:val="Numberbullet0"/>
        <w:lvlText w:val="%1."/>
        <w:lvlJc w:val="left"/>
        <w:pPr>
          <w:ind w:left="6030" w:hanging="360"/>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 w16cid:durableId="357703499">
    <w:abstractNumId w:val="5"/>
  </w:num>
  <w:num w:numId="4" w16cid:durableId="1869176708">
    <w:abstractNumId w:val="21"/>
  </w:num>
  <w:num w:numId="5" w16cid:durableId="1652950129">
    <w:abstractNumId w:val="9"/>
  </w:num>
  <w:num w:numId="6" w16cid:durableId="1053193207">
    <w:abstractNumId w:val="19"/>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0"/>
  </w:num>
  <w:num w:numId="9" w16cid:durableId="173421270">
    <w:abstractNumId w:val="3"/>
  </w:num>
  <w:num w:numId="10" w16cid:durableId="2108043357">
    <w:abstractNumId w:val="7"/>
  </w:num>
  <w:num w:numId="11" w16cid:durableId="1725904230">
    <w:abstractNumId w:val="15"/>
  </w:num>
  <w:num w:numId="12" w16cid:durableId="141579354">
    <w:abstractNumId w:val="22"/>
  </w:num>
  <w:num w:numId="13" w16cid:durableId="283735081">
    <w:abstractNumId w:val="30"/>
  </w:num>
  <w:num w:numId="14" w16cid:durableId="1741364528">
    <w:abstractNumId w:val="6"/>
  </w:num>
  <w:num w:numId="15" w16cid:durableId="589315238">
    <w:abstractNumId w:val="6"/>
  </w:num>
  <w:num w:numId="16" w16cid:durableId="2029676723">
    <w:abstractNumId w:val="6"/>
  </w:num>
  <w:num w:numId="17" w16cid:durableId="1957717352">
    <w:abstractNumId w:val="8"/>
  </w:num>
  <w:num w:numId="18" w16cid:durableId="719523021">
    <w:abstractNumId w:val="4"/>
  </w:num>
  <w:num w:numId="19" w16cid:durableId="78142863">
    <w:abstractNumId w:val="24"/>
  </w:num>
  <w:num w:numId="20" w16cid:durableId="20782524">
    <w:abstractNumId w:val="14"/>
  </w:num>
  <w:num w:numId="21" w16cid:durableId="1061051955">
    <w:abstractNumId w:val="23"/>
  </w:num>
  <w:num w:numId="22" w16cid:durableId="1973517569">
    <w:abstractNumId w:val="18"/>
  </w:num>
  <w:num w:numId="23" w16cid:durableId="2115902297">
    <w:abstractNumId w:val="12"/>
  </w:num>
  <w:num w:numId="24" w16cid:durableId="1383867697">
    <w:abstractNumId w:val="28"/>
  </w:num>
  <w:num w:numId="25" w16cid:durableId="1677538348">
    <w:abstractNumId w:val="13"/>
  </w:num>
  <w:num w:numId="26" w16cid:durableId="1234436630">
    <w:abstractNumId w:val="25"/>
  </w:num>
  <w:num w:numId="27" w16cid:durableId="367951642">
    <w:abstractNumId w:val="26"/>
  </w:num>
  <w:num w:numId="28" w16cid:durableId="1808165890">
    <w:abstractNumId w:val="10"/>
  </w:num>
  <w:num w:numId="29" w16cid:durableId="2132480584">
    <w:abstractNumId w:val="1"/>
  </w:num>
  <w:num w:numId="30" w16cid:durableId="953319238">
    <w:abstractNumId w:val="11"/>
  </w:num>
  <w:num w:numId="31" w16cid:durableId="1713504494">
    <w:abstractNumId w:val="0"/>
  </w:num>
  <w:num w:numId="32" w16cid:durableId="599146899">
    <w:abstractNumId w:val="16"/>
  </w:num>
  <w:num w:numId="33" w16cid:durableId="2027367235">
    <w:abstractNumId w:val="27"/>
  </w:num>
  <w:num w:numId="34" w16cid:durableId="479005050">
    <w:abstractNumId w:val="2"/>
    <w:lvlOverride w:ilvl="0">
      <w:lvl w:ilvl="0">
        <w:start w:val="1"/>
        <w:numFmt w:val="decimal"/>
        <w:pStyle w:val="Numberbullet0"/>
        <w:lvlText w:val="%1."/>
        <w:lvlJc w:val="left"/>
        <w:pPr>
          <w:ind w:left="360" w:hanging="360"/>
        </w:pPr>
        <w:rPr>
          <w:rFonts w:ascii="Arial" w:hAnsi="Arial"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5" w16cid:durableId="172309044">
    <w:abstractNumId w:val="6"/>
  </w:num>
  <w:num w:numId="36" w16cid:durableId="834422797">
    <w:abstractNumId w:val="29"/>
  </w:num>
  <w:num w:numId="37" w16cid:durableId="31226163">
    <w:abstractNumId w:val="2"/>
    <w:lvlOverride w:ilvl="0">
      <w:startOverride w:val="1"/>
      <w:lvl w:ilvl="0">
        <w:start w:val="1"/>
        <w:numFmt w:val="decimal"/>
        <w:pStyle w:val="Numberbullet0"/>
        <w:lvlText w:val="%1."/>
        <w:lvlJc w:val="left"/>
        <w:pPr>
          <w:ind w:left="360" w:hanging="360"/>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16cid:durableId="1228956414">
    <w:abstractNumId w:val="2"/>
    <w:lvlOverride w:ilvl="0">
      <w:startOverride w:val="1"/>
      <w:lvl w:ilvl="0">
        <w:start w:val="1"/>
        <w:numFmt w:val="decimal"/>
        <w:pStyle w:val="Numberbullet0"/>
        <w:lvlText w:val="%1."/>
        <w:lvlJc w:val="left"/>
        <w:pPr>
          <w:ind w:left="360" w:hanging="360"/>
        </w:pPr>
        <w:rPr>
          <w:rFonts w:ascii="Cambria" w:hAnsi="Cambria" w:hint="default"/>
          <w:sz w:val="22"/>
          <w:szCs w:val="22"/>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16cid:durableId="1343892233">
    <w:abstractNumId w:val="2"/>
  </w:num>
  <w:num w:numId="40" w16cid:durableId="1638680529">
    <w:abstractNumId w:val="2"/>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16cid:durableId="13777804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9BC"/>
    <w:rsid w:val="00002B01"/>
    <w:rsid w:val="0000377D"/>
    <w:rsid w:val="00004431"/>
    <w:rsid w:val="00004847"/>
    <w:rsid w:val="00005062"/>
    <w:rsid w:val="0001064C"/>
    <w:rsid w:val="000123E5"/>
    <w:rsid w:val="0001384A"/>
    <w:rsid w:val="00013B4C"/>
    <w:rsid w:val="00017970"/>
    <w:rsid w:val="00023C95"/>
    <w:rsid w:val="00025346"/>
    <w:rsid w:val="00025ACE"/>
    <w:rsid w:val="00026171"/>
    <w:rsid w:val="0002642F"/>
    <w:rsid w:val="00030B9B"/>
    <w:rsid w:val="0003236E"/>
    <w:rsid w:val="00032A0F"/>
    <w:rsid w:val="00037C22"/>
    <w:rsid w:val="00040D8D"/>
    <w:rsid w:val="00042CF1"/>
    <w:rsid w:val="00046423"/>
    <w:rsid w:val="00054FAD"/>
    <w:rsid w:val="00060B41"/>
    <w:rsid w:val="0006104E"/>
    <w:rsid w:val="000640BD"/>
    <w:rsid w:val="000654A6"/>
    <w:rsid w:val="00065839"/>
    <w:rsid w:val="00065FDF"/>
    <w:rsid w:val="00066A12"/>
    <w:rsid w:val="000671CE"/>
    <w:rsid w:val="00073340"/>
    <w:rsid w:val="00074ABC"/>
    <w:rsid w:val="0007669D"/>
    <w:rsid w:val="00077844"/>
    <w:rsid w:val="00084ACF"/>
    <w:rsid w:val="00086FAD"/>
    <w:rsid w:val="00090510"/>
    <w:rsid w:val="000917AE"/>
    <w:rsid w:val="00093A33"/>
    <w:rsid w:val="00094B81"/>
    <w:rsid w:val="00096FDD"/>
    <w:rsid w:val="000975AA"/>
    <w:rsid w:val="000A0667"/>
    <w:rsid w:val="000A6007"/>
    <w:rsid w:val="000B0AF9"/>
    <w:rsid w:val="000B3484"/>
    <w:rsid w:val="000B5288"/>
    <w:rsid w:val="000B5F3D"/>
    <w:rsid w:val="000B6B15"/>
    <w:rsid w:val="000C0A55"/>
    <w:rsid w:val="000C15A0"/>
    <w:rsid w:val="000C25A7"/>
    <w:rsid w:val="000C2CF0"/>
    <w:rsid w:val="000C48F6"/>
    <w:rsid w:val="000C5F70"/>
    <w:rsid w:val="000C6281"/>
    <w:rsid w:val="000C7F2D"/>
    <w:rsid w:val="000D068F"/>
    <w:rsid w:val="000D06FC"/>
    <w:rsid w:val="000D0954"/>
    <w:rsid w:val="000D4A07"/>
    <w:rsid w:val="000D5779"/>
    <w:rsid w:val="000D6440"/>
    <w:rsid w:val="000D6BFF"/>
    <w:rsid w:val="000D6CCD"/>
    <w:rsid w:val="000D78EC"/>
    <w:rsid w:val="000D7934"/>
    <w:rsid w:val="000E2597"/>
    <w:rsid w:val="000E479A"/>
    <w:rsid w:val="000E51FC"/>
    <w:rsid w:val="000E6746"/>
    <w:rsid w:val="000E7EDC"/>
    <w:rsid w:val="000F032C"/>
    <w:rsid w:val="000F22D2"/>
    <w:rsid w:val="000F232B"/>
    <w:rsid w:val="000F321E"/>
    <w:rsid w:val="000F4E73"/>
    <w:rsid w:val="000F6432"/>
    <w:rsid w:val="000F7B51"/>
    <w:rsid w:val="00101BEE"/>
    <w:rsid w:val="00101CE6"/>
    <w:rsid w:val="00101FB1"/>
    <w:rsid w:val="001031A7"/>
    <w:rsid w:val="00104DCA"/>
    <w:rsid w:val="0010558A"/>
    <w:rsid w:val="00105AEC"/>
    <w:rsid w:val="001101FF"/>
    <w:rsid w:val="00111383"/>
    <w:rsid w:val="00113F9F"/>
    <w:rsid w:val="00114370"/>
    <w:rsid w:val="001168B6"/>
    <w:rsid w:val="0012473C"/>
    <w:rsid w:val="00126AA0"/>
    <w:rsid w:val="00127A74"/>
    <w:rsid w:val="00127E3A"/>
    <w:rsid w:val="00130383"/>
    <w:rsid w:val="00130AA2"/>
    <w:rsid w:val="0013132F"/>
    <w:rsid w:val="0013306D"/>
    <w:rsid w:val="0013344C"/>
    <w:rsid w:val="0013528C"/>
    <w:rsid w:val="00136424"/>
    <w:rsid w:val="00140435"/>
    <w:rsid w:val="00140F07"/>
    <w:rsid w:val="001438B2"/>
    <w:rsid w:val="001442A2"/>
    <w:rsid w:val="00145603"/>
    <w:rsid w:val="001468CA"/>
    <w:rsid w:val="00146ADC"/>
    <w:rsid w:val="001475B0"/>
    <w:rsid w:val="001500A8"/>
    <w:rsid w:val="00154987"/>
    <w:rsid w:val="00155D85"/>
    <w:rsid w:val="00165D28"/>
    <w:rsid w:val="00167153"/>
    <w:rsid w:val="0016788C"/>
    <w:rsid w:val="0017005C"/>
    <w:rsid w:val="0017079A"/>
    <w:rsid w:val="00170AEB"/>
    <w:rsid w:val="001738A0"/>
    <w:rsid w:val="00173CB8"/>
    <w:rsid w:val="00175CD8"/>
    <w:rsid w:val="00181994"/>
    <w:rsid w:val="00182BD8"/>
    <w:rsid w:val="00183F21"/>
    <w:rsid w:val="00184C01"/>
    <w:rsid w:val="00186C93"/>
    <w:rsid w:val="00192ED8"/>
    <w:rsid w:val="00193B57"/>
    <w:rsid w:val="001A0DD6"/>
    <w:rsid w:val="001A3242"/>
    <w:rsid w:val="001A703C"/>
    <w:rsid w:val="001A76F9"/>
    <w:rsid w:val="001B06FF"/>
    <w:rsid w:val="001B1703"/>
    <w:rsid w:val="001B535E"/>
    <w:rsid w:val="001C1AB2"/>
    <w:rsid w:val="001C1C2E"/>
    <w:rsid w:val="001C226C"/>
    <w:rsid w:val="001C2A72"/>
    <w:rsid w:val="001C31A1"/>
    <w:rsid w:val="001C3FA2"/>
    <w:rsid w:val="001C5EE2"/>
    <w:rsid w:val="001C6F54"/>
    <w:rsid w:val="001D0077"/>
    <w:rsid w:val="001D0309"/>
    <w:rsid w:val="001D6104"/>
    <w:rsid w:val="001D7FE9"/>
    <w:rsid w:val="001E20DF"/>
    <w:rsid w:val="001E27FF"/>
    <w:rsid w:val="001E36B8"/>
    <w:rsid w:val="001E4072"/>
    <w:rsid w:val="001E407B"/>
    <w:rsid w:val="001E5CB5"/>
    <w:rsid w:val="001E7FC6"/>
    <w:rsid w:val="001F0B30"/>
    <w:rsid w:val="001F2502"/>
    <w:rsid w:val="001F47D7"/>
    <w:rsid w:val="001F70A5"/>
    <w:rsid w:val="0020235D"/>
    <w:rsid w:val="0020369B"/>
    <w:rsid w:val="00203CB1"/>
    <w:rsid w:val="00205E98"/>
    <w:rsid w:val="00207063"/>
    <w:rsid w:val="0020723E"/>
    <w:rsid w:val="00207B4D"/>
    <w:rsid w:val="002117B1"/>
    <w:rsid w:val="002124A9"/>
    <w:rsid w:val="00217504"/>
    <w:rsid w:val="00217A4C"/>
    <w:rsid w:val="00217CCE"/>
    <w:rsid w:val="002203B1"/>
    <w:rsid w:val="00221078"/>
    <w:rsid w:val="00222A2C"/>
    <w:rsid w:val="002269E0"/>
    <w:rsid w:val="00226F39"/>
    <w:rsid w:val="00231443"/>
    <w:rsid w:val="002334AD"/>
    <w:rsid w:val="00233976"/>
    <w:rsid w:val="0023548E"/>
    <w:rsid w:val="00236BA8"/>
    <w:rsid w:val="00240D86"/>
    <w:rsid w:val="00241B60"/>
    <w:rsid w:val="00242328"/>
    <w:rsid w:val="00242454"/>
    <w:rsid w:val="0024316E"/>
    <w:rsid w:val="00243B25"/>
    <w:rsid w:val="00244B64"/>
    <w:rsid w:val="00245795"/>
    <w:rsid w:val="00245EE1"/>
    <w:rsid w:val="0025238F"/>
    <w:rsid w:val="002570F5"/>
    <w:rsid w:val="0025741F"/>
    <w:rsid w:val="0025785B"/>
    <w:rsid w:val="00257969"/>
    <w:rsid w:val="0026086D"/>
    <w:rsid w:val="0026114E"/>
    <w:rsid w:val="002639DA"/>
    <w:rsid w:val="00264369"/>
    <w:rsid w:val="00270F37"/>
    <w:rsid w:val="002747C2"/>
    <w:rsid w:val="00274835"/>
    <w:rsid w:val="002758EA"/>
    <w:rsid w:val="00277FAD"/>
    <w:rsid w:val="00280048"/>
    <w:rsid w:val="002833F4"/>
    <w:rsid w:val="0028489E"/>
    <w:rsid w:val="002848DE"/>
    <w:rsid w:val="00284C29"/>
    <w:rsid w:val="00285502"/>
    <w:rsid w:val="0028794E"/>
    <w:rsid w:val="00287F3A"/>
    <w:rsid w:val="002917EF"/>
    <w:rsid w:val="0029250F"/>
    <w:rsid w:val="00293558"/>
    <w:rsid w:val="002A18B4"/>
    <w:rsid w:val="002A35C6"/>
    <w:rsid w:val="002A37D4"/>
    <w:rsid w:val="002A5841"/>
    <w:rsid w:val="002B02E7"/>
    <w:rsid w:val="002B1EDF"/>
    <w:rsid w:val="002B2061"/>
    <w:rsid w:val="002B22F6"/>
    <w:rsid w:val="002B3113"/>
    <w:rsid w:val="002B4AC5"/>
    <w:rsid w:val="002B4D1C"/>
    <w:rsid w:val="002B5596"/>
    <w:rsid w:val="002B5A44"/>
    <w:rsid w:val="002B66CB"/>
    <w:rsid w:val="002B77BD"/>
    <w:rsid w:val="002C02DD"/>
    <w:rsid w:val="002C1232"/>
    <w:rsid w:val="002C1E44"/>
    <w:rsid w:val="002C1F3C"/>
    <w:rsid w:val="002C2B91"/>
    <w:rsid w:val="002C372C"/>
    <w:rsid w:val="002C4F1B"/>
    <w:rsid w:val="002C58E0"/>
    <w:rsid w:val="002C5BBA"/>
    <w:rsid w:val="002C5C92"/>
    <w:rsid w:val="002C5E29"/>
    <w:rsid w:val="002D0478"/>
    <w:rsid w:val="002D3647"/>
    <w:rsid w:val="002D7127"/>
    <w:rsid w:val="002E1402"/>
    <w:rsid w:val="002E65FC"/>
    <w:rsid w:val="002F1471"/>
    <w:rsid w:val="002F22F8"/>
    <w:rsid w:val="002F3086"/>
    <w:rsid w:val="002F599E"/>
    <w:rsid w:val="003008D8"/>
    <w:rsid w:val="00301D9A"/>
    <w:rsid w:val="00303959"/>
    <w:rsid w:val="00304123"/>
    <w:rsid w:val="00306E72"/>
    <w:rsid w:val="00312AC3"/>
    <w:rsid w:val="00313328"/>
    <w:rsid w:val="00313CB2"/>
    <w:rsid w:val="00314430"/>
    <w:rsid w:val="003151F0"/>
    <w:rsid w:val="003163BC"/>
    <w:rsid w:val="00316AF3"/>
    <w:rsid w:val="00316B69"/>
    <w:rsid w:val="00317C48"/>
    <w:rsid w:val="00322E23"/>
    <w:rsid w:val="00322E69"/>
    <w:rsid w:val="0032351A"/>
    <w:rsid w:val="003238B4"/>
    <w:rsid w:val="00324B33"/>
    <w:rsid w:val="00327488"/>
    <w:rsid w:val="00327F3C"/>
    <w:rsid w:val="00331ADD"/>
    <w:rsid w:val="003347D0"/>
    <w:rsid w:val="00336FE1"/>
    <w:rsid w:val="00342D56"/>
    <w:rsid w:val="003436D4"/>
    <w:rsid w:val="003456E7"/>
    <w:rsid w:val="00346193"/>
    <w:rsid w:val="00346EC2"/>
    <w:rsid w:val="003477F9"/>
    <w:rsid w:val="00347DEF"/>
    <w:rsid w:val="0035334A"/>
    <w:rsid w:val="0035444D"/>
    <w:rsid w:val="00356D62"/>
    <w:rsid w:val="003579E5"/>
    <w:rsid w:val="00361068"/>
    <w:rsid w:val="00362249"/>
    <w:rsid w:val="0036328C"/>
    <w:rsid w:val="00363EE3"/>
    <w:rsid w:val="00365C90"/>
    <w:rsid w:val="0037211E"/>
    <w:rsid w:val="003735F3"/>
    <w:rsid w:val="00374524"/>
    <w:rsid w:val="00374729"/>
    <w:rsid w:val="00374748"/>
    <w:rsid w:val="00375A03"/>
    <w:rsid w:val="003767C1"/>
    <w:rsid w:val="00385EE1"/>
    <w:rsid w:val="00387298"/>
    <w:rsid w:val="00387984"/>
    <w:rsid w:val="003919EA"/>
    <w:rsid w:val="00392FA8"/>
    <w:rsid w:val="00395140"/>
    <w:rsid w:val="003A1E09"/>
    <w:rsid w:val="003A2422"/>
    <w:rsid w:val="003A31ED"/>
    <w:rsid w:val="003A338F"/>
    <w:rsid w:val="003A70DB"/>
    <w:rsid w:val="003B149C"/>
    <w:rsid w:val="003B6975"/>
    <w:rsid w:val="003B6A04"/>
    <w:rsid w:val="003C0FDB"/>
    <w:rsid w:val="003C1192"/>
    <w:rsid w:val="003C4C5B"/>
    <w:rsid w:val="003C5496"/>
    <w:rsid w:val="003C55E2"/>
    <w:rsid w:val="003C63D5"/>
    <w:rsid w:val="003C67B0"/>
    <w:rsid w:val="003C7AA8"/>
    <w:rsid w:val="003C7C6D"/>
    <w:rsid w:val="003C7CA7"/>
    <w:rsid w:val="003D67FE"/>
    <w:rsid w:val="003D71A1"/>
    <w:rsid w:val="003E2AA2"/>
    <w:rsid w:val="003E4F72"/>
    <w:rsid w:val="003F0775"/>
    <w:rsid w:val="003F1307"/>
    <w:rsid w:val="003F46D6"/>
    <w:rsid w:val="0040138B"/>
    <w:rsid w:val="004022C7"/>
    <w:rsid w:val="0040259A"/>
    <w:rsid w:val="00402ADD"/>
    <w:rsid w:val="00403C7C"/>
    <w:rsid w:val="00405FD0"/>
    <w:rsid w:val="0041139E"/>
    <w:rsid w:val="00411DC7"/>
    <w:rsid w:val="0041211A"/>
    <w:rsid w:val="00414EAE"/>
    <w:rsid w:val="00416740"/>
    <w:rsid w:val="0041688F"/>
    <w:rsid w:val="004217AF"/>
    <w:rsid w:val="00423524"/>
    <w:rsid w:val="0042376F"/>
    <w:rsid w:val="004246B8"/>
    <w:rsid w:val="004248F1"/>
    <w:rsid w:val="00425479"/>
    <w:rsid w:val="004314A9"/>
    <w:rsid w:val="00433318"/>
    <w:rsid w:val="004339D6"/>
    <w:rsid w:val="0043561D"/>
    <w:rsid w:val="00435635"/>
    <w:rsid w:val="00435A1B"/>
    <w:rsid w:val="004374B1"/>
    <w:rsid w:val="00442A56"/>
    <w:rsid w:val="004444B0"/>
    <w:rsid w:val="004453EF"/>
    <w:rsid w:val="004463EE"/>
    <w:rsid w:val="0044694E"/>
    <w:rsid w:val="00447AA6"/>
    <w:rsid w:val="0045060B"/>
    <w:rsid w:val="004552B8"/>
    <w:rsid w:val="004626FF"/>
    <w:rsid w:val="00464A76"/>
    <w:rsid w:val="00465A9D"/>
    <w:rsid w:val="0046631F"/>
    <w:rsid w:val="00470A52"/>
    <w:rsid w:val="00470E18"/>
    <w:rsid w:val="00471BD5"/>
    <w:rsid w:val="004721F6"/>
    <w:rsid w:val="0047224B"/>
    <w:rsid w:val="00473CBE"/>
    <w:rsid w:val="0047480B"/>
    <w:rsid w:val="00476AC0"/>
    <w:rsid w:val="00477C4E"/>
    <w:rsid w:val="00477F07"/>
    <w:rsid w:val="00481503"/>
    <w:rsid w:val="00481D12"/>
    <w:rsid w:val="004840AC"/>
    <w:rsid w:val="004854A6"/>
    <w:rsid w:val="00485E7F"/>
    <w:rsid w:val="00487615"/>
    <w:rsid w:val="0049114F"/>
    <w:rsid w:val="00491A55"/>
    <w:rsid w:val="00492F4F"/>
    <w:rsid w:val="004940DE"/>
    <w:rsid w:val="00494C3E"/>
    <w:rsid w:val="00497283"/>
    <w:rsid w:val="00497BCC"/>
    <w:rsid w:val="00497DF1"/>
    <w:rsid w:val="004A1099"/>
    <w:rsid w:val="004A147F"/>
    <w:rsid w:val="004A318E"/>
    <w:rsid w:val="004A44DC"/>
    <w:rsid w:val="004A57E8"/>
    <w:rsid w:val="004A66DC"/>
    <w:rsid w:val="004B3081"/>
    <w:rsid w:val="004B4A09"/>
    <w:rsid w:val="004B4A7C"/>
    <w:rsid w:val="004B5647"/>
    <w:rsid w:val="004B72A6"/>
    <w:rsid w:val="004C1BB0"/>
    <w:rsid w:val="004C203C"/>
    <w:rsid w:val="004C2D6B"/>
    <w:rsid w:val="004C320E"/>
    <w:rsid w:val="004C41CE"/>
    <w:rsid w:val="004C631B"/>
    <w:rsid w:val="004C66A8"/>
    <w:rsid w:val="004C7C86"/>
    <w:rsid w:val="004D2F00"/>
    <w:rsid w:val="004D31D8"/>
    <w:rsid w:val="004D371B"/>
    <w:rsid w:val="004D5388"/>
    <w:rsid w:val="004E4297"/>
    <w:rsid w:val="004E44E0"/>
    <w:rsid w:val="004E7BDD"/>
    <w:rsid w:val="004E7F16"/>
    <w:rsid w:val="004F18EC"/>
    <w:rsid w:val="004F2CE3"/>
    <w:rsid w:val="004F447F"/>
    <w:rsid w:val="004F72F1"/>
    <w:rsid w:val="004F7511"/>
    <w:rsid w:val="004F7FA2"/>
    <w:rsid w:val="0050097E"/>
    <w:rsid w:val="00500D68"/>
    <w:rsid w:val="00504321"/>
    <w:rsid w:val="00511162"/>
    <w:rsid w:val="005115BB"/>
    <w:rsid w:val="005139A7"/>
    <w:rsid w:val="00515F1C"/>
    <w:rsid w:val="00516EED"/>
    <w:rsid w:val="00521C57"/>
    <w:rsid w:val="00525D8D"/>
    <w:rsid w:val="0052772A"/>
    <w:rsid w:val="00530585"/>
    <w:rsid w:val="005317EE"/>
    <w:rsid w:val="0053377D"/>
    <w:rsid w:val="0053426A"/>
    <w:rsid w:val="00535911"/>
    <w:rsid w:val="00535DFE"/>
    <w:rsid w:val="005373B5"/>
    <w:rsid w:val="00537AB7"/>
    <w:rsid w:val="00543469"/>
    <w:rsid w:val="0054426B"/>
    <w:rsid w:val="0054669B"/>
    <w:rsid w:val="00546D7A"/>
    <w:rsid w:val="00551C7F"/>
    <w:rsid w:val="005520B6"/>
    <w:rsid w:val="005555B4"/>
    <w:rsid w:val="00555A9B"/>
    <w:rsid w:val="00557E8C"/>
    <w:rsid w:val="005610D1"/>
    <w:rsid w:val="0056182A"/>
    <w:rsid w:val="00562F42"/>
    <w:rsid w:val="005645C5"/>
    <w:rsid w:val="00565739"/>
    <w:rsid w:val="0056766D"/>
    <w:rsid w:val="005676DF"/>
    <w:rsid w:val="005717FF"/>
    <w:rsid w:val="005744BC"/>
    <w:rsid w:val="00575194"/>
    <w:rsid w:val="00575215"/>
    <w:rsid w:val="0057713D"/>
    <w:rsid w:val="00577BBD"/>
    <w:rsid w:val="00580EC2"/>
    <w:rsid w:val="0058280A"/>
    <w:rsid w:val="00583835"/>
    <w:rsid w:val="0058575E"/>
    <w:rsid w:val="005865A5"/>
    <w:rsid w:val="0058783C"/>
    <w:rsid w:val="005911AE"/>
    <w:rsid w:val="005926E2"/>
    <w:rsid w:val="0059313A"/>
    <w:rsid w:val="00595FDD"/>
    <w:rsid w:val="00597DBB"/>
    <w:rsid w:val="005A25EC"/>
    <w:rsid w:val="005A30D7"/>
    <w:rsid w:val="005A54EA"/>
    <w:rsid w:val="005A6202"/>
    <w:rsid w:val="005A75ED"/>
    <w:rsid w:val="005B023F"/>
    <w:rsid w:val="005B02A2"/>
    <w:rsid w:val="005B1417"/>
    <w:rsid w:val="005B5774"/>
    <w:rsid w:val="005B69CF"/>
    <w:rsid w:val="005B6C98"/>
    <w:rsid w:val="005B7BD5"/>
    <w:rsid w:val="005C0436"/>
    <w:rsid w:val="005C089A"/>
    <w:rsid w:val="005C151C"/>
    <w:rsid w:val="005C1B3A"/>
    <w:rsid w:val="005C3F07"/>
    <w:rsid w:val="005C4B46"/>
    <w:rsid w:val="005C5303"/>
    <w:rsid w:val="005C5DC5"/>
    <w:rsid w:val="005D0F52"/>
    <w:rsid w:val="005D1F45"/>
    <w:rsid w:val="005D2089"/>
    <w:rsid w:val="005D542A"/>
    <w:rsid w:val="005D7514"/>
    <w:rsid w:val="005E0FC6"/>
    <w:rsid w:val="005E1A7B"/>
    <w:rsid w:val="005E1E2D"/>
    <w:rsid w:val="005E231F"/>
    <w:rsid w:val="005E2D4A"/>
    <w:rsid w:val="005E3281"/>
    <w:rsid w:val="005E3CFF"/>
    <w:rsid w:val="005E4B65"/>
    <w:rsid w:val="005F023A"/>
    <w:rsid w:val="005F13BE"/>
    <w:rsid w:val="005F19E0"/>
    <w:rsid w:val="005F1A4C"/>
    <w:rsid w:val="005F6E7E"/>
    <w:rsid w:val="005F7B49"/>
    <w:rsid w:val="00602D6E"/>
    <w:rsid w:val="006030E2"/>
    <w:rsid w:val="00603B82"/>
    <w:rsid w:val="00605C05"/>
    <w:rsid w:val="00610352"/>
    <w:rsid w:val="006103B2"/>
    <w:rsid w:val="006108D2"/>
    <w:rsid w:val="00611351"/>
    <w:rsid w:val="0061217D"/>
    <w:rsid w:val="00613A51"/>
    <w:rsid w:val="00621448"/>
    <w:rsid w:val="006217B2"/>
    <w:rsid w:val="006219CA"/>
    <w:rsid w:val="00623287"/>
    <w:rsid w:val="0062329B"/>
    <w:rsid w:val="006263BA"/>
    <w:rsid w:val="006277A1"/>
    <w:rsid w:val="00630FE1"/>
    <w:rsid w:val="0063259E"/>
    <w:rsid w:val="00632D4B"/>
    <w:rsid w:val="00633BD7"/>
    <w:rsid w:val="00634580"/>
    <w:rsid w:val="00634884"/>
    <w:rsid w:val="006351D9"/>
    <w:rsid w:val="00637130"/>
    <w:rsid w:val="00637F0E"/>
    <w:rsid w:val="0064007F"/>
    <w:rsid w:val="00640B3C"/>
    <w:rsid w:val="0064134F"/>
    <w:rsid w:val="00641A4D"/>
    <w:rsid w:val="00642218"/>
    <w:rsid w:val="006423F2"/>
    <w:rsid w:val="00642C95"/>
    <w:rsid w:val="00643DDE"/>
    <w:rsid w:val="00650234"/>
    <w:rsid w:val="00654911"/>
    <w:rsid w:val="006560F1"/>
    <w:rsid w:val="00656341"/>
    <w:rsid w:val="00657565"/>
    <w:rsid w:val="006600F4"/>
    <w:rsid w:val="0066044B"/>
    <w:rsid w:val="00661008"/>
    <w:rsid w:val="006630AA"/>
    <w:rsid w:val="00663544"/>
    <w:rsid w:val="00666539"/>
    <w:rsid w:val="00666911"/>
    <w:rsid w:val="006703CC"/>
    <w:rsid w:val="00675F81"/>
    <w:rsid w:val="0067622C"/>
    <w:rsid w:val="0068028B"/>
    <w:rsid w:val="0068143E"/>
    <w:rsid w:val="00681EB5"/>
    <w:rsid w:val="0068311B"/>
    <w:rsid w:val="006845DE"/>
    <w:rsid w:val="0068507D"/>
    <w:rsid w:val="00691AF2"/>
    <w:rsid w:val="00691FEC"/>
    <w:rsid w:val="00692B80"/>
    <w:rsid w:val="00692CCD"/>
    <w:rsid w:val="00692D51"/>
    <w:rsid w:val="006940C4"/>
    <w:rsid w:val="00694DD7"/>
    <w:rsid w:val="006954DF"/>
    <w:rsid w:val="0069636B"/>
    <w:rsid w:val="006A1762"/>
    <w:rsid w:val="006A1C5D"/>
    <w:rsid w:val="006A1F0B"/>
    <w:rsid w:val="006A277A"/>
    <w:rsid w:val="006A4D6E"/>
    <w:rsid w:val="006A4FA0"/>
    <w:rsid w:val="006A5156"/>
    <w:rsid w:val="006A5973"/>
    <w:rsid w:val="006A7134"/>
    <w:rsid w:val="006A7DC0"/>
    <w:rsid w:val="006B417A"/>
    <w:rsid w:val="006B67D7"/>
    <w:rsid w:val="006B7126"/>
    <w:rsid w:val="006C024E"/>
    <w:rsid w:val="006C2155"/>
    <w:rsid w:val="006C2A97"/>
    <w:rsid w:val="006C3024"/>
    <w:rsid w:val="006C5CFE"/>
    <w:rsid w:val="006C5DE6"/>
    <w:rsid w:val="006C6B86"/>
    <w:rsid w:val="006D22C2"/>
    <w:rsid w:val="006D4553"/>
    <w:rsid w:val="006D4A35"/>
    <w:rsid w:val="006D6B44"/>
    <w:rsid w:val="006E27FE"/>
    <w:rsid w:val="006E2FC8"/>
    <w:rsid w:val="006F062D"/>
    <w:rsid w:val="006F44E3"/>
    <w:rsid w:val="006F4882"/>
    <w:rsid w:val="006F70EA"/>
    <w:rsid w:val="00701110"/>
    <w:rsid w:val="00702795"/>
    <w:rsid w:val="00702E91"/>
    <w:rsid w:val="0070324F"/>
    <w:rsid w:val="0070330F"/>
    <w:rsid w:val="00703624"/>
    <w:rsid w:val="00704437"/>
    <w:rsid w:val="007046ED"/>
    <w:rsid w:val="00705B21"/>
    <w:rsid w:val="007072A1"/>
    <w:rsid w:val="007108DF"/>
    <w:rsid w:val="00710BA6"/>
    <w:rsid w:val="00710BC5"/>
    <w:rsid w:val="00711382"/>
    <w:rsid w:val="007121CA"/>
    <w:rsid w:val="00713499"/>
    <w:rsid w:val="007140F4"/>
    <w:rsid w:val="00714419"/>
    <w:rsid w:val="0071550A"/>
    <w:rsid w:val="0072003B"/>
    <w:rsid w:val="00721059"/>
    <w:rsid w:val="007211E6"/>
    <w:rsid w:val="007220C4"/>
    <w:rsid w:val="00723183"/>
    <w:rsid w:val="0072357D"/>
    <w:rsid w:val="00723CE8"/>
    <w:rsid w:val="00724567"/>
    <w:rsid w:val="00725723"/>
    <w:rsid w:val="007259B3"/>
    <w:rsid w:val="00730492"/>
    <w:rsid w:val="00731107"/>
    <w:rsid w:val="00731DDE"/>
    <w:rsid w:val="00732361"/>
    <w:rsid w:val="007335AD"/>
    <w:rsid w:val="00733706"/>
    <w:rsid w:val="007337BA"/>
    <w:rsid w:val="0073549C"/>
    <w:rsid w:val="007357B9"/>
    <w:rsid w:val="00735DD1"/>
    <w:rsid w:val="00736040"/>
    <w:rsid w:val="00741AB9"/>
    <w:rsid w:val="00742D03"/>
    <w:rsid w:val="00744169"/>
    <w:rsid w:val="00744216"/>
    <w:rsid w:val="007452E8"/>
    <w:rsid w:val="00746990"/>
    <w:rsid w:val="00747093"/>
    <w:rsid w:val="00750D70"/>
    <w:rsid w:val="00752D4F"/>
    <w:rsid w:val="0075501A"/>
    <w:rsid w:val="007561F2"/>
    <w:rsid w:val="00756857"/>
    <w:rsid w:val="007575D0"/>
    <w:rsid w:val="007577CA"/>
    <w:rsid w:val="00764EE2"/>
    <w:rsid w:val="007662E0"/>
    <w:rsid w:val="007663F9"/>
    <w:rsid w:val="00766AD9"/>
    <w:rsid w:val="00772936"/>
    <w:rsid w:val="0077399C"/>
    <w:rsid w:val="00774575"/>
    <w:rsid w:val="00775F36"/>
    <w:rsid w:val="00776E9C"/>
    <w:rsid w:val="007778D8"/>
    <w:rsid w:val="007816D8"/>
    <w:rsid w:val="007834D2"/>
    <w:rsid w:val="00784150"/>
    <w:rsid w:val="007845A6"/>
    <w:rsid w:val="00784FCE"/>
    <w:rsid w:val="007869B5"/>
    <w:rsid w:val="00786C6C"/>
    <w:rsid w:val="00791408"/>
    <w:rsid w:val="00791581"/>
    <w:rsid w:val="00791DAA"/>
    <w:rsid w:val="00793272"/>
    <w:rsid w:val="0079499A"/>
    <w:rsid w:val="00794B64"/>
    <w:rsid w:val="0079516D"/>
    <w:rsid w:val="007967C3"/>
    <w:rsid w:val="007A0A33"/>
    <w:rsid w:val="007A0A99"/>
    <w:rsid w:val="007A2310"/>
    <w:rsid w:val="007A69C9"/>
    <w:rsid w:val="007B04DE"/>
    <w:rsid w:val="007B0AE6"/>
    <w:rsid w:val="007B750A"/>
    <w:rsid w:val="007C0BF0"/>
    <w:rsid w:val="007C0F0B"/>
    <w:rsid w:val="007C15BC"/>
    <w:rsid w:val="007C36C3"/>
    <w:rsid w:val="007C3FBD"/>
    <w:rsid w:val="007C4F26"/>
    <w:rsid w:val="007C57BC"/>
    <w:rsid w:val="007C6E57"/>
    <w:rsid w:val="007D022E"/>
    <w:rsid w:val="007D04CA"/>
    <w:rsid w:val="007D0922"/>
    <w:rsid w:val="007D0A2B"/>
    <w:rsid w:val="007D12A1"/>
    <w:rsid w:val="007D1784"/>
    <w:rsid w:val="007D1E2A"/>
    <w:rsid w:val="007D1E43"/>
    <w:rsid w:val="007D338B"/>
    <w:rsid w:val="007D3AA5"/>
    <w:rsid w:val="007D40E5"/>
    <w:rsid w:val="007D4138"/>
    <w:rsid w:val="007D460A"/>
    <w:rsid w:val="007E2CDF"/>
    <w:rsid w:val="007E4178"/>
    <w:rsid w:val="007E4CF0"/>
    <w:rsid w:val="007F0A77"/>
    <w:rsid w:val="007F0AA3"/>
    <w:rsid w:val="007F0C00"/>
    <w:rsid w:val="007F1AFB"/>
    <w:rsid w:val="007F1E37"/>
    <w:rsid w:val="007F4DD2"/>
    <w:rsid w:val="007F50D3"/>
    <w:rsid w:val="007F6374"/>
    <w:rsid w:val="007F6B1F"/>
    <w:rsid w:val="00800828"/>
    <w:rsid w:val="00801840"/>
    <w:rsid w:val="008020C5"/>
    <w:rsid w:val="00804897"/>
    <w:rsid w:val="00805881"/>
    <w:rsid w:val="008059FF"/>
    <w:rsid w:val="0080691B"/>
    <w:rsid w:val="00812860"/>
    <w:rsid w:val="0081325A"/>
    <w:rsid w:val="008160E8"/>
    <w:rsid w:val="00816BB1"/>
    <w:rsid w:val="0082067C"/>
    <w:rsid w:val="00820EB1"/>
    <w:rsid w:val="00821768"/>
    <w:rsid w:val="008225A2"/>
    <w:rsid w:val="008303BC"/>
    <w:rsid w:val="00830F13"/>
    <w:rsid w:val="008329DB"/>
    <w:rsid w:val="00835572"/>
    <w:rsid w:val="008361C5"/>
    <w:rsid w:val="0083628F"/>
    <w:rsid w:val="008376B5"/>
    <w:rsid w:val="00837AB9"/>
    <w:rsid w:val="00844463"/>
    <w:rsid w:val="008453DE"/>
    <w:rsid w:val="00847236"/>
    <w:rsid w:val="008503A5"/>
    <w:rsid w:val="00850637"/>
    <w:rsid w:val="00851743"/>
    <w:rsid w:val="00854218"/>
    <w:rsid w:val="00854C09"/>
    <w:rsid w:val="00854D98"/>
    <w:rsid w:val="0085751E"/>
    <w:rsid w:val="00860B29"/>
    <w:rsid w:val="00861832"/>
    <w:rsid w:val="008622E8"/>
    <w:rsid w:val="00863C6F"/>
    <w:rsid w:val="008645EE"/>
    <w:rsid w:val="00864C21"/>
    <w:rsid w:val="008652CD"/>
    <w:rsid w:val="008657C6"/>
    <w:rsid w:val="008667A1"/>
    <w:rsid w:val="00870144"/>
    <w:rsid w:val="008703A7"/>
    <w:rsid w:val="00870CDD"/>
    <w:rsid w:val="00873D7A"/>
    <w:rsid w:val="00874FCB"/>
    <w:rsid w:val="00875B07"/>
    <w:rsid w:val="00875C52"/>
    <w:rsid w:val="00877CB3"/>
    <w:rsid w:val="008804CF"/>
    <w:rsid w:val="00882997"/>
    <w:rsid w:val="00882D58"/>
    <w:rsid w:val="00882F19"/>
    <w:rsid w:val="00883D35"/>
    <w:rsid w:val="00884569"/>
    <w:rsid w:val="00884619"/>
    <w:rsid w:val="00885EF4"/>
    <w:rsid w:val="00887880"/>
    <w:rsid w:val="00887A51"/>
    <w:rsid w:val="00890D9B"/>
    <w:rsid w:val="0089175E"/>
    <w:rsid w:val="00891C6C"/>
    <w:rsid w:val="00893CCD"/>
    <w:rsid w:val="00894362"/>
    <w:rsid w:val="00894848"/>
    <w:rsid w:val="00896456"/>
    <w:rsid w:val="008964B3"/>
    <w:rsid w:val="00897696"/>
    <w:rsid w:val="008A1B1D"/>
    <w:rsid w:val="008A41CF"/>
    <w:rsid w:val="008A6DB0"/>
    <w:rsid w:val="008A6F8E"/>
    <w:rsid w:val="008B04C0"/>
    <w:rsid w:val="008B185B"/>
    <w:rsid w:val="008B1CB5"/>
    <w:rsid w:val="008B3D15"/>
    <w:rsid w:val="008C1439"/>
    <w:rsid w:val="008C163E"/>
    <w:rsid w:val="008C2D69"/>
    <w:rsid w:val="008C43B1"/>
    <w:rsid w:val="008C49C6"/>
    <w:rsid w:val="008C754C"/>
    <w:rsid w:val="008D0783"/>
    <w:rsid w:val="008D4E4E"/>
    <w:rsid w:val="008D56C9"/>
    <w:rsid w:val="008D6A54"/>
    <w:rsid w:val="008E0BFC"/>
    <w:rsid w:val="008E1C4E"/>
    <w:rsid w:val="008E2585"/>
    <w:rsid w:val="008E28B3"/>
    <w:rsid w:val="008E2D7A"/>
    <w:rsid w:val="008E2ECF"/>
    <w:rsid w:val="008E7648"/>
    <w:rsid w:val="008F1B82"/>
    <w:rsid w:val="008F2ADA"/>
    <w:rsid w:val="008F3215"/>
    <w:rsid w:val="008F3E36"/>
    <w:rsid w:val="008F4A62"/>
    <w:rsid w:val="008F6762"/>
    <w:rsid w:val="008F7032"/>
    <w:rsid w:val="008F71C6"/>
    <w:rsid w:val="008F7256"/>
    <w:rsid w:val="009028EB"/>
    <w:rsid w:val="0090296D"/>
    <w:rsid w:val="009039B7"/>
    <w:rsid w:val="0090424C"/>
    <w:rsid w:val="0090605E"/>
    <w:rsid w:val="00907D9C"/>
    <w:rsid w:val="009108CE"/>
    <w:rsid w:val="0091166A"/>
    <w:rsid w:val="00914876"/>
    <w:rsid w:val="00915A9F"/>
    <w:rsid w:val="00916246"/>
    <w:rsid w:val="00916328"/>
    <w:rsid w:val="00920F4D"/>
    <w:rsid w:val="0092298B"/>
    <w:rsid w:val="00922DFE"/>
    <w:rsid w:val="0092412D"/>
    <w:rsid w:val="00925A8A"/>
    <w:rsid w:val="009262E0"/>
    <w:rsid w:val="00926495"/>
    <w:rsid w:val="00930738"/>
    <w:rsid w:val="009307D7"/>
    <w:rsid w:val="00930D58"/>
    <w:rsid w:val="009352BB"/>
    <w:rsid w:val="00935AAA"/>
    <w:rsid w:val="00935CD6"/>
    <w:rsid w:val="00937DB5"/>
    <w:rsid w:val="0095031E"/>
    <w:rsid w:val="009510EC"/>
    <w:rsid w:val="00953FBE"/>
    <w:rsid w:val="00954297"/>
    <w:rsid w:val="0095641A"/>
    <w:rsid w:val="009571C7"/>
    <w:rsid w:val="00960A56"/>
    <w:rsid w:val="009643A6"/>
    <w:rsid w:val="00965B89"/>
    <w:rsid w:val="00966EF1"/>
    <w:rsid w:val="00967223"/>
    <w:rsid w:val="009751F7"/>
    <w:rsid w:val="00980569"/>
    <w:rsid w:val="00981509"/>
    <w:rsid w:val="009815A8"/>
    <w:rsid w:val="009834A6"/>
    <w:rsid w:val="0098350E"/>
    <w:rsid w:val="009848E9"/>
    <w:rsid w:val="009855A9"/>
    <w:rsid w:val="00990A6E"/>
    <w:rsid w:val="00992828"/>
    <w:rsid w:val="00992CB7"/>
    <w:rsid w:val="0099404F"/>
    <w:rsid w:val="009953A6"/>
    <w:rsid w:val="00996FA5"/>
    <w:rsid w:val="00997FA0"/>
    <w:rsid w:val="009A288F"/>
    <w:rsid w:val="009A61FA"/>
    <w:rsid w:val="009A6FF3"/>
    <w:rsid w:val="009A7C22"/>
    <w:rsid w:val="009B15E9"/>
    <w:rsid w:val="009B1AA8"/>
    <w:rsid w:val="009B5662"/>
    <w:rsid w:val="009C2211"/>
    <w:rsid w:val="009C40E8"/>
    <w:rsid w:val="009C4575"/>
    <w:rsid w:val="009C45C5"/>
    <w:rsid w:val="009C47AB"/>
    <w:rsid w:val="009D0F28"/>
    <w:rsid w:val="009D2FCB"/>
    <w:rsid w:val="009E3087"/>
    <w:rsid w:val="009E318B"/>
    <w:rsid w:val="009E5ABD"/>
    <w:rsid w:val="009E6858"/>
    <w:rsid w:val="009E6F8C"/>
    <w:rsid w:val="009F081E"/>
    <w:rsid w:val="009F0947"/>
    <w:rsid w:val="009F140A"/>
    <w:rsid w:val="009F405F"/>
    <w:rsid w:val="009F71DB"/>
    <w:rsid w:val="00A01C56"/>
    <w:rsid w:val="00A1102B"/>
    <w:rsid w:val="00A11466"/>
    <w:rsid w:val="00A175F6"/>
    <w:rsid w:val="00A21088"/>
    <w:rsid w:val="00A23819"/>
    <w:rsid w:val="00A26201"/>
    <w:rsid w:val="00A30451"/>
    <w:rsid w:val="00A32257"/>
    <w:rsid w:val="00A32C50"/>
    <w:rsid w:val="00A3325B"/>
    <w:rsid w:val="00A352CB"/>
    <w:rsid w:val="00A355EC"/>
    <w:rsid w:val="00A358E7"/>
    <w:rsid w:val="00A35B52"/>
    <w:rsid w:val="00A4224B"/>
    <w:rsid w:val="00A428F4"/>
    <w:rsid w:val="00A4380B"/>
    <w:rsid w:val="00A43A73"/>
    <w:rsid w:val="00A44FFF"/>
    <w:rsid w:val="00A45B28"/>
    <w:rsid w:val="00A467DC"/>
    <w:rsid w:val="00A47468"/>
    <w:rsid w:val="00A4776F"/>
    <w:rsid w:val="00A47CD1"/>
    <w:rsid w:val="00A50195"/>
    <w:rsid w:val="00A516E4"/>
    <w:rsid w:val="00A519F2"/>
    <w:rsid w:val="00A51A2D"/>
    <w:rsid w:val="00A52F08"/>
    <w:rsid w:val="00A53430"/>
    <w:rsid w:val="00A53505"/>
    <w:rsid w:val="00A55732"/>
    <w:rsid w:val="00A5596B"/>
    <w:rsid w:val="00A63C07"/>
    <w:rsid w:val="00A63D9B"/>
    <w:rsid w:val="00A704DC"/>
    <w:rsid w:val="00A7131B"/>
    <w:rsid w:val="00A74AA1"/>
    <w:rsid w:val="00A7759B"/>
    <w:rsid w:val="00A81743"/>
    <w:rsid w:val="00A82A0E"/>
    <w:rsid w:val="00A82A39"/>
    <w:rsid w:val="00A82BD4"/>
    <w:rsid w:val="00A83490"/>
    <w:rsid w:val="00A86251"/>
    <w:rsid w:val="00A91E5B"/>
    <w:rsid w:val="00A91EF9"/>
    <w:rsid w:val="00A91EFB"/>
    <w:rsid w:val="00A93DC6"/>
    <w:rsid w:val="00A9411A"/>
    <w:rsid w:val="00A94704"/>
    <w:rsid w:val="00A94DB0"/>
    <w:rsid w:val="00A953BF"/>
    <w:rsid w:val="00A9756F"/>
    <w:rsid w:val="00AA09EF"/>
    <w:rsid w:val="00AA1098"/>
    <w:rsid w:val="00AA37FE"/>
    <w:rsid w:val="00AA4A4B"/>
    <w:rsid w:val="00AA6455"/>
    <w:rsid w:val="00AA6682"/>
    <w:rsid w:val="00AB0319"/>
    <w:rsid w:val="00AB0613"/>
    <w:rsid w:val="00AB2CF0"/>
    <w:rsid w:val="00AB4E2C"/>
    <w:rsid w:val="00AB5029"/>
    <w:rsid w:val="00AB5912"/>
    <w:rsid w:val="00AB6BE2"/>
    <w:rsid w:val="00AB76D0"/>
    <w:rsid w:val="00AB7C5C"/>
    <w:rsid w:val="00AB7CBF"/>
    <w:rsid w:val="00AC1307"/>
    <w:rsid w:val="00AC1DFE"/>
    <w:rsid w:val="00AC3178"/>
    <w:rsid w:val="00AC4DC2"/>
    <w:rsid w:val="00AD0111"/>
    <w:rsid w:val="00AD10DF"/>
    <w:rsid w:val="00AD31F7"/>
    <w:rsid w:val="00AD4C72"/>
    <w:rsid w:val="00AD5451"/>
    <w:rsid w:val="00AE1947"/>
    <w:rsid w:val="00AE1F83"/>
    <w:rsid w:val="00AE26A2"/>
    <w:rsid w:val="00AE48B9"/>
    <w:rsid w:val="00AE6289"/>
    <w:rsid w:val="00AE7252"/>
    <w:rsid w:val="00AF040E"/>
    <w:rsid w:val="00AF07BA"/>
    <w:rsid w:val="00AF1029"/>
    <w:rsid w:val="00AF1C8B"/>
    <w:rsid w:val="00AF299B"/>
    <w:rsid w:val="00AF4A51"/>
    <w:rsid w:val="00AF4F6F"/>
    <w:rsid w:val="00AF75C4"/>
    <w:rsid w:val="00AF7E43"/>
    <w:rsid w:val="00B0207C"/>
    <w:rsid w:val="00B02AE0"/>
    <w:rsid w:val="00B02F08"/>
    <w:rsid w:val="00B05326"/>
    <w:rsid w:val="00B07167"/>
    <w:rsid w:val="00B07754"/>
    <w:rsid w:val="00B07B1F"/>
    <w:rsid w:val="00B11B0D"/>
    <w:rsid w:val="00B12F78"/>
    <w:rsid w:val="00B14545"/>
    <w:rsid w:val="00B14E60"/>
    <w:rsid w:val="00B17BA2"/>
    <w:rsid w:val="00B200BF"/>
    <w:rsid w:val="00B2092F"/>
    <w:rsid w:val="00B25F64"/>
    <w:rsid w:val="00B25FDD"/>
    <w:rsid w:val="00B264CE"/>
    <w:rsid w:val="00B26DC3"/>
    <w:rsid w:val="00B27E25"/>
    <w:rsid w:val="00B30B9D"/>
    <w:rsid w:val="00B318E2"/>
    <w:rsid w:val="00B3529C"/>
    <w:rsid w:val="00B40DFC"/>
    <w:rsid w:val="00B41565"/>
    <w:rsid w:val="00B445FE"/>
    <w:rsid w:val="00B4574D"/>
    <w:rsid w:val="00B468E1"/>
    <w:rsid w:val="00B46AD8"/>
    <w:rsid w:val="00B46BC0"/>
    <w:rsid w:val="00B46DFB"/>
    <w:rsid w:val="00B5097C"/>
    <w:rsid w:val="00B5141B"/>
    <w:rsid w:val="00B5358E"/>
    <w:rsid w:val="00B535E9"/>
    <w:rsid w:val="00B55681"/>
    <w:rsid w:val="00B57560"/>
    <w:rsid w:val="00B57AAD"/>
    <w:rsid w:val="00B602BF"/>
    <w:rsid w:val="00B61D5D"/>
    <w:rsid w:val="00B61ECE"/>
    <w:rsid w:val="00B62F76"/>
    <w:rsid w:val="00B634A2"/>
    <w:rsid w:val="00B67B23"/>
    <w:rsid w:val="00B67B40"/>
    <w:rsid w:val="00B7025F"/>
    <w:rsid w:val="00B72B16"/>
    <w:rsid w:val="00B775F8"/>
    <w:rsid w:val="00B80408"/>
    <w:rsid w:val="00B810AD"/>
    <w:rsid w:val="00B81397"/>
    <w:rsid w:val="00B84281"/>
    <w:rsid w:val="00B904CB"/>
    <w:rsid w:val="00B91C59"/>
    <w:rsid w:val="00B925DB"/>
    <w:rsid w:val="00B953DB"/>
    <w:rsid w:val="00B967FF"/>
    <w:rsid w:val="00B974B9"/>
    <w:rsid w:val="00BA3F6D"/>
    <w:rsid w:val="00BA4BE6"/>
    <w:rsid w:val="00BA4FC0"/>
    <w:rsid w:val="00BA61E0"/>
    <w:rsid w:val="00BA7F7D"/>
    <w:rsid w:val="00BB1C14"/>
    <w:rsid w:val="00BB6847"/>
    <w:rsid w:val="00BB7F8F"/>
    <w:rsid w:val="00BC199E"/>
    <w:rsid w:val="00BC1E90"/>
    <w:rsid w:val="00BC45C1"/>
    <w:rsid w:val="00BC48C3"/>
    <w:rsid w:val="00BC5D86"/>
    <w:rsid w:val="00BC716A"/>
    <w:rsid w:val="00BC7524"/>
    <w:rsid w:val="00BD07DF"/>
    <w:rsid w:val="00BD0A3F"/>
    <w:rsid w:val="00BD0C6A"/>
    <w:rsid w:val="00BD1216"/>
    <w:rsid w:val="00BD26F4"/>
    <w:rsid w:val="00BD4B26"/>
    <w:rsid w:val="00BD4B9A"/>
    <w:rsid w:val="00BD5DBD"/>
    <w:rsid w:val="00BD5DF6"/>
    <w:rsid w:val="00BD6E57"/>
    <w:rsid w:val="00BE0041"/>
    <w:rsid w:val="00BE42B8"/>
    <w:rsid w:val="00BE640F"/>
    <w:rsid w:val="00BF0542"/>
    <w:rsid w:val="00BF0FE6"/>
    <w:rsid w:val="00BF2ECC"/>
    <w:rsid w:val="00BF3185"/>
    <w:rsid w:val="00BF41D7"/>
    <w:rsid w:val="00BF4638"/>
    <w:rsid w:val="00BF72FF"/>
    <w:rsid w:val="00C04291"/>
    <w:rsid w:val="00C059D0"/>
    <w:rsid w:val="00C07551"/>
    <w:rsid w:val="00C1109F"/>
    <w:rsid w:val="00C12D65"/>
    <w:rsid w:val="00C12D95"/>
    <w:rsid w:val="00C133AB"/>
    <w:rsid w:val="00C135F9"/>
    <w:rsid w:val="00C14365"/>
    <w:rsid w:val="00C14F6E"/>
    <w:rsid w:val="00C172B5"/>
    <w:rsid w:val="00C20B56"/>
    <w:rsid w:val="00C22214"/>
    <w:rsid w:val="00C26A13"/>
    <w:rsid w:val="00C26F72"/>
    <w:rsid w:val="00C309A7"/>
    <w:rsid w:val="00C335AB"/>
    <w:rsid w:val="00C34105"/>
    <w:rsid w:val="00C3477A"/>
    <w:rsid w:val="00C407AB"/>
    <w:rsid w:val="00C4191D"/>
    <w:rsid w:val="00C4518B"/>
    <w:rsid w:val="00C45762"/>
    <w:rsid w:val="00C4724E"/>
    <w:rsid w:val="00C5056E"/>
    <w:rsid w:val="00C51CB2"/>
    <w:rsid w:val="00C52B7B"/>
    <w:rsid w:val="00C52F26"/>
    <w:rsid w:val="00C5396A"/>
    <w:rsid w:val="00C547CD"/>
    <w:rsid w:val="00C559F5"/>
    <w:rsid w:val="00C55A02"/>
    <w:rsid w:val="00C570FF"/>
    <w:rsid w:val="00C57CEA"/>
    <w:rsid w:val="00C603EE"/>
    <w:rsid w:val="00C60FEC"/>
    <w:rsid w:val="00C61BF5"/>
    <w:rsid w:val="00C621AA"/>
    <w:rsid w:val="00C64C5D"/>
    <w:rsid w:val="00C6574E"/>
    <w:rsid w:val="00C66989"/>
    <w:rsid w:val="00C707FD"/>
    <w:rsid w:val="00C76DEB"/>
    <w:rsid w:val="00C76EBC"/>
    <w:rsid w:val="00C77402"/>
    <w:rsid w:val="00C816C6"/>
    <w:rsid w:val="00C863A7"/>
    <w:rsid w:val="00C86A45"/>
    <w:rsid w:val="00C90A62"/>
    <w:rsid w:val="00C912F4"/>
    <w:rsid w:val="00C9156F"/>
    <w:rsid w:val="00C934CE"/>
    <w:rsid w:val="00C9581A"/>
    <w:rsid w:val="00C97D29"/>
    <w:rsid w:val="00CA0D53"/>
    <w:rsid w:val="00CA6B3F"/>
    <w:rsid w:val="00CA78CD"/>
    <w:rsid w:val="00CB0550"/>
    <w:rsid w:val="00CB11D4"/>
    <w:rsid w:val="00CB1C6E"/>
    <w:rsid w:val="00CB6813"/>
    <w:rsid w:val="00CC047F"/>
    <w:rsid w:val="00CC0B16"/>
    <w:rsid w:val="00CC3FB3"/>
    <w:rsid w:val="00CC5C8B"/>
    <w:rsid w:val="00CC6F4D"/>
    <w:rsid w:val="00CD5DA6"/>
    <w:rsid w:val="00CD6105"/>
    <w:rsid w:val="00CE0FF5"/>
    <w:rsid w:val="00CE7071"/>
    <w:rsid w:val="00CF0FC9"/>
    <w:rsid w:val="00CF2907"/>
    <w:rsid w:val="00CF6998"/>
    <w:rsid w:val="00CF6A55"/>
    <w:rsid w:val="00CF6DC6"/>
    <w:rsid w:val="00CF6DCF"/>
    <w:rsid w:val="00D002E3"/>
    <w:rsid w:val="00D01DDB"/>
    <w:rsid w:val="00D0222D"/>
    <w:rsid w:val="00D02716"/>
    <w:rsid w:val="00D0778E"/>
    <w:rsid w:val="00D078BE"/>
    <w:rsid w:val="00D10F37"/>
    <w:rsid w:val="00D129F5"/>
    <w:rsid w:val="00D13F8A"/>
    <w:rsid w:val="00D16F60"/>
    <w:rsid w:val="00D1725A"/>
    <w:rsid w:val="00D17B68"/>
    <w:rsid w:val="00D2130B"/>
    <w:rsid w:val="00D22981"/>
    <w:rsid w:val="00D22AB9"/>
    <w:rsid w:val="00D23769"/>
    <w:rsid w:val="00D269D5"/>
    <w:rsid w:val="00D27F19"/>
    <w:rsid w:val="00D3349B"/>
    <w:rsid w:val="00D33BBD"/>
    <w:rsid w:val="00D343CE"/>
    <w:rsid w:val="00D36C75"/>
    <w:rsid w:val="00D407EC"/>
    <w:rsid w:val="00D40D19"/>
    <w:rsid w:val="00D424A8"/>
    <w:rsid w:val="00D47C8F"/>
    <w:rsid w:val="00D524BA"/>
    <w:rsid w:val="00D524EF"/>
    <w:rsid w:val="00D539C2"/>
    <w:rsid w:val="00D6036F"/>
    <w:rsid w:val="00D61F29"/>
    <w:rsid w:val="00D62877"/>
    <w:rsid w:val="00D63760"/>
    <w:rsid w:val="00D63F73"/>
    <w:rsid w:val="00D65AD2"/>
    <w:rsid w:val="00D6703F"/>
    <w:rsid w:val="00D67253"/>
    <w:rsid w:val="00D726E4"/>
    <w:rsid w:val="00D734EB"/>
    <w:rsid w:val="00D741D3"/>
    <w:rsid w:val="00D76CB7"/>
    <w:rsid w:val="00D801DD"/>
    <w:rsid w:val="00D809B5"/>
    <w:rsid w:val="00D80F58"/>
    <w:rsid w:val="00D823BC"/>
    <w:rsid w:val="00D82713"/>
    <w:rsid w:val="00D828E6"/>
    <w:rsid w:val="00D86F00"/>
    <w:rsid w:val="00D91122"/>
    <w:rsid w:val="00D91532"/>
    <w:rsid w:val="00D918D5"/>
    <w:rsid w:val="00D93E8D"/>
    <w:rsid w:val="00D94C8E"/>
    <w:rsid w:val="00D950B7"/>
    <w:rsid w:val="00DA1D45"/>
    <w:rsid w:val="00DA241D"/>
    <w:rsid w:val="00DA4F29"/>
    <w:rsid w:val="00DA5D0E"/>
    <w:rsid w:val="00DB1372"/>
    <w:rsid w:val="00DB192C"/>
    <w:rsid w:val="00DB1CF3"/>
    <w:rsid w:val="00DB5425"/>
    <w:rsid w:val="00DB5DF1"/>
    <w:rsid w:val="00DB72A6"/>
    <w:rsid w:val="00DB7AA5"/>
    <w:rsid w:val="00DC4AF3"/>
    <w:rsid w:val="00DC6611"/>
    <w:rsid w:val="00DC679C"/>
    <w:rsid w:val="00DD00A1"/>
    <w:rsid w:val="00DD0445"/>
    <w:rsid w:val="00DD3CAA"/>
    <w:rsid w:val="00DD42E0"/>
    <w:rsid w:val="00DE1344"/>
    <w:rsid w:val="00DE309D"/>
    <w:rsid w:val="00DE5E61"/>
    <w:rsid w:val="00DF1D40"/>
    <w:rsid w:val="00DF2922"/>
    <w:rsid w:val="00DF400D"/>
    <w:rsid w:val="00DF5A65"/>
    <w:rsid w:val="00DF5BFE"/>
    <w:rsid w:val="00E02C1F"/>
    <w:rsid w:val="00E0523F"/>
    <w:rsid w:val="00E05DCA"/>
    <w:rsid w:val="00E0605F"/>
    <w:rsid w:val="00E10CEA"/>
    <w:rsid w:val="00E12F19"/>
    <w:rsid w:val="00E1496D"/>
    <w:rsid w:val="00E15FF4"/>
    <w:rsid w:val="00E20ADD"/>
    <w:rsid w:val="00E22523"/>
    <w:rsid w:val="00E23872"/>
    <w:rsid w:val="00E23E50"/>
    <w:rsid w:val="00E26213"/>
    <w:rsid w:val="00E274DF"/>
    <w:rsid w:val="00E3419C"/>
    <w:rsid w:val="00E344B1"/>
    <w:rsid w:val="00E34D66"/>
    <w:rsid w:val="00E362C4"/>
    <w:rsid w:val="00E4139B"/>
    <w:rsid w:val="00E454B9"/>
    <w:rsid w:val="00E46CC2"/>
    <w:rsid w:val="00E47E0C"/>
    <w:rsid w:val="00E51813"/>
    <w:rsid w:val="00E52C0B"/>
    <w:rsid w:val="00E53711"/>
    <w:rsid w:val="00E53BFC"/>
    <w:rsid w:val="00E53D3F"/>
    <w:rsid w:val="00E5579B"/>
    <w:rsid w:val="00E55DE3"/>
    <w:rsid w:val="00E57FF4"/>
    <w:rsid w:val="00E6138E"/>
    <w:rsid w:val="00E616E2"/>
    <w:rsid w:val="00E624BE"/>
    <w:rsid w:val="00E624C8"/>
    <w:rsid w:val="00E64B4E"/>
    <w:rsid w:val="00E664C6"/>
    <w:rsid w:val="00E66691"/>
    <w:rsid w:val="00E66B8E"/>
    <w:rsid w:val="00E6703C"/>
    <w:rsid w:val="00E672B1"/>
    <w:rsid w:val="00E679D1"/>
    <w:rsid w:val="00E67C1C"/>
    <w:rsid w:val="00E70F77"/>
    <w:rsid w:val="00E769EB"/>
    <w:rsid w:val="00E778D1"/>
    <w:rsid w:val="00E77D4C"/>
    <w:rsid w:val="00E85411"/>
    <w:rsid w:val="00E85FAE"/>
    <w:rsid w:val="00E879A3"/>
    <w:rsid w:val="00E91928"/>
    <w:rsid w:val="00E91F11"/>
    <w:rsid w:val="00E96D24"/>
    <w:rsid w:val="00E9706D"/>
    <w:rsid w:val="00E975A5"/>
    <w:rsid w:val="00EA3AF4"/>
    <w:rsid w:val="00EA484D"/>
    <w:rsid w:val="00EA54F9"/>
    <w:rsid w:val="00EA78DC"/>
    <w:rsid w:val="00EA7B16"/>
    <w:rsid w:val="00EB54A2"/>
    <w:rsid w:val="00EB573C"/>
    <w:rsid w:val="00EB6E44"/>
    <w:rsid w:val="00EC0EAC"/>
    <w:rsid w:val="00EC14D5"/>
    <w:rsid w:val="00EC195D"/>
    <w:rsid w:val="00EC1A7B"/>
    <w:rsid w:val="00EC38A6"/>
    <w:rsid w:val="00EC4899"/>
    <w:rsid w:val="00EC4AB9"/>
    <w:rsid w:val="00ED0E7F"/>
    <w:rsid w:val="00ED2FCA"/>
    <w:rsid w:val="00ED5A1E"/>
    <w:rsid w:val="00EE5101"/>
    <w:rsid w:val="00EE6932"/>
    <w:rsid w:val="00EF0EB7"/>
    <w:rsid w:val="00EF3F0B"/>
    <w:rsid w:val="00EF4B8F"/>
    <w:rsid w:val="00EF5583"/>
    <w:rsid w:val="00EF5CF0"/>
    <w:rsid w:val="00EF60F9"/>
    <w:rsid w:val="00EF6753"/>
    <w:rsid w:val="00F00AE2"/>
    <w:rsid w:val="00F0289D"/>
    <w:rsid w:val="00F02AEC"/>
    <w:rsid w:val="00F055E0"/>
    <w:rsid w:val="00F06B02"/>
    <w:rsid w:val="00F071BD"/>
    <w:rsid w:val="00F07572"/>
    <w:rsid w:val="00F07E81"/>
    <w:rsid w:val="00F157FC"/>
    <w:rsid w:val="00F17EDA"/>
    <w:rsid w:val="00F216F1"/>
    <w:rsid w:val="00F248A5"/>
    <w:rsid w:val="00F25074"/>
    <w:rsid w:val="00F30200"/>
    <w:rsid w:val="00F3072E"/>
    <w:rsid w:val="00F30AF3"/>
    <w:rsid w:val="00F32C6C"/>
    <w:rsid w:val="00F35180"/>
    <w:rsid w:val="00F40B67"/>
    <w:rsid w:val="00F439D5"/>
    <w:rsid w:val="00F43CD1"/>
    <w:rsid w:val="00F450C0"/>
    <w:rsid w:val="00F45AE0"/>
    <w:rsid w:val="00F47DA5"/>
    <w:rsid w:val="00F543ED"/>
    <w:rsid w:val="00F54501"/>
    <w:rsid w:val="00F55D3B"/>
    <w:rsid w:val="00F60CF2"/>
    <w:rsid w:val="00F6142D"/>
    <w:rsid w:val="00F619F3"/>
    <w:rsid w:val="00F63A77"/>
    <w:rsid w:val="00F63CF5"/>
    <w:rsid w:val="00F64D17"/>
    <w:rsid w:val="00F657B4"/>
    <w:rsid w:val="00F665D5"/>
    <w:rsid w:val="00F674EF"/>
    <w:rsid w:val="00F7261C"/>
    <w:rsid w:val="00F72A45"/>
    <w:rsid w:val="00F7440B"/>
    <w:rsid w:val="00F74BF5"/>
    <w:rsid w:val="00F7649F"/>
    <w:rsid w:val="00F77184"/>
    <w:rsid w:val="00F8083B"/>
    <w:rsid w:val="00F83AC7"/>
    <w:rsid w:val="00F85EAE"/>
    <w:rsid w:val="00F865A7"/>
    <w:rsid w:val="00F901E0"/>
    <w:rsid w:val="00F9533E"/>
    <w:rsid w:val="00F95415"/>
    <w:rsid w:val="00F9561F"/>
    <w:rsid w:val="00F96D4B"/>
    <w:rsid w:val="00FA0754"/>
    <w:rsid w:val="00FA1BC9"/>
    <w:rsid w:val="00FA2A11"/>
    <w:rsid w:val="00FA3288"/>
    <w:rsid w:val="00FA43DC"/>
    <w:rsid w:val="00FA49C3"/>
    <w:rsid w:val="00FA5671"/>
    <w:rsid w:val="00FA5FC8"/>
    <w:rsid w:val="00FB236E"/>
    <w:rsid w:val="00FB25B9"/>
    <w:rsid w:val="00FB2610"/>
    <w:rsid w:val="00FB3F7B"/>
    <w:rsid w:val="00FB4235"/>
    <w:rsid w:val="00FB4C2A"/>
    <w:rsid w:val="00FB6EC3"/>
    <w:rsid w:val="00FB7B67"/>
    <w:rsid w:val="00FC2107"/>
    <w:rsid w:val="00FC48FE"/>
    <w:rsid w:val="00FC6EED"/>
    <w:rsid w:val="00FC6F56"/>
    <w:rsid w:val="00FC77B2"/>
    <w:rsid w:val="00FC7B9A"/>
    <w:rsid w:val="00FD4191"/>
    <w:rsid w:val="00FD528B"/>
    <w:rsid w:val="00FD59DB"/>
    <w:rsid w:val="00FD5B21"/>
    <w:rsid w:val="00FE087C"/>
    <w:rsid w:val="00FE2F00"/>
    <w:rsid w:val="00FE79A0"/>
    <w:rsid w:val="00FF0939"/>
    <w:rsid w:val="00FF5D52"/>
    <w:rsid w:val="00FF6CD3"/>
    <w:rsid w:val="42BF5DC3"/>
    <w:rsid w:val="6EF76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D4339E6F-6BF4-45D4-8345-6AC026EBD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ED8"/>
    <w:rPr>
      <w:rFonts w:ascii="Cambria" w:hAnsi="Cambria"/>
      <w:sz w:val="22"/>
    </w:rPr>
  </w:style>
  <w:style w:type="paragraph" w:styleId="Heading1">
    <w:name w:val="heading 1"/>
    <w:basedOn w:val="Normal"/>
    <w:link w:val="Heading1Char"/>
    <w:uiPriority w:val="9"/>
    <w:qFormat/>
    <w:rsid w:val="00221078"/>
    <w:pPr>
      <w:widowControl w:val="0"/>
      <w:autoSpaceDE w:val="0"/>
      <w:autoSpaceDN w:val="0"/>
      <w:spacing w:after="0" w:line="240" w:lineRule="auto"/>
      <w:ind w:left="120"/>
      <w:outlineLvl w:val="0"/>
    </w:pPr>
    <w:rPr>
      <w:rFonts w:ascii="Arial" w:eastAsia="Arial" w:hAnsi="Arial" w:cs="Arial"/>
      <w:b/>
      <w:bCs/>
      <w:sz w:val="32"/>
      <w:szCs w:val="32"/>
      <w:lang w:val="en-US"/>
    </w:rPr>
  </w:style>
  <w:style w:type="paragraph" w:styleId="Heading2">
    <w:name w:val="heading 2"/>
    <w:basedOn w:val="Normal"/>
    <w:next w:val="Normal"/>
    <w:link w:val="Heading2Char"/>
    <w:uiPriority w:val="9"/>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uiPriority w:val="9"/>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C135F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ind w:left="360"/>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39"/>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9D2FCB"/>
    <w:pPr>
      <w:autoSpaceDE w:val="0"/>
      <w:autoSpaceDN w:val="0"/>
      <w:adjustRightInd w:val="0"/>
      <w:spacing w:after="0" w:line="240" w:lineRule="auto"/>
    </w:pPr>
    <w:rPr>
      <w:rFonts w:ascii="Cambria" w:hAnsi="Cambria" w:cs="Cambria"/>
      <w:color w:val="000000"/>
      <w:sz w:val="24"/>
      <w:szCs w:val="24"/>
    </w:rPr>
  </w:style>
  <w:style w:type="table" w:customStyle="1" w:styleId="TableTGAblue1">
    <w:name w:val="Table TGA blue1"/>
    <w:basedOn w:val="TableNormal"/>
    <w:uiPriority w:val="99"/>
    <w:qFormat/>
    <w:rsid w:val="005D1F45"/>
    <w:pPr>
      <w:spacing w:after="0" w:line="240" w:lineRule="auto"/>
      <w:ind w:left="170" w:right="170"/>
    </w:pPr>
    <w:rPr>
      <w:rFonts w:ascii="Cambria" w:hAnsi="Cambria" w:cs="Times New Roman"/>
      <w:color w:val="000000"/>
      <w:sz w:val="22"/>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9307D7"/>
    <w:pPr>
      <w:spacing w:after="0" w:line="240" w:lineRule="auto"/>
      <w:ind w:left="170" w:right="170"/>
    </w:pPr>
    <w:rPr>
      <w:rFonts w:ascii="Cambria" w:hAnsi="Cambria" w:cs="Times New Roman"/>
      <w:color w:val="000000"/>
      <w:sz w:val="22"/>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character" w:customStyle="1" w:styleId="Heading1Char">
    <w:name w:val="Heading 1 Char"/>
    <w:basedOn w:val="DefaultParagraphFont"/>
    <w:link w:val="Heading1"/>
    <w:uiPriority w:val="9"/>
    <w:rsid w:val="00221078"/>
    <w:rPr>
      <w:rFonts w:ascii="Arial" w:eastAsia="Arial" w:hAnsi="Arial" w:cs="Arial"/>
      <w:b/>
      <w:bCs/>
      <w:sz w:val="32"/>
      <w:szCs w:val="32"/>
      <w:lang w:val="en-US"/>
    </w:rPr>
  </w:style>
  <w:style w:type="paragraph" w:styleId="BodyText">
    <w:name w:val="Body Text"/>
    <w:basedOn w:val="Normal"/>
    <w:link w:val="BodyTextChar"/>
    <w:uiPriority w:val="1"/>
    <w:qFormat/>
    <w:rsid w:val="00221078"/>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221078"/>
    <w:rPr>
      <w:rFonts w:ascii="Cambria" w:eastAsia="Cambria" w:hAnsi="Cambria" w:cs="Cambria"/>
      <w:sz w:val="22"/>
      <w:szCs w:val="22"/>
      <w:lang w:val="en-US"/>
    </w:rPr>
  </w:style>
  <w:style w:type="paragraph" w:customStyle="1" w:styleId="TableParagraph">
    <w:name w:val="Table Paragraph"/>
    <w:basedOn w:val="Normal"/>
    <w:uiPriority w:val="1"/>
    <w:qFormat/>
    <w:rsid w:val="00221078"/>
    <w:pPr>
      <w:widowControl w:val="0"/>
      <w:autoSpaceDE w:val="0"/>
      <w:autoSpaceDN w:val="0"/>
      <w:spacing w:before="122" w:after="0" w:line="240" w:lineRule="auto"/>
      <w:ind w:left="107"/>
    </w:pPr>
    <w:rPr>
      <w:rFonts w:eastAsia="Cambria" w:cs="Cambria"/>
      <w:szCs w:val="22"/>
      <w:lang w:val="en-US"/>
    </w:rPr>
  </w:style>
  <w:style w:type="character" w:styleId="Mention">
    <w:name w:val="Mention"/>
    <w:basedOn w:val="DefaultParagraphFont"/>
    <w:uiPriority w:val="99"/>
    <w:unhideWhenUsed/>
    <w:rsid w:val="006D22C2"/>
    <w:rPr>
      <w:color w:val="2B579A"/>
      <w:shd w:val="clear" w:color="auto" w:fill="E1DFDD"/>
    </w:rPr>
  </w:style>
  <w:style w:type="character" w:customStyle="1" w:styleId="Heading7Char">
    <w:name w:val="Heading 7 Char"/>
    <w:basedOn w:val="DefaultParagraphFont"/>
    <w:link w:val="Heading7"/>
    <w:uiPriority w:val="9"/>
    <w:rsid w:val="00C135F9"/>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DF29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s/australian-register-therapeutic-goods-artg" TargetMode="External"/><Relationship Id="rId18" Type="http://schemas.openxmlformats.org/officeDocument/2006/relationships/hyperlink" Target="https://www.tga.gov.au/picmi-search-facility" TargetMode="External"/><Relationship Id="rId26" Type="http://schemas.openxmlformats.org/officeDocument/2006/relationships/image" Target="media/image8.jpeg"/><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styles" Target="styles.xml"/><Relationship Id="rId21" Type="http://schemas.openxmlformats.org/officeDocument/2006/relationships/hyperlink" Target="https://www.tga.gov.au/products/australian-register-therapeutic-goods-artg" TargetMode="External"/><Relationship Id="rId34" Type="http://schemas.openxmlformats.org/officeDocument/2006/relationships/hyperlink" Target="https://www.tga.gov.au/resources/resource/guidance/risk-management-plans-medicines-and-biologicals/australia-specific-annex-eu-rmp" TargetMode="External"/><Relationship Id="rId42" Type="http://schemas.openxmlformats.org/officeDocument/2006/relationships/hyperlink" Target="https://www.tga.gov.au/picmi-search-facility"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black-triangle-scheme" TargetMode="External"/><Relationship Id="rId25" Type="http://schemas.openxmlformats.org/officeDocument/2006/relationships/image" Target="media/image7.jpeg"/><Relationship Id="rId33" Type="http://schemas.openxmlformats.org/officeDocument/2006/relationships/hyperlink" Target="https://www.tga.gov.au/tgas-risk-management-approach" TargetMode="External"/><Relationship Id="rId38" Type="http://schemas.openxmlformats.org/officeDocument/2006/relationships/hyperlink" Target="https://www.tga.gov.au/committee/advisory-committee-medicines-acm" TargetMode="External"/><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rescription-medicines-registration-new-chemical-entities-australia" TargetMode="External"/><Relationship Id="rId20" Type="http://schemas.openxmlformats.org/officeDocument/2006/relationships/hyperlink" Target="https://www.tga.gov.au/products/australian-register-therapeutic-goods-artg" TargetMode="External"/><Relationship Id="rId29" Type="http://schemas.openxmlformats.org/officeDocument/2006/relationships/image" Target="media/image11.png"/><Relationship Id="rId41" Type="http://schemas.openxmlformats.org/officeDocument/2006/relationships/hyperlink" Target="https://www.tga.gov.au/products/australian-register-therapeutic-goods-artg/consumer-medicines-information-c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yperlink" Target="https://www.tga.gov.au/publication/risk-management-plans-medicines-and-biologicals" TargetMode="External"/><Relationship Id="rId37" Type="http://schemas.openxmlformats.org/officeDocument/2006/relationships/hyperlink" Target="https://www.tga.gov.au/committee/advisory-committee-medicines-acm" TargetMode="External"/><Relationship Id="rId40" Type="http://schemas.openxmlformats.org/officeDocument/2006/relationships/hyperlink" Target="https://www.tga.gov.au/products/australian-register-therapeutic-goods-artg/product-information-one" TargetMode="External"/><Relationship Id="rId45"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mailto:tga.copyright@tga.gov.au"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ga.gov.au/products/australian-register-therapeutic-goods-artg/consumer-medicines-information-cmi" TargetMode="External"/><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australian-public-assessment-report-auspar-guidance"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tga.gov.au/resources/resource/guidance/risk-management-plans-medicines-and-biologicals/australia-specific-annex-eu-rmp" TargetMode="External"/><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header" Target="header1.xml"/><Relationship Id="rId51" Type="http://schemas.microsoft.com/office/2020/10/relationships/intelligence" Target="intelligence2.xml"/></Relationships>
</file>

<file path=word/_rels/footnotes.xml.rels><?xml version="1.0" encoding="UTF-8" standalone="yes"?>
<Relationships xmlns="http://schemas.openxmlformats.org/package/2006/relationships"><Relationship Id="rId1" Type="http://schemas.openxmlformats.org/officeDocument/2006/relationships/hyperlink" Target="http://www.atsdr.cdc.gov/ToxProfiles/tp150.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42</Pages>
  <Words>15598</Words>
  <Characters>88912</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Australian public assessment report for Vyalev</vt:lpstr>
    </vt:vector>
  </TitlesOfParts>
  <Company>Department of Health and Aged Care</Company>
  <LinksUpToDate>false</LinksUpToDate>
  <CharactersWithSpaces>104302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Vyalev</dc:title>
  <dc:subject>Prescription medicines</dc:subject>
  <dc:creator>Therapeutic Goods Administration</dc:creator>
  <cp:keywords/>
  <dc:description/>
  <dcterms:created xsi:type="dcterms:W3CDTF">2024-11-13T03:47:00Z</dcterms:created>
  <dcterms:modified xsi:type="dcterms:W3CDTF">2024-11-14T03:23:00Z</dcterms:modified>
</cp:coreProperties>
</file>