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10473F5C" w:rsidR="00F02AEC" w:rsidRPr="00215D48" w:rsidRDefault="00457050" w:rsidP="002B29B2">
            <w:pPr>
              <w:pStyle w:val="Title"/>
            </w:pPr>
            <w:bookmarkStart w:id="0" w:name="_Toc178244700"/>
            <w:bookmarkStart w:id="1" w:name="_Toc178340891"/>
            <w:r>
              <w:t>Notice of final decisions to amend (or not amend) the current Poisons Standard</w:t>
            </w:r>
            <w:bookmarkEnd w:id="0"/>
            <w:bookmarkEnd w:id="1"/>
          </w:p>
        </w:tc>
      </w:tr>
      <w:tr w:rsidR="00F02AEC" w:rsidRPr="00215D48" w14:paraId="5819680E" w14:textId="77777777" w:rsidTr="002B29B2">
        <w:trPr>
          <w:trHeight w:val="1916"/>
        </w:trPr>
        <w:tc>
          <w:tcPr>
            <w:tcW w:w="8720" w:type="dxa"/>
          </w:tcPr>
          <w:p w14:paraId="54DDB299" w14:textId="0586301A" w:rsidR="00F02AEC" w:rsidRPr="00215D48" w:rsidRDefault="004320AC" w:rsidP="00D1612F">
            <w:pPr>
              <w:pStyle w:val="Subtitle"/>
              <w:ind w:left="0"/>
            </w:pPr>
            <w:r w:rsidRPr="000F6D1C">
              <w:t>27</w:t>
            </w:r>
            <w:r w:rsidR="00457050" w:rsidRPr="004320AC">
              <w:t xml:space="preserve"> </w:t>
            </w:r>
            <w:r w:rsidR="00454694" w:rsidRPr="004320AC">
              <w:t>September 2024</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321B93">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4D5EF52D" w:rsidR="00175CD8" w:rsidRDefault="00F02AEC" w:rsidP="00DE78C9">
      <w:pPr>
        <w:rPr>
          <w:sz w:val="16"/>
          <w:szCs w:val="16"/>
        </w:rPr>
      </w:pPr>
      <w:r w:rsidRPr="00DE78C9">
        <w:rPr>
          <w:sz w:val="16"/>
          <w:szCs w:val="16"/>
        </w:rPr>
        <w:t>© Commonwealth of Australia 202</w:t>
      </w:r>
      <w:r w:rsidR="001E43B0">
        <w:rPr>
          <w:sz w:val="16"/>
          <w:szCs w:val="16"/>
        </w:rPr>
        <w:t>4</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DE78C9">
          <w:rPr>
            <w:rStyle w:val="Hyperlink"/>
            <w:rFonts w:cs="Arial"/>
            <w:sz w:val="16"/>
            <w:szCs w:val="16"/>
          </w:rPr>
          <w:t>tga.copyright@tga.gov.au</w:t>
        </w:r>
      </w:hyperlink>
      <w:r w:rsidRPr="00DE78C9">
        <w:rPr>
          <w:sz w:val="16"/>
          <w:szCs w:val="16"/>
        </w:rPr>
        <w:t>.</w:t>
      </w:r>
    </w:p>
    <w:bookmarkStart w:id="2" w:name="_Toc178244701" w:displacedByCustomXml="next"/>
    <w:bookmarkStart w:id="3" w:name="_Toc178340892" w:displacedByCustomXml="next"/>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bookmarkEnd w:id="3"/>
          <w:bookmarkEnd w:id="2"/>
        </w:p>
        <w:p w14:paraId="62D31E59" w14:textId="00883E1A" w:rsidR="00A238D3" w:rsidRDefault="002B5C5B">
          <w:pPr>
            <w:pStyle w:val="TOC1"/>
            <w:rPr>
              <w:rFonts w:asciiTheme="minorHAnsi" w:eastAsiaTheme="minorEastAsia" w:hAnsiTheme="minorHAnsi" w:cstheme="minorBidi"/>
              <w:b w:val="0"/>
              <w:noProof/>
              <w:color w:val="auto"/>
              <w:kern w:val="2"/>
              <w:sz w:val="22"/>
              <w:lang w:eastAsia="en-AU"/>
              <w14:ligatures w14:val="standardContextual"/>
            </w:rPr>
          </w:pPr>
          <w:r>
            <w:fldChar w:fldCharType="begin"/>
          </w:r>
          <w:r>
            <w:instrText xml:space="preserve"> TOC \o "1-1" \h \z \u \t "Heading 2,1,Heading 3,2,Legal Subheading,2,Non TOC heading 2,2" </w:instrText>
          </w:r>
          <w:r>
            <w:fldChar w:fldCharType="separate"/>
          </w:r>
          <w:hyperlink w:anchor="_Toc178340891" w:history="1">
            <w:r w:rsidR="00A238D3" w:rsidRPr="004B10E2">
              <w:rPr>
                <w:rStyle w:val="Hyperlink"/>
                <w:noProof/>
              </w:rPr>
              <w:t>Notice of final decisions to amend (or not amend) the current Poisons Standard</w:t>
            </w:r>
            <w:r w:rsidR="00A238D3">
              <w:rPr>
                <w:noProof/>
                <w:webHidden/>
              </w:rPr>
              <w:tab/>
            </w:r>
            <w:r w:rsidR="00A238D3">
              <w:rPr>
                <w:noProof/>
                <w:webHidden/>
              </w:rPr>
              <w:fldChar w:fldCharType="begin"/>
            </w:r>
            <w:r w:rsidR="00A238D3">
              <w:rPr>
                <w:noProof/>
                <w:webHidden/>
              </w:rPr>
              <w:instrText xml:space="preserve"> PAGEREF _Toc178340891 \h </w:instrText>
            </w:r>
            <w:r w:rsidR="00A238D3">
              <w:rPr>
                <w:noProof/>
                <w:webHidden/>
              </w:rPr>
            </w:r>
            <w:r w:rsidR="00A238D3">
              <w:rPr>
                <w:noProof/>
                <w:webHidden/>
              </w:rPr>
              <w:fldChar w:fldCharType="separate"/>
            </w:r>
            <w:r w:rsidR="000F6D1C">
              <w:rPr>
                <w:noProof/>
                <w:webHidden/>
              </w:rPr>
              <w:t>1</w:t>
            </w:r>
            <w:r w:rsidR="00A238D3">
              <w:rPr>
                <w:noProof/>
                <w:webHidden/>
              </w:rPr>
              <w:fldChar w:fldCharType="end"/>
            </w:r>
          </w:hyperlink>
        </w:p>
        <w:p w14:paraId="584015DF" w14:textId="2855631E"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892" w:history="1">
            <w:r w:rsidR="00A238D3" w:rsidRPr="004B10E2">
              <w:rPr>
                <w:rStyle w:val="Hyperlink"/>
                <w:noProof/>
              </w:rPr>
              <w:t>Contents</w:t>
            </w:r>
            <w:r w:rsidR="00A238D3">
              <w:rPr>
                <w:noProof/>
                <w:webHidden/>
              </w:rPr>
              <w:tab/>
            </w:r>
            <w:r w:rsidR="00A238D3">
              <w:rPr>
                <w:noProof/>
                <w:webHidden/>
              </w:rPr>
              <w:fldChar w:fldCharType="begin"/>
            </w:r>
            <w:r w:rsidR="00A238D3">
              <w:rPr>
                <w:noProof/>
                <w:webHidden/>
              </w:rPr>
              <w:instrText xml:space="preserve"> PAGEREF _Toc178340892 \h </w:instrText>
            </w:r>
            <w:r w:rsidR="00A238D3">
              <w:rPr>
                <w:noProof/>
                <w:webHidden/>
              </w:rPr>
            </w:r>
            <w:r w:rsidR="00A238D3">
              <w:rPr>
                <w:noProof/>
                <w:webHidden/>
              </w:rPr>
              <w:fldChar w:fldCharType="separate"/>
            </w:r>
            <w:r w:rsidR="000F6D1C">
              <w:rPr>
                <w:noProof/>
                <w:webHidden/>
              </w:rPr>
              <w:t>3</w:t>
            </w:r>
            <w:r w:rsidR="00A238D3">
              <w:rPr>
                <w:noProof/>
                <w:webHidden/>
              </w:rPr>
              <w:fldChar w:fldCharType="end"/>
            </w:r>
          </w:hyperlink>
        </w:p>
        <w:p w14:paraId="2D93E82D" w14:textId="13C90EDD" w:rsidR="00A238D3" w:rsidRDefault="007232A5">
          <w:pPr>
            <w:pStyle w:val="TOC1"/>
            <w:rPr>
              <w:rFonts w:asciiTheme="minorHAnsi" w:eastAsiaTheme="minorEastAsia" w:hAnsiTheme="minorHAnsi" w:cstheme="minorBidi"/>
              <w:b w:val="0"/>
              <w:noProof/>
              <w:color w:val="auto"/>
              <w:kern w:val="2"/>
              <w:sz w:val="22"/>
              <w:lang w:eastAsia="en-AU"/>
              <w14:ligatures w14:val="standardContextual"/>
            </w:rPr>
          </w:pPr>
          <w:hyperlink w:anchor="_Toc178340893" w:history="1">
            <w:r w:rsidR="00A238D3" w:rsidRPr="004B10E2">
              <w:rPr>
                <w:rStyle w:val="Hyperlink"/>
                <w:noProof/>
              </w:rPr>
              <w:t>Notice of final decisions to amend (or not amend) the current Poisons Standard</w:t>
            </w:r>
            <w:r w:rsidR="00A238D3">
              <w:rPr>
                <w:noProof/>
                <w:webHidden/>
              </w:rPr>
              <w:tab/>
            </w:r>
            <w:r w:rsidR="00A238D3">
              <w:rPr>
                <w:noProof/>
                <w:webHidden/>
              </w:rPr>
              <w:fldChar w:fldCharType="begin"/>
            </w:r>
            <w:r w:rsidR="00A238D3">
              <w:rPr>
                <w:noProof/>
                <w:webHidden/>
              </w:rPr>
              <w:instrText xml:space="preserve"> PAGEREF _Toc178340893 \h </w:instrText>
            </w:r>
            <w:r w:rsidR="00A238D3">
              <w:rPr>
                <w:noProof/>
                <w:webHidden/>
              </w:rPr>
            </w:r>
            <w:r w:rsidR="00A238D3">
              <w:rPr>
                <w:noProof/>
                <w:webHidden/>
              </w:rPr>
              <w:fldChar w:fldCharType="separate"/>
            </w:r>
            <w:r w:rsidR="000F6D1C">
              <w:rPr>
                <w:noProof/>
                <w:webHidden/>
              </w:rPr>
              <w:t>5</w:t>
            </w:r>
            <w:r w:rsidR="00A238D3">
              <w:rPr>
                <w:noProof/>
                <w:webHidden/>
              </w:rPr>
              <w:fldChar w:fldCharType="end"/>
            </w:r>
          </w:hyperlink>
        </w:p>
        <w:p w14:paraId="1E3EC9DC" w14:textId="3126BF9A" w:rsidR="00A238D3" w:rsidRDefault="007232A5">
          <w:pPr>
            <w:pStyle w:val="TOC1"/>
            <w:rPr>
              <w:rFonts w:asciiTheme="minorHAnsi" w:eastAsiaTheme="minorEastAsia" w:hAnsiTheme="minorHAnsi" w:cstheme="minorBidi"/>
              <w:b w:val="0"/>
              <w:noProof/>
              <w:color w:val="auto"/>
              <w:kern w:val="2"/>
              <w:sz w:val="22"/>
              <w:lang w:eastAsia="en-AU"/>
              <w14:ligatures w14:val="standardContextual"/>
            </w:rPr>
          </w:pPr>
          <w:hyperlink w:anchor="_Toc178340894" w:history="1">
            <w:r w:rsidR="00A238D3" w:rsidRPr="004B10E2">
              <w:rPr>
                <w:rStyle w:val="Hyperlink"/>
                <w:noProof/>
              </w:rPr>
              <w:t>Final decisions on proposed amendments referred to the Advisory Committee on Medicines Scheduling (ACMS #44, March 2024)</w:t>
            </w:r>
            <w:r w:rsidR="00A238D3">
              <w:rPr>
                <w:noProof/>
                <w:webHidden/>
              </w:rPr>
              <w:tab/>
            </w:r>
            <w:r w:rsidR="00A238D3">
              <w:rPr>
                <w:noProof/>
                <w:webHidden/>
              </w:rPr>
              <w:fldChar w:fldCharType="begin"/>
            </w:r>
            <w:r w:rsidR="00A238D3">
              <w:rPr>
                <w:noProof/>
                <w:webHidden/>
              </w:rPr>
              <w:instrText xml:space="preserve"> PAGEREF _Toc178340894 \h </w:instrText>
            </w:r>
            <w:r w:rsidR="00A238D3">
              <w:rPr>
                <w:noProof/>
                <w:webHidden/>
              </w:rPr>
            </w:r>
            <w:r w:rsidR="00A238D3">
              <w:rPr>
                <w:noProof/>
                <w:webHidden/>
              </w:rPr>
              <w:fldChar w:fldCharType="separate"/>
            </w:r>
            <w:r w:rsidR="000F6D1C">
              <w:rPr>
                <w:noProof/>
                <w:webHidden/>
              </w:rPr>
              <w:t>6</w:t>
            </w:r>
            <w:r w:rsidR="00A238D3">
              <w:rPr>
                <w:noProof/>
                <w:webHidden/>
              </w:rPr>
              <w:fldChar w:fldCharType="end"/>
            </w:r>
          </w:hyperlink>
        </w:p>
        <w:p w14:paraId="69D2C9A5" w14:textId="7C31AA97"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895" w:history="1">
            <w:r w:rsidR="00A238D3" w:rsidRPr="004B10E2">
              <w:rPr>
                <w:rStyle w:val="Hyperlink"/>
                <w:noProof/>
              </w:rPr>
              <w:t>Final decision in relation to cytisine</w:t>
            </w:r>
            <w:r w:rsidR="00A238D3">
              <w:rPr>
                <w:noProof/>
                <w:webHidden/>
              </w:rPr>
              <w:tab/>
            </w:r>
            <w:r w:rsidR="00A238D3">
              <w:rPr>
                <w:noProof/>
                <w:webHidden/>
              </w:rPr>
              <w:fldChar w:fldCharType="begin"/>
            </w:r>
            <w:r w:rsidR="00A238D3">
              <w:rPr>
                <w:noProof/>
                <w:webHidden/>
              </w:rPr>
              <w:instrText xml:space="preserve"> PAGEREF _Toc178340895 \h </w:instrText>
            </w:r>
            <w:r w:rsidR="00A238D3">
              <w:rPr>
                <w:noProof/>
                <w:webHidden/>
              </w:rPr>
            </w:r>
            <w:r w:rsidR="00A238D3">
              <w:rPr>
                <w:noProof/>
                <w:webHidden/>
              </w:rPr>
              <w:fldChar w:fldCharType="separate"/>
            </w:r>
            <w:r w:rsidR="000F6D1C">
              <w:rPr>
                <w:noProof/>
                <w:webHidden/>
              </w:rPr>
              <w:t>6</w:t>
            </w:r>
            <w:r w:rsidR="00A238D3">
              <w:rPr>
                <w:noProof/>
                <w:webHidden/>
              </w:rPr>
              <w:fldChar w:fldCharType="end"/>
            </w:r>
          </w:hyperlink>
        </w:p>
        <w:p w14:paraId="568EBF25" w14:textId="433655E8"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896" w:history="1">
            <w:r w:rsidR="00A238D3" w:rsidRPr="004B10E2">
              <w:rPr>
                <w:rStyle w:val="Hyperlink"/>
                <w:noProof/>
              </w:rPr>
              <w:t>Final decision in relation to dextromethorphan</w:t>
            </w:r>
            <w:r w:rsidR="00A238D3">
              <w:rPr>
                <w:noProof/>
                <w:webHidden/>
              </w:rPr>
              <w:tab/>
            </w:r>
            <w:r w:rsidR="00A238D3">
              <w:rPr>
                <w:noProof/>
                <w:webHidden/>
              </w:rPr>
              <w:fldChar w:fldCharType="begin"/>
            </w:r>
            <w:r w:rsidR="00A238D3">
              <w:rPr>
                <w:noProof/>
                <w:webHidden/>
              </w:rPr>
              <w:instrText xml:space="preserve"> PAGEREF _Toc178340896 \h </w:instrText>
            </w:r>
            <w:r w:rsidR="00A238D3">
              <w:rPr>
                <w:noProof/>
                <w:webHidden/>
              </w:rPr>
            </w:r>
            <w:r w:rsidR="00A238D3">
              <w:rPr>
                <w:noProof/>
                <w:webHidden/>
              </w:rPr>
              <w:fldChar w:fldCharType="separate"/>
            </w:r>
            <w:r w:rsidR="000F6D1C">
              <w:rPr>
                <w:noProof/>
                <w:webHidden/>
              </w:rPr>
              <w:t>8</w:t>
            </w:r>
            <w:r w:rsidR="00A238D3">
              <w:rPr>
                <w:noProof/>
                <w:webHidden/>
              </w:rPr>
              <w:fldChar w:fldCharType="end"/>
            </w:r>
          </w:hyperlink>
        </w:p>
        <w:p w14:paraId="3D47C01D" w14:textId="57AF174A"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897" w:history="1">
            <w:r w:rsidR="00A238D3" w:rsidRPr="004B10E2">
              <w:rPr>
                <w:rStyle w:val="Hyperlink"/>
                <w:noProof/>
              </w:rPr>
              <w:t>Final decision in relation to ethylmorphine</w:t>
            </w:r>
            <w:r w:rsidR="00A238D3">
              <w:rPr>
                <w:noProof/>
                <w:webHidden/>
              </w:rPr>
              <w:tab/>
            </w:r>
            <w:r w:rsidR="00A238D3">
              <w:rPr>
                <w:noProof/>
                <w:webHidden/>
              </w:rPr>
              <w:fldChar w:fldCharType="begin"/>
            </w:r>
            <w:r w:rsidR="00A238D3">
              <w:rPr>
                <w:noProof/>
                <w:webHidden/>
              </w:rPr>
              <w:instrText xml:space="preserve"> PAGEREF _Toc178340897 \h </w:instrText>
            </w:r>
            <w:r w:rsidR="00A238D3">
              <w:rPr>
                <w:noProof/>
                <w:webHidden/>
              </w:rPr>
            </w:r>
            <w:r w:rsidR="00A238D3">
              <w:rPr>
                <w:noProof/>
                <w:webHidden/>
              </w:rPr>
              <w:fldChar w:fldCharType="separate"/>
            </w:r>
            <w:r w:rsidR="000F6D1C">
              <w:rPr>
                <w:noProof/>
                <w:webHidden/>
              </w:rPr>
              <w:t>9</w:t>
            </w:r>
            <w:r w:rsidR="00A238D3">
              <w:rPr>
                <w:noProof/>
                <w:webHidden/>
              </w:rPr>
              <w:fldChar w:fldCharType="end"/>
            </w:r>
          </w:hyperlink>
        </w:p>
        <w:p w14:paraId="04A1F1EE" w14:textId="4813D12D" w:rsidR="00A238D3" w:rsidRDefault="007232A5">
          <w:pPr>
            <w:pStyle w:val="TOC1"/>
            <w:rPr>
              <w:rFonts w:asciiTheme="minorHAnsi" w:eastAsiaTheme="minorEastAsia" w:hAnsiTheme="minorHAnsi" w:cstheme="minorBidi"/>
              <w:b w:val="0"/>
              <w:noProof/>
              <w:color w:val="auto"/>
              <w:kern w:val="2"/>
              <w:sz w:val="22"/>
              <w:lang w:eastAsia="en-AU"/>
              <w14:ligatures w14:val="standardContextual"/>
            </w:rPr>
          </w:pPr>
          <w:hyperlink w:anchor="_Toc178340898" w:history="1">
            <w:r w:rsidR="00A238D3" w:rsidRPr="004B10E2">
              <w:rPr>
                <w:rStyle w:val="Hyperlink"/>
                <w:noProof/>
              </w:rPr>
              <w:t>Final decisions on proposed amendments referred to the Advisory Committee on Chemicals Scheduling (ACCS #38, March 2024)</w:t>
            </w:r>
            <w:r w:rsidR="00A238D3">
              <w:rPr>
                <w:noProof/>
                <w:webHidden/>
              </w:rPr>
              <w:tab/>
            </w:r>
            <w:r w:rsidR="00A238D3">
              <w:rPr>
                <w:noProof/>
                <w:webHidden/>
              </w:rPr>
              <w:fldChar w:fldCharType="begin"/>
            </w:r>
            <w:r w:rsidR="00A238D3">
              <w:rPr>
                <w:noProof/>
                <w:webHidden/>
              </w:rPr>
              <w:instrText xml:space="preserve"> PAGEREF _Toc178340898 \h </w:instrText>
            </w:r>
            <w:r w:rsidR="00A238D3">
              <w:rPr>
                <w:noProof/>
                <w:webHidden/>
              </w:rPr>
            </w:r>
            <w:r w:rsidR="00A238D3">
              <w:rPr>
                <w:noProof/>
                <w:webHidden/>
              </w:rPr>
              <w:fldChar w:fldCharType="separate"/>
            </w:r>
            <w:r w:rsidR="000F6D1C">
              <w:rPr>
                <w:noProof/>
                <w:webHidden/>
              </w:rPr>
              <w:t>12</w:t>
            </w:r>
            <w:r w:rsidR="00A238D3">
              <w:rPr>
                <w:noProof/>
                <w:webHidden/>
              </w:rPr>
              <w:fldChar w:fldCharType="end"/>
            </w:r>
          </w:hyperlink>
        </w:p>
        <w:p w14:paraId="53CADF52" w14:textId="0455F4D1"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899" w:history="1">
            <w:r w:rsidR="00A238D3" w:rsidRPr="004B10E2">
              <w:rPr>
                <w:rStyle w:val="Hyperlink"/>
                <w:noProof/>
              </w:rPr>
              <w:t>Final decision in relation to niclosamide</w:t>
            </w:r>
            <w:r w:rsidR="00A238D3">
              <w:rPr>
                <w:noProof/>
                <w:webHidden/>
              </w:rPr>
              <w:tab/>
            </w:r>
            <w:r w:rsidR="00A238D3">
              <w:rPr>
                <w:noProof/>
                <w:webHidden/>
              </w:rPr>
              <w:fldChar w:fldCharType="begin"/>
            </w:r>
            <w:r w:rsidR="00A238D3">
              <w:rPr>
                <w:noProof/>
                <w:webHidden/>
              </w:rPr>
              <w:instrText xml:space="preserve"> PAGEREF _Toc178340899 \h </w:instrText>
            </w:r>
            <w:r w:rsidR="00A238D3">
              <w:rPr>
                <w:noProof/>
                <w:webHidden/>
              </w:rPr>
            </w:r>
            <w:r w:rsidR="00A238D3">
              <w:rPr>
                <w:noProof/>
                <w:webHidden/>
              </w:rPr>
              <w:fldChar w:fldCharType="separate"/>
            </w:r>
            <w:r w:rsidR="000F6D1C">
              <w:rPr>
                <w:noProof/>
                <w:webHidden/>
              </w:rPr>
              <w:t>12</w:t>
            </w:r>
            <w:r w:rsidR="00A238D3">
              <w:rPr>
                <w:noProof/>
                <w:webHidden/>
              </w:rPr>
              <w:fldChar w:fldCharType="end"/>
            </w:r>
          </w:hyperlink>
        </w:p>
        <w:p w14:paraId="28E63EE8" w14:textId="6B6D269B" w:rsidR="00A238D3" w:rsidRDefault="007232A5">
          <w:pPr>
            <w:pStyle w:val="TOC1"/>
            <w:rPr>
              <w:rFonts w:asciiTheme="minorHAnsi" w:eastAsiaTheme="minorEastAsia" w:hAnsiTheme="minorHAnsi" w:cstheme="minorBidi"/>
              <w:b w:val="0"/>
              <w:noProof/>
              <w:color w:val="auto"/>
              <w:kern w:val="2"/>
              <w:sz w:val="22"/>
              <w:lang w:eastAsia="en-AU"/>
              <w14:ligatures w14:val="standardContextual"/>
            </w:rPr>
          </w:pPr>
          <w:hyperlink w:anchor="_Toc178340900" w:history="1">
            <w:r w:rsidR="00A238D3" w:rsidRPr="004B10E2">
              <w:rPr>
                <w:rStyle w:val="Hyperlink"/>
                <w:noProof/>
              </w:rPr>
              <w:t>Final decisions on proposed amendments referred to the Advisory Committee on Medicines and Chemicals Scheduling in joint session (Joint ACMS-ACCS #36, March 2024)</w:t>
            </w:r>
            <w:r w:rsidR="00A238D3">
              <w:rPr>
                <w:noProof/>
                <w:webHidden/>
              </w:rPr>
              <w:tab/>
            </w:r>
            <w:r w:rsidR="00A238D3">
              <w:rPr>
                <w:noProof/>
                <w:webHidden/>
              </w:rPr>
              <w:fldChar w:fldCharType="begin"/>
            </w:r>
            <w:r w:rsidR="00A238D3">
              <w:rPr>
                <w:noProof/>
                <w:webHidden/>
              </w:rPr>
              <w:instrText xml:space="preserve"> PAGEREF _Toc178340900 \h </w:instrText>
            </w:r>
            <w:r w:rsidR="00A238D3">
              <w:rPr>
                <w:noProof/>
                <w:webHidden/>
              </w:rPr>
            </w:r>
            <w:r w:rsidR="00A238D3">
              <w:rPr>
                <w:noProof/>
                <w:webHidden/>
              </w:rPr>
              <w:fldChar w:fldCharType="separate"/>
            </w:r>
            <w:r w:rsidR="000F6D1C">
              <w:rPr>
                <w:noProof/>
                <w:webHidden/>
              </w:rPr>
              <w:t>14</w:t>
            </w:r>
            <w:r w:rsidR="00A238D3">
              <w:rPr>
                <w:noProof/>
                <w:webHidden/>
              </w:rPr>
              <w:fldChar w:fldCharType="end"/>
            </w:r>
          </w:hyperlink>
        </w:p>
        <w:p w14:paraId="24081643" w14:textId="1C53819F"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01" w:history="1">
            <w:r w:rsidR="00A238D3" w:rsidRPr="004B10E2">
              <w:rPr>
                <w:rStyle w:val="Hyperlink"/>
                <w:noProof/>
              </w:rPr>
              <w:t>Final decision in relation to oxytetracycline</w:t>
            </w:r>
            <w:r w:rsidR="00A238D3">
              <w:rPr>
                <w:noProof/>
                <w:webHidden/>
              </w:rPr>
              <w:tab/>
            </w:r>
            <w:r w:rsidR="00A238D3">
              <w:rPr>
                <w:noProof/>
                <w:webHidden/>
              </w:rPr>
              <w:fldChar w:fldCharType="begin"/>
            </w:r>
            <w:r w:rsidR="00A238D3">
              <w:rPr>
                <w:noProof/>
                <w:webHidden/>
              </w:rPr>
              <w:instrText xml:space="preserve"> PAGEREF _Toc178340901 \h </w:instrText>
            </w:r>
            <w:r w:rsidR="00A238D3">
              <w:rPr>
                <w:noProof/>
                <w:webHidden/>
              </w:rPr>
            </w:r>
            <w:r w:rsidR="00A238D3">
              <w:rPr>
                <w:noProof/>
                <w:webHidden/>
              </w:rPr>
              <w:fldChar w:fldCharType="separate"/>
            </w:r>
            <w:r w:rsidR="000F6D1C">
              <w:rPr>
                <w:noProof/>
                <w:webHidden/>
              </w:rPr>
              <w:t>14</w:t>
            </w:r>
            <w:r w:rsidR="00A238D3">
              <w:rPr>
                <w:noProof/>
                <w:webHidden/>
              </w:rPr>
              <w:fldChar w:fldCharType="end"/>
            </w:r>
          </w:hyperlink>
        </w:p>
        <w:p w14:paraId="654AC2DB" w14:textId="06016C09"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02" w:history="1">
            <w:r w:rsidR="00A238D3" w:rsidRPr="004B10E2">
              <w:rPr>
                <w:rStyle w:val="Hyperlink"/>
                <w:noProof/>
              </w:rPr>
              <w:t>Final decision in relation to tranexamic acid</w:t>
            </w:r>
            <w:r w:rsidR="00A238D3">
              <w:rPr>
                <w:noProof/>
                <w:webHidden/>
              </w:rPr>
              <w:tab/>
            </w:r>
            <w:r w:rsidR="00A238D3">
              <w:rPr>
                <w:noProof/>
                <w:webHidden/>
              </w:rPr>
              <w:fldChar w:fldCharType="begin"/>
            </w:r>
            <w:r w:rsidR="00A238D3">
              <w:rPr>
                <w:noProof/>
                <w:webHidden/>
              </w:rPr>
              <w:instrText xml:space="preserve"> PAGEREF _Toc178340902 \h </w:instrText>
            </w:r>
            <w:r w:rsidR="00A238D3">
              <w:rPr>
                <w:noProof/>
                <w:webHidden/>
              </w:rPr>
            </w:r>
            <w:r w:rsidR="00A238D3">
              <w:rPr>
                <w:noProof/>
                <w:webHidden/>
              </w:rPr>
              <w:fldChar w:fldCharType="separate"/>
            </w:r>
            <w:r w:rsidR="000F6D1C">
              <w:rPr>
                <w:noProof/>
                <w:webHidden/>
              </w:rPr>
              <w:t>16</w:t>
            </w:r>
            <w:r w:rsidR="00A238D3">
              <w:rPr>
                <w:noProof/>
                <w:webHidden/>
              </w:rPr>
              <w:fldChar w:fldCharType="end"/>
            </w:r>
          </w:hyperlink>
        </w:p>
        <w:p w14:paraId="00224672" w14:textId="5BD48558" w:rsidR="00A238D3" w:rsidRDefault="007232A5">
          <w:pPr>
            <w:pStyle w:val="TOC1"/>
            <w:rPr>
              <w:rFonts w:asciiTheme="minorHAnsi" w:eastAsiaTheme="minorEastAsia" w:hAnsiTheme="minorHAnsi" w:cstheme="minorBidi"/>
              <w:b w:val="0"/>
              <w:noProof/>
              <w:color w:val="auto"/>
              <w:kern w:val="2"/>
              <w:sz w:val="22"/>
              <w:lang w:eastAsia="en-AU"/>
              <w14:ligatures w14:val="standardContextual"/>
            </w:rPr>
          </w:pPr>
          <w:hyperlink w:anchor="_Toc178340903" w:history="1">
            <w:r w:rsidR="00A238D3" w:rsidRPr="004B10E2">
              <w:rPr>
                <w:rStyle w:val="Hyperlink"/>
                <w:noProof/>
              </w:rPr>
              <w:t>Final decisions on proposed amendments to the current Poisons Standard under regulation 42ZCZU</w:t>
            </w:r>
            <w:r w:rsidR="00A238D3">
              <w:rPr>
                <w:noProof/>
                <w:webHidden/>
              </w:rPr>
              <w:tab/>
            </w:r>
            <w:r w:rsidR="00A238D3">
              <w:rPr>
                <w:noProof/>
                <w:webHidden/>
              </w:rPr>
              <w:fldChar w:fldCharType="begin"/>
            </w:r>
            <w:r w:rsidR="00A238D3">
              <w:rPr>
                <w:noProof/>
                <w:webHidden/>
              </w:rPr>
              <w:instrText xml:space="preserve"> PAGEREF _Toc178340903 \h </w:instrText>
            </w:r>
            <w:r w:rsidR="00A238D3">
              <w:rPr>
                <w:noProof/>
                <w:webHidden/>
              </w:rPr>
            </w:r>
            <w:r w:rsidR="00A238D3">
              <w:rPr>
                <w:noProof/>
                <w:webHidden/>
              </w:rPr>
              <w:fldChar w:fldCharType="separate"/>
            </w:r>
            <w:r w:rsidR="000F6D1C">
              <w:rPr>
                <w:noProof/>
                <w:webHidden/>
              </w:rPr>
              <w:t>18</w:t>
            </w:r>
            <w:r w:rsidR="00A238D3">
              <w:rPr>
                <w:noProof/>
                <w:webHidden/>
              </w:rPr>
              <w:fldChar w:fldCharType="end"/>
            </w:r>
          </w:hyperlink>
        </w:p>
        <w:p w14:paraId="3DF532B2" w14:textId="0D23FBF1"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04" w:history="1">
            <w:r w:rsidR="00A238D3" w:rsidRPr="004B10E2">
              <w:rPr>
                <w:rStyle w:val="Hyperlink"/>
                <w:noProof/>
              </w:rPr>
              <w:t>Final decision in relation to dimethylacetamide</w:t>
            </w:r>
            <w:r w:rsidR="00A238D3">
              <w:rPr>
                <w:noProof/>
                <w:webHidden/>
              </w:rPr>
              <w:tab/>
            </w:r>
            <w:r w:rsidR="00A238D3">
              <w:rPr>
                <w:noProof/>
                <w:webHidden/>
              </w:rPr>
              <w:fldChar w:fldCharType="begin"/>
            </w:r>
            <w:r w:rsidR="00A238D3">
              <w:rPr>
                <w:noProof/>
                <w:webHidden/>
              </w:rPr>
              <w:instrText xml:space="preserve"> PAGEREF _Toc178340904 \h </w:instrText>
            </w:r>
            <w:r w:rsidR="00A238D3">
              <w:rPr>
                <w:noProof/>
                <w:webHidden/>
              </w:rPr>
            </w:r>
            <w:r w:rsidR="00A238D3">
              <w:rPr>
                <w:noProof/>
                <w:webHidden/>
              </w:rPr>
              <w:fldChar w:fldCharType="separate"/>
            </w:r>
            <w:r w:rsidR="000F6D1C">
              <w:rPr>
                <w:noProof/>
                <w:webHidden/>
              </w:rPr>
              <w:t>18</w:t>
            </w:r>
            <w:r w:rsidR="00A238D3">
              <w:rPr>
                <w:noProof/>
                <w:webHidden/>
              </w:rPr>
              <w:fldChar w:fldCharType="end"/>
            </w:r>
          </w:hyperlink>
        </w:p>
        <w:p w14:paraId="02A6A1BF" w14:textId="62C924E9"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05" w:history="1">
            <w:r w:rsidR="00A238D3" w:rsidRPr="004B10E2">
              <w:rPr>
                <w:rStyle w:val="Hyperlink"/>
                <w:noProof/>
              </w:rPr>
              <w:t>Final decision in relation to epyrifenacil</w:t>
            </w:r>
            <w:r w:rsidR="00A238D3">
              <w:rPr>
                <w:noProof/>
                <w:webHidden/>
              </w:rPr>
              <w:tab/>
            </w:r>
            <w:r w:rsidR="00A238D3">
              <w:rPr>
                <w:noProof/>
                <w:webHidden/>
              </w:rPr>
              <w:fldChar w:fldCharType="begin"/>
            </w:r>
            <w:r w:rsidR="00A238D3">
              <w:rPr>
                <w:noProof/>
                <w:webHidden/>
              </w:rPr>
              <w:instrText xml:space="preserve"> PAGEREF _Toc178340905 \h </w:instrText>
            </w:r>
            <w:r w:rsidR="00A238D3">
              <w:rPr>
                <w:noProof/>
                <w:webHidden/>
              </w:rPr>
            </w:r>
            <w:r w:rsidR="00A238D3">
              <w:rPr>
                <w:noProof/>
                <w:webHidden/>
              </w:rPr>
              <w:fldChar w:fldCharType="separate"/>
            </w:r>
            <w:r w:rsidR="000F6D1C">
              <w:rPr>
                <w:noProof/>
                <w:webHidden/>
              </w:rPr>
              <w:t>20</w:t>
            </w:r>
            <w:r w:rsidR="00A238D3">
              <w:rPr>
                <w:noProof/>
                <w:webHidden/>
              </w:rPr>
              <w:fldChar w:fldCharType="end"/>
            </w:r>
          </w:hyperlink>
        </w:p>
        <w:p w14:paraId="4D97DE66" w14:textId="02C74889"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06" w:history="1">
            <w:r w:rsidR="00A238D3" w:rsidRPr="004B10E2">
              <w:rPr>
                <w:rStyle w:val="Hyperlink"/>
                <w:noProof/>
              </w:rPr>
              <w:t>Final decision in relation to metarylpicoxamid</w:t>
            </w:r>
            <w:r w:rsidR="00A238D3">
              <w:rPr>
                <w:noProof/>
                <w:webHidden/>
              </w:rPr>
              <w:tab/>
            </w:r>
            <w:r w:rsidR="00A238D3">
              <w:rPr>
                <w:noProof/>
                <w:webHidden/>
              </w:rPr>
              <w:fldChar w:fldCharType="begin"/>
            </w:r>
            <w:r w:rsidR="00A238D3">
              <w:rPr>
                <w:noProof/>
                <w:webHidden/>
              </w:rPr>
              <w:instrText xml:space="preserve"> PAGEREF _Toc178340906 \h </w:instrText>
            </w:r>
            <w:r w:rsidR="00A238D3">
              <w:rPr>
                <w:noProof/>
                <w:webHidden/>
              </w:rPr>
            </w:r>
            <w:r w:rsidR="00A238D3">
              <w:rPr>
                <w:noProof/>
                <w:webHidden/>
              </w:rPr>
              <w:fldChar w:fldCharType="separate"/>
            </w:r>
            <w:r w:rsidR="000F6D1C">
              <w:rPr>
                <w:noProof/>
                <w:webHidden/>
              </w:rPr>
              <w:t>23</w:t>
            </w:r>
            <w:r w:rsidR="00A238D3">
              <w:rPr>
                <w:noProof/>
                <w:webHidden/>
              </w:rPr>
              <w:fldChar w:fldCharType="end"/>
            </w:r>
          </w:hyperlink>
        </w:p>
        <w:p w14:paraId="563BC9DE" w14:textId="6B6A9AFB"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07" w:history="1">
            <w:r w:rsidR="00A238D3" w:rsidRPr="004B10E2">
              <w:rPr>
                <w:rStyle w:val="Hyperlink"/>
                <w:noProof/>
              </w:rPr>
              <w:t>Final decision in relation to vatinoxan hydrochloride</w:t>
            </w:r>
            <w:r w:rsidR="00A238D3">
              <w:rPr>
                <w:noProof/>
                <w:webHidden/>
              </w:rPr>
              <w:tab/>
            </w:r>
            <w:r w:rsidR="00A238D3">
              <w:rPr>
                <w:noProof/>
                <w:webHidden/>
              </w:rPr>
              <w:fldChar w:fldCharType="begin"/>
            </w:r>
            <w:r w:rsidR="00A238D3">
              <w:rPr>
                <w:noProof/>
                <w:webHidden/>
              </w:rPr>
              <w:instrText xml:space="preserve"> PAGEREF _Toc178340907 \h </w:instrText>
            </w:r>
            <w:r w:rsidR="00A238D3">
              <w:rPr>
                <w:noProof/>
                <w:webHidden/>
              </w:rPr>
            </w:r>
            <w:r w:rsidR="00A238D3">
              <w:rPr>
                <w:noProof/>
                <w:webHidden/>
              </w:rPr>
              <w:fldChar w:fldCharType="separate"/>
            </w:r>
            <w:r w:rsidR="000F6D1C">
              <w:rPr>
                <w:noProof/>
                <w:webHidden/>
              </w:rPr>
              <w:t>26</w:t>
            </w:r>
            <w:r w:rsidR="00A238D3">
              <w:rPr>
                <w:noProof/>
                <w:webHidden/>
              </w:rPr>
              <w:fldChar w:fldCharType="end"/>
            </w:r>
          </w:hyperlink>
        </w:p>
        <w:p w14:paraId="4EBC402F" w14:textId="6EDE69F8"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08" w:history="1">
            <w:r w:rsidR="00A238D3" w:rsidRPr="004B10E2">
              <w:rPr>
                <w:rStyle w:val="Hyperlink"/>
                <w:noProof/>
              </w:rPr>
              <w:t>Final decision in relation to homobrassinolide</w:t>
            </w:r>
            <w:r w:rsidR="00A238D3">
              <w:rPr>
                <w:noProof/>
                <w:webHidden/>
              </w:rPr>
              <w:tab/>
            </w:r>
            <w:r w:rsidR="00A238D3">
              <w:rPr>
                <w:noProof/>
                <w:webHidden/>
              </w:rPr>
              <w:fldChar w:fldCharType="begin"/>
            </w:r>
            <w:r w:rsidR="00A238D3">
              <w:rPr>
                <w:noProof/>
                <w:webHidden/>
              </w:rPr>
              <w:instrText xml:space="preserve"> PAGEREF _Toc178340908 \h </w:instrText>
            </w:r>
            <w:r w:rsidR="00A238D3">
              <w:rPr>
                <w:noProof/>
                <w:webHidden/>
              </w:rPr>
            </w:r>
            <w:r w:rsidR="00A238D3">
              <w:rPr>
                <w:noProof/>
                <w:webHidden/>
              </w:rPr>
              <w:fldChar w:fldCharType="separate"/>
            </w:r>
            <w:r w:rsidR="000F6D1C">
              <w:rPr>
                <w:noProof/>
                <w:webHidden/>
              </w:rPr>
              <w:t>28</w:t>
            </w:r>
            <w:r w:rsidR="00A238D3">
              <w:rPr>
                <w:noProof/>
                <w:webHidden/>
              </w:rPr>
              <w:fldChar w:fldCharType="end"/>
            </w:r>
          </w:hyperlink>
        </w:p>
        <w:p w14:paraId="26F7328D" w14:textId="04D2B273" w:rsidR="00A238D3" w:rsidRDefault="007232A5">
          <w:pPr>
            <w:pStyle w:val="TOC1"/>
            <w:rPr>
              <w:rFonts w:asciiTheme="minorHAnsi" w:eastAsiaTheme="minorEastAsia" w:hAnsiTheme="minorHAnsi" w:cstheme="minorBidi"/>
              <w:b w:val="0"/>
              <w:noProof/>
              <w:color w:val="auto"/>
              <w:kern w:val="2"/>
              <w:sz w:val="22"/>
              <w:lang w:eastAsia="en-AU"/>
              <w14:ligatures w14:val="standardContextual"/>
            </w:rPr>
          </w:pPr>
          <w:hyperlink w:anchor="_Toc178340909" w:history="1">
            <w:r w:rsidR="00A238D3" w:rsidRPr="004B10E2">
              <w:rPr>
                <w:rStyle w:val="Hyperlink"/>
                <w:noProof/>
              </w:rPr>
              <w:t>Final decisions on proposed amendments to the current Poisons Standard under regulation 42ZCZW</w:t>
            </w:r>
            <w:r w:rsidR="00A238D3">
              <w:rPr>
                <w:noProof/>
                <w:webHidden/>
              </w:rPr>
              <w:tab/>
            </w:r>
            <w:r w:rsidR="00A238D3">
              <w:rPr>
                <w:noProof/>
                <w:webHidden/>
              </w:rPr>
              <w:fldChar w:fldCharType="begin"/>
            </w:r>
            <w:r w:rsidR="00A238D3">
              <w:rPr>
                <w:noProof/>
                <w:webHidden/>
              </w:rPr>
              <w:instrText xml:space="preserve"> PAGEREF _Toc178340909 \h </w:instrText>
            </w:r>
            <w:r w:rsidR="00A238D3">
              <w:rPr>
                <w:noProof/>
                <w:webHidden/>
              </w:rPr>
            </w:r>
            <w:r w:rsidR="00A238D3">
              <w:rPr>
                <w:noProof/>
                <w:webHidden/>
              </w:rPr>
              <w:fldChar w:fldCharType="separate"/>
            </w:r>
            <w:r w:rsidR="000F6D1C">
              <w:rPr>
                <w:noProof/>
                <w:webHidden/>
              </w:rPr>
              <w:t>30</w:t>
            </w:r>
            <w:r w:rsidR="00A238D3">
              <w:rPr>
                <w:noProof/>
                <w:webHidden/>
              </w:rPr>
              <w:fldChar w:fldCharType="end"/>
            </w:r>
          </w:hyperlink>
        </w:p>
        <w:p w14:paraId="745B1F24" w14:textId="08B0222A"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10" w:history="1">
            <w:r w:rsidR="00A238D3" w:rsidRPr="004B10E2">
              <w:rPr>
                <w:rStyle w:val="Hyperlink"/>
                <w:noProof/>
              </w:rPr>
              <w:t>Final decision in relation to Prescription only (Schedule 4) substances contained within research-only kits in very small amounts</w:t>
            </w:r>
            <w:r w:rsidR="00A238D3">
              <w:rPr>
                <w:noProof/>
                <w:webHidden/>
              </w:rPr>
              <w:tab/>
            </w:r>
            <w:r w:rsidR="00A238D3">
              <w:rPr>
                <w:noProof/>
                <w:webHidden/>
              </w:rPr>
              <w:fldChar w:fldCharType="begin"/>
            </w:r>
            <w:r w:rsidR="00A238D3">
              <w:rPr>
                <w:noProof/>
                <w:webHidden/>
              </w:rPr>
              <w:instrText xml:space="preserve"> PAGEREF _Toc178340910 \h </w:instrText>
            </w:r>
            <w:r w:rsidR="00A238D3">
              <w:rPr>
                <w:noProof/>
                <w:webHidden/>
              </w:rPr>
            </w:r>
            <w:r w:rsidR="00A238D3">
              <w:rPr>
                <w:noProof/>
                <w:webHidden/>
              </w:rPr>
              <w:fldChar w:fldCharType="separate"/>
            </w:r>
            <w:r w:rsidR="000F6D1C">
              <w:rPr>
                <w:noProof/>
                <w:webHidden/>
              </w:rPr>
              <w:t>30</w:t>
            </w:r>
            <w:r w:rsidR="00A238D3">
              <w:rPr>
                <w:noProof/>
                <w:webHidden/>
              </w:rPr>
              <w:fldChar w:fldCharType="end"/>
            </w:r>
          </w:hyperlink>
        </w:p>
        <w:p w14:paraId="66C692B3" w14:textId="7B05A307"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11" w:history="1">
            <w:r w:rsidR="00A238D3" w:rsidRPr="004B10E2">
              <w:rPr>
                <w:rStyle w:val="Hyperlink"/>
                <w:noProof/>
              </w:rPr>
              <w:t>Final decision in relation to</w:t>
            </w:r>
            <w:r w:rsidR="00A238D3" w:rsidRPr="004B10E2">
              <w:rPr>
                <w:rStyle w:val="Hyperlink"/>
                <w:rFonts w:cstheme="minorHAnsi"/>
                <w:noProof/>
              </w:rPr>
              <w:t xml:space="preserve"> Azelaic acid</w:t>
            </w:r>
            <w:r w:rsidR="00A238D3">
              <w:rPr>
                <w:noProof/>
                <w:webHidden/>
              </w:rPr>
              <w:tab/>
            </w:r>
            <w:r w:rsidR="00A238D3">
              <w:rPr>
                <w:noProof/>
                <w:webHidden/>
              </w:rPr>
              <w:fldChar w:fldCharType="begin"/>
            </w:r>
            <w:r w:rsidR="00A238D3">
              <w:rPr>
                <w:noProof/>
                <w:webHidden/>
              </w:rPr>
              <w:instrText xml:space="preserve"> PAGEREF _Toc178340911 \h </w:instrText>
            </w:r>
            <w:r w:rsidR="00A238D3">
              <w:rPr>
                <w:noProof/>
                <w:webHidden/>
              </w:rPr>
            </w:r>
            <w:r w:rsidR="00A238D3">
              <w:rPr>
                <w:noProof/>
                <w:webHidden/>
              </w:rPr>
              <w:fldChar w:fldCharType="separate"/>
            </w:r>
            <w:r w:rsidR="000F6D1C">
              <w:rPr>
                <w:noProof/>
                <w:webHidden/>
              </w:rPr>
              <w:t>32</w:t>
            </w:r>
            <w:r w:rsidR="00A238D3">
              <w:rPr>
                <w:noProof/>
                <w:webHidden/>
              </w:rPr>
              <w:fldChar w:fldCharType="end"/>
            </w:r>
          </w:hyperlink>
        </w:p>
        <w:p w14:paraId="6AF6C926" w14:textId="61E132CA" w:rsidR="00A238D3" w:rsidRDefault="007232A5">
          <w:pPr>
            <w:pStyle w:val="TOC1"/>
            <w:rPr>
              <w:rFonts w:asciiTheme="minorHAnsi" w:eastAsiaTheme="minorEastAsia" w:hAnsiTheme="minorHAnsi" w:cstheme="minorBidi"/>
              <w:b w:val="0"/>
              <w:noProof/>
              <w:color w:val="auto"/>
              <w:kern w:val="2"/>
              <w:sz w:val="22"/>
              <w:lang w:eastAsia="en-AU"/>
              <w14:ligatures w14:val="standardContextual"/>
            </w:rPr>
          </w:pPr>
          <w:hyperlink w:anchor="_Toc178340912" w:history="1">
            <w:r w:rsidR="00A238D3" w:rsidRPr="004B10E2">
              <w:rPr>
                <w:rStyle w:val="Hyperlink"/>
                <w:noProof/>
              </w:rPr>
              <w:t>Decisions to amend the current Poisons Standard under section 52D(2) of the Act</w:t>
            </w:r>
            <w:r w:rsidR="00A238D3">
              <w:rPr>
                <w:noProof/>
                <w:webHidden/>
              </w:rPr>
              <w:tab/>
            </w:r>
            <w:r w:rsidR="00A238D3">
              <w:rPr>
                <w:noProof/>
                <w:webHidden/>
              </w:rPr>
              <w:fldChar w:fldCharType="begin"/>
            </w:r>
            <w:r w:rsidR="00A238D3">
              <w:rPr>
                <w:noProof/>
                <w:webHidden/>
              </w:rPr>
              <w:instrText xml:space="preserve"> PAGEREF _Toc178340912 \h </w:instrText>
            </w:r>
            <w:r w:rsidR="00A238D3">
              <w:rPr>
                <w:noProof/>
                <w:webHidden/>
              </w:rPr>
            </w:r>
            <w:r w:rsidR="00A238D3">
              <w:rPr>
                <w:noProof/>
                <w:webHidden/>
              </w:rPr>
              <w:fldChar w:fldCharType="separate"/>
            </w:r>
            <w:r w:rsidR="000F6D1C">
              <w:rPr>
                <w:noProof/>
                <w:webHidden/>
              </w:rPr>
              <w:t>37</w:t>
            </w:r>
            <w:r w:rsidR="00A238D3">
              <w:rPr>
                <w:noProof/>
                <w:webHidden/>
              </w:rPr>
              <w:fldChar w:fldCharType="end"/>
            </w:r>
          </w:hyperlink>
        </w:p>
        <w:p w14:paraId="188F94C4" w14:textId="4F46C580"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13" w:history="1">
            <w:r w:rsidR="00A238D3" w:rsidRPr="004B10E2">
              <w:rPr>
                <w:rStyle w:val="Hyperlink"/>
                <w:noProof/>
              </w:rPr>
              <w:t>Decision in relation to thiafentanil</w:t>
            </w:r>
            <w:r w:rsidR="00A238D3">
              <w:rPr>
                <w:noProof/>
                <w:webHidden/>
              </w:rPr>
              <w:tab/>
            </w:r>
            <w:r w:rsidR="00A238D3">
              <w:rPr>
                <w:noProof/>
                <w:webHidden/>
              </w:rPr>
              <w:fldChar w:fldCharType="begin"/>
            </w:r>
            <w:r w:rsidR="00A238D3">
              <w:rPr>
                <w:noProof/>
                <w:webHidden/>
              </w:rPr>
              <w:instrText xml:space="preserve"> PAGEREF _Toc178340913 \h </w:instrText>
            </w:r>
            <w:r w:rsidR="00A238D3">
              <w:rPr>
                <w:noProof/>
                <w:webHidden/>
              </w:rPr>
            </w:r>
            <w:r w:rsidR="00A238D3">
              <w:rPr>
                <w:noProof/>
                <w:webHidden/>
              </w:rPr>
              <w:fldChar w:fldCharType="separate"/>
            </w:r>
            <w:r w:rsidR="000F6D1C">
              <w:rPr>
                <w:noProof/>
                <w:webHidden/>
              </w:rPr>
              <w:t>37</w:t>
            </w:r>
            <w:r w:rsidR="00A238D3">
              <w:rPr>
                <w:noProof/>
                <w:webHidden/>
              </w:rPr>
              <w:fldChar w:fldCharType="end"/>
            </w:r>
          </w:hyperlink>
        </w:p>
        <w:p w14:paraId="574AF4A6" w14:textId="31613F98"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14" w:history="1">
            <w:r w:rsidR="00A238D3" w:rsidRPr="004B10E2">
              <w:rPr>
                <w:rStyle w:val="Hyperlink"/>
                <w:noProof/>
              </w:rPr>
              <w:t>Decision in relation to phenidines</w:t>
            </w:r>
            <w:r w:rsidR="00A238D3">
              <w:rPr>
                <w:noProof/>
                <w:webHidden/>
              </w:rPr>
              <w:tab/>
            </w:r>
            <w:r w:rsidR="00A238D3">
              <w:rPr>
                <w:noProof/>
                <w:webHidden/>
              </w:rPr>
              <w:fldChar w:fldCharType="begin"/>
            </w:r>
            <w:r w:rsidR="00A238D3">
              <w:rPr>
                <w:noProof/>
                <w:webHidden/>
              </w:rPr>
              <w:instrText xml:space="preserve"> PAGEREF _Toc178340914 \h </w:instrText>
            </w:r>
            <w:r w:rsidR="00A238D3">
              <w:rPr>
                <w:noProof/>
                <w:webHidden/>
              </w:rPr>
            </w:r>
            <w:r w:rsidR="00A238D3">
              <w:rPr>
                <w:noProof/>
                <w:webHidden/>
              </w:rPr>
              <w:fldChar w:fldCharType="separate"/>
            </w:r>
            <w:r w:rsidR="000F6D1C">
              <w:rPr>
                <w:noProof/>
                <w:webHidden/>
              </w:rPr>
              <w:t>39</w:t>
            </w:r>
            <w:r w:rsidR="00A238D3">
              <w:rPr>
                <w:noProof/>
                <w:webHidden/>
              </w:rPr>
              <w:fldChar w:fldCharType="end"/>
            </w:r>
          </w:hyperlink>
        </w:p>
        <w:p w14:paraId="71986F26" w14:textId="53849C75"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15" w:history="1">
            <w:r w:rsidR="00A238D3" w:rsidRPr="004B10E2">
              <w:rPr>
                <w:rStyle w:val="Hyperlink"/>
                <w:noProof/>
              </w:rPr>
              <w:t>Decision in relation to carbendazim</w:t>
            </w:r>
            <w:r w:rsidR="00A238D3">
              <w:rPr>
                <w:noProof/>
                <w:webHidden/>
              </w:rPr>
              <w:tab/>
            </w:r>
            <w:r w:rsidR="00A238D3">
              <w:rPr>
                <w:noProof/>
                <w:webHidden/>
              </w:rPr>
              <w:fldChar w:fldCharType="begin"/>
            </w:r>
            <w:r w:rsidR="00A238D3">
              <w:rPr>
                <w:noProof/>
                <w:webHidden/>
              </w:rPr>
              <w:instrText xml:space="preserve"> PAGEREF _Toc178340915 \h </w:instrText>
            </w:r>
            <w:r w:rsidR="00A238D3">
              <w:rPr>
                <w:noProof/>
                <w:webHidden/>
              </w:rPr>
            </w:r>
            <w:r w:rsidR="00A238D3">
              <w:rPr>
                <w:noProof/>
                <w:webHidden/>
              </w:rPr>
              <w:fldChar w:fldCharType="separate"/>
            </w:r>
            <w:r w:rsidR="000F6D1C">
              <w:rPr>
                <w:noProof/>
                <w:webHidden/>
              </w:rPr>
              <w:t>42</w:t>
            </w:r>
            <w:r w:rsidR="00A238D3">
              <w:rPr>
                <w:noProof/>
                <w:webHidden/>
              </w:rPr>
              <w:fldChar w:fldCharType="end"/>
            </w:r>
          </w:hyperlink>
        </w:p>
        <w:p w14:paraId="7FED05C1" w14:textId="54C96559" w:rsidR="00A238D3" w:rsidRDefault="007232A5">
          <w:pPr>
            <w:pStyle w:val="TOC1"/>
            <w:rPr>
              <w:rFonts w:asciiTheme="minorHAnsi" w:eastAsiaTheme="minorEastAsia" w:hAnsiTheme="minorHAnsi" w:cstheme="minorBidi"/>
              <w:b w:val="0"/>
              <w:noProof/>
              <w:color w:val="auto"/>
              <w:kern w:val="2"/>
              <w:sz w:val="22"/>
              <w:lang w:eastAsia="en-AU"/>
              <w14:ligatures w14:val="standardContextual"/>
            </w:rPr>
          </w:pPr>
          <w:hyperlink w:anchor="_Toc178340916" w:history="1">
            <w:r w:rsidR="00A238D3" w:rsidRPr="004B10E2">
              <w:rPr>
                <w:rStyle w:val="Hyperlink"/>
                <w:noProof/>
              </w:rPr>
              <w:t>Amendments to the Poison Standard in relation to New Chemical Entities (NCEs)</w:t>
            </w:r>
            <w:r w:rsidR="00A238D3">
              <w:rPr>
                <w:noProof/>
                <w:webHidden/>
              </w:rPr>
              <w:tab/>
            </w:r>
            <w:r w:rsidR="00A238D3">
              <w:rPr>
                <w:noProof/>
                <w:webHidden/>
              </w:rPr>
              <w:fldChar w:fldCharType="begin"/>
            </w:r>
            <w:r w:rsidR="00A238D3">
              <w:rPr>
                <w:noProof/>
                <w:webHidden/>
              </w:rPr>
              <w:instrText xml:space="preserve"> PAGEREF _Toc178340916 \h </w:instrText>
            </w:r>
            <w:r w:rsidR="00A238D3">
              <w:rPr>
                <w:noProof/>
                <w:webHidden/>
              </w:rPr>
            </w:r>
            <w:r w:rsidR="00A238D3">
              <w:rPr>
                <w:noProof/>
                <w:webHidden/>
              </w:rPr>
              <w:fldChar w:fldCharType="separate"/>
            </w:r>
            <w:r w:rsidR="000F6D1C">
              <w:rPr>
                <w:noProof/>
                <w:webHidden/>
              </w:rPr>
              <w:t>44</w:t>
            </w:r>
            <w:r w:rsidR="00A238D3">
              <w:rPr>
                <w:noProof/>
                <w:webHidden/>
              </w:rPr>
              <w:fldChar w:fldCharType="end"/>
            </w:r>
          </w:hyperlink>
        </w:p>
        <w:p w14:paraId="4302AE2E" w14:textId="75900DD3"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17" w:history="1">
            <w:r w:rsidR="00A238D3" w:rsidRPr="004B10E2">
              <w:rPr>
                <w:rStyle w:val="Hyperlink"/>
                <w:noProof/>
              </w:rPr>
              <w:t>Vutrisiran</w:t>
            </w:r>
            <w:r w:rsidR="00A238D3">
              <w:rPr>
                <w:noProof/>
                <w:webHidden/>
              </w:rPr>
              <w:tab/>
            </w:r>
            <w:r w:rsidR="00A238D3">
              <w:rPr>
                <w:noProof/>
                <w:webHidden/>
              </w:rPr>
              <w:fldChar w:fldCharType="begin"/>
            </w:r>
            <w:r w:rsidR="00A238D3">
              <w:rPr>
                <w:noProof/>
                <w:webHidden/>
              </w:rPr>
              <w:instrText xml:space="preserve"> PAGEREF _Toc178340917 \h </w:instrText>
            </w:r>
            <w:r w:rsidR="00A238D3">
              <w:rPr>
                <w:noProof/>
                <w:webHidden/>
              </w:rPr>
            </w:r>
            <w:r w:rsidR="00A238D3">
              <w:rPr>
                <w:noProof/>
                <w:webHidden/>
              </w:rPr>
              <w:fldChar w:fldCharType="separate"/>
            </w:r>
            <w:r w:rsidR="000F6D1C">
              <w:rPr>
                <w:noProof/>
                <w:webHidden/>
              </w:rPr>
              <w:t>44</w:t>
            </w:r>
            <w:r w:rsidR="00A238D3">
              <w:rPr>
                <w:noProof/>
                <w:webHidden/>
              </w:rPr>
              <w:fldChar w:fldCharType="end"/>
            </w:r>
          </w:hyperlink>
        </w:p>
        <w:p w14:paraId="58E0F84C" w14:textId="70E12877"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18" w:history="1">
            <w:r w:rsidR="00A238D3" w:rsidRPr="004B10E2">
              <w:rPr>
                <w:rStyle w:val="Hyperlink"/>
                <w:noProof/>
              </w:rPr>
              <w:t>Ritlecitinib</w:t>
            </w:r>
            <w:r w:rsidR="00A238D3">
              <w:rPr>
                <w:noProof/>
                <w:webHidden/>
              </w:rPr>
              <w:tab/>
            </w:r>
            <w:r w:rsidR="00A238D3">
              <w:rPr>
                <w:noProof/>
                <w:webHidden/>
              </w:rPr>
              <w:fldChar w:fldCharType="begin"/>
            </w:r>
            <w:r w:rsidR="00A238D3">
              <w:rPr>
                <w:noProof/>
                <w:webHidden/>
              </w:rPr>
              <w:instrText xml:space="preserve"> PAGEREF _Toc178340918 \h </w:instrText>
            </w:r>
            <w:r w:rsidR="00A238D3">
              <w:rPr>
                <w:noProof/>
                <w:webHidden/>
              </w:rPr>
            </w:r>
            <w:r w:rsidR="00A238D3">
              <w:rPr>
                <w:noProof/>
                <w:webHidden/>
              </w:rPr>
              <w:fldChar w:fldCharType="separate"/>
            </w:r>
            <w:r w:rsidR="000F6D1C">
              <w:rPr>
                <w:noProof/>
                <w:webHidden/>
              </w:rPr>
              <w:t>44</w:t>
            </w:r>
            <w:r w:rsidR="00A238D3">
              <w:rPr>
                <w:noProof/>
                <w:webHidden/>
              </w:rPr>
              <w:fldChar w:fldCharType="end"/>
            </w:r>
          </w:hyperlink>
        </w:p>
        <w:p w14:paraId="49A2506E" w14:textId="379652AB"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19" w:history="1">
            <w:r w:rsidR="00A238D3" w:rsidRPr="004B10E2">
              <w:rPr>
                <w:rStyle w:val="Hyperlink"/>
                <w:noProof/>
              </w:rPr>
              <w:t>Odevixibat</w:t>
            </w:r>
            <w:r w:rsidR="00A238D3">
              <w:rPr>
                <w:noProof/>
                <w:webHidden/>
              </w:rPr>
              <w:tab/>
            </w:r>
            <w:r w:rsidR="00A238D3">
              <w:rPr>
                <w:noProof/>
                <w:webHidden/>
              </w:rPr>
              <w:fldChar w:fldCharType="begin"/>
            </w:r>
            <w:r w:rsidR="00A238D3">
              <w:rPr>
                <w:noProof/>
                <w:webHidden/>
              </w:rPr>
              <w:instrText xml:space="preserve"> PAGEREF _Toc178340919 \h </w:instrText>
            </w:r>
            <w:r w:rsidR="00A238D3">
              <w:rPr>
                <w:noProof/>
                <w:webHidden/>
              </w:rPr>
            </w:r>
            <w:r w:rsidR="00A238D3">
              <w:rPr>
                <w:noProof/>
                <w:webHidden/>
              </w:rPr>
              <w:fldChar w:fldCharType="separate"/>
            </w:r>
            <w:r w:rsidR="000F6D1C">
              <w:rPr>
                <w:noProof/>
                <w:webHidden/>
              </w:rPr>
              <w:t>44</w:t>
            </w:r>
            <w:r w:rsidR="00A238D3">
              <w:rPr>
                <w:noProof/>
                <w:webHidden/>
              </w:rPr>
              <w:fldChar w:fldCharType="end"/>
            </w:r>
          </w:hyperlink>
        </w:p>
        <w:p w14:paraId="72F4571C" w14:textId="7936C29E"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20" w:history="1">
            <w:r w:rsidR="00A238D3" w:rsidRPr="004B10E2">
              <w:rPr>
                <w:rStyle w:val="Hyperlink"/>
                <w:noProof/>
              </w:rPr>
              <w:t>Pinaverium bromide</w:t>
            </w:r>
            <w:r w:rsidR="00A238D3">
              <w:rPr>
                <w:noProof/>
                <w:webHidden/>
              </w:rPr>
              <w:tab/>
            </w:r>
            <w:r w:rsidR="00A238D3">
              <w:rPr>
                <w:noProof/>
                <w:webHidden/>
              </w:rPr>
              <w:fldChar w:fldCharType="begin"/>
            </w:r>
            <w:r w:rsidR="00A238D3">
              <w:rPr>
                <w:noProof/>
                <w:webHidden/>
              </w:rPr>
              <w:instrText xml:space="preserve"> PAGEREF _Toc178340920 \h </w:instrText>
            </w:r>
            <w:r w:rsidR="00A238D3">
              <w:rPr>
                <w:noProof/>
                <w:webHidden/>
              </w:rPr>
            </w:r>
            <w:r w:rsidR="00A238D3">
              <w:rPr>
                <w:noProof/>
                <w:webHidden/>
              </w:rPr>
              <w:fldChar w:fldCharType="separate"/>
            </w:r>
            <w:r w:rsidR="000F6D1C">
              <w:rPr>
                <w:noProof/>
                <w:webHidden/>
              </w:rPr>
              <w:t>44</w:t>
            </w:r>
            <w:r w:rsidR="00A238D3">
              <w:rPr>
                <w:noProof/>
                <w:webHidden/>
              </w:rPr>
              <w:fldChar w:fldCharType="end"/>
            </w:r>
          </w:hyperlink>
        </w:p>
        <w:p w14:paraId="22BED47F" w14:textId="3ECD8298"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21" w:history="1">
            <w:r w:rsidR="00A238D3" w:rsidRPr="004B10E2">
              <w:rPr>
                <w:rStyle w:val="Hyperlink"/>
                <w:noProof/>
              </w:rPr>
              <w:t>Lumasiran</w:t>
            </w:r>
            <w:r w:rsidR="00A238D3">
              <w:rPr>
                <w:noProof/>
                <w:webHidden/>
              </w:rPr>
              <w:tab/>
            </w:r>
            <w:r w:rsidR="00A238D3">
              <w:rPr>
                <w:noProof/>
                <w:webHidden/>
              </w:rPr>
              <w:fldChar w:fldCharType="begin"/>
            </w:r>
            <w:r w:rsidR="00A238D3">
              <w:rPr>
                <w:noProof/>
                <w:webHidden/>
              </w:rPr>
              <w:instrText xml:space="preserve"> PAGEREF _Toc178340921 \h </w:instrText>
            </w:r>
            <w:r w:rsidR="00A238D3">
              <w:rPr>
                <w:noProof/>
                <w:webHidden/>
              </w:rPr>
            </w:r>
            <w:r w:rsidR="00A238D3">
              <w:rPr>
                <w:noProof/>
                <w:webHidden/>
              </w:rPr>
              <w:fldChar w:fldCharType="separate"/>
            </w:r>
            <w:r w:rsidR="000F6D1C">
              <w:rPr>
                <w:noProof/>
                <w:webHidden/>
              </w:rPr>
              <w:t>45</w:t>
            </w:r>
            <w:r w:rsidR="00A238D3">
              <w:rPr>
                <w:noProof/>
                <w:webHidden/>
              </w:rPr>
              <w:fldChar w:fldCharType="end"/>
            </w:r>
          </w:hyperlink>
        </w:p>
        <w:p w14:paraId="0DEAC16A" w14:textId="46C5C56C"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22" w:history="1">
            <w:r w:rsidR="00A238D3" w:rsidRPr="004B10E2">
              <w:rPr>
                <w:rStyle w:val="Hyperlink"/>
                <w:noProof/>
              </w:rPr>
              <w:t>Capivasertib</w:t>
            </w:r>
            <w:r w:rsidR="00A238D3">
              <w:rPr>
                <w:noProof/>
                <w:webHidden/>
              </w:rPr>
              <w:tab/>
            </w:r>
            <w:r w:rsidR="00A238D3">
              <w:rPr>
                <w:noProof/>
                <w:webHidden/>
              </w:rPr>
              <w:fldChar w:fldCharType="begin"/>
            </w:r>
            <w:r w:rsidR="00A238D3">
              <w:rPr>
                <w:noProof/>
                <w:webHidden/>
              </w:rPr>
              <w:instrText xml:space="preserve"> PAGEREF _Toc178340922 \h </w:instrText>
            </w:r>
            <w:r w:rsidR="00A238D3">
              <w:rPr>
                <w:noProof/>
                <w:webHidden/>
              </w:rPr>
            </w:r>
            <w:r w:rsidR="00A238D3">
              <w:rPr>
                <w:noProof/>
                <w:webHidden/>
              </w:rPr>
              <w:fldChar w:fldCharType="separate"/>
            </w:r>
            <w:r w:rsidR="000F6D1C">
              <w:rPr>
                <w:noProof/>
                <w:webHidden/>
              </w:rPr>
              <w:t>45</w:t>
            </w:r>
            <w:r w:rsidR="00A238D3">
              <w:rPr>
                <w:noProof/>
                <w:webHidden/>
              </w:rPr>
              <w:fldChar w:fldCharType="end"/>
            </w:r>
          </w:hyperlink>
        </w:p>
        <w:p w14:paraId="020AB89B" w14:textId="54EF4273"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23" w:history="1">
            <w:r w:rsidR="00A238D3" w:rsidRPr="004B10E2">
              <w:rPr>
                <w:rStyle w:val="Hyperlink"/>
                <w:noProof/>
              </w:rPr>
              <w:t>Vorasidenib</w:t>
            </w:r>
            <w:r w:rsidR="00A238D3">
              <w:rPr>
                <w:noProof/>
                <w:webHidden/>
              </w:rPr>
              <w:tab/>
            </w:r>
            <w:r w:rsidR="00A238D3">
              <w:rPr>
                <w:noProof/>
                <w:webHidden/>
              </w:rPr>
              <w:fldChar w:fldCharType="begin"/>
            </w:r>
            <w:r w:rsidR="00A238D3">
              <w:rPr>
                <w:noProof/>
                <w:webHidden/>
              </w:rPr>
              <w:instrText xml:space="preserve"> PAGEREF _Toc178340923 \h </w:instrText>
            </w:r>
            <w:r w:rsidR="00A238D3">
              <w:rPr>
                <w:noProof/>
                <w:webHidden/>
              </w:rPr>
            </w:r>
            <w:r w:rsidR="00A238D3">
              <w:rPr>
                <w:noProof/>
                <w:webHidden/>
              </w:rPr>
              <w:fldChar w:fldCharType="separate"/>
            </w:r>
            <w:r w:rsidR="000F6D1C">
              <w:rPr>
                <w:noProof/>
                <w:webHidden/>
              </w:rPr>
              <w:t>45</w:t>
            </w:r>
            <w:r w:rsidR="00A238D3">
              <w:rPr>
                <w:noProof/>
                <w:webHidden/>
              </w:rPr>
              <w:fldChar w:fldCharType="end"/>
            </w:r>
          </w:hyperlink>
        </w:p>
        <w:p w14:paraId="7058D584" w14:textId="7F6E5EED"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24" w:history="1">
            <w:r w:rsidR="00A238D3" w:rsidRPr="004B10E2">
              <w:rPr>
                <w:rStyle w:val="Hyperlink"/>
                <w:noProof/>
              </w:rPr>
              <w:t>Fruquintinib</w:t>
            </w:r>
            <w:r w:rsidR="00A238D3">
              <w:rPr>
                <w:noProof/>
                <w:webHidden/>
              </w:rPr>
              <w:tab/>
            </w:r>
            <w:r w:rsidR="00A238D3">
              <w:rPr>
                <w:noProof/>
                <w:webHidden/>
              </w:rPr>
              <w:fldChar w:fldCharType="begin"/>
            </w:r>
            <w:r w:rsidR="00A238D3">
              <w:rPr>
                <w:noProof/>
                <w:webHidden/>
              </w:rPr>
              <w:instrText xml:space="preserve"> PAGEREF _Toc178340924 \h </w:instrText>
            </w:r>
            <w:r w:rsidR="00A238D3">
              <w:rPr>
                <w:noProof/>
                <w:webHidden/>
              </w:rPr>
            </w:r>
            <w:r w:rsidR="00A238D3">
              <w:rPr>
                <w:noProof/>
                <w:webHidden/>
              </w:rPr>
              <w:fldChar w:fldCharType="separate"/>
            </w:r>
            <w:r w:rsidR="000F6D1C">
              <w:rPr>
                <w:noProof/>
                <w:webHidden/>
              </w:rPr>
              <w:t>45</w:t>
            </w:r>
            <w:r w:rsidR="00A238D3">
              <w:rPr>
                <w:noProof/>
                <w:webHidden/>
              </w:rPr>
              <w:fldChar w:fldCharType="end"/>
            </w:r>
          </w:hyperlink>
        </w:p>
        <w:p w14:paraId="1B04268A" w14:textId="5AE81783"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25" w:history="1">
            <w:r w:rsidR="00A238D3" w:rsidRPr="004B10E2">
              <w:rPr>
                <w:rStyle w:val="Hyperlink"/>
                <w:noProof/>
              </w:rPr>
              <w:t>Iptacopan</w:t>
            </w:r>
            <w:r w:rsidR="00A238D3">
              <w:rPr>
                <w:noProof/>
                <w:webHidden/>
              </w:rPr>
              <w:tab/>
            </w:r>
            <w:r w:rsidR="00A238D3">
              <w:rPr>
                <w:noProof/>
                <w:webHidden/>
              </w:rPr>
              <w:fldChar w:fldCharType="begin"/>
            </w:r>
            <w:r w:rsidR="00A238D3">
              <w:rPr>
                <w:noProof/>
                <w:webHidden/>
              </w:rPr>
              <w:instrText xml:space="preserve"> PAGEREF _Toc178340925 \h </w:instrText>
            </w:r>
            <w:r w:rsidR="00A238D3">
              <w:rPr>
                <w:noProof/>
                <w:webHidden/>
              </w:rPr>
            </w:r>
            <w:r w:rsidR="00A238D3">
              <w:rPr>
                <w:noProof/>
                <w:webHidden/>
              </w:rPr>
              <w:fldChar w:fldCharType="separate"/>
            </w:r>
            <w:r w:rsidR="000F6D1C">
              <w:rPr>
                <w:noProof/>
                <w:webHidden/>
              </w:rPr>
              <w:t>45</w:t>
            </w:r>
            <w:r w:rsidR="00A238D3">
              <w:rPr>
                <w:noProof/>
                <w:webHidden/>
              </w:rPr>
              <w:fldChar w:fldCharType="end"/>
            </w:r>
          </w:hyperlink>
        </w:p>
        <w:p w14:paraId="094730D0" w14:textId="2A752ABB"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26" w:history="1">
            <w:r w:rsidR="00A238D3" w:rsidRPr="004B10E2">
              <w:rPr>
                <w:rStyle w:val="Hyperlink"/>
                <w:noProof/>
              </w:rPr>
              <w:t>Danicopan</w:t>
            </w:r>
            <w:r w:rsidR="00A238D3">
              <w:rPr>
                <w:noProof/>
                <w:webHidden/>
              </w:rPr>
              <w:tab/>
            </w:r>
            <w:r w:rsidR="00A238D3">
              <w:rPr>
                <w:noProof/>
                <w:webHidden/>
              </w:rPr>
              <w:fldChar w:fldCharType="begin"/>
            </w:r>
            <w:r w:rsidR="00A238D3">
              <w:rPr>
                <w:noProof/>
                <w:webHidden/>
              </w:rPr>
              <w:instrText xml:space="preserve"> PAGEREF _Toc178340926 \h </w:instrText>
            </w:r>
            <w:r w:rsidR="00A238D3">
              <w:rPr>
                <w:noProof/>
                <w:webHidden/>
              </w:rPr>
            </w:r>
            <w:r w:rsidR="00A238D3">
              <w:rPr>
                <w:noProof/>
                <w:webHidden/>
              </w:rPr>
              <w:fldChar w:fldCharType="separate"/>
            </w:r>
            <w:r w:rsidR="000F6D1C">
              <w:rPr>
                <w:noProof/>
                <w:webHidden/>
              </w:rPr>
              <w:t>46</w:t>
            </w:r>
            <w:r w:rsidR="00A238D3">
              <w:rPr>
                <w:noProof/>
                <w:webHidden/>
              </w:rPr>
              <w:fldChar w:fldCharType="end"/>
            </w:r>
          </w:hyperlink>
        </w:p>
        <w:p w14:paraId="0B284347" w14:textId="31B98D2B" w:rsidR="00A238D3" w:rsidRDefault="007232A5">
          <w:pPr>
            <w:pStyle w:val="TOC2"/>
            <w:rPr>
              <w:rFonts w:asciiTheme="minorHAnsi" w:eastAsiaTheme="minorEastAsia" w:hAnsiTheme="minorHAnsi" w:cstheme="minorBidi"/>
              <w:b w:val="0"/>
              <w:noProof/>
              <w:color w:val="auto"/>
              <w:kern w:val="2"/>
              <w:sz w:val="22"/>
              <w:lang w:eastAsia="en-AU"/>
              <w14:ligatures w14:val="standardContextual"/>
            </w:rPr>
          </w:pPr>
          <w:hyperlink w:anchor="_Toc178340927" w:history="1">
            <w:r w:rsidR="00A238D3" w:rsidRPr="004B10E2">
              <w:rPr>
                <w:rStyle w:val="Hyperlink"/>
                <w:noProof/>
              </w:rPr>
              <w:t>Sotatercept</w:t>
            </w:r>
            <w:r w:rsidR="00A238D3">
              <w:rPr>
                <w:noProof/>
                <w:webHidden/>
              </w:rPr>
              <w:tab/>
            </w:r>
            <w:r w:rsidR="00A238D3">
              <w:rPr>
                <w:noProof/>
                <w:webHidden/>
              </w:rPr>
              <w:fldChar w:fldCharType="begin"/>
            </w:r>
            <w:r w:rsidR="00A238D3">
              <w:rPr>
                <w:noProof/>
                <w:webHidden/>
              </w:rPr>
              <w:instrText xml:space="preserve"> PAGEREF _Toc178340927 \h </w:instrText>
            </w:r>
            <w:r w:rsidR="00A238D3">
              <w:rPr>
                <w:noProof/>
                <w:webHidden/>
              </w:rPr>
            </w:r>
            <w:r w:rsidR="00A238D3">
              <w:rPr>
                <w:noProof/>
                <w:webHidden/>
              </w:rPr>
              <w:fldChar w:fldCharType="separate"/>
            </w:r>
            <w:r w:rsidR="000F6D1C">
              <w:rPr>
                <w:noProof/>
                <w:webHidden/>
              </w:rPr>
              <w:t>46</w:t>
            </w:r>
            <w:r w:rsidR="00A238D3">
              <w:rPr>
                <w:noProof/>
                <w:webHidden/>
              </w:rPr>
              <w:fldChar w:fldCharType="end"/>
            </w:r>
          </w:hyperlink>
        </w:p>
        <w:p w14:paraId="09B05728" w14:textId="22A9B89C" w:rsidR="00F02AEC" w:rsidRPr="00215D48" w:rsidRDefault="002B5C5B" w:rsidP="00967490">
          <w:r>
            <w:fldChar w:fldCharType="end"/>
          </w:r>
        </w:p>
      </w:sdtContent>
    </w:sdt>
    <w:p w14:paraId="4D0C412B" w14:textId="77777777" w:rsidR="00F02AEC" w:rsidRPr="00215D48" w:rsidRDefault="00F02AEC" w:rsidP="00967490">
      <w:r w:rsidRPr="00215D48">
        <w:br w:type="page"/>
      </w:r>
    </w:p>
    <w:p w14:paraId="3A06BE1E" w14:textId="77777777" w:rsidR="00457050" w:rsidRPr="00BC2009" w:rsidRDefault="00457050" w:rsidP="00967490">
      <w:pPr>
        <w:pStyle w:val="Heading2"/>
      </w:pPr>
      <w:bookmarkStart w:id="4" w:name="_Toc97640261"/>
      <w:bookmarkStart w:id="5" w:name="_Toc178340893"/>
      <w:r w:rsidRPr="00597B50">
        <w:lastRenderedPageBreak/>
        <w:t>Notice of final decisions to amend (or not amend) the current Poisons Standard</w:t>
      </w:r>
      <w:bookmarkEnd w:id="4"/>
      <w:bookmarkEnd w:id="5"/>
      <w:r w:rsidRPr="00597B50">
        <w:t xml:space="preserve"> </w:t>
      </w:r>
    </w:p>
    <w:p w14:paraId="2FB850E1" w14:textId="4BB6B3F2" w:rsidR="00457050" w:rsidRPr="00206027" w:rsidRDefault="00457050" w:rsidP="00967490">
      <w:pPr>
        <w:rPr>
          <w:rFonts w:cs="Arial"/>
        </w:rPr>
      </w:pPr>
      <w:r w:rsidRPr="00206027">
        <w:rPr>
          <w:rFonts w:cs="Arial"/>
        </w:rPr>
        <w:t xml:space="preserve">This web publication constitutes a notice for the purposes of regulation </w:t>
      </w:r>
      <w:r w:rsidRPr="0011279A">
        <w:rPr>
          <w:rFonts w:cs="Arial"/>
        </w:rPr>
        <w:t>42ZCZS</w:t>
      </w:r>
      <w:r w:rsidR="0011279A" w:rsidRPr="0011279A">
        <w:rPr>
          <w:rFonts w:cs="Arial"/>
        </w:rPr>
        <w:t xml:space="preserve"> </w:t>
      </w:r>
      <w:r w:rsidRPr="0011279A">
        <w:rPr>
          <w:rFonts w:cs="Arial"/>
        </w:rPr>
        <w:t>and regulation 42ZCZX</w:t>
      </w:r>
      <w:r w:rsidRPr="00206027">
        <w:rPr>
          <w:rFonts w:cs="Arial"/>
        </w:rPr>
        <w:t xml:space="preserve"> of the </w:t>
      </w:r>
      <w:r w:rsidRPr="00206027">
        <w:rPr>
          <w:rFonts w:cs="Arial"/>
          <w:i/>
        </w:rPr>
        <w:t xml:space="preserve">Therapeutic Goods Regulations 1990 </w:t>
      </w:r>
      <w:r w:rsidRPr="00206027">
        <w:rPr>
          <w:rFonts w:cs="Arial"/>
        </w:rPr>
        <w:t xml:space="preserve">(the </w:t>
      </w:r>
      <w:r w:rsidRPr="00206027">
        <w:rPr>
          <w:rFonts w:cs="Arial"/>
          <w:b/>
        </w:rPr>
        <w:t>Regulations</w:t>
      </w:r>
      <w:r w:rsidRPr="00206027">
        <w:rPr>
          <w:rFonts w:cs="Arial"/>
        </w:rPr>
        <w:t xml:space="preserve">). In accordance with </w:t>
      </w:r>
      <w:r w:rsidRPr="0011279A">
        <w:rPr>
          <w:rFonts w:cs="Arial"/>
        </w:rPr>
        <w:t>regulations 42ZCZS</w:t>
      </w:r>
      <w:r w:rsidR="0011279A" w:rsidRPr="0011279A">
        <w:rPr>
          <w:rFonts w:cs="Arial"/>
        </w:rPr>
        <w:t xml:space="preserve"> </w:t>
      </w:r>
      <w:r w:rsidRPr="0011279A">
        <w:rPr>
          <w:rFonts w:cs="Arial"/>
        </w:rPr>
        <w:t>and 42CZX,</w:t>
      </w:r>
      <w:r w:rsidRPr="00206027">
        <w:rPr>
          <w:rFonts w:cs="Arial"/>
        </w:rPr>
        <w:t xml:space="preserve"> this notice publishes:</w:t>
      </w:r>
    </w:p>
    <w:p w14:paraId="4D038242" w14:textId="52C809D4" w:rsidR="00457050" w:rsidRPr="00206027" w:rsidRDefault="00457050" w:rsidP="00321B93">
      <w:pPr>
        <w:pStyle w:val="ListBullet"/>
        <w:rPr>
          <w:rFonts w:cs="Arial"/>
        </w:rPr>
      </w:pPr>
      <w:r w:rsidRPr="00206027">
        <w:rPr>
          <w:rFonts w:cs="Arial"/>
        </w:rPr>
        <w:t>the decision</w:t>
      </w:r>
      <w:r w:rsidR="00C5736D">
        <w:rPr>
          <w:rFonts w:cs="Arial"/>
        </w:rPr>
        <w:t>s</w:t>
      </w:r>
      <w:r w:rsidRPr="00206027">
        <w:rPr>
          <w:rFonts w:cs="Arial"/>
        </w:rPr>
        <w:t xml:space="preserve"> made by a delegate</w:t>
      </w:r>
      <w:r w:rsidRPr="00206027">
        <w:rPr>
          <w:rStyle w:val="FootnoteReference"/>
          <w:rFonts w:cs="Arial"/>
        </w:rPr>
        <w:footnoteReference w:id="1"/>
      </w:r>
      <w:r w:rsidRPr="00206027">
        <w:rPr>
          <w:rFonts w:cs="Arial"/>
        </w:rPr>
        <w:t xml:space="preserve"> of the Secretary of the Department of Health and Aged Care (the </w:t>
      </w:r>
      <w:r w:rsidRPr="00206027">
        <w:rPr>
          <w:rFonts w:cs="Arial"/>
          <w:b/>
          <w:bCs/>
        </w:rPr>
        <w:t>Delegate</w:t>
      </w:r>
      <w:r w:rsidRPr="00206027">
        <w:rPr>
          <w:rFonts w:cs="Arial"/>
        </w:rPr>
        <w:t>) pursuant to regulation</w:t>
      </w:r>
      <w:r w:rsidR="00C5736D">
        <w:rPr>
          <w:rFonts w:cs="Arial"/>
        </w:rPr>
        <w:t>s</w:t>
      </w:r>
      <w:r w:rsidRPr="00206027">
        <w:rPr>
          <w:rFonts w:cs="Arial"/>
        </w:rPr>
        <w:t xml:space="preserve"> 42CZR, 42ZCZU AND 42ZCZW</w:t>
      </w:r>
    </w:p>
    <w:p w14:paraId="1AA8F280" w14:textId="02E74F82" w:rsidR="00457050" w:rsidRPr="00206027" w:rsidRDefault="00457050" w:rsidP="00321B93">
      <w:pPr>
        <w:pStyle w:val="ListBullet"/>
        <w:rPr>
          <w:rFonts w:cs="Arial"/>
        </w:rPr>
      </w:pPr>
      <w:r w:rsidRPr="00206027">
        <w:rPr>
          <w:rFonts w:cs="Arial"/>
        </w:rPr>
        <w:t xml:space="preserve">the reasons for </w:t>
      </w:r>
      <w:r w:rsidR="00C5736D">
        <w:rPr>
          <w:rFonts w:cs="Arial"/>
        </w:rPr>
        <w:t>those</w:t>
      </w:r>
      <w:r w:rsidRPr="00206027">
        <w:rPr>
          <w:rFonts w:cs="Arial"/>
        </w:rPr>
        <w:t xml:space="preserve"> final decision</w:t>
      </w:r>
      <w:r w:rsidR="00C5736D">
        <w:rPr>
          <w:rFonts w:cs="Arial"/>
        </w:rPr>
        <w:t>s</w:t>
      </w:r>
      <w:r w:rsidRPr="00206027">
        <w:rPr>
          <w:rFonts w:cs="Arial"/>
        </w:rPr>
        <w:t xml:space="preserve"> and</w:t>
      </w:r>
    </w:p>
    <w:p w14:paraId="5E6BC7C7" w14:textId="0076B117" w:rsidR="00457050" w:rsidRPr="00206027" w:rsidRDefault="00457050" w:rsidP="00321B93">
      <w:pPr>
        <w:pStyle w:val="ListBullet"/>
        <w:rPr>
          <w:rFonts w:cs="Arial"/>
        </w:rPr>
      </w:pPr>
      <w:r w:rsidRPr="00206027">
        <w:rPr>
          <w:rFonts w:cs="Arial"/>
        </w:rPr>
        <w:t>the date of effect of</w:t>
      </w:r>
      <w:r w:rsidR="00C5736D">
        <w:rPr>
          <w:rFonts w:cs="Arial"/>
        </w:rPr>
        <w:t xml:space="preserve"> those</w:t>
      </w:r>
      <w:r w:rsidRPr="00206027">
        <w:rPr>
          <w:rFonts w:cs="Arial"/>
        </w:rPr>
        <w:t xml:space="preserve"> decision</w:t>
      </w:r>
      <w:r w:rsidR="00C5736D">
        <w:rPr>
          <w:rFonts w:cs="Arial"/>
        </w:rPr>
        <w:t>s.</w:t>
      </w:r>
    </w:p>
    <w:p w14:paraId="67DC0EBB" w14:textId="6242BB51" w:rsidR="00457050" w:rsidRPr="00206027" w:rsidRDefault="00831B56" w:rsidP="00321B93">
      <w:pPr>
        <w:pStyle w:val="ListBullet"/>
        <w:rPr>
          <w:rFonts w:cs="Arial"/>
        </w:rPr>
      </w:pPr>
      <w:r w:rsidRPr="00206027">
        <w:rPr>
          <w:rFonts w:cs="Arial"/>
        </w:rPr>
        <w:t>Defined terms</w:t>
      </w:r>
    </w:p>
    <w:p w14:paraId="3518FC9A" w14:textId="39B18FB7" w:rsidR="00831B56" w:rsidRPr="00206027" w:rsidRDefault="00831B56" w:rsidP="00321B93">
      <w:pPr>
        <w:pStyle w:val="ListBullet"/>
        <w:rPr>
          <w:rFonts w:cs="Arial"/>
        </w:rPr>
      </w:pPr>
      <w:r w:rsidRPr="00206027">
        <w:rPr>
          <w:rFonts w:cs="Arial"/>
        </w:rPr>
        <w:t>In this notice the following defined terms are used in addition to those above:</w:t>
      </w:r>
    </w:p>
    <w:p w14:paraId="6BE33439" w14:textId="29031A03" w:rsidR="00831B56" w:rsidRPr="00206027" w:rsidRDefault="00831B56" w:rsidP="00321B93">
      <w:pPr>
        <w:pStyle w:val="ListBullet"/>
        <w:rPr>
          <w:rFonts w:cs="Arial"/>
        </w:rPr>
      </w:pPr>
      <w:r w:rsidRPr="00206027">
        <w:rPr>
          <w:rFonts w:cs="Arial"/>
        </w:rPr>
        <w:t>the Therapeutic Goods Act 1989 (</w:t>
      </w:r>
      <w:proofErr w:type="spellStart"/>
      <w:r w:rsidRPr="00206027">
        <w:rPr>
          <w:rFonts w:cs="Arial"/>
        </w:rPr>
        <w:t>Cth</w:t>
      </w:r>
      <w:proofErr w:type="spellEnd"/>
      <w:r w:rsidRPr="00206027">
        <w:rPr>
          <w:rFonts w:cs="Arial"/>
        </w:rPr>
        <w:t xml:space="preserve">) (the </w:t>
      </w:r>
      <w:r w:rsidRPr="00206027">
        <w:rPr>
          <w:rFonts w:cs="Arial"/>
          <w:b/>
          <w:bCs/>
        </w:rPr>
        <w:t>Act</w:t>
      </w:r>
      <w:r w:rsidRPr="00206027">
        <w:rPr>
          <w:rFonts w:cs="Arial"/>
        </w:rPr>
        <w:t>)</w:t>
      </w:r>
    </w:p>
    <w:p w14:paraId="6550B5E6" w14:textId="5EBA37FF" w:rsidR="00831B56" w:rsidRPr="00206027" w:rsidRDefault="00831B56" w:rsidP="00321B93">
      <w:pPr>
        <w:pStyle w:val="ListBullet"/>
        <w:rPr>
          <w:rFonts w:cs="Arial"/>
        </w:rPr>
      </w:pPr>
      <w:r w:rsidRPr="00206027">
        <w:rPr>
          <w:rFonts w:cs="Arial"/>
        </w:rPr>
        <w:t xml:space="preserve">the </w:t>
      </w:r>
      <w:hyperlink r:id="rId12" w:history="1">
        <w:r w:rsidRPr="00206027">
          <w:rPr>
            <w:rStyle w:val="Hyperlink"/>
            <w:rFonts w:cs="Arial"/>
          </w:rPr>
          <w:t>Scheduling Policy Framework</w:t>
        </w:r>
      </w:hyperlink>
      <w:r w:rsidRPr="00206027">
        <w:rPr>
          <w:rFonts w:cs="Arial"/>
        </w:rPr>
        <w:t xml:space="preserve"> 2018 (the </w:t>
      </w:r>
      <w:r w:rsidRPr="00206027">
        <w:rPr>
          <w:rFonts w:cs="Arial"/>
          <w:b/>
          <w:bCs/>
        </w:rPr>
        <w:t>SPF</w:t>
      </w:r>
      <w:r w:rsidRPr="00206027">
        <w:rPr>
          <w:rFonts w:cs="Arial"/>
        </w:rPr>
        <w:t>)</w:t>
      </w:r>
    </w:p>
    <w:p w14:paraId="4CDC567B" w14:textId="46FFCF22" w:rsidR="00831B56" w:rsidRPr="00206027" w:rsidRDefault="00831B56" w:rsidP="00321B93">
      <w:pPr>
        <w:pStyle w:val="ListBullet"/>
        <w:rPr>
          <w:rFonts w:cs="Arial"/>
        </w:rPr>
      </w:pPr>
      <w:r w:rsidRPr="00206027">
        <w:rPr>
          <w:rFonts w:cs="Arial"/>
        </w:rPr>
        <w:t>the Scheduling handbook</w:t>
      </w:r>
      <w:r w:rsidR="00FC1EB4" w:rsidRPr="00206027">
        <w:rPr>
          <w:rFonts w:cs="Arial"/>
        </w:rPr>
        <w:t>,</w:t>
      </w:r>
      <w:r w:rsidRPr="00206027">
        <w:rPr>
          <w:rFonts w:cs="Arial"/>
        </w:rPr>
        <w:t xml:space="preserve"> </w:t>
      </w:r>
      <w:hyperlink r:id="rId13" w:history="1">
        <w:r w:rsidRPr="00206027">
          <w:rPr>
            <w:rStyle w:val="Hyperlink"/>
            <w:rFonts w:cs="Arial"/>
          </w:rPr>
          <w:t>Guidance for amending the Poisons Standard</w:t>
        </w:r>
      </w:hyperlink>
      <w:r w:rsidRPr="00206027">
        <w:rPr>
          <w:rFonts w:cs="Arial"/>
        </w:rPr>
        <w:t xml:space="preserve"> (the </w:t>
      </w:r>
      <w:r w:rsidRPr="00206027">
        <w:rPr>
          <w:rFonts w:cs="Arial"/>
          <w:b/>
          <w:bCs/>
        </w:rPr>
        <w:t>Handbook</w:t>
      </w:r>
      <w:r w:rsidRPr="00206027">
        <w:rPr>
          <w:rFonts w:cs="Arial"/>
        </w:rPr>
        <w:t>) and</w:t>
      </w:r>
    </w:p>
    <w:p w14:paraId="78D91CCD" w14:textId="3DC73865" w:rsidR="00831B56" w:rsidRPr="00206027" w:rsidRDefault="00831B56" w:rsidP="00321B93">
      <w:pPr>
        <w:pStyle w:val="ListBullet"/>
        <w:rPr>
          <w:rFonts w:cs="Arial"/>
        </w:rPr>
      </w:pPr>
      <w:r w:rsidRPr="00206027">
        <w:rPr>
          <w:rFonts w:cs="Arial"/>
        </w:rPr>
        <w:t xml:space="preserve">the Therapeutic Goods Administration (the </w:t>
      </w:r>
      <w:r w:rsidRPr="00206027">
        <w:rPr>
          <w:rFonts w:cs="Arial"/>
          <w:b/>
          <w:bCs/>
        </w:rPr>
        <w:t>TGA</w:t>
      </w:r>
      <w:r w:rsidRPr="00206027">
        <w:rPr>
          <w:rFonts w:cs="Arial"/>
        </w:rPr>
        <w:t>).</w:t>
      </w:r>
    </w:p>
    <w:p w14:paraId="1ECB50B6" w14:textId="5A17E978" w:rsidR="00831B56" w:rsidRPr="00206027" w:rsidRDefault="00831B56" w:rsidP="0011279A">
      <w:pPr>
        <w:pStyle w:val="ListBullet"/>
        <w:numPr>
          <w:ilvl w:val="0"/>
          <w:numId w:val="0"/>
        </w:numPr>
        <w:ind w:left="207"/>
        <w:rPr>
          <w:rFonts w:cs="Arial"/>
        </w:rPr>
      </w:pPr>
      <w:r w:rsidRPr="00206027">
        <w:rPr>
          <w:rFonts w:cs="Arial"/>
        </w:rPr>
        <w:t>Note: additional terms are also defined for individual decisions.</w:t>
      </w:r>
    </w:p>
    <w:p w14:paraId="78617E2B" w14:textId="77777777" w:rsidR="00E82526" w:rsidRDefault="00E82526">
      <w:pPr>
        <w:rPr>
          <w:rFonts w:eastAsia="Times New Roman" w:cs="Times New Roman"/>
          <w:b/>
          <w:bCs/>
          <w:color w:val="001871"/>
          <w:sz w:val="38"/>
          <w:szCs w:val="38"/>
        </w:rPr>
      </w:pPr>
      <w:bookmarkStart w:id="6" w:name="_Toc97640263"/>
      <w:r>
        <w:br w:type="page"/>
      </w:r>
    </w:p>
    <w:p w14:paraId="66FD8F80" w14:textId="698F16BF" w:rsidR="008921D5" w:rsidRPr="00FA029A" w:rsidRDefault="008921D5" w:rsidP="008921D5">
      <w:pPr>
        <w:pStyle w:val="Heading2"/>
      </w:pPr>
      <w:bookmarkStart w:id="7" w:name="_Toc178340894"/>
      <w:r>
        <w:lastRenderedPageBreak/>
        <w:t>Final</w:t>
      </w:r>
      <w:r w:rsidRPr="00FA029A">
        <w:t xml:space="preserve"> decisions on proposed amendments referred to the Advisory Committee o</w:t>
      </w:r>
      <w:r>
        <w:t>n Medicines Scheduling (ACMS #44, March</w:t>
      </w:r>
      <w:r w:rsidR="00894493">
        <w:t xml:space="preserve"> </w:t>
      </w:r>
      <w:r>
        <w:t>2024</w:t>
      </w:r>
      <w:r w:rsidRPr="00FA029A">
        <w:t>)</w:t>
      </w:r>
      <w:bookmarkEnd w:id="6"/>
      <w:bookmarkEnd w:id="7"/>
    </w:p>
    <w:p w14:paraId="287721DB" w14:textId="77777777" w:rsidR="008921D5" w:rsidRDefault="008921D5" w:rsidP="00335538">
      <w:pPr>
        <w:pStyle w:val="Heading3"/>
      </w:pPr>
      <w:bookmarkStart w:id="8" w:name="_Toc46325255"/>
      <w:bookmarkStart w:id="9" w:name="_Toc46325611"/>
      <w:bookmarkStart w:id="10" w:name="_Toc46327427"/>
      <w:bookmarkStart w:id="11" w:name="_Toc46412213"/>
      <w:bookmarkStart w:id="12" w:name="_Final_decision_in"/>
      <w:bookmarkStart w:id="13" w:name="_Toc46325256"/>
      <w:bookmarkStart w:id="14" w:name="_Toc46325612"/>
      <w:bookmarkStart w:id="15" w:name="_Toc46327428"/>
      <w:bookmarkStart w:id="16" w:name="_Toc46412214"/>
      <w:bookmarkStart w:id="17" w:name="_Toc46325257"/>
      <w:bookmarkStart w:id="18" w:name="_Toc46325613"/>
      <w:bookmarkStart w:id="19" w:name="_Toc46327429"/>
      <w:bookmarkStart w:id="20" w:name="_Toc46412215"/>
      <w:bookmarkStart w:id="21" w:name="_Toc46325258"/>
      <w:bookmarkStart w:id="22" w:name="_Toc46325614"/>
      <w:bookmarkStart w:id="23" w:name="_Toc46327430"/>
      <w:bookmarkStart w:id="24" w:name="_Toc46412216"/>
      <w:bookmarkStart w:id="25" w:name="_Toc46325259"/>
      <w:bookmarkStart w:id="26" w:name="_Toc46325615"/>
      <w:bookmarkStart w:id="27" w:name="_Toc46327431"/>
      <w:bookmarkStart w:id="28" w:name="_Toc46412217"/>
      <w:bookmarkStart w:id="29" w:name="_Final_decision_in_1"/>
      <w:bookmarkStart w:id="30" w:name="_Toc17834089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 xml:space="preserve">Final decision in relation to </w:t>
      </w:r>
      <w:proofErr w:type="spellStart"/>
      <w:r w:rsidRPr="00AF48DF">
        <w:t>cytisine</w:t>
      </w:r>
      <w:bookmarkEnd w:id="30"/>
      <w:proofErr w:type="spellEnd"/>
    </w:p>
    <w:p w14:paraId="0B3246E1" w14:textId="77777777" w:rsidR="00FE75C7" w:rsidRPr="00335538" w:rsidRDefault="00FE75C7" w:rsidP="00335538">
      <w:pPr>
        <w:pStyle w:val="Heading4"/>
      </w:pPr>
      <w:r w:rsidRPr="00335538">
        <w:t>Proposal</w:t>
      </w:r>
    </w:p>
    <w:p w14:paraId="22D5D6D2" w14:textId="3E0F8CB3" w:rsidR="00FE75C7" w:rsidRDefault="00FE75C7" w:rsidP="00FE75C7">
      <w:pPr>
        <w:jc w:val="both"/>
      </w:pPr>
      <w:r w:rsidRPr="00AF48DF">
        <w:t xml:space="preserve">The Delegate received an application to create new </w:t>
      </w:r>
      <w:r w:rsidR="00440D56">
        <w:t>Pharmacy medicine (</w:t>
      </w:r>
      <w:r w:rsidRPr="00AF48DF">
        <w:t>Schedule 2</w:t>
      </w:r>
      <w:r w:rsidR="00440D56">
        <w:t>)</w:t>
      </w:r>
      <w:r w:rsidRPr="00AF48DF">
        <w:t xml:space="preserve"> and </w:t>
      </w:r>
      <w:r w:rsidR="00440D56">
        <w:t xml:space="preserve">Prescription only medicine (Schedule </w:t>
      </w:r>
      <w:r w:rsidRPr="00AF48DF">
        <w:t>4</w:t>
      </w:r>
      <w:r w:rsidR="00440D56">
        <w:t>)</w:t>
      </w:r>
      <w:r w:rsidRPr="00AF48DF">
        <w:t xml:space="preserve"> entries for </w:t>
      </w:r>
      <w:proofErr w:type="spellStart"/>
      <w:r w:rsidRPr="00AF48DF">
        <w:t>cytisine</w:t>
      </w:r>
      <w:proofErr w:type="spellEnd"/>
      <w:r w:rsidRPr="00AF48DF">
        <w:t xml:space="preserve">. The proposed amendment would include </w:t>
      </w:r>
      <w:proofErr w:type="spellStart"/>
      <w:r w:rsidRPr="00AF48DF">
        <w:t>cytisine</w:t>
      </w:r>
      <w:proofErr w:type="spellEnd"/>
      <w:r w:rsidRPr="00AF48DF">
        <w:t xml:space="preserve"> in divided preparations for oral use containing 1.5 mg or less of </w:t>
      </w:r>
      <w:proofErr w:type="spellStart"/>
      <w:r w:rsidRPr="00AF48DF">
        <w:t>cytisine</w:t>
      </w:r>
      <w:proofErr w:type="spellEnd"/>
      <w:r w:rsidRPr="00AF48DF">
        <w:t xml:space="preserve"> per dosage unit in Schedule 2, and all other preparations containing </w:t>
      </w:r>
      <w:proofErr w:type="spellStart"/>
      <w:r w:rsidRPr="00AF48DF">
        <w:t>cytisine</w:t>
      </w:r>
      <w:proofErr w:type="spellEnd"/>
      <w:r w:rsidRPr="00AF48DF">
        <w:t xml:space="preserve"> in Schedule 4. </w:t>
      </w:r>
      <w:proofErr w:type="spellStart"/>
      <w:r w:rsidRPr="00AF48DF">
        <w:t>Cytisine</w:t>
      </w:r>
      <w:proofErr w:type="spellEnd"/>
      <w:r w:rsidRPr="00AF48DF">
        <w:t xml:space="preserve"> is currently </w:t>
      </w:r>
      <w:r w:rsidR="00440D56">
        <w:t xml:space="preserve">unscheduled and </w:t>
      </w:r>
      <w:r w:rsidRPr="00AF48DF">
        <w:t>an unapproved ingredient in preparations for therapeutic use.</w:t>
      </w:r>
    </w:p>
    <w:p w14:paraId="009EE8CC" w14:textId="77777777" w:rsidR="00FE75C7" w:rsidRPr="00967490" w:rsidRDefault="00FE75C7" w:rsidP="00335538">
      <w:pPr>
        <w:pStyle w:val="Heading4"/>
      </w:pPr>
      <w:r w:rsidRPr="00967490">
        <w:t xml:space="preserve">Final decision </w:t>
      </w:r>
    </w:p>
    <w:p w14:paraId="6B55778E" w14:textId="223B05C4" w:rsidR="00FE75C7" w:rsidRDefault="00FE75C7" w:rsidP="00FE75C7">
      <w:pPr>
        <w:jc w:val="both"/>
      </w:pPr>
      <w:r w:rsidRPr="00967490">
        <w:t xml:space="preserve">Pursuant to regulation </w:t>
      </w:r>
      <w:r>
        <w:t>42ZCZQ of the Regulations the Delegate has reconsidered the interim decision and</w:t>
      </w:r>
      <w:r w:rsidRPr="00967490">
        <w:t xml:space="preserve"> has made a final decision</w:t>
      </w:r>
      <w:r>
        <w:t>, pursuant to regulation</w:t>
      </w:r>
      <w:r w:rsidRPr="00967490">
        <w:t xml:space="preserve"> 42ZCZR of the Regulations</w:t>
      </w:r>
      <w:r>
        <w:t>,</w:t>
      </w:r>
      <w:r w:rsidRPr="00967490">
        <w:t xml:space="preserve"> to </w:t>
      </w:r>
      <w:r w:rsidRPr="00CC4089">
        <w:t xml:space="preserve">vary the interim decision and amend the current Poisons Standard in relation to </w:t>
      </w:r>
      <w:proofErr w:type="spellStart"/>
      <w:r w:rsidRPr="00CC4089">
        <w:t>cytisine</w:t>
      </w:r>
      <w:proofErr w:type="spellEnd"/>
      <w:r w:rsidRPr="00CC4089">
        <w:t xml:space="preserve"> as follows:</w:t>
      </w:r>
      <w:r w:rsidR="008C6CF9">
        <w:rPr>
          <w:rStyle w:val="FootnoteReference"/>
        </w:rPr>
        <w:footnoteReference w:id="2"/>
      </w:r>
    </w:p>
    <w:p w14:paraId="48D86B30" w14:textId="77777777" w:rsidR="00FE75C7" w:rsidRDefault="00FE75C7" w:rsidP="00FE75C7"/>
    <w:p w14:paraId="644F4C29" w14:textId="77777777" w:rsidR="00FE75C7" w:rsidRPr="00B150E2" w:rsidRDefault="00FE75C7" w:rsidP="00FE75C7">
      <w:pPr>
        <w:ind w:left="426"/>
        <w:rPr>
          <w:rFonts w:cstheme="minorHAnsi"/>
          <w:b/>
          <w:bCs/>
          <w:color w:val="auto"/>
          <w:lang w:eastAsia="en-AU"/>
        </w:rPr>
      </w:pPr>
      <w:r w:rsidRPr="00B150E2">
        <w:rPr>
          <w:rFonts w:cstheme="minorHAnsi"/>
          <w:b/>
          <w:bCs/>
          <w:color w:val="auto"/>
        </w:rPr>
        <w:t>Schedule 4 – New entry</w:t>
      </w:r>
    </w:p>
    <w:p w14:paraId="5129B4BC" w14:textId="77777777" w:rsidR="00FE75C7" w:rsidRPr="00B150E2" w:rsidRDefault="00FE75C7" w:rsidP="00FE75C7">
      <w:pPr>
        <w:ind w:left="709"/>
        <w:rPr>
          <w:rFonts w:cstheme="minorHAnsi"/>
          <w:color w:val="00B050"/>
          <w:u w:val="single"/>
        </w:rPr>
      </w:pPr>
      <w:r w:rsidRPr="00B150E2">
        <w:rPr>
          <w:rFonts w:cstheme="minorHAnsi"/>
          <w:color w:val="00B050"/>
          <w:u w:val="single"/>
        </w:rPr>
        <w:t xml:space="preserve">CYTISINE </w:t>
      </w:r>
      <w:r w:rsidRPr="00B150E2">
        <w:rPr>
          <w:rFonts w:cstheme="minorHAnsi"/>
          <w:b/>
          <w:bCs/>
          <w:color w:val="00B050"/>
          <w:u w:val="single"/>
          <w:shd w:val="clear" w:color="auto" w:fill="FFFFFF"/>
        </w:rPr>
        <w:t>except</w:t>
      </w:r>
      <w:r w:rsidRPr="00B150E2">
        <w:rPr>
          <w:rFonts w:cstheme="minorHAnsi"/>
          <w:color w:val="00B050"/>
          <w:u w:val="single"/>
          <w:shd w:val="clear" w:color="auto" w:fill="FFFFFF"/>
        </w:rPr>
        <w:t xml:space="preserve"> when included in Schedule 3</w:t>
      </w:r>
      <w:r w:rsidRPr="00B150E2">
        <w:rPr>
          <w:rFonts w:cstheme="minorHAnsi"/>
          <w:color w:val="00B050"/>
          <w:u w:val="single"/>
        </w:rPr>
        <w:t>.</w:t>
      </w:r>
    </w:p>
    <w:p w14:paraId="48076318" w14:textId="77777777" w:rsidR="00FE75C7" w:rsidRPr="00B150E2" w:rsidRDefault="00FE75C7" w:rsidP="00FE75C7">
      <w:pPr>
        <w:ind w:left="426"/>
        <w:rPr>
          <w:rFonts w:cstheme="minorHAnsi"/>
          <w:b/>
          <w:bCs/>
          <w:color w:val="auto"/>
          <w:lang w:eastAsia="en-AU"/>
        </w:rPr>
      </w:pPr>
      <w:r w:rsidRPr="00B150E2">
        <w:rPr>
          <w:rFonts w:cstheme="minorHAnsi"/>
          <w:b/>
          <w:bCs/>
          <w:color w:val="auto"/>
        </w:rPr>
        <w:t>Schedule 3 – New entry</w:t>
      </w:r>
    </w:p>
    <w:p w14:paraId="5E715E8B" w14:textId="77777777" w:rsidR="00FE75C7" w:rsidRDefault="00FE75C7" w:rsidP="00FE75C7">
      <w:pPr>
        <w:ind w:left="709"/>
        <w:rPr>
          <w:rFonts w:cstheme="minorHAnsi"/>
          <w:color w:val="00B050"/>
          <w:u w:val="single"/>
        </w:rPr>
      </w:pPr>
      <w:r w:rsidRPr="00B150E2">
        <w:rPr>
          <w:rFonts w:cstheme="minorHAnsi"/>
          <w:color w:val="00B050"/>
          <w:u w:val="single"/>
        </w:rPr>
        <w:t xml:space="preserve">CYTISINE in divided oral and </w:t>
      </w:r>
      <w:proofErr w:type="spellStart"/>
      <w:r w:rsidRPr="00B150E2">
        <w:rPr>
          <w:rFonts w:cstheme="minorHAnsi"/>
          <w:color w:val="00B050"/>
          <w:u w:val="single"/>
        </w:rPr>
        <w:t>oromucosal</w:t>
      </w:r>
      <w:proofErr w:type="spellEnd"/>
      <w:r w:rsidRPr="00B150E2">
        <w:rPr>
          <w:rFonts w:cstheme="minorHAnsi"/>
          <w:color w:val="00B050"/>
          <w:u w:val="single"/>
        </w:rPr>
        <w:t xml:space="preserve"> preparations with a recommended daily dose of 9 mg or less of </w:t>
      </w:r>
      <w:proofErr w:type="spellStart"/>
      <w:r w:rsidRPr="00B150E2">
        <w:rPr>
          <w:rFonts w:cstheme="minorHAnsi"/>
          <w:color w:val="00B050"/>
          <w:u w:val="single"/>
        </w:rPr>
        <w:t>cytisine</w:t>
      </w:r>
      <w:proofErr w:type="spellEnd"/>
      <w:r w:rsidRPr="00B150E2">
        <w:rPr>
          <w:rFonts w:cstheme="minorHAnsi"/>
          <w:color w:val="00B050"/>
          <w:u w:val="single"/>
        </w:rPr>
        <w:t xml:space="preserve"> as an aid in withdrawal from tobacco smoking in adults.</w:t>
      </w:r>
    </w:p>
    <w:p w14:paraId="085B612C" w14:textId="5E9C58C8" w:rsidR="004B2B51" w:rsidRDefault="004B2B51" w:rsidP="00FE75C7">
      <w:pPr>
        <w:ind w:left="426"/>
        <w:rPr>
          <w:rFonts w:cstheme="minorHAnsi"/>
          <w:b/>
          <w:bCs/>
          <w:color w:val="auto"/>
        </w:rPr>
      </w:pPr>
      <w:r>
        <w:rPr>
          <w:rFonts w:cstheme="minorHAnsi"/>
          <w:b/>
          <w:bCs/>
          <w:color w:val="auto"/>
        </w:rPr>
        <w:t>Appendix H – New entry</w:t>
      </w:r>
    </w:p>
    <w:p w14:paraId="34DAC18E" w14:textId="581D016C" w:rsidR="004B2B51" w:rsidRPr="004B2B51" w:rsidRDefault="004B2B51" w:rsidP="004B2B51">
      <w:pPr>
        <w:ind w:left="426" w:firstLine="294"/>
        <w:rPr>
          <w:rFonts w:cstheme="minorHAnsi"/>
          <w:color w:val="00B050"/>
          <w:u w:val="single"/>
        </w:rPr>
      </w:pPr>
      <w:r w:rsidRPr="004B2B51">
        <w:rPr>
          <w:rFonts w:cstheme="minorHAnsi"/>
          <w:color w:val="00B050"/>
          <w:u w:val="single"/>
        </w:rPr>
        <w:t>CYTISINE</w:t>
      </w:r>
    </w:p>
    <w:p w14:paraId="3E44D7A2" w14:textId="685462B3" w:rsidR="00FE75C7" w:rsidRPr="00B150E2" w:rsidRDefault="00FE75C7" w:rsidP="00FE75C7">
      <w:pPr>
        <w:ind w:left="426"/>
        <w:rPr>
          <w:rFonts w:cstheme="minorHAnsi"/>
          <w:b/>
          <w:bCs/>
          <w:color w:val="auto"/>
        </w:rPr>
      </w:pPr>
      <w:r w:rsidRPr="00B150E2">
        <w:rPr>
          <w:rFonts w:cstheme="minorHAnsi"/>
          <w:b/>
          <w:bCs/>
          <w:color w:val="auto"/>
        </w:rPr>
        <w:t>Index – New entry</w:t>
      </w:r>
    </w:p>
    <w:p w14:paraId="72113339" w14:textId="77777777" w:rsidR="00FE75C7" w:rsidRPr="00B150E2" w:rsidRDefault="00FE75C7" w:rsidP="00FE75C7">
      <w:pPr>
        <w:ind w:left="709"/>
        <w:rPr>
          <w:rFonts w:cstheme="minorHAnsi"/>
          <w:color w:val="00B050"/>
          <w:u w:val="single"/>
        </w:rPr>
      </w:pPr>
      <w:r w:rsidRPr="00B150E2">
        <w:rPr>
          <w:rFonts w:cstheme="minorHAnsi"/>
          <w:color w:val="00B050"/>
          <w:u w:val="single"/>
        </w:rPr>
        <w:t>CYTISINE</w:t>
      </w:r>
    </w:p>
    <w:p w14:paraId="18E6F597" w14:textId="77777777" w:rsidR="00FE75C7" w:rsidRPr="00B150E2" w:rsidRDefault="00FE75C7" w:rsidP="00FE75C7">
      <w:pPr>
        <w:ind w:left="709"/>
        <w:rPr>
          <w:rFonts w:cstheme="minorHAnsi"/>
          <w:color w:val="00B050"/>
          <w:u w:val="single"/>
        </w:rPr>
      </w:pPr>
      <w:r w:rsidRPr="00B150E2">
        <w:rPr>
          <w:rFonts w:cstheme="minorHAnsi"/>
          <w:color w:val="00B050"/>
          <w:u w:val="single"/>
        </w:rPr>
        <w:t>Schedule 4</w:t>
      </w:r>
      <w:r w:rsidRPr="00B150E2">
        <w:rPr>
          <w:rFonts w:cstheme="minorHAnsi"/>
          <w:color w:val="00B050"/>
          <w:u w:val="single"/>
        </w:rPr>
        <w:br/>
        <w:t>Schedule 3</w:t>
      </w:r>
    </w:p>
    <w:p w14:paraId="6F685A46" w14:textId="77777777" w:rsidR="00FE75C7" w:rsidRPr="00FC4B5C" w:rsidRDefault="00FE75C7" w:rsidP="00FE75C7">
      <w:pPr>
        <w:ind w:left="709"/>
        <w:rPr>
          <w:rFonts w:cstheme="minorHAnsi"/>
          <w:color w:val="00B050"/>
          <w:u w:val="single"/>
        </w:rPr>
      </w:pPr>
      <w:r w:rsidRPr="00FC4B5C">
        <w:rPr>
          <w:rFonts w:cstheme="minorHAnsi"/>
          <w:color w:val="00B050"/>
          <w:u w:val="single"/>
        </w:rPr>
        <w:t>Appendix H</w:t>
      </w:r>
    </w:p>
    <w:p w14:paraId="115C2705" w14:textId="4F8894E9" w:rsidR="00FE75C7" w:rsidRPr="00967490" w:rsidRDefault="00FE75C7" w:rsidP="00335538">
      <w:pPr>
        <w:pStyle w:val="Heading4"/>
      </w:pPr>
      <w:r w:rsidRPr="00967490">
        <w:t>Materials considered</w:t>
      </w:r>
    </w:p>
    <w:p w14:paraId="17519A66" w14:textId="77777777" w:rsidR="00FE75C7" w:rsidRDefault="00FE75C7" w:rsidP="00FE75C7">
      <w:r>
        <w:t>In making this final decision, the Delegate considered the following material:</w:t>
      </w:r>
    </w:p>
    <w:p w14:paraId="309CFBA5" w14:textId="7C3F2F2E" w:rsidR="00FE75C7" w:rsidRPr="00335538" w:rsidRDefault="00FE75C7" w:rsidP="00FE75C7">
      <w:pPr>
        <w:pStyle w:val="ListBullet"/>
        <w:jc w:val="both"/>
        <w:rPr>
          <w:rFonts w:cs="Arial"/>
          <w:szCs w:val="20"/>
        </w:rPr>
      </w:pPr>
      <w:r w:rsidRPr="00335538">
        <w:rPr>
          <w:rFonts w:cs="Arial"/>
          <w:szCs w:val="20"/>
        </w:rPr>
        <w:t xml:space="preserve">The </w:t>
      </w:r>
      <w:r w:rsidRPr="00CE755B">
        <w:rPr>
          <w:rFonts w:cs="Arial"/>
          <w:szCs w:val="20"/>
        </w:rPr>
        <w:t>application</w:t>
      </w:r>
      <w:r w:rsidRPr="00335538">
        <w:rPr>
          <w:rFonts w:cs="Arial"/>
          <w:szCs w:val="20"/>
        </w:rPr>
        <w:t xml:space="preserve"> to amend the current Poisons Standard with respect to </w:t>
      </w:r>
      <w:proofErr w:type="spellStart"/>
      <w:r w:rsidRPr="00335538">
        <w:rPr>
          <w:rFonts w:cs="Arial"/>
          <w:szCs w:val="20"/>
        </w:rPr>
        <w:t>cytisine</w:t>
      </w:r>
      <w:proofErr w:type="spellEnd"/>
      <w:r w:rsidRPr="00335538">
        <w:rPr>
          <w:rFonts w:cs="Arial"/>
          <w:szCs w:val="20"/>
        </w:rPr>
        <w:t xml:space="preserve"> (the </w:t>
      </w:r>
      <w:r w:rsidRPr="00335538">
        <w:rPr>
          <w:rFonts w:cs="Arial"/>
          <w:b/>
          <w:bCs/>
          <w:szCs w:val="20"/>
        </w:rPr>
        <w:t>Application</w:t>
      </w:r>
      <w:r w:rsidRPr="00335538">
        <w:rPr>
          <w:rFonts w:cs="Arial"/>
          <w:szCs w:val="20"/>
        </w:rPr>
        <w:t>)</w:t>
      </w:r>
    </w:p>
    <w:p w14:paraId="116EB273" w14:textId="51114473" w:rsidR="00FE75C7" w:rsidRPr="00335538" w:rsidRDefault="00FE75C7" w:rsidP="00FE75C7">
      <w:pPr>
        <w:pStyle w:val="ListBullet"/>
        <w:jc w:val="both"/>
        <w:rPr>
          <w:rFonts w:cs="Arial"/>
          <w:szCs w:val="20"/>
        </w:rPr>
      </w:pPr>
      <w:r w:rsidRPr="00335538">
        <w:rPr>
          <w:rFonts w:cs="Arial"/>
          <w:szCs w:val="20"/>
        </w:rPr>
        <w:t xml:space="preserve">The 41 </w:t>
      </w:r>
      <w:hyperlink r:id="rId14" w:history="1">
        <w:r w:rsidR="00FA76BB" w:rsidRPr="00F24669">
          <w:rPr>
            <w:color w:val="0000FF"/>
            <w:u w:val="single"/>
          </w:rPr>
          <w:t>public submissions</w:t>
        </w:r>
      </w:hyperlink>
      <w:r w:rsidR="00FA76BB">
        <w:rPr>
          <w:color w:val="0000FF"/>
          <w:u w:val="single"/>
        </w:rPr>
        <w:t xml:space="preserve"> </w:t>
      </w:r>
      <w:r w:rsidRPr="00335538">
        <w:rPr>
          <w:rFonts w:cs="Arial"/>
          <w:szCs w:val="20"/>
        </w:rPr>
        <w:t xml:space="preserve">including eight written component, received in response to </w:t>
      </w:r>
      <w:hyperlink r:id="rId15" w:history="1">
        <w:r w:rsidRPr="00335538">
          <w:rPr>
            <w:rStyle w:val="Hyperlink"/>
            <w:rFonts w:cs="Arial"/>
            <w:szCs w:val="20"/>
          </w:rPr>
          <w:t>the pre-meeting consultation</w:t>
        </w:r>
      </w:hyperlink>
      <w:r w:rsidRPr="00335538">
        <w:rPr>
          <w:rFonts w:cs="Arial"/>
          <w:szCs w:val="20"/>
        </w:rPr>
        <w:t xml:space="preserve"> under regulation 42ZCZK of the Regulations (the Submissions)</w:t>
      </w:r>
    </w:p>
    <w:p w14:paraId="5EC0A085" w14:textId="1E7BD755" w:rsidR="00FE75C7" w:rsidRPr="00335538" w:rsidRDefault="00FE75C7" w:rsidP="00FE75C7">
      <w:pPr>
        <w:pStyle w:val="ListBullet"/>
        <w:jc w:val="both"/>
        <w:rPr>
          <w:rFonts w:cs="Arial"/>
          <w:szCs w:val="20"/>
        </w:rPr>
      </w:pPr>
      <w:r w:rsidRPr="00335538">
        <w:rPr>
          <w:rFonts w:cs="Arial"/>
          <w:szCs w:val="20"/>
        </w:rPr>
        <w:lastRenderedPageBreak/>
        <w:t>The advice received from the 44</w:t>
      </w:r>
      <w:r w:rsidRPr="00335538">
        <w:rPr>
          <w:rFonts w:cs="Arial"/>
          <w:szCs w:val="20"/>
          <w:vertAlign w:val="superscript"/>
        </w:rPr>
        <w:t>th</w:t>
      </w:r>
      <w:r w:rsidRPr="00335538">
        <w:rPr>
          <w:rFonts w:cs="Arial"/>
          <w:szCs w:val="20"/>
        </w:rPr>
        <w:t xml:space="preserve"> meeting of the Advisory Committee on Medicines Scheduling (the </w:t>
      </w:r>
      <w:r w:rsidRPr="00335538">
        <w:rPr>
          <w:rFonts w:cs="Arial"/>
          <w:b/>
          <w:bCs/>
          <w:szCs w:val="20"/>
        </w:rPr>
        <w:t>Committee</w:t>
      </w:r>
      <w:r w:rsidRPr="00335538">
        <w:rPr>
          <w:rFonts w:cs="Arial"/>
          <w:szCs w:val="20"/>
        </w:rPr>
        <w:t>)</w:t>
      </w:r>
      <w:r w:rsidRPr="00335538">
        <w:rPr>
          <w:rStyle w:val="FootnoteReference"/>
          <w:rFonts w:cs="Arial"/>
          <w:szCs w:val="20"/>
        </w:rPr>
        <w:footnoteReference w:id="3"/>
      </w:r>
    </w:p>
    <w:p w14:paraId="1EDAF7BE" w14:textId="10008C68" w:rsidR="00FE75C7" w:rsidRPr="00335538" w:rsidRDefault="00FE75C7" w:rsidP="00FE75C7">
      <w:pPr>
        <w:pStyle w:val="ListBullet"/>
        <w:jc w:val="both"/>
        <w:rPr>
          <w:rFonts w:cs="Arial"/>
          <w:szCs w:val="20"/>
        </w:rPr>
      </w:pPr>
      <w:r w:rsidRPr="00335538">
        <w:rPr>
          <w:rFonts w:cs="Arial"/>
          <w:szCs w:val="20"/>
        </w:rPr>
        <w:t xml:space="preserve">The </w:t>
      </w:r>
      <w:hyperlink r:id="rId16" w:history="1">
        <w:r w:rsidRPr="00335538">
          <w:rPr>
            <w:rStyle w:val="Hyperlink"/>
            <w:rFonts w:cs="Arial"/>
            <w:szCs w:val="20"/>
          </w:rPr>
          <w:t>interim decision</w:t>
        </w:r>
      </w:hyperlink>
      <w:r w:rsidRPr="00335538">
        <w:rPr>
          <w:rFonts w:cs="Arial"/>
          <w:szCs w:val="20"/>
        </w:rPr>
        <w:t xml:space="preserve"> and the materials considered as part of the interim decision, as published on 26 July 2024</w:t>
      </w:r>
    </w:p>
    <w:p w14:paraId="515EFD4D" w14:textId="001731ED" w:rsidR="00FE75C7" w:rsidRPr="00335538" w:rsidRDefault="00FE75C7" w:rsidP="00FE75C7">
      <w:pPr>
        <w:pStyle w:val="ListBullet"/>
        <w:jc w:val="both"/>
        <w:rPr>
          <w:rFonts w:cs="Arial"/>
          <w:szCs w:val="20"/>
        </w:rPr>
      </w:pPr>
      <w:r w:rsidRPr="00335538">
        <w:rPr>
          <w:rFonts w:cs="Arial"/>
          <w:szCs w:val="20"/>
        </w:rPr>
        <w:t xml:space="preserve">The three </w:t>
      </w:r>
      <w:hyperlink r:id="rId17" w:history="1">
        <w:r w:rsidRPr="00FA76BB">
          <w:t>submissions</w:t>
        </w:r>
      </w:hyperlink>
      <w:r w:rsidRPr="00335538">
        <w:rPr>
          <w:rFonts w:cs="Arial"/>
          <w:szCs w:val="20"/>
        </w:rPr>
        <w:t xml:space="preserve"> received in response to the</w:t>
      </w:r>
      <w:r w:rsidR="00FA76BB" w:rsidRPr="00F24669">
        <w:t xml:space="preserve"> </w:t>
      </w:r>
      <w:hyperlink r:id="rId18" w:history="1">
        <w:r w:rsidR="00FA76BB">
          <w:rPr>
            <w:color w:val="0000FF"/>
            <w:u w:val="single"/>
          </w:rPr>
          <w:t>public consultation on the interim decision</w:t>
        </w:r>
      </w:hyperlink>
      <w:r w:rsidRPr="00335538">
        <w:rPr>
          <w:rFonts w:cs="Arial"/>
          <w:szCs w:val="20"/>
        </w:rPr>
        <w:t xml:space="preserve"> under regulation 42ZCZP of the Regulations</w:t>
      </w:r>
    </w:p>
    <w:p w14:paraId="4428658A" w14:textId="45C58496" w:rsidR="00FE75C7" w:rsidRPr="00335538" w:rsidRDefault="00FE75C7" w:rsidP="00FE75C7">
      <w:pPr>
        <w:pStyle w:val="ListBullet"/>
        <w:jc w:val="both"/>
        <w:rPr>
          <w:rFonts w:cs="Arial"/>
          <w:szCs w:val="20"/>
        </w:rPr>
      </w:pPr>
      <w:r w:rsidRPr="00335538">
        <w:rPr>
          <w:rFonts w:cs="Arial"/>
          <w:szCs w:val="20"/>
        </w:rPr>
        <w:t xml:space="preserve">Subsection 52E(1) of </w:t>
      </w:r>
      <w:r w:rsidRPr="00335538">
        <w:rPr>
          <w:rFonts w:cs="Arial"/>
          <w:iCs/>
          <w:szCs w:val="20"/>
        </w:rPr>
        <w:t>the Act</w:t>
      </w:r>
      <w:r w:rsidRPr="00335538">
        <w:rPr>
          <w:rFonts w:cs="Arial"/>
          <w:szCs w:val="20"/>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18EF3908" w14:textId="77777777" w:rsidR="00206027" w:rsidRPr="00F24669" w:rsidRDefault="00206027" w:rsidP="00206027">
      <w:pPr>
        <w:pStyle w:val="ListBullet"/>
      </w:pPr>
      <w:r w:rsidRPr="00F24669">
        <w:t>pursuant to paragraph 52E(2)(a) of the Act, the SPF, and</w:t>
      </w:r>
    </w:p>
    <w:p w14:paraId="2C6B98FC" w14:textId="77777777" w:rsidR="00206027" w:rsidRPr="00F24669" w:rsidRDefault="00206027" w:rsidP="00206027">
      <w:pPr>
        <w:pStyle w:val="ListBullet"/>
      </w:pPr>
      <w:r w:rsidRPr="00F24669">
        <w:t>the Handbook.</w:t>
      </w:r>
    </w:p>
    <w:p w14:paraId="09785448" w14:textId="77777777" w:rsidR="00FE75C7" w:rsidRPr="005E2F5E" w:rsidRDefault="00FE75C7" w:rsidP="009338F3">
      <w:pPr>
        <w:pStyle w:val="Heading4"/>
      </w:pPr>
      <w:r w:rsidRPr="005E2F5E">
        <w:t>Reasons for the final decision (including findings on material questions of fact)</w:t>
      </w:r>
    </w:p>
    <w:p w14:paraId="684610C4" w14:textId="4DE6BFEB" w:rsidR="00FE75C7" w:rsidRDefault="00FE75C7" w:rsidP="00FE75C7">
      <w:pPr>
        <w:jc w:val="both"/>
      </w:pPr>
      <w:r w:rsidRPr="0025010F">
        <w:t xml:space="preserve">I have made a final decision to vary my interim decision to amend the </w:t>
      </w:r>
      <w:r w:rsidRPr="005E2F5E">
        <w:t xml:space="preserve">current Poisons Standard with respect to </w:t>
      </w:r>
      <w:proofErr w:type="spellStart"/>
      <w:r w:rsidRPr="005E2F5E">
        <w:t>cytisine</w:t>
      </w:r>
      <w:proofErr w:type="spellEnd"/>
      <w:r w:rsidRPr="005E2F5E">
        <w:t xml:space="preserve">. In making my final decision, I have </w:t>
      </w:r>
      <w:proofErr w:type="gramStart"/>
      <w:r w:rsidRPr="005E2F5E">
        <w:t>taken into account</w:t>
      </w:r>
      <w:proofErr w:type="gramEnd"/>
      <w:r w:rsidRPr="005E2F5E">
        <w:t xml:space="preserve"> the material in the interim decision and </w:t>
      </w:r>
      <w:r>
        <w:t xml:space="preserve">the </w:t>
      </w:r>
      <w:r w:rsidR="00440D56">
        <w:t>3</w:t>
      </w:r>
      <w:r w:rsidR="00440D56" w:rsidRPr="00BD2D99">
        <w:t xml:space="preserve"> </w:t>
      </w:r>
      <w:r w:rsidRPr="008906D8">
        <w:t>submissions</w:t>
      </w:r>
      <w:r w:rsidRPr="0007250D">
        <w:t xml:space="preserve"> </w:t>
      </w:r>
      <w:r>
        <w:t>received through public consultation on the interim decision.</w:t>
      </w:r>
    </w:p>
    <w:p w14:paraId="3C4F30E0" w14:textId="285D7B7B" w:rsidR="00AD3544" w:rsidRDefault="00AD3544" w:rsidP="00AD3544">
      <w:pPr>
        <w:jc w:val="both"/>
      </w:pPr>
      <w:bookmarkStart w:id="31" w:name="_Toc97640264"/>
      <w:r>
        <w:t>The submissions</w:t>
      </w:r>
      <w:r w:rsidRPr="008D018C">
        <w:t xml:space="preserve"> were</w:t>
      </w:r>
      <w:r>
        <w:t xml:space="preserve"> in favour of the interim decision (</w:t>
      </w:r>
      <w:r w:rsidR="00440D56">
        <w:t xml:space="preserve">3 </w:t>
      </w:r>
      <w:r>
        <w:t xml:space="preserve">in support, </w:t>
      </w:r>
      <w:r w:rsidR="00440D56">
        <w:t xml:space="preserve">2 </w:t>
      </w:r>
      <w:r>
        <w:t xml:space="preserve">in partial support and no opposition). One supportive submission and </w:t>
      </w:r>
      <w:r w:rsidR="00440D56">
        <w:t xml:space="preserve">1 </w:t>
      </w:r>
      <w:r>
        <w:t xml:space="preserve">partially supportive submission argued </w:t>
      </w:r>
      <w:r w:rsidR="00E82526">
        <w:t xml:space="preserve">that advertising should be permitted through </w:t>
      </w:r>
      <w:r>
        <w:t xml:space="preserve">an </w:t>
      </w:r>
      <w:r w:rsidR="00440D56">
        <w:t>Appendix </w:t>
      </w:r>
      <w:r>
        <w:t xml:space="preserve">H entry for the Schedule 3 </w:t>
      </w:r>
      <w:proofErr w:type="spellStart"/>
      <w:r>
        <w:t>cytisine</w:t>
      </w:r>
      <w:proofErr w:type="spellEnd"/>
      <w:r>
        <w:t xml:space="preserve"> preparations</w:t>
      </w:r>
      <w:r w:rsidR="00E82526">
        <w:t>. This</w:t>
      </w:r>
      <w:r w:rsidRPr="003C3C33">
        <w:t xml:space="preserve"> would allow the public to be aware of the new smoking cessation treatment available </w:t>
      </w:r>
      <w:r>
        <w:t>from</w:t>
      </w:r>
      <w:r w:rsidRPr="003C3C33">
        <w:t xml:space="preserve"> pharmacies</w:t>
      </w:r>
      <w:r>
        <w:t xml:space="preserve">. However, the other partially supportive submission recommended Schedule 4 classification for all </w:t>
      </w:r>
      <w:proofErr w:type="spellStart"/>
      <w:r>
        <w:t>cytisine</w:t>
      </w:r>
      <w:proofErr w:type="spellEnd"/>
      <w:r>
        <w:t xml:space="preserve"> preparations because of possible contraindications and drug-drug interactions that may not be adequately managed in pharmacy settings.</w:t>
      </w:r>
    </w:p>
    <w:p w14:paraId="4512DE10" w14:textId="7DFC7FEC" w:rsidR="00AD3544" w:rsidRPr="009E5D1C" w:rsidRDefault="00AD3544" w:rsidP="00AD3544">
      <w:pPr>
        <w:jc w:val="both"/>
      </w:pPr>
      <w:r>
        <w:t xml:space="preserve">While I recognise the contraindications, drug-drug interactions, and limited experience of </w:t>
      </w:r>
      <w:proofErr w:type="spellStart"/>
      <w:r>
        <w:t>cytisine</w:t>
      </w:r>
      <w:proofErr w:type="spellEnd"/>
      <w:r>
        <w:t xml:space="preserve"> in Australia, the common adverse effects of</w:t>
      </w:r>
      <w:r w:rsidR="00731F5A">
        <w:t xml:space="preserve"> </w:t>
      </w:r>
      <w:proofErr w:type="spellStart"/>
      <w:r>
        <w:t>cytisine</w:t>
      </w:r>
      <w:proofErr w:type="spellEnd"/>
      <w:r>
        <w:t xml:space="preserve"> use are rare and non-serious. I</w:t>
      </w:r>
      <w:r w:rsidRPr="00984405">
        <w:t>nteractions</w:t>
      </w:r>
      <w:r w:rsidRPr="00C4439A">
        <w:t xml:space="preserve"> and contraindications are known, identifiable and manageable by a pharmacist.</w:t>
      </w:r>
      <w:r>
        <w:t xml:space="preserve"> I remain satisfied that pharmacist oversight can sufficiently mitigate the potential risks from </w:t>
      </w:r>
      <w:proofErr w:type="spellStart"/>
      <w:r>
        <w:t>cytisine</w:t>
      </w:r>
      <w:proofErr w:type="spellEnd"/>
      <w:r>
        <w:t xml:space="preserve">. Further, </w:t>
      </w:r>
      <w:proofErr w:type="spellStart"/>
      <w:r>
        <w:t>cytisine</w:t>
      </w:r>
      <w:proofErr w:type="spellEnd"/>
      <w:r>
        <w:t xml:space="preserve"> has been used in many European countries for years as an over-the-counter medicine. Also, </w:t>
      </w:r>
      <w:proofErr w:type="spellStart"/>
      <w:r>
        <w:t>cytisine</w:t>
      </w:r>
      <w:proofErr w:type="spellEnd"/>
      <w:r>
        <w:t xml:space="preserve"> is approved as a natural health product in Canada and does not require a prescription. </w:t>
      </w:r>
      <w:r w:rsidR="00E82526">
        <w:t>I no</w:t>
      </w:r>
      <w:r w:rsidRPr="008D25F1">
        <w:t xml:space="preserve">te </w:t>
      </w:r>
      <w:r w:rsidR="00E82526">
        <w:t xml:space="preserve">that </w:t>
      </w:r>
      <w:r w:rsidRPr="008D25F1">
        <w:t>advertising can only occur for a TGA approved product</w:t>
      </w:r>
      <w:r w:rsidR="00E82526">
        <w:t>. A</w:t>
      </w:r>
      <w:r w:rsidRPr="008D25F1">
        <w:t xml:space="preserve">ccess to </w:t>
      </w:r>
      <w:proofErr w:type="spellStart"/>
      <w:r w:rsidRPr="008D25F1">
        <w:t>cytisine</w:t>
      </w:r>
      <w:proofErr w:type="spellEnd"/>
      <w:r w:rsidRPr="008D25F1">
        <w:t xml:space="preserve"> products </w:t>
      </w:r>
      <w:r w:rsidR="00E82526">
        <w:t xml:space="preserve">from a pharmacy </w:t>
      </w:r>
      <w:r>
        <w:t xml:space="preserve">will </w:t>
      </w:r>
      <w:r w:rsidRPr="008D25F1">
        <w:t>increase the options available to assist smokers to cease smoking</w:t>
      </w:r>
      <w:r>
        <w:t xml:space="preserve">. Overall, </w:t>
      </w:r>
      <w:r w:rsidRPr="00C4439A">
        <w:t>I a</w:t>
      </w:r>
      <w:r>
        <w:t>m</w:t>
      </w:r>
      <w:r w:rsidRPr="00C4439A">
        <w:t xml:space="preserve"> of the view that the creation of </w:t>
      </w:r>
      <w:r w:rsidR="00440D56">
        <w:t>Prescription only medicine (</w:t>
      </w:r>
      <w:r w:rsidRPr="00984405">
        <w:t>Schedule 4</w:t>
      </w:r>
      <w:r w:rsidR="00440D56">
        <w:t>)</w:t>
      </w:r>
      <w:r>
        <w:t xml:space="preserve">, </w:t>
      </w:r>
      <w:r w:rsidR="00440D56">
        <w:t>Pharmacist only medicine (</w:t>
      </w:r>
      <w:r w:rsidRPr="00984405">
        <w:t>Schedule 3</w:t>
      </w:r>
      <w:r w:rsidR="00440D56">
        <w:t>)</w:t>
      </w:r>
      <w:r w:rsidRPr="00984405">
        <w:t xml:space="preserve">, and Appendix H entry for </w:t>
      </w:r>
      <w:proofErr w:type="spellStart"/>
      <w:r w:rsidRPr="00984405">
        <w:t>cytisine</w:t>
      </w:r>
      <w:proofErr w:type="spellEnd"/>
      <w:r w:rsidRPr="00984405">
        <w:t xml:space="preserve"> provides benefit to the public through increased access for short term use </w:t>
      </w:r>
      <w:r w:rsidR="00E82526">
        <w:t xml:space="preserve">as an aid in withdrawal from tobacco smoking </w:t>
      </w:r>
      <w:r w:rsidRPr="00984405">
        <w:t>under the supervision of a pharmacist.</w:t>
      </w:r>
    </w:p>
    <w:p w14:paraId="7FDDD9BC" w14:textId="77777777" w:rsidR="00AD3544" w:rsidRPr="00E42057" w:rsidRDefault="00AD3544" w:rsidP="009338F3">
      <w:pPr>
        <w:pStyle w:val="Heading4"/>
      </w:pPr>
      <w:r w:rsidRPr="00E42057">
        <w:t>Implementation date</w:t>
      </w:r>
    </w:p>
    <w:p w14:paraId="2A776375" w14:textId="22935AE0" w:rsidR="00AD3544" w:rsidRPr="00155533" w:rsidRDefault="00AD3544" w:rsidP="009338F3">
      <w:pPr>
        <w:rPr>
          <w:b/>
          <w:bCs/>
        </w:rPr>
      </w:pPr>
      <w:r>
        <w:t xml:space="preserve">1 October </w:t>
      </w:r>
      <w:r w:rsidRPr="00005FD5">
        <w:t>2024</w:t>
      </w:r>
    </w:p>
    <w:p w14:paraId="089D3885" w14:textId="77777777" w:rsidR="00155533" w:rsidRPr="00F24669" w:rsidRDefault="00155533" w:rsidP="009338F3">
      <w:pPr>
        <w:pStyle w:val="Heading3"/>
      </w:pPr>
      <w:bookmarkStart w:id="32" w:name="_Toc178340896"/>
      <w:r w:rsidRPr="00F24669">
        <w:lastRenderedPageBreak/>
        <w:t xml:space="preserve">Final decision in relation to </w:t>
      </w:r>
      <w:r>
        <w:t>dextromethorphan</w:t>
      </w:r>
      <w:bookmarkEnd w:id="32"/>
    </w:p>
    <w:p w14:paraId="128E0436" w14:textId="77777777" w:rsidR="00155533" w:rsidRPr="00F24669" w:rsidRDefault="00155533" w:rsidP="009338F3">
      <w:pPr>
        <w:pStyle w:val="Heading4"/>
      </w:pPr>
      <w:r w:rsidRPr="00F24669">
        <w:t>Proposal</w:t>
      </w:r>
    </w:p>
    <w:p w14:paraId="6D444070" w14:textId="01EB86B7" w:rsidR="00155533" w:rsidRDefault="00155533" w:rsidP="00155533">
      <w:r w:rsidRPr="002A62C9">
        <w:t xml:space="preserve">The Delegate </w:t>
      </w:r>
      <w:r w:rsidR="00894493">
        <w:t xml:space="preserve">of the Secretary of the Department of Health and Aged Care </w:t>
      </w:r>
      <w:r w:rsidRPr="002A62C9">
        <w:t xml:space="preserve">proposed to </w:t>
      </w:r>
      <w:r w:rsidR="00643B54">
        <w:t>move</w:t>
      </w:r>
      <w:r w:rsidR="00643B54" w:rsidRPr="002A62C9">
        <w:t xml:space="preserve"> </w:t>
      </w:r>
      <w:r w:rsidRPr="002A62C9">
        <w:t xml:space="preserve">the current </w:t>
      </w:r>
      <w:r w:rsidR="00440D56">
        <w:t>Pharmacy medicine (</w:t>
      </w:r>
      <w:r w:rsidRPr="002A62C9">
        <w:t>Schedule 2</w:t>
      </w:r>
      <w:r w:rsidR="00440D56">
        <w:t>)</w:t>
      </w:r>
      <w:r w:rsidRPr="002A62C9">
        <w:t xml:space="preserve"> entry for dextromethorphan to </w:t>
      </w:r>
      <w:r w:rsidR="000F30C6">
        <w:t>Pharmacist only</w:t>
      </w:r>
      <w:r w:rsidR="00440D56">
        <w:t xml:space="preserve"> medicine (Schedule 3</w:t>
      </w:r>
      <w:r w:rsidR="000F30C6">
        <w:t>)</w:t>
      </w:r>
      <w:r w:rsidRPr="002A62C9">
        <w:t xml:space="preserve">. Under the proposal, preparations containing 600 mg or less of dextromethorphan with a recommended daily dose of 120 mg or less, will be available </w:t>
      </w:r>
      <w:r w:rsidR="000F30C6" w:rsidRPr="002A62C9">
        <w:t xml:space="preserve">only </w:t>
      </w:r>
      <w:r w:rsidRPr="002A62C9">
        <w:t>after consultation with a pharmacist</w:t>
      </w:r>
      <w:r w:rsidR="00F54DA5">
        <w:t xml:space="preserve"> (Schedule 3)</w:t>
      </w:r>
      <w:r w:rsidRPr="002A62C9">
        <w:t>. All other preparations of dextromethorphan will remain in Schedule 4 (prescription-only).</w:t>
      </w:r>
    </w:p>
    <w:p w14:paraId="6E690B0F" w14:textId="62B31442" w:rsidR="00155533" w:rsidRPr="00F24669" w:rsidRDefault="00155533" w:rsidP="009338F3">
      <w:pPr>
        <w:pStyle w:val="Heading4"/>
      </w:pPr>
      <w:r w:rsidRPr="00F24669">
        <w:t>Final decision</w:t>
      </w:r>
    </w:p>
    <w:p w14:paraId="4EDA40C0" w14:textId="77777777" w:rsidR="00155533" w:rsidRPr="00F24669" w:rsidRDefault="00155533" w:rsidP="00155533">
      <w:r w:rsidRPr="00F24669">
        <w:t xml:space="preserve">Pursuant to regulation 42ZCZR of the Regulations, the Delegate has made a final </w:t>
      </w:r>
      <w:r w:rsidRPr="00080B0C">
        <w:t>decision to confirm the interim decision and not amend the current Poisons Standard in relation to dextromethorphan.</w:t>
      </w:r>
    </w:p>
    <w:p w14:paraId="25F2DACC" w14:textId="0B1D2064" w:rsidR="00155533" w:rsidRPr="00F24669" w:rsidRDefault="00155533" w:rsidP="009338F3">
      <w:pPr>
        <w:pStyle w:val="Heading4"/>
      </w:pPr>
      <w:r w:rsidRPr="00F24669">
        <w:t>Materials considered</w:t>
      </w:r>
    </w:p>
    <w:p w14:paraId="70C07DCD" w14:textId="77777777" w:rsidR="00155533" w:rsidRPr="00F24669" w:rsidRDefault="00155533" w:rsidP="00155533">
      <w:r w:rsidRPr="00F24669">
        <w:t>In making this final decision, the Delegate considered the following material:</w:t>
      </w:r>
    </w:p>
    <w:p w14:paraId="23A71C6F" w14:textId="77777777" w:rsidR="00155533" w:rsidRDefault="00155533" w:rsidP="00155533">
      <w:pPr>
        <w:pStyle w:val="ListBullet"/>
      </w:pPr>
      <w:r>
        <w:t xml:space="preserve">The proposal to amend the current Poisons Standard with respect to dextromethorphan (the </w:t>
      </w:r>
      <w:r w:rsidRPr="00E36716">
        <w:rPr>
          <w:b/>
          <w:bCs/>
        </w:rPr>
        <w:t>Proposal</w:t>
      </w:r>
      <w:r>
        <w:t>)</w:t>
      </w:r>
    </w:p>
    <w:p w14:paraId="5CFA84A5" w14:textId="77777777" w:rsidR="00155533" w:rsidRPr="00F24669" w:rsidRDefault="00155533" w:rsidP="00155533">
      <w:pPr>
        <w:pStyle w:val="ListBullet"/>
      </w:pPr>
      <w:r>
        <w:t xml:space="preserve">The 14 </w:t>
      </w:r>
      <w:hyperlink r:id="rId19" w:history="1">
        <w:r w:rsidRPr="00F24669">
          <w:rPr>
            <w:color w:val="0000FF"/>
            <w:u w:val="single"/>
          </w:rPr>
          <w:t>public submissions</w:t>
        </w:r>
      </w:hyperlink>
      <w:r w:rsidRPr="00F24669">
        <w:t xml:space="preserve"> received in response to the </w:t>
      </w:r>
      <w:hyperlink r:id="rId20" w:history="1">
        <w:r w:rsidRPr="00F24669">
          <w:rPr>
            <w:color w:val="0000FF"/>
            <w:u w:val="single"/>
          </w:rPr>
          <w:t>pre-meeting consultation</w:t>
        </w:r>
      </w:hyperlink>
      <w:r w:rsidRPr="00F24669">
        <w:t xml:space="preserve"> under regulation 42ZCZK of the Regulations</w:t>
      </w:r>
    </w:p>
    <w:p w14:paraId="11BFA23C" w14:textId="77777777" w:rsidR="00155533" w:rsidRPr="00F24669" w:rsidRDefault="00155533" w:rsidP="00155533">
      <w:pPr>
        <w:pStyle w:val="ListBullet"/>
      </w:pPr>
      <w:r w:rsidRPr="00F24669">
        <w:t>the advice received from the 44</w:t>
      </w:r>
      <w:r w:rsidRPr="00F24669">
        <w:rPr>
          <w:vertAlign w:val="superscript"/>
        </w:rPr>
        <w:t>th</w:t>
      </w:r>
      <w:r w:rsidRPr="00F24669">
        <w:t xml:space="preserve"> meeting of the Advisory Committee on Medicines Scheduling (the </w:t>
      </w:r>
      <w:r w:rsidRPr="00F24669">
        <w:rPr>
          <w:b/>
          <w:bCs/>
        </w:rPr>
        <w:t>Committee</w:t>
      </w:r>
      <w:r w:rsidRPr="00F24669">
        <w:t>)</w:t>
      </w:r>
      <w:r w:rsidRPr="00F24669">
        <w:rPr>
          <w:vertAlign w:val="superscript"/>
        </w:rPr>
        <w:footnoteReference w:id="4"/>
      </w:r>
    </w:p>
    <w:p w14:paraId="7FBF87AC" w14:textId="77777777" w:rsidR="00155533" w:rsidRPr="00F24669" w:rsidRDefault="00155533" w:rsidP="00155533">
      <w:pPr>
        <w:pStyle w:val="ListBullet"/>
      </w:pPr>
      <w:r w:rsidRPr="00F24669">
        <w:t xml:space="preserve">the </w:t>
      </w:r>
      <w:hyperlink r:id="rId21" w:history="1">
        <w:r w:rsidRPr="00F24669">
          <w:rPr>
            <w:color w:val="0000FF"/>
            <w:u w:val="single"/>
          </w:rPr>
          <w:t>interim decision</w:t>
        </w:r>
      </w:hyperlink>
      <w:r w:rsidRPr="00F24669">
        <w:t xml:space="preserve"> relating to </w:t>
      </w:r>
      <w:r>
        <w:t>dextromethorphan</w:t>
      </w:r>
      <w:r w:rsidRPr="00F24669">
        <w:t xml:space="preserve"> and the materials considered as part of the interim decision, as published on 24 July 2024</w:t>
      </w:r>
    </w:p>
    <w:p w14:paraId="71C4D44E" w14:textId="18229C8B" w:rsidR="00155533" w:rsidRPr="00F24669" w:rsidRDefault="00155533" w:rsidP="00155533">
      <w:pPr>
        <w:pStyle w:val="ListBullet"/>
      </w:pPr>
      <w:r w:rsidRPr="00F24669">
        <w:t xml:space="preserve">the </w:t>
      </w:r>
      <w:r>
        <w:t>4</w:t>
      </w:r>
      <w:r w:rsidRPr="00F24669">
        <w:t xml:space="preserve"> </w:t>
      </w:r>
      <w:r w:rsidR="00F54DA5" w:rsidRPr="00FA76BB">
        <w:t>submissions</w:t>
      </w:r>
      <w:r w:rsidRPr="00F24669">
        <w:t xml:space="preserve"> received in response to the </w:t>
      </w:r>
      <w:hyperlink r:id="rId22" w:history="1">
        <w:r w:rsidR="00F54DA5">
          <w:rPr>
            <w:color w:val="0000FF"/>
            <w:u w:val="single"/>
          </w:rPr>
          <w:t>public consultation on the interim decision</w:t>
        </w:r>
      </w:hyperlink>
      <w:r w:rsidRPr="00F24669">
        <w:t xml:space="preserve"> under regulation 42ZCZP of the Regulations</w:t>
      </w:r>
    </w:p>
    <w:p w14:paraId="067BF2DF" w14:textId="3A9A1EF8" w:rsidR="00206027" w:rsidRPr="00335538" w:rsidRDefault="00206027" w:rsidP="00206027">
      <w:pPr>
        <w:pStyle w:val="ListBullet"/>
        <w:jc w:val="both"/>
        <w:rPr>
          <w:rFonts w:cs="Arial"/>
          <w:szCs w:val="20"/>
        </w:rPr>
      </w:pPr>
      <w:r>
        <w:rPr>
          <w:rFonts w:cs="Arial"/>
          <w:szCs w:val="20"/>
        </w:rPr>
        <w:t>p</w:t>
      </w:r>
      <w:r w:rsidRPr="00335538">
        <w:rPr>
          <w:rFonts w:cs="Arial"/>
          <w:szCs w:val="20"/>
        </w:rPr>
        <w:t>ublications and references cited in the reasons below</w:t>
      </w:r>
    </w:p>
    <w:p w14:paraId="2711BA3C" w14:textId="2556E0BF" w:rsidR="00155533" w:rsidRPr="00F24669" w:rsidRDefault="00155533" w:rsidP="00155533">
      <w:pPr>
        <w:pStyle w:val="ListBullet"/>
      </w:pPr>
      <w:r w:rsidRPr="00F24669">
        <w:t>subsection 52</w:t>
      </w:r>
      <w:proofErr w:type="gramStart"/>
      <w:r w:rsidRPr="00F24669">
        <w:t>E(</w:t>
      </w:r>
      <w:proofErr w:type="gramEnd"/>
      <w:r w:rsidRPr="00F24669">
        <w:t xml:space="preserve">1) of </w:t>
      </w:r>
      <w:r w:rsidRPr="00F24669">
        <w:rPr>
          <w:iCs/>
        </w:rPr>
        <w:t>the Act</w:t>
      </w:r>
      <w:r w:rsidRPr="00F24669">
        <w:t>, in particular (a) the risks and benefits of the use of a substance; (b) the purposes for which a substance is to be used and the extent of use of a substance; (c) the toxicity of a substance; and (e) the potential for abuse of a substance</w:t>
      </w:r>
    </w:p>
    <w:p w14:paraId="6E225A0C" w14:textId="77777777" w:rsidR="00155533" w:rsidRPr="00F24669" w:rsidRDefault="00155533" w:rsidP="00155533">
      <w:pPr>
        <w:pStyle w:val="ListBullet"/>
      </w:pPr>
      <w:r w:rsidRPr="00F24669">
        <w:t>pursuant to paragraph 52E(2)(a) of the Act, the SPF, and</w:t>
      </w:r>
    </w:p>
    <w:p w14:paraId="36E57ECA" w14:textId="77777777" w:rsidR="00155533" w:rsidRPr="00F24669" w:rsidRDefault="00155533" w:rsidP="00155533">
      <w:pPr>
        <w:pStyle w:val="ListBullet"/>
      </w:pPr>
      <w:r w:rsidRPr="00F24669">
        <w:t>the Handbook.</w:t>
      </w:r>
    </w:p>
    <w:p w14:paraId="1D3DCBC0" w14:textId="77777777" w:rsidR="00155533" w:rsidRPr="00F24669" w:rsidRDefault="00155533" w:rsidP="009338F3">
      <w:pPr>
        <w:pStyle w:val="Heading4"/>
      </w:pPr>
      <w:r w:rsidRPr="00F24669">
        <w:t>Reasons for the final decision (including findings on material questions of fact)</w:t>
      </w:r>
    </w:p>
    <w:p w14:paraId="34E9ACB1" w14:textId="02937DAF" w:rsidR="00643B54" w:rsidRDefault="00155533" w:rsidP="00155533">
      <w:r w:rsidRPr="00F24669">
        <w:t>I have made a final decision to confirm my interim decision to</w:t>
      </w:r>
      <w:r>
        <w:t xml:space="preserve"> not</w:t>
      </w:r>
      <w:r w:rsidRPr="00F24669">
        <w:t xml:space="preserve"> amend the current Poisons Standard with respect to </w:t>
      </w:r>
      <w:r>
        <w:t>dextromethorphan</w:t>
      </w:r>
      <w:r w:rsidRPr="00F24669">
        <w:t xml:space="preserve">. My reasons for making the final decision are those set out in the interim decision. In making my final decision, I have </w:t>
      </w:r>
      <w:proofErr w:type="gramStart"/>
      <w:r w:rsidRPr="00F24669">
        <w:t>taken into account</w:t>
      </w:r>
      <w:proofErr w:type="gramEnd"/>
      <w:r w:rsidRPr="00F24669">
        <w:t xml:space="preserve"> the material in the interim decision and the </w:t>
      </w:r>
      <w:r>
        <w:t>4</w:t>
      </w:r>
      <w:r w:rsidRPr="00F24669">
        <w:t xml:space="preserve"> public submissions which were received in response to the </w:t>
      </w:r>
      <w:r w:rsidR="00643B54">
        <w:t xml:space="preserve">consultation on the </w:t>
      </w:r>
      <w:r w:rsidRPr="00F24669">
        <w:t>interim decision.</w:t>
      </w:r>
    </w:p>
    <w:p w14:paraId="2AAAF8CE" w14:textId="7C12D291" w:rsidR="00155533" w:rsidRPr="007F1B70" w:rsidRDefault="00155533" w:rsidP="00155533">
      <w:pPr>
        <w:rPr>
          <w:color w:val="auto"/>
        </w:rPr>
      </w:pPr>
      <w:r w:rsidRPr="00F24669">
        <w:lastRenderedPageBreak/>
        <w:t xml:space="preserve">Out of the </w:t>
      </w:r>
      <w:r>
        <w:t>4</w:t>
      </w:r>
      <w:r w:rsidRPr="00F24669">
        <w:t xml:space="preserve"> submissions, </w:t>
      </w:r>
      <w:r>
        <w:t>3</w:t>
      </w:r>
      <w:r w:rsidRPr="00F24669">
        <w:t xml:space="preserve"> were supportive and </w:t>
      </w:r>
      <w:r>
        <w:t>1 was partially supportive of</w:t>
      </w:r>
      <w:r w:rsidRPr="00F24669">
        <w:t xml:space="preserve"> the interim decision</w:t>
      </w:r>
      <w:r>
        <w:t xml:space="preserve"> to not amend the scheduling of dextromethorphan. </w:t>
      </w:r>
      <w:r w:rsidR="00591B8B">
        <w:t xml:space="preserve">The supportive submissions raised </w:t>
      </w:r>
      <w:r w:rsidR="00F122BD">
        <w:t>that</w:t>
      </w:r>
      <w:r w:rsidR="00F122BD">
        <w:rPr>
          <w:color w:val="auto"/>
        </w:rPr>
        <w:t xml:space="preserve"> data or evidence showing the</w:t>
      </w:r>
      <w:r w:rsidR="00F122BD" w:rsidRPr="007F1B70">
        <w:rPr>
          <w:color w:val="auto"/>
        </w:rPr>
        <w:t xml:space="preserve"> </w:t>
      </w:r>
      <w:r w:rsidR="00440D56">
        <w:rPr>
          <w:color w:val="auto"/>
        </w:rPr>
        <w:t xml:space="preserve">misuse and </w:t>
      </w:r>
      <w:r w:rsidR="00F122BD">
        <w:rPr>
          <w:color w:val="auto"/>
        </w:rPr>
        <w:t>abuse</w:t>
      </w:r>
      <w:r w:rsidR="00F122BD" w:rsidRPr="007F1B70">
        <w:rPr>
          <w:color w:val="auto"/>
        </w:rPr>
        <w:t xml:space="preserve"> of dextromethorphan</w:t>
      </w:r>
      <w:r w:rsidR="00F122BD">
        <w:rPr>
          <w:color w:val="auto"/>
        </w:rPr>
        <w:t xml:space="preserve"> is lacking in Australia. As detailed in the interim decision, dextromethorphan poses a risk of misuse or abuse </w:t>
      </w:r>
      <w:proofErr w:type="gramStart"/>
      <w:r w:rsidR="00F122BD">
        <w:rPr>
          <w:color w:val="auto"/>
        </w:rPr>
        <w:t xml:space="preserve">and </w:t>
      </w:r>
      <w:r w:rsidR="00894493">
        <w:rPr>
          <w:color w:val="auto"/>
        </w:rPr>
        <w:t>also</w:t>
      </w:r>
      <w:proofErr w:type="gramEnd"/>
      <w:r w:rsidR="00894493">
        <w:rPr>
          <w:color w:val="auto"/>
        </w:rPr>
        <w:t xml:space="preserve"> </w:t>
      </w:r>
      <w:r w:rsidR="00F122BD">
        <w:rPr>
          <w:color w:val="auto"/>
        </w:rPr>
        <w:t xml:space="preserve">serotonin syndrome </w:t>
      </w:r>
      <w:r w:rsidR="00F122BD" w:rsidRPr="00155533">
        <w:rPr>
          <w:color w:val="auto"/>
        </w:rPr>
        <w:t>when combined with other serotonergic agents</w:t>
      </w:r>
      <w:r w:rsidRPr="007F1B70">
        <w:rPr>
          <w:color w:val="auto"/>
        </w:rPr>
        <w:t xml:space="preserve">. </w:t>
      </w:r>
      <w:r w:rsidR="00F122BD">
        <w:rPr>
          <w:color w:val="auto"/>
        </w:rPr>
        <w:t xml:space="preserve">There is </w:t>
      </w:r>
      <w:r w:rsidR="00ED198A">
        <w:rPr>
          <w:color w:val="auto"/>
        </w:rPr>
        <w:t xml:space="preserve">a strong indication for abuse of dextromethorphan </w:t>
      </w:r>
      <w:r w:rsidR="00532A0F">
        <w:rPr>
          <w:color w:val="auto"/>
        </w:rPr>
        <w:t>from</w:t>
      </w:r>
      <w:r w:rsidR="00ED198A">
        <w:rPr>
          <w:color w:val="auto"/>
        </w:rPr>
        <w:t xml:space="preserve"> </w:t>
      </w:r>
      <w:r w:rsidR="00D96A5A">
        <w:rPr>
          <w:color w:val="auto"/>
        </w:rPr>
        <w:t xml:space="preserve">the </w:t>
      </w:r>
      <w:r w:rsidR="00ED198A">
        <w:rPr>
          <w:color w:val="auto"/>
        </w:rPr>
        <w:t xml:space="preserve">data </w:t>
      </w:r>
      <w:r w:rsidR="00532A0F">
        <w:rPr>
          <w:color w:val="auto"/>
        </w:rPr>
        <w:t>supplied by</w:t>
      </w:r>
      <w:r w:rsidR="00ED198A">
        <w:rPr>
          <w:color w:val="auto"/>
        </w:rPr>
        <w:t xml:space="preserve"> NSW Poisons Information Centre</w:t>
      </w:r>
      <w:r w:rsidR="00532A0F">
        <w:rPr>
          <w:color w:val="auto"/>
        </w:rPr>
        <w:t xml:space="preserve">, </w:t>
      </w:r>
      <w:r w:rsidR="00206027">
        <w:rPr>
          <w:color w:val="auto"/>
        </w:rPr>
        <w:t xml:space="preserve">one </w:t>
      </w:r>
      <w:r w:rsidR="00D008E1">
        <w:rPr>
          <w:color w:val="auto"/>
        </w:rPr>
        <w:t>research paper</w:t>
      </w:r>
      <w:r w:rsidR="00D008E1">
        <w:rPr>
          <w:rStyle w:val="FootnoteReference"/>
          <w:color w:val="auto"/>
        </w:rPr>
        <w:footnoteReference w:id="5"/>
      </w:r>
      <w:r w:rsidR="00D008E1">
        <w:rPr>
          <w:color w:val="auto"/>
        </w:rPr>
        <w:t xml:space="preserve"> </w:t>
      </w:r>
      <w:r w:rsidR="00ED198A" w:rsidRPr="00FA76BB">
        <w:t xml:space="preserve">and anecdotal reports. </w:t>
      </w:r>
      <w:r w:rsidR="00D96A5A" w:rsidRPr="00FA76BB">
        <w:t xml:space="preserve">The Australian Drug Foundation </w:t>
      </w:r>
      <w:r w:rsidR="00D96A5A" w:rsidRPr="00FA76BB">
        <w:rPr>
          <w:rFonts w:cs="Arial"/>
        </w:rPr>
        <w:t xml:space="preserve">recently published a </w:t>
      </w:r>
      <w:hyperlink r:id="rId23" w:history="1">
        <w:r w:rsidR="00AD3E40" w:rsidRPr="009338F3">
          <w:rPr>
            <w:rStyle w:val="Hyperlink"/>
            <w:rFonts w:cs="Arial"/>
          </w:rPr>
          <w:t xml:space="preserve">factsheet </w:t>
        </w:r>
      </w:hyperlink>
      <w:r w:rsidR="00AD3E40" w:rsidRPr="009338F3">
        <w:rPr>
          <w:rFonts w:cs="Arial"/>
        </w:rPr>
        <w:t>about</w:t>
      </w:r>
      <w:r w:rsidR="00AD3E40" w:rsidRPr="00AD3E40">
        <w:t xml:space="preserve"> dextromethorphan</w:t>
      </w:r>
      <w:r w:rsidR="001E6CD4">
        <w:t>.</w:t>
      </w:r>
      <w:r w:rsidR="00082AEF">
        <w:t xml:space="preserve"> </w:t>
      </w:r>
      <w:r w:rsidR="00D96A5A" w:rsidRPr="00AD3E40">
        <w:t>S</w:t>
      </w:r>
      <w:r w:rsidR="00440D56">
        <w:t xml:space="preserve">imilar </w:t>
      </w:r>
      <w:r w:rsidR="00290CD9" w:rsidRPr="00AD3E40">
        <w:t>harm reduction information</w:t>
      </w:r>
      <w:r w:rsidR="00D96A5A" w:rsidRPr="00AD3E40">
        <w:t xml:space="preserve"> </w:t>
      </w:r>
      <w:r w:rsidR="00440D56">
        <w:t>is</w:t>
      </w:r>
      <w:r w:rsidR="00D96A5A" w:rsidRPr="00AD3E40">
        <w:t xml:space="preserve"> also available from </w:t>
      </w:r>
      <w:r w:rsidR="00D93E10" w:rsidRPr="00AD3E40">
        <w:t>several reputable Australian</w:t>
      </w:r>
      <w:r w:rsidR="00DC2E44">
        <w:rPr>
          <w:rStyle w:val="FootnoteReference"/>
        </w:rPr>
        <w:footnoteReference w:id="6"/>
      </w:r>
      <w:r w:rsidR="00D2065C" w:rsidRPr="00E82526">
        <w:rPr>
          <w:vertAlign w:val="superscript"/>
        </w:rPr>
        <w:t>,</w:t>
      </w:r>
      <w:r w:rsidR="00D2065C">
        <w:rPr>
          <w:rStyle w:val="FootnoteReference"/>
        </w:rPr>
        <w:footnoteReference w:id="7"/>
      </w:r>
      <w:r w:rsidR="00D93E10" w:rsidRPr="00AD3E40">
        <w:t xml:space="preserve"> and international organisations</w:t>
      </w:r>
      <w:r w:rsidR="001E6CD4">
        <w:t>.</w:t>
      </w:r>
      <w:r w:rsidR="001E6CD4">
        <w:rPr>
          <w:rStyle w:val="FootnoteReference"/>
        </w:rPr>
        <w:footnoteReference w:id="8"/>
      </w:r>
      <w:r w:rsidR="00D2065C" w:rsidRPr="00E82526">
        <w:rPr>
          <w:vertAlign w:val="superscript"/>
        </w:rPr>
        <w:t>,</w:t>
      </w:r>
      <w:r w:rsidR="00D2065C">
        <w:rPr>
          <w:rStyle w:val="FootnoteReference"/>
        </w:rPr>
        <w:footnoteReference w:id="9"/>
      </w:r>
      <w:r w:rsidR="00D96A5A" w:rsidRPr="00AD3E40">
        <w:t xml:space="preserve"> However</w:t>
      </w:r>
      <w:r w:rsidR="00290CD9" w:rsidRPr="00AD3E40">
        <w:t xml:space="preserve">, there is a lack of formal research about the </w:t>
      </w:r>
      <w:r w:rsidR="00440D56">
        <w:t>scale of mis</w:t>
      </w:r>
      <w:r w:rsidR="00290CD9" w:rsidRPr="00AD3E40">
        <w:t>use of dextromethorphan</w:t>
      </w:r>
      <w:r w:rsidR="00E82526">
        <w:t xml:space="preserve"> in Australia</w:t>
      </w:r>
      <w:r w:rsidR="00290CD9" w:rsidRPr="00AD3E40">
        <w:t>.</w:t>
      </w:r>
      <w:r w:rsidR="00894493" w:rsidRPr="00894493">
        <w:rPr>
          <w:rStyle w:val="Hyperlink"/>
          <w:rFonts w:asciiTheme="minorHAnsi" w:hAnsiTheme="minorHAnsi"/>
          <w:u w:val="none"/>
        </w:rPr>
        <w:t xml:space="preserve"> </w:t>
      </w:r>
      <w:r w:rsidR="00ED198A">
        <w:t xml:space="preserve">The submission in partial support of the interim decision commented that with the </w:t>
      </w:r>
      <w:proofErr w:type="gramStart"/>
      <w:r w:rsidR="00ED198A">
        <w:t>up</w:t>
      </w:r>
      <w:r w:rsidR="00E82526">
        <w:t>-</w:t>
      </w:r>
      <w:r w:rsidR="00ED198A">
        <w:t>scheduling</w:t>
      </w:r>
      <w:proofErr w:type="gramEnd"/>
      <w:r w:rsidR="00ED198A">
        <w:t xml:space="preserve"> of dihydrocodeine, people may turn to using more dextromethorphan and sales data should be recorded to proactively address potential abuse of dextromethorphan in future.</w:t>
      </w:r>
      <w:r w:rsidR="00290CD9">
        <w:t xml:space="preserve"> The Committee</w:t>
      </w:r>
      <w:r w:rsidR="00D93E10">
        <w:t xml:space="preserve"> </w:t>
      </w:r>
      <w:r w:rsidR="00290CD9">
        <w:t xml:space="preserve">also commented </w:t>
      </w:r>
      <w:r w:rsidR="00D93E10">
        <w:t>on the underreporting of substance misuse or abuse in general and t</w:t>
      </w:r>
      <w:r w:rsidR="00290CD9">
        <w:t xml:space="preserve">he limited evidence currently available on </w:t>
      </w:r>
      <w:r w:rsidR="00440D56">
        <w:t xml:space="preserve">the scale of </w:t>
      </w:r>
      <w:r w:rsidR="00290CD9">
        <w:t>misuse or abuse of dextromethorphan in Australia.</w:t>
      </w:r>
    </w:p>
    <w:p w14:paraId="5A945C13" w14:textId="7048B859" w:rsidR="00155533" w:rsidRPr="00BB2FE9" w:rsidRDefault="0045381C" w:rsidP="00AD3544">
      <w:pPr>
        <w:rPr>
          <w:highlight w:val="yellow"/>
        </w:rPr>
      </w:pPr>
      <w:r>
        <w:t xml:space="preserve">Overall, </w:t>
      </w:r>
      <w:r w:rsidR="00155533" w:rsidRPr="00F24669">
        <w:t xml:space="preserve">I am of the view that currently there is not enough evidence to support </w:t>
      </w:r>
      <w:r w:rsidR="0008505E">
        <w:t xml:space="preserve">moving the </w:t>
      </w:r>
      <w:r w:rsidR="00440D56">
        <w:t>Schedule </w:t>
      </w:r>
      <w:r w:rsidR="0008505E">
        <w:t xml:space="preserve">2 entry for dextromethorphan to </w:t>
      </w:r>
      <w:r w:rsidR="00155533" w:rsidRPr="00F24669">
        <w:t>Schedule 3.</w:t>
      </w:r>
      <w:r w:rsidR="00BB2FE9">
        <w:t xml:space="preserve"> I am therefore making the final decision not to amend the scheduling of dextromethorphan.</w:t>
      </w:r>
      <w:r w:rsidR="00155533" w:rsidRPr="00F24669">
        <w:t xml:space="preserve"> </w:t>
      </w:r>
      <w:r w:rsidR="0008505E">
        <w:t>However, I remain concerned about the</w:t>
      </w:r>
      <w:r w:rsidR="0008505E" w:rsidRPr="00F24669">
        <w:t xml:space="preserve"> potential for the misuse</w:t>
      </w:r>
      <w:r w:rsidR="0008505E">
        <w:t xml:space="preserve"> or</w:t>
      </w:r>
      <w:r w:rsidR="0008505E" w:rsidRPr="00F24669">
        <w:t xml:space="preserve"> abuse </w:t>
      </w:r>
      <w:r w:rsidR="0008505E">
        <w:t>of</w:t>
      </w:r>
      <w:r w:rsidR="0008505E" w:rsidRPr="00F24669">
        <w:t xml:space="preserve"> </w:t>
      </w:r>
      <w:r w:rsidR="0008505E">
        <w:t>dextromethorphan which need</w:t>
      </w:r>
      <w:r w:rsidR="002410E9">
        <w:t>s</w:t>
      </w:r>
      <w:r w:rsidR="0008505E">
        <w:t xml:space="preserve"> to be monitored for future consideration of the </w:t>
      </w:r>
      <w:r w:rsidR="00440D56">
        <w:t xml:space="preserve">appropriateness of the </w:t>
      </w:r>
      <w:r w:rsidR="0008505E">
        <w:t>scheduling of dextromethorphan.</w:t>
      </w:r>
    </w:p>
    <w:p w14:paraId="618B47E3" w14:textId="39062A11" w:rsidR="0075124E" w:rsidRDefault="0075124E" w:rsidP="0075124E">
      <w:pPr>
        <w:pStyle w:val="Heading3"/>
      </w:pPr>
      <w:bookmarkStart w:id="33" w:name="_Toc178340897"/>
      <w:bookmarkStart w:id="34" w:name="_Toc97640265"/>
      <w:bookmarkEnd w:id="31"/>
      <w:r>
        <w:t xml:space="preserve">Final decision in relation to </w:t>
      </w:r>
      <w:proofErr w:type="spellStart"/>
      <w:r>
        <w:t>ethylmorphine</w:t>
      </w:r>
      <w:bookmarkEnd w:id="33"/>
      <w:proofErr w:type="spellEnd"/>
    </w:p>
    <w:p w14:paraId="7766ACF5" w14:textId="77777777" w:rsidR="0075124E" w:rsidRPr="00F24669" w:rsidRDefault="0075124E" w:rsidP="0075124E">
      <w:pPr>
        <w:pStyle w:val="Heading4"/>
      </w:pPr>
      <w:r w:rsidRPr="00F24669">
        <w:t>Proposal</w:t>
      </w:r>
    </w:p>
    <w:p w14:paraId="6214D447" w14:textId="556CB24B" w:rsidR="0075124E" w:rsidRDefault="0075124E" w:rsidP="0075124E">
      <w:r>
        <w:t xml:space="preserve">The </w:t>
      </w:r>
      <w:r w:rsidR="00894493">
        <w:t xml:space="preserve">Delegate of the Secretary of the </w:t>
      </w:r>
      <w:r>
        <w:t xml:space="preserve">Department of Health and Aged Care has proposed deletion of the </w:t>
      </w:r>
      <w:r w:rsidR="00440D56">
        <w:t>Pharmacy medicine (Schedule </w:t>
      </w:r>
      <w:r>
        <w:t>2</w:t>
      </w:r>
      <w:r w:rsidR="00440D56">
        <w:t>)</w:t>
      </w:r>
      <w:r>
        <w:t xml:space="preserve"> entry for </w:t>
      </w:r>
      <w:proofErr w:type="spellStart"/>
      <w:r>
        <w:t>ethylmorphine</w:t>
      </w:r>
      <w:proofErr w:type="spellEnd"/>
      <w:r>
        <w:t xml:space="preserve">. This will effectively classify all preparations containing </w:t>
      </w:r>
      <w:proofErr w:type="spellStart"/>
      <w:r>
        <w:t>ethylmorphine</w:t>
      </w:r>
      <w:proofErr w:type="spellEnd"/>
      <w:r>
        <w:t xml:space="preserve"> as prescription-only medicines.</w:t>
      </w:r>
    </w:p>
    <w:p w14:paraId="53EBBE41" w14:textId="77777777" w:rsidR="00874773" w:rsidRPr="00F24669" w:rsidRDefault="00874773" w:rsidP="00874773">
      <w:pPr>
        <w:pStyle w:val="Heading4"/>
      </w:pPr>
      <w:r w:rsidRPr="00F24669">
        <w:t xml:space="preserve">Final decision </w:t>
      </w:r>
    </w:p>
    <w:p w14:paraId="3EAED7B8" w14:textId="5152CDF7" w:rsidR="00874773" w:rsidRDefault="00874773" w:rsidP="00874773">
      <w:r w:rsidRPr="00F24669">
        <w:t xml:space="preserve">Pursuant to regulation 42ZCZR of the Regulations, the Delegate has made a final decision to </w:t>
      </w:r>
      <w:r w:rsidRPr="00A608CA">
        <w:t xml:space="preserve">confirm the interim decision and amend the current Poisons Standard in relation to </w:t>
      </w:r>
      <w:proofErr w:type="spellStart"/>
      <w:r w:rsidRPr="00E82526">
        <w:t>ethylmorphine</w:t>
      </w:r>
      <w:proofErr w:type="spellEnd"/>
      <w:r w:rsidRPr="00E82526">
        <w:t xml:space="preserve"> as follows</w:t>
      </w:r>
      <w:r w:rsidRPr="00A608CA">
        <w:t>:</w:t>
      </w:r>
      <w:r w:rsidR="008C6CF9">
        <w:rPr>
          <w:rStyle w:val="FootnoteReference"/>
        </w:rPr>
        <w:footnoteReference w:id="10"/>
      </w:r>
    </w:p>
    <w:p w14:paraId="7BF4454C" w14:textId="77777777" w:rsidR="00874773" w:rsidRDefault="00874773" w:rsidP="00874773">
      <w:pPr>
        <w:ind w:left="426"/>
        <w:rPr>
          <w:rFonts w:asciiTheme="minorHAnsi" w:hAnsiTheme="minorHAnsi" w:cs="Arial"/>
          <w:b/>
          <w:color w:val="auto"/>
        </w:rPr>
      </w:pPr>
      <w:r>
        <w:rPr>
          <w:rFonts w:cs="Arial"/>
          <w:b/>
        </w:rPr>
        <w:t>Schedule 8 – Amend Entry</w:t>
      </w:r>
    </w:p>
    <w:p w14:paraId="6513678C" w14:textId="77777777" w:rsidR="00874773" w:rsidRDefault="00874773" w:rsidP="00874773">
      <w:pPr>
        <w:ind w:left="426" w:firstLine="294"/>
        <w:rPr>
          <w:rFonts w:cs="Arial"/>
        </w:rPr>
      </w:pPr>
      <w:r>
        <w:rPr>
          <w:rFonts w:cs="Arial"/>
        </w:rPr>
        <w:t xml:space="preserve">ETHYLMORPHINE </w:t>
      </w:r>
      <w:r>
        <w:rPr>
          <w:rFonts w:cs="Arial"/>
          <w:b/>
          <w:bCs/>
        </w:rPr>
        <w:t>except</w:t>
      </w:r>
      <w:r>
        <w:rPr>
          <w:rFonts w:cs="Arial"/>
        </w:rPr>
        <w:t xml:space="preserve"> when included in Schedule </w:t>
      </w:r>
      <w:r>
        <w:rPr>
          <w:rFonts w:cs="Arial"/>
          <w:strike/>
          <w:color w:val="FF0000"/>
        </w:rPr>
        <w:t xml:space="preserve">2 or </w:t>
      </w:r>
      <w:r>
        <w:rPr>
          <w:rFonts w:cs="Arial"/>
        </w:rPr>
        <w:t>4.</w:t>
      </w:r>
    </w:p>
    <w:p w14:paraId="07DF5D49" w14:textId="77777777" w:rsidR="00874773" w:rsidRDefault="00874773" w:rsidP="00874773">
      <w:pPr>
        <w:ind w:left="426"/>
        <w:rPr>
          <w:rFonts w:cs="Arial"/>
          <w:b/>
          <w:bCs/>
        </w:rPr>
      </w:pPr>
      <w:r>
        <w:rPr>
          <w:rFonts w:cs="Arial"/>
          <w:b/>
          <w:bCs/>
        </w:rPr>
        <w:t>Schedule 4 – Amend Entry</w:t>
      </w:r>
    </w:p>
    <w:p w14:paraId="1F0A638F" w14:textId="77777777" w:rsidR="00874773" w:rsidRDefault="00874773" w:rsidP="00874773">
      <w:pPr>
        <w:ind w:left="720" w:firstLine="6"/>
        <w:rPr>
          <w:rFonts w:cs="Arial"/>
        </w:rPr>
      </w:pPr>
      <w:r>
        <w:rPr>
          <w:rFonts w:cs="Arial"/>
        </w:rPr>
        <w:t>ETHYLMORPHINE when compounded with one or more other therapeutically active substances:</w:t>
      </w:r>
    </w:p>
    <w:p w14:paraId="6C9A149A" w14:textId="77777777" w:rsidR="00874773" w:rsidRDefault="00874773" w:rsidP="00874773">
      <w:pPr>
        <w:pStyle w:val="ListBulleta"/>
        <w:numPr>
          <w:ilvl w:val="0"/>
          <w:numId w:val="28"/>
        </w:numPr>
        <w:tabs>
          <w:tab w:val="left" w:pos="720"/>
        </w:tabs>
        <w:rPr>
          <w:rStyle w:val="normaltextrun"/>
          <w:color w:val="auto"/>
        </w:rPr>
      </w:pPr>
      <w:r>
        <w:rPr>
          <w:rStyle w:val="normaltextrun"/>
          <w:color w:val="auto"/>
        </w:rPr>
        <w:t xml:space="preserve">in divided preparations containing not more than 100 mg of </w:t>
      </w:r>
      <w:proofErr w:type="spellStart"/>
      <w:r>
        <w:rPr>
          <w:rStyle w:val="normaltextrun"/>
          <w:color w:val="auto"/>
        </w:rPr>
        <w:t>ethylmorphine</w:t>
      </w:r>
      <w:proofErr w:type="spellEnd"/>
      <w:r>
        <w:rPr>
          <w:rStyle w:val="normaltextrun"/>
          <w:color w:val="auto"/>
        </w:rPr>
        <w:t xml:space="preserve"> per dosage unit; or</w:t>
      </w:r>
    </w:p>
    <w:p w14:paraId="6E1545DD" w14:textId="77777777" w:rsidR="00874773" w:rsidRDefault="00874773" w:rsidP="00874773">
      <w:pPr>
        <w:pStyle w:val="ListBulleta"/>
        <w:numPr>
          <w:ilvl w:val="0"/>
          <w:numId w:val="28"/>
        </w:numPr>
        <w:tabs>
          <w:tab w:val="left" w:pos="720"/>
        </w:tabs>
        <w:rPr>
          <w:rStyle w:val="normaltextrun"/>
        </w:rPr>
      </w:pPr>
      <w:r>
        <w:rPr>
          <w:rStyle w:val="normaltextrun"/>
          <w:color w:val="auto"/>
        </w:rPr>
        <w:lastRenderedPageBreak/>
        <w:t xml:space="preserve">in undivided preparations with a concentration of not more than 2.5% of </w:t>
      </w:r>
      <w:proofErr w:type="spellStart"/>
      <w:proofErr w:type="gramStart"/>
      <w:r>
        <w:rPr>
          <w:rStyle w:val="normaltextrun"/>
          <w:color w:val="auto"/>
        </w:rPr>
        <w:t>ethylmorphine</w:t>
      </w:r>
      <w:proofErr w:type="spellEnd"/>
      <w:r>
        <w:rPr>
          <w:rStyle w:val="normaltextrun"/>
          <w:strike/>
        </w:rPr>
        <w:t>;</w:t>
      </w:r>
      <w:r>
        <w:rPr>
          <w:rStyle w:val="normaltextrun"/>
          <w:color w:val="00B050"/>
        </w:rPr>
        <w:t>.</w:t>
      </w:r>
      <w:proofErr w:type="gramEnd"/>
    </w:p>
    <w:p w14:paraId="41261B1B" w14:textId="77777777" w:rsidR="00874773" w:rsidRDefault="00874773" w:rsidP="00874773">
      <w:pPr>
        <w:ind w:firstLine="720"/>
      </w:pPr>
      <w:r>
        <w:rPr>
          <w:strike/>
          <w:color w:val="FF0000"/>
        </w:rPr>
        <w:t xml:space="preserve">except when included in </w:t>
      </w:r>
      <w:r>
        <w:rPr>
          <w:b/>
          <w:bCs/>
          <w:strike/>
          <w:color w:val="FF0000"/>
        </w:rPr>
        <w:t>Schedule 2</w:t>
      </w:r>
      <w:r>
        <w:t>.</w:t>
      </w:r>
    </w:p>
    <w:p w14:paraId="6DEAC355" w14:textId="77777777" w:rsidR="00874773" w:rsidRDefault="00874773" w:rsidP="00874773">
      <w:pPr>
        <w:ind w:left="426"/>
        <w:rPr>
          <w:rFonts w:cs="Arial"/>
          <w:b/>
        </w:rPr>
      </w:pPr>
      <w:r>
        <w:rPr>
          <w:rFonts w:cs="Arial"/>
          <w:b/>
        </w:rPr>
        <w:t>Schedule 2 – Delete Entry</w:t>
      </w:r>
    </w:p>
    <w:p w14:paraId="62547CA0" w14:textId="77777777" w:rsidR="00874773" w:rsidRPr="00E82526" w:rsidRDefault="00874773" w:rsidP="00874773">
      <w:pPr>
        <w:ind w:left="426"/>
        <w:rPr>
          <w:rFonts w:cs="Arial"/>
          <w:bCs/>
          <w:strike/>
          <w:color w:val="FF0000"/>
        </w:rPr>
      </w:pPr>
      <w:r w:rsidRPr="00E82526">
        <w:rPr>
          <w:rFonts w:cs="Arial"/>
          <w:b/>
          <w:color w:val="FF0000"/>
        </w:rPr>
        <w:tab/>
      </w:r>
      <w:r w:rsidRPr="00E82526">
        <w:rPr>
          <w:rFonts w:cs="Arial"/>
          <w:bCs/>
          <w:strike/>
          <w:color w:val="FF0000"/>
        </w:rPr>
        <w:t>ETHYLMORPHINE when:</w:t>
      </w:r>
    </w:p>
    <w:p w14:paraId="5E3E03EE" w14:textId="77777777" w:rsidR="00874773" w:rsidRPr="00E82526" w:rsidRDefault="00874773" w:rsidP="00874773">
      <w:pPr>
        <w:pStyle w:val="ListBulleta"/>
        <w:numPr>
          <w:ilvl w:val="0"/>
          <w:numId w:val="29"/>
        </w:numPr>
        <w:tabs>
          <w:tab w:val="left" w:pos="720"/>
        </w:tabs>
      </w:pPr>
      <w:r w:rsidRPr="00E82526">
        <w:t>compounded with one or more other therapeutically active substances:</w:t>
      </w:r>
    </w:p>
    <w:p w14:paraId="0C299A54" w14:textId="77777777" w:rsidR="00874773" w:rsidRPr="00894493" w:rsidRDefault="00874773" w:rsidP="00874773">
      <w:pPr>
        <w:pStyle w:val="ListBulleti"/>
        <w:rPr>
          <w:rFonts w:ascii="Arial" w:hAnsi="Arial" w:cs="Arial"/>
          <w:strike/>
          <w:color w:val="FF0000"/>
          <w:sz w:val="20"/>
          <w:szCs w:val="20"/>
        </w:rPr>
      </w:pPr>
      <w:r w:rsidRPr="00894493">
        <w:rPr>
          <w:rFonts w:ascii="Arial" w:hAnsi="Arial" w:cs="Arial"/>
          <w:strike/>
          <w:color w:val="FF0000"/>
          <w:sz w:val="20"/>
          <w:szCs w:val="20"/>
        </w:rPr>
        <w:t xml:space="preserve">in divided preparations containing 10 mg or less of </w:t>
      </w:r>
      <w:proofErr w:type="spellStart"/>
      <w:r w:rsidRPr="00894493">
        <w:rPr>
          <w:rFonts w:ascii="Arial" w:hAnsi="Arial" w:cs="Arial"/>
          <w:strike/>
          <w:color w:val="FF0000"/>
          <w:sz w:val="20"/>
          <w:szCs w:val="20"/>
        </w:rPr>
        <w:t>ethylmorphine</w:t>
      </w:r>
      <w:proofErr w:type="spellEnd"/>
      <w:r w:rsidRPr="00894493">
        <w:rPr>
          <w:rFonts w:ascii="Arial" w:hAnsi="Arial" w:cs="Arial"/>
          <w:strike/>
          <w:color w:val="FF0000"/>
          <w:sz w:val="20"/>
          <w:szCs w:val="20"/>
        </w:rPr>
        <w:t xml:space="preserve"> per dosage unit; or</w:t>
      </w:r>
    </w:p>
    <w:p w14:paraId="33124C54" w14:textId="77777777" w:rsidR="00874773" w:rsidRPr="00894493" w:rsidRDefault="00874773" w:rsidP="00874773">
      <w:pPr>
        <w:pStyle w:val="ListBulleti"/>
        <w:rPr>
          <w:rFonts w:ascii="Arial" w:hAnsi="Arial" w:cs="Arial"/>
          <w:strike/>
          <w:color w:val="FF0000"/>
          <w:sz w:val="20"/>
          <w:szCs w:val="20"/>
        </w:rPr>
      </w:pPr>
      <w:r w:rsidRPr="00894493">
        <w:rPr>
          <w:rFonts w:ascii="Arial" w:hAnsi="Arial" w:cs="Arial"/>
          <w:strike/>
          <w:color w:val="FF0000"/>
          <w:sz w:val="20"/>
          <w:szCs w:val="20"/>
        </w:rPr>
        <w:t xml:space="preserve">in undivided preparations containing 0.25% or less of </w:t>
      </w:r>
      <w:proofErr w:type="spellStart"/>
      <w:r w:rsidRPr="00894493">
        <w:rPr>
          <w:rFonts w:ascii="Arial" w:hAnsi="Arial" w:cs="Arial"/>
          <w:strike/>
          <w:color w:val="FF0000"/>
          <w:sz w:val="20"/>
          <w:szCs w:val="20"/>
        </w:rPr>
        <w:t>ethylmorphine</w:t>
      </w:r>
      <w:proofErr w:type="spellEnd"/>
      <w:r w:rsidRPr="00894493">
        <w:rPr>
          <w:rFonts w:ascii="Arial" w:hAnsi="Arial" w:cs="Arial"/>
          <w:strike/>
          <w:color w:val="FF0000"/>
          <w:sz w:val="20"/>
          <w:szCs w:val="20"/>
        </w:rPr>
        <w:t>; and</w:t>
      </w:r>
    </w:p>
    <w:p w14:paraId="6006F4C0" w14:textId="77777777" w:rsidR="00874773" w:rsidRPr="00E82526" w:rsidRDefault="00874773" w:rsidP="00874773">
      <w:pPr>
        <w:pStyle w:val="ListBulleta"/>
        <w:numPr>
          <w:ilvl w:val="0"/>
          <w:numId w:val="27"/>
        </w:numPr>
        <w:tabs>
          <w:tab w:val="left" w:pos="720"/>
        </w:tabs>
      </w:pPr>
      <w:r w:rsidRPr="00E82526">
        <w:t xml:space="preserve">labelled with a recommended dose not exceeding 15 mg of </w:t>
      </w:r>
      <w:proofErr w:type="spellStart"/>
      <w:r w:rsidRPr="00E82526">
        <w:t>ethylmorphine</w:t>
      </w:r>
      <w:proofErr w:type="spellEnd"/>
      <w:r w:rsidRPr="00E82526">
        <w:t>.</w:t>
      </w:r>
    </w:p>
    <w:p w14:paraId="05E85979" w14:textId="77777777" w:rsidR="00874773" w:rsidRDefault="00874773" w:rsidP="00874773">
      <w:pPr>
        <w:ind w:left="426"/>
        <w:rPr>
          <w:rFonts w:cs="Arial"/>
          <w:b/>
        </w:rPr>
      </w:pPr>
      <w:r>
        <w:rPr>
          <w:rFonts w:cs="Arial"/>
          <w:b/>
        </w:rPr>
        <w:t>Index – Amend Entry</w:t>
      </w:r>
    </w:p>
    <w:p w14:paraId="3DBD23C4" w14:textId="77777777" w:rsidR="00874773" w:rsidRDefault="00874773" w:rsidP="00874773">
      <w:pPr>
        <w:ind w:left="426" w:firstLine="294"/>
        <w:rPr>
          <w:rFonts w:cs="Arial"/>
        </w:rPr>
      </w:pPr>
      <w:r>
        <w:rPr>
          <w:rFonts w:cs="Arial"/>
        </w:rPr>
        <w:t>ETHYLMORPHINE</w:t>
      </w:r>
    </w:p>
    <w:p w14:paraId="1C11E182" w14:textId="77777777" w:rsidR="00874773" w:rsidRDefault="00874773" w:rsidP="00874773">
      <w:pPr>
        <w:ind w:left="426" w:firstLine="294"/>
        <w:rPr>
          <w:rFonts w:cs="Arial"/>
        </w:rPr>
      </w:pPr>
      <w:r>
        <w:rPr>
          <w:rFonts w:cs="Arial"/>
        </w:rPr>
        <w:t>Schedule 8</w:t>
      </w:r>
      <w:r>
        <w:rPr>
          <w:rFonts w:cs="Arial"/>
        </w:rPr>
        <w:br/>
      </w:r>
      <w:r>
        <w:rPr>
          <w:rFonts w:cs="Arial"/>
        </w:rPr>
        <w:tab/>
        <w:t>Schedule 4</w:t>
      </w:r>
      <w:r>
        <w:rPr>
          <w:rFonts w:cs="Arial"/>
        </w:rPr>
        <w:br/>
      </w:r>
      <w:r>
        <w:rPr>
          <w:rFonts w:cs="Arial"/>
        </w:rPr>
        <w:tab/>
      </w:r>
      <w:r>
        <w:rPr>
          <w:rFonts w:cs="Arial"/>
          <w:strike/>
          <w:color w:val="FF0000"/>
        </w:rPr>
        <w:t>Schedule 2</w:t>
      </w:r>
    </w:p>
    <w:p w14:paraId="7426CAFD" w14:textId="15F6F8AE" w:rsidR="0075124E" w:rsidRPr="00F24669" w:rsidRDefault="0075124E" w:rsidP="00874773">
      <w:pPr>
        <w:pStyle w:val="Heading4"/>
      </w:pPr>
      <w:r w:rsidRPr="00F24669">
        <w:t>Materials considered</w:t>
      </w:r>
    </w:p>
    <w:p w14:paraId="6BE5630E" w14:textId="2B4123F0" w:rsidR="0075124E" w:rsidRPr="00F24669" w:rsidRDefault="0075124E" w:rsidP="0075124E">
      <w:pPr>
        <w:pStyle w:val="ListBullet"/>
      </w:pPr>
      <w:r w:rsidRPr="00F24669">
        <w:t xml:space="preserve">the </w:t>
      </w:r>
      <w:hyperlink r:id="rId24" w:history="1">
        <w:r w:rsidRPr="00F24669">
          <w:rPr>
            <w:color w:val="0000FF"/>
            <w:u w:val="single"/>
          </w:rPr>
          <w:t>application</w:t>
        </w:r>
      </w:hyperlink>
      <w:r w:rsidRPr="00F24669">
        <w:t xml:space="preserve"> to amend the current Poisons Standard with respect to </w:t>
      </w:r>
      <w:proofErr w:type="spellStart"/>
      <w:r>
        <w:t>ethylmorphine</w:t>
      </w:r>
      <w:proofErr w:type="spellEnd"/>
      <w:r w:rsidRPr="00F24669">
        <w:t xml:space="preserve"> (the </w:t>
      </w:r>
      <w:r w:rsidRPr="00F24669">
        <w:rPr>
          <w:b/>
          <w:bCs/>
        </w:rPr>
        <w:t>Application</w:t>
      </w:r>
      <w:r w:rsidRPr="00F24669">
        <w:t>)</w:t>
      </w:r>
    </w:p>
    <w:p w14:paraId="5A15FC6E" w14:textId="489975C2" w:rsidR="0075124E" w:rsidRPr="00F24669" w:rsidRDefault="0075124E" w:rsidP="0075124E">
      <w:pPr>
        <w:pStyle w:val="ListBullet"/>
      </w:pPr>
      <w:r w:rsidRPr="00F24669">
        <w:t>the 1</w:t>
      </w:r>
      <w:r>
        <w:t>0</w:t>
      </w:r>
      <w:r w:rsidRPr="00F24669">
        <w:t xml:space="preserve"> </w:t>
      </w:r>
      <w:hyperlink r:id="rId25" w:history="1">
        <w:r w:rsidRPr="00F24669">
          <w:rPr>
            <w:color w:val="0000FF"/>
            <w:u w:val="single"/>
          </w:rPr>
          <w:t>public submissions</w:t>
        </w:r>
      </w:hyperlink>
      <w:r w:rsidRPr="00F24669">
        <w:t xml:space="preserve"> received in response to the </w:t>
      </w:r>
      <w:hyperlink r:id="rId26" w:history="1">
        <w:r w:rsidRPr="00F24669">
          <w:rPr>
            <w:color w:val="0000FF"/>
            <w:u w:val="single"/>
          </w:rPr>
          <w:t>pre-meeting consultation</w:t>
        </w:r>
      </w:hyperlink>
      <w:r w:rsidRPr="00F24669">
        <w:t xml:space="preserve"> under regulation 42ZCZK of the Regulations</w:t>
      </w:r>
    </w:p>
    <w:p w14:paraId="1881FAFB" w14:textId="77777777" w:rsidR="0075124E" w:rsidRPr="00F24669" w:rsidRDefault="0075124E" w:rsidP="0075124E">
      <w:pPr>
        <w:pStyle w:val="ListBullet"/>
      </w:pPr>
      <w:r w:rsidRPr="00F24669">
        <w:t>the advice received from the 44</w:t>
      </w:r>
      <w:r w:rsidRPr="00F24669">
        <w:rPr>
          <w:vertAlign w:val="superscript"/>
        </w:rPr>
        <w:t>th</w:t>
      </w:r>
      <w:r w:rsidRPr="00F24669">
        <w:t xml:space="preserve"> meeting of the Advisory Committee on Medicines Scheduling (the </w:t>
      </w:r>
      <w:r w:rsidRPr="00F24669">
        <w:rPr>
          <w:b/>
          <w:bCs/>
        </w:rPr>
        <w:t>Committee</w:t>
      </w:r>
      <w:r w:rsidRPr="00F24669">
        <w:t>)</w:t>
      </w:r>
      <w:r w:rsidRPr="00F24669">
        <w:rPr>
          <w:vertAlign w:val="superscript"/>
        </w:rPr>
        <w:footnoteReference w:id="11"/>
      </w:r>
    </w:p>
    <w:p w14:paraId="4D861BB1" w14:textId="420850F5" w:rsidR="0075124E" w:rsidRPr="00F24669" w:rsidRDefault="0075124E" w:rsidP="0075124E">
      <w:pPr>
        <w:pStyle w:val="ListBullet"/>
      </w:pPr>
      <w:r w:rsidRPr="00F24669">
        <w:t xml:space="preserve">the </w:t>
      </w:r>
      <w:hyperlink r:id="rId27" w:history="1">
        <w:r w:rsidRPr="00F24669">
          <w:rPr>
            <w:color w:val="0000FF"/>
            <w:u w:val="single"/>
          </w:rPr>
          <w:t>interim decision</w:t>
        </w:r>
      </w:hyperlink>
      <w:r w:rsidRPr="00F24669">
        <w:t xml:space="preserve"> relating to </w:t>
      </w:r>
      <w:proofErr w:type="spellStart"/>
      <w:r>
        <w:t>ethylmorphine</w:t>
      </w:r>
      <w:proofErr w:type="spellEnd"/>
      <w:r w:rsidRPr="00F24669">
        <w:t xml:space="preserve"> and the materials considered as part of the interim decision, as published on 24 July 2024</w:t>
      </w:r>
    </w:p>
    <w:p w14:paraId="2CE12B18" w14:textId="329228A0" w:rsidR="0075124E" w:rsidRPr="00F24669" w:rsidRDefault="0075124E" w:rsidP="0075124E">
      <w:pPr>
        <w:pStyle w:val="ListBullet"/>
      </w:pPr>
      <w:r w:rsidRPr="00F24669">
        <w:t xml:space="preserve">the </w:t>
      </w:r>
      <w:r>
        <w:t>one</w:t>
      </w:r>
      <w:r w:rsidRPr="00F24669">
        <w:t xml:space="preserve"> </w:t>
      </w:r>
      <w:r>
        <w:t>submission</w:t>
      </w:r>
      <w:r w:rsidRPr="00F24669">
        <w:t xml:space="preserve"> received in response to the </w:t>
      </w:r>
      <w:hyperlink r:id="rId28" w:history="1">
        <w:r>
          <w:rPr>
            <w:color w:val="0000FF"/>
            <w:u w:val="single"/>
          </w:rPr>
          <w:t>public consultation on the interim decision</w:t>
        </w:r>
      </w:hyperlink>
      <w:r w:rsidRPr="00F24669">
        <w:t xml:space="preserve"> under regulation 42ZCZP of the Regulations</w:t>
      </w:r>
    </w:p>
    <w:p w14:paraId="553F10BC" w14:textId="10F8C8AB" w:rsidR="0075124E" w:rsidRPr="00F24669" w:rsidRDefault="0075124E" w:rsidP="0075124E">
      <w:pPr>
        <w:pStyle w:val="ListBullet"/>
      </w:pPr>
      <w:r w:rsidRPr="00F24669">
        <w:t xml:space="preserve">subsection 52E(1) of </w:t>
      </w:r>
      <w:r w:rsidRPr="00F24669">
        <w:rPr>
          <w:iCs/>
        </w:rPr>
        <w:t>the Act</w:t>
      </w:r>
      <w:r w:rsidRPr="00F24669">
        <w:t>, in particular (a) the risks and benefits of the use of a substance; (b) the purposes for which a substance is to be used and the extent of use of a substance; (c)</w:t>
      </w:r>
      <w:r w:rsidR="00F61CBA">
        <w:t> </w:t>
      </w:r>
      <w:r w:rsidRPr="00F24669">
        <w:t>the toxicity of a substance; (d) the dosage, formulation, labelling, packaging and presentation of a substance; and (e) the potential for abuse of a substance; and (f) any other matters considered necessary to protect public health</w:t>
      </w:r>
    </w:p>
    <w:p w14:paraId="6F71CE0B" w14:textId="77777777" w:rsidR="0075124E" w:rsidRPr="00335538" w:rsidRDefault="0075124E" w:rsidP="0075124E">
      <w:pPr>
        <w:pStyle w:val="ListBullet"/>
        <w:jc w:val="both"/>
        <w:rPr>
          <w:rFonts w:cs="Arial"/>
          <w:szCs w:val="20"/>
        </w:rPr>
      </w:pPr>
      <w:r>
        <w:rPr>
          <w:rFonts w:cs="Arial"/>
          <w:szCs w:val="20"/>
        </w:rPr>
        <w:t>p</w:t>
      </w:r>
      <w:r w:rsidRPr="00335538">
        <w:rPr>
          <w:rFonts w:cs="Arial"/>
          <w:szCs w:val="20"/>
        </w:rPr>
        <w:t>ublications and references cited in the reasons below</w:t>
      </w:r>
    </w:p>
    <w:p w14:paraId="7BFA5C5A" w14:textId="77777777" w:rsidR="0075124E" w:rsidRPr="00F24669" w:rsidRDefault="0075124E" w:rsidP="0075124E">
      <w:pPr>
        <w:pStyle w:val="ListBullet"/>
      </w:pPr>
      <w:r w:rsidRPr="00F24669">
        <w:t>pursuant to paragraph 52E(2)(a) of the Act, the SPF, and</w:t>
      </w:r>
    </w:p>
    <w:p w14:paraId="4EB5D950" w14:textId="77777777" w:rsidR="0075124E" w:rsidRPr="00F24669" w:rsidRDefault="0075124E" w:rsidP="0075124E">
      <w:pPr>
        <w:pStyle w:val="ListBullet"/>
      </w:pPr>
      <w:r w:rsidRPr="00F24669">
        <w:t>the Handbook.</w:t>
      </w:r>
    </w:p>
    <w:p w14:paraId="5416AF4E" w14:textId="77777777" w:rsidR="0075124E" w:rsidRPr="00BB34CD" w:rsidRDefault="0075124E" w:rsidP="0075124E">
      <w:pPr>
        <w:pStyle w:val="Heading4"/>
      </w:pPr>
      <w:r w:rsidRPr="00BB34CD">
        <w:lastRenderedPageBreak/>
        <w:t>Reasons for the final decision (including findings on material questions of fact)</w:t>
      </w:r>
    </w:p>
    <w:p w14:paraId="1EECD5BA" w14:textId="4600C668" w:rsidR="0075124E" w:rsidRDefault="0075124E" w:rsidP="0075124E">
      <w:r>
        <w:t xml:space="preserve">I have made a final decision to confirm my interim decision to amend the current Poisons Standard with respect to </w:t>
      </w:r>
      <w:proofErr w:type="spellStart"/>
      <w:r>
        <w:t>ethylmorphine</w:t>
      </w:r>
      <w:proofErr w:type="spellEnd"/>
      <w:r>
        <w:t>. My reasons for making the final decision are those set out in the interim decision. In making my final decision, I have considered the material in the interim decision and the public submission from the Pharmacy Guild of Australia (PGA), which was received in response to the interim decision.</w:t>
      </w:r>
    </w:p>
    <w:p w14:paraId="14B6AEA4" w14:textId="7EAB8CEB" w:rsidR="0075124E" w:rsidRPr="0075124E" w:rsidRDefault="0075124E" w:rsidP="0075124E">
      <w:r w:rsidRPr="00F34CCF">
        <w:t xml:space="preserve">I have considered </w:t>
      </w:r>
      <w:r>
        <w:t>the</w:t>
      </w:r>
      <w:r w:rsidRPr="00F34CCF">
        <w:t xml:space="preserve"> suggestion</w:t>
      </w:r>
      <w:r>
        <w:t xml:space="preserve"> from the PGA</w:t>
      </w:r>
      <w:r w:rsidRPr="00F34CCF">
        <w:t xml:space="preserve"> to create a new Appendix M entry for </w:t>
      </w:r>
      <w:proofErr w:type="spellStart"/>
      <w:r>
        <w:t>ethylmorphine</w:t>
      </w:r>
      <w:proofErr w:type="spellEnd"/>
      <w:r>
        <w:t xml:space="preserve"> </w:t>
      </w:r>
      <w:r w:rsidRPr="00F34CCF">
        <w:t xml:space="preserve">to require record keeping of </w:t>
      </w:r>
      <w:proofErr w:type="spellStart"/>
      <w:r>
        <w:t>ethylmorphine</w:t>
      </w:r>
      <w:proofErr w:type="spellEnd"/>
      <w:r>
        <w:t xml:space="preserve"> </w:t>
      </w:r>
      <w:r w:rsidRPr="00F34CCF">
        <w:t xml:space="preserve">supply using Real Time Prescription Monitoring (RTPM). I acknowledge that such a measure would better assist pharmacists </w:t>
      </w:r>
      <w:r w:rsidR="00274EEB">
        <w:t xml:space="preserve">to </w:t>
      </w:r>
      <w:r w:rsidRPr="00F34CCF">
        <w:t xml:space="preserve">supply </w:t>
      </w:r>
      <w:proofErr w:type="spellStart"/>
      <w:r w:rsidR="00274EEB">
        <w:t>ethylmorphine</w:t>
      </w:r>
      <w:proofErr w:type="spellEnd"/>
      <w:r w:rsidRPr="00F34CCF">
        <w:t xml:space="preserve"> appropriately and set barriers to accessing large quantities of </w:t>
      </w:r>
      <w:proofErr w:type="spellStart"/>
      <w:r w:rsidR="00274EEB">
        <w:t>ethylmorphin</w:t>
      </w:r>
      <w:r w:rsidRPr="00F34CCF">
        <w:t>e</w:t>
      </w:r>
      <w:proofErr w:type="spellEnd"/>
      <w:r w:rsidRPr="00F34CCF">
        <w:t xml:space="preserve"> from multiple pharmacies. It will also enable greater pharmacovigilance activity and enable data collection to better understand </w:t>
      </w:r>
      <w:proofErr w:type="spellStart"/>
      <w:r w:rsidR="00274EEB">
        <w:t>ethylmorphine</w:t>
      </w:r>
      <w:proofErr w:type="spellEnd"/>
      <w:r w:rsidRPr="00F34CCF">
        <w:t xml:space="preserve"> use and misuse. However, the implementation of the Poisons Standard is given effect through relevant state and territory legislations and implementation of such measure requires agreement from state and territory governments, especially as the RTPM system is only implemented for medicine</w:t>
      </w:r>
      <w:r w:rsidR="00894493">
        <w:t>s</w:t>
      </w:r>
      <w:r w:rsidRPr="00F34CCF">
        <w:t xml:space="preserve"> requiring a prescription (Schedules 4 and 8).</w:t>
      </w:r>
      <w:r w:rsidR="00600BBC">
        <w:t xml:space="preserve"> Currently no </w:t>
      </w:r>
      <w:proofErr w:type="spellStart"/>
      <w:r w:rsidR="00F213CA">
        <w:t>ethylmorphine</w:t>
      </w:r>
      <w:proofErr w:type="spellEnd"/>
      <w:r w:rsidR="00F213CA">
        <w:t xml:space="preserve"> product</w:t>
      </w:r>
      <w:r w:rsidR="00600BBC">
        <w:t xml:space="preserve"> </w:t>
      </w:r>
      <w:r w:rsidR="00F213CA">
        <w:t xml:space="preserve">is </w:t>
      </w:r>
      <w:r w:rsidR="00600BBC">
        <w:t xml:space="preserve">listed on the </w:t>
      </w:r>
      <w:hyperlink r:id="rId29" w:history="1">
        <w:r w:rsidR="00600BBC">
          <w:rPr>
            <w:rStyle w:val="Hyperlink"/>
          </w:rPr>
          <w:t>Australian Register of Therapeutic Goods</w:t>
        </w:r>
      </w:hyperlink>
      <w:r w:rsidR="00600BBC">
        <w:t xml:space="preserve">. Therefore, creation of an Appendix M entry for </w:t>
      </w:r>
      <w:proofErr w:type="spellStart"/>
      <w:r w:rsidR="00600BBC">
        <w:t>ethylmorphine</w:t>
      </w:r>
      <w:proofErr w:type="spellEnd"/>
      <w:r w:rsidR="00F213CA">
        <w:t xml:space="preserve"> has no practical implication </w:t>
      </w:r>
      <w:r w:rsidR="00E82526">
        <w:t>at this stage</w:t>
      </w:r>
      <w:r w:rsidR="00F213CA">
        <w:t>.</w:t>
      </w:r>
    </w:p>
    <w:p w14:paraId="2A671CF1" w14:textId="77777777" w:rsidR="00D600F3" w:rsidRDefault="00D600F3" w:rsidP="00D600F3">
      <w:pPr>
        <w:pStyle w:val="Heading4"/>
        <w:rPr>
          <w:rFonts w:asciiTheme="minorHAnsi" w:hAnsiTheme="minorHAnsi"/>
        </w:rPr>
      </w:pPr>
      <w:r>
        <w:t>Implementation date</w:t>
      </w:r>
    </w:p>
    <w:p w14:paraId="34897E44" w14:textId="44D761D1" w:rsidR="00D600F3" w:rsidRDefault="00D600F3">
      <w:pPr>
        <w:rPr>
          <w:rFonts w:eastAsia="Times New Roman" w:cs="Times New Roman"/>
          <w:b/>
          <w:bCs/>
          <w:color w:val="001871"/>
          <w:sz w:val="38"/>
          <w:szCs w:val="38"/>
        </w:rPr>
      </w:pPr>
      <w:r w:rsidRPr="00D600F3">
        <w:t>1 October 2024</w:t>
      </w:r>
      <w:r>
        <w:br w:type="page"/>
      </w:r>
    </w:p>
    <w:p w14:paraId="3D8ADD1B" w14:textId="4113ED75" w:rsidR="002B1E3C" w:rsidRPr="00D2065C" w:rsidRDefault="002B1E3C" w:rsidP="00D2065C">
      <w:pPr>
        <w:pStyle w:val="Heading2"/>
      </w:pPr>
      <w:bookmarkStart w:id="35" w:name="_Toc178340898"/>
      <w:r w:rsidRPr="00D2065C">
        <w:lastRenderedPageBreak/>
        <w:t>Final decisions on proposed amendments referred to the Advisory Committee on Chemicals Scheduling (ACCS #38, March 2024)</w:t>
      </w:r>
      <w:bookmarkEnd w:id="35"/>
    </w:p>
    <w:p w14:paraId="13512FB3" w14:textId="77777777" w:rsidR="002B1E3C" w:rsidRDefault="002B1E3C" w:rsidP="002B1E3C">
      <w:pPr>
        <w:pStyle w:val="Heading3"/>
      </w:pPr>
      <w:bookmarkStart w:id="36" w:name="_Toc178340899"/>
      <w:r>
        <w:t xml:space="preserve">Final decision in relation to </w:t>
      </w:r>
      <w:proofErr w:type="spellStart"/>
      <w:r>
        <w:t>niclosamide</w:t>
      </w:r>
      <w:bookmarkEnd w:id="36"/>
      <w:proofErr w:type="spellEnd"/>
    </w:p>
    <w:p w14:paraId="2C9FA62B" w14:textId="77777777" w:rsidR="002B1E3C" w:rsidRPr="009A4603" w:rsidRDefault="002B1E3C" w:rsidP="00D2065C">
      <w:pPr>
        <w:pStyle w:val="Heading4"/>
      </w:pPr>
      <w:r w:rsidRPr="009A4603">
        <w:t>Proposal</w:t>
      </w:r>
    </w:p>
    <w:p w14:paraId="03B685AF" w14:textId="414C2110" w:rsidR="002B1E3C" w:rsidRDefault="002B1E3C" w:rsidP="002B1E3C">
      <w:r w:rsidRPr="00EE1C86">
        <w:t xml:space="preserve">The Delegate received an application </w:t>
      </w:r>
      <w:r>
        <w:t xml:space="preserve">to </w:t>
      </w:r>
      <w:r w:rsidRPr="00EE1C86">
        <w:t xml:space="preserve">create a </w:t>
      </w:r>
      <w:r w:rsidR="00440D56">
        <w:t>Caution (</w:t>
      </w:r>
      <w:r w:rsidRPr="00EE1C86">
        <w:t>Schedule 5</w:t>
      </w:r>
      <w:r w:rsidR="00440D56">
        <w:t>)</w:t>
      </w:r>
      <w:r w:rsidRPr="00EE1C86">
        <w:t xml:space="preserve"> entry for </w:t>
      </w:r>
      <w:proofErr w:type="spellStart"/>
      <w:r w:rsidRPr="00EE1C86">
        <w:t>niclosamide</w:t>
      </w:r>
      <w:proofErr w:type="spellEnd"/>
      <w:r w:rsidRPr="00EE1C86">
        <w:t xml:space="preserve"> when in tablet or paste preparations for companion animals, and a </w:t>
      </w:r>
      <w:r w:rsidR="00440D56">
        <w:t>Poisons (</w:t>
      </w:r>
      <w:r w:rsidRPr="00EE1C86">
        <w:t>Schedule 6</w:t>
      </w:r>
      <w:r w:rsidR="00440D56">
        <w:t>)</w:t>
      </w:r>
      <w:r w:rsidRPr="00EE1C86">
        <w:t xml:space="preserve"> entry for </w:t>
      </w:r>
      <w:proofErr w:type="spellStart"/>
      <w:r w:rsidRPr="00EE1C86">
        <w:t>niclosamide</w:t>
      </w:r>
      <w:proofErr w:type="spellEnd"/>
      <w:r w:rsidRPr="00EE1C86">
        <w:t xml:space="preserve"> except when included in </w:t>
      </w:r>
      <w:r w:rsidR="00440D56">
        <w:t>Pharmacy medicine (</w:t>
      </w:r>
      <w:r w:rsidRPr="00EE1C86">
        <w:t>Schedule 2</w:t>
      </w:r>
      <w:r w:rsidR="00440D56">
        <w:t>)</w:t>
      </w:r>
      <w:r w:rsidRPr="00EE1C86">
        <w:t xml:space="preserve"> or </w:t>
      </w:r>
      <w:r w:rsidR="00440D56">
        <w:t xml:space="preserve">Schedule </w:t>
      </w:r>
      <w:r w:rsidRPr="00EE1C86">
        <w:t>5.</w:t>
      </w:r>
    </w:p>
    <w:p w14:paraId="0C3337AF" w14:textId="006770F1" w:rsidR="002B1E3C" w:rsidRPr="009A4603" w:rsidRDefault="002B1E3C" w:rsidP="00D2065C">
      <w:pPr>
        <w:pStyle w:val="Heading4"/>
      </w:pPr>
      <w:r w:rsidRPr="009A4603">
        <w:t>Final decision</w:t>
      </w:r>
    </w:p>
    <w:p w14:paraId="23EBF564" w14:textId="541CC837" w:rsidR="002B1E3C" w:rsidRDefault="002B1E3C" w:rsidP="002B1E3C">
      <w:r>
        <w:t xml:space="preserve">Pursuant to regulation 42ZCZR of the Regulations, the Delegate has made a final </w:t>
      </w:r>
      <w:r w:rsidRPr="00A66082">
        <w:t xml:space="preserve">decision to confirm the interim decision and amend the current Poisons Standard in relation to </w:t>
      </w:r>
      <w:proofErr w:type="spellStart"/>
      <w:r w:rsidRPr="00A66082">
        <w:t>niclosamide</w:t>
      </w:r>
      <w:proofErr w:type="spellEnd"/>
      <w:r w:rsidRPr="00A66082">
        <w:t xml:space="preserve"> as follows:</w:t>
      </w:r>
      <w:r w:rsidR="008C6CF9">
        <w:rPr>
          <w:rStyle w:val="FootnoteReference"/>
        </w:rPr>
        <w:footnoteReference w:id="12"/>
      </w:r>
    </w:p>
    <w:p w14:paraId="2E31B560" w14:textId="77777777" w:rsidR="002B1E3C" w:rsidRPr="00F34CCF" w:rsidRDefault="002B1E3C" w:rsidP="002B1E3C">
      <w:pPr>
        <w:ind w:left="426"/>
        <w:rPr>
          <w:b/>
        </w:rPr>
      </w:pPr>
      <w:r w:rsidRPr="00F34CCF">
        <w:rPr>
          <w:b/>
        </w:rPr>
        <w:t>Schedule 6 – New entry</w:t>
      </w:r>
    </w:p>
    <w:p w14:paraId="4407F89E" w14:textId="39D97B19" w:rsidR="002B1E3C" w:rsidRPr="00F34CCF" w:rsidRDefault="002B1E3C" w:rsidP="002B1E3C">
      <w:pPr>
        <w:ind w:left="709"/>
        <w:rPr>
          <w:color w:val="00B050"/>
          <w:u w:val="single"/>
        </w:rPr>
      </w:pPr>
      <w:r w:rsidRPr="00F34CCF">
        <w:rPr>
          <w:color w:val="00B050"/>
          <w:u w:val="single"/>
        </w:rPr>
        <w:t xml:space="preserve">NICLOSAMIDE </w:t>
      </w:r>
      <w:r w:rsidRPr="00F34CCF">
        <w:rPr>
          <w:b/>
          <w:bCs/>
          <w:color w:val="00B050"/>
          <w:u w:val="single"/>
        </w:rPr>
        <w:t xml:space="preserve">except </w:t>
      </w:r>
      <w:r w:rsidRPr="00F34CCF">
        <w:rPr>
          <w:color w:val="00B050"/>
          <w:u w:val="single"/>
        </w:rPr>
        <w:t>when included in Schedule 2 or 5.</w:t>
      </w:r>
    </w:p>
    <w:p w14:paraId="00D9AFF3" w14:textId="77777777" w:rsidR="002B1E3C" w:rsidRPr="00F34CCF" w:rsidRDefault="002B1E3C" w:rsidP="002B1E3C">
      <w:pPr>
        <w:ind w:left="426"/>
        <w:rPr>
          <w:b/>
          <w:bCs/>
        </w:rPr>
      </w:pPr>
      <w:r w:rsidRPr="00F34CCF">
        <w:rPr>
          <w:b/>
          <w:bCs/>
        </w:rPr>
        <w:t>Schedule 5 – New entry</w:t>
      </w:r>
    </w:p>
    <w:p w14:paraId="3A3FBBFE" w14:textId="77777777" w:rsidR="002B1E3C" w:rsidRPr="00F34CCF" w:rsidRDefault="002B1E3C" w:rsidP="002B1E3C">
      <w:pPr>
        <w:ind w:left="709"/>
        <w:rPr>
          <w:color w:val="00B050"/>
          <w:u w:val="single"/>
        </w:rPr>
      </w:pPr>
      <w:r w:rsidRPr="00F34CCF">
        <w:rPr>
          <w:color w:val="00B050"/>
          <w:u w:val="single"/>
        </w:rPr>
        <w:t>NICLOSAMIDE in tablet or paste preparations for use in companion animals.</w:t>
      </w:r>
    </w:p>
    <w:p w14:paraId="3A1BDA63" w14:textId="77777777" w:rsidR="002B1E3C" w:rsidRPr="00F34CCF" w:rsidRDefault="002B1E3C" w:rsidP="002B1E3C">
      <w:pPr>
        <w:ind w:left="426"/>
        <w:rPr>
          <w:b/>
          <w:bCs/>
        </w:rPr>
      </w:pPr>
      <w:r w:rsidRPr="00F34CCF">
        <w:rPr>
          <w:b/>
          <w:bCs/>
        </w:rPr>
        <w:t>Schedule 2</w:t>
      </w:r>
    </w:p>
    <w:p w14:paraId="5995E879" w14:textId="77777777" w:rsidR="002B1E3C" w:rsidRPr="00F34CCF" w:rsidRDefault="002B1E3C" w:rsidP="002B1E3C">
      <w:pPr>
        <w:ind w:left="709"/>
      </w:pPr>
      <w:r w:rsidRPr="00F34CCF">
        <w:t>NICLOSAMIDE for human therapeutic use.</w:t>
      </w:r>
    </w:p>
    <w:p w14:paraId="670441FF" w14:textId="77777777" w:rsidR="002B1E3C" w:rsidRPr="00F34CCF" w:rsidRDefault="002B1E3C" w:rsidP="002B1E3C">
      <w:pPr>
        <w:ind w:left="426"/>
        <w:rPr>
          <w:b/>
        </w:rPr>
      </w:pPr>
      <w:r w:rsidRPr="00F34CCF">
        <w:rPr>
          <w:b/>
        </w:rPr>
        <w:t>Index – Amend entry</w:t>
      </w:r>
    </w:p>
    <w:p w14:paraId="2964BDE3" w14:textId="77777777" w:rsidR="002B1E3C" w:rsidRPr="00F34CCF" w:rsidRDefault="002B1E3C" w:rsidP="002B1E3C">
      <w:pPr>
        <w:ind w:left="709"/>
        <w:rPr>
          <w:b/>
          <w:bCs/>
        </w:rPr>
      </w:pPr>
      <w:r w:rsidRPr="00F34CCF">
        <w:rPr>
          <w:b/>
          <w:bCs/>
        </w:rPr>
        <w:t>NICLOSAMIDE</w:t>
      </w:r>
    </w:p>
    <w:p w14:paraId="503669B8" w14:textId="5977B23B" w:rsidR="002B1E3C" w:rsidRPr="002B1E3C" w:rsidRDefault="002B1E3C" w:rsidP="002B1E3C">
      <w:pPr>
        <w:spacing w:line="240" w:lineRule="auto"/>
        <w:ind w:left="709"/>
        <w:rPr>
          <w:color w:val="00B050"/>
          <w:u w:val="single"/>
        </w:rPr>
      </w:pPr>
      <w:r w:rsidRPr="00F34CCF">
        <w:rPr>
          <w:color w:val="00B050"/>
          <w:u w:val="single"/>
        </w:rPr>
        <w:t>Schedule 6</w:t>
      </w:r>
      <w:r w:rsidRPr="00F34CCF">
        <w:br/>
      </w:r>
      <w:r w:rsidRPr="00F34CCF">
        <w:rPr>
          <w:color w:val="00B050"/>
          <w:u w:val="single"/>
        </w:rPr>
        <w:t>Schedule 5</w:t>
      </w:r>
      <w:r w:rsidRPr="00F34CCF">
        <w:rPr>
          <w:color w:val="00B050"/>
          <w:u w:val="single"/>
        </w:rPr>
        <w:br/>
      </w:r>
      <w:r w:rsidRPr="00F34CCF">
        <w:t>Schedule 2</w:t>
      </w:r>
    </w:p>
    <w:p w14:paraId="52828B63" w14:textId="77777777" w:rsidR="002B1E3C" w:rsidRPr="009A4603" w:rsidRDefault="002B1E3C" w:rsidP="00D2065C">
      <w:pPr>
        <w:pStyle w:val="Heading4"/>
      </w:pPr>
      <w:r w:rsidRPr="009A4603">
        <w:t xml:space="preserve">Materials considered </w:t>
      </w:r>
    </w:p>
    <w:p w14:paraId="752A431B" w14:textId="77777777" w:rsidR="002B1E3C" w:rsidRDefault="002B1E3C" w:rsidP="002B1E3C">
      <w:r>
        <w:t>In making this final decision, the Delegate considered the following material:</w:t>
      </w:r>
    </w:p>
    <w:p w14:paraId="715D6375" w14:textId="77777777" w:rsidR="002B1E3C" w:rsidRPr="00D2065C" w:rsidRDefault="002B1E3C" w:rsidP="002B1E3C">
      <w:pPr>
        <w:pStyle w:val="ListBullet"/>
        <w:rPr>
          <w:rFonts w:cs="Arial"/>
        </w:rPr>
      </w:pPr>
      <w:r w:rsidRPr="00D2065C">
        <w:rPr>
          <w:rFonts w:cs="Arial"/>
        </w:rPr>
        <w:t xml:space="preserve">the application to amend the current Poisons Standard with respect to </w:t>
      </w:r>
      <w:proofErr w:type="spellStart"/>
      <w:r w:rsidRPr="00D2065C">
        <w:rPr>
          <w:rFonts w:cs="Arial"/>
        </w:rPr>
        <w:t>niclosamide</w:t>
      </w:r>
      <w:proofErr w:type="spellEnd"/>
      <w:r w:rsidRPr="00D2065C">
        <w:rPr>
          <w:rFonts w:cs="Arial"/>
        </w:rPr>
        <w:t xml:space="preserve"> (the </w:t>
      </w:r>
      <w:r w:rsidRPr="00D2065C">
        <w:rPr>
          <w:rFonts w:cs="Arial"/>
          <w:b/>
          <w:bCs/>
        </w:rPr>
        <w:t>Application</w:t>
      </w:r>
      <w:r w:rsidRPr="00D2065C">
        <w:rPr>
          <w:rFonts w:cs="Arial"/>
        </w:rPr>
        <w:t>)</w:t>
      </w:r>
    </w:p>
    <w:p w14:paraId="26BD7B10" w14:textId="77777777" w:rsidR="002B1E3C" w:rsidRPr="00D2065C" w:rsidRDefault="002B1E3C" w:rsidP="002B1E3C">
      <w:pPr>
        <w:pStyle w:val="ListBullet"/>
        <w:rPr>
          <w:rFonts w:cs="Arial"/>
        </w:rPr>
      </w:pPr>
      <w:r w:rsidRPr="00D2065C">
        <w:rPr>
          <w:rFonts w:cs="Arial"/>
        </w:rPr>
        <w:t xml:space="preserve">the 6 </w:t>
      </w:r>
      <w:hyperlink r:id="rId30" w:history="1">
        <w:r w:rsidRPr="00D2065C">
          <w:rPr>
            <w:rStyle w:val="Hyperlink"/>
            <w:rFonts w:cs="Arial"/>
          </w:rPr>
          <w:t>public submissions</w:t>
        </w:r>
      </w:hyperlink>
      <w:r w:rsidRPr="00D2065C">
        <w:rPr>
          <w:rFonts w:cs="Arial"/>
        </w:rPr>
        <w:t xml:space="preserve"> received in response to </w:t>
      </w:r>
      <w:hyperlink r:id="rId31" w:history="1">
        <w:r w:rsidRPr="00D2065C">
          <w:rPr>
            <w:rStyle w:val="Hyperlink"/>
            <w:rFonts w:cs="Arial"/>
          </w:rPr>
          <w:t>the pre-meeting consultation</w:t>
        </w:r>
      </w:hyperlink>
      <w:r w:rsidRPr="00D2065C">
        <w:rPr>
          <w:rFonts w:cs="Arial"/>
        </w:rPr>
        <w:t xml:space="preserve"> under regulation 42ZCZK of the Regulations</w:t>
      </w:r>
    </w:p>
    <w:p w14:paraId="4E26DC85" w14:textId="77777777" w:rsidR="002B1E3C" w:rsidRPr="00D2065C" w:rsidRDefault="002B1E3C" w:rsidP="002B1E3C">
      <w:pPr>
        <w:pStyle w:val="ListBullet"/>
        <w:rPr>
          <w:rFonts w:cs="Arial"/>
        </w:rPr>
      </w:pPr>
      <w:r w:rsidRPr="00D2065C">
        <w:rPr>
          <w:rFonts w:cs="Arial"/>
        </w:rPr>
        <w:t>the advice received from the 38</w:t>
      </w:r>
      <w:r w:rsidRPr="00D2065C">
        <w:rPr>
          <w:rFonts w:cs="Arial"/>
          <w:vertAlign w:val="superscript"/>
        </w:rPr>
        <w:t>th</w:t>
      </w:r>
      <w:r w:rsidRPr="00D2065C">
        <w:rPr>
          <w:rFonts w:cs="Arial"/>
        </w:rPr>
        <w:t xml:space="preserve"> meeting of the Advisory Committee on Chemicals Scheduling (the </w:t>
      </w:r>
      <w:r w:rsidRPr="00D2065C">
        <w:rPr>
          <w:rFonts w:cs="Arial"/>
          <w:b/>
          <w:bCs/>
        </w:rPr>
        <w:t>Committee</w:t>
      </w:r>
      <w:r w:rsidRPr="00D2065C">
        <w:rPr>
          <w:rFonts w:cs="Arial"/>
        </w:rPr>
        <w:t>)</w:t>
      </w:r>
    </w:p>
    <w:p w14:paraId="43E6ADA3" w14:textId="77777777" w:rsidR="002B1E3C" w:rsidRPr="00D2065C" w:rsidRDefault="002B1E3C" w:rsidP="002B1E3C">
      <w:pPr>
        <w:pStyle w:val="ListBullet"/>
        <w:rPr>
          <w:rFonts w:cs="Arial"/>
        </w:rPr>
      </w:pPr>
      <w:r w:rsidRPr="00D2065C">
        <w:rPr>
          <w:rFonts w:cs="Arial"/>
        </w:rPr>
        <w:t xml:space="preserve">the </w:t>
      </w:r>
      <w:hyperlink r:id="rId32" w:history="1">
        <w:r w:rsidRPr="00D2065C">
          <w:rPr>
            <w:rStyle w:val="Hyperlink"/>
            <w:rFonts w:cs="Arial"/>
          </w:rPr>
          <w:t>interim decision</w:t>
        </w:r>
      </w:hyperlink>
      <w:r w:rsidRPr="00D2065C">
        <w:rPr>
          <w:rFonts w:cs="Arial"/>
        </w:rPr>
        <w:t xml:space="preserve"> relating to </w:t>
      </w:r>
      <w:proofErr w:type="spellStart"/>
      <w:r w:rsidRPr="00D2065C">
        <w:rPr>
          <w:rFonts w:cs="Arial"/>
        </w:rPr>
        <w:t>niclosamide</w:t>
      </w:r>
      <w:proofErr w:type="spellEnd"/>
      <w:r w:rsidRPr="00D2065C">
        <w:rPr>
          <w:rFonts w:cs="Arial"/>
        </w:rPr>
        <w:t xml:space="preserve"> and the materials considered as part of the interim decision, as published on 26 July 2024</w:t>
      </w:r>
    </w:p>
    <w:p w14:paraId="30E38BCB" w14:textId="164A1081" w:rsidR="002B1E3C" w:rsidRDefault="002B1E3C" w:rsidP="002B1E3C">
      <w:pPr>
        <w:pStyle w:val="ListBullet"/>
      </w:pPr>
      <w:r>
        <w:lastRenderedPageBreak/>
        <w:t>s</w:t>
      </w:r>
      <w:r w:rsidRPr="001169AC">
        <w:t xml:space="preserve">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2476BEBE" w14:textId="77777777" w:rsidR="002B1E3C" w:rsidRPr="001A45E7" w:rsidRDefault="002B1E3C" w:rsidP="002B1E3C">
      <w:pPr>
        <w:pStyle w:val="ListBullet"/>
      </w:pPr>
      <w:r>
        <w:t>pursuant to paragraph 52</w:t>
      </w:r>
      <w:r w:rsidRPr="001A45E7">
        <w:t>E(2)(a) of the Act, the SPF, and</w:t>
      </w:r>
    </w:p>
    <w:p w14:paraId="7A804A40" w14:textId="77777777" w:rsidR="002B1E3C" w:rsidRPr="001A45E7" w:rsidRDefault="002B1E3C" w:rsidP="002B1E3C">
      <w:pPr>
        <w:pStyle w:val="ListBullet"/>
      </w:pPr>
      <w:r w:rsidRPr="001A45E7">
        <w:t>the Handbook.</w:t>
      </w:r>
    </w:p>
    <w:p w14:paraId="26AD612D" w14:textId="77777777" w:rsidR="002B1E3C" w:rsidRPr="00BB34CD" w:rsidRDefault="002B1E3C" w:rsidP="00D2065C">
      <w:pPr>
        <w:pStyle w:val="Heading4"/>
      </w:pPr>
      <w:r w:rsidRPr="00BB34CD">
        <w:t>Reasons for the final decision (including findings on material questions of fact)</w:t>
      </w:r>
    </w:p>
    <w:p w14:paraId="6475D2C9" w14:textId="67543CAE" w:rsidR="002B1E3C" w:rsidRDefault="002B1E3C" w:rsidP="00D2065C">
      <w:pPr>
        <w:rPr>
          <w:b/>
          <w:bCs/>
          <w:i/>
          <w:iCs/>
        </w:rPr>
      </w:pPr>
      <w:r w:rsidRPr="00E32B41">
        <w:t>I have made a final decision to confirm my interim decision to amend the current Poisons Standard with respect to</w:t>
      </w:r>
      <w:r>
        <w:t xml:space="preserve"> </w:t>
      </w:r>
      <w:proofErr w:type="spellStart"/>
      <w:r>
        <w:t>niclosamide</w:t>
      </w:r>
      <w:proofErr w:type="spellEnd"/>
      <w:r>
        <w:t xml:space="preserve">. </w:t>
      </w:r>
      <w:r w:rsidR="00AD3E40">
        <w:t xml:space="preserve">No public submission was received in response to the interim decision in response to the </w:t>
      </w:r>
      <w:hyperlink r:id="rId33" w:history="1">
        <w:r w:rsidR="00AD3E40" w:rsidRPr="00D2065C">
          <w:rPr>
            <w:rStyle w:val="Hyperlink"/>
            <w:rFonts w:cs="Arial"/>
          </w:rPr>
          <w:t>consultation on interim decision</w:t>
        </w:r>
      </w:hyperlink>
      <w:r w:rsidR="00AD3E40" w:rsidRPr="00D2065C">
        <w:rPr>
          <w:rFonts w:cs="Arial"/>
        </w:rPr>
        <w:t xml:space="preserve">. </w:t>
      </w:r>
      <w:r w:rsidRPr="005C1B8F">
        <w:t>My reasons for making the final decision are those set out in the interim decision.</w:t>
      </w:r>
    </w:p>
    <w:p w14:paraId="17246840" w14:textId="77777777" w:rsidR="002B1E3C" w:rsidRPr="00BB34CD" w:rsidRDefault="002B1E3C" w:rsidP="00D2065C">
      <w:pPr>
        <w:pStyle w:val="Heading4"/>
      </w:pPr>
      <w:r w:rsidRPr="00BB34CD">
        <w:t xml:space="preserve">Implementation date </w:t>
      </w:r>
    </w:p>
    <w:p w14:paraId="6AC0230F" w14:textId="77777777" w:rsidR="002B1E3C" w:rsidRPr="004A213A" w:rsidRDefault="002B1E3C" w:rsidP="002B1E3C">
      <w:r>
        <w:t>1 June 2025</w:t>
      </w:r>
    </w:p>
    <w:bookmarkEnd w:id="34"/>
    <w:p w14:paraId="37ECC55B" w14:textId="77777777" w:rsidR="00F61CBA" w:rsidRDefault="00F61CBA">
      <w:pPr>
        <w:rPr>
          <w:rFonts w:eastAsia="Times New Roman" w:cs="Times New Roman"/>
          <w:b/>
          <w:bCs/>
          <w:color w:val="001871"/>
          <w:sz w:val="38"/>
          <w:szCs w:val="38"/>
        </w:rPr>
      </w:pPr>
      <w:r>
        <w:br w:type="page"/>
      </w:r>
    </w:p>
    <w:p w14:paraId="40DB1A16" w14:textId="43DAB208" w:rsidR="00FB1ACB" w:rsidRPr="00F41DCE" w:rsidRDefault="00FB1ACB" w:rsidP="00FB1ACB">
      <w:pPr>
        <w:pStyle w:val="Heading2"/>
      </w:pPr>
      <w:bookmarkStart w:id="37" w:name="_Toc178340900"/>
      <w:r>
        <w:lastRenderedPageBreak/>
        <w:t>Final</w:t>
      </w:r>
      <w:r w:rsidRPr="00FA029A">
        <w:t xml:space="preserve"> decisions on proposed amendments referred to the </w:t>
      </w:r>
      <w:r w:rsidRPr="00F41DCE">
        <w:t>Advisory Committee on Medicines and Chemicals Scheduling in jo</w:t>
      </w:r>
      <w:r>
        <w:t>int session (Joint ACMS-ACCS #36, March 2024</w:t>
      </w:r>
      <w:r w:rsidRPr="00F41DCE">
        <w:t>)</w:t>
      </w:r>
      <w:bookmarkEnd w:id="37"/>
    </w:p>
    <w:p w14:paraId="5414753F" w14:textId="47577299" w:rsidR="00731F5A" w:rsidRDefault="00731F5A" w:rsidP="00FB1ACB">
      <w:pPr>
        <w:pStyle w:val="Heading3"/>
      </w:pPr>
      <w:bookmarkStart w:id="38" w:name="_Toc178340901"/>
      <w:r>
        <w:t>Final decision in relation to oxytetracycline</w:t>
      </w:r>
      <w:bookmarkEnd w:id="38"/>
    </w:p>
    <w:p w14:paraId="1F83B5F7" w14:textId="77777777" w:rsidR="003C1B12" w:rsidRPr="00BB34CD" w:rsidRDefault="003C1B12" w:rsidP="003C1B12">
      <w:pPr>
        <w:pStyle w:val="Heading4"/>
      </w:pPr>
      <w:r w:rsidRPr="00BB34CD">
        <w:t>Proposal</w:t>
      </w:r>
    </w:p>
    <w:p w14:paraId="7CB17D66" w14:textId="25A8CDCF" w:rsidR="003C1B12" w:rsidRDefault="003C1B12" w:rsidP="003C1B12">
      <w:pPr>
        <w:rPr>
          <w:rFonts w:cs="Arial"/>
        </w:rPr>
      </w:pPr>
      <w:r w:rsidRPr="03530AF1">
        <w:rPr>
          <w:rFonts w:cs="Arial"/>
        </w:rPr>
        <w:t>The applicant proposed to</w:t>
      </w:r>
      <w:r>
        <w:rPr>
          <w:rFonts w:cs="Arial"/>
        </w:rPr>
        <w:t xml:space="preserve"> amend</w:t>
      </w:r>
      <w:r w:rsidRPr="03530AF1">
        <w:rPr>
          <w:rFonts w:cs="Arial"/>
        </w:rPr>
        <w:t xml:space="preserve"> </w:t>
      </w:r>
      <w:r>
        <w:rPr>
          <w:rFonts w:cs="Arial"/>
        </w:rPr>
        <w:t>the</w:t>
      </w:r>
      <w:r w:rsidRPr="03530AF1">
        <w:rPr>
          <w:rFonts w:cs="Arial"/>
        </w:rPr>
        <w:t xml:space="preserve"> </w:t>
      </w:r>
      <w:r w:rsidR="00440D56">
        <w:rPr>
          <w:rFonts w:cs="Arial"/>
        </w:rPr>
        <w:t>Caution (</w:t>
      </w:r>
      <w:r w:rsidRPr="03530AF1">
        <w:rPr>
          <w:rFonts w:cs="Arial"/>
        </w:rPr>
        <w:t>Schedule 5</w:t>
      </w:r>
      <w:r w:rsidR="00440D56">
        <w:rPr>
          <w:rFonts w:cs="Arial"/>
        </w:rPr>
        <w:t>)</w:t>
      </w:r>
      <w:r w:rsidRPr="03530AF1">
        <w:rPr>
          <w:rFonts w:cs="Arial"/>
        </w:rPr>
        <w:t xml:space="preserve"> entry</w:t>
      </w:r>
      <w:r>
        <w:rPr>
          <w:rFonts w:cs="Arial"/>
        </w:rPr>
        <w:t xml:space="preserve"> for oxytetracycline</w:t>
      </w:r>
      <w:r w:rsidRPr="03530AF1">
        <w:rPr>
          <w:rFonts w:cs="Arial"/>
        </w:rPr>
        <w:t xml:space="preserve"> </w:t>
      </w:r>
      <w:r>
        <w:rPr>
          <w:rFonts w:cs="Arial"/>
        </w:rPr>
        <w:t xml:space="preserve">to include topical preparations for animals to treat superficial skin infections. These preparations are currently included in the </w:t>
      </w:r>
      <w:r w:rsidR="00440D56">
        <w:rPr>
          <w:rFonts w:cs="Arial"/>
        </w:rPr>
        <w:t>Prescription only medicine (</w:t>
      </w:r>
      <w:r>
        <w:rPr>
          <w:rFonts w:cs="Arial"/>
        </w:rPr>
        <w:t>Schedule 4</w:t>
      </w:r>
      <w:r w:rsidR="00440D56">
        <w:rPr>
          <w:rFonts w:cs="Arial"/>
        </w:rPr>
        <w:t>)</w:t>
      </w:r>
      <w:r>
        <w:rPr>
          <w:rFonts w:cs="Arial"/>
        </w:rPr>
        <w:t xml:space="preserve"> entry for the substance.</w:t>
      </w:r>
    </w:p>
    <w:p w14:paraId="3082A86A" w14:textId="3267E587" w:rsidR="003C1B12" w:rsidRDefault="003C1B12" w:rsidP="003C1B12">
      <w:pPr>
        <w:pStyle w:val="Heading4"/>
      </w:pPr>
      <w:r w:rsidRPr="00BB34CD">
        <w:t>Final decision</w:t>
      </w:r>
    </w:p>
    <w:p w14:paraId="574C1CA8" w14:textId="1A91E00A" w:rsidR="003C1B12" w:rsidRDefault="003C1B12" w:rsidP="003C1B12">
      <w:r>
        <w:t>Pursuant to regulation 42ZCZR of the Regulations, the Delegate has made a final decision to confirm the interim decision and not amend the current Poisons Standard in relation to oxytetracycline.</w:t>
      </w:r>
    </w:p>
    <w:p w14:paraId="791BAF03" w14:textId="56DD3C84" w:rsidR="003C1B12" w:rsidRPr="00BB34CD" w:rsidRDefault="003C1B12" w:rsidP="003C1B12">
      <w:pPr>
        <w:pStyle w:val="Heading4"/>
      </w:pPr>
      <w:r w:rsidRPr="00BB34CD">
        <w:t>Materials considered</w:t>
      </w:r>
    </w:p>
    <w:p w14:paraId="7E98A278" w14:textId="77777777" w:rsidR="003C1B12" w:rsidRDefault="003C1B12" w:rsidP="003C1B12">
      <w:r>
        <w:t>In making this final decision, the Delegate considered the following material:</w:t>
      </w:r>
    </w:p>
    <w:p w14:paraId="409DCE9A" w14:textId="23C69907" w:rsidR="003C1B12" w:rsidRDefault="000D3369" w:rsidP="003C1B12">
      <w:pPr>
        <w:pStyle w:val="ListBullet"/>
      </w:pPr>
      <w:r>
        <w:t>t</w:t>
      </w:r>
      <w:r w:rsidR="003C1B12" w:rsidRPr="00D9172B">
        <w:t xml:space="preserve">he application to amend the current Poisons Standard with respect to </w:t>
      </w:r>
      <w:r w:rsidR="003C1B12">
        <w:t xml:space="preserve">oxytetracycline (the </w:t>
      </w:r>
      <w:r w:rsidR="003C1B12" w:rsidRPr="004E2EBC">
        <w:rPr>
          <w:b/>
          <w:bCs/>
        </w:rPr>
        <w:t>Application</w:t>
      </w:r>
      <w:r w:rsidR="003C1B12">
        <w:t>)</w:t>
      </w:r>
    </w:p>
    <w:p w14:paraId="010BD147" w14:textId="19BC6882" w:rsidR="003C1B12" w:rsidRPr="00D2065C" w:rsidRDefault="000D3369" w:rsidP="003C1B12">
      <w:pPr>
        <w:pStyle w:val="ListBullet"/>
        <w:rPr>
          <w:rFonts w:cs="Arial"/>
        </w:rPr>
      </w:pPr>
      <w:r>
        <w:rPr>
          <w:rFonts w:cs="Arial"/>
        </w:rPr>
        <w:t>t</w:t>
      </w:r>
      <w:r w:rsidR="003C1B12" w:rsidRPr="00D2065C">
        <w:rPr>
          <w:rFonts w:cs="Arial"/>
        </w:rPr>
        <w:t xml:space="preserve">he </w:t>
      </w:r>
      <w:r w:rsidR="003C1B12">
        <w:rPr>
          <w:rFonts w:cs="Arial"/>
        </w:rPr>
        <w:t>23</w:t>
      </w:r>
      <w:r w:rsidR="003C1B12" w:rsidRPr="00D2065C">
        <w:rPr>
          <w:rFonts w:cs="Arial"/>
        </w:rPr>
        <w:t xml:space="preserve"> </w:t>
      </w:r>
      <w:hyperlink r:id="rId34" w:history="1">
        <w:r w:rsidR="003C1B12" w:rsidRPr="00D2065C">
          <w:rPr>
            <w:rStyle w:val="Hyperlink"/>
            <w:rFonts w:cs="Arial"/>
          </w:rPr>
          <w:t>public submissions</w:t>
        </w:r>
      </w:hyperlink>
      <w:r w:rsidR="003C1B12" w:rsidRPr="00D2065C">
        <w:rPr>
          <w:rFonts w:cs="Arial"/>
        </w:rPr>
        <w:t xml:space="preserve"> received in response to </w:t>
      </w:r>
      <w:hyperlink r:id="rId35" w:history="1">
        <w:r w:rsidR="003C1B12" w:rsidRPr="00D2065C">
          <w:rPr>
            <w:rStyle w:val="Hyperlink"/>
            <w:rFonts w:cs="Arial"/>
          </w:rPr>
          <w:t>the pre-meeting consultation</w:t>
        </w:r>
      </w:hyperlink>
      <w:r w:rsidR="003C1B12" w:rsidRPr="00D2065C">
        <w:rPr>
          <w:rFonts w:cs="Arial"/>
        </w:rPr>
        <w:t xml:space="preserve"> under regulation 42ZCZK of the Regulations</w:t>
      </w:r>
    </w:p>
    <w:p w14:paraId="3D68306A" w14:textId="60E866F4" w:rsidR="003C1B12" w:rsidRPr="00D2065C" w:rsidRDefault="000D3369" w:rsidP="003C1B12">
      <w:pPr>
        <w:pStyle w:val="ListBullet"/>
        <w:rPr>
          <w:rFonts w:cs="Arial"/>
        </w:rPr>
      </w:pPr>
      <w:r>
        <w:rPr>
          <w:rFonts w:cs="Arial"/>
        </w:rPr>
        <w:t>t</w:t>
      </w:r>
      <w:r w:rsidR="003C1B12" w:rsidRPr="00D2065C">
        <w:rPr>
          <w:rFonts w:cs="Arial"/>
        </w:rPr>
        <w:t>he advice received from the 36</w:t>
      </w:r>
      <w:r w:rsidR="003C1B12" w:rsidRPr="00D2065C">
        <w:rPr>
          <w:rFonts w:cs="Arial"/>
          <w:vertAlign w:val="superscript"/>
        </w:rPr>
        <w:t>th</w:t>
      </w:r>
      <w:r w:rsidR="003C1B12" w:rsidRPr="00D2065C">
        <w:rPr>
          <w:rFonts w:cs="Arial"/>
        </w:rPr>
        <w:t xml:space="preserve"> meeting of the Advisory Committee on Medicines and Chemicals Scheduling in joint session (the </w:t>
      </w:r>
      <w:r w:rsidR="003C1B12" w:rsidRPr="00D2065C">
        <w:rPr>
          <w:rFonts w:cs="Arial"/>
          <w:b/>
          <w:bCs/>
        </w:rPr>
        <w:t>Committee</w:t>
      </w:r>
      <w:r w:rsidR="003C1B12" w:rsidRPr="00D2065C">
        <w:rPr>
          <w:rFonts w:cs="Arial"/>
        </w:rPr>
        <w:t>)</w:t>
      </w:r>
    </w:p>
    <w:p w14:paraId="61161F02" w14:textId="3CCB9969" w:rsidR="003C1B12" w:rsidRDefault="003C1B12" w:rsidP="003C1B12">
      <w:pPr>
        <w:pStyle w:val="ListBullet"/>
        <w:rPr>
          <w:rFonts w:cs="Arial"/>
        </w:rPr>
      </w:pPr>
      <w:r w:rsidRPr="00D2065C">
        <w:rPr>
          <w:rFonts w:cs="Arial"/>
        </w:rPr>
        <w:t xml:space="preserve">the </w:t>
      </w:r>
      <w:hyperlink r:id="rId36" w:history="1">
        <w:r w:rsidRPr="00D2065C">
          <w:rPr>
            <w:rStyle w:val="Hyperlink"/>
            <w:rFonts w:cs="Arial"/>
          </w:rPr>
          <w:t>interim decision</w:t>
        </w:r>
      </w:hyperlink>
      <w:r w:rsidRPr="00D2065C">
        <w:rPr>
          <w:rFonts w:cs="Arial"/>
        </w:rPr>
        <w:t xml:space="preserve"> relating to </w:t>
      </w:r>
      <w:r>
        <w:rPr>
          <w:rFonts w:cs="Arial"/>
        </w:rPr>
        <w:t>oxytetracycline</w:t>
      </w:r>
      <w:r w:rsidRPr="00D2065C">
        <w:rPr>
          <w:rFonts w:cs="Arial"/>
        </w:rPr>
        <w:t xml:space="preserve"> and the materials considered as part of the interim decision, as published on 26 July 2024</w:t>
      </w:r>
    </w:p>
    <w:p w14:paraId="0D66BF35" w14:textId="785206EF" w:rsidR="000D3369" w:rsidRPr="00D2065C" w:rsidRDefault="000D3369" w:rsidP="003C1B12">
      <w:pPr>
        <w:pStyle w:val="ListBullet"/>
        <w:rPr>
          <w:rFonts w:cs="Arial"/>
        </w:rPr>
      </w:pPr>
      <w:r>
        <w:rPr>
          <w:rFonts w:cs="Arial"/>
        </w:rPr>
        <w:t xml:space="preserve">the one public submission received in response to the </w:t>
      </w:r>
      <w:hyperlink r:id="rId37" w:history="1">
        <w:r w:rsidR="0075124E" w:rsidRPr="0075124E">
          <w:rPr>
            <w:rStyle w:val="Hyperlink"/>
            <w:rFonts w:cs="Arial"/>
          </w:rPr>
          <w:t xml:space="preserve">public consultation on the </w:t>
        </w:r>
        <w:r w:rsidRPr="0075124E">
          <w:rPr>
            <w:rStyle w:val="Hyperlink"/>
            <w:rFonts w:cs="Arial"/>
          </w:rPr>
          <w:t>interim decision</w:t>
        </w:r>
      </w:hyperlink>
      <w:r w:rsidRPr="0075124E">
        <w:rPr>
          <w:rFonts w:cs="Arial"/>
        </w:rPr>
        <w:t xml:space="preserve"> </w:t>
      </w:r>
      <w:r>
        <w:rPr>
          <w:rFonts w:cs="Arial"/>
        </w:rPr>
        <w:t>under regulation 4</w:t>
      </w:r>
      <w:r>
        <w:t>2ZCZP of the Regulations</w:t>
      </w:r>
    </w:p>
    <w:p w14:paraId="28B0867D" w14:textId="77777777" w:rsidR="003C1B12" w:rsidRPr="006D60CA" w:rsidRDefault="003C1B12" w:rsidP="003C1B12">
      <w:pPr>
        <w:pStyle w:val="ListBullet"/>
      </w:pPr>
      <w:r w:rsidRPr="006D60CA">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17243F6E" w14:textId="77777777" w:rsidR="003C1B12" w:rsidRPr="006D60CA" w:rsidRDefault="003C1B12" w:rsidP="003C1B12">
      <w:pPr>
        <w:pStyle w:val="ListBullet"/>
      </w:pPr>
      <w:r w:rsidRPr="006D60CA">
        <w:t>pursuant to paragraph 52E(2)(a) of the Act, the SPF, and</w:t>
      </w:r>
    </w:p>
    <w:p w14:paraId="64A22684" w14:textId="77777777" w:rsidR="003C1B12" w:rsidRDefault="003C1B12" w:rsidP="003C1B12">
      <w:pPr>
        <w:pStyle w:val="ListBullet"/>
      </w:pPr>
      <w:r>
        <w:t>the Handbook.</w:t>
      </w:r>
    </w:p>
    <w:p w14:paraId="0F834BCF" w14:textId="77777777" w:rsidR="000D3369" w:rsidRDefault="000D3369" w:rsidP="000D3369">
      <w:pPr>
        <w:pStyle w:val="Heading4"/>
      </w:pPr>
      <w:r w:rsidRPr="00BB34CD">
        <w:lastRenderedPageBreak/>
        <w:t>Reasons for the final decision (including findings on material questions of fact)</w:t>
      </w:r>
    </w:p>
    <w:p w14:paraId="362957F8" w14:textId="57EC3592" w:rsidR="00762848" w:rsidRDefault="00762848" w:rsidP="00762848">
      <w:r>
        <w:t xml:space="preserve">I have made a final decision to confirm my interim decision to not amend the current Poisons Standard with respect to oxytetracycline. My reasons for making the final decision are those set out in the interim decision. In making my final decision, I have considered the material in the interim decision and </w:t>
      </w:r>
      <w:r w:rsidR="00440D56">
        <w:t xml:space="preserve">1 </w:t>
      </w:r>
      <w:r>
        <w:t>submission received in response to the public consultation on the interim decision.</w:t>
      </w:r>
    </w:p>
    <w:p w14:paraId="6B2089F3" w14:textId="2E83A7B7" w:rsidR="00762848" w:rsidRDefault="00762848" w:rsidP="00762848">
      <w:r>
        <w:t>The submission did not support the interim decision and raised the following concerns:</w:t>
      </w:r>
    </w:p>
    <w:p w14:paraId="5A592CB5" w14:textId="1523FD46" w:rsidR="00762848" w:rsidRDefault="00762848" w:rsidP="00762848">
      <w:pPr>
        <w:pStyle w:val="ListParagraph"/>
        <w:numPr>
          <w:ilvl w:val="0"/>
          <w:numId w:val="15"/>
        </w:numPr>
        <w:spacing w:after="160"/>
      </w:pPr>
      <w:r>
        <w:t>Farmers can adequately identify and treat superficial skin infections where topical oxytetracycline may be used, such as foot rot in sheep and digital dermatitis in cattle.</w:t>
      </w:r>
    </w:p>
    <w:p w14:paraId="2A14F84B" w14:textId="0BC5D6E0" w:rsidR="00762848" w:rsidRDefault="00762848" w:rsidP="00762848">
      <w:pPr>
        <w:pStyle w:val="ListParagraph"/>
        <w:numPr>
          <w:ilvl w:val="0"/>
          <w:numId w:val="15"/>
        </w:numPr>
        <w:spacing w:after="160"/>
      </w:pPr>
      <w:r>
        <w:t>The availability of topical oxytetracycline is important for animal welfare.</w:t>
      </w:r>
    </w:p>
    <w:p w14:paraId="0186153D" w14:textId="3FD0F61D" w:rsidR="00762848" w:rsidRDefault="00762848" w:rsidP="00762848">
      <w:pPr>
        <w:pStyle w:val="ListParagraph"/>
        <w:numPr>
          <w:ilvl w:val="0"/>
          <w:numId w:val="15"/>
        </w:numPr>
        <w:spacing w:after="160"/>
      </w:pPr>
      <w:r>
        <w:t>Oxytetracycline as a highly important antimicrobial should be reconsidered as alternatives and newer tetracyclines with greater activity are available.</w:t>
      </w:r>
    </w:p>
    <w:p w14:paraId="0B780EE0" w14:textId="3118FF38" w:rsidR="00762848" w:rsidRDefault="00762848" w:rsidP="00762848">
      <w:pPr>
        <w:pStyle w:val="ListParagraph"/>
        <w:numPr>
          <w:ilvl w:val="0"/>
          <w:numId w:val="15"/>
        </w:numPr>
        <w:spacing w:after="160"/>
      </w:pPr>
      <w:r>
        <w:t>The use of topical oxytetracycline by farmers carries a similar or lower potential for antibiotic resistance development compared to large scale use as feed additives.</w:t>
      </w:r>
    </w:p>
    <w:p w14:paraId="17DF4C94" w14:textId="54A01978" w:rsidR="00762848" w:rsidRDefault="00440D56" w:rsidP="00762848">
      <w:r>
        <w:t xml:space="preserve">In considering </w:t>
      </w:r>
      <w:r w:rsidR="00762848">
        <w:t xml:space="preserve">the issue of farmers being able to diagnose and treat foot rot and digital dermatitis, I note the resources on foot rot </w:t>
      </w:r>
      <w:r w:rsidR="00F61CBA">
        <w:t xml:space="preserve">referenced in the submission. </w:t>
      </w:r>
      <w:r w:rsidR="00D377D4">
        <w:t>The r</w:t>
      </w:r>
      <w:r w:rsidR="00F61CBA">
        <w:t xml:space="preserve">esource </w:t>
      </w:r>
      <w:r w:rsidR="00D377D4">
        <w:t xml:space="preserve">available </w:t>
      </w:r>
      <w:r w:rsidR="00F61CBA">
        <w:t>from</w:t>
      </w:r>
      <w:r w:rsidR="00762848">
        <w:t xml:space="preserve"> </w:t>
      </w:r>
      <w:r w:rsidR="00D377D4">
        <w:t xml:space="preserve">the </w:t>
      </w:r>
      <w:r w:rsidR="00762848">
        <w:t>New South Wales</w:t>
      </w:r>
      <w:r w:rsidR="00D377D4">
        <w:t xml:space="preserve"> (NSW)</w:t>
      </w:r>
      <w:r w:rsidR="00762848">
        <w:t xml:space="preserve"> </w:t>
      </w:r>
      <w:r w:rsidR="00F61CBA">
        <w:t>Depart</w:t>
      </w:r>
      <w:r w:rsidR="00D377D4">
        <w:t>ment</w:t>
      </w:r>
      <w:r w:rsidR="00F61CBA">
        <w:t xml:space="preserve"> of Primary Industries</w:t>
      </w:r>
      <w:r w:rsidR="00762848">
        <w:rPr>
          <w:rStyle w:val="FootnoteReference"/>
        </w:rPr>
        <w:footnoteReference w:id="13"/>
      </w:r>
      <w:r w:rsidR="00F61CBA">
        <w:t xml:space="preserve"> </w:t>
      </w:r>
      <w:r w:rsidR="00D377D4">
        <w:t>describes</w:t>
      </w:r>
      <w:r w:rsidR="00762848">
        <w:t xml:space="preserve"> the symptoms, diagnosis and scoring for disease severity. </w:t>
      </w:r>
      <w:r w:rsidR="00894493">
        <w:t>T</w:t>
      </w:r>
      <w:r w:rsidR="00D377D4">
        <w:t>he</w:t>
      </w:r>
      <w:r w:rsidR="00762848">
        <w:t xml:space="preserve"> resources </w:t>
      </w:r>
      <w:r w:rsidR="00762848" w:rsidRPr="00762848">
        <w:rPr>
          <w:rFonts w:cs="Arial"/>
          <w:szCs w:val="20"/>
        </w:rPr>
        <w:t>describe benign and virulent forms of the disease</w:t>
      </w:r>
      <w:r w:rsidR="00894493">
        <w:rPr>
          <w:rFonts w:cs="Arial"/>
          <w:szCs w:val="20"/>
        </w:rPr>
        <w:t>, the</w:t>
      </w:r>
      <w:r w:rsidR="00762848" w:rsidRPr="00762848">
        <w:rPr>
          <w:rFonts w:cs="Arial"/>
          <w:szCs w:val="20"/>
        </w:rPr>
        <w:t xml:space="preserve"> distinction of which may require laboratory tests. Further, these resources specify that </w:t>
      </w:r>
      <w:r w:rsidR="00762848" w:rsidRPr="00762848">
        <w:rPr>
          <w:rFonts w:cs="Arial"/>
          <w:color w:val="000000"/>
          <w:szCs w:val="20"/>
        </w:rPr>
        <w:t>suspect cases of foot rot should be notified to a district veterinarian</w:t>
      </w:r>
      <w:r w:rsidR="00762848" w:rsidRPr="00762848">
        <w:rPr>
          <w:rFonts w:cs="Arial"/>
          <w:szCs w:val="20"/>
        </w:rPr>
        <w:t xml:space="preserve"> and outbreaks must be reported to an </w:t>
      </w:r>
      <w:r w:rsidR="00762848" w:rsidRPr="00762848">
        <w:rPr>
          <w:rFonts w:cs="Arial"/>
          <w:color w:val="000000"/>
          <w:szCs w:val="20"/>
        </w:rPr>
        <w:t xml:space="preserve">inspector of livestock. </w:t>
      </w:r>
      <w:r w:rsidR="00D377D4">
        <w:rPr>
          <w:rFonts w:cs="Arial"/>
          <w:szCs w:val="20"/>
        </w:rPr>
        <w:t>I</w:t>
      </w:r>
      <w:r w:rsidR="00D377D4" w:rsidRPr="00762848">
        <w:rPr>
          <w:rFonts w:cs="Arial"/>
          <w:szCs w:val="20"/>
        </w:rPr>
        <w:t>n NSW</w:t>
      </w:r>
      <w:r w:rsidR="001C52BB">
        <w:rPr>
          <w:rFonts w:cs="Arial"/>
          <w:szCs w:val="20"/>
        </w:rPr>
        <w:t xml:space="preserve"> for example</w:t>
      </w:r>
      <w:r w:rsidR="00D377D4">
        <w:rPr>
          <w:rFonts w:cs="Arial"/>
          <w:szCs w:val="20"/>
        </w:rPr>
        <w:t>,</w:t>
      </w:r>
      <w:r w:rsidR="00D377D4">
        <w:rPr>
          <w:rFonts w:cs="Arial"/>
          <w:color w:val="000000"/>
          <w:szCs w:val="20"/>
        </w:rPr>
        <w:t xml:space="preserve"> </w:t>
      </w:r>
      <w:r w:rsidR="00762848" w:rsidRPr="00762848">
        <w:rPr>
          <w:rFonts w:cs="Arial"/>
          <w:color w:val="000000"/>
          <w:szCs w:val="20"/>
        </w:rPr>
        <w:t xml:space="preserve">virulent foot rot </w:t>
      </w:r>
      <w:r w:rsidR="00D377D4" w:rsidRPr="00762848">
        <w:rPr>
          <w:rFonts w:cs="Arial"/>
          <w:color w:val="000000"/>
          <w:szCs w:val="20"/>
        </w:rPr>
        <w:t xml:space="preserve">in sheep and goats </w:t>
      </w:r>
      <w:r w:rsidR="00762848" w:rsidRPr="00762848">
        <w:rPr>
          <w:rFonts w:cs="Arial"/>
          <w:szCs w:val="20"/>
        </w:rPr>
        <w:t xml:space="preserve">can only be </w:t>
      </w:r>
      <w:r w:rsidR="00D377D4">
        <w:rPr>
          <w:rFonts w:cs="Arial"/>
          <w:szCs w:val="20"/>
        </w:rPr>
        <w:t>diagnosed</w:t>
      </w:r>
      <w:r w:rsidR="00762848" w:rsidRPr="00762848">
        <w:rPr>
          <w:rFonts w:cs="Arial"/>
          <w:szCs w:val="20"/>
        </w:rPr>
        <w:t xml:space="preserve"> by a registered veterinarian.</w:t>
      </w:r>
      <w:r w:rsidR="00762848">
        <w:rPr>
          <w:rFonts w:cs="Arial"/>
          <w:szCs w:val="20"/>
        </w:rPr>
        <w:t xml:space="preserve"> </w:t>
      </w:r>
      <w:r w:rsidR="006B1C10">
        <w:rPr>
          <w:rFonts w:cs="Arial"/>
          <w:color w:val="000000"/>
          <w:szCs w:val="20"/>
        </w:rPr>
        <w:t xml:space="preserve">I </w:t>
      </w:r>
      <w:proofErr w:type="gramStart"/>
      <w:r w:rsidR="006B1C10">
        <w:rPr>
          <w:rFonts w:cs="Arial"/>
          <w:color w:val="000000"/>
          <w:szCs w:val="20"/>
        </w:rPr>
        <w:t>am of the opinion that</w:t>
      </w:r>
      <w:proofErr w:type="gramEnd"/>
      <w:r w:rsidR="00762848" w:rsidRPr="00762848">
        <w:rPr>
          <w:rFonts w:cs="Arial"/>
          <w:color w:val="000000"/>
          <w:szCs w:val="20"/>
        </w:rPr>
        <w:t xml:space="preserve"> these resources are targeted </w:t>
      </w:r>
      <w:r w:rsidR="0094514B">
        <w:rPr>
          <w:rFonts w:cs="Arial"/>
          <w:color w:val="000000"/>
          <w:szCs w:val="20"/>
        </w:rPr>
        <w:t xml:space="preserve">specifically </w:t>
      </w:r>
      <w:r w:rsidR="00762848" w:rsidRPr="00762848">
        <w:rPr>
          <w:rFonts w:cs="Arial"/>
          <w:color w:val="000000"/>
          <w:szCs w:val="20"/>
        </w:rPr>
        <w:t xml:space="preserve">towards </w:t>
      </w:r>
      <w:r w:rsidR="006B1C10">
        <w:rPr>
          <w:rFonts w:cs="Arial"/>
          <w:color w:val="000000"/>
          <w:szCs w:val="20"/>
        </w:rPr>
        <w:t xml:space="preserve">veterinary </w:t>
      </w:r>
      <w:r w:rsidR="00762848" w:rsidRPr="00762848">
        <w:rPr>
          <w:rFonts w:cs="Arial"/>
          <w:color w:val="000000"/>
          <w:szCs w:val="20"/>
        </w:rPr>
        <w:t xml:space="preserve">specialists and </w:t>
      </w:r>
      <w:r w:rsidR="0094514B">
        <w:rPr>
          <w:rFonts w:cs="Arial"/>
          <w:color w:val="000000"/>
          <w:szCs w:val="20"/>
        </w:rPr>
        <w:t>not</w:t>
      </w:r>
      <w:r w:rsidR="00762848" w:rsidRPr="00762848">
        <w:rPr>
          <w:rFonts w:cs="Arial"/>
          <w:color w:val="000000"/>
          <w:szCs w:val="20"/>
        </w:rPr>
        <w:t xml:space="preserve"> farmers</w:t>
      </w:r>
      <w:r w:rsidR="00C4248E">
        <w:rPr>
          <w:rFonts w:cs="Arial"/>
          <w:color w:val="000000"/>
          <w:szCs w:val="20"/>
        </w:rPr>
        <w:t xml:space="preserve"> in general</w:t>
      </w:r>
      <w:r w:rsidR="00762848" w:rsidRPr="00762848">
        <w:rPr>
          <w:rFonts w:cs="Arial"/>
          <w:color w:val="000000"/>
          <w:szCs w:val="20"/>
        </w:rPr>
        <w:t xml:space="preserve"> to </w:t>
      </w:r>
      <w:r w:rsidR="00762848" w:rsidRPr="00762848">
        <w:rPr>
          <w:rFonts w:cs="Arial"/>
          <w:szCs w:val="20"/>
        </w:rPr>
        <w:t xml:space="preserve">consistently recognise and manage </w:t>
      </w:r>
      <w:r w:rsidR="00D377D4">
        <w:rPr>
          <w:rFonts w:cs="Arial"/>
          <w:szCs w:val="20"/>
        </w:rPr>
        <w:t>these</w:t>
      </w:r>
      <w:r w:rsidR="00762848" w:rsidRPr="00762848">
        <w:rPr>
          <w:rFonts w:cs="Arial"/>
          <w:szCs w:val="20"/>
        </w:rPr>
        <w:t xml:space="preserve"> conditions while abiding by the appropriate use of antibiotics. Further, topical oxytetracycline products are to be used against susceptible microorganisms and the submission is unclear about how farmers can make this distinction.</w:t>
      </w:r>
    </w:p>
    <w:p w14:paraId="6C899780" w14:textId="6E694934" w:rsidR="00762848" w:rsidRDefault="00762848" w:rsidP="00762848">
      <w:r>
        <w:t xml:space="preserve">I recognise the costs involved in consulting a veterinarian and testing for oxytetracycline susceptible microorganisms. However, in accordance with s 52E of the Act, I have given greater weight to the benefits and risks to public health. There are other regulatory mechanisms for upholding appropriate animal production and welfare standards, including the </w:t>
      </w:r>
      <w:hyperlink r:id="rId38" w:history="1">
        <w:r w:rsidRPr="00C70A37">
          <w:rPr>
            <w:rStyle w:val="Hyperlink"/>
          </w:rPr>
          <w:t>Australian Animal Welfare Standards and Guidelines</w:t>
        </w:r>
      </w:hyperlink>
      <w:r>
        <w:t>.</w:t>
      </w:r>
    </w:p>
    <w:p w14:paraId="758607DD" w14:textId="3A3E28BB" w:rsidR="00762848" w:rsidRDefault="00762848" w:rsidP="00762848">
      <w:r>
        <w:t xml:space="preserve">I note that alternatives to tetracyclines are available to treat </w:t>
      </w:r>
      <w:r w:rsidRPr="00364194">
        <w:rPr>
          <w:i/>
          <w:iCs/>
        </w:rPr>
        <w:t>Brucella</w:t>
      </w:r>
      <w:r>
        <w:t xml:space="preserve"> spp., </w:t>
      </w:r>
      <w:r w:rsidRPr="00364194">
        <w:rPr>
          <w:i/>
          <w:iCs/>
        </w:rPr>
        <w:t>Chlamydia</w:t>
      </w:r>
      <w:r>
        <w:t xml:space="preserve"> spp. and </w:t>
      </w:r>
      <w:r w:rsidRPr="00364194">
        <w:rPr>
          <w:i/>
          <w:iCs/>
        </w:rPr>
        <w:t>Rickettsia</w:t>
      </w:r>
      <w:r>
        <w:t xml:space="preserve"> spp. and newer tetracyclines have been developed for treatment of pathogens resistant to naturally occurring oxytetracyclines. </w:t>
      </w:r>
      <w:r w:rsidRPr="00A03C11">
        <w:t xml:space="preserve">Previously, tetracyclines were </w:t>
      </w:r>
      <w:r>
        <w:t>categorised as</w:t>
      </w:r>
      <w:r w:rsidRPr="00A03C11">
        <w:t xml:space="preserve"> </w:t>
      </w:r>
      <w:r>
        <w:t>‘</w:t>
      </w:r>
      <w:r w:rsidRPr="00A03C11">
        <w:t>critically important</w:t>
      </w:r>
      <w:r>
        <w:t>’</w:t>
      </w:r>
      <w:r w:rsidRPr="00A03C11">
        <w:t xml:space="preserve"> </w:t>
      </w:r>
      <w:r>
        <w:t>for human medicine by the</w:t>
      </w:r>
      <w:r w:rsidRPr="00B05F8D">
        <w:t xml:space="preserve"> World Health Organi</w:t>
      </w:r>
      <w:r w:rsidR="00440D56">
        <w:t>z</w:t>
      </w:r>
      <w:r w:rsidRPr="00B05F8D">
        <w:t>ation</w:t>
      </w:r>
      <w:r w:rsidRPr="00A03C11">
        <w:t xml:space="preserve">, </w:t>
      </w:r>
      <w:r w:rsidR="00D377D4">
        <w:t>partly</w:t>
      </w:r>
      <w:r w:rsidRPr="00A03C11">
        <w:t xml:space="preserve"> because </w:t>
      </w:r>
      <w:r w:rsidR="00D377D4">
        <w:t>of their use in</w:t>
      </w:r>
      <w:r w:rsidRPr="00A03C11">
        <w:t xml:space="preserve"> </w:t>
      </w:r>
      <w:r>
        <w:t>treat</w:t>
      </w:r>
      <w:r w:rsidR="00D377D4">
        <w:t>ment of</w:t>
      </w:r>
      <w:r w:rsidRPr="00A03C11">
        <w:t> </w:t>
      </w:r>
      <w:r w:rsidR="00D377D4">
        <w:t xml:space="preserve">zoonotic </w:t>
      </w:r>
      <w:r w:rsidRPr="00D107DE">
        <w:rPr>
          <w:i/>
          <w:iCs/>
        </w:rPr>
        <w:t>Brucella spp</w:t>
      </w:r>
      <w:r>
        <w:t>.</w:t>
      </w:r>
      <w:r w:rsidRPr="00A03C11">
        <w:t> infections</w:t>
      </w:r>
      <w:r>
        <w:t>.</w:t>
      </w:r>
      <w:r>
        <w:rPr>
          <w:rStyle w:val="FootnoteReference"/>
        </w:rPr>
        <w:footnoteReference w:id="14"/>
      </w:r>
      <w:r>
        <w:t xml:space="preserve"> I acknowledge </w:t>
      </w:r>
      <w:r w:rsidRPr="00A03C11">
        <w:t>these infections have become less important with eradication of the animal reservoir in many countries</w:t>
      </w:r>
      <w:r>
        <w:t>. While brucellosis is a rare occurrence in Australia, c</w:t>
      </w:r>
      <w:r w:rsidRPr="004F16DF">
        <w:t>hlamydia remains a significant public health issue</w:t>
      </w:r>
      <w:r w:rsidR="00EA7641">
        <w:rPr>
          <w:rStyle w:val="FootnoteReference"/>
        </w:rPr>
        <w:footnoteReference w:id="15"/>
      </w:r>
      <w:r w:rsidRPr="004F16DF">
        <w:t xml:space="preserve"> </w:t>
      </w:r>
      <w:r>
        <w:t xml:space="preserve">and </w:t>
      </w:r>
      <w:r w:rsidRPr="008C192D">
        <w:t>human rickettsial diseases</w:t>
      </w:r>
      <w:r>
        <w:t xml:space="preserve"> such as Queensland tick typhus is an emerging public health threat</w:t>
      </w:r>
      <w:r w:rsidR="00EA7641">
        <w:t>.</w:t>
      </w:r>
      <w:r>
        <w:rPr>
          <w:rStyle w:val="FootnoteReference"/>
        </w:rPr>
        <w:footnoteReference w:id="16"/>
      </w:r>
      <w:r w:rsidR="00EA7641">
        <w:t xml:space="preserve"> As such</w:t>
      </w:r>
      <w:r w:rsidR="00894493">
        <w:t>,</w:t>
      </w:r>
      <w:r w:rsidR="00D377D4">
        <w:t xml:space="preserve"> tetracyclines are still considered antimicrobials of high importance.</w:t>
      </w:r>
      <w:r w:rsidR="00EA7641">
        <w:t xml:space="preserve"> </w:t>
      </w:r>
      <w:r w:rsidR="00DA0F7B">
        <w:t xml:space="preserve">While </w:t>
      </w:r>
      <w:r w:rsidR="00E82526">
        <w:t xml:space="preserve">the </w:t>
      </w:r>
      <w:r w:rsidR="00DA0F7B">
        <w:t xml:space="preserve">members of the tetracycline </w:t>
      </w:r>
      <w:r w:rsidR="00E82526">
        <w:t>class</w:t>
      </w:r>
      <w:r w:rsidR="00DA0F7B">
        <w:t xml:space="preserve"> </w:t>
      </w:r>
      <w:r w:rsidR="00E82526">
        <w:t xml:space="preserve">can </w:t>
      </w:r>
      <w:r w:rsidR="00DA0F7B">
        <w:t>ha</w:t>
      </w:r>
      <w:r w:rsidR="00E82526">
        <w:t>ve</w:t>
      </w:r>
      <w:r w:rsidR="00DA0F7B">
        <w:t xml:space="preserve"> different activities and </w:t>
      </w:r>
      <w:r w:rsidR="00E82526">
        <w:t xml:space="preserve">mechanisms for developing antimicrobial </w:t>
      </w:r>
      <w:r w:rsidR="00DA0F7B">
        <w:t xml:space="preserve">resistance, </w:t>
      </w:r>
      <w:r w:rsidR="00D377D4">
        <w:t>r</w:t>
      </w:r>
      <w:r>
        <w:t xml:space="preserve">esistance </w:t>
      </w:r>
      <w:r w:rsidR="00E82526">
        <w:t xml:space="preserve">that develops </w:t>
      </w:r>
      <w:r>
        <w:t xml:space="preserve">against </w:t>
      </w:r>
      <w:r w:rsidR="00DA0F7B">
        <w:t xml:space="preserve">one member can still </w:t>
      </w:r>
      <w:r w:rsidR="00E82526">
        <w:t xml:space="preserve">apply to </w:t>
      </w:r>
      <w:r w:rsidR="00DA0F7B">
        <w:t xml:space="preserve">others. For example, </w:t>
      </w:r>
      <w:r w:rsidR="00E82526">
        <w:t xml:space="preserve">antimicrobial </w:t>
      </w:r>
      <w:r w:rsidR="00DA0F7B">
        <w:t xml:space="preserve">resistance to tetracycline through mutations in the ribosomal subunit protein S10 also confers resistance to tigecycline – a </w:t>
      </w:r>
      <w:r w:rsidR="00DA0F7B">
        <w:lastRenderedPageBreak/>
        <w:t>semisynthetic tetracycl</w:t>
      </w:r>
      <w:r w:rsidR="00E82526">
        <w:t>in</w:t>
      </w:r>
      <w:r w:rsidR="00DA0F7B">
        <w:t>e introduced in 2005.</w:t>
      </w:r>
      <w:r w:rsidR="00DA0F7B">
        <w:rPr>
          <w:rStyle w:val="FootnoteReference"/>
        </w:rPr>
        <w:footnoteReference w:id="17"/>
      </w:r>
      <w:r>
        <w:t xml:space="preserve"> The submission did not provide evidence that the differences in activity and/or resistance mechanism would have an insignificant impact on antibiotic resistance development and disease control.</w:t>
      </w:r>
    </w:p>
    <w:p w14:paraId="31E8A358" w14:textId="55A48B3D" w:rsidR="00762848" w:rsidRDefault="00762848" w:rsidP="00762848">
      <w:r>
        <w:t xml:space="preserve">I acknowledge the important issue of oxytetracycline in feed additives and development of antimicrobial resistance through possible overuse. Oxytetracycline products as feed additive are classified as Prescription Only (Schedule 4) medicines and are available to treat </w:t>
      </w:r>
      <w:r w:rsidRPr="007064BB">
        <w:t>oxytetracycline sensitive microorganisms</w:t>
      </w:r>
      <w:r>
        <w:t xml:space="preserve"> in animals. The prescribing behaviour of veterinarians is regulated by veterinary statutory boards in each state and territory and is not </w:t>
      </w:r>
      <w:r w:rsidR="00EA7641">
        <w:t>a matter for scheduling</w:t>
      </w:r>
      <w:r>
        <w:t>. There are also several prescribing guidelines available from the Australian Veterinary Association, Animal Medicines Australia, Meat and Livestock Australia and t</w:t>
      </w:r>
      <w:r w:rsidRPr="00E67EE6">
        <w:t>he National Centre for Antimicrobial Stewardship</w:t>
      </w:r>
      <w:r>
        <w:t xml:space="preserve"> on use of antimicrobials in animals including feedlot cattle.</w:t>
      </w:r>
    </w:p>
    <w:p w14:paraId="7DE9457C" w14:textId="5E4F9C4E" w:rsidR="003C1B12" w:rsidRPr="003C1B12" w:rsidRDefault="00762848" w:rsidP="003C1B12">
      <w:r>
        <w:t xml:space="preserve">Overall, the submission did not provide sufficient evidence to alleviate my concerns regarding risks of communal harm </w:t>
      </w:r>
      <w:r w:rsidR="00894493">
        <w:t xml:space="preserve">from the </w:t>
      </w:r>
      <w:r>
        <w:t>develop</w:t>
      </w:r>
      <w:r w:rsidR="00894493">
        <w:t>ment of</w:t>
      </w:r>
      <w:r>
        <w:t xml:space="preserve"> resistant strains of microorganisms </w:t>
      </w:r>
      <w:r w:rsidR="00894493">
        <w:t xml:space="preserve">from inappropriate or overuse of tetracycline under a less restrictive schedule. This is in addition to the </w:t>
      </w:r>
      <w:r w:rsidR="00440D56">
        <w:t xml:space="preserve">challenges posed by the </w:t>
      </w:r>
      <w:r>
        <w:t>proper diagnosis and treatment of</w:t>
      </w:r>
      <w:r w:rsidRPr="007D1C78">
        <w:t xml:space="preserve"> </w:t>
      </w:r>
      <w:r>
        <w:t>superficial skin infections</w:t>
      </w:r>
      <w:r w:rsidR="00440D56">
        <w:t xml:space="preserve"> in animals</w:t>
      </w:r>
      <w:r>
        <w:t>, particularly foot rot. I therefore remain of the opinion that oxytetracycline for topical application to animals to treat superficial skin infections should remain a Prescription Only (Schedule 4) medicine.</w:t>
      </w:r>
    </w:p>
    <w:p w14:paraId="3084A1F3" w14:textId="05BD8E9B" w:rsidR="00FB1ACB" w:rsidRDefault="00FB1ACB" w:rsidP="00FB1ACB">
      <w:pPr>
        <w:pStyle w:val="Heading3"/>
      </w:pPr>
      <w:bookmarkStart w:id="39" w:name="_Toc178340902"/>
      <w:r>
        <w:t>Final decision in relation to tranexamic acid</w:t>
      </w:r>
      <w:bookmarkEnd w:id="39"/>
    </w:p>
    <w:p w14:paraId="6B45A697" w14:textId="77777777" w:rsidR="00FB1ACB" w:rsidRPr="00BB34CD" w:rsidRDefault="00FB1ACB" w:rsidP="00D2065C">
      <w:pPr>
        <w:pStyle w:val="Heading4"/>
      </w:pPr>
      <w:r w:rsidRPr="00BB34CD">
        <w:t>Proposal</w:t>
      </w:r>
    </w:p>
    <w:p w14:paraId="6A14DB59" w14:textId="59CF8449" w:rsidR="00FB1ACB" w:rsidRDefault="00FB1ACB" w:rsidP="00FB1ACB">
      <w:r w:rsidRPr="00087ABA">
        <w:t xml:space="preserve">The Delegate received an application proposing an exemption for topical cosmetic preparations containing up to 3% tranexamic acid from the </w:t>
      </w:r>
      <w:r w:rsidR="00440D56">
        <w:t>Prescription only medicine (</w:t>
      </w:r>
      <w:r w:rsidRPr="00087ABA">
        <w:t>Schedule 4</w:t>
      </w:r>
      <w:r w:rsidR="00440D56">
        <w:t>)</w:t>
      </w:r>
      <w:r w:rsidRPr="00087ABA">
        <w:t xml:space="preserve"> entry for the substance. At present, the scheduling exemption is limited to the derivative </w:t>
      </w:r>
      <w:proofErr w:type="spellStart"/>
      <w:r w:rsidRPr="00087ABA">
        <w:t>cetyl</w:t>
      </w:r>
      <w:proofErr w:type="spellEnd"/>
      <w:r w:rsidRPr="00087ABA">
        <w:t xml:space="preserve"> </w:t>
      </w:r>
      <w:proofErr w:type="spellStart"/>
      <w:r w:rsidRPr="00087ABA">
        <w:t>tranexamate</w:t>
      </w:r>
      <w:proofErr w:type="spellEnd"/>
      <w:r w:rsidRPr="00087ABA">
        <w:t>.</w:t>
      </w:r>
    </w:p>
    <w:p w14:paraId="3D2FE622" w14:textId="0DB7D22C" w:rsidR="00FB1ACB" w:rsidRPr="00BB34CD" w:rsidRDefault="00FB1ACB" w:rsidP="00D2065C">
      <w:pPr>
        <w:pStyle w:val="Heading4"/>
      </w:pPr>
      <w:r w:rsidRPr="00BB34CD">
        <w:t>Final decision</w:t>
      </w:r>
    </w:p>
    <w:p w14:paraId="719C8967" w14:textId="4EA46815" w:rsidR="00FB1ACB" w:rsidRDefault="00FB1ACB" w:rsidP="00FB1ACB">
      <w:r>
        <w:t>Pursuant to regulation 42ZC</w:t>
      </w:r>
      <w:r w:rsidRPr="00087ABA">
        <w:t>ZR of the Regulations, the Delegate has made a final decision to confirm the interim decision and amend the current Poisons Standard in relation to tranexamic acid as follows:</w:t>
      </w:r>
      <w:r w:rsidR="008C6CF9">
        <w:rPr>
          <w:rStyle w:val="FootnoteReference"/>
        </w:rPr>
        <w:footnoteReference w:id="18"/>
      </w:r>
    </w:p>
    <w:p w14:paraId="1D503991" w14:textId="77777777" w:rsidR="00FB1ACB" w:rsidRPr="00F34CCF" w:rsidRDefault="00FB1ACB" w:rsidP="00FB1ACB">
      <w:pPr>
        <w:ind w:left="426"/>
        <w:rPr>
          <w:rFonts w:cstheme="minorHAnsi"/>
          <w:b/>
        </w:rPr>
      </w:pPr>
      <w:r w:rsidRPr="00F34CCF">
        <w:rPr>
          <w:rFonts w:cstheme="minorHAnsi"/>
          <w:b/>
        </w:rPr>
        <w:t>Schedule 4 –Amend Entry</w:t>
      </w:r>
    </w:p>
    <w:p w14:paraId="29BD40FA" w14:textId="77777777" w:rsidR="00FB1ACB" w:rsidRPr="00F34CCF" w:rsidRDefault="00FB1ACB" w:rsidP="00FB1ACB">
      <w:pPr>
        <w:spacing w:line="240" w:lineRule="auto"/>
        <w:ind w:left="709"/>
        <w:rPr>
          <w:rFonts w:cstheme="minorHAnsi"/>
          <w:strike/>
          <w:color w:val="FF0000"/>
        </w:rPr>
      </w:pPr>
      <w:r w:rsidRPr="00F34CCF">
        <w:rPr>
          <w:rFonts w:cstheme="minorHAnsi"/>
        </w:rPr>
        <w:t xml:space="preserve">TRANEXAMIC ACID </w:t>
      </w:r>
      <w:r w:rsidRPr="00F34CCF">
        <w:rPr>
          <w:rFonts w:cstheme="minorHAnsi"/>
          <w:b/>
          <w:bCs/>
        </w:rPr>
        <w:t>except</w:t>
      </w:r>
      <w:r w:rsidRPr="00F34CCF">
        <w:rPr>
          <w:rFonts w:cstheme="minorHAnsi"/>
        </w:rPr>
        <w:t xml:space="preserve"> in preparations containing 3% or less of </w:t>
      </w:r>
      <w:proofErr w:type="spellStart"/>
      <w:r w:rsidRPr="00F34CCF">
        <w:rPr>
          <w:rFonts w:cstheme="minorHAnsi"/>
          <w:strike/>
          <w:color w:val="FF0000"/>
        </w:rPr>
        <w:t>cetyl</w:t>
      </w:r>
      <w:proofErr w:type="spellEnd"/>
      <w:r w:rsidRPr="00F34CCF">
        <w:rPr>
          <w:rFonts w:cstheme="minorHAnsi"/>
          <w:strike/>
          <w:color w:val="FF0000"/>
        </w:rPr>
        <w:t xml:space="preserve"> </w:t>
      </w:r>
      <w:proofErr w:type="spellStart"/>
      <w:r w:rsidRPr="00F34CCF">
        <w:rPr>
          <w:rFonts w:cstheme="minorHAnsi"/>
          <w:strike/>
          <w:color w:val="FF0000"/>
        </w:rPr>
        <w:t>tranexamate</w:t>
      </w:r>
      <w:proofErr w:type="spellEnd"/>
      <w:r w:rsidRPr="00F34CCF">
        <w:rPr>
          <w:rFonts w:cstheme="minorHAnsi"/>
          <w:strike/>
          <w:color w:val="FF0000"/>
        </w:rPr>
        <w:t xml:space="preserve"> hydrochloride </w:t>
      </w:r>
      <w:r w:rsidRPr="00F34CCF">
        <w:rPr>
          <w:rFonts w:cstheme="minorHAnsi"/>
          <w:color w:val="00B050"/>
          <w:u w:val="single"/>
        </w:rPr>
        <w:t>tranexamic acid</w:t>
      </w:r>
      <w:r w:rsidRPr="00F34CCF">
        <w:rPr>
          <w:rFonts w:cstheme="minorHAnsi"/>
          <w:color w:val="00B050"/>
        </w:rPr>
        <w:t xml:space="preserve"> </w:t>
      </w:r>
      <w:r w:rsidRPr="00F34CCF">
        <w:rPr>
          <w:rFonts w:cstheme="minorHAnsi"/>
        </w:rPr>
        <w:t>for dermal cosmetic use.</w:t>
      </w:r>
    </w:p>
    <w:p w14:paraId="5C726D5E" w14:textId="77777777" w:rsidR="00FB1ACB" w:rsidRPr="00F34CCF" w:rsidRDefault="00FB1ACB" w:rsidP="00FB1ACB">
      <w:pPr>
        <w:ind w:left="426"/>
        <w:rPr>
          <w:rFonts w:cstheme="minorHAnsi"/>
          <w:b/>
        </w:rPr>
      </w:pPr>
      <w:r w:rsidRPr="00F34CCF">
        <w:rPr>
          <w:rFonts w:cstheme="minorHAnsi"/>
          <w:b/>
        </w:rPr>
        <w:t>Index – Amend entry</w:t>
      </w:r>
    </w:p>
    <w:p w14:paraId="2CDA91FB" w14:textId="77777777" w:rsidR="00FB1ACB" w:rsidRPr="00F34CCF" w:rsidRDefault="00FB1ACB" w:rsidP="00FB1ACB">
      <w:pPr>
        <w:spacing w:after="0"/>
        <w:ind w:left="709"/>
        <w:rPr>
          <w:rFonts w:cstheme="minorHAnsi"/>
        </w:rPr>
      </w:pPr>
      <w:r w:rsidRPr="00F34CCF">
        <w:rPr>
          <w:rFonts w:cstheme="minorHAnsi"/>
        </w:rPr>
        <w:t>TRANEXAMIC ACID</w:t>
      </w:r>
    </w:p>
    <w:p w14:paraId="581F1410" w14:textId="77777777" w:rsidR="00FB1ACB" w:rsidRPr="00F34CCF" w:rsidRDefault="00FB1ACB" w:rsidP="00FB1ACB">
      <w:pPr>
        <w:ind w:left="709"/>
        <w:rPr>
          <w:rFonts w:cstheme="minorHAnsi"/>
          <w:strike/>
          <w:color w:val="FF0000"/>
        </w:rPr>
      </w:pPr>
      <w:r w:rsidRPr="00F34CCF">
        <w:rPr>
          <w:rFonts w:cstheme="minorHAnsi"/>
          <w:strike/>
          <w:color w:val="FF0000"/>
        </w:rPr>
        <w:t>cross reference: CETYL TRANEXAMATE</w:t>
      </w:r>
    </w:p>
    <w:p w14:paraId="3B518766" w14:textId="77777777" w:rsidR="00FB1ACB" w:rsidRPr="00541E3E" w:rsidRDefault="00FB1ACB" w:rsidP="00FB1ACB">
      <w:pPr>
        <w:ind w:left="709"/>
        <w:rPr>
          <w:rFonts w:cstheme="minorHAnsi"/>
        </w:rPr>
      </w:pPr>
      <w:r w:rsidRPr="00F34CCF">
        <w:rPr>
          <w:rFonts w:cstheme="minorHAnsi"/>
        </w:rPr>
        <w:t>Schedule 4</w:t>
      </w:r>
    </w:p>
    <w:p w14:paraId="52F576AB" w14:textId="77777777" w:rsidR="00894493" w:rsidRDefault="00894493">
      <w:pPr>
        <w:rPr>
          <w:rFonts w:eastAsia="Cambria" w:cs="Times New Roman"/>
          <w:bCs/>
          <w:color w:val="001871"/>
          <w:sz w:val="28"/>
          <w:szCs w:val="26"/>
        </w:rPr>
      </w:pPr>
      <w:r>
        <w:br w:type="page"/>
      </w:r>
    </w:p>
    <w:p w14:paraId="41C428E0" w14:textId="1B6490FD" w:rsidR="00FB1ACB" w:rsidRPr="00BB34CD" w:rsidRDefault="00FB1ACB" w:rsidP="00D2065C">
      <w:pPr>
        <w:pStyle w:val="Heading4"/>
      </w:pPr>
      <w:r w:rsidRPr="00BB34CD">
        <w:lastRenderedPageBreak/>
        <w:t>Materials considered</w:t>
      </w:r>
    </w:p>
    <w:p w14:paraId="1D60E488" w14:textId="77777777" w:rsidR="00FB1ACB" w:rsidRDefault="00FB1ACB" w:rsidP="00FB1ACB">
      <w:r>
        <w:t>In making this final decision, the Delegate considered the following material:</w:t>
      </w:r>
    </w:p>
    <w:p w14:paraId="292BF000" w14:textId="77777777" w:rsidR="00FB1ACB" w:rsidRDefault="00FB1ACB" w:rsidP="00FB1ACB">
      <w:pPr>
        <w:pStyle w:val="ListBullet"/>
      </w:pPr>
      <w:r w:rsidRPr="00D9172B">
        <w:t>The application to amend the current Poisons Standard with respect to tranexamic acid</w:t>
      </w:r>
      <w:r>
        <w:t xml:space="preserve"> (the </w:t>
      </w:r>
      <w:r w:rsidRPr="004E2EBC">
        <w:rPr>
          <w:b/>
          <w:bCs/>
        </w:rPr>
        <w:t>Application</w:t>
      </w:r>
      <w:r>
        <w:t>)</w:t>
      </w:r>
    </w:p>
    <w:p w14:paraId="15A30B7E" w14:textId="77777777" w:rsidR="00FB1ACB" w:rsidRPr="00D2065C" w:rsidRDefault="00FB1ACB" w:rsidP="00FB1ACB">
      <w:pPr>
        <w:pStyle w:val="ListBullet"/>
        <w:rPr>
          <w:rFonts w:cs="Arial"/>
        </w:rPr>
      </w:pPr>
      <w:r w:rsidRPr="00D2065C">
        <w:rPr>
          <w:rFonts w:cs="Arial"/>
        </w:rPr>
        <w:t xml:space="preserve">The 9 </w:t>
      </w:r>
      <w:hyperlink r:id="rId39" w:history="1">
        <w:r w:rsidRPr="00D2065C">
          <w:rPr>
            <w:rStyle w:val="Hyperlink"/>
            <w:rFonts w:cs="Arial"/>
          </w:rPr>
          <w:t>public submissions</w:t>
        </w:r>
      </w:hyperlink>
      <w:r w:rsidRPr="00D2065C">
        <w:rPr>
          <w:rFonts w:cs="Arial"/>
        </w:rPr>
        <w:t xml:space="preserve"> received in response to </w:t>
      </w:r>
      <w:hyperlink r:id="rId40" w:history="1">
        <w:r w:rsidRPr="00D2065C">
          <w:rPr>
            <w:rStyle w:val="Hyperlink"/>
            <w:rFonts w:cs="Arial"/>
          </w:rPr>
          <w:t>the pre-meeting consultation</w:t>
        </w:r>
      </w:hyperlink>
      <w:r w:rsidRPr="00D2065C">
        <w:rPr>
          <w:rFonts w:cs="Arial"/>
        </w:rPr>
        <w:t xml:space="preserve"> under regulation 42ZCZK of the Regulations</w:t>
      </w:r>
    </w:p>
    <w:p w14:paraId="2AFC8BEF" w14:textId="77777777" w:rsidR="00FB1ACB" w:rsidRPr="00D2065C" w:rsidRDefault="00FB1ACB" w:rsidP="00FB1ACB">
      <w:pPr>
        <w:pStyle w:val="ListBullet"/>
        <w:rPr>
          <w:rFonts w:cs="Arial"/>
        </w:rPr>
      </w:pPr>
      <w:r w:rsidRPr="00D2065C">
        <w:rPr>
          <w:rFonts w:cs="Arial"/>
        </w:rPr>
        <w:t>the advice received from the 36</w:t>
      </w:r>
      <w:r w:rsidRPr="00D2065C">
        <w:rPr>
          <w:rFonts w:cs="Arial"/>
          <w:vertAlign w:val="superscript"/>
        </w:rPr>
        <w:t>th</w:t>
      </w:r>
      <w:r w:rsidRPr="00D2065C">
        <w:rPr>
          <w:rFonts w:cs="Arial"/>
        </w:rPr>
        <w:t xml:space="preserve"> meeting of the Advisory Committee on Medicines and Chemicals Scheduling in joint session (the </w:t>
      </w:r>
      <w:r w:rsidRPr="00D2065C">
        <w:rPr>
          <w:rFonts w:cs="Arial"/>
          <w:b/>
          <w:bCs/>
        </w:rPr>
        <w:t>Committee</w:t>
      </w:r>
      <w:r w:rsidRPr="00D2065C">
        <w:rPr>
          <w:rFonts w:cs="Arial"/>
        </w:rPr>
        <w:t>)</w:t>
      </w:r>
    </w:p>
    <w:p w14:paraId="35911B47" w14:textId="77777777" w:rsidR="00FB1ACB" w:rsidRPr="00D2065C" w:rsidRDefault="00FB1ACB" w:rsidP="00FB1ACB">
      <w:pPr>
        <w:pStyle w:val="ListBullet"/>
        <w:rPr>
          <w:rFonts w:cs="Arial"/>
        </w:rPr>
      </w:pPr>
      <w:r w:rsidRPr="00D2065C">
        <w:rPr>
          <w:rFonts w:cs="Arial"/>
        </w:rPr>
        <w:t xml:space="preserve">the </w:t>
      </w:r>
      <w:hyperlink r:id="rId41" w:history="1">
        <w:r w:rsidRPr="00D2065C">
          <w:rPr>
            <w:rStyle w:val="Hyperlink"/>
            <w:rFonts w:cs="Arial"/>
          </w:rPr>
          <w:t>interim decision</w:t>
        </w:r>
      </w:hyperlink>
      <w:r w:rsidRPr="00D2065C">
        <w:rPr>
          <w:rFonts w:cs="Arial"/>
        </w:rPr>
        <w:t xml:space="preserve"> relating to tranexamic acid and the materials considered as part of the interim decision, as published on 26 July 2024</w:t>
      </w:r>
    </w:p>
    <w:p w14:paraId="43975A58" w14:textId="7C1AFFAB" w:rsidR="00FB1ACB" w:rsidRPr="006D60CA" w:rsidRDefault="00FB1ACB" w:rsidP="00FB1ACB">
      <w:pPr>
        <w:pStyle w:val="ListBullet"/>
      </w:pPr>
      <w:r w:rsidRPr="006D60CA">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2071B4FE" w14:textId="77777777" w:rsidR="00FB1ACB" w:rsidRPr="006D60CA" w:rsidRDefault="00FB1ACB" w:rsidP="00FB1ACB">
      <w:pPr>
        <w:pStyle w:val="ListBullet"/>
      </w:pPr>
      <w:r w:rsidRPr="006D60CA">
        <w:t>pursuant to paragraph 52E(2)(a) of the Act, the SPF, and</w:t>
      </w:r>
    </w:p>
    <w:p w14:paraId="453931A4" w14:textId="77777777" w:rsidR="00FB1ACB" w:rsidRDefault="00FB1ACB" w:rsidP="00FB1ACB">
      <w:pPr>
        <w:pStyle w:val="ListBullet"/>
      </w:pPr>
      <w:r>
        <w:t>the Handbook.</w:t>
      </w:r>
    </w:p>
    <w:p w14:paraId="3E32315A" w14:textId="77777777" w:rsidR="00FB1ACB" w:rsidRPr="00BB34CD" w:rsidRDefault="00FB1ACB" w:rsidP="00D2065C">
      <w:pPr>
        <w:pStyle w:val="Heading4"/>
      </w:pPr>
      <w:r w:rsidRPr="00BB34CD">
        <w:t>Reasons for the final decision (including findings on material questions of fact)</w:t>
      </w:r>
    </w:p>
    <w:p w14:paraId="269C1C31" w14:textId="3B6BACB8" w:rsidR="00FB1ACB" w:rsidRDefault="00FB1ACB" w:rsidP="00FB1ACB">
      <w:pPr>
        <w:rPr>
          <w:b/>
          <w:bCs/>
          <w:i/>
          <w:iCs/>
        </w:rPr>
      </w:pPr>
      <w:r w:rsidRPr="00E32B41">
        <w:t>I have made a final decision to confirm my interim decision to amend the current Poisons Standard with respect to</w:t>
      </w:r>
      <w:r>
        <w:t xml:space="preserve"> tranexamic acid. </w:t>
      </w:r>
      <w:r w:rsidR="00AD3E40">
        <w:t xml:space="preserve">No public submission was received in response to the interim decision in response to the </w:t>
      </w:r>
      <w:hyperlink r:id="rId42" w:history="1">
        <w:r w:rsidR="00AD3E40" w:rsidRPr="00EA7641">
          <w:rPr>
            <w:rStyle w:val="Hyperlink"/>
            <w:rFonts w:cs="Arial"/>
          </w:rPr>
          <w:t>consultation on interim decision</w:t>
        </w:r>
      </w:hyperlink>
      <w:r w:rsidR="00AD3E40" w:rsidRPr="00EA7641">
        <w:rPr>
          <w:rFonts w:cs="Arial"/>
        </w:rPr>
        <w:t>.</w:t>
      </w:r>
      <w:r w:rsidR="00AD3E40">
        <w:t xml:space="preserve"> </w:t>
      </w:r>
      <w:r w:rsidR="00AD3E40" w:rsidRPr="005C1B8F">
        <w:t>My reasons for making the final decision are those set out in the interim decision.</w:t>
      </w:r>
    </w:p>
    <w:p w14:paraId="4DF25D1D" w14:textId="32CF2F78" w:rsidR="00FB1ACB" w:rsidRPr="00BB34CD" w:rsidRDefault="00FB1ACB" w:rsidP="00D2065C">
      <w:pPr>
        <w:pStyle w:val="Heading4"/>
      </w:pPr>
      <w:r w:rsidRPr="00BB34CD">
        <w:t>Implementation date</w:t>
      </w:r>
    </w:p>
    <w:p w14:paraId="65EB0F27" w14:textId="688F5237" w:rsidR="00FB1ACB" w:rsidRPr="004A213A" w:rsidRDefault="00FB1ACB" w:rsidP="00FB1ACB">
      <w:r>
        <w:t xml:space="preserve">1 </w:t>
      </w:r>
      <w:r w:rsidR="00014258">
        <w:t>October 2024</w:t>
      </w:r>
    </w:p>
    <w:p w14:paraId="4A71BE51" w14:textId="77777777" w:rsidR="00AD3E40" w:rsidRDefault="00AD3E40">
      <w:pPr>
        <w:rPr>
          <w:rFonts w:eastAsia="Times New Roman" w:cs="Times New Roman"/>
          <w:b/>
          <w:bCs/>
          <w:color w:val="001871"/>
          <w:sz w:val="38"/>
          <w:szCs w:val="38"/>
        </w:rPr>
      </w:pPr>
      <w:r>
        <w:br w:type="page"/>
      </w:r>
    </w:p>
    <w:p w14:paraId="09B0C61B" w14:textId="16FEDD05" w:rsidR="00457050" w:rsidRPr="00BC2009" w:rsidRDefault="00457050" w:rsidP="00967490">
      <w:pPr>
        <w:pStyle w:val="Heading2"/>
      </w:pPr>
      <w:bookmarkStart w:id="40" w:name="_Toc178340903"/>
      <w:r w:rsidRPr="00B41852">
        <w:lastRenderedPageBreak/>
        <w:t xml:space="preserve">Final decisions on proposed amendments to the current Poisons Standard under regulation </w:t>
      </w:r>
      <w:r w:rsidRPr="005F3EA0">
        <w:t>42ZCZU</w:t>
      </w:r>
      <w:bookmarkEnd w:id="40"/>
    </w:p>
    <w:p w14:paraId="5DACADCF" w14:textId="04E1904F" w:rsidR="00457050" w:rsidRDefault="00457050" w:rsidP="00967490">
      <w:r w:rsidRPr="00B41852">
        <w:t xml:space="preserve">In my capacity as a delegate of the Secretary for the purpose of regulation </w:t>
      </w:r>
      <w:r w:rsidRPr="005F3EA0">
        <w:t>42ZCZU</w:t>
      </w:r>
      <w:r w:rsidRPr="005F3EA0" w:rsidDel="005F3EA0">
        <w:t xml:space="preserve"> </w:t>
      </w:r>
      <w:r w:rsidRPr="00B41852">
        <w:t xml:space="preserve">of </w:t>
      </w:r>
      <w:r>
        <w:t xml:space="preserve">the </w:t>
      </w:r>
      <w:r w:rsidRPr="000A3085">
        <w:rPr>
          <w:bCs/>
        </w:rPr>
        <w:t>Regulations</w:t>
      </w:r>
      <w:r w:rsidRPr="00B41852">
        <w:t xml:space="preserve">, I have made final decisions under regulation </w:t>
      </w:r>
      <w:r w:rsidRPr="005F3EA0">
        <w:t>42ZCZU</w:t>
      </w:r>
      <w:r w:rsidRPr="005F3EA0" w:rsidDel="005F3EA0">
        <w:t xml:space="preserve"> </w:t>
      </w:r>
      <w:r w:rsidRPr="00B41852">
        <w:t>with respec</w:t>
      </w:r>
      <w:r>
        <w:t>t to the following substances:</w:t>
      </w:r>
    </w:p>
    <w:p w14:paraId="1CC6C1A4" w14:textId="515CDB3F" w:rsidR="005951C6" w:rsidRDefault="005951C6" w:rsidP="005951C6">
      <w:pPr>
        <w:pStyle w:val="ListBullet"/>
      </w:pPr>
      <w:r>
        <w:t>Dimethylacetamide</w:t>
      </w:r>
    </w:p>
    <w:p w14:paraId="03B9F8FC" w14:textId="7253D2C1" w:rsidR="005951C6" w:rsidRDefault="005951C6" w:rsidP="005951C6">
      <w:pPr>
        <w:pStyle w:val="ListBullet"/>
      </w:pPr>
      <w:proofErr w:type="spellStart"/>
      <w:r>
        <w:t>Epyrifenacil</w:t>
      </w:r>
      <w:proofErr w:type="spellEnd"/>
    </w:p>
    <w:p w14:paraId="3646084E" w14:textId="14C93246" w:rsidR="005951C6" w:rsidRPr="00084016" w:rsidRDefault="005951C6" w:rsidP="005951C6">
      <w:pPr>
        <w:pStyle w:val="ListBullet"/>
      </w:pPr>
      <w:proofErr w:type="spellStart"/>
      <w:r>
        <w:t>Metarylpicoxamid</w:t>
      </w:r>
      <w:proofErr w:type="spellEnd"/>
    </w:p>
    <w:p w14:paraId="18DCA633" w14:textId="059A5A29" w:rsidR="007A19DC" w:rsidRDefault="007A19DC" w:rsidP="007A19DC">
      <w:pPr>
        <w:pStyle w:val="ListBullet"/>
      </w:pPr>
      <w:r>
        <w:t>Moxidectin</w:t>
      </w:r>
    </w:p>
    <w:p w14:paraId="4EEA2A10" w14:textId="0D818940" w:rsidR="007A19DC" w:rsidRDefault="007A19DC" w:rsidP="007A19DC">
      <w:pPr>
        <w:pStyle w:val="ListBullet"/>
      </w:pPr>
      <w:proofErr w:type="spellStart"/>
      <w:r>
        <w:t>Modlidustat</w:t>
      </w:r>
      <w:proofErr w:type="spellEnd"/>
    </w:p>
    <w:p w14:paraId="5AC04CE4" w14:textId="3D7B1220" w:rsidR="007A19DC" w:rsidRDefault="007A19DC" w:rsidP="007A19DC">
      <w:pPr>
        <w:pStyle w:val="ListBullet"/>
      </w:pPr>
      <w:proofErr w:type="spellStart"/>
      <w:r>
        <w:t>Vatinoxan</w:t>
      </w:r>
      <w:proofErr w:type="spellEnd"/>
    </w:p>
    <w:p w14:paraId="3265514E" w14:textId="213D2FDA" w:rsidR="00B81163" w:rsidRDefault="00B81163" w:rsidP="00B81163">
      <w:pPr>
        <w:pStyle w:val="ListBullet"/>
      </w:pPr>
      <w:proofErr w:type="spellStart"/>
      <w:r>
        <w:t>Homobrassinolid</w:t>
      </w:r>
      <w:r w:rsidR="00FE0270">
        <w:t>e</w:t>
      </w:r>
      <w:proofErr w:type="spellEnd"/>
    </w:p>
    <w:p w14:paraId="5757B52C" w14:textId="77777777" w:rsidR="00084016" w:rsidRDefault="00084016" w:rsidP="00084016">
      <w:pPr>
        <w:pStyle w:val="Heading3"/>
      </w:pPr>
      <w:bookmarkStart w:id="41" w:name="_Toc164149822"/>
      <w:bookmarkStart w:id="42" w:name="_Toc178340904"/>
      <w:r>
        <w:t>Final decision in relation to dimethylacetamide</w:t>
      </w:r>
      <w:bookmarkEnd w:id="41"/>
      <w:bookmarkEnd w:id="42"/>
    </w:p>
    <w:p w14:paraId="5ACE4FD2" w14:textId="1CA3746B" w:rsidR="00084016" w:rsidRPr="00BB34CD" w:rsidRDefault="00084016" w:rsidP="000C3B71">
      <w:pPr>
        <w:pStyle w:val="Heading4"/>
      </w:pPr>
      <w:r w:rsidRPr="00BB34CD">
        <w:t>Final Decision</w:t>
      </w:r>
    </w:p>
    <w:p w14:paraId="37D90847" w14:textId="77777777" w:rsidR="00084016" w:rsidRDefault="00084016" w:rsidP="00084016">
      <w:r w:rsidRPr="007B00EF">
        <w:t>Pursuant to regulation 42ZCZU</w:t>
      </w:r>
      <w:r w:rsidRPr="007B00EF" w:rsidDel="005F3EA0">
        <w:t xml:space="preserve"> </w:t>
      </w:r>
      <w:r w:rsidRPr="007B00EF">
        <w:t>of the Regulations, a Delegate of the Secretary has made a final decision to amend the current Poisons Standard in relation to dimethylacetamide as follows:</w:t>
      </w:r>
      <w:r w:rsidRPr="00554374">
        <w:rPr>
          <w:rStyle w:val="FootnoteReference"/>
        </w:rPr>
        <w:t xml:space="preserve"> </w:t>
      </w:r>
      <w:r>
        <w:rPr>
          <w:rStyle w:val="FootnoteReference"/>
        </w:rPr>
        <w:footnoteReference w:id="19"/>
      </w:r>
    </w:p>
    <w:p w14:paraId="1C1F4F3B" w14:textId="77777777" w:rsidR="00084016" w:rsidRDefault="00084016" w:rsidP="00084016">
      <w:pPr>
        <w:ind w:left="426"/>
        <w:rPr>
          <w:b/>
          <w:bCs/>
          <w:lang w:eastAsia="en-AU"/>
        </w:rPr>
      </w:pPr>
      <w:r w:rsidRPr="625F5560">
        <w:rPr>
          <w:b/>
          <w:bCs/>
        </w:rPr>
        <w:t xml:space="preserve">Schedule </w:t>
      </w:r>
      <w:r>
        <w:rPr>
          <w:b/>
          <w:bCs/>
        </w:rPr>
        <w:t>6</w:t>
      </w:r>
    </w:p>
    <w:p w14:paraId="782F5030" w14:textId="77777777" w:rsidR="00084016" w:rsidRPr="00505A78" w:rsidRDefault="00084016" w:rsidP="00084016">
      <w:pPr>
        <w:ind w:left="709"/>
        <w:rPr>
          <w:color w:val="auto"/>
        </w:rPr>
      </w:pPr>
      <w:r w:rsidRPr="00505A78">
        <w:rPr>
          <w:color w:val="auto"/>
        </w:rPr>
        <w:t>DIMETHYLACETAMIDE </w:t>
      </w:r>
      <w:r w:rsidRPr="00505A78">
        <w:rPr>
          <w:b/>
          <w:bCs/>
          <w:color w:val="auto"/>
        </w:rPr>
        <w:t>except</w:t>
      </w:r>
      <w:r w:rsidRPr="00505A78">
        <w:rPr>
          <w:color w:val="auto"/>
        </w:rPr>
        <w:t> when included in Schedule 5.</w:t>
      </w:r>
    </w:p>
    <w:p w14:paraId="4A2445C3" w14:textId="77777777" w:rsidR="00084016" w:rsidRDefault="00084016" w:rsidP="00084016">
      <w:pPr>
        <w:ind w:left="426"/>
        <w:rPr>
          <w:b/>
          <w:bCs/>
          <w:lang w:eastAsia="en-AU"/>
        </w:rPr>
      </w:pPr>
      <w:r w:rsidRPr="625F5560">
        <w:rPr>
          <w:b/>
          <w:bCs/>
        </w:rPr>
        <w:t xml:space="preserve">Schedule </w:t>
      </w:r>
      <w:r>
        <w:rPr>
          <w:b/>
          <w:bCs/>
        </w:rPr>
        <w:t>5</w:t>
      </w:r>
      <w:r w:rsidRPr="625F5560">
        <w:rPr>
          <w:b/>
          <w:bCs/>
        </w:rPr>
        <w:t xml:space="preserve"> – </w:t>
      </w:r>
      <w:r>
        <w:rPr>
          <w:b/>
          <w:bCs/>
        </w:rPr>
        <w:t>Amend</w:t>
      </w:r>
      <w:r w:rsidRPr="625F5560">
        <w:rPr>
          <w:b/>
          <w:bCs/>
        </w:rPr>
        <w:t xml:space="preserve"> </w:t>
      </w:r>
      <w:r>
        <w:rPr>
          <w:b/>
          <w:bCs/>
        </w:rPr>
        <w:t>e</w:t>
      </w:r>
      <w:r w:rsidRPr="625F5560">
        <w:rPr>
          <w:b/>
          <w:bCs/>
        </w:rPr>
        <w:t>ntry</w:t>
      </w:r>
    </w:p>
    <w:p w14:paraId="6C951B49" w14:textId="77777777" w:rsidR="00084016" w:rsidRPr="00415AF7" w:rsidRDefault="00084016" w:rsidP="00084016">
      <w:pPr>
        <w:ind w:left="709"/>
        <w:rPr>
          <w:color w:val="auto"/>
        </w:rPr>
      </w:pPr>
      <w:r w:rsidRPr="00415AF7">
        <w:rPr>
          <w:color w:val="auto"/>
        </w:rPr>
        <w:t xml:space="preserve">DIMETHYLACETAMIDE in preparations containing </w:t>
      </w:r>
      <w:r w:rsidRPr="00502C94">
        <w:rPr>
          <w:color w:val="00B050"/>
          <w:u w:val="single"/>
        </w:rPr>
        <w:t>40%</w:t>
      </w:r>
      <w:r w:rsidRPr="00502C94">
        <w:rPr>
          <w:strike/>
          <w:color w:val="FF0000"/>
        </w:rPr>
        <w:t>20%</w:t>
      </w:r>
      <w:r w:rsidRPr="00415AF7">
        <w:rPr>
          <w:color w:val="auto"/>
        </w:rPr>
        <w:t xml:space="preserve"> or less of dimethylacetamide</w:t>
      </w:r>
      <w:r>
        <w:rPr>
          <w:color w:val="auto"/>
        </w:rPr>
        <w:t xml:space="preserve"> </w:t>
      </w:r>
      <w:r w:rsidRPr="007B00EF">
        <w:rPr>
          <w:color w:val="00B050"/>
          <w:u w:val="single"/>
        </w:rPr>
        <w:t>in single dose flow-limited tubes of 5 mL or less for dermal application to companion animals</w:t>
      </w:r>
      <w:r w:rsidRPr="00415AF7">
        <w:rPr>
          <w:color w:val="auto"/>
        </w:rPr>
        <w:t>.</w:t>
      </w:r>
    </w:p>
    <w:p w14:paraId="2F44AA5E" w14:textId="77777777" w:rsidR="00084016" w:rsidRDefault="00084016" w:rsidP="00084016">
      <w:pPr>
        <w:ind w:left="426"/>
        <w:rPr>
          <w:b/>
          <w:bCs/>
        </w:rPr>
      </w:pPr>
      <w:r>
        <w:rPr>
          <w:b/>
          <w:bCs/>
        </w:rPr>
        <w:t>Index</w:t>
      </w:r>
    </w:p>
    <w:p w14:paraId="7848B2E2" w14:textId="77777777" w:rsidR="00084016" w:rsidRPr="00505A78" w:rsidRDefault="00084016" w:rsidP="00084016">
      <w:pPr>
        <w:ind w:left="709"/>
        <w:rPr>
          <w:b/>
          <w:bCs/>
          <w:color w:val="auto"/>
        </w:rPr>
      </w:pPr>
      <w:r w:rsidRPr="00505A78">
        <w:rPr>
          <w:b/>
          <w:bCs/>
          <w:color w:val="auto"/>
        </w:rPr>
        <w:t>DIMETHYLACETAMIDE</w:t>
      </w:r>
    </w:p>
    <w:p w14:paraId="18038708" w14:textId="77777777" w:rsidR="00084016" w:rsidRPr="005A3E5D" w:rsidRDefault="00084016" w:rsidP="00084016">
      <w:pPr>
        <w:ind w:left="709"/>
        <w:rPr>
          <w:color w:val="auto"/>
        </w:rPr>
      </w:pPr>
      <w:r w:rsidRPr="00505A78">
        <w:rPr>
          <w:color w:val="auto"/>
        </w:rPr>
        <w:t>Schedule 6</w:t>
      </w:r>
      <w:r>
        <w:rPr>
          <w:color w:val="auto"/>
        </w:rPr>
        <w:br/>
      </w:r>
      <w:r w:rsidRPr="00505A78">
        <w:rPr>
          <w:color w:val="auto"/>
        </w:rPr>
        <w:t>Schedule 5</w:t>
      </w:r>
    </w:p>
    <w:p w14:paraId="5A600C5B" w14:textId="555616D7" w:rsidR="00084016" w:rsidRDefault="00084016" w:rsidP="000C3B71">
      <w:pPr>
        <w:pStyle w:val="Heading4"/>
      </w:pPr>
      <w:r w:rsidRPr="00BB34CD">
        <w:t>Materials considered</w:t>
      </w:r>
    </w:p>
    <w:p w14:paraId="31C6DFB8" w14:textId="77777777" w:rsidR="00084016" w:rsidRDefault="00084016" w:rsidP="00084016">
      <w:r>
        <w:t>In making this final decision, the Delegate considered the following material:</w:t>
      </w:r>
    </w:p>
    <w:p w14:paraId="35815575" w14:textId="77777777" w:rsidR="00084016" w:rsidRDefault="00084016" w:rsidP="00084016">
      <w:pPr>
        <w:pStyle w:val="ListBullet"/>
        <w:ind w:left="720"/>
      </w:pPr>
      <w:r>
        <w:t xml:space="preserve">The </w:t>
      </w:r>
      <w:r w:rsidRPr="00C02858">
        <w:t>application</w:t>
      </w:r>
      <w:r>
        <w:t xml:space="preserve"> to amend the current Poisons Standard with respect to dimethylacetamide (the </w:t>
      </w:r>
      <w:r w:rsidRPr="000A3085">
        <w:rPr>
          <w:b/>
          <w:bCs/>
        </w:rPr>
        <w:t>Application</w:t>
      </w:r>
      <w:r>
        <w:t>)</w:t>
      </w:r>
    </w:p>
    <w:p w14:paraId="3DB84B83" w14:textId="79F18636" w:rsidR="00084016" w:rsidRPr="00016749" w:rsidRDefault="00084016" w:rsidP="00084016">
      <w:pPr>
        <w:pStyle w:val="ListBullet"/>
        <w:ind w:left="720"/>
      </w:pPr>
      <w:r w:rsidRPr="001169AC">
        <w:t>Subsection 52</w:t>
      </w:r>
      <w:proofErr w:type="gramStart"/>
      <w:r w:rsidRPr="001169AC">
        <w:t>E(</w:t>
      </w:r>
      <w:proofErr w:type="gramEnd"/>
      <w:r w:rsidRPr="001169AC">
        <w:t xml:space="preserve">1) of </w:t>
      </w:r>
      <w:r w:rsidRPr="001169AC">
        <w:rPr>
          <w:i/>
        </w:rPr>
        <w:t>the Therapeutic Goods Act 1989</w:t>
      </w:r>
      <w:r w:rsidRPr="001169AC">
        <w:t xml:space="preserve">, in particular  (b) the purposes for which a substance is to be used and the extent of use of a substance; (c) the toxicity of a </w:t>
      </w:r>
      <w:r w:rsidRPr="001169AC">
        <w:lastRenderedPageBreak/>
        <w:t>substance;</w:t>
      </w:r>
      <w:r>
        <w:t xml:space="preserve"> and</w:t>
      </w:r>
      <w:r w:rsidRPr="001169AC">
        <w:t xml:space="preserve"> (d) the dosage, formulation, labelling, packaging and presentation of a substance</w:t>
      </w:r>
    </w:p>
    <w:p w14:paraId="6235AA8B" w14:textId="77777777" w:rsidR="00084016" w:rsidRPr="00043747" w:rsidRDefault="00084016" w:rsidP="00084016">
      <w:pPr>
        <w:pStyle w:val="ListBullet"/>
        <w:ind w:left="720"/>
      </w:pPr>
      <w:r w:rsidRPr="00016749">
        <w:t>Pursuant to p</w:t>
      </w:r>
      <w:r w:rsidRPr="00043747">
        <w:t>aragraph 52E(2)(a) of the Act, the SPF, and</w:t>
      </w:r>
    </w:p>
    <w:p w14:paraId="3FDC7B0D" w14:textId="77777777" w:rsidR="00084016" w:rsidRPr="00043747" w:rsidRDefault="00084016" w:rsidP="00084016">
      <w:pPr>
        <w:pStyle w:val="ListBullet"/>
        <w:ind w:left="720"/>
      </w:pPr>
      <w:r w:rsidRPr="00043747">
        <w:t>The Handbook.</w:t>
      </w:r>
    </w:p>
    <w:p w14:paraId="0869726D" w14:textId="77777777" w:rsidR="00084016" w:rsidRPr="00BB34CD" w:rsidRDefault="00084016" w:rsidP="008C116A">
      <w:pPr>
        <w:pStyle w:val="Heading4"/>
      </w:pPr>
      <w:r w:rsidRPr="00300CBB">
        <w:t>Reasons for the final decision (including findings on material questions of fact)</w:t>
      </w:r>
    </w:p>
    <w:p w14:paraId="505764C3" w14:textId="170679FD" w:rsidR="00084016" w:rsidRDefault="00084016" w:rsidP="00084016">
      <w:bookmarkStart w:id="43" w:name="_Toc164149823"/>
      <w:r w:rsidRPr="008B2FC4">
        <w:t xml:space="preserve">In determining that this matter will be a delegate-only decision I have </w:t>
      </w:r>
      <w:proofErr w:type="gramStart"/>
      <w:r w:rsidRPr="008B2FC4">
        <w:t>taken into account</w:t>
      </w:r>
      <w:proofErr w:type="gramEnd"/>
      <w:r w:rsidRPr="008B2FC4">
        <w:t xml:space="preserve"> the information provided </w:t>
      </w:r>
      <w:r w:rsidR="00E82526">
        <w:t>by</w:t>
      </w:r>
      <w:r w:rsidRPr="008B2FC4">
        <w:t xml:space="preserve"> the Australian Pesticides and Veterinary Medicine Authority (APVMA), and the matters outlined under s 52E of the Act and the SPF. </w:t>
      </w:r>
      <w:r w:rsidR="00E82526">
        <w:t>My reasons for making the final decision follow.</w:t>
      </w:r>
    </w:p>
    <w:p w14:paraId="43C16A47" w14:textId="45B5E0B9" w:rsidR="00084016" w:rsidRPr="007022A1" w:rsidRDefault="00084016" w:rsidP="00E82526">
      <w:pPr>
        <w:pStyle w:val="ListBullet"/>
        <w:numPr>
          <w:ilvl w:val="0"/>
          <w:numId w:val="0"/>
        </w:numPr>
      </w:pPr>
      <w:r w:rsidRPr="007022A1">
        <w:t xml:space="preserve">Dimethylacetamide is currently captured </w:t>
      </w:r>
      <w:r w:rsidR="000C3B71">
        <w:t xml:space="preserve">as </w:t>
      </w:r>
      <w:r w:rsidR="001D4C7E">
        <w:t>‘</w:t>
      </w:r>
      <w:r w:rsidR="000C3B71">
        <w:t>Poison</w:t>
      </w:r>
      <w:r w:rsidR="001D4C7E">
        <w:t>’</w:t>
      </w:r>
      <w:r w:rsidR="000C3B71">
        <w:t xml:space="preserve"> (</w:t>
      </w:r>
      <w:r w:rsidRPr="007022A1">
        <w:t>Schedule 6</w:t>
      </w:r>
      <w:r w:rsidR="000C3B71">
        <w:t>)</w:t>
      </w:r>
      <w:r w:rsidRPr="007022A1">
        <w:t xml:space="preserve"> </w:t>
      </w:r>
      <w:r w:rsidR="00894493">
        <w:t>in</w:t>
      </w:r>
      <w:r w:rsidRPr="007022A1">
        <w:t xml:space="preserve"> the Poisons Standard except when in preparations containing 20% or less of dimethylacetamide which are captured </w:t>
      </w:r>
      <w:r w:rsidR="000C3B71">
        <w:t>as Caution (</w:t>
      </w:r>
      <w:r w:rsidRPr="007022A1">
        <w:t>Schedule 5</w:t>
      </w:r>
      <w:r w:rsidR="000C3B71">
        <w:t>) substances</w:t>
      </w:r>
      <w:r w:rsidRPr="007022A1">
        <w:t xml:space="preserve">. The Application proposes the </w:t>
      </w:r>
      <w:r>
        <w:t xml:space="preserve">cut-off for the </w:t>
      </w:r>
      <w:r w:rsidR="00487A39">
        <w:t>‘</w:t>
      </w:r>
      <w:r w:rsidR="000C3B71">
        <w:t>Caution</w:t>
      </w:r>
      <w:r w:rsidR="00487A39">
        <w:t>’</w:t>
      </w:r>
      <w:r w:rsidR="000C3B71">
        <w:t xml:space="preserve"> (</w:t>
      </w:r>
      <w:r w:rsidR="000C3B71" w:rsidRPr="007022A1">
        <w:t>Schedule 5</w:t>
      </w:r>
      <w:r w:rsidR="000C3B71">
        <w:t>)</w:t>
      </w:r>
      <w:r w:rsidRPr="007022A1">
        <w:t xml:space="preserve"> entry be </w:t>
      </w:r>
      <w:r>
        <w:t xml:space="preserve">increased to 40% for </w:t>
      </w:r>
      <w:r w:rsidRPr="007022A1">
        <w:t xml:space="preserve">small volume (5 mL or less) spot-on products for dogs and cats </w:t>
      </w:r>
      <w:r>
        <w:t xml:space="preserve">such that the products will be captured </w:t>
      </w:r>
      <w:r w:rsidR="00603B07">
        <w:t>as</w:t>
      </w:r>
      <w:r>
        <w:t xml:space="preserve"> </w:t>
      </w:r>
      <w:r w:rsidR="00603B07">
        <w:t>Caution (</w:t>
      </w:r>
      <w:r w:rsidR="00603B07" w:rsidRPr="007022A1">
        <w:t>Schedule 5</w:t>
      </w:r>
      <w:r w:rsidR="00603B07">
        <w:t>)</w:t>
      </w:r>
      <w:r>
        <w:t xml:space="preserve"> instead of </w:t>
      </w:r>
      <w:r w:rsidR="00603B07">
        <w:t>the Poisons (</w:t>
      </w:r>
      <w:r w:rsidR="00603B07" w:rsidRPr="007022A1">
        <w:t>Schedule 6</w:t>
      </w:r>
      <w:r w:rsidR="00603B07">
        <w:t>) entry</w:t>
      </w:r>
      <w:r>
        <w:t>.</w:t>
      </w:r>
    </w:p>
    <w:p w14:paraId="6E16ECAC" w14:textId="06624DC6" w:rsidR="00084016" w:rsidRDefault="00084016" w:rsidP="00E82526">
      <w:pPr>
        <w:pStyle w:val="ListBullet"/>
        <w:numPr>
          <w:ilvl w:val="0"/>
          <w:numId w:val="0"/>
        </w:numPr>
      </w:pPr>
      <w:r>
        <w:t>Regarding 52E(1)(b), d</w:t>
      </w:r>
      <w:r w:rsidRPr="007022A1">
        <w:t xml:space="preserve">imethylacetamide is used as a non-aqueous solvent </w:t>
      </w:r>
      <w:r>
        <w:t xml:space="preserve">(34%) </w:t>
      </w:r>
      <w:r w:rsidRPr="007022A1">
        <w:t xml:space="preserve">in spot-on products for the control of specified fleas, ticks and mites, and associated conditions, as well as heartworm, and specified intestinal worms in dogs and cats by animal healthcare specialists and pet owners. </w:t>
      </w:r>
      <w:r>
        <w:t>The active ingredients in the spot-on products are</w:t>
      </w:r>
      <w:r w:rsidRPr="007022A1">
        <w:t xml:space="preserve"> </w:t>
      </w:r>
      <w:r>
        <w:t>f</w:t>
      </w:r>
      <w:r w:rsidRPr="007022A1">
        <w:t xml:space="preserve">luralaner </w:t>
      </w:r>
      <w:r>
        <w:t>and</w:t>
      </w:r>
      <w:r w:rsidRPr="007022A1">
        <w:t xml:space="preserve"> moxidectin</w:t>
      </w:r>
      <w:r>
        <w:t>.</w:t>
      </w:r>
      <w:r w:rsidR="006514F7">
        <w:t xml:space="preserve"> </w:t>
      </w:r>
      <w:r>
        <w:t xml:space="preserve">There is only </w:t>
      </w:r>
      <w:r w:rsidRPr="00B11385">
        <w:t>one agricultural insecticide product containing 60% dimethylacetamide in its formulation</w:t>
      </w:r>
      <w:r>
        <w:t xml:space="preserve"> </w:t>
      </w:r>
      <w:r w:rsidR="00603B07">
        <w:t>that</w:t>
      </w:r>
      <w:r w:rsidR="00E82526">
        <w:t xml:space="preserve"> is classified</w:t>
      </w:r>
      <w:r w:rsidR="00603B07">
        <w:t xml:space="preserve"> under the </w:t>
      </w:r>
      <w:r w:rsidR="00487A39">
        <w:t>‘</w:t>
      </w:r>
      <w:r w:rsidR="00603B07">
        <w:t>Poison</w:t>
      </w:r>
      <w:r w:rsidR="00487A39">
        <w:t>’</w:t>
      </w:r>
      <w:r w:rsidR="00603B07">
        <w:t xml:space="preserve"> (</w:t>
      </w:r>
      <w:r w:rsidR="00603B07" w:rsidRPr="007022A1">
        <w:t>Schedule 6</w:t>
      </w:r>
      <w:r w:rsidR="00603B07">
        <w:t>) entry</w:t>
      </w:r>
      <w:r>
        <w:t xml:space="preserve">. </w:t>
      </w:r>
      <w:r w:rsidRPr="00B11385">
        <w:t xml:space="preserve">All other registered </w:t>
      </w:r>
      <w:r>
        <w:t>agricultural or veterinary</w:t>
      </w:r>
      <w:r w:rsidRPr="00B11385">
        <w:t xml:space="preserve"> chemicals containing dimethylacetamide are </w:t>
      </w:r>
      <w:r w:rsidR="00603B07">
        <w:t>Prescription only (</w:t>
      </w:r>
      <w:r w:rsidRPr="00B11385">
        <w:t>Schedule 4</w:t>
      </w:r>
      <w:r w:rsidR="00603B07">
        <w:t>)</w:t>
      </w:r>
      <w:r w:rsidRPr="00B11385">
        <w:t xml:space="preserve"> injectable products.</w:t>
      </w:r>
    </w:p>
    <w:p w14:paraId="00827C3F" w14:textId="4F4C55F4" w:rsidR="00084016" w:rsidRDefault="00084016" w:rsidP="00E82526">
      <w:pPr>
        <w:pStyle w:val="ListBullet"/>
        <w:numPr>
          <w:ilvl w:val="0"/>
          <w:numId w:val="0"/>
        </w:numPr>
      </w:pPr>
      <w:r>
        <w:t xml:space="preserve">Regarding s 52E(1)(d) of the Act, I note that the products intended for </w:t>
      </w:r>
      <w:r w:rsidRPr="00D94461">
        <w:t xml:space="preserve">spot-on </w:t>
      </w:r>
      <w:r>
        <w:t>use in</w:t>
      </w:r>
      <w:r w:rsidRPr="00D94461">
        <w:t xml:space="preserve"> dogs and cats</w:t>
      </w:r>
      <w:r>
        <w:t xml:space="preserve"> contain up to 33.9% dimethylacetamide in flow-limited pipettes up to 5 mL in volume. The largest available pack size contains 1</w:t>
      </w:r>
      <w:r w:rsidR="00E82526">
        <w:t>,</w:t>
      </w:r>
      <w:r>
        <w:t>695 mg of dimethylacetamide per pipette. Each pack contains up to 6</w:t>
      </w:r>
      <w:r w:rsidR="00E82526">
        <w:t> </w:t>
      </w:r>
      <w:r>
        <w:t>pipettes, representing a single dose, and each pipette is enclosed in a child-resistant sachet with a non-removable twist-and-use cap. The products are also labelled with an APVMA approved label containing first-aid instructions, safety directions and additional user safety statements.</w:t>
      </w:r>
    </w:p>
    <w:p w14:paraId="28E536CF" w14:textId="7C12AE86" w:rsidR="00084016" w:rsidRDefault="004C719A" w:rsidP="00E82526">
      <w:pPr>
        <w:pStyle w:val="ListBullet"/>
        <w:numPr>
          <w:ilvl w:val="0"/>
          <w:numId w:val="0"/>
        </w:numPr>
      </w:pPr>
      <w:r>
        <w:t>With respect to</w:t>
      </w:r>
      <w:r w:rsidR="00084016">
        <w:t xml:space="preserve"> s 52E(1)(c) of the Act, I note that based on animal studies, d</w:t>
      </w:r>
      <w:r w:rsidR="00084016" w:rsidRPr="007022A1">
        <w:t>imethylacetamide</w:t>
      </w:r>
      <w:r w:rsidR="00084016">
        <w:t xml:space="preserve"> is a</w:t>
      </w:r>
      <w:r w:rsidR="00084016" w:rsidRPr="0090217C">
        <w:t xml:space="preserve"> </w:t>
      </w:r>
      <w:r w:rsidR="00084016">
        <w:t>slight skin irritant, a moderate eye irritant and not a skin sensitiser. Recent findings show that 34% dimethylacetamide solution has low acute oral and dermal toxicity and is a slight eye irritant with an estimated low acute inhalation toxicity. These are consistent with the scheduling factor 1 for Schedule</w:t>
      </w:r>
      <w:r w:rsidR="00E82526">
        <w:t> </w:t>
      </w:r>
      <w:r w:rsidR="00084016">
        <w:t>5 substances. Liver inflammation, necrosis, and hypertrophy have been observed in rats and mice at high doses in the short and long term. Further</w:t>
      </w:r>
      <w:r w:rsidR="00084016" w:rsidRPr="00EF3D47">
        <w:t xml:space="preserve">, liver damage has been reported in workers exposed to </w:t>
      </w:r>
      <w:r w:rsidR="00084016">
        <w:t>dimethylacetamide</w:t>
      </w:r>
      <w:r w:rsidR="00084016" w:rsidRPr="00EF3D47">
        <w:t xml:space="preserve"> via the lungs and skin for periods of up to 10 years, </w:t>
      </w:r>
      <w:r w:rsidR="00084016">
        <w:t>though</w:t>
      </w:r>
      <w:r w:rsidR="00084016" w:rsidRPr="00EF3D47">
        <w:t xml:space="preserve"> the levels of exposure were not known.</w:t>
      </w:r>
      <w:r w:rsidR="00084016">
        <w:t xml:space="preserve"> Foetal malformations can occur in mice, rats and rabbits after high inhalational or oral exposures which is of concern.</w:t>
      </w:r>
      <w:r w:rsidR="00084016">
        <w:rPr>
          <w:rStyle w:val="FootnoteReference"/>
        </w:rPr>
        <w:footnoteReference w:id="20"/>
      </w:r>
      <w:r w:rsidR="00084016">
        <w:t xml:space="preserve"> Based on oral development</w:t>
      </w:r>
      <w:r w:rsidR="00B3629B">
        <w:t>al toxicity</w:t>
      </w:r>
      <w:r w:rsidR="00084016">
        <w:t xml:space="preserve"> studies, a </w:t>
      </w:r>
      <w:r w:rsidR="002940FF">
        <w:t>N</w:t>
      </w:r>
      <w:r w:rsidR="00E82526">
        <w:t>o-</w:t>
      </w:r>
      <w:r w:rsidR="002940FF">
        <w:t>O</w:t>
      </w:r>
      <w:r w:rsidR="00E82526">
        <w:t xml:space="preserve">bserved </w:t>
      </w:r>
      <w:r w:rsidR="002940FF">
        <w:t>A</w:t>
      </w:r>
      <w:r w:rsidR="00E82526">
        <w:t xml:space="preserve">dverse </w:t>
      </w:r>
      <w:r w:rsidR="002940FF">
        <w:t>E</w:t>
      </w:r>
      <w:r w:rsidR="00E82526">
        <w:t xml:space="preserve">ffect </w:t>
      </w:r>
      <w:r w:rsidR="002940FF">
        <w:t>L</w:t>
      </w:r>
      <w:r w:rsidR="00E82526">
        <w:t>evel (</w:t>
      </w:r>
      <w:r w:rsidR="00084016">
        <w:t>NOAEL</w:t>
      </w:r>
      <w:r w:rsidR="00E82526">
        <w:t>)</w:t>
      </w:r>
      <w:r w:rsidR="00084016">
        <w:t xml:space="preserve"> of 65 mg/kg </w:t>
      </w:r>
      <w:proofErr w:type="spellStart"/>
      <w:r w:rsidR="00084016">
        <w:t>bw</w:t>
      </w:r>
      <w:proofErr w:type="spellEnd"/>
      <w:r w:rsidR="00084016">
        <w:t>/d is considered the most appropriate</w:t>
      </w:r>
      <w:r w:rsidR="002940FF">
        <w:t xml:space="preserve"> tox</w:t>
      </w:r>
      <w:r w:rsidR="00664E91">
        <w:t xml:space="preserve">icological </w:t>
      </w:r>
      <w:proofErr w:type="gramStart"/>
      <w:r w:rsidR="00664E91">
        <w:t>end-point</w:t>
      </w:r>
      <w:proofErr w:type="gramEnd"/>
      <w:r w:rsidR="00084016">
        <w:t>.</w:t>
      </w:r>
      <w:r w:rsidR="008C6CF9">
        <w:t xml:space="preserve"> </w:t>
      </w:r>
      <w:r w:rsidR="00084016">
        <w:t xml:space="preserve">Using the NOAEL of 65 mg/kg </w:t>
      </w:r>
      <w:proofErr w:type="spellStart"/>
      <w:r w:rsidR="00084016">
        <w:t>bw</w:t>
      </w:r>
      <w:proofErr w:type="spellEnd"/>
      <w:r w:rsidR="00084016">
        <w:t>/d</w:t>
      </w:r>
      <w:r w:rsidR="00E82526">
        <w:t>, the</w:t>
      </w:r>
      <w:r w:rsidR="00084016">
        <w:t xml:space="preserve"> risks of developmental effects for domestic and professional users from dermal or oral exposures to the spot-on products containing 34% d</w:t>
      </w:r>
      <w:r w:rsidR="00084016" w:rsidRPr="007022A1">
        <w:t>imethylacetamide</w:t>
      </w:r>
      <w:r w:rsidR="00084016">
        <w:t xml:space="preserve"> were estimated to be </w:t>
      </w:r>
      <w:r w:rsidR="00E82526">
        <w:t xml:space="preserve">very </w:t>
      </w:r>
      <w:r w:rsidR="00084016">
        <w:t>low to low. Based on the data provided</w:t>
      </w:r>
      <w:r w:rsidR="00664E91">
        <w:t xml:space="preserve"> by the applicant</w:t>
      </w:r>
      <w:r w:rsidR="00084016">
        <w:t xml:space="preserve">, I </w:t>
      </w:r>
      <w:proofErr w:type="gramStart"/>
      <w:r w:rsidR="00084016">
        <w:t>am of the opinion that</w:t>
      </w:r>
      <w:proofErr w:type="gramEnd"/>
      <w:r w:rsidR="00084016">
        <w:t xml:space="preserve"> 34% dimethylacetamide has low toxicity and </w:t>
      </w:r>
      <w:r w:rsidR="00E82526">
        <w:t xml:space="preserve">is </w:t>
      </w:r>
      <w:r w:rsidR="00084016">
        <w:t xml:space="preserve">a </w:t>
      </w:r>
      <w:r w:rsidR="00084016" w:rsidRPr="00991874">
        <w:t>low health hazard</w:t>
      </w:r>
      <w:r w:rsidR="00084016">
        <w:t xml:space="preserve"> (scheduling factors 1 and 2</w:t>
      </w:r>
      <w:r w:rsidR="00603B07">
        <w:t xml:space="preserve"> for Schedule 5</w:t>
      </w:r>
      <w:r w:rsidR="00084016">
        <w:t>).</w:t>
      </w:r>
      <w:r w:rsidR="00603B07">
        <w:t xml:space="preserve"> I am also of the opinion that the toxicity of preparations containing 40% dimethylacetamide are unlikely to be </w:t>
      </w:r>
      <w:r w:rsidR="00E82526">
        <w:t xml:space="preserve">substantially </w:t>
      </w:r>
      <w:r w:rsidR="00603B07">
        <w:t>higher than 34% formulations and increasing the cut-off limit to 40% is</w:t>
      </w:r>
      <w:r w:rsidR="003566D3">
        <w:t xml:space="preserve"> suitability</w:t>
      </w:r>
      <w:r w:rsidR="00603B07">
        <w:t xml:space="preserve"> justified</w:t>
      </w:r>
      <w:r w:rsidR="000C0B57">
        <w:t xml:space="preserve"> based upon </w:t>
      </w:r>
      <w:r w:rsidR="00153582">
        <w:t xml:space="preserve">Margins of Exposure (MOE) </w:t>
      </w:r>
      <w:proofErr w:type="gramStart"/>
      <w:r w:rsidR="00153582">
        <w:t>in excess of</w:t>
      </w:r>
      <w:proofErr w:type="gramEnd"/>
      <w:r w:rsidR="00153582">
        <w:t xml:space="preserve"> 100 for </w:t>
      </w:r>
      <w:r w:rsidR="00870BB0">
        <w:t>users of the product.</w:t>
      </w:r>
    </w:p>
    <w:p w14:paraId="7C746655" w14:textId="6D7AE75B" w:rsidR="00084016" w:rsidRDefault="00084016" w:rsidP="00E82526">
      <w:pPr>
        <w:pStyle w:val="ListBullet"/>
        <w:numPr>
          <w:ilvl w:val="0"/>
          <w:numId w:val="0"/>
        </w:numPr>
      </w:pPr>
      <w:r>
        <w:lastRenderedPageBreak/>
        <w:t>Regarding 52E (1)(d), the spot-on products containing dimethylacetamide are available in 5 m</w:t>
      </w:r>
      <w:r w:rsidR="00E82526">
        <w:t>L</w:t>
      </w:r>
      <w:r>
        <w:t xml:space="preserve"> flow limited pipettes. The dosage is in small volumes (5 m</w:t>
      </w:r>
      <w:r w:rsidR="00603B07">
        <w:t>L</w:t>
      </w:r>
      <w:r>
        <w:t xml:space="preserve"> maximum)</w:t>
      </w:r>
      <w:r w:rsidR="00603B07">
        <w:t xml:space="preserve"> </w:t>
      </w:r>
      <w:r>
        <w:t xml:space="preserve">for application every 3 to 6 months. The entire content of these products is applied </w:t>
      </w:r>
      <w:r w:rsidRPr="003233CA">
        <w:t>directly to the dog or cat’s skin</w:t>
      </w:r>
      <w:r>
        <w:t>. Noting the finding from the developmental risk studies are based on 5 m</w:t>
      </w:r>
      <w:r w:rsidR="00603B07">
        <w:t>L</w:t>
      </w:r>
      <w:r>
        <w:t xml:space="preserve"> dosage and 100% oral or dermal absorption, I agree with the applicant that 34% dimethylacetamide </w:t>
      </w:r>
      <w:proofErr w:type="gramStart"/>
      <w:r w:rsidRPr="00D27DEA">
        <w:t>is capable of causing</w:t>
      </w:r>
      <w:proofErr w:type="gramEnd"/>
      <w:r w:rsidRPr="00D27DEA">
        <w:t xml:space="preserve"> only minor adverse effects to humans in normal use</w:t>
      </w:r>
      <w:r>
        <w:t xml:space="preserve"> (scheduling factor 3)</w:t>
      </w:r>
      <w:r w:rsidRPr="00D27DEA">
        <w:t>.</w:t>
      </w:r>
      <w:r>
        <w:t xml:space="preserve"> The likelihood of injury can be further minimised through appropriate packaging and simple label warnings that are already in place (factors 4 and 5</w:t>
      </w:r>
      <w:r w:rsidR="00603B07">
        <w:t xml:space="preserve"> for Schedule 5</w:t>
      </w:r>
      <w:r>
        <w:t>).</w:t>
      </w:r>
    </w:p>
    <w:p w14:paraId="1886CCFF" w14:textId="0A2B707D" w:rsidR="00084016" w:rsidRDefault="00084016" w:rsidP="00084016">
      <w:r w:rsidRPr="00413599">
        <w:t xml:space="preserve">Based on the above considerations and the information provided in the application, I have decided to amend the </w:t>
      </w:r>
      <w:r w:rsidR="00603B07">
        <w:t xml:space="preserve">Caution (Schedule 5) entry for dimethylacetamide in the </w:t>
      </w:r>
      <w:r w:rsidR="008C116A">
        <w:t xml:space="preserve">current </w:t>
      </w:r>
      <w:r w:rsidRPr="00413599">
        <w:t>Poisons Standard in the manner set out above. The proposed amendment was not referred to an expert advisory committee.</w:t>
      </w:r>
    </w:p>
    <w:p w14:paraId="0673031F" w14:textId="77777777" w:rsidR="00084016" w:rsidRPr="00300CBB" w:rsidRDefault="00084016" w:rsidP="008C116A">
      <w:pPr>
        <w:pStyle w:val="Heading4"/>
      </w:pPr>
      <w:r w:rsidRPr="00300CBB">
        <w:t>Implementation date</w:t>
      </w:r>
    </w:p>
    <w:p w14:paraId="054B5D62" w14:textId="77777777" w:rsidR="00084016" w:rsidRPr="008C116A" w:rsidRDefault="00084016" w:rsidP="00084016">
      <w:r w:rsidRPr="008C116A">
        <w:t>1 October 2024</w:t>
      </w:r>
    </w:p>
    <w:p w14:paraId="374A3705" w14:textId="77777777" w:rsidR="00084016" w:rsidRDefault="00084016" w:rsidP="00084016">
      <w:pPr>
        <w:pStyle w:val="Heading3"/>
      </w:pPr>
      <w:bookmarkStart w:id="44" w:name="_Toc178340905"/>
      <w:r>
        <w:t xml:space="preserve">Final decision in relation to </w:t>
      </w:r>
      <w:proofErr w:type="spellStart"/>
      <w:r>
        <w:t>epyrifenacil</w:t>
      </w:r>
      <w:bookmarkEnd w:id="43"/>
      <w:bookmarkEnd w:id="44"/>
      <w:proofErr w:type="spellEnd"/>
    </w:p>
    <w:p w14:paraId="352D7A0F" w14:textId="1F0A7935" w:rsidR="00084016" w:rsidRPr="00BB34CD" w:rsidRDefault="00084016" w:rsidP="008C116A">
      <w:pPr>
        <w:pStyle w:val="Heading4"/>
      </w:pPr>
      <w:r w:rsidRPr="00BB34CD">
        <w:t>Final Decision</w:t>
      </w:r>
    </w:p>
    <w:p w14:paraId="2CB0509E" w14:textId="77777777" w:rsidR="00084016" w:rsidRDefault="00084016" w:rsidP="00084016">
      <w:r w:rsidRPr="00C546F4">
        <w:t xml:space="preserve">Pursuant to regulation </w:t>
      </w:r>
      <w:r w:rsidRPr="005F3EA0">
        <w:t>42ZCZU</w:t>
      </w:r>
      <w:r w:rsidRPr="005F3EA0" w:rsidDel="005F3EA0">
        <w:t xml:space="preserve"> </w:t>
      </w:r>
      <w:r w:rsidRPr="00C546F4">
        <w:t xml:space="preserve">of the Regulations, a Delegate of the Secretary has made a final </w:t>
      </w:r>
      <w:r w:rsidRPr="005B74CE">
        <w:t xml:space="preserve">decision to amend the current Poisons Standard in relation to </w:t>
      </w:r>
      <w:proofErr w:type="spellStart"/>
      <w:r w:rsidRPr="005B74CE">
        <w:t>epyrifenacil</w:t>
      </w:r>
      <w:proofErr w:type="spellEnd"/>
      <w:r w:rsidRPr="005B74CE">
        <w:t xml:space="preserve"> as follows:</w:t>
      </w:r>
      <w:r w:rsidRPr="00554374">
        <w:rPr>
          <w:rStyle w:val="FootnoteReference"/>
        </w:rPr>
        <w:t xml:space="preserve"> </w:t>
      </w:r>
      <w:r>
        <w:rPr>
          <w:rStyle w:val="FootnoteReference"/>
        </w:rPr>
        <w:footnoteReference w:id="21"/>
      </w:r>
    </w:p>
    <w:p w14:paraId="03117599" w14:textId="77777777" w:rsidR="00084016" w:rsidRDefault="00084016" w:rsidP="00084016">
      <w:pPr>
        <w:ind w:left="426"/>
        <w:rPr>
          <w:b/>
          <w:bCs/>
          <w:lang w:eastAsia="en-AU"/>
        </w:rPr>
      </w:pPr>
      <w:r w:rsidRPr="625F5560">
        <w:rPr>
          <w:b/>
          <w:bCs/>
        </w:rPr>
        <w:t xml:space="preserve">Schedule </w:t>
      </w:r>
      <w:r>
        <w:rPr>
          <w:b/>
          <w:bCs/>
        </w:rPr>
        <w:t>5 – New entry</w:t>
      </w:r>
    </w:p>
    <w:p w14:paraId="4FD92AE6" w14:textId="77777777" w:rsidR="00084016" w:rsidRDefault="00084016" w:rsidP="00084016">
      <w:pPr>
        <w:ind w:left="709"/>
        <w:rPr>
          <w:color w:val="00B050"/>
          <w:u w:val="single"/>
        </w:rPr>
      </w:pPr>
      <w:r w:rsidRPr="001501F1">
        <w:rPr>
          <w:color w:val="00B050"/>
          <w:u w:val="single"/>
        </w:rPr>
        <w:t>EPYRIFENACIL.</w:t>
      </w:r>
    </w:p>
    <w:p w14:paraId="594F9BDD" w14:textId="77777777" w:rsidR="00084016" w:rsidRDefault="00084016" w:rsidP="00084016">
      <w:pPr>
        <w:ind w:left="426"/>
        <w:rPr>
          <w:b/>
          <w:bCs/>
        </w:rPr>
      </w:pPr>
      <w:r>
        <w:rPr>
          <w:b/>
          <w:bCs/>
        </w:rPr>
        <w:t>Index – New entry</w:t>
      </w:r>
    </w:p>
    <w:p w14:paraId="5E1B43C0" w14:textId="77777777" w:rsidR="00084016" w:rsidRPr="00C93568" w:rsidRDefault="00084016" w:rsidP="00084016">
      <w:pPr>
        <w:ind w:left="709"/>
        <w:rPr>
          <w:b/>
          <w:bCs/>
          <w:color w:val="00B050"/>
          <w:u w:val="single"/>
        </w:rPr>
      </w:pPr>
      <w:r w:rsidRPr="00C93568">
        <w:rPr>
          <w:b/>
          <w:bCs/>
          <w:color w:val="00B050"/>
          <w:u w:val="single"/>
        </w:rPr>
        <w:t>EPYRIFENACIL</w:t>
      </w:r>
    </w:p>
    <w:p w14:paraId="57030E1E" w14:textId="77777777" w:rsidR="00084016" w:rsidRPr="00C93568" w:rsidRDefault="00084016" w:rsidP="00084016">
      <w:pPr>
        <w:ind w:left="709"/>
        <w:rPr>
          <w:color w:val="00B050"/>
          <w:u w:val="single"/>
        </w:rPr>
      </w:pPr>
      <w:r w:rsidRPr="00C93568">
        <w:rPr>
          <w:color w:val="00B050"/>
          <w:u w:val="single"/>
        </w:rPr>
        <w:t>Schedule 5</w:t>
      </w:r>
    </w:p>
    <w:p w14:paraId="2B4167EC" w14:textId="6FD8B680" w:rsidR="00084016" w:rsidRPr="00BB34CD" w:rsidRDefault="00084016" w:rsidP="008C116A">
      <w:pPr>
        <w:pStyle w:val="Heading4"/>
      </w:pPr>
      <w:r w:rsidRPr="00BB34CD">
        <w:t>Materials considered</w:t>
      </w:r>
    </w:p>
    <w:p w14:paraId="073C861B" w14:textId="77777777" w:rsidR="00084016" w:rsidRDefault="00084016" w:rsidP="00084016">
      <w:r>
        <w:t>In making this final decision, the Delegate considered the following material:</w:t>
      </w:r>
    </w:p>
    <w:p w14:paraId="37F16438" w14:textId="77777777" w:rsidR="00084016" w:rsidRDefault="00084016" w:rsidP="00084016">
      <w:pPr>
        <w:pStyle w:val="ListBullet"/>
        <w:ind w:left="720"/>
      </w:pPr>
      <w:r>
        <w:t xml:space="preserve">The </w:t>
      </w:r>
      <w:r w:rsidRPr="00C02858">
        <w:t>application</w:t>
      </w:r>
      <w:r>
        <w:t xml:space="preserve"> to amend the current Poisons Standard with respect to </w:t>
      </w:r>
      <w:proofErr w:type="spellStart"/>
      <w:r>
        <w:t>epyrifenacil</w:t>
      </w:r>
      <w:proofErr w:type="spellEnd"/>
      <w:r>
        <w:t xml:space="preserve"> (the </w:t>
      </w:r>
      <w:r w:rsidRPr="000A3085">
        <w:rPr>
          <w:b/>
          <w:bCs/>
        </w:rPr>
        <w:t>Application</w:t>
      </w:r>
      <w:r>
        <w:t>)</w:t>
      </w:r>
    </w:p>
    <w:p w14:paraId="6AB86E77" w14:textId="0A0842A6" w:rsidR="008C116A" w:rsidRDefault="00084016" w:rsidP="00084016">
      <w:pPr>
        <w:pStyle w:val="ListBullet"/>
        <w:ind w:left="720"/>
      </w:pPr>
      <w:r w:rsidRPr="001169AC">
        <w:t xml:space="preserve">Subsection 52E(1) of </w:t>
      </w:r>
      <w:r w:rsidRPr="00353B0F">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429E8AD7" w14:textId="021E97F6" w:rsidR="00084016" w:rsidRDefault="00084016" w:rsidP="00084016">
      <w:pPr>
        <w:pStyle w:val="ListBullet"/>
        <w:ind w:left="720"/>
      </w:pPr>
      <w:r>
        <w:t xml:space="preserve">Pursuant to paragraph 52E(2)(a) of the </w:t>
      </w:r>
      <w:r w:rsidRPr="002C15C0">
        <w:t>Act, the SPF, and</w:t>
      </w:r>
    </w:p>
    <w:p w14:paraId="5741336B" w14:textId="77777777" w:rsidR="00084016" w:rsidRDefault="00084016" w:rsidP="00084016">
      <w:pPr>
        <w:pStyle w:val="ListBullet"/>
        <w:ind w:left="720"/>
      </w:pPr>
      <w:r>
        <w:t>The Handbook.</w:t>
      </w:r>
      <w:r>
        <w:rPr>
          <w:highlight w:val="yellow"/>
        </w:rPr>
        <w:t xml:space="preserve"> </w:t>
      </w:r>
    </w:p>
    <w:p w14:paraId="7B5E7D7D" w14:textId="77777777" w:rsidR="00084016" w:rsidRPr="00300CBB" w:rsidRDefault="00084016" w:rsidP="008C116A">
      <w:pPr>
        <w:pStyle w:val="Heading4"/>
      </w:pPr>
      <w:r w:rsidRPr="00300CBB">
        <w:lastRenderedPageBreak/>
        <w:t>Reasons for the final decision (including findings on material questions of fact)</w:t>
      </w:r>
    </w:p>
    <w:p w14:paraId="73011AA5" w14:textId="327DC371" w:rsidR="00084016" w:rsidRPr="00353B0F" w:rsidRDefault="00084016" w:rsidP="00084016">
      <w:r w:rsidRPr="00353B0F">
        <w:t xml:space="preserve">In determining that this matter will be a delegate-only decision I have </w:t>
      </w:r>
      <w:proofErr w:type="gramStart"/>
      <w:r w:rsidRPr="00353B0F">
        <w:t>taken into account</w:t>
      </w:r>
      <w:proofErr w:type="gramEnd"/>
      <w:r w:rsidRPr="00353B0F">
        <w:t xml:space="preserve"> the information provided </w:t>
      </w:r>
      <w:r w:rsidR="00E82526">
        <w:t>by</w:t>
      </w:r>
      <w:r w:rsidRPr="00353B0F">
        <w:t xml:space="preserve"> the Australian Pesticides and Veterinary Medicine Authority (APVMA), and the matters outlined under s 52E of the Act and the SPF.</w:t>
      </w:r>
      <w:r w:rsidR="00E82526" w:rsidRPr="008B2FC4">
        <w:t xml:space="preserve"> </w:t>
      </w:r>
      <w:r w:rsidR="00E82526">
        <w:t>My reasons for making the final decision are as follows.</w:t>
      </w:r>
    </w:p>
    <w:p w14:paraId="12625D58" w14:textId="052E2E76" w:rsidR="008C116A" w:rsidRDefault="008C116A" w:rsidP="00E82526">
      <w:pPr>
        <w:pStyle w:val="ListBullet"/>
        <w:numPr>
          <w:ilvl w:val="0"/>
          <w:numId w:val="0"/>
        </w:numPr>
      </w:pPr>
      <w:r>
        <w:t xml:space="preserve">The Application proposed to amend the current Poisons Standard to create </w:t>
      </w:r>
      <w:r w:rsidRPr="00353B0F">
        <w:t xml:space="preserve">an entry for </w:t>
      </w:r>
      <w:proofErr w:type="spellStart"/>
      <w:r w:rsidRPr="00353B0F">
        <w:t>epyrifenacil</w:t>
      </w:r>
      <w:proofErr w:type="spellEnd"/>
      <w:r w:rsidRPr="00353B0F">
        <w:t xml:space="preserve"> </w:t>
      </w:r>
      <w:r>
        <w:t>as a Caution (</w:t>
      </w:r>
      <w:r w:rsidRPr="00353B0F">
        <w:t>Schedule 5</w:t>
      </w:r>
      <w:r>
        <w:t xml:space="preserve">) substance. </w:t>
      </w:r>
      <w:proofErr w:type="spellStart"/>
      <w:r w:rsidRPr="00353B0F">
        <w:t>Epyrifenacil</w:t>
      </w:r>
      <w:proofErr w:type="spellEnd"/>
      <w:r w:rsidRPr="00353B0F">
        <w:t xml:space="preserve"> is a phenyl-uracil herbicide which interferes with chlorophyll synthesis in plants by inhibiting protoporphyrinogen oxidase</w:t>
      </w:r>
      <w:r>
        <w:t>.</w:t>
      </w:r>
    </w:p>
    <w:p w14:paraId="0C681E10" w14:textId="50C6E4A8" w:rsidR="00084016" w:rsidRPr="00353B0F" w:rsidRDefault="00084016" w:rsidP="00E82526">
      <w:pPr>
        <w:pStyle w:val="ListBullet"/>
        <w:numPr>
          <w:ilvl w:val="0"/>
          <w:numId w:val="0"/>
        </w:numPr>
      </w:pPr>
      <w:r w:rsidRPr="00353B0F">
        <w:t>In relation to s 52E(1)(a) of the Act, the propo</w:t>
      </w:r>
      <w:r w:rsidR="008C116A">
        <w:t>sal</w:t>
      </w:r>
      <w:r w:rsidRPr="00353B0F">
        <w:t xml:space="preserve"> to </w:t>
      </w:r>
      <w:r w:rsidR="008C116A">
        <w:t>create</w:t>
      </w:r>
      <w:r w:rsidRPr="00353B0F">
        <w:t xml:space="preserve"> </w:t>
      </w:r>
      <w:r w:rsidR="008C116A">
        <w:t xml:space="preserve">a Caution (Scheduled 5) entry is </w:t>
      </w:r>
      <w:r w:rsidRPr="00353B0F">
        <w:t xml:space="preserve">based upon its benefits as herbicide. </w:t>
      </w:r>
      <w:proofErr w:type="spellStart"/>
      <w:r w:rsidRPr="00353B0F">
        <w:t>Epyrifenacil</w:t>
      </w:r>
      <w:proofErr w:type="spellEnd"/>
      <w:r w:rsidRPr="00353B0F">
        <w:t xml:space="preserve"> is likely to provide an additional </w:t>
      </w:r>
      <w:r w:rsidR="00894493">
        <w:t>option</w:t>
      </w:r>
      <w:r w:rsidRPr="00353B0F">
        <w:t xml:space="preserve"> to other approved agricultural herbicides.</w:t>
      </w:r>
    </w:p>
    <w:p w14:paraId="1155F181" w14:textId="78447DE5" w:rsidR="00084016" w:rsidRPr="00353B0F" w:rsidRDefault="00084016" w:rsidP="00E82526">
      <w:pPr>
        <w:pStyle w:val="ListBullet"/>
        <w:numPr>
          <w:ilvl w:val="0"/>
          <w:numId w:val="0"/>
        </w:numPr>
      </w:pPr>
      <w:r w:rsidRPr="00353B0F">
        <w:t xml:space="preserve">Regarding s 52E(1)(b) of the Act, the intended use of the substance is the control of broadleaf weeds in a range of broadacre crops and non-crop situations. </w:t>
      </w:r>
      <w:r w:rsidR="008C116A">
        <w:t>H</w:t>
      </w:r>
      <w:r w:rsidRPr="00353B0F">
        <w:t>owever</w:t>
      </w:r>
      <w:r w:rsidR="008C116A">
        <w:t>,</w:t>
      </w:r>
      <w:r w:rsidRPr="00353B0F">
        <w:t xml:space="preserve"> no estimates of the quantities of </w:t>
      </w:r>
      <w:proofErr w:type="spellStart"/>
      <w:r w:rsidRPr="00353B0F">
        <w:t>epyrifenacil</w:t>
      </w:r>
      <w:proofErr w:type="spellEnd"/>
      <w:r w:rsidRPr="00353B0F">
        <w:t xml:space="preserve"> to be used in Australia were included in the application.</w:t>
      </w:r>
    </w:p>
    <w:p w14:paraId="291EA35A" w14:textId="769EA376" w:rsidR="00084016" w:rsidRPr="00353B0F" w:rsidRDefault="00084016" w:rsidP="00E82526">
      <w:pPr>
        <w:pStyle w:val="ListBullet"/>
        <w:numPr>
          <w:ilvl w:val="0"/>
          <w:numId w:val="0"/>
        </w:numPr>
      </w:pPr>
      <w:r w:rsidRPr="00353B0F">
        <w:t xml:space="preserve">In relation to s 52E(1)(c) of the Act, the APVMA provided a Human Health Risk Assessment (HHRA) for both the active ingredient and the intended product formulation containing </w:t>
      </w:r>
      <w:proofErr w:type="spellStart"/>
      <w:r w:rsidRPr="00353B0F">
        <w:t>epyrifenacil</w:t>
      </w:r>
      <w:proofErr w:type="spellEnd"/>
      <w:r w:rsidRPr="00353B0F">
        <w:t xml:space="preserve"> at 55 g/L. The HHRA concluded that the risks to human health and safety posed by </w:t>
      </w:r>
      <w:proofErr w:type="spellStart"/>
      <w:r w:rsidRPr="00353B0F">
        <w:t>epyrifenacil</w:t>
      </w:r>
      <w:proofErr w:type="spellEnd"/>
      <w:r w:rsidRPr="00353B0F">
        <w:t xml:space="preserve"> were acceptable according to the criteria stipulated in Section 5A of the </w:t>
      </w:r>
      <w:r w:rsidRPr="008C116A">
        <w:rPr>
          <w:i/>
          <w:iCs/>
        </w:rPr>
        <w:t>Agricultural and Veterinary Chemicals Code Act</w:t>
      </w:r>
      <w:r w:rsidR="008C116A">
        <w:t>,</w:t>
      </w:r>
      <w:r w:rsidRPr="00353B0F">
        <w:t xml:space="preserve"> 1994.</w:t>
      </w:r>
    </w:p>
    <w:p w14:paraId="176D8419" w14:textId="265E7035" w:rsidR="00084016" w:rsidRPr="00E82526" w:rsidRDefault="008C116A" w:rsidP="00E82526">
      <w:pPr>
        <w:pStyle w:val="ListBullet"/>
        <w:numPr>
          <w:ilvl w:val="0"/>
          <w:numId w:val="0"/>
        </w:numPr>
        <w:rPr>
          <w:color w:val="FF0000"/>
        </w:rPr>
      </w:pPr>
      <w:r>
        <w:t>T</w:t>
      </w:r>
      <w:r w:rsidR="00084016" w:rsidRPr="00353B0F">
        <w:t>he HHRA</w:t>
      </w:r>
      <w:r>
        <w:t xml:space="preserve"> provides that</w:t>
      </w:r>
      <w:r w:rsidR="00084016" w:rsidRPr="00353B0F">
        <w:t xml:space="preserve"> the acute oral, dermal and inhalational toxicity levels for </w:t>
      </w:r>
      <w:proofErr w:type="spellStart"/>
      <w:r w:rsidR="00084016" w:rsidRPr="00353B0F">
        <w:t>epyrifenacil</w:t>
      </w:r>
      <w:proofErr w:type="spellEnd"/>
      <w:r w:rsidR="00084016" w:rsidRPr="00353B0F">
        <w:t xml:space="preserve"> in rats (LD</w:t>
      </w:r>
      <w:r w:rsidR="00084016" w:rsidRPr="00C12DE0">
        <w:rPr>
          <w:vertAlign w:val="subscript"/>
        </w:rPr>
        <w:t>50</w:t>
      </w:r>
      <w:r w:rsidR="00084016" w:rsidRPr="00353B0F">
        <w:t xml:space="preserve"> &gt;2,000 mg/kg </w:t>
      </w:r>
      <w:proofErr w:type="spellStart"/>
      <w:r w:rsidR="00084016" w:rsidRPr="00353B0F">
        <w:t>bw</w:t>
      </w:r>
      <w:proofErr w:type="spellEnd"/>
      <w:r w:rsidR="00084016" w:rsidRPr="00353B0F">
        <w:t xml:space="preserve"> for oral and dermal routes, LD</w:t>
      </w:r>
      <w:r w:rsidR="00084016" w:rsidRPr="00C12DE0">
        <w:rPr>
          <w:vertAlign w:val="subscript"/>
        </w:rPr>
        <w:t>50</w:t>
      </w:r>
      <w:r w:rsidR="00E82526">
        <w:rPr>
          <w:vertAlign w:val="subscript"/>
        </w:rPr>
        <w:t xml:space="preserve"> </w:t>
      </w:r>
      <w:r w:rsidR="00084016" w:rsidRPr="00353B0F">
        <w:t>&gt;2,000 mg/m</w:t>
      </w:r>
      <w:r w:rsidR="00084016" w:rsidRPr="00E82526">
        <w:rPr>
          <w:vertAlign w:val="superscript"/>
        </w:rPr>
        <w:t>3</w:t>
      </w:r>
      <w:r w:rsidR="00084016" w:rsidRPr="00353B0F">
        <w:t xml:space="preserve"> for inhalation) are low. </w:t>
      </w:r>
      <w:proofErr w:type="spellStart"/>
      <w:r w:rsidR="00084016" w:rsidRPr="00353B0F">
        <w:t>Epyrifenacil</w:t>
      </w:r>
      <w:proofErr w:type="spellEnd"/>
      <w:r w:rsidR="00084016" w:rsidRPr="00353B0F">
        <w:t xml:space="preserve">, as an active ingredient is only a slight eye and skin irritant in rabbits and not a skin sensitiser in Guinea pigs. These findings are consistent with a </w:t>
      </w:r>
      <w:r>
        <w:t>Caution (</w:t>
      </w:r>
      <w:r w:rsidR="00084016" w:rsidRPr="00353B0F">
        <w:t>Schedule 5</w:t>
      </w:r>
      <w:r w:rsidR="00C12DE0">
        <w:t>)</w:t>
      </w:r>
      <w:r w:rsidR="00084016" w:rsidRPr="00353B0F">
        <w:t xml:space="preserve"> classification for </w:t>
      </w:r>
      <w:proofErr w:type="spellStart"/>
      <w:r w:rsidR="00084016" w:rsidRPr="00353B0F">
        <w:t>epyrifenacil</w:t>
      </w:r>
      <w:proofErr w:type="spellEnd"/>
      <w:r w:rsidR="00084016" w:rsidRPr="00353B0F">
        <w:t xml:space="preserve">. However, the product formulation is </w:t>
      </w:r>
      <w:r w:rsidR="00E82526">
        <w:t xml:space="preserve">also </w:t>
      </w:r>
      <w:r w:rsidR="00084016" w:rsidRPr="00353B0F">
        <w:t xml:space="preserve">a severe skin and eye irritant in rabbits and a skin sensitiser in Guinea pigs which align with </w:t>
      </w:r>
      <w:r w:rsidR="00C12DE0">
        <w:t>Poisons (</w:t>
      </w:r>
      <w:r w:rsidR="00084016" w:rsidRPr="00353B0F">
        <w:t>Schedule</w:t>
      </w:r>
      <w:r w:rsidR="00C12DE0">
        <w:t> </w:t>
      </w:r>
      <w:r w:rsidR="00084016" w:rsidRPr="00353B0F">
        <w:t>6</w:t>
      </w:r>
      <w:r w:rsidR="00C12DE0">
        <w:t>)</w:t>
      </w:r>
      <w:r w:rsidR="00084016" w:rsidRPr="00353B0F">
        <w:t xml:space="preserve"> </w:t>
      </w:r>
      <w:r w:rsidR="00C12DE0">
        <w:t>scheduling</w:t>
      </w:r>
      <w:r w:rsidR="00084016" w:rsidRPr="00353B0F">
        <w:t xml:space="preserve"> factors.</w:t>
      </w:r>
      <w:r w:rsidR="00E82526">
        <w:t xml:space="preserve"> Overall, I have decided that </w:t>
      </w:r>
      <w:proofErr w:type="spellStart"/>
      <w:r w:rsidR="00E82526" w:rsidRPr="00E82526">
        <w:rPr>
          <w:color w:val="auto"/>
        </w:rPr>
        <w:t>epyrifenacil</w:t>
      </w:r>
      <w:proofErr w:type="spellEnd"/>
      <w:r w:rsidR="00E82526" w:rsidRPr="00E82526">
        <w:rPr>
          <w:color w:val="auto"/>
        </w:rPr>
        <w:t xml:space="preserve"> aligns better with the Schedule 5 factors</w:t>
      </w:r>
      <w:r w:rsidR="00B42B6F">
        <w:rPr>
          <w:color w:val="auto"/>
        </w:rPr>
        <w:t>, and consistent with the</w:t>
      </w:r>
      <w:r w:rsidR="002D10B2">
        <w:rPr>
          <w:color w:val="auto"/>
        </w:rPr>
        <w:t xml:space="preserve"> HHRA, the </w:t>
      </w:r>
      <w:r w:rsidR="00084016" w:rsidRPr="00E82526">
        <w:rPr>
          <w:color w:val="auto"/>
        </w:rPr>
        <w:t xml:space="preserve">toxicity of the product formulation precludes any </w:t>
      </w:r>
      <w:r w:rsidR="00E82526" w:rsidRPr="00E82526">
        <w:rPr>
          <w:color w:val="auto"/>
        </w:rPr>
        <w:t xml:space="preserve">lower </w:t>
      </w:r>
      <w:r w:rsidR="00084016" w:rsidRPr="00E82526">
        <w:rPr>
          <w:color w:val="auto"/>
        </w:rPr>
        <w:t xml:space="preserve">concentration cut-off </w:t>
      </w:r>
      <w:r w:rsidR="00E82526" w:rsidRPr="00E82526">
        <w:rPr>
          <w:color w:val="auto"/>
        </w:rPr>
        <w:t xml:space="preserve">to exempt </w:t>
      </w:r>
      <w:r w:rsidR="00084016" w:rsidRPr="00E82526">
        <w:rPr>
          <w:color w:val="auto"/>
        </w:rPr>
        <w:t xml:space="preserve">scheduling of </w:t>
      </w:r>
      <w:proofErr w:type="spellStart"/>
      <w:r w:rsidR="00084016" w:rsidRPr="00E82526">
        <w:rPr>
          <w:color w:val="auto"/>
        </w:rPr>
        <w:t>epyrifenacil</w:t>
      </w:r>
      <w:proofErr w:type="spellEnd"/>
      <w:r w:rsidR="00084016" w:rsidRPr="00E82526">
        <w:rPr>
          <w:color w:val="auto"/>
        </w:rPr>
        <w:t>.</w:t>
      </w:r>
    </w:p>
    <w:p w14:paraId="5F7162BC" w14:textId="77777777" w:rsidR="00084016" w:rsidRPr="00353B0F" w:rsidRDefault="00084016" w:rsidP="00E82526">
      <w:pPr>
        <w:pStyle w:val="ListBullet"/>
        <w:numPr>
          <w:ilvl w:val="0"/>
          <w:numId w:val="0"/>
        </w:numPr>
      </w:pPr>
      <w:proofErr w:type="spellStart"/>
      <w:r w:rsidRPr="00353B0F">
        <w:t>Epyrifenacil</w:t>
      </w:r>
      <w:proofErr w:type="spellEnd"/>
      <w:r w:rsidRPr="00353B0F">
        <w:t xml:space="preserve"> is not considered to be a reproductive toxicant based on the no observed adverse effect level (NOAEL) of 100 ppm (6.6 mg/kg </w:t>
      </w:r>
      <w:proofErr w:type="spellStart"/>
      <w:r w:rsidRPr="00353B0F">
        <w:t>bw</w:t>
      </w:r>
      <w:proofErr w:type="spellEnd"/>
      <w:r w:rsidRPr="00353B0F">
        <w:t>/d) established for maternal and offspring (pup) effects in rats. However, delayed vaginal patency was observed at high doses (300 ppm) at which maternal mortality and moribundity were also observed.</w:t>
      </w:r>
    </w:p>
    <w:p w14:paraId="1BE5B438" w14:textId="77777777" w:rsidR="00084016" w:rsidRPr="00353B0F" w:rsidRDefault="00084016" w:rsidP="00E82526">
      <w:pPr>
        <w:pStyle w:val="ListBullet"/>
        <w:numPr>
          <w:ilvl w:val="0"/>
          <w:numId w:val="0"/>
        </w:numPr>
      </w:pPr>
      <w:proofErr w:type="spellStart"/>
      <w:r w:rsidRPr="00353B0F">
        <w:t>Epyrifenacil</w:t>
      </w:r>
      <w:proofErr w:type="spellEnd"/>
      <w:r w:rsidRPr="00353B0F">
        <w:t xml:space="preserve"> is not considered to be a developmental toxicant in either rats or rabbits and has maternal NOAELs of 20 mg/kg </w:t>
      </w:r>
      <w:proofErr w:type="spellStart"/>
      <w:r w:rsidRPr="00353B0F">
        <w:t>bw</w:t>
      </w:r>
      <w:proofErr w:type="spellEnd"/>
      <w:r w:rsidRPr="00353B0F">
        <w:t xml:space="preserve">/d and 250 mg/kg </w:t>
      </w:r>
      <w:proofErr w:type="spellStart"/>
      <w:r w:rsidRPr="00353B0F">
        <w:t>bw</w:t>
      </w:r>
      <w:proofErr w:type="spellEnd"/>
      <w:r w:rsidRPr="00353B0F">
        <w:t xml:space="preserve">/d, respectively. An increased incidence of supernumerary cervical ribs was observed in rat foetuses only at doses sufficiently high (60 mg/kg </w:t>
      </w:r>
      <w:proofErr w:type="spellStart"/>
      <w:r w:rsidRPr="00353B0F">
        <w:t>bw</w:t>
      </w:r>
      <w:proofErr w:type="spellEnd"/>
      <w:r w:rsidRPr="00353B0F">
        <w:t xml:space="preserve">/d) to cause adverse haematology and hepatic effects in dams. No foetal effects were seen in rabbits with doses up to 750 mg/kg </w:t>
      </w:r>
      <w:proofErr w:type="spellStart"/>
      <w:r w:rsidRPr="00353B0F">
        <w:t>bw</w:t>
      </w:r>
      <w:proofErr w:type="spellEnd"/>
      <w:r w:rsidRPr="00353B0F">
        <w:t>/d.</w:t>
      </w:r>
    </w:p>
    <w:p w14:paraId="563F8DBA" w14:textId="77777777" w:rsidR="00084016" w:rsidRPr="00353B0F" w:rsidRDefault="00084016" w:rsidP="00E82526">
      <w:pPr>
        <w:pStyle w:val="ListBullet"/>
        <w:numPr>
          <w:ilvl w:val="0"/>
          <w:numId w:val="0"/>
        </w:numPr>
        <w:ind w:left="360" w:hanging="360"/>
      </w:pPr>
      <w:proofErr w:type="spellStart"/>
      <w:r w:rsidRPr="00353B0F">
        <w:t>Epyrifenacil</w:t>
      </w:r>
      <w:proofErr w:type="spellEnd"/>
      <w:r w:rsidRPr="00353B0F">
        <w:t xml:space="preserve"> is unlikely to be genotoxic as demonstrated by </w:t>
      </w:r>
      <w:r w:rsidRPr="00C12DE0">
        <w:rPr>
          <w:i/>
          <w:iCs/>
        </w:rPr>
        <w:t>in vitro</w:t>
      </w:r>
      <w:r w:rsidRPr="00353B0F">
        <w:t xml:space="preserve"> and </w:t>
      </w:r>
      <w:r w:rsidRPr="00C12DE0">
        <w:rPr>
          <w:i/>
          <w:iCs/>
        </w:rPr>
        <w:t>in vivo</w:t>
      </w:r>
      <w:r w:rsidRPr="00353B0F">
        <w:t xml:space="preserve"> testing.</w:t>
      </w:r>
    </w:p>
    <w:p w14:paraId="5F2CFA0D" w14:textId="2329C95E" w:rsidR="00084016" w:rsidRPr="00353B0F" w:rsidRDefault="00084016" w:rsidP="00E82526">
      <w:pPr>
        <w:pStyle w:val="ListBullet"/>
        <w:numPr>
          <w:ilvl w:val="0"/>
          <w:numId w:val="0"/>
        </w:numPr>
      </w:pPr>
      <w:r w:rsidRPr="00353B0F">
        <w:t xml:space="preserve">There was no evidence of carcinogenicity in a 2-year rat study. However, </w:t>
      </w:r>
      <w:proofErr w:type="spellStart"/>
      <w:r w:rsidRPr="00353B0F">
        <w:t>epyrifenacil</w:t>
      </w:r>
      <w:proofErr w:type="spellEnd"/>
      <w:r w:rsidRPr="00353B0F">
        <w:t xml:space="preserve"> induced liver tumours in carcinogenicity testing on male mice at 40 ppm </w:t>
      </w:r>
      <w:r w:rsidR="00C12DE0">
        <w:t>–</w:t>
      </w:r>
      <w:r w:rsidRPr="00353B0F">
        <w:t xml:space="preserve"> a</w:t>
      </w:r>
      <w:r w:rsidR="00C12DE0">
        <w:t xml:space="preserve"> </w:t>
      </w:r>
      <w:r w:rsidRPr="00353B0F">
        <w:t xml:space="preserve">dose higher than </w:t>
      </w:r>
      <w:r w:rsidR="00E82526">
        <w:t xml:space="preserve">the </w:t>
      </w:r>
      <w:r w:rsidRPr="00353B0F">
        <w:t>NOAEL (15</w:t>
      </w:r>
      <w:r w:rsidR="00E82526">
        <w:t> </w:t>
      </w:r>
      <w:r w:rsidRPr="00353B0F">
        <w:t xml:space="preserve">ppm). </w:t>
      </w:r>
      <w:r w:rsidR="009F3B53">
        <w:t>S</w:t>
      </w:r>
      <w:r w:rsidRPr="00353B0F">
        <w:t xml:space="preserve">everal high-quality mode-of-action studies showed that humans are substantially less susceptible to the hepatocarcinogenic effects of </w:t>
      </w:r>
      <w:proofErr w:type="spellStart"/>
      <w:r w:rsidRPr="00353B0F">
        <w:t>epyrifenacil</w:t>
      </w:r>
      <w:proofErr w:type="spellEnd"/>
      <w:r w:rsidRPr="00353B0F">
        <w:t>.</w:t>
      </w:r>
      <w:r w:rsidR="00DA5F8B">
        <w:t xml:space="preserve"> Therefore,</w:t>
      </w:r>
      <w:r w:rsidRPr="00353B0F">
        <w:t xml:space="preserve"> I am satisfied that the</w:t>
      </w:r>
      <w:r w:rsidR="00DA5F8B">
        <w:t xml:space="preserve"> human relevance of the</w:t>
      </w:r>
      <w:r w:rsidRPr="00353B0F">
        <w:t xml:space="preserve"> </w:t>
      </w:r>
      <w:r w:rsidR="00DA5F8B">
        <w:t xml:space="preserve">nonclinical </w:t>
      </w:r>
      <w:r w:rsidRPr="00353B0F">
        <w:t xml:space="preserve">carcinogenic effects of </w:t>
      </w:r>
      <w:proofErr w:type="spellStart"/>
      <w:r w:rsidRPr="00353B0F">
        <w:t>epyrifenacil</w:t>
      </w:r>
      <w:proofErr w:type="spellEnd"/>
      <w:r w:rsidRPr="00353B0F">
        <w:t xml:space="preserve"> are consistent with a </w:t>
      </w:r>
      <w:r w:rsidR="00C12DE0">
        <w:t>Caution (</w:t>
      </w:r>
      <w:r w:rsidRPr="00353B0F">
        <w:t>Schedule</w:t>
      </w:r>
      <w:r w:rsidR="00C12DE0">
        <w:t> </w:t>
      </w:r>
      <w:r w:rsidRPr="00353B0F">
        <w:t>5</w:t>
      </w:r>
      <w:r w:rsidR="00C12DE0">
        <w:t>)</w:t>
      </w:r>
      <w:r w:rsidRPr="00353B0F">
        <w:t xml:space="preserve"> classification.</w:t>
      </w:r>
    </w:p>
    <w:p w14:paraId="5B81AAA0" w14:textId="77777777" w:rsidR="00084016" w:rsidRPr="00353B0F" w:rsidRDefault="00084016" w:rsidP="00E82526">
      <w:pPr>
        <w:pStyle w:val="ListBullet"/>
        <w:numPr>
          <w:ilvl w:val="0"/>
          <w:numId w:val="0"/>
        </w:numPr>
      </w:pPr>
      <w:r w:rsidRPr="00353B0F">
        <w:t xml:space="preserve">I have also considered the results of </w:t>
      </w:r>
      <w:r w:rsidRPr="00152321">
        <w:rPr>
          <w:i/>
          <w:iCs/>
        </w:rPr>
        <w:t>in vitro</w:t>
      </w:r>
      <w:r w:rsidRPr="00353B0F">
        <w:t xml:space="preserve"> studies on the effects of </w:t>
      </w:r>
      <w:proofErr w:type="spellStart"/>
      <w:r w:rsidRPr="00353B0F">
        <w:t>epyrifenacil</w:t>
      </w:r>
      <w:proofErr w:type="spellEnd"/>
      <w:r w:rsidRPr="00353B0F">
        <w:t xml:space="preserve"> on the endocrine system. </w:t>
      </w:r>
      <w:proofErr w:type="spellStart"/>
      <w:r w:rsidRPr="00353B0F">
        <w:t>Epyrifenacil</w:t>
      </w:r>
      <w:proofErr w:type="spellEnd"/>
      <w:r w:rsidRPr="00353B0F">
        <w:t xml:space="preserve"> did not have any effect on androgen or estrogen receptors as studied by </w:t>
      </w:r>
      <w:r w:rsidRPr="00353B0F">
        <w:lastRenderedPageBreak/>
        <w:t>Androgen Receptor Transcriptional Activation Assays and Estrogen Receptor Transcriptional Activation Assays.</w:t>
      </w:r>
    </w:p>
    <w:p w14:paraId="187B972A" w14:textId="77777777" w:rsidR="00084016" w:rsidRPr="00353B0F" w:rsidRDefault="00084016" w:rsidP="00E82526">
      <w:pPr>
        <w:pStyle w:val="ListBullet"/>
        <w:numPr>
          <w:ilvl w:val="0"/>
          <w:numId w:val="0"/>
        </w:numPr>
      </w:pPr>
      <w:r w:rsidRPr="00353B0F">
        <w:t xml:space="preserve">The intended product formulation will contain 55 g/L of </w:t>
      </w:r>
      <w:proofErr w:type="spellStart"/>
      <w:r w:rsidRPr="00353B0F">
        <w:t>epyrifenacil</w:t>
      </w:r>
      <w:proofErr w:type="spellEnd"/>
      <w:r w:rsidRPr="00353B0F">
        <w:t xml:space="preserve"> as the active constituent in an emulsifiable concentrate (EC). I consider the risk of adverse health effects in humans through accidental exposure to </w:t>
      </w:r>
      <w:proofErr w:type="spellStart"/>
      <w:r w:rsidRPr="00353B0F">
        <w:t>epyrifenacil</w:t>
      </w:r>
      <w:proofErr w:type="spellEnd"/>
      <w:r w:rsidRPr="00353B0F">
        <w:t xml:space="preserve"> can be adequately mitigated through appropriate packaging and labelling. I am satisfied that, for the purposes of s 52E(1)(d) of the Act, the APVMA, as the regulator of all veterinary products, will consider the dosage, formulation, labelling, packaging and presentation of </w:t>
      </w:r>
      <w:proofErr w:type="spellStart"/>
      <w:r w:rsidRPr="00353B0F">
        <w:t>epyrifenacil</w:t>
      </w:r>
      <w:proofErr w:type="spellEnd"/>
      <w:r w:rsidRPr="00353B0F">
        <w:t>-containing products during the product registration process.</w:t>
      </w:r>
    </w:p>
    <w:p w14:paraId="5862F455" w14:textId="77777777" w:rsidR="00084016" w:rsidRPr="00353B0F" w:rsidRDefault="00084016" w:rsidP="00E82526">
      <w:pPr>
        <w:pStyle w:val="ListBullet"/>
        <w:numPr>
          <w:ilvl w:val="0"/>
          <w:numId w:val="0"/>
        </w:numPr>
      </w:pPr>
      <w:r w:rsidRPr="00353B0F">
        <w:t xml:space="preserve">In relation to s 52E(1)(e) of the Act, I am satisfied the potential for misuse or abuse of </w:t>
      </w:r>
      <w:proofErr w:type="spellStart"/>
      <w:r w:rsidRPr="00353B0F">
        <w:t>epyrifenacil</w:t>
      </w:r>
      <w:proofErr w:type="spellEnd"/>
      <w:r w:rsidRPr="00353B0F">
        <w:t xml:space="preserve"> is limited. In forming this view, I have considered the substance has no established therapeutic value in humans that would indicate that there is a risk of dependency, abuse, misuse, or diversion into illicit use.</w:t>
      </w:r>
    </w:p>
    <w:p w14:paraId="6744450E" w14:textId="65BD593D" w:rsidR="00084016" w:rsidRPr="00353B0F" w:rsidRDefault="00084016" w:rsidP="00E82526">
      <w:pPr>
        <w:pStyle w:val="ListBullet"/>
        <w:numPr>
          <w:ilvl w:val="0"/>
          <w:numId w:val="0"/>
        </w:numPr>
      </w:pPr>
      <w:r w:rsidRPr="00353B0F">
        <w:t>I note under paragraph 52E(1)(f) of the Act, that porphyria is a potential hazard for both humans and animals from excessive exposure to this class of chemicals. However, I agree with the applicant that this is a reversible effect, and the associated risk can be adequately mitigated through the appropriate use of personal protecti</w:t>
      </w:r>
      <w:r w:rsidR="00E82526">
        <w:t>ve</w:t>
      </w:r>
      <w:r w:rsidRPr="00353B0F">
        <w:t xml:space="preserve"> equipment.</w:t>
      </w:r>
    </w:p>
    <w:p w14:paraId="411A24AB" w14:textId="51170C13" w:rsidR="00084016" w:rsidRPr="00353B0F" w:rsidRDefault="00084016" w:rsidP="00E82526">
      <w:pPr>
        <w:pStyle w:val="ListBullet"/>
        <w:numPr>
          <w:ilvl w:val="0"/>
          <w:numId w:val="0"/>
        </w:numPr>
      </w:pPr>
      <w:r w:rsidRPr="00353B0F">
        <w:t xml:space="preserve">Other chemicals in this class include </w:t>
      </w:r>
      <w:proofErr w:type="spellStart"/>
      <w:r w:rsidRPr="00353B0F">
        <w:t>butafenacil</w:t>
      </w:r>
      <w:proofErr w:type="spellEnd"/>
      <w:r w:rsidRPr="00353B0F">
        <w:t xml:space="preserve"> and </w:t>
      </w:r>
      <w:proofErr w:type="spellStart"/>
      <w:r w:rsidRPr="00353B0F">
        <w:t>saflufenacil</w:t>
      </w:r>
      <w:proofErr w:type="spellEnd"/>
      <w:r w:rsidRPr="00353B0F">
        <w:t xml:space="preserve">, which have different toxicological profiles to </w:t>
      </w:r>
      <w:proofErr w:type="spellStart"/>
      <w:r w:rsidRPr="00353B0F">
        <w:t>epyrifenacil</w:t>
      </w:r>
      <w:proofErr w:type="spellEnd"/>
      <w:r w:rsidRPr="00353B0F">
        <w:t xml:space="preserve"> and are already included in the Poisons Standard in Appendix B and </w:t>
      </w:r>
      <w:r w:rsidR="00C12DE0">
        <w:t>Dangerous Poisons (</w:t>
      </w:r>
      <w:r w:rsidRPr="00353B0F">
        <w:t>Schedule 7</w:t>
      </w:r>
      <w:r w:rsidR="00C12DE0">
        <w:t>)</w:t>
      </w:r>
      <w:r w:rsidRPr="00353B0F">
        <w:t>, respectively.</w:t>
      </w:r>
    </w:p>
    <w:p w14:paraId="22FD9442" w14:textId="67DE3AF1" w:rsidR="00084016" w:rsidRPr="00300CBB" w:rsidRDefault="00084016" w:rsidP="00C12DE0">
      <w:pPr>
        <w:pStyle w:val="ListBullet2"/>
        <w:rPr>
          <w:rFonts w:asciiTheme="minorHAnsi" w:hAnsiTheme="minorHAnsi"/>
          <w:highlight w:val="yellow"/>
        </w:rPr>
      </w:pPr>
      <w:r w:rsidRPr="00353B0F">
        <w:t>Based on the above considerations and the information provided in the application, I have decided to amend the current Poisons Standard in the manner set out above. The proposed amendment was not referred to an expert advisory committee.</w:t>
      </w:r>
    </w:p>
    <w:p w14:paraId="752D5D2C" w14:textId="538825DD" w:rsidR="00084016" w:rsidRPr="00300CBB" w:rsidRDefault="00084016" w:rsidP="00C12DE0">
      <w:pPr>
        <w:pStyle w:val="Heading4"/>
      </w:pPr>
      <w:r w:rsidRPr="00300CBB">
        <w:t>Implementation date</w:t>
      </w:r>
    </w:p>
    <w:p w14:paraId="685C5FD6" w14:textId="77777777" w:rsidR="00084016" w:rsidRPr="00C12DE0" w:rsidRDefault="00084016" w:rsidP="00084016">
      <w:r w:rsidRPr="00C12DE0">
        <w:t>1 October 2024</w:t>
      </w:r>
    </w:p>
    <w:p w14:paraId="4A124DAE" w14:textId="77777777" w:rsidR="00E82526" w:rsidRDefault="00E82526">
      <w:pPr>
        <w:rPr>
          <w:rFonts w:eastAsia="Times New Roman" w:cs="Times New Roman"/>
          <w:b/>
          <w:bCs/>
          <w:color w:val="001871"/>
          <w:sz w:val="32"/>
          <w:szCs w:val="32"/>
        </w:rPr>
      </w:pPr>
      <w:bookmarkStart w:id="45" w:name="_Toc164149824"/>
      <w:r>
        <w:br w:type="page"/>
      </w:r>
    </w:p>
    <w:p w14:paraId="3AD58283" w14:textId="2C15595F" w:rsidR="00084016" w:rsidRDefault="00084016" w:rsidP="00084016">
      <w:pPr>
        <w:pStyle w:val="Heading3"/>
      </w:pPr>
      <w:bookmarkStart w:id="46" w:name="_Toc178340906"/>
      <w:r w:rsidRPr="00F15658">
        <w:lastRenderedPageBreak/>
        <w:t xml:space="preserve">Final decision in relation to </w:t>
      </w:r>
      <w:proofErr w:type="spellStart"/>
      <w:r w:rsidRPr="00F15658">
        <w:t>metarylpicoxamid</w:t>
      </w:r>
      <w:bookmarkEnd w:id="45"/>
      <w:bookmarkEnd w:id="46"/>
      <w:proofErr w:type="spellEnd"/>
    </w:p>
    <w:p w14:paraId="2BFCB967" w14:textId="292161DC" w:rsidR="00084016" w:rsidRPr="00BB34CD" w:rsidRDefault="00084016" w:rsidP="00706696">
      <w:pPr>
        <w:pStyle w:val="Heading4"/>
      </w:pPr>
      <w:r w:rsidRPr="00BB34CD">
        <w:t>Final Decision</w:t>
      </w:r>
    </w:p>
    <w:p w14:paraId="196167C8" w14:textId="77777777" w:rsidR="00084016" w:rsidRDefault="00084016" w:rsidP="00084016">
      <w:r w:rsidRPr="00C546F4">
        <w:t xml:space="preserve">Pursuant to regulation </w:t>
      </w:r>
      <w:r w:rsidRPr="005F3EA0">
        <w:t>42ZCZU</w:t>
      </w:r>
      <w:r w:rsidRPr="005F3EA0" w:rsidDel="005F3EA0">
        <w:t xml:space="preserve"> </w:t>
      </w:r>
      <w:r w:rsidRPr="00C546F4">
        <w:t xml:space="preserve">of the Regulations, a Delegate of the Secretary has made a final </w:t>
      </w:r>
      <w:r w:rsidRPr="00FE1EF7">
        <w:t xml:space="preserve">decision to amend the current Poisons Standard in relation to </w:t>
      </w:r>
      <w:proofErr w:type="spellStart"/>
      <w:r w:rsidRPr="00FE1EF7">
        <w:t>metarylpicoxamid</w:t>
      </w:r>
      <w:proofErr w:type="spellEnd"/>
      <w:r w:rsidRPr="00FE1EF7">
        <w:t xml:space="preserve"> as follows:</w:t>
      </w:r>
      <w:r w:rsidRPr="00554374">
        <w:rPr>
          <w:rStyle w:val="FootnoteReference"/>
        </w:rPr>
        <w:t xml:space="preserve"> </w:t>
      </w:r>
      <w:r>
        <w:rPr>
          <w:rStyle w:val="FootnoteReference"/>
        </w:rPr>
        <w:footnoteReference w:id="22"/>
      </w:r>
    </w:p>
    <w:p w14:paraId="48D72272" w14:textId="77777777" w:rsidR="00084016" w:rsidRDefault="00084016" w:rsidP="00084016">
      <w:pPr>
        <w:ind w:left="426"/>
        <w:rPr>
          <w:b/>
          <w:bCs/>
          <w:lang w:eastAsia="en-AU"/>
        </w:rPr>
      </w:pPr>
      <w:r w:rsidRPr="625F5560">
        <w:rPr>
          <w:b/>
          <w:bCs/>
        </w:rPr>
        <w:t xml:space="preserve">Schedule </w:t>
      </w:r>
      <w:r>
        <w:rPr>
          <w:b/>
          <w:bCs/>
        </w:rPr>
        <w:t>5 – New entry</w:t>
      </w:r>
    </w:p>
    <w:p w14:paraId="00515180" w14:textId="77777777" w:rsidR="00084016" w:rsidRDefault="00084016" w:rsidP="00084016">
      <w:pPr>
        <w:ind w:left="709"/>
        <w:rPr>
          <w:color w:val="00B050"/>
          <w:u w:val="single"/>
        </w:rPr>
      </w:pPr>
      <w:r>
        <w:rPr>
          <w:color w:val="00B050"/>
          <w:u w:val="single"/>
        </w:rPr>
        <w:t>METARYLPICOXAMID</w:t>
      </w:r>
      <w:r w:rsidRPr="001501F1">
        <w:rPr>
          <w:color w:val="00B050"/>
          <w:u w:val="single"/>
        </w:rPr>
        <w:t>.</w:t>
      </w:r>
    </w:p>
    <w:p w14:paraId="4AB0460F" w14:textId="77777777" w:rsidR="00084016" w:rsidRDefault="00084016" w:rsidP="00084016">
      <w:pPr>
        <w:ind w:left="426"/>
        <w:rPr>
          <w:b/>
          <w:bCs/>
        </w:rPr>
      </w:pPr>
      <w:r>
        <w:rPr>
          <w:b/>
          <w:bCs/>
        </w:rPr>
        <w:t>Index – New entry</w:t>
      </w:r>
    </w:p>
    <w:p w14:paraId="677C8DE2" w14:textId="77777777" w:rsidR="00084016" w:rsidRPr="00FE1EF7" w:rsidRDefault="00084016" w:rsidP="00084016">
      <w:pPr>
        <w:ind w:left="709"/>
        <w:rPr>
          <w:b/>
          <w:bCs/>
          <w:color w:val="00B050"/>
          <w:u w:val="single"/>
        </w:rPr>
      </w:pPr>
      <w:r w:rsidRPr="00FE1EF7">
        <w:rPr>
          <w:b/>
          <w:bCs/>
          <w:color w:val="00B050"/>
          <w:u w:val="single"/>
        </w:rPr>
        <w:t>METARYLPICOXAMID</w:t>
      </w:r>
    </w:p>
    <w:p w14:paraId="305BF690" w14:textId="77777777" w:rsidR="00084016" w:rsidRPr="00C93568" w:rsidRDefault="00084016" w:rsidP="00084016">
      <w:pPr>
        <w:ind w:left="709"/>
        <w:rPr>
          <w:color w:val="00B050"/>
          <w:u w:val="single"/>
        </w:rPr>
      </w:pPr>
      <w:r w:rsidRPr="00C93568">
        <w:rPr>
          <w:color w:val="00B050"/>
          <w:u w:val="single"/>
        </w:rPr>
        <w:t>Schedule 5</w:t>
      </w:r>
    </w:p>
    <w:p w14:paraId="530EB586" w14:textId="00B3EED8" w:rsidR="00084016" w:rsidRPr="00BB34CD" w:rsidRDefault="00084016" w:rsidP="00706696">
      <w:pPr>
        <w:pStyle w:val="Heading4"/>
      </w:pPr>
      <w:r w:rsidRPr="00BB34CD">
        <w:t>Materials considered</w:t>
      </w:r>
    </w:p>
    <w:p w14:paraId="7656ACE5" w14:textId="77777777" w:rsidR="00084016" w:rsidRDefault="00084016" w:rsidP="00084016">
      <w:r>
        <w:t>In making this final decision, the Delegate considered the following material:</w:t>
      </w:r>
    </w:p>
    <w:p w14:paraId="7633B783" w14:textId="77777777" w:rsidR="00084016" w:rsidRDefault="00084016" w:rsidP="00084016">
      <w:pPr>
        <w:pStyle w:val="ListBullet"/>
        <w:ind w:left="720"/>
      </w:pPr>
      <w:r>
        <w:t xml:space="preserve">The </w:t>
      </w:r>
      <w:r w:rsidRPr="00C02858">
        <w:t>application</w:t>
      </w:r>
      <w:r>
        <w:t xml:space="preserve"> to amend the current Poisons Standard with respect to </w:t>
      </w:r>
      <w:proofErr w:type="spellStart"/>
      <w:r>
        <w:t>metarylpicoxamid</w:t>
      </w:r>
      <w:proofErr w:type="spellEnd"/>
      <w:r>
        <w:t xml:space="preserve"> (the </w:t>
      </w:r>
      <w:r w:rsidRPr="000A3085">
        <w:rPr>
          <w:b/>
          <w:bCs/>
        </w:rPr>
        <w:t>Application</w:t>
      </w:r>
      <w:r>
        <w:t>)</w:t>
      </w:r>
    </w:p>
    <w:p w14:paraId="39141334" w14:textId="11DE979C" w:rsidR="00084016" w:rsidRDefault="00084016" w:rsidP="00084016">
      <w:pPr>
        <w:pStyle w:val="ListBullet"/>
        <w:ind w:left="720"/>
      </w:pPr>
      <w:r w:rsidRPr="001169AC">
        <w:t>Subsection 52</w:t>
      </w:r>
      <w:proofErr w:type="gramStart"/>
      <w:r w:rsidRPr="001169AC">
        <w:t>E(</w:t>
      </w:r>
      <w:proofErr w:type="gramEnd"/>
      <w:r w:rsidRPr="001169AC">
        <w:t xml:space="preserv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w:t>
      </w:r>
    </w:p>
    <w:p w14:paraId="52317A0C" w14:textId="77777777" w:rsidR="00084016" w:rsidRDefault="00084016" w:rsidP="00084016">
      <w:pPr>
        <w:pStyle w:val="ListBullet"/>
        <w:ind w:left="720"/>
      </w:pPr>
      <w:r>
        <w:t xml:space="preserve">Pursuant to paragraph 52E(2)(a) of the Act, </w:t>
      </w:r>
      <w:r w:rsidRPr="008C4FB7">
        <w:t>the SPF, and</w:t>
      </w:r>
    </w:p>
    <w:p w14:paraId="4F23F520" w14:textId="77777777" w:rsidR="00084016" w:rsidRDefault="00084016" w:rsidP="00084016">
      <w:pPr>
        <w:pStyle w:val="ListBullet"/>
        <w:ind w:left="720"/>
      </w:pPr>
      <w:r>
        <w:t>The Handbook.</w:t>
      </w:r>
    </w:p>
    <w:p w14:paraId="317FB381" w14:textId="77777777" w:rsidR="00084016" w:rsidRPr="00300CBB" w:rsidRDefault="00084016" w:rsidP="00706696">
      <w:pPr>
        <w:pStyle w:val="Heading4"/>
      </w:pPr>
      <w:r w:rsidRPr="00300CBB">
        <w:t>Reasons for the final decision (including findings on material questions of fact)</w:t>
      </w:r>
    </w:p>
    <w:p w14:paraId="0B161E67" w14:textId="6B660B12" w:rsidR="00084016" w:rsidRDefault="00084016" w:rsidP="00084016">
      <w:r w:rsidRPr="008B2FC4">
        <w:t xml:space="preserve">In determining that this matter will be a delegate-only decision I have </w:t>
      </w:r>
      <w:proofErr w:type="gramStart"/>
      <w:r w:rsidRPr="008B2FC4">
        <w:t>taken into account</w:t>
      </w:r>
      <w:proofErr w:type="gramEnd"/>
      <w:r w:rsidRPr="008B2FC4">
        <w:t xml:space="preserve"> the information provided </w:t>
      </w:r>
      <w:r w:rsidR="00E82526">
        <w:t>by</w:t>
      </w:r>
      <w:r w:rsidRPr="008B2FC4">
        <w:t xml:space="preserve"> the Australian Pesticides and Veterinary Medicine Authority (APVMA), and the matters outlined under s 52E of the Act and the SPF.</w:t>
      </w:r>
      <w:r w:rsidR="00E82526">
        <w:t xml:space="preserve"> My reasons for making the final decision </w:t>
      </w:r>
      <w:r w:rsidR="00894493">
        <w:t>follow</w:t>
      </w:r>
      <w:r w:rsidR="00E82526">
        <w:t>.</w:t>
      </w:r>
    </w:p>
    <w:p w14:paraId="6A991448" w14:textId="236AE58F" w:rsidR="00084016" w:rsidRDefault="00084016" w:rsidP="00E82526">
      <w:pPr>
        <w:pStyle w:val="ListBullet"/>
        <w:numPr>
          <w:ilvl w:val="0"/>
          <w:numId w:val="0"/>
        </w:numPr>
      </w:pPr>
      <w:r w:rsidRPr="007022A1">
        <w:t xml:space="preserve">The Application proposes that </w:t>
      </w:r>
      <w:r>
        <w:t>a</w:t>
      </w:r>
      <w:r w:rsidR="004544B1">
        <w:t xml:space="preserve"> new</w:t>
      </w:r>
      <w:r w:rsidRPr="007022A1">
        <w:t xml:space="preserve"> entry for </w:t>
      </w:r>
      <w:proofErr w:type="spellStart"/>
      <w:r>
        <w:t>metarylpicoxamid</w:t>
      </w:r>
      <w:proofErr w:type="spellEnd"/>
      <w:r w:rsidRPr="007022A1">
        <w:t xml:space="preserve"> be </w:t>
      </w:r>
      <w:r>
        <w:t>created</w:t>
      </w:r>
      <w:r w:rsidRPr="007022A1">
        <w:t xml:space="preserve"> in the Poisons Standard</w:t>
      </w:r>
      <w:r w:rsidR="004544B1">
        <w:t xml:space="preserve"> under Caution (</w:t>
      </w:r>
      <w:r w:rsidR="004544B1" w:rsidRPr="007022A1">
        <w:t>Schedule 5</w:t>
      </w:r>
      <w:r w:rsidR="004544B1">
        <w:t>)</w:t>
      </w:r>
      <w:r>
        <w:t xml:space="preserve">. </w:t>
      </w:r>
      <w:proofErr w:type="spellStart"/>
      <w:r>
        <w:t>Metarylpicoxamid</w:t>
      </w:r>
      <w:proofErr w:type="spellEnd"/>
      <w:r w:rsidRPr="007022A1">
        <w:t xml:space="preserve"> is</w:t>
      </w:r>
      <w:r w:rsidR="004544B1">
        <w:t xml:space="preserve"> </w:t>
      </w:r>
      <w:r w:rsidR="004544B1">
        <w:rPr>
          <w:rFonts w:eastAsia="Yu Mincho"/>
        </w:rPr>
        <w:t xml:space="preserve">a fungicide to </w:t>
      </w:r>
      <w:r w:rsidR="004544B1" w:rsidRPr="008E2B07">
        <w:t>control Asian soybean rust</w:t>
      </w:r>
      <w:r w:rsidR="004544B1">
        <w:t xml:space="preserve"> and </w:t>
      </w:r>
      <w:r w:rsidR="0010231F">
        <w:t xml:space="preserve">is </w:t>
      </w:r>
      <w:r>
        <w:t>not</w:t>
      </w:r>
      <w:r w:rsidRPr="007022A1">
        <w:t xml:space="preserve"> currently </w:t>
      </w:r>
      <w:r w:rsidR="00811206">
        <w:t>listed</w:t>
      </w:r>
      <w:r w:rsidR="004544B1">
        <w:t xml:space="preserve"> </w:t>
      </w:r>
      <w:r>
        <w:t>in the Poisons Standard.</w:t>
      </w:r>
    </w:p>
    <w:p w14:paraId="0DABF736" w14:textId="6A527FA4" w:rsidR="00084016" w:rsidRDefault="00084016" w:rsidP="00E82526">
      <w:pPr>
        <w:pStyle w:val="ListBullet"/>
        <w:numPr>
          <w:ilvl w:val="0"/>
          <w:numId w:val="0"/>
        </w:numPr>
      </w:pPr>
      <w:r>
        <w:t xml:space="preserve">Regarding s 52E(1)(a) of the Act, I note the benefit of </w:t>
      </w:r>
      <w:proofErr w:type="spellStart"/>
      <w:r>
        <w:t>metarylpicoxamid</w:t>
      </w:r>
      <w:proofErr w:type="spellEnd"/>
      <w:r>
        <w:t xml:space="preserve"> is its use to control</w:t>
      </w:r>
      <w:r w:rsidRPr="00A35D28">
        <w:t xml:space="preserve"> Asian soybean rust</w:t>
      </w:r>
      <w:r>
        <w:t>. I have considered this against the relatively low risk of substance toxicity and</w:t>
      </w:r>
      <w:r w:rsidR="00811206">
        <w:t xml:space="preserve"> </w:t>
      </w:r>
      <w:r w:rsidR="0085753D">
        <w:t>it</w:t>
      </w:r>
      <w:r>
        <w:t xml:space="preserve"> potential</w:t>
      </w:r>
      <w:r w:rsidR="0085753D">
        <w:t xml:space="preserve"> to elicit</w:t>
      </w:r>
      <w:r>
        <w:t xml:space="preserve"> adverse effects from acute or repeat exposure (see below). I am of the view that the benefits posed by </w:t>
      </w:r>
      <w:proofErr w:type="spellStart"/>
      <w:r>
        <w:t>metarylpicoxamid</w:t>
      </w:r>
      <w:proofErr w:type="spellEnd"/>
      <w:r>
        <w:t xml:space="preserve"> outweigh the risks to human health.</w:t>
      </w:r>
    </w:p>
    <w:p w14:paraId="1937790F" w14:textId="0D772FD6" w:rsidR="00084016" w:rsidRDefault="00084016" w:rsidP="00E82526">
      <w:pPr>
        <w:pStyle w:val="ListBullet"/>
        <w:numPr>
          <w:ilvl w:val="0"/>
          <w:numId w:val="0"/>
        </w:numPr>
      </w:pPr>
      <w:r>
        <w:t>Regarding</w:t>
      </w:r>
      <w:r w:rsidRPr="00F2713A">
        <w:t xml:space="preserve"> s 52E(1)(c) of the Act,</w:t>
      </w:r>
      <w:r>
        <w:t xml:space="preserve"> the Application provided data showing </w:t>
      </w:r>
      <w:proofErr w:type="spellStart"/>
      <w:r w:rsidR="00E82526">
        <w:t>m</w:t>
      </w:r>
      <w:r w:rsidRPr="00754A61">
        <w:t>etarylpicoxamid</w:t>
      </w:r>
      <w:proofErr w:type="spellEnd"/>
      <w:r w:rsidRPr="00754A61">
        <w:t xml:space="preserve"> has </w:t>
      </w:r>
      <w:r w:rsidRPr="004A14D3">
        <w:t>low acute oral and dermal toxicity</w:t>
      </w:r>
      <w:r w:rsidRPr="00754A61">
        <w:t xml:space="preserve"> </w:t>
      </w:r>
      <w:r w:rsidRPr="004A14D3">
        <w:t>and low to moderate inhalation toxicit</w:t>
      </w:r>
      <w:r w:rsidRPr="004A5DD3">
        <w:t>y</w:t>
      </w:r>
      <w:r w:rsidRPr="00754A61">
        <w:t>.</w:t>
      </w:r>
      <w:r w:rsidRPr="00F2713A">
        <w:t xml:space="preserve"> </w:t>
      </w:r>
      <w:r>
        <w:t>T</w:t>
      </w:r>
      <w:r w:rsidRPr="00F2713A">
        <w:t>he substance is not a skin irritant</w:t>
      </w:r>
      <w:r>
        <w:t xml:space="preserve"> but </w:t>
      </w:r>
      <w:r w:rsidRPr="00F2713A">
        <w:t xml:space="preserve">is a slight eye irritant and a skin sensitiser. </w:t>
      </w:r>
      <w:r>
        <w:t>The key adverse events noted in</w:t>
      </w:r>
      <w:r w:rsidRPr="00F2713A">
        <w:t xml:space="preserve"> repeat dose toxicity </w:t>
      </w:r>
      <w:r>
        <w:t>were</w:t>
      </w:r>
      <w:r w:rsidRPr="00F2713A">
        <w:t xml:space="preserve"> reductions in bodyweight, bodyweight gain, food intake and/or food efficiency.</w:t>
      </w:r>
      <w:r>
        <w:t xml:space="preserve"> However, </w:t>
      </w:r>
      <w:r w:rsidRPr="00F2713A">
        <w:t xml:space="preserve">there </w:t>
      </w:r>
      <w:r w:rsidR="000F6F7E">
        <w:t>wa</w:t>
      </w:r>
      <w:r w:rsidRPr="00F2713A">
        <w:t xml:space="preserve">s no evidence of </w:t>
      </w:r>
      <w:r>
        <w:t xml:space="preserve">developmental toxicity, </w:t>
      </w:r>
      <w:r w:rsidRPr="00F2713A">
        <w:t>neurotoxicity or immunotoxicity</w:t>
      </w:r>
      <w:r>
        <w:t xml:space="preserve"> or </w:t>
      </w:r>
      <w:r w:rsidRPr="00F2713A">
        <w:t>effects on reproduction</w:t>
      </w:r>
      <w:r>
        <w:t>.</w:t>
      </w:r>
      <w:r w:rsidRPr="00F2713A">
        <w:t xml:space="preserve"> Similarly, the substance pose</w:t>
      </w:r>
      <w:r>
        <w:t>s</w:t>
      </w:r>
      <w:r w:rsidRPr="00F2713A">
        <w:t xml:space="preserve"> no risk of developmental toxicity or genotoxicity and is </w:t>
      </w:r>
      <w:r w:rsidRPr="00F2713A">
        <w:lastRenderedPageBreak/>
        <w:t>not a carcinogen. I</w:t>
      </w:r>
      <w:r w:rsidR="000F6F7E">
        <w:t xml:space="preserve"> </w:t>
      </w:r>
      <w:r w:rsidRPr="00F2713A">
        <w:t>agree</w:t>
      </w:r>
      <w:r w:rsidR="000F6F7E">
        <w:t xml:space="preserve"> </w:t>
      </w:r>
      <w:r w:rsidRPr="00F2713A">
        <w:t xml:space="preserve">with the applicant that </w:t>
      </w:r>
      <w:proofErr w:type="spellStart"/>
      <w:r w:rsidRPr="00F2713A">
        <w:t>metarylpicoxamid</w:t>
      </w:r>
      <w:proofErr w:type="spellEnd"/>
      <w:r w:rsidRPr="00F2713A">
        <w:t xml:space="preserve"> </w:t>
      </w:r>
      <w:r>
        <w:t>has a low toxicity</w:t>
      </w:r>
      <w:r w:rsidR="00064D72">
        <w:t xml:space="preserve"> profile</w:t>
      </w:r>
      <w:r>
        <w:t xml:space="preserve"> and </w:t>
      </w:r>
      <w:r w:rsidRPr="00F2713A">
        <w:t>poses a</w:t>
      </w:r>
      <w:r>
        <w:t xml:space="preserve"> low</w:t>
      </w:r>
      <w:r w:rsidRPr="00F2713A">
        <w:t xml:space="preserve"> </w:t>
      </w:r>
      <w:r>
        <w:t>health hazard (Schedule 5, scheduling factors 1 and 2)</w:t>
      </w:r>
      <w:r w:rsidRPr="00F2713A">
        <w:t>.</w:t>
      </w:r>
      <w:r w:rsidR="00CE641B">
        <w:t xml:space="preserve"> The risks from </w:t>
      </w:r>
      <w:proofErr w:type="spellStart"/>
      <w:r w:rsidR="00CE641B">
        <w:t>metarylpicoxamid</w:t>
      </w:r>
      <w:proofErr w:type="spellEnd"/>
      <w:r w:rsidR="00CE641B">
        <w:t xml:space="preserve"> </w:t>
      </w:r>
      <w:r w:rsidR="00064D72">
        <w:t xml:space="preserve">use </w:t>
      </w:r>
      <w:r w:rsidR="00CE641B">
        <w:t xml:space="preserve">can be </w:t>
      </w:r>
      <w:r w:rsidR="00CE641B" w:rsidRPr="00AF37F4">
        <w:t>adequately mitigated by the safety directions on the label</w:t>
      </w:r>
      <w:r w:rsidR="00CE641B">
        <w:t xml:space="preserve"> (Schedule 5, scheduling factor 3).</w:t>
      </w:r>
    </w:p>
    <w:p w14:paraId="002BEEE6" w14:textId="56F57288" w:rsidR="00084016" w:rsidRPr="00C5736D" w:rsidRDefault="00084016" w:rsidP="00E82526">
      <w:pPr>
        <w:pStyle w:val="ListBullet"/>
        <w:numPr>
          <w:ilvl w:val="0"/>
          <w:numId w:val="0"/>
        </w:numPr>
        <w:rPr>
          <w:color w:val="auto"/>
        </w:rPr>
      </w:pPr>
      <w:r>
        <w:t xml:space="preserve">In consideration of s 52E(1)(b) and (d) of the Act, </w:t>
      </w:r>
      <w:proofErr w:type="spellStart"/>
      <w:r>
        <w:t>metarylpicoxamid</w:t>
      </w:r>
      <w:proofErr w:type="spellEnd"/>
      <w:r>
        <w:t xml:space="preserve"> is intended to be used as an active constituent in </w:t>
      </w:r>
      <w:r w:rsidR="00CE641B">
        <w:t xml:space="preserve">products </w:t>
      </w:r>
      <w:r w:rsidR="00CE641B" w:rsidRPr="00C5736D">
        <w:rPr>
          <w:color w:val="auto"/>
        </w:rPr>
        <w:t>formulated</w:t>
      </w:r>
      <w:r w:rsidRPr="00C5736D">
        <w:rPr>
          <w:color w:val="auto"/>
        </w:rPr>
        <w:t xml:space="preserve"> for spray-on application on soybean plants. The </w:t>
      </w:r>
      <w:r w:rsidR="00CE641B" w:rsidRPr="00C5736D">
        <w:rPr>
          <w:color w:val="auto"/>
        </w:rPr>
        <w:t xml:space="preserve">formulated </w:t>
      </w:r>
      <w:r w:rsidRPr="00C5736D">
        <w:rPr>
          <w:color w:val="auto"/>
        </w:rPr>
        <w:t xml:space="preserve">product </w:t>
      </w:r>
      <w:r w:rsidR="00C91633" w:rsidRPr="00C5736D">
        <w:rPr>
          <w:color w:val="auto"/>
        </w:rPr>
        <w:t xml:space="preserve">is an emulsifiable concentrate </w:t>
      </w:r>
      <w:r w:rsidRPr="00C5736D">
        <w:rPr>
          <w:color w:val="auto"/>
        </w:rPr>
        <w:t>contain</w:t>
      </w:r>
      <w:r w:rsidR="00C91633" w:rsidRPr="00C5736D">
        <w:rPr>
          <w:color w:val="auto"/>
        </w:rPr>
        <w:t>ing</w:t>
      </w:r>
      <w:r w:rsidRPr="00C5736D">
        <w:rPr>
          <w:color w:val="auto"/>
        </w:rPr>
        <w:t xml:space="preserve"> 150 g/L </w:t>
      </w:r>
      <w:proofErr w:type="spellStart"/>
      <w:r w:rsidRPr="00C5736D">
        <w:rPr>
          <w:color w:val="auto"/>
        </w:rPr>
        <w:t>metarylpicoxamid</w:t>
      </w:r>
      <w:proofErr w:type="spellEnd"/>
      <w:r w:rsidR="00C91633" w:rsidRPr="00C5736D">
        <w:rPr>
          <w:color w:val="auto"/>
        </w:rPr>
        <w:t>, other scheduled</w:t>
      </w:r>
      <w:r w:rsidR="00C5736D" w:rsidRPr="00C5736D">
        <w:rPr>
          <w:color w:val="auto"/>
        </w:rPr>
        <w:t xml:space="preserve"> </w:t>
      </w:r>
      <w:r w:rsidR="00C91633" w:rsidRPr="00C5736D">
        <w:rPr>
          <w:color w:val="auto"/>
        </w:rPr>
        <w:t>substance</w:t>
      </w:r>
      <w:r w:rsidR="00C5736D" w:rsidRPr="00C5736D">
        <w:rPr>
          <w:color w:val="auto"/>
        </w:rPr>
        <w:t>s</w:t>
      </w:r>
      <w:r w:rsidR="00C91633" w:rsidRPr="00C5736D">
        <w:rPr>
          <w:color w:val="auto"/>
        </w:rPr>
        <w:t>.</w:t>
      </w:r>
      <w:r w:rsidRPr="00C5736D">
        <w:rPr>
          <w:color w:val="auto"/>
        </w:rPr>
        <w:t xml:space="preserve"> The </w:t>
      </w:r>
      <w:r w:rsidR="00C91633" w:rsidRPr="00C5736D">
        <w:rPr>
          <w:color w:val="auto"/>
        </w:rPr>
        <w:t xml:space="preserve">formulated </w:t>
      </w:r>
      <w:r w:rsidRPr="00C5736D">
        <w:rPr>
          <w:color w:val="auto"/>
        </w:rPr>
        <w:t xml:space="preserve">product is regarded as a severe skin irritant, eye irritant and skin sensitiser and the exposure and risk assessment indicated that the potential risks from exposure to the product are moderate. APVMA has followed a health-protective approach in relation to the label directions for the </w:t>
      </w:r>
      <w:r w:rsidR="00C91633" w:rsidRPr="00C5736D">
        <w:rPr>
          <w:color w:val="auto"/>
        </w:rPr>
        <w:t xml:space="preserve">formulated </w:t>
      </w:r>
      <w:r w:rsidRPr="00C5736D">
        <w:rPr>
          <w:color w:val="auto"/>
        </w:rPr>
        <w:t xml:space="preserve">product </w:t>
      </w:r>
      <w:r w:rsidR="00C91633" w:rsidRPr="00C5736D">
        <w:rPr>
          <w:color w:val="auto"/>
        </w:rPr>
        <w:t xml:space="preserve">requiring it to be labelled as ‘POISON’ and have first aid instructions, safety directions, re-entry statement and restraints and restrictions on the label. </w:t>
      </w:r>
      <w:r w:rsidR="00CE641B" w:rsidRPr="00C5736D">
        <w:rPr>
          <w:color w:val="auto"/>
        </w:rPr>
        <w:t xml:space="preserve">These restrictions are </w:t>
      </w:r>
      <w:r w:rsidR="00C5736D" w:rsidRPr="00C5736D">
        <w:rPr>
          <w:color w:val="auto"/>
        </w:rPr>
        <w:t xml:space="preserve">also </w:t>
      </w:r>
      <w:r w:rsidR="00CE641B" w:rsidRPr="00C5736D">
        <w:rPr>
          <w:color w:val="auto"/>
        </w:rPr>
        <w:t xml:space="preserve">considered adequate to manage risks from </w:t>
      </w:r>
      <w:proofErr w:type="spellStart"/>
      <w:r w:rsidR="00CE641B" w:rsidRPr="00C5736D">
        <w:rPr>
          <w:color w:val="auto"/>
        </w:rPr>
        <w:t>metarylpicoxamide</w:t>
      </w:r>
      <w:proofErr w:type="spellEnd"/>
      <w:r w:rsidR="00CE641B" w:rsidRPr="00C5736D">
        <w:rPr>
          <w:color w:val="auto"/>
        </w:rPr>
        <w:t xml:space="preserve"> present in the formulated product. Further, </w:t>
      </w:r>
      <w:r w:rsidR="007A78F1">
        <w:rPr>
          <w:color w:val="auto"/>
        </w:rPr>
        <w:t xml:space="preserve">users of the product containing </w:t>
      </w:r>
      <w:proofErr w:type="spellStart"/>
      <w:r w:rsidR="007A78F1">
        <w:rPr>
          <w:color w:val="auto"/>
        </w:rPr>
        <w:t>metarylpicoxamid</w:t>
      </w:r>
      <w:proofErr w:type="spellEnd"/>
      <w:r w:rsidR="007A78F1" w:rsidRPr="00C5736D">
        <w:rPr>
          <w:color w:val="auto"/>
        </w:rPr>
        <w:t xml:space="preserve"> </w:t>
      </w:r>
      <w:r w:rsidR="00CE641B" w:rsidRPr="00C5736D">
        <w:rPr>
          <w:color w:val="auto"/>
        </w:rPr>
        <w:t xml:space="preserve">are unlikely to be exposed to </w:t>
      </w:r>
      <w:proofErr w:type="spellStart"/>
      <w:r w:rsidR="00CE641B" w:rsidRPr="00C5736D">
        <w:rPr>
          <w:color w:val="auto"/>
        </w:rPr>
        <w:t>metarylpicoxamid</w:t>
      </w:r>
      <w:proofErr w:type="spellEnd"/>
      <w:r w:rsidR="00CE641B" w:rsidRPr="00C5736D">
        <w:rPr>
          <w:color w:val="auto"/>
        </w:rPr>
        <w:t xml:space="preserve"> </w:t>
      </w:r>
      <w:r w:rsidR="00553705">
        <w:rPr>
          <w:color w:val="auto"/>
        </w:rPr>
        <w:t xml:space="preserve">given closed mixing/loading requirements </w:t>
      </w:r>
      <w:r w:rsidR="00616016">
        <w:rPr>
          <w:color w:val="auto"/>
        </w:rPr>
        <w:t xml:space="preserve">and PPE, </w:t>
      </w:r>
      <w:r w:rsidR="004C1DFF">
        <w:rPr>
          <w:color w:val="auto"/>
        </w:rPr>
        <w:t xml:space="preserve">and appropriate </w:t>
      </w:r>
      <w:r w:rsidR="00A80741">
        <w:rPr>
          <w:color w:val="auto"/>
        </w:rPr>
        <w:t>label instructions.</w:t>
      </w:r>
    </w:p>
    <w:p w14:paraId="307894BE" w14:textId="77777777" w:rsidR="00084016" w:rsidRPr="00F2713A" w:rsidRDefault="00084016" w:rsidP="00186B9E">
      <w:pPr>
        <w:pStyle w:val="ListBullet"/>
        <w:numPr>
          <w:ilvl w:val="0"/>
          <w:numId w:val="0"/>
        </w:numPr>
      </w:pPr>
      <w:r w:rsidRPr="00C5736D">
        <w:rPr>
          <w:color w:val="auto"/>
        </w:rPr>
        <w:t>Based on the above considerations and the information provided in the application, I have decided to amend the current Poisons Standard in the manner set out above. The proposed amendment was not referred to an expert advisory committee</w:t>
      </w:r>
      <w:r w:rsidRPr="00353B0F">
        <w:t>.</w:t>
      </w:r>
    </w:p>
    <w:p w14:paraId="1CEF16CB" w14:textId="2137A9DB" w:rsidR="00084016" w:rsidRPr="00300CBB" w:rsidRDefault="00084016" w:rsidP="00706696">
      <w:pPr>
        <w:pStyle w:val="Heading4"/>
      </w:pPr>
      <w:r w:rsidRPr="00300CBB">
        <w:t>Implementation date</w:t>
      </w:r>
    </w:p>
    <w:p w14:paraId="1B4A1C7A" w14:textId="77777777" w:rsidR="00084016" w:rsidRPr="00E82526" w:rsidRDefault="00084016" w:rsidP="00084016">
      <w:r w:rsidRPr="00E82526">
        <w:t>1 October 2024</w:t>
      </w:r>
    </w:p>
    <w:p w14:paraId="053326AD" w14:textId="77777777" w:rsidR="00084016" w:rsidRPr="005950FD" w:rsidRDefault="00084016" w:rsidP="00084016">
      <w:pPr>
        <w:keepNext/>
        <w:keepLines/>
        <w:spacing w:before="480" w:line="240" w:lineRule="atLeast"/>
        <w:outlineLvl w:val="2"/>
        <w:rPr>
          <w:rFonts w:eastAsia="Times New Roman" w:cs="Times New Roman"/>
          <w:b/>
          <w:bCs/>
          <w:color w:val="001871"/>
          <w:sz w:val="32"/>
          <w:szCs w:val="32"/>
        </w:rPr>
      </w:pPr>
      <w:r w:rsidRPr="005950FD">
        <w:rPr>
          <w:rFonts w:eastAsia="Times New Roman" w:cs="Times New Roman"/>
          <w:b/>
          <w:bCs/>
          <w:color w:val="001871"/>
          <w:sz w:val="32"/>
          <w:szCs w:val="32"/>
        </w:rPr>
        <w:t>Final decision in relation to moxidectin</w:t>
      </w:r>
    </w:p>
    <w:p w14:paraId="165F70B9" w14:textId="6F7BFBA4" w:rsidR="00084016" w:rsidRPr="005950FD" w:rsidRDefault="00084016" w:rsidP="0077764E">
      <w:pPr>
        <w:pStyle w:val="Heading4"/>
      </w:pPr>
      <w:r w:rsidRPr="005950FD">
        <w:t>Final Decision</w:t>
      </w:r>
    </w:p>
    <w:p w14:paraId="667433AF" w14:textId="77777777" w:rsidR="00084016" w:rsidRPr="005950FD" w:rsidRDefault="00084016" w:rsidP="00084016">
      <w:r w:rsidRPr="005950FD">
        <w:t>Pursuant to regulation 42ZCZU</w:t>
      </w:r>
      <w:r w:rsidRPr="005950FD" w:rsidDel="005F3EA0">
        <w:t xml:space="preserve"> </w:t>
      </w:r>
      <w:r w:rsidRPr="005950FD">
        <w:t>of the Regulations, a Delegate of the Secretary has made a final decision to amend the current Poisons Standard in relation to moxidectin as follows:</w:t>
      </w:r>
      <w:r w:rsidRPr="005950FD">
        <w:rPr>
          <w:vertAlign w:val="superscript"/>
        </w:rPr>
        <w:t xml:space="preserve"> </w:t>
      </w:r>
      <w:r w:rsidRPr="005950FD">
        <w:rPr>
          <w:vertAlign w:val="superscript"/>
        </w:rPr>
        <w:footnoteReference w:id="23"/>
      </w:r>
    </w:p>
    <w:p w14:paraId="12EFAF8C" w14:textId="77777777" w:rsidR="00084016" w:rsidRPr="005950FD" w:rsidRDefault="00084016" w:rsidP="00084016">
      <w:pPr>
        <w:ind w:left="425"/>
        <w:rPr>
          <w:b/>
          <w:bCs/>
          <w:lang w:eastAsia="en-AU"/>
        </w:rPr>
      </w:pPr>
      <w:r w:rsidRPr="005950FD">
        <w:rPr>
          <w:b/>
          <w:bCs/>
        </w:rPr>
        <w:t>Schedule 7</w:t>
      </w:r>
    </w:p>
    <w:p w14:paraId="102E41B7" w14:textId="77777777" w:rsidR="00084016" w:rsidRPr="005950FD" w:rsidRDefault="00084016" w:rsidP="00084016">
      <w:pPr>
        <w:ind w:left="709"/>
        <w:rPr>
          <w:color w:val="auto"/>
        </w:rPr>
      </w:pPr>
      <w:r w:rsidRPr="005950FD">
        <w:rPr>
          <w:color w:val="auto"/>
        </w:rPr>
        <w:t>MOXIDECTIN except when included in Schedule 4, 5 or 6.</w:t>
      </w:r>
    </w:p>
    <w:p w14:paraId="599BB144" w14:textId="77777777" w:rsidR="00084016" w:rsidRPr="005950FD" w:rsidRDefault="00084016" w:rsidP="00084016">
      <w:pPr>
        <w:ind w:left="425"/>
        <w:rPr>
          <w:b/>
          <w:bCs/>
          <w:lang w:eastAsia="en-AU"/>
        </w:rPr>
      </w:pPr>
      <w:r w:rsidRPr="005950FD">
        <w:rPr>
          <w:b/>
          <w:bCs/>
        </w:rPr>
        <w:t>Schedule 6</w:t>
      </w:r>
    </w:p>
    <w:p w14:paraId="44EC68DA" w14:textId="77777777" w:rsidR="00084016" w:rsidRPr="005950FD" w:rsidRDefault="00084016" w:rsidP="00C910A0">
      <w:pPr>
        <w:ind w:firstLine="720"/>
      </w:pPr>
      <w:r w:rsidRPr="005950FD">
        <w:t>MOXIDECTIN:</w:t>
      </w:r>
    </w:p>
    <w:p w14:paraId="3C7F434B" w14:textId="77777777" w:rsidR="00084016" w:rsidRPr="005950FD" w:rsidRDefault="00084016" w:rsidP="00C910A0">
      <w:pPr>
        <w:pStyle w:val="ListParagraph"/>
        <w:numPr>
          <w:ilvl w:val="0"/>
          <w:numId w:val="24"/>
        </w:numPr>
        <w:spacing w:before="120" w:after="0" w:line="240" w:lineRule="atLeast"/>
        <w:ind w:left="1134" w:hanging="425"/>
        <w:contextualSpacing w:val="0"/>
        <w:jc w:val="both"/>
      </w:pPr>
      <w:r w:rsidRPr="005950FD">
        <w:t>in preparations for external use containing 2.5% or less of moxidectin when packed in single dose tubes for the treatment of cats and dogs; or</w:t>
      </w:r>
    </w:p>
    <w:p w14:paraId="794574C0" w14:textId="77777777" w:rsidR="00084016" w:rsidRPr="005950FD" w:rsidRDefault="00084016" w:rsidP="00C910A0">
      <w:pPr>
        <w:pStyle w:val="ListParagraph"/>
        <w:numPr>
          <w:ilvl w:val="0"/>
          <w:numId w:val="24"/>
        </w:numPr>
        <w:spacing w:before="120" w:after="0" w:line="240" w:lineRule="atLeast"/>
        <w:ind w:left="1134" w:hanging="425"/>
        <w:contextualSpacing w:val="0"/>
        <w:jc w:val="both"/>
      </w:pPr>
      <w:r w:rsidRPr="005950FD">
        <w:t>in preparations for external use containing 2% or less of moxidectin for the treatment of animals; or</w:t>
      </w:r>
    </w:p>
    <w:p w14:paraId="789CE827" w14:textId="77777777" w:rsidR="00084016" w:rsidRPr="005950FD" w:rsidRDefault="00084016" w:rsidP="00C910A0">
      <w:pPr>
        <w:pStyle w:val="ListParagraph"/>
        <w:numPr>
          <w:ilvl w:val="0"/>
          <w:numId w:val="24"/>
        </w:numPr>
        <w:spacing w:before="120" w:after="0" w:line="240" w:lineRule="atLeast"/>
        <w:ind w:left="1134" w:hanging="425"/>
        <w:contextualSpacing w:val="0"/>
        <w:jc w:val="both"/>
      </w:pPr>
      <w:r w:rsidRPr="005950FD">
        <w:t xml:space="preserve">in preparations for internal use containing 10% or less of moxidectin for the treatment of sheep or </w:t>
      </w:r>
      <w:proofErr w:type="gramStart"/>
      <w:r w:rsidRPr="005950FD">
        <w:t>cattle;</w:t>
      </w:r>
      <w:proofErr w:type="gramEnd"/>
    </w:p>
    <w:p w14:paraId="36830A7E" w14:textId="77777777" w:rsidR="00084016" w:rsidRPr="005950FD" w:rsidRDefault="00084016" w:rsidP="00C910A0">
      <w:pPr>
        <w:spacing w:before="120"/>
        <w:ind w:firstLine="709"/>
      </w:pPr>
      <w:r w:rsidRPr="005950FD">
        <w:rPr>
          <w:b/>
          <w:bCs/>
        </w:rPr>
        <w:t>except</w:t>
      </w:r>
      <w:r w:rsidRPr="005950FD">
        <w:t> when included in Schedule 5.</w:t>
      </w:r>
    </w:p>
    <w:p w14:paraId="5E422752" w14:textId="77777777" w:rsidR="00290514" w:rsidRDefault="00290514">
      <w:pPr>
        <w:rPr>
          <w:b/>
          <w:bCs/>
        </w:rPr>
      </w:pPr>
      <w:r>
        <w:rPr>
          <w:b/>
          <w:bCs/>
        </w:rPr>
        <w:br w:type="page"/>
      </w:r>
    </w:p>
    <w:p w14:paraId="5C365405" w14:textId="0271AE8E" w:rsidR="00084016" w:rsidRPr="005950FD" w:rsidRDefault="00084016" w:rsidP="00084016">
      <w:pPr>
        <w:ind w:left="363"/>
        <w:rPr>
          <w:b/>
          <w:bCs/>
        </w:rPr>
      </w:pPr>
      <w:r w:rsidRPr="005950FD">
        <w:rPr>
          <w:b/>
          <w:bCs/>
        </w:rPr>
        <w:lastRenderedPageBreak/>
        <w:t>Schedule 5 – Amend entry</w:t>
      </w:r>
    </w:p>
    <w:p w14:paraId="2B423243" w14:textId="77777777" w:rsidR="00084016" w:rsidRPr="005950FD" w:rsidRDefault="00084016" w:rsidP="00084016">
      <w:pPr>
        <w:ind w:left="363"/>
        <w:rPr>
          <w:color w:val="auto"/>
        </w:rPr>
      </w:pPr>
      <w:r w:rsidRPr="005950FD">
        <w:rPr>
          <w:color w:val="auto"/>
        </w:rPr>
        <w:t>MOXIDECTIN:</w:t>
      </w:r>
    </w:p>
    <w:p w14:paraId="258F0424" w14:textId="77777777" w:rsidR="00084016" w:rsidRPr="005950FD" w:rsidRDefault="00084016" w:rsidP="008B28D0">
      <w:pPr>
        <w:pStyle w:val="ListParagraph"/>
        <w:numPr>
          <w:ilvl w:val="0"/>
          <w:numId w:val="25"/>
        </w:numPr>
        <w:spacing w:before="120" w:after="0" w:line="240" w:lineRule="atLeast"/>
        <w:contextualSpacing w:val="0"/>
        <w:jc w:val="both"/>
      </w:pPr>
      <w:r w:rsidRPr="005950FD">
        <w:t>in preparations for external use for the treatment of animals other than cats and dogs, containing 0.5% or less of moxidectin; or</w:t>
      </w:r>
    </w:p>
    <w:p w14:paraId="7A9E9DB6" w14:textId="79A0C282" w:rsidR="00084016" w:rsidRPr="005950FD" w:rsidRDefault="00084016" w:rsidP="008B28D0">
      <w:pPr>
        <w:pStyle w:val="ListParagraph"/>
        <w:numPr>
          <w:ilvl w:val="0"/>
          <w:numId w:val="25"/>
        </w:numPr>
        <w:spacing w:before="120" w:after="0" w:line="240" w:lineRule="atLeast"/>
        <w:contextualSpacing w:val="0"/>
        <w:jc w:val="both"/>
      </w:pPr>
      <w:r w:rsidRPr="005950FD">
        <w:t xml:space="preserve">in preparations for external use for the treatment of cats and dogs, containing </w:t>
      </w:r>
      <w:r w:rsidR="00F27D21" w:rsidRPr="00F27D21">
        <w:rPr>
          <w:strike/>
          <w:color w:val="FF0000"/>
        </w:rPr>
        <w:t>2.5%</w:t>
      </w:r>
      <w:r w:rsidRPr="00864857">
        <w:rPr>
          <w:color w:val="00B050"/>
          <w:u w:val="single"/>
        </w:rPr>
        <w:t>25 mg</w:t>
      </w:r>
      <w:r w:rsidRPr="005950FD">
        <w:t xml:space="preserve"> or less of moxidectin packed in single dose tubes</w:t>
      </w:r>
      <w:r w:rsidR="00F27D21">
        <w:t xml:space="preserve"> </w:t>
      </w:r>
      <w:r w:rsidR="00F27D21" w:rsidRPr="00F27D21">
        <w:rPr>
          <w:strike/>
          <w:color w:val="FF0000"/>
        </w:rPr>
        <w:t xml:space="preserve">with a volume of 1 mL or </w:t>
      </w:r>
      <w:proofErr w:type="gramStart"/>
      <w:r w:rsidR="00F27D21" w:rsidRPr="00F27D21">
        <w:rPr>
          <w:strike/>
          <w:color w:val="FF0000"/>
        </w:rPr>
        <w:t>less</w:t>
      </w:r>
      <w:r w:rsidRPr="005950FD">
        <w:t>;</w:t>
      </w:r>
      <w:proofErr w:type="gramEnd"/>
      <w:r w:rsidRPr="005950FD">
        <w:t xml:space="preserve"> or</w:t>
      </w:r>
    </w:p>
    <w:p w14:paraId="321537A5" w14:textId="77777777" w:rsidR="00084016" w:rsidRPr="005950FD" w:rsidRDefault="00084016" w:rsidP="008B28D0">
      <w:pPr>
        <w:pStyle w:val="ListParagraph"/>
        <w:numPr>
          <w:ilvl w:val="0"/>
          <w:numId w:val="25"/>
        </w:numPr>
        <w:spacing w:before="120" w:after="0" w:line="240" w:lineRule="atLeast"/>
        <w:contextualSpacing w:val="0"/>
        <w:jc w:val="both"/>
      </w:pPr>
      <w:r w:rsidRPr="005950FD">
        <w:t>for internal use for the treatment of animals:</w:t>
      </w:r>
    </w:p>
    <w:p w14:paraId="73047766" w14:textId="77777777" w:rsidR="00084016" w:rsidRPr="005950FD" w:rsidRDefault="00084016" w:rsidP="00084016">
      <w:pPr>
        <w:numPr>
          <w:ilvl w:val="1"/>
          <w:numId w:val="17"/>
        </w:numPr>
        <w:spacing w:before="120" w:after="0" w:line="240" w:lineRule="atLeast"/>
        <w:ind w:left="2151"/>
        <w:jc w:val="both"/>
      </w:pPr>
      <w:r w:rsidRPr="005950FD">
        <w:t>in divided preparations for dogs, containing 250 micrograms or less of moxidectin per dosage unit in a pack containing six or less dosage units; or</w:t>
      </w:r>
    </w:p>
    <w:p w14:paraId="0D6588AE" w14:textId="77777777" w:rsidR="00084016" w:rsidRDefault="00084016" w:rsidP="00084016">
      <w:pPr>
        <w:numPr>
          <w:ilvl w:val="1"/>
          <w:numId w:val="17"/>
        </w:numPr>
        <w:spacing w:before="120" w:after="0" w:line="240" w:lineRule="atLeast"/>
        <w:ind w:left="2151"/>
        <w:jc w:val="both"/>
      </w:pPr>
      <w:r w:rsidRPr="005950FD">
        <w:t>in other preparations containing 2% or less of moxidectin.</w:t>
      </w:r>
    </w:p>
    <w:p w14:paraId="2EAC45FC" w14:textId="77777777" w:rsidR="00084016" w:rsidRPr="005950FD" w:rsidRDefault="00084016" w:rsidP="00084016">
      <w:pPr>
        <w:ind w:left="363"/>
        <w:rPr>
          <w:b/>
          <w:bCs/>
          <w:lang w:eastAsia="en-AU"/>
        </w:rPr>
      </w:pPr>
      <w:r w:rsidRPr="005950FD">
        <w:rPr>
          <w:b/>
          <w:bCs/>
        </w:rPr>
        <w:t>Schedule 4</w:t>
      </w:r>
    </w:p>
    <w:p w14:paraId="2205B0A3" w14:textId="77777777" w:rsidR="00084016" w:rsidRPr="005950FD" w:rsidRDefault="00084016" w:rsidP="00084016">
      <w:pPr>
        <w:ind w:left="709"/>
        <w:rPr>
          <w:color w:val="auto"/>
        </w:rPr>
      </w:pPr>
      <w:r w:rsidRPr="005950FD">
        <w:rPr>
          <w:color w:val="auto"/>
        </w:rPr>
        <w:t>MOXIDECTIN in preparations for injection containing 10% or less of moxidectin except when included in Schedule 5 or 6.</w:t>
      </w:r>
    </w:p>
    <w:p w14:paraId="4F5619C2" w14:textId="2AEB554D" w:rsidR="00084016" w:rsidRPr="005950FD" w:rsidRDefault="00084016" w:rsidP="00084016">
      <w:pPr>
        <w:ind w:left="426"/>
        <w:rPr>
          <w:b/>
          <w:bCs/>
        </w:rPr>
      </w:pPr>
      <w:r w:rsidRPr="005950FD">
        <w:rPr>
          <w:b/>
          <w:bCs/>
        </w:rPr>
        <w:t>Index</w:t>
      </w:r>
    </w:p>
    <w:p w14:paraId="3526F853" w14:textId="77777777" w:rsidR="00084016" w:rsidRPr="005950FD" w:rsidRDefault="00084016" w:rsidP="00084016">
      <w:pPr>
        <w:ind w:left="709"/>
        <w:rPr>
          <w:b/>
          <w:bCs/>
          <w:color w:val="auto"/>
        </w:rPr>
      </w:pPr>
      <w:r w:rsidRPr="005950FD">
        <w:rPr>
          <w:b/>
          <w:bCs/>
          <w:color w:val="auto"/>
        </w:rPr>
        <w:t>MOXIDECTIN</w:t>
      </w:r>
    </w:p>
    <w:p w14:paraId="3311619E" w14:textId="77777777" w:rsidR="00084016" w:rsidRPr="005950FD" w:rsidRDefault="00084016" w:rsidP="00084016">
      <w:pPr>
        <w:ind w:left="709"/>
        <w:rPr>
          <w:color w:val="auto"/>
        </w:rPr>
      </w:pPr>
      <w:r w:rsidRPr="005950FD">
        <w:rPr>
          <w:color w:val="auto"/>
        </w:rPr>
        <w:t>Schedule 7</w:t>
      </w:r>
      <w:r w:rsidRPr="005950FD">
        <w:rPr>
          <w:color w:val="auto"/>
        </w:rPr>
        <w:br/>
        <w:t>Schedule 6</w:t>
      </w:r>
      <w:r w:rsidRPr="005950FD">
        <w:rPr>
          <w:color w:val="auto"/>
        </w:rPr>
        <w:br/>
        <w:t>Schedule 5</w:t>
      </w:r>
      <w:r w:rsidRPr="005950FD">
        <w:rPr>
          <w:color w:val="auto"/>
        </w:rPr>
        <w:br/>
        <w:t>Schedule 4</w:t>
      </w:r>
    </w:p>
    <w:p w14:paraId="3CDABF98" w14:textId="77777777" w:rsidR="00084016" w:rsidRPr="005950FD" w:rsidRDefault="00084016" w:rsidP="0077764E">
      <w:pPr>
        <w:pStyle w:val="Heading4"/>
      </w:pPr>
      <w:r w:rsidRPr="005950FD">
        <w:t xml:space="preserve">Materials considered </w:t>
      </w:r>
    </w:p>
    <w:p w14:paraId="2EF4F1DA" w14:textId="77777777" w:rsidR="00084016" w:rsidRPr="005950FD" w:rsidRDefault="00084016" w:rsidP="00084016">
      <w:pPr>
        <w:pStyle w:val="ListParagraph"/>
        <w:numPr>
          <w:ilvl w:val="0"/>
          <w:numId w:val="19"/>
        </w:numPr>
        <w:spacing w:before="120" w:after="0" w:line="240" w:lineRule="atLeast"/>
        <w:ind w:left="723"/>
        <w:contextualSpacing w:val="0"/>
        <w:jc w:val="both"/>
      </w:pPr>
      <w:r w:rsidRPr="005950FD">
        <w:t>In making this final decision, the Delegate considered the following material:</w:t>
      </w:r>
    </w:p>
    <w:p w14:paraId="05EF048D" w14:textId="77777777" w:rsidR="00084016" w:rsidRPr="005950FD" w:rsidRDefault="00084016" w:rsidP="00084016">
      <w:pPr>
        <w:spacing w:before="120" w:after="180" w:line="240" w:lineRule="atLeast"/>
        <w:ind w:left="723" w:hanging="360"/>
        <w:rPr>
          <w:rFonts w:eastAsia="Cambria" w:cstheme="minorHAnsi"/>
        </w:rPr>
      </w:pPr>
      <w:r w:rsidRPr="005950FD">
        <w:rPr>
          <w:rFonts w:eastAsia="Cambria" w:cstheme="minorHAnsi"/>
        </w:rPr>
        <w:t xml:space="preserve">The application to amend the current Poisons Standard with respect to moxidectin (the </w:t>
      </w:r>
      <w:r w:rsidRPr="005950FD">
        <w:rPr>
          <w:rFonts w:eastAsia="Cambria" w:cstheme="minorHAnsi"/>
          <w:b/>
          <w:bCs/>
        </w:rPr>
        <w:t>Application</w:t>
      </w:r>
      <w:r w:rsidRPr="005950FD">
        <w:rPr>
          <w:rFonts w:eastAsia="Cambria" w:cstheme="minorHAnsi"/>
        </w:rPr>
        <w:t>)</w:t>
      </w:r>
    </w:p>
    <w:p w14:paraId="3D8E4C38" w14:textId="213433A8" w:rsidR="00084016" w:rsidRPr="008B7FEE" w:rsidRDefault="00084016" w:rsidP="00084016">
      <w:pPr>
        <w:pStyle w:val="ListParagraph"/>
        <w:numPr>
          <w:ilvl w:val="0"/>
          <w:numId w:val="19"/>
        </w:numPr>
        <w:spacing w:before="120" w:after="180" w:line="240" w:lineRule="atLeast"/>
        <w:ind w:left="723"/>
        <w:contextualSpacing w:val="0"/>
        <w:jc w:val="both"/>
        <w:rPr>
          <w:rFonts w:eastAsia="Cambria" w:cstheme="minorHAnsi"/>
        </w:rPr>
      </w:pPr>
      <w:r w:rsidRPr="008B7FEE">
        <w:rPr>
          <w:rFonts w:eastAsia="Cambria" w:cstheme="minorHAnsi"/>
        </w:rPr>
        <w:t xml:space="preserve">Subsection 52E(1) of </w:t>
      </w:r>
      <w:r w:rsidRPr="008B7FEE">
        <w:rPr>
          <w:rFonts w:eastAsia="Cambria" w:cstheme="minorHAnsi"/>
          <w:i/>
        </w:rPr>
        <w:t>the Therapeutic Goods Act 1989</w:t>
      </w:r>
      <w:r w:rsidRPr="008B7FEE">
        <w:rPr>
          <w:rFonts w:eastAsia="Cambria" w:cstheme="minorHAnsi"/>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170EE6A0" w14:textId="77777777" w:rsidR="00084016" w:rsidRPr="008B7FEE" w:rsidRDefault="00084016" w:rsidP="00084016">
      <w:pPr>
        <w:pStyle w:val="ListParagraph"/>
        <w:numPr>
          <w:ilvl w:val="0"/>
          <w:numId w:val="19"/>
        </w:numPr>
        <w:spacing w:before="120" w:after="180" w:line="240" w:lineRule="atLeast"/>
        <w:ind w:left="723"/>
        <w:contextualSpacing w:val="0"/>
        <w:jc w:val="both"/>
        <w:rPr>
          <w:rFonts w:eastAsia="Cambria" w:cstheme="minorHAnsi"/>
        </w:rPr>
      </w:pPr>
      <w:r w:rsidRPr="008B7FEE">
        <w:rPr>
          <w:rFonts w:eastAsia="Cambria" w:cstheme="minorHAnsi"/>
        </w:rPr>
        <w:t>Pursuant to paragraph 52E(2)(a) of the Act, the SPF, and</w:t>
      </w:r>
    </w:p>
    <w:p w14:paraId="31B23947" w14:textId="77777777" w:rsidR="00084016" w:rsidRPr="00993BAA" w:rsidRDefault="00084016" w:rsidP="00084016">
      <w:pPr>
        <w:pStyle w:val="ListParagraph"/>
        <w:numPr>
          <w:ilvl w:val="0"/>
          <w:numId w:val="19"/>
        </w:numPr>
        <w:spacing w:before="120" w:after="180" w:line="240" w:lineRule="atLeast"/>
        <w:ind w:left="723"/>
        <w:contextualSpacing w:val="0"/>
        <w:jc w:val="both"/>
        <w:rPr>
          <w:rFonts w:eastAsia="Cambria" w:cstheme="minorHAnsi"/>
        </w:rPr>
      </w:pPr>
      <w:r w:rsidRPr="008B7FEE">
        <w:rPr>
          <w:rFonts w:eastAsia="Cambria" w:cstheme="minorHAnsi"/>
        </w:rPr>
        <w:t>The Handbook</w:t>
      </w:r>
      <w:r w:rsidRPr="00993BAA">
        <w:rPr>
          <w:rFonts w:eastAsia="Cambria" w:cstheme="minorHAnsi"/>
        </w:rPr>
        <w:t>.</w:t>
      </w:r>
      <w:r w:rsidRPr="00993BAA">
        <w:rPr>
          <w:rFonts w:eastAsia="Cambria" w:cstheme="minorHAnsi"/>
          <w:highlight w:val="yellow"/>
        </w:rPr>
        <w:t xml:space="preserve"> </w:t>
      </w:r>
    </w:p>
    <w:p w14:paraId="1D4C38A1" w14:textId="77777777" w:rsidR="00084016" w:rsidRPr="005950FD" w:rsidRDefault="00084016" w:rsidP="0077764E">
      <w:pPr>
        <w:pStyle w:val="Heading4"/>
      </w:pPr>
      <w:r w:rsidRPr="005950FD">
        <w:t>Reasons for the final decision (including findings on material questions of fact)</w:t>
      </w:r>
    </w:p>
    <w:p w14:paraId="1025382E" w14:textId="4B6BAF9E" w:rsidR="00084016" w:rsidRPr="005950FD" w:rsidRDefault="00084016" w:rsidP="00084016">
      <w:r w:rsidRPr="005950FD">
        <w:rPr>
          <w:bCs/>
        </w:rPr>
        <w:t xml:space="preserve">In determining that this matter will be a delegate-only decision I have </w:t>
      </w:r>
      <w:proofErr w:type="gramStart"/>
      <w:r w:rsidRPr="005950FD">
        <w:rPr>
          <w:bCs/>
        </w:rPr>
        <w:t>taken into account</w:t>
      </w:r>
      <w:proofErr w:type="gramEnd"/>
      <w:r w:rsidRPr="005950FD">
        <w:rPr>
          <w:bCs/>
        </w:rPr>
        <w:t xml:space="preserve"> the information provided </w:t>
      </w:r>
      <w:r w:rsidR="00E82526">
        <w:rPr>
          <w:bCs/>
        </w:rPr>
        <w:t xml:space="preserve">by </w:t>
      </w:r>
      <w:r w:rsidRPr="005950FD">
        <w:rPr>
          <w:bCs/>
        </w:rPr>
        <w:t>the Australian Pesticides and Veterinary Medicine Authority (APVMA), and the matters outlined under s 52E of the Act and the SPF.</w:t>
      </w:r>
      <w:r w:rsidR="00E82526">
        <w:rPr>
          <w:bCs/>
        </w:rPr>
        <w:t xml:space="preserve"> </w:t>
      </w:r>
      <w:r w:rsidR="00E82526">
        <w:t xml:space="preserve">My reasons for making the final decision </w:t>
      </w:r>
      <w:r w:rsidR="00894493">
        <w:t>f</w:t>
      </w:r>
      <w:r w:rsidR="00E82526">
        <w:t>ollow.</w:t>
      </w:r>
    </w:p>
    <w:p w14:paraId="4B97D8FC" w14:textId="2C4A825D" w:rsidR="00084016" w:rsidRPr="005950FD" w:rsidRDefault="00084016" w:rsidP="00E82526">
      <w:pPr>
        <w:spacing w:before="120" w:after="0" w:line="240" w:lineRule="atLeast"/>
        <w:jc w:val="both"/>
      </w:pPr>
      <w:r w:rsidRPr="005950FD">
        <w:t>Moxidectin is used for the control of internal and external parasites in animals.</w:t>
      </w:r>
      <w:r w:rsidR="00E82526">
        <w:t xml:space="preserve"> </w:t>
      </w:r>
      <w:r w:rsidRPr="005950FD">
        <w:t xml:space="preserve">The current </w:t>
      </w:r>
      <w:r w:rsidR="008B28D0">
        <w:t>Caution (</w:t>
      </w:r>
      <w:r w:rsidRPr="005950FD">
        <w:t>Schedule 5</w:t>
      </w:r>
      <w:r w:rsidR="008B28D0">
        <w:t>)</w:t>
      </w:r>
      <w:r w:rsidRPr="005950FD">
        <w:t xml:space="preserve"> entry for moxidectin captures preparations for external use for the treatment of cats and dogs, containing 2.5% or less of moxidectin packed in single dose tubes with a volume of 1 mL or less.</w:t>
      </w:r>
    </w:p>
    <w:p w14:paraId="1B6C207A" w14:textId="5CC11077" w:rsidR="00084016" w:rsidRPr="005950FD" w:rsidRDefault="00084016" w:rsidP="00E82526">
      <w:pPr>
        <w:spacing w:before="120" w:after="0" w:line="240" w:lineRule="atLeast"/>
        <w:jc w:val="both"/>
      </w:pPr>
      <w:r w:rsidRPr="005950FD">
        <w:t xml:space="preserve">The proposal is to amend the current </w:t>
      </w:r>
      <w:r w:rsidR="008B28D0">
        <w:t>Caution (</w:t>
      </w:r>
      <w:r w:rsidR="008B28D0" w:rsidRPr="005950FD">
        <w:t>Schedule 5</w:t>
      </w:r>
      <w:r w:rsidR="008B28D0">
        <w:t>)</w:t>
      </w:r>
      <w:r w:rsidRPr="005950FD">
        <w:t xml:space="preserve"> entry to include preparations for external use for the treatment of cats and dogs, containing 25 mg or less of moxidectin in single dose tubes. The proposal will allow higher volumes of lower concentration moxidectin preparations available in the market to be classified as </w:t>
      </w:r>
      <w:r w:rsidR="008B28D0">
        <w:t>Caution (</w:t>
      </w:r>
      <w:r w:rsidR="008B28D0" w:rsidRPr="005950FD">
        <w:t>Schedule 5</w:t>
      </w:r>
      <w:r w:rsidR="008B28D0">
        <w:t>)</w:t>
      </w:r>
      <w:r w:rsidRPr="005950FD">
        <w:t xml:space="preserve"> without changing the total amount of moxidectin permissible under the current Schedule 5 entry.</w:t>
      </w:r>
    </w:p>
    <w:p w14:paraId="1E26B580" w14:textId="77777777" w:rsidR="00084016" w:rsidRPr="005950FD" w:rsidRDefault="00084016" w:rsidP="00E82526">
      <w:pPr>
        <w:spacing w:before="120" w:after="0" w:line="240" w:lineRule="atLeast"/>
        <w:jc w:val="both"/>
      </w:pPr>
      <w:r w:rsidRPr="005950FD">
        <w:lastRenderedPageBreak/>
        <w:t>In relation to s 52E(1)(a) and (c) of the Act, the proposed amendment achieves the same maximum exposure to moxidectin as the existing entry, but at lower concentrations. Therefore, the toxicity and any risk to public health is equivalent or lower when compared to the current scheduling.</w:t>
      </w:r>
    </w:p>
    <w:p w14:paraId="4E0DA66C" w14:textId="77777777" w:rsidR="00084016" w:rsidRPr="005950FD" w:rsidRDefault="00084016" w:rsidP="00E82526">
      <w:pPr>
        <w:spacing w:before="120" w:after="0" w:line="240" w:lineRule="atLeast"/>
        <w:jc w:val="both"/>
      </w:pPr>
      <w:r w:rsidRPr="005950FD">
        <w:t xml:space="preserve">Regarding s 52E(1)(b) and (e) of the Act, the intended use and potential of misuse or abuse of moxidectin have previously been considered by ACCS in 2018 (ACCS #22). The proposed uses and potential for misuse or abuse of moxidectin remain unchanged from </w:t>
      </w:r>
      <w:hyperlink r:id="rId43" w:anchor="invitation" w:history="1">
        <w:r w:rsidRPr="00E82526">
          <w:rPr>
            <w:color w:val="0563C1" w:themeColor="hyperlink"/>
            <w:u w:val="single"/>
          </w:rPr>
          <w:t>previous considerations.</w:t>
        </w:r>
      </w:hyperlink>
    </w:p>
    <w:p w14:paraId="7CB65C8A" w14:textId="7D3D2A32" w:rsidR="00084016" w:rsidRPr="005950FD" w:rsidRDefault="00084016" w:rsidP="00E82526">
      <w:pPr>
        <w:spacing w:before="120" w:after="0" w:line="240" w:lineRule="atLeast"/>
        <w:jc w:val="both"/>
      </w:pPr>
      <w:r w:rsidRPr="005950FD">
        <w:t xml:space="preserve">With respect to s 52E(1)(c) and (d) of the Act, the moxidectin preparation that will be affected by the proposed changes contain 1.4% moxidectin in a ready-to-use liquid spot-on formulation. It is registered in pack sizes containing up to 6 x 1.79 mL single use, flow-limited pipettes. The pipettes are enclosed in a child-resistant foil sachet, which is contained within a box that contains an APVMA approved label. The toxicity and safety of the affected moxidectin products remain unchanged from previous considerations </w:t>
      </w:r>
      <w:r w:rsidR="008B28D0" w:rsidRPr="005950FD">
        <w:t>by ACCS in 2018 (ACCS #22)</w:t>
      </w:r>
      <w:r w:rsidRPr="005950FD">
        <w:t>.</w:t>
      </w:r>
    </w:p>
    <w:p w14:paraId="7B091C21" w14:textId="77777777" w:rsidR="00084016" w:rsidRPr="005950FD" w:rsidRDefault="00084016" w:rsidP="00084016">
      <w:pPr>
        <w:spacing w:before="120"/>
      </w:pPr>
      <w:proofErr w:type="gramStart"/>
      <w:r w:rsidRPr="005950FD">
        <w:t>On the basis of</w:t>
      </w:r>
      <w:proofErr w:type="gramEnd"/>
      <w:r w:rsidRPr="005950FD">
        <w:t xml:space="preserve"> the above considerations and the information provided by the application, I have decided to amend the current Poisons Standard in the manner set out above. The proposed amendment was not referred to an expert advisory committee.</w:t>
      </w:r>
    </w:p>
    <w:p w14:paraId="278923E3" w14:textId="77777777" w:rsidR="00084016" w:rsidRPr="005950FD" w:rsidRDefault="00084016" w:rsidP="00C12DE0">
      <w:pPr>
        <w:pStyle w:val="Heading4"/>
      </w:pPr>
      <w:r w:rsidRPr="005950FD">
        <w:t>Implementation date</w:t>
      </w:r>
      <w:bookmarkStart w:id="47" w:name="_Toc164149825"/>
      <w:bookmarkStart w:id="48" w:name="_Toc140832989"/>
      <w:r w:rsidRPr="005950FD">
        <w:t xml:space="preserve"> </w:t>
      </w:r>
    </w:p>
    <w:p w14:paraId="533285B8" w14:textId="77777777" w:rsidR="00084016" w:rsidRPr="00E82526" w:rsidRDefault="00084016" w:rsidP="00084016">
      <w:pPr>
        <w:spacing w:before="360"/>
      </w:pPr>
      <w:r w:rsidRPr="00E82526">
        <w:t>1 October 2024</w:t>
      </w:r>
    </w:p>
    <w:p w14:paraId="6CB41F46" w14:textId="12382229" w:rsidR="005951C6" w:rsidRDefault="005951C6" w:rsidP="005951C6">
      <w:pPr>
        <w:pStyle w:val="Heading3"/>
      </w:pPr>
      <w:bookmarkStart w:id="49" w:name="_Toc178340907"/>
      <w:bookmarkEnd w:id="47"/>
      <w:r>
        <w:t xml:space="preserve">Final decision in relation to </w:t>
      </w:r>
      <w:bookmarkEnd w:id="48"/>
      <w:proofErr w:type="spellStart"/>
      <w:r>
        <w:t>vatinoxan</w:t>
      </w:r>
      <w:proofErr w:type="spellEnd"/>
      <w:r>
        <w:t xml:space="preserve"> hydrochloride</w:t>
      </w:r>
      <w:bookmarkEnd w:id="49"/>
    </w:p>
    <w:p w14:paraId="5520A3EF" w14:textId="77777777" w:rsidR="005951C6" w:rsidRPr="00BB34CD" w:rsidRDefault="005951C6" w:rsidP="008B28D0">
      <w:pPr>
        <w:pStyle w:val="Heading4"/>
      </w:pPr>
      <w:r w:rsidRPr="00BB34CD">
        <w:t xml:space="preserve">Final Decision </w:t>
      </w:r>
    </w:p>
    <w:p w14:paraId="603DEA0E" w14:textId="77777777" w:rsidR="005951C6" w:rsidRDefault="005951C6" w:rsidP="005951C6">
      <w:r w:rsidRPr="00C546F4">
        <w:t>Pur</w:t>
      </w:r>
      <w:r w:rsidRPr="004D16D8">
        <w:t>suant to regulation 42ZCZU</w:t>
      </w:r>
      <w:r w:rsidRPr="004D16D8" w:rsidDel="005F3EA0">
        <w:t xml:space="preserve"> </w:t>
      </w:r>
      <w:r w:rsidRPr="004D16D8">
        <w:t xml:space="preserve">of the Regulations, a Delegate of the Secretary has made a final decision to amend the current Poisons Standard in relation to </w:t>
      </w:r>
      <w:proofErr w:type="spellStart"/>
      <w:r w:rsidRPr="004D16D8">
        <w:t>vatinoxan</w:t>
      </w:r>
      <w:proofErr w:type="spellEnd"/>
      <w:r w:rsidRPr="004D16D8">
        <w:t xml:space="preserve"> </w:t>
      </w:r>
      <w:r>
        <w:t xml:space="preserve">hydrochloride </w:t>
      </w:r>
      <w:r w:rsidRPr="004D16D8">
        <w:t>as follows:</w:t>
      </w:r>
      <w:r w:rsidRPr="000B1685">
        <w:rPr>
          <w:rStyle w:val="FootnoteReference"/>
        </w:rPr>
        <w:t xml:space="preserve"> </w:t>
      </w:r>
      <w:r>
        <w:rPr>
          <w:rStyle w:val="FootnoteReference"/>
        </w:rPr>
        <w:footnoteReference w:id="24"/>
      </w:r>
    </w:p>
    <w:p w14:paraId="4248F9F2" w14:textId="77777777" w:rsidR="005951C6" w:rsidRPr="002008D8" w:rsidRDefault="005951C6" w:rsidP="005951C6">
      <w:pPr>
        <w:spacing w:line="240" w:lineRule="atLeast"/>
        <w:ind w:left="425"/>
        <w:rPr>
          <w:rFonts w:eastAsia="Cambria" w:cstheme="minorHAnsi"/>
          <w:b/>
        </w:rPr>
      </w:pPr>
      <w:bookmarkStart w:id="50" w:name="_Toc420405050"/>
      <w:r w:rsidRPr="002008D8">
        <w:rPr>
          <w:rFonts w:eastAsia="Cambria" w:cstheme="minorHAnsi"/>
          <w:b/>
        </w:rPr>
        <w:t xml:space="preserve">Schedule </w:t>
      </w:r>
      <w:r>
        <w:rPr>
          <w:rFonts w:eastAsia="Cambria" w:cstheme="minorHAnsi"/>
          <w:b/>
        </w:rPr>
        <w:t>4</w:t>
      </w:r>
      <w:r w:rsidRPr="002008D8">
        <w:rPr>
          <w:rFonts w:eastAsia="Cambria" w:cstheme="minorHAnsi"/>
          <w:b/>
        </w:rPr>
        <w:t xml:space="preserve"> – New Entry</w:t>
      </w:r>
    </w:p>
    <w:p w14:paraId="04A9911C" w14:textId="77777777" w:rsidR="005951C6" w:rsidRDefault="005951C6" w:rsidP="005951C6">
      <w:pPr>
        <w:shd w:val="clear" w:color="auto" w:fill="FFFFFF"/>
        <w:ind w:left="709"/>
        <w:rPr>
          <w:rFonts w:eastAsia="Times New Roman" w:cstheme="minorHAnsi"/>
          <w:color w:val="00B050"/>
          <w:u w:val="single"/>
          <w:lang w:eastAsia="en-AU"/>
        </w:rPr>
      </w:pPr>
      <w:r w:rsidRPr="00106350">
        <w:rPr>
          <w:rFonts w:eastAsia="Times New Roman" w:cstheme="minorHAnsi"/>
          <w:color w:val="00B050"/>
          <w:u w:val="single"/>
          <w:lang w:eastAsia="en-AU"/>
        </w:rPr>
        <w:t>VATINOXAN HYDROCHLORIDE</w:t>
      </w:r>
    </w:p>
    <w:p w14:paraId="78308AA1" w14:textId="77777777" w:rsidR="005951C6" w:rsidRPr="002008D8" w:rsidRDefault="005951C6" w:rsidP="005951C6">
      <w:pPr>
        <w:spacing w:line="240" w:lineRule="atLeast"/>
        <w:ind w:left="425"/>
        <w:rPr>
          <w:rFonts w:eastAsia="Cambria" w:cstheme="minorHAnsi"/>
          <w:b/>
        </w:rPr>
      </w:pPr>
      <w:r w:rsidRPr="002008D8">
        <w:rPr>
          <w:rFonts w:eastAsia="Cambria" w:cstheme="minorHAnsi"/>
          <w:b/>
        </w:rPr>
        <w:t>Index – New Entry</w:t>
      </w:r>
    </w:p>
    <w:p w14:paraId="794329D0" w14:textId="77777777" w:rsidR="005951C6" w:rsidRDefault="005951C6" w:rsidP="005951C6">
      <w:pPr>
        <w:spacing w:after="0"/>
        <w:ind w:left="709"/>
        <w:rPr>
          <w:rFonts w:eastAsia="Cambria" w:cstheme="minorHAnsi"/>
          <w:b/>
          <w:bCs/>
          <w:color w:val="00B050"/>
          <w:u w:val="single"/>
        </w:rPr>
      </w:pPr>
      <w:r w:rsidRPr="00106350">
        <w:rPr>
          <w:rFonts w:eastAsia="Cambria" w:cstheme="minorHAnsi"/>
          <w:b/>
          <w:bCs/>
          <w:color w:val="00B050"/>
          <w:u w:val="single"/>
        </w:rPr>
        <w:t>VATINOXAN HYDROCHLORIDE</w:t>
      </w:r>
    </w:p>
    <w:p w14:paraId="20A7FCFC" w14:textId="77777777" w:rsidR="005951C6" w:rsidRPr="00C17BC3" w:rsidRDefault="005951C6" w:rsidP="005951C6">
      <w:pPr>
        <w:ind w:left="709"/>
        <w:rPr>
          <w:rFonts w:eastAsia="Cambria" w:cstheme="minorHAnsi"/>
          <w:color w:val="00B050"/>
          <w:u w:val="single"/>
        </w:rPr>
      </w:pPr>
      <w:r w:rsidRPr="00EA4D58">
        <w:rPr>
          <w:rFonts w:eastAsia="Cambria" w:cstheme="minorHAnsi"/>
          <w:color w:val="00B050"/>
          <w:u w:val="single"/>
        </w:rPr>
        <w:t>Schedule 4</w:t>
      </w:r>
      <w:bookmarkEnd w:id="50"/>
    </w:p>
    <w:p w14:paraId="67A12317" w14:textId="77777777" w:rsidR="005951C6" w:rsidRPr="00BB34CD" w:rsidRDefault="005951C6" w:rsidP="008B28D0">
      <w:pPr>
        <w:pStyle w:val="Heading4"/>
      </w:pPr>
      <w:r w:rsidRPr="00BB34CD">
        <w:t>Materials considered</w:t>
      </w:r>
    </w:p>
    <w:p w14:paraId="2BCC1780" w14:textId="77777777" w:rsidR="005951C6" w:rsidRDefault="005951C6" w:rsidP="005951C6">
      <w:r>
        <w:t>In making this final decision, the Delegate considered the following material:</w:t>
      </w:r>
    </w:p>
    <w:p w14:paraId="4FAE63CA" w14:textId="77777777" w:rsidR="005951C6" w:rsidRDefault="005951C6" w:rsidP="005951C6">
      <w:pPr>
        <w:pStyle w:val="ListBullet"/>
        <w:ind w:left="720"/>
      </w:pPr>
      <w:r>
        <w:t xml:space="preserve">The </w:t>
      </w:r>
      <w:r w:rsidRPr="00C02858">
        <w:t>application</w:t>
      </w:r>
      <w:r>
        <w:t xml:space="preserve"> to amend the current Poisons Standard with respect to </w:t>
      </w:r>
      <w:proofErr w:type="spellStart"/>
      <w:r>
        <w:t>vatinoxan</w:t>
      </w:r>
      <w:proofErr w:type="spellEnd"/>
      <w:r>
        <w:t xml:space="preserve"> (the </w:t>
      </w:r>
      <w:r w:rsidRPr="000A3085">
        <w:rPr>
          <w:b/>
          <w:bCs/>
        </w:rPr>
        <w:t>Application</w:t>
      </w:r>
      <w:r>
        <w:t>)</w:t>
      </w:r>
    </w:p>
    <w:p w14:paraId="70371180" w14:textId="47705314" w:rsidR="005951C6" w:rsidRDefault="005951C6" w:rsidP="005951C6">
      <w:pPr>
        <w:pStyle w:val="ListBullet"/>
        <w:ind w:left="720"/>
      </w:pPr>
      <w:r w:rsidRPr="001169AC">
        <w:t>Subsection 52</w:t>
      </w:r>
      <w:proofErr w:type="gramStart"/>
      <w:r w:rsidRPr="001169AC">
        <w:t>E(</w:t>
      </w:r>
      <w:proofErr w:type="gramEnd"/>
      <w:r w:rsidRPr="001169AC">
        <w:t xml:space="preserv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w:t>
      </w:r>
      <w:r>
        <w:t xml:space="preserve"> and</w:t>
      </w:r>
      <w:r w:rsidRPr="001169AC">
        <w:t xml:space="preserve"> (d) the dosage, formulation, labelling, packaging and presentation of a substance</w:t>
      </w:r>
    </w:p>
    <w:p w14:paraId="0BA74288" w14:textId="77777777" w:rsidR="005951C6" w:rsidRPr="00236F67" w:rsidRDefault="005951C6" w:rsidP="005951C6">
      <w:pPr>
        <w:pStyle w:val="ListBullet"/>
        <w:ind w:left="720"/>
      </w:pPr>
      <w:r>
        <w:t xml:space="preserve">Pursuant to paragraph 52E(2)(a) of the Act, </w:t>
      </w:r>
      <w:r w:rsidRPr="00236F67">
        <w:t>the SPF,</w:t>
      </w:r>
    </w:p>
    <w:p w14:paraId="2AB00598" w14:textId="77777777" w:rsidR="005951C6" w:rsidRDefault="005951C6" w:rsidP="005951C6">
      <w:pPr>
        <w:pStyle w:val="ListBullet"/>
        <w:ind w:left="720"/>
      </w:pPr>
      <w:r>
        <w:lastRenderedPageBreak/>
        <w:t>The Handbook.</w:t>
      </w:r>
    </w:p>
    <w:p w14:paraId="3DD355CF" w14:textId="77777777" w:rsidR="005951C6" w:rsidRDefault="005951C6" w:rsidP="008B28D0">
      <w:pPr>
        <w:pStyle w:val="Heading4"/>
      </w:pPr>
      <w:r w:rsidRPr="00300CBB">
        <w:t>Reasons for the final decision (including findings on material questions of fact)</w:t>
      </w:r>
    </w:p>
    <w:p w14:paraId="6F8FCBE0" w14:textId="74C019A7" w:rsidR="005951C6" w:rsidRPr="008B1EEA" w:rsidRDefault="005951C6" w:rsidP="005951C6">
      <w:r w:rsidRPr="008B1EEA">
        <w:t xml:space="preserve">In determining that this matter will be a delegate-only decision I have </w:t>
      </w:r>
      <w:proofErr w:type="gramStart"/>
      <w:r w:rsidRPr="008B1EEA">
        <w:t>taken into account</w:t>
      </w:r>
      <w:proofErr w:type="gramEnd"/>
      <w:r w:rsidRPr="008B1EEA">
        <w:t xml:space="preserve"> the information provided </w:t>
      </w:r>
      <w:r w:rsidR="00E82526">
        <w:t>by</w:t>
      </w:r>
      <w:r w:rsidRPr="008B1EEA">
        <w:t xml:space="preserve"> the Australian Pesticides and Veterinary Medicine Authority (APVMA), and the matters outlined under s 52E of the Act and the SPF. </w:t>
      </w:r>
      <w:r w:rsidR="00E82526">
        <w:t>My reasons for making the final decision are as follows.</w:t>
      </w:r>
    </w:p>
    <w:p w14:paraId="7A8D3CDE" w14:textId="3B2FFB89" w:rsidR="005951C6" w:rsidRDefault="00512E8A" w:rsidP="00E82526">
      <w:pPr>
        <w:pStyle w:val="ListBullet"/>
        <w:numPr>
          <w:ilvl w:val="0"/>
          <w:numId w:val="0"/>
        </w:numPr>
      </w:pPr>
      <w:r>
        <w:t>The Application proposed to amend the current Poisons Standard to create a Prescription only (</w:t>
      </w:r>
      <w:r w:rsidRPr="00F77407">
        <w:t>Schedule 4</w:t>
      </w:r>
      <w:r>
        <w:t xml:space="preserve">) entry for </w:t>
      </w:r>
      <w:proofErr w:type="spellStart"/>
      <w:r w:rsidR="005951C6" w:rsidRPr="00F77407">
        <w:t>vatinoxan</w:t>
      </w:r>
      <w:proofErr w:type="spellEnd"/>
      <w:r w:rsidR="005951C6" w:rsidRPr="00F77407">
        <w:t xml:space="preserve"> hydrochloride</w:t>
      </w:r>
      <w:r w:rsidR="005951C6">
        <w:t xml:space="preserve">. </w:t>
      </w:r>
      <w:proofErr w:type="spellStart"/>
      <w:r w:rsidR="005951C6">
        <w:t>Vatinoxan</w:t>
      </w:r>
      <w:proofErr w:type="spellEnd"/>
      <w:r w:rsidR="005951C6">
        <w:t xml:space="preserve"> is currently not included in the Poisons Standard.</w:t>
      </w:r>
    </w:p>
    <w:p w14:paraId="17651174" w14:textId="3AD1855F" w:rsidR="005951C6" w:rsidRPr="00E96D76" w:rsidRDefault="005951C6" w:rsidP="00E82526">
      <w:pPr>
        <w:pStyle w:val="ListBullet"/>
        <w:numPr>
          <w:ilvl w:val="0"/>
          <w:numId w:val="0"/>
        </w:numPr>
      </w:pPr>
      <w:r>
        <w:t xml:space="preserve">Regarding s 52E(1)(a) and (b) of the Act, </w:t>
      </w:r>
      <w:proofErr w:type="spellStart"/>
      <w:r>
        <w:t>vatinoxan</w:t>
      </w:r>
      <w:proofErr w:type="spellEnd"/>
      <w:r>
        <w:t xml:space="preserve"> is intended to be used in injectable preparations also containing </w:t>
      </w:r>
      <w:r w:rsidRPr="00A732A2">
        <w:t>medetomidine hydrochloride</w:t>
      </w:r>
      <w:r>
        <w:t xml:space="preserve">. The co-formulated product is intended as a sedative and analgesic in dogs during veterinary medical procedures. </w:t>
      </w:r>
      <w:proofErr w:type="spellStart"/>
      <w:r>
        <w:t>V</w:t>
      </w:r>
      <w:r w:rsidRPr="00F77407">
        <w:t>atinoxan</w:t>
      </w:r>
      <w:proofErr w:type="spellEnd"/>
      <w:r w:rsidRPr="00F77407">
        <w:t xml:space="preserve"> is not proposed for use for its inherent pharmacological effects but</w:t>
      </w:r>
      <w:r>
        <w:t xml:space="preserve"> is</w:t>
      </w:r>
      <w:r w:rsidRPr="00F77407">
        <w:t xml:space="preserve"> instead added to the formulation to reduce the adverse peripheral effects</w:t>
      </w:r>
      <w:r>
        <w:t xml:space="preserve"> of</w:t>
      </w:r>
      <w:r w:rsidRPr="00F77407">
        <w:t xml:space="preserve"> medetomidine. Medetomidine is captured under </w:t>
      </w:r>
      <w:r w:rsidR="00773B4C">
        <w:t>Prescription only (</w:t>
      </w:r>
      <w:r w:rsidRPr="00F77407">
        <w:t>Schedule 4</w:t>
      </w:r>
      <w:r w:rsidR="00773B4C">
        <w:t>) entries in</w:t>
      </w:r>
      <w:r w:rsidRPr="00F77407">
        <w:t xml:space="preserve"> the </w:t>
      </w:r>
      <w:r w:rsidR="00773B4C">
        <w:t xml:space="preserve">current </w:t>
      </w:r>
      <w:r w:rsidRPr="00F77407">
        <w:t>Poisons Standard</w:t>
      </w:r>
      <w:r>
        <w:t>.</w:t>
      </w:r>
    </w:p>
    <w:p w14:paraId="1E8B10B7" w14:textId="750EDA39" w:rsidR="007D2158" w:rsidRDefault="00C14E48" w:rsidP="00E82526">
      <w:pPr>
        <w:pStyle w:val="ListBullet"/>
        <w:numPr>
          <w:ilvl w:val="0"/>
          <w:numId w:val="0"/>
        </w:numPr>
      </w:pPr>
      <w:r>
        <w:t>With regards</w:t>
      </w:r>
      <w:r w:rsidR="005951C6">
        <w:t xml:space="preserve"> to s </w:t>
      </w:r>
      <w:r w:rsidR="005951C6" w:rsidRPr="00E31186">
        <w:t>52E(1)(</w:t>
      </w:r>
      <w:r w:rsidR="005951C6">
        <w:t>c</w:t>
      </w:r>
      <w:r w:rsidR="005951C6" w:rsidRPr="00E31186">
        <w:t>) of the Act,</w:t>
      </w:r>
      <w:r w:rsidR="005951C6">
        <w:t xml:space="preserve"> the Application </w:t>
      </w:r>
      <w:r w:rsidR="00BE32C5">
        <w:t xml:space="preserve">highlighted the </w:t>
      </w:r>
      <w:r w:rsidR="005951C6">
        <w:t>limited availability of</w:t>
      </w:r>
      <w:r w:rsidR="008D6261">
        <w:t xml:space="preserve"> </w:t>
      </w:r>
      <w:r w:rsidR="005951C6">
        <w:t xml:space="preserve">toxicity data for </w:t>
      </w:r>
      <w:proofErr w:type="spellStart"/>
      <w:r w:rsidR="005951C6">
        <w:t>vatinoxan</w:t>
      </w:r>
      <w:proofErr w:type="spellEnd"/>
      <w:r w:rsidR="005951C6">
        <w:t>. It has low acute oral toxicity</w:t>
      </w:r>
      <w:r w:rsidR="008D6261">
        <w:t xml:space="preserve"> (LD</w:t>
      </w:r>
      <w:r w:rsidR="008D6261" w:rsidRPr="00152321">
        <w:rPr>
          <w:vertAlign w:val="subscript"/>
        </w:rPr>
        <w:t>50</w:t>
      </w:r>
      <w:r w:rsidR="008D6261">
        <w:t xml:space="preserve">: </w:t>
      </w:r>
      <w:r w:rsidR="009C1126">
        <w:t>&gt;</w:t>
      </w:r>
      <w:r w:rsidR="008D6261">
        <w:t xml:space="preserve">2000 mg/kg </w:t>
      </w:r>
      <w:proofErr w:type="spellStart"/>
      <w:r w:rsidR="008D6261">
        <w:t>bw</w:t>
      </w:r>
      <w:proofErr w:type="spellEnd"/>
      <w:r w:rsidR="009C1126">
        <w:t>, rat)</w:t>
      </w:r>
      <w:r w:rsidR="00903CBD">
        <w:t>. No information was available to indicate the substance’s acute derma</w:t>
      </w:r>
      <w:r w:rsidR="003D036E">
        <w:t>l and inhalational toxicity, skin and eye irritation, or its potential to be a skin sensitiser. In a 28 day repeat dose dietary study in rat</w:t>
      </w:r>
      <w:r w:rsidR="004E3E16">
        <w:t>s</w:t>
      </w:r>
      <w:r w:rsidR="00B7271F">
        <w:t xml:space="preserve"> </w:t>
      </w:r>
      <w:r w:rsidR="00EB592B">
        <w:t>the key adverse effect</w:t>
      </w:r>
      <w:r w:rsidR="007D2158">
        <w:t xml:space="preserve"> observed was soft stools in male rats</w:t>
      </w:r>
      <w:r w:rsidR="00B7271F">
        <w:t>. A</w:t>
      </w:r>
      <w:r w:rsidR="005951C6">
        <w:t xml:space="preserve"> NOAEL of 20 mg/kg </w:t>
      </w:r>
      <w:proofErr w:type="spellStart"/>
      <w:r w:rsidR="005951C6">
        <w:t>bw</w:t>
      </w:r>
      <w:proofErr w:type="spellEnd"/>
      <w:r w:rsidR="005951C6">
        <w:t xml:space="preserve">/d </w:t>
      </w:r>
      <w:r w:rsidR="007D2158">
        <w:t>was derived from this study.</w:t>
      </w:r>
    </w:p>
    <w:p w14:paraId="1B5B4BE9" w14:textId="0F4437C3" w:rsidR="005951C6" w:rsidRDefault="005951C6" w:rsidP="00E82526">
      <w:pPr>
        <w:pStyle w:val="ListBullet"/>
        <w:numPr>
          <w:ilvl w:val="0"/>
          <w:numId w:val="0"/>
        </w:numPr>
      </w:pPr>
      <w:r>
        <w:t xml:space="preserve">No genotoxicity was detected but no information is available on the </w:t>
      </w:r>
      <w:r w:rsidRPr="00015936">
        <w:t>neurotoxicity, immunotoxicity, developmental</w:t>
      </w:r>
      <w:r>
        <w:t xml:space="preserve"> or</w:t>
      </w:r>
      <w:r w:rsidRPr="00015936">
        <w:t xml:space="preserve"> reproductive</w:t>
      </w:r>
      <w:r>
        <w:t xml:space="preserve"> toxicity</w:t>
      </w:r>
      <w:r w:rsidRPr="00015936">
        <w:t xml:space="preserve"> or carcinogenicity</w:t>
      </w:r>
      <w:r>
        <w:t xml:space="preserve"> of </w:t>
      </w:r>
      <w:proofErr w:type="spellStart"/>
      <w:r>
        <w:t>vatinoxan</w:t>
      </w:r>
      <w:proofErr w:type="spellEnd"/>
      <w:r>
        <w:t xml:space="preserve">. However, the substance is well </w:t>
      </w:r>
      <w:r w:rsidR="00E82526">
        <w:t>tolerated,</w:t>
      </w:r>
      <w:r>
        <w:t xml:space="preserve"> and no mortality was observed at 5 times the recommended dose. Further, it is unlikely to cause drug-drug interaction</w:t>
      </w:r>
      <w:r w:rsidR="008F4413">
        <w:t>s</w:t>
      </w:r>
      <w:r>
        <w:t xml:space="preserve"> and has no known abuse potential (s 52E(1)(e) of the Act).</w:t>
      </w:r>
    </w:p>
    <w:p w14:paraId="187BE909" w14:textId="77777777" w:rsidR="005951C6" w:rsidRDefault="005951C6" w:rsidP="00E82526">
      <w:pPr>
        <w:pStyle w:val="ListBullet"/>
        <w:numPr>
          <w:ilvl w:val="0"/>
          <w:numId w:val="0"/>
        </w:numPr>
      </w:pPr>
      <w:proofErr w:type="gramStart"/>
      <w:r>
        <w:t>With regard to</w:t>
      </w:r>
      <w:proofErr w:type="gramEnd"/>
      <w:r>
        <w:t xml:space="preserve"> s 52E(1)(d) of the Act, the Application notes that the </w:t>
      </w:r>
      <w:r w:rsidRPr="007B5573">
        <w:t>APVMA</w:t>
      </w:r>
      <w:r>
        <w:t xml:space="preserve"> re</w:t>
      </w:r>
      <w:r w:rsidRPr="007B5573">
        <w:t xml:space="preserve">ceived an application for registration of a new product containing 10 mg/mL </w:t>
      </w:r>
      <w:proofErr w:type="spellStart"/>
      <w:r w:rsidRPr="007B5573">
        <w:t>vatinoxan</w:t>
      </w:r>
      <w:proofErr w:type="spellEnd"/>
      <w:r w:rsidRPr="007B5573">
        <w:t xml:space="preserve"> hydrochloride and 0.5 mg/mL medetomidine hydrochloride</w:t>
      </w:r>
      <w:r>
        <w:t xml:space="preserve"> for intramuscular injection</w:t>
      </w:r>
      <w:r w:rsidRPr="007B5573">
        <w:t xml:space="preserve"> </w:t>
      </w:r>
      <w:r>
        <w:t>in d</w:t>
      </w:r>
      <w:r w:rsidRPr="007B5573">
        <w:t>ogs.</w:t>
      </w:r>
      <w:r>
        <w:t xml:space="preserve"> </w:t>
      </w:r>
      <w:r w:rsidRPr="00A732A2">
        <w:t xml:space="preserve">The product </w:t>
      </w:r>
      <w:r>
        <w:t>will be available in 10 mL vials</w:t>
      </w:r>
      <w:r w:rsidRPr="00A732A2">
        <w:t xml:space="preserve"> intended for professional use by veterinarians</w:t>
      </w:r>
      <w:r>
        <w:t xml:space="preserve"> </w:t>
      </w:r>
      <w:r w:rsidRPr="006B5732">
        <w:t>at a dose of 1</w:t>
      </w:r>
      <w:r>
        <w:t> </w:t>
      </w:r>
      <w:r w:rsidRPr="006B5732">
        <w:t xml:space="preserve">mg medetomidine hydrochloride and 20 mg </w:t>
      </w:r>
      <w:proofErr w:type="spellStart"/>
      <w:r w:rsidRPr="006B5732">
        <w:t>vatinoxan</w:t>
      </w:r>
      <w:proofErr w:type="spellEnd"/>
      <w:r w:rsidRPr="006B5732">
        <w:t xml:space="preserve"> hydrochloride</w:t>
      </w:r>
      <w:r>
        <w:t xml:space="preserve"> </w:t>
      </w:r>
      <w:r w:rsidRPr="00A732A2">
        <w:t>per square metre of body surface area</w:t>
      </w:r>
      <w:r>
        <w:t>.</w:t>
      </w:r>
    </w:p>
    <w:p w14:paraId="64A7CB5E" w14:textId="471BF03B" w:rsidR="005951C6" w:rsidRDefault="005951C6" w:rsidP="00E82526">
      <w:pPr>
        <w:pStyle w:val="ListBullet"/>
        <w:numPr>
          <w:ilvl w:val="0"/>
          <w:numId w:val="0"/>
        </w:numPr>
      </w:pPr>
      <w:r>
        <w:t>T</w:t>
      </w:r>
      <w:r w:rsidRPr="00BA7E24">
        <w:t xml:space="preserve">he proposed use of </w:t>
      </w:r>
      <w:proofErr w:type="spellStart"/>
      <w:r w:rsidRPr="00BA7E24">
        <w:t>vatinoxan</w:t>
      </w:r>
      <w:proofErr w:type="spellEnd"/>
      <w:r w:rsidRPr="00BA7E24">
        <w:t xml:space="preserve"> is in the veterinary clinical setting</w:t>
      </w:r>
      <w:r>
        <w:t xml:space="preserve">. The co-formulated product containing </w:t>
      </w:r>
      <w:proofErr w:type="spellStart"/>
      <w:r>
        <w:t>vatinoxan</w:t>
      </w:r>
      <w:proofErr w:type="spellEnd"/>
      <w:r>
        <w:t xml:space="preserve"> and </w:t>
      </w:r>
      <w:r w:rsidRPr="00A732A2">
        <w:t>medetomidine hydrochloride</w:t>
      </w:r>
      <w:r>
        <w:t xml:space="preserve"> will be administered via intramuscular injection for sedation and analgesia of short medical and surgical procedures. I am of the view that the administration of the substance requires veterinary intervention.</w:t>
      </w:r>
      <w:r w:rsidRPr="00713BCB">
        <w:t xml:space="preserve"> </w:t>
      </w:r>
      <w:r>
        <w:t>Veterinary supervision of animals is</w:t>
      </w:r>
      <w:r w:rsidR="009A2087">
        <w:t xml:space="preserve"> </w:t>
      </w:r>
      <w:r>
        <w:t xml:space="preserve">also required to monitor pharmacological or adverse effects during sedation and performance of procedures. </w:t>
      </w:r>
      <w:r w:rsidR="00C54D2C">
        <w:t>The r</w:t>
      </w:r>
      <w:r>
        <w:t>equirement of veterinarian supervision aligns with scheduling factors 1, 2 and 4 for Schedule 4 substances.</w:t>
      </w:r>
    </w:p>
    <w:p w14:paraId="1431D1D5" w14:textId="05ADD6CB" w:rsidR="005951C6" w:rsidRDefault="005951C6" w:rsidP="00E82526">
      <w:pPr>
        <w:pStyle w:val="ListBullet"/>
        <w:numPr>
          <w:ilvl w:val="0"/>
          <w:numId w:val="0"/>
        </w:numPr>
      </w:pPr>
      <w:r>
        <w:t xml:space="preserve">Further, there is minimal human experience with </w:t>
      </w:r>
      <w:proofErr w:type="spellStart"/>
      <w:r>
        <w:t>vatinoxan</w:t>
      </w:r>
      <w:proofErr w:type="spellEnd"/>
      <w:r>
        <w:t xml:space="preserve"> alone. </w:t>
      </w:r>
      <w:r w:rsidRPr="00713BCB">
        <w:t xml:space="preserve">Experimental IV infusion in humans resulted in nausea, vomiting, GIT discomfort/cramps, perspiration, tingling/paraesthesia of </w:t>
      </w:r>
      <w:proofErr w:type="spellStart"/>
      <w:r w:rsidRPr="00713BCB">
        <w:t>forearms</w:t>
      </w:r>
      <w:proofErr w:type="spellEnd"/>
      <w:r w:rsidRPr="00713BCB">
        <w:t xml:space="preserve"> and legs, palpitations, light-headedness, urinary urgency</w:t>
      </w:r>
      <w:r>
        <w:t xml:space="preserve"> and i</w:t>
      </w:r>
      <w:r w:rsidRPr="00713BCB">
        <w:t>ncreased noradrenaline levels.</w:t>
      </w:r>
      <w:r>
        <w:t xml:space="preserve"> There is no </w:t>
      </w:r>
      <w:r w:rsidRPr="00713BCB">
        <w:t xml:space="preserve">human experience with </w:t>
      </w:r>
      <w:r>
        <w:t xml:space="preserve">the co-formulated product. Such lack of </w:t>
      </w:r>
      <w:r w:rsidRPr="00781A07">
        <w:t xml:space="preserve">experience of the use of the substance under normal clinical conditions </w:t>
      </w:r>
      <w:r>
        <w:t xml:space="preserve">is consistent with Schedule 4, </w:t>
      </w:r>
      <w:r w:rsidR="00773B4C">
        <w:t>scheduling factor</w:t>
      </w:r>
      <w:r>
        <w:t xml:space="preserve"> 8.</w:t>
      </w:r>
    </w:p>
    <w:p w14:paraId="564B9572" w14:textId="5363289C" w:rsidR="005951C6" w:rsidRDefault="00773B4C" w:rsidP="005951C6">
      <w:proofErr w:type="gramStart"/>
      <w:r w:rsidRPr="005950FD">
        <w:t>On the basis of</w:t>
      </w:r>
      <w:proofErr w:type="gramEnd"/>
      <w:r w:rsidRPr="005950FD">
        <w:t xml:space="preserve"> the above considerations and the information provided by the application, I have decided to amend the current Poisons Standard in the manner set out above. The proposed amendment was not referred to an expert advisory committee.</w:t>
      </w:r>
    </w:p>
    <w:p w14:paraId="2CB111AE" w14:textId="77777777" w:rsidR="005951C6" w:rsidRPr="00300CBB" w:rsidRDefault="005951C6" w:rsidP="00773B4C">
      <w:pPr>
        <w:pStyle w:val="Heading4"/>
      </w:pPr>
      <w:r w:rsidRPr="00300CBB">
        <w:lastRenderedPageBreak/>
        <w:t>Implementation date</w:t>
      </w:r>
    </w:p>
    <w:p w14:paraId="1FFFFCD5" w14:textId="0B89B3C7" w:rsidR="005951C6" w:rsidRPr="00773B4C" w:rsidRDefault="005951C6" w:rsidP="005951C6">
      <w:r w:rsidRPr="00773B4C">
        <w:t xml:space="preserve">1 </w:t>
      </w:r>
      <w:r w:rsidR="002A6F8F">
        <w:t>October</w:t>
      </w:r>
      <w:r w:rsidRPr="00773B4C">
        <w:t xml:space="preserve"> 202</w:t>
      </w:r>
      <w:r w:rsidR="002A6F8F">
        <w:t>4</w:t>
      </w:r>
    </w:p>
    <w:p w14:paraId="363623BD" w14:textId="77777777" w:rsidR="005951C6" w:rsidRPr="00831400" w:rsidRDefault="005951C6" w:rsidP="00BB2BEA">
      <w:pPr>
        <w:pStyle w:val="Heading3"/>
      </w:pPr>
      <w:bookmarkStart w:id="51" w:name="_Toc178340908"/>
      <w:r w:rsidRPr="00831400">
        <w:t xml:space="preserve">Final decision in relation to </w:t>
      </w:r>
      <w:proofErr w:type="spellStart"/>
      <w:r>
        <w:t>homobrassinolide</w:t>
      </w:r>
      <w:bookmarkEnd w:id="51"/>
      <w:proofErr w:type="spellEnd"/>
    </w:p>
    <w:p w14:paraId="5605DB2E" w14:textId="77777777" w:rsidR="005951C6" w:rsidRPr="00831400" w:rsidRDefault="005951C6" w:rsidP="009D113D">
      <w:pPr>
        <w:pStyle w:val="Heading4"/>
      </w:pPr>
      <w:r w:rsidRPr="00831400">
        <w:t xml:space="preserve">Final Decision </w:t>
      </w:r>
    </w:p>
    <w:p w14:paraId="39B66587" w14:textId="6F477703" w:rsidR="005951C6" w:rsidRPr="00831400" w:rsidRDefault="005951C6" w:rsidP="005951C6">
      <w:r w:rsidRPr="00831400">
        <w:t>Pursuant to regulation 42ZCZU</w:t>
      </w:r>
      <w:r w:rsidRPr="00831400" w:rsidDel="005F3EA0">
        <w:t xml:space="preserve"> </w:t>
      </w:r>
      <w:r w:rsidRPr="00831400">
        <w:t xml:space="preserve">of the Regulations, a Delegate of the Secretary has made a final decision to amend the current Poisons Standard in relation to </w:t>
      </w:r>
      <w:proofErr w:type="spellStart"/>
      <w:r>
        <w:t>homobrassinolide</w:t>
      </w:r>
      <w:proofErr w:type="spellEnd"/>
      <w:r w:rsidRPr="00831400">
        <w:t xml:space="preserve"> as follows.</w:t>
      </w:r>
      <w:r w:rsidR="00D70413">
        <w:rPr>
          <w:rStyle w:val="FootnoteReference"/>
        </w:rPr>
        <w:footnoteReference w:id="25"/>
      </w:r>
    </w:p>
    <w:p w14:paraId="2561C283" w14:textId="77777777" w:rsidR="005951C6" w:rsidRPr="00831400" w:rsidRDefault="005951C6" w:rsidP="005951C6">
      <w:pPr>
        <w:ind w:left="426"/>
        <w:rPr>
          <w:rFonts w:cstheme="minorHAnsi"/>
          <w:b/>
          <w:color w:val="auto"/>
        </w:rPr>
      </w:pPr>
      <w:r w:rsidRPr="00831400">
        <w:rPr>
          <w:rFonts w:cstheme="minorHAnsi"/>
          <w:b/>
          <w:color w:val="auto"/>
        </w:rPr>
        <w:t xml:space="preserve">Schedule </w:t>
      </w:r>
      <w:r>
        <w:rPr>
          <w:rFonts w:cstheme="minorHAnsi"/>
          <w:b/>
          <w:color w:val="auto"/>
        </w:rPr>
        <w:t>5</w:t>
      </w:r>
      <w:r w:rsidRPr="00831400">
        <w:rPr>
          <w:rFonts w:cstheme="minorHAnsi"/>
          <w:b/>
          <w:color w:val="auto"/>
        </w:rPr>
        <w:t xml:space="preserve"> – New Entry</w:t>
      </w:r>
    </w:p>
    <w:p w14:paraId="326FE698" w14:textId="77777777" w:rsidR="005951C6" w:rsidRPr="00831400" w:rsidRDefault="005951C6" w:rsidP="005951C6">
      <w:pPr>
        <w:ind w:firstLine="709"/>
        <w:rPr>
          <w:rFonts w:cstheme="minorHAnsi"/>
          <w:strike/>
          <w:color w:val="FF0000"/>
          <w:u w:val="single"/>
        </w:rPr>
      </w:pPr>
      <w:r>
        <w:rPr>
          <w:rFonts w:cstheme="minorHAnsi"/>
          <w:color w:val="00B050"/>
          <w:u w:val="single"/>
        </w:rPr>
        <w:t>HOMOBRASSINOLIDE</w:t>
      </w:r>
    </w:p>
    <w:p w14:paraId="09EE283E" w14:textId="77777777" w:rsidR="005951C6" w:rsidRPr="00831400" w:rsidRDefault="005951C6" w:rsidP="005951C6">
      <w:pPr>
        <w:ind w:left="426"/>
        <w:rPr>
          <w:rFonts w:cstheme="minorHAnsi"/>
          <w:b/>
          <w:color w:val="auto"/>
        </w:rPr>
      </w:pPr>
      <w:r w:rsidRPr="00831400">
        <w:rPr>
          <w:rFonts w:cstheme="minorHAnsi"/>
          <w:b/>
          <w:color w:val="auto"/>
        </w:rPr>
        <w:t>Index – New Entry</w:t>
      </w:r>
    </w:p>
    <w:p w14:paraId="108A8FE5" w14:textId="77777777" w:rsidR="005951C6" w:rsidRPr="003A1B6F" w:rsidRDefault="005951C6" w:rsidP="005951C6">
      <w:pPr>
        <w:spacing w:after="0"/>
        <w:ind w:firstLine="709"/>
        <w:rPr>
          <w:rFonts w:cstheme="minorHAnsi"/>
          <w:b/>
          <w:bCs/>
          <w:color w:val="00B050"/>
          <w:u w:val="single"/>
        </w:rPr>
      </w:pPr>
      <w:r w:rsidRPr="003A1B6F">
        <w:rPr>
          <w:rFonts w:cstheme="minorHAnsi"/>
          <w:b/>
          <w:bCs/>
          <w:color w:val="00B050"/>
          <w:u w:val="single"/>
        </w:rPr>
        <w:t>HOMOBRASSINOLIDE</w:t>
      </w:r>
    </w:p>
    <w:p w14:paraId="2EBEEE9A" w14:textId="77777777" w:rsidR="005951C6" w:rsidRPr="00831400" w:rsidRDefault="005951C6" w:rsidP="005951C6">
      <w:pPr>
        <w:ind w:firstLine="709"/>
        <w:rPr>
          <w:rFonts w:cstheme="minorHAnsi"/>
          <w:strike/>
          <w:color w:val="FF0000"/>
        </w:rPr>
      </w:pPr>
      <w:r w:rsidRPr="00831400">
        <w:rPr>
          <w:rFonts w:cstheme="minorHAnsi"/>
          <w:color w:val="00B050"/>
          <w:u w:val="single"/>
        </w:rPr>
        <w:t xml:space="preserve">Schedule </w:t>
      </w:r>
      <w:r>
        <w:rPr>
          <w:rFonts w:cstheme="minorHAnsi"/>
          <w:color w:val="00B050"/>
          <w:u w:val="single"/>
        </w:rPr>
        <w:t>5</w:t>
      </w:r>
    </w:p>
    <w:p w14:paraId="6DD45C70" w14:textId="15DBF0B6" w:rsidR="005951C6" w:rsidRPr="00831400" w:rsidRDefault="005951C6" w:rsidP="009D113D">
      <w:pPr>
        <w:pStyle w:val="Heading4"/>
      </w:pPr>
      <w:r w:rsidRPr="00831400">
        <w:t>Materials considered</w:t>
      </w:r>
    </w:p>
    <w:p w14:paraId="06EB345E" w14:textId="77777777" w:rsidR="005951C6" w:rsidRPr="00831400" w:rsidRDefault="005951C6" w:rsidP="005951C6">
      <w:r w:rsidRPr="00831400">
        <w:t>In making this final decision, the Delegate considered the following material:</w:t>
      </w:r>
    </w:p>
    <w:p w14:paraId="0844C169" w14:textId="77777777" w:rsidR="005951C6" w:rsidRPr="00831400" w:rsidRDefault="005951C6" w:rsidP="005951C6">
      <w:pPr>
        <w:pStyle w:val="ListBullet"/>
        <w:ind w:left="720"/>
      </w:pPr>
      <w:r w:rsidRPr="00831400">
        <w:t xml:space="preserve">The application to amend the current Poisons Standard with respect to </w:t>
      </w:r>
      <w:proofErr w:type="spellStart"/>
      <w:r>
        <w:t>homobrassinolide</w:t>
      </w:r>
      <w:proofErr w:type="spellEnd"/>
      <w:r w:rsidRPr="00831400">
        <w:t xml:space="preserve"> (the </w:t>
      </w:r>
      <w:r w:rsidRPr="00831400">
        <w:rPr>
          <w:b/>
          <w:bCs/>
        </w:rPr>
        <w:t>Application</w:t>
      </w:r>
      <w:r w:rsidRPr="00831400">
        <w:t>)</w:t>
      </w:r>
    </w:p>
    <w:p w14:paraId="50BC82A7" w14:textId="31AE3176" w:rsidR="005951C6" w:rsidRPr="00831400" w:rsidRDefault="005951C6" w:rsidP="005951C6">
      <w:pPr>
        <w:pStyle w:val="ListBullet"/>
        <w:ind w:left="720"/>
      </w:pPr>
      <w:r w:rsidRPr="00831400">
        <w:t xml:space="preserve">Subsection 52E(1) of </w:t>
      </w:r>
      <w:r w:rsidRPr="00831400">
        <w:rPr>
          <w:i/>
        </w:rPr>
        <w:t>the Therapeutic Goods Act 1989</w:t>
      </w:r>
      <w:r w:rsidRPr="00831400">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6AED32A2" w14:textId="77777777" w:rsidR="005951C6" w:rsidRPr="00831400" w:rsidRDefault="005951C6" w:rsidP="005951C6">
      <w:pPr>
        <w:pStyle w:val="ListBullet"/>
        <w:ind w:left="720"/>
      </w:pPr>
      <w:r w:rsidRPr="00831400">
        <w:t xml:space="preserve">The Human Health Risk Assessment (HHRA) technical report on </w:t>
      </w:r>
      <w:proofErr w:type="spellStart"/>
      <w:r>
        <w:t>homobrassinolide</w:t>
      </w:r>
      <w:proofErr w:type="spellEnd"/>
      <w:r>
        <w:t xml:space="preserve"> </w:t>
      </w:r>
      <w:r w:rsidRPr="00831400">
        <w:t>(93</w:t>
      </w:r>
      <w:r>
        <w:t>642</w:t>
      </w:r>
      <w:r w:rsidRPr="00831400">
        <w:t>)</w:t>
      </w:r>
    </w:p>
    <w:p w14:paraId="28BC5542" w14:textId="77777777" w:rsidR="005951C6" w:rsidRPr="00831400" w:rsidRDefault="005951C6" w:rsidP="005951C6">
      <w:pPr>
        <w:pStyle w:val="ListBullet"/>
        <w:ind w:left="720"/>
      </w:pPr>
      <w:r w:rsidRPr="00831400">
        <w:t>Pursuant to paragraph 52E(2)(a) of the Act, the SPF, and</w:t>
      </w:r>
    </w:p>
    <w:p w14:paraId="5C1F87BC" w14:textId="77777777" w:rsidR="005951C6" w:rsidRPr="00831400" w:rsidRDefault="005951C6" w:rsidP="005951C6">
      <w:pPr>
        <w:pStyle w:val="ListBullet"/>
        <w:ind w:left="720"/>
      </w:pPr>
      <w:r w:rsidRPr="00831400">
        <w:t>The Handbook.</w:t>
      </w:r>
    </w:p>
    <w:p w14:paraId="40A7316E" w14:textId="77777777" w:rsidR="005951C6" w:rsidRPr="00300CBB" w:rsidRDefault="005951C6" w:rsidP="005951C6">
      <w:pPr>
        <w:pStyle w:val="Heading4"/>
      </w:pPr>
      <w:r w:rsidRPr="00300CBB">
        <w:t>Reasons for the final decision (including findings on material questions of fact)</w:t>
      </w:r>
    </w:p>
    <w:p w14:paraId="692025A5" w14:textId="543A0C73" w:rsidR="005951C6" w:rsidRDefault="005951C6" w:rsidP="005951C6">
      <w:pPr>
        <w:pStyle w:val="ListBullet"/>
        <w:numPr>
          <w:ilvl w:val="0"/>
          <w:numId w:val="0"/>
        </w:numPr>
        <w:spacing w:before="0" w:after="120" w:line="259" w:lineRule="auto"/>
        <w:rPr>
          <w:bCs/>
          <w:color w:val="auto"/>
        </w:rPr>
      </w:pPr>
      <w:r w:rsidRPr="008B1EEA">
        <w:rPr>
          <w:bCs/>
          <w:color w:val="auto"/>
        </w:rPr>
        <w:t xml:space="preserve">In determining that this matter will be a delegate-only decision I have </w:t>
      </w:r>
      <w:proofErr w:type="gramStart"/>
      <w:r w:rsidRPr="008B1EEA">
        <w:rPr>
          <w:bCs/>
          <w:color w:val="auto"/>
        </w:rPr>
        <w:t>taken into account</w:t>
      </w:r>
      <w:proofErr w:type="gramEnd"/>
      <w:r w:rsidRPr="008B1EEA">
        <w:rPr>
          <w:bCs/>
          <w:color w:val="auto"/>
        </w:rPr>
        <w:t xml:space="preserve"> the information provided </w:t>
      </w:r>
      <w:r w:rsidR="00E82526">
        <w:rPr>
          <w:bCs/>
          <w:color w:val="auto"/>
        </w:rPr>
        <w:t xml:space="preserve">by </w:t>
      </w:r>
      <w:r w:rsidRPr="008B1EEA">
        <w:rPr>
          <w:bCs/>
          <w:color w:val="auto"/>
        </w:rPr>
        <w:t>the Australian Pesticides and Veterinary Medicine Authority (APVMA), and the matters outlined under s 52E of the Act and the SPF.</w:t>
      </w:r>
      <w:r w:rsidR="00E82526" w:rsidRPr="008B2FC4">
        <w:t xml:space="preserve"> </w:t>
      </w:r>
      <w:r w:rsidR="00E82526">
        <w:t>My reasons for making the final decision follow.</w:t>
      </w:r>
    </w:p>
    <w:p w14:paraId="1DC814FE" w14:textId="73AD9E66" w:rsidR="009D113D" w:rsidRDefault="009D113D" w:rsidP="00E82526">
      <w:pPr>
        <w:pStyle w:val="ListBullet"/>
        <w:numPr>
          <w:ilvl w:val="0"/>
          <w:numId w:val="0"/>
        </w:numPr>
      </w:pPr>
      <w:r>
        <w:t>The Application proposed to amend the current Poisons Standard to create a Caution (</w:t>
      </w:r>
      <w:r w:rsidRPr="00F77407">
        <w:t xml:space="preserve">Schedule </w:t>
      </w:r>
      <w:r>
        <w:t xml:space="preserve">5) entry for </w:t>
      </w:r>
      <w:proofErr w:type="spellStart"/>
      <w:r>
        <w:t>homobrassinolide</w:t>
      </w:r>
      <w:proofErr w:type="spellEnd"/>
      <w:r>
        <w:t xml:space="preserve">. </w:t>
      </w:r>
      <w:proofErr w:type="spellStart"/>
      <w:r>
        <w:t>Homobrassinolide</w:t>
      </w:r>
      <w:proofErr w:type="spellEnd"/>
      <w:r>
        <w:t xml:space="preserve"> is a </w:t>
      </w:r>
      <w:proofErr w:type="gramStart"/>
      <w:r>
        <w:t>naturally-occurring</w:t>
      </w:r>
      <w:proofErr w:type="gramEnd"/>
      <w:r>
        <w:t xml:space="preserve"> plant </w:t>
      </w:r>
      <w:r w:rsidRPr="000078E9">
        <w:t>steroidal hormone</w:t>
      </w:r>
      <w:r>
        <w:t xml:space="preserve">, prevalent in foods such as Chinese cabbage. </w:t>
      </w:r>
      <w:proofErr w:type="spellStart"/>
      <w:r>
        <w:t>Homobrassinolide</w:t>
      </w:r>
      <w:proofErr w:type="spellEnd"/>
      <w:r>
        <w:t xml:space="preserve"> is currently not included in the Poisons Standard.</w:t>
      </w:r>
      <w:r w:rsidR="008117C8">
        <w:t xml:space="preserve"> T</w:t>
      </w:r>
      <w:r w:rsidR="008117C8" w:rsidRPr="008B1EEA">
        <w:t>he APVMA provided a Human Health Risk Assessment (HHRA) for</w:t>
      </w:r>
      <w:r w:rsidR="008117C8">
        <w:t xml:space="preserve"> the substance, </w:t>
      </w:r>
      <w:proofErr w:type="spellStart"/>
      <w:r w:rsidR="008117C8">
        <w:t>homobrassinolide</w:t>
      </w:r>
      <w:proofErr w:type="spellEnd"/>
      <w:r w:rsidR="008117C8">
        <w:t>.</w:t>
      </w:r>
    </w:p>
    <w:p w14:paraId="11511F3C" w14:textId="163DAD40" w:rsidR="005951C6" w:rsidRDefault="005951C6" w:rsidP="00E82526">
      <w:pPr>
        <w:pStyle w:val="ListBullet"/>
        <w:numPr>
          <w:ilvl w:val="0"/>
          <w:numId w:val="0"/>
        </w:numPr>
      </w:pPr>
      <w:r w:rsidRPr="008B1EEA">
        <w:t>In relation to s 52E(1)(a)</w:t>
      </w:r>
      <w:r>
        <w:t xml:space="preserve"> and (b)</w:t>
      </w:r>
      <w:r w:rsidRPr="008B1EEA">
        <w:t xml:space="preserve"> of the Act, the proposed amendment to the Poisons Standard is to include an entry for </w:t>
      </w:r>
      <w:proofErr w:type="spellStart"/>
      <w:r>
        <w:t>homobrassinolide</w:t>
      </w:r>
      <w:proofErr w:type="spellEnd"/>
      <w:r w:rsidRPr="008B1EEA">
        <w:t xml:space="preserve"> in Schedule </w:t>
      </w:r>
      <w:r>
        <w:t>5</w:t>
      </w:r>
      <w:r w:rsidRPr="008B1EEA">
        <w:t xml:space="preserve"> based upon its benefit</w:t>
      </w:r>
      <w:r>
        <w:t>s</w:t>
      </w:r>
      <w:r w:rsidRPr="008B1EEA">
        <w:t xml:space="preserve"> </w:t>
      </w:r>
      <w:r>
        <w:t>to enhance plant growth and development</w:t>
      </w:r>
      <w:r w:rsidRPr="008B1EEA">
        <w:t>.</w:t>
      </w:r>
      <w:r>
        <w:t xml:space="preserve"> </w:t>
      </w:r>
      <w:proofErr w:type="spellStart"/>
      <w:r w:rsidR="00543F1A">
        <w:t>Homobrassinolide</w:t>
      </w:r>
      <w:proofErr w:type="spellEnd"/>
      <w:r w:rsidR="00543F1A">
        <w:t xml:space="preserve"> has been</w:t>
      </w:r>
      <w:r w:rsidR="00543F1A" w:rsidRPr="000078E9">
        <w:t xml:space="preserve"> shown </w:t>
      </w:r>
      <w:r w:rsidR="00543F1A">
        <w:t xml:space="preserve">to protect against a variety of abiotic stresses </w:t>
      </w:r>
      <w:r w:rsidR="00543F1A">
        <w:lastRenderedPageBreak/>
        <w:t>and it</w:t>
      </w:r>
      <w:r>
        <w:t xml:space="preserve"> has </w:t>
      </w:r>
      <w:r w:rsidRPr="000078E9">
        <w:t>demonstrated significant improvement in plant growth, water uptake, photosynthesis, and yield</w:t>
      </w:r>
      <w:r>
        <w:t xml:space="preserve">. Preparations containing </w:t>
      </w:r>
      <w:proofErr w:type="spellStart"/>
      <w:r>
        <w:t>homobrassinolide</w:t>
      </w:r>
      <w:proofErr w:type="spellEnd"/>
      <w:r>
        <w:t xml:space="preserve"> have been</w:t>
      </w:r>
      <w:r w:rsidRPr="0027084C">
        <w:t xml:space="preserve"> approved in</w:t>
      </w:r>
      <w:r>
        <w:t xml:space="preserve"> </w:t>
      </w:r>
      <w:r w:rsidRPr="0027084C">
        <w:t>the UK, USA, and India as foliar spray for agricultural and horticultural crops</w:t>
      </w:r>
      <w:r>
        <w:t>.</w:t>
      </w:r>
      <w:r w:rsidRPr="002C67B6">
        <w:t xml:space="preserve"> </w:t>
      </w:r>
      <w:r>
        <w:t xml:space="preserve">However, there </w:t>
      </w:r>
      <w:r w:rsidR="00095A50">
        <w:t>are</w:t>
      </w:r>
      <w:r>
        <w:t xml:space="preserve"> no specific data </w:t>
      </w:r>
      <w:r w:rsidR="00095A50">
        <w:t>regarding the</w:t>
      </w:r>
      <w:r>
        <w:t xml:space="preserve"> use pattern </w:t>
      </w:r>
      <w:r w:rsidR="00BD7AF5">
        <w:t>for</w:t>
      </w:r>
      <w:r>
        <w:t xml:space="preserve"> </w:t>
      </w:r>
      <w:proofErr w:type="spellStart"/>
      <w:r>
        <w:t>homobrassinolide</w:t>
      </w:r>
      <w:proofErr w:type="spellEnd"/>
      <w:r>
        <w:t>.</w:t>
      </w:r>
    </w:p>
    <w:p w14:paraId="48D7D316" w14:textId="02AC5051" w:rsidR="00671D81" w:rsidRDefault="005951C6" w:rsidP="00E82526">
      <w:pPr>
        <w:pStyle w:val="ListBullet"/>
        <w:numPr>
          <w:ilvl w:val="0"/>
          <w:numId w:val="0"/>
        </w:numPr>
      </w:pPr>
      <w:r w:rsidRPr="008B1EEA">
        <w:t xml:space="preserve">In relation to s 52E(1)(c) of the Act, the </w:t>
      </w:r>
      <w:r w:rsidR="008117C8">
        <w:t xml:space="preserve">HHRA </w:t>
      </w:r>
      <w:r w:rsidR="00BD7AF5">
        <w:t xml:space="preserve">indicated that </w:t>
      </w:r>
      <w:proofErr w:type="spellStart"/>
      <w:r w:rsidR="00BD7AF5">
        <w:t>homobrassinolide</w:t>
      </w:r>
      <w:proofErr w:type="spellEnd"/>
      <w:r w:rsidR="00BD7AF5">
        <w:t xml:space="preserve"> has a low</w:t>
      </w:r>
      <w:r w:rsidRPr="008B1EEA">
        <w:t xml:space="preserve"> acute oral</w:t>
      </w:r>
      <w:r w:rsidR="00F10269">
        <w:t xml:space="preserve"> (LD</w:t>
      </w:r>
      <w:r w:rsidR="00F10269" w:rsidRPr="00CE755B">
        <w:rPr>
          <w:vertAlign w:val="subscript"/>
        </w:rPr>
        <w:t>50</w:t>
      </w:r>
      <w:r w:rsidR="00F10269">
        <w:t>: &gt; 2000 mg</w:t>
      </w:r>
      <w:r w:rsidR="00DC4A56">
        <w:t>/</w:t>
      </w:r>
      <w:r w:rsidR="00F10269">
        <w:t xml:space="preserve">kg </w:t>
      </w:r>
      <w:proofErr w:type="spellStart"/>
      <w:r w:rsidR="00F10269">
        <w:t>bw</w:t>
      </w:r>
      <w:proofErr w:type="spellEnd"/>
      <w:r w:rsidR="00280BB3">
        <w:t>, no deaths</w:t>
      </w:r>
      <w:r w:rsidR="00F10269">
        <w:t>)</w:t>
      </w:r>
      <w:r>
        <w:t>,</w:t>
      </w:r>
      <w:r w:rsidRPr="008B1EEA">
        <w:t xml:space="preserve"> </w:t>
      </w:r>
      <w:r>
        <w:t>dermal</w:t>
      </w:r>
      <w:r w:rsidR="00DC4A56">
        <w:t xml:space="preserve"> (LD</w:t>
      </w:r>
      <w:r w:rsidR="00DC4A56" w:rsidRPr="00941D42">
        <w:rPr>
          <w:vertAlign w:val="subscript"/>
        </w:rPr>
        <w:t>50</w:t>
      </w:r>
      <w:r w:rsidR="00DC4A56">
        <w:t xml:space="preserve">: &gt; 2000 mg/kg </w:t>
      </w:r>
      <w:proofErr w:type="spellStart"/>
      <w:r w:rsidR="00DC4A56">
        <w:t>bw</w:t>
      </w:r>
      <w:proofErr w:type="spellEnd"/>
      <w:r w:rsidR="00280BB3">
        <w:t>, no deaths</w:t>
      </w:r>
      <w:r w:rsidR="00DC4A56">
        <w:t>),</w:t>
      </w:r>
      <w:r>
        <w:t xml:space="preserve"> and inhalational </w:t>
      </w:r>
      <w:r w:rsidRPr="008B1EEA">
        <w:t>toxicity</w:t>
      </w:r>
      <w:r w:rsidR="00DC4A56">
        <w:t xml:space="preserve"> (LC</w:t>
      </w:r>
      <w:r w:rsidR="00DC4A56" w:rsidRPr="00941D42">
        <w:rPr>
          <w:vertAlign w:val="subscript"/>
        </w:rPr>
        <w:t>50</w:t>
      </w:r>
      <w:r w:rsidR="00DC4A56">
        <w:t>: &gt;</w:t>
      </w:r>
      <w:r w:rsidR="00524638">
        <w:t xml:space="preserve"> 5.02 mg/L</w:t>
      </w:r>
      <w:r w:rsidR="00280BB3">
        <w:t>, no deaths</w:t>
      </w:r>
      <w:r w:rsidR="00524638">
        <w:t>)</w:t>
      </w:r>
      <w:r w:rsidR="00FC1821">
        <w:t xml:space="preserve"> in rats</w:t>
      </w:r>
      <w:r w:rsidR="006F115E">
        <w:t>.</w:t>
      </w:r>
      <w:r>
        <w:t xml:space="preserve"> </w:t>
      </w:r>
      <w:proofErr w:type="spellStart"/>
      <w:r>
        <w:t>Homobrassinolide</w:t>
      </w:r>
      <w:proofErr w:type="spellEnd"/>
      <w:r>
        <w:t xml:space="preserve"> </w:t>
      </w:r>
      <w:r w:rsidR="00FC1821">
        <w:t>was a slight</w:t>
      </w:r>
      <w:r>
        <w:t xml:space="preserve"> eye and skin irrit</w:t>
      </w:r>
      <w:r w:rsidR="00EF6958">
        <w:t>a</w:t>
      </w:r>
      <w:r w:rsidR="00FC1821">
        <w:t>nt</w:t>
      </w:r>
      <w:r>
        <w:t xml:space="preserve"> but </w:t>
      </w:r>
      <w:r w:rsidR="00A40F25">
        <w:t>wa</w:t>
      </w:r>
      <w:r w:rsidR="00E82526">
        <w:t xml:space="preserve">s </w:t>
      </w:r>
      <w:r>
        <w:t>not a skin sensitiser.</w:t>
      </w:r>
    </w:p>
    <w:p w14:paraId="3491C25B" w14:textId="7634F03E" w:rsidR="00671D81" w:rsidRDefault="00701F92" w:rsidP="00E82526">
      <w:pPr>
        <w:pStyle w:val="ListBullet"/>
        <w:numPr>
          <w:ilvl w:val="0"/>
          <w:numId w:val="0"/>
        </w:numPr>
      </w:pPr>
      <w:r>
        <w:t>Rats treated</w:t>
      </w:r>
      <w:r w:rsidR="00706C82">
        <w:t xml:space="preserve"> daily for 90 days with oral doses of up</w:t>
      </w:r>
      <w:r w:rsidR="007829DD">
        <w:t xml:space="preserve"> to 1000 mg/kg </w:t>
      </w:r>
      <w:proofErr w:type="spellStart"/>
      <w:r w:rsidR="007829DD">
        <w:t>bw</w:t>
      </w:r>
      <w:proofErr w:type="spellEnd"/>
      <w:r w:rsidR="007829DD">
        <w:t xml:space="preserve"> </w:t>
      </w:r>
      <w:proofErr w:type="spellStart"/>
      <w:r w:rsidR="00706C82">
        <w:t>h</w:t>
      </w:r>
      <w:r w:rsidR="00671D81">
        <w:t>omobrassinolide</w:t>
      </w:r>
      <w:proofErr w:type="spellEnd"/>
      <w:r w:rsidR="005A1B5A">
        <w:t xml:space="preserve"> (the highest dose tested)</w:t>
      </w:r>
      <w:r w:rsidR="00706C82">
        <w:t xml:space="preserve">, </w:t>
      </w:r>
      <w:r w:rsidR="00AE7C12">
        <w:t>did not reveal any significant clinical signs or</w:t>
      </w:r>
      <w:r w:rsidR="005A1B5A">
        <w:t xml:space="preserve"> changes in organ weights </w:t>
      </w:r>
      <w:r w:rsidR="00DF606E">
        <w:t>and</w:t>
      </w:r>
      <w:r w:rsidR="005A1B5A">
        <w:t xml:space="preserve"> clinical chemistry.</w:t>
      </w:r>
    </w:p>
    <w:p w14:paraId="033BEA30" w14:textId="0559165F" w:rsidR="00671D81" w:rsidRDefault="00671D81" w:rsidP="00E82526">
      <w:pPr>
        <w:pStyle w:val="ListBullet"/>
        <w:numPr>
          <w:ilvl w:val="0"/>
          <w:numId w:val="0"/>
        </w:numPr>
      </w:pPr>
      <w:r w:rsidRPr="00671D81">
        <w:t>There was</w:t>
      </w:r>
      <w:r>
        <w:t xml:space="preserve"> </w:t>
      </w:r>
      <w:r w:rsidRPr="00671D81">
        <w:t xml:space="preserve">no evidence for genotoxic potential of </w:t>
      </w:r>
      <w:proofErr w:type="spellStart"/>
      <w:r w:rsidRPr="00671D81">
        <w:t>homobrassinolide</w:t>
      </w:r>
      <w:proofErr w:type="spellEnd"/>
      <w:r w:rsidRPr="00671D81">
        <w:t xml:space="preserve"> </w:t>
      </w:r>
      <w:r>
        <w:t xml:space="preserve">based upon an </w:t>
      </w:r>
      <w:r w:rsidRPr="00671D81">
        <w:rPr>
          <w:i/>
          <w:iCs/>
        </w:rPr>
        <w:t>in vivo</w:t>
      </w:r>
      <w:r w:rsidRPr="00671D81">
        <w:t xml:space="preserve"> genotoxicity study (chromosome aberrations) in mice treated up to a single oral dose of 2000 mg/kg </w:t>
      </w:r>
      <w:proofErr w:type="spellStart"/>
      <w:r w:rsidRPr="00671D81">
        <w:t>bw</w:t>
      </w:r>
      <w:proofErr w:type="spellEnd"/>
      <w:r w:rsidR="00A40F25">
        <w:t xml:space="preserve">. No data were available </w:t>
      </w:r>
      <w:r w:rsidR="000E4DEF">
        <w:t xml:space="preserve">regarding </w:t>
      </w:r>
      <w:proofErr w:type="spellStart"/>
      <w:r w:rsidR="000E4DEF">
        <w:t>homobrassinolide’s</w:t>
      </w:r>
      <w:proofErr w:type="spellEnd"/>
      <w:r w:rsidR="000E4DEF">
        <w:t xml:space="preserve"> carcinogenic potential.</w:t>
      </w:r>
    </w:p>
    <w:p w14:paraId="55912B3B" w14:textId="2D426DB3" w:rsidR="005951C6" w:rsidRPr="008B1EEA" w:rsidRDefault="005951C6" w:rsidP="00E82526">
      <w:pPr>
        <w:pStyle w:val="ListBullet"/>
        <w:numPr>
          <w:ilvl w:val="0"/>
          <w:numId w:val="0"/>
        </w:numPr>
      </w:pPr>
      <w:r>
        <w:t>Based on the limited</w:t>
      </w:r>
      <w:r w:rsidR="00EF6958">
        <w:t xml:space="preserve"> but adequate</w:t>
      </w:r>
      <w:r>
        <w:t xml:space="preserve"> toxicology data available,</w:t>
      </w:r>
      <w:r w:rsidRPr="008B1EEA">
        <w:t xml:space="preserve"> </w:t>
      </w:r>
      <w:r>
        <w:t xml:space="preserve">the HHRA concluded </w:t>
      </w:r>
      <w:r w:rsidRPr="008B1EEA">
        <w:t xml:space="preserve">that the risks to human health and safety posed by this substance </w:t>
      </w:r>
      <w:r w:rsidR="00EF6958">
        <w:t>a</w:t>
      </w:r>
      <w:r>
        <w:t>re</w:t>
      </w:r>
      <w:r w:rsidRPr="008B1EEA">
        <w:t xml:space="preserve"> acceptable</w:t>
      </w:r>
      <w:r>
        <w:t>. These finding</w:t>
      </w:r>
      <w:r w:rsidR="00EF6958">
        <w:t>s</w:t>
      </w:r>
      <w:r>
        <w:t xml:space="preserve"> align with </w:t>
      </w:r>
      <w:r w:rsidR="00543F1A">
        <w:t xml:space="preserve">scheduling factors </w:t>
      </w:r>
      <w:r>
        <w:t xml:space="preserve">2 and 3 for Schedule 5 substances. </w:t>
      </w:r>
      <w:r w:rsidR="009225D3">
        <w:t>An</w:t>
      </w:r>
      <w:r w:rsidR="00A84B94">
        <w:t xml:space="preserve"> acceptable daily intake (ADI) and an acute reference dose (</w:t>
      </w:r>
      <w:proofErr w:type="spellStart"/>
      <w:r w:rsidR="00A84B94">
        <w:t>ARfD</w:t>
      </w:r>
      <w:proofErr w:type="spellEnd"/>
      <w:r w:rsidR="00A84B94">
        <w:t xml:space="preserve">) </w:t>
      </w:r>
      <w:r w:rsidR="0094276C">
        <w:t>w</w:t>
      </w:r>
      <w:r w:rsidR="004429A5">
        <w:t>ere</w:t>
      </w:r>
      <w:r w:rsidR="0094276C">
        <w:t xml:space="preserve"> not considered necessary. This </w:t>
      </w:r>
      <w:r w:rsidR="004429A5">
        <w:t>wa</w:t>
      </w:r>
      <w:r w:rsidR="0094276C">
        <w:t>s consistent with previous evaluations by the US EPA (</w:t>
      </w:r>
      <w:r w:rsidR="004429A5">
        <w:t>2010)</w:t>
      </w:r>
      <w:r w:rsidR="0058651C">
        <w:rPr>
          <w:rStyle w:val="FootnoteReference"/>
        </w:rPr>
        <w:footnoteReference w:id="26"/>
      </w:r>
      <w:r w:rsidR="004429A5">
        <w:t xml:space="preserve"> and EFSA (2020)</w:t>
      </w:r>
      <w:r w:rsidR="00CD1B7F">
        <w:rPr>
          <w:rStyle w:val="FootnoteReference"/>
        </w:rPr>
        <w:footnoteReference w:id="27"/>
      </w:r>
      <w:r w:rsidR="004429A5">
        <w:t>.</w:t>
      </w:r>
    </w:p>
    <w:p w14:paraId="3D3466FA" w14:textId="2AD0C967" w:rsidR="005951C6" w:rsidRPr="008B1EEA" w:rsidRDefault="005951C6" w:rsidP="00E82526">
      <w:pPr>
        <w:pStyle w:val="ListBullet"/>
        <w:numPr>
          <w:ilvl w:val="0"/>
          <w:numId w:val="0"/>
        </w:numPr>
      </w:pPr>
      <w:r>
        <w:t xml:space="preserve">No products containing </w:t>
      </w:r>
      <w:proofErr w:type="spellStart"/>
      <w:r>
        <w:t>homobrassinolide</w:t>
      </w:r>
      <w:proofErr w:type="spellEnd"/>
      <w:r>
        <w:t xml:space="preserve"> are currently available in Australia, and no applications for product registration have </w:t>
      </w:r>
      <w:r w:rsidR="00E82526">
        <w:t xml:space="preserve">yet </w:t>
      </w:r>
      <w:r>
        <w:t xml:space="preserve">been received. Regarding s 52E(1)(d) of the Act, </w:t>
      </w:r>
      <w:r w:rsidRPr="008B1EEA">
        <w:t xml:space="preserve">the APVMA, as the regulator of </w:t>
      </w:r>
      <w:r>
        <w:t xml:space="preserve">all veterinary </w:t>
      </w:r>
      <w:r w:rsidRPr="008B1EEA">
        <w:t>products, will</w:t>
      </w:r>
      <w:r>
        <w:t xml:space="preserve"> </w:t>
      </w:r>
      <w:r w:rsidRPr="008B1EEA">
        <w:t>consider</w:t>
      </w:r>
      <w:r>
        <w:t xml:space="preserve"> the</w:t>
      </w:r>
      <w:r w:rsidRPr="008B1EEA">
        <w:t xml:space="preserve"> dosage, formulation, labelling, packaging and presentation</w:t>
      </w:r>
      <w:r>
        <w:t xml:space="preserve"> of </w:t>
      </w:r>
      <w:proofErr w:type="spellStart"/>
      <w:r>
        <w:t>homobrassinolide</w:t>
      </w:r>
      <w:proofErr w:type="spellEnd"/>
      <w:r>
        <w:t>-containing products at the time of registration</w:t>
      </w:r>
      <w:r w:rsidRPr="008B1EEA">
        <w:t>.</w:t>
      </w:r>
    </w:p>
    <w:p w14:paraId="1E5F57EB" w14:textId="4234DB93" w:rsidR="005951C6" w:rsidRDefault="005951C6" w:rsidP="00E82526">
      <w:pPr>
        <w:pStyle w:val="ListBullet"/>
        <w:numPr>
          <w:ilvl w:val="0"/>
          <w:numId w:val="0"/>
        </w:numPr>
      </w:pPr>
      <w:r w:rsidRPr="008B1EEA">
        <w:t>In relation to s 52E(1)(e) of the Act, I am satisfied</w:t>
      </w:r>
      <w:r w:rsidR="003F4036">
        <w:t xml:space="preserve"> that</w:t>
      </w:r>
      <w:r w:rsidRPr="008B1EEA">
        <w:t xml:space="preserve"> the potential for misuse or abuse of </w:t>
      </w:r>
      <w:proofErr w:type="spellStart"/>
      <w:r>
        <w:t>homobrassinolide</w:t>
      </w:r>
      <w:proofErr w:type="spellEnd"/>
      <w:r>
        <w:t xml:space="preserve"> </w:t>
      </w:r>
      <w:r w:rsidRPr="008B1EEA">
        <w:t xml:space="preserve">is limited. In forming this view, I have considered the substance has no established therapeutic value in humans that would indicate that there is </w:t>
      </w:r>
      <w:r w:rsidR="003924D4">
        <w:t>no</w:t>
      </w:r>
      <w:r w:rsidRPr="008B1EEA">
        <w:t xml:space="preserve"> risk of dependency, abuse, misuse, or diversion into illicit use.</w:t>
      </w:r>
    </w:p>
    <w:p w14:paraId="4ABC96B5" w14:textId="77777777" w:rsidR="005951C6" w:rsidRDefault="005951C6" w:rsidP="005951C6">
      <w:pPr>
        <w:pStyle w:val="ListBullet"/>
        <w:numPr>
          <w:ilvl w:val="0"/>
          <w:numId w:val="0"/>
        </w:numPr>
        <w:spacing w:before="0" w:after="120" w:line="259" w:lineRule="auto"/>
        <w:rPr>
          <w:color w:val="auto"/>
        </w:rPr>
      </w:pPr>
      <w:r w:rsidRPr="008B1EEA">
        <w:rPr>
          <w:color w:val="auto"/>
        </w:rPr>
        <w:t xml:space="preserve">Based on the above considerations and the information provided in the application, I have decided to amend the current Poisons Standard in the manner </w:t>
      </w:r>
      <w:r>
        <w:rPr>
          <w:color w:val="auto"/>
        </w:rPr>
        <w:t>laid</w:t>
      </w:r>
      <w:r w:rsidRPr="008B1EEA">
        <w:rPr>
          <w:color w:val="auto"/>
        </w:rPr>
        <w:t xml:space="preserve"> out above. The proposed amendment was not referred to an expert advisory committee.</w:t>
      </w:r>
    </w:p>
    <w:p w14:paraId="3FEE6A68" w14:textId="77777777" w:rsidR="005951C6" w:rsidRPr="00E527AC" w:rsidRDefault="005951C6" w:rsidP="00543F1A">
      <w:pPr>
        <w:pStyle w:val="Heading4"/>
      </w:pPr>
      <w:r w:rsidRPr="00E527AC">
        <w:t>Implementation date</w:t>
      </w:r>
    </w:p>
    <w:p w14:paraId="1F268F64" w14:textId="4E2B8144" w:rsidR="00274EEB" w:rsidRPr="005C7593" w:rsidRDefault="005951C6" w:rsidP="005951C6">
      <w:r>
        <w:rPr>
          <w:color w:val="auto"/>
        </w:rPr>
        <w:t xml:space="preserve">1 </w:t>
      </w:r>
      <w:r w:rsidR="00EE2006">
        <w:rPr>
          <w:color w:val="auto"/>
        </w:rPr>
        <w:t>October</w:t>
      </w:r>
      <w:r>
        <w:rPr>
          <w:color w:val="auto"/>
        </w:rPr>
        <w:t xml:space="preserve"> 202</w:t>
      </w:r>
      <w:r w:rsidR="00EE2006">
        <w:rPr>
          <w:color w:val="auto"/>
        </w:rPr>
        <w:t>4</w:t>
      </w:r>
    </w:p>
    <w:p w14:paraId="25C47215" w14:textId="48443CFA" w:rsidR="005951C6" w:rsidRPr="00E82526" w:rsidRDefault="000D7942" w:rsidP="00E82526">
      <w:pPr>
        <w:pStyle w:val="Heading2"/>
        <w:rPr>
          <w:bCs w:val="0"/>
        </w:rPr>
      </w:pPr>
      <w:r>
        <w:br w:type="page"/>
      </w:r>
      <w:bookmarkStart w:id="52" w:name="_Toc178340909"/>
      <w:r w:rsidR="005951C6" w:rsidRPr="00014258">
        <w:lastRenderedPageBreak/>
        <w:t>Final decisions on proposed amendments to the current Poisons Standard under regulation 42ZCZ</w:t>
      </w:r>
      <w:r w:rsidR="00706696">
        <w:t>W</w:t>
      </w:r>
      <w:bookmarkEnd w:id="52"/>
    </w:p>
    <w:p w14:paraId="0AC30E34" w14:textId="6304574A" w:rsidR="005951C6" w:rsidRDefault="00014258" w:rsidP="00014258">
      <w:pPr>
        <w:pStyle w:val="Heading3"/>
      </w:pPr>
      <w:bookmarkStart w:id="53" w:name="_Toc178340910"/>
      <w:r>
        <w:t>Final decision in relation to</w:t>
      </w:r>
      <w:r w:rsidRPr="008F62CE">
        <w:rPr>
          <w:rFonts w:eastAsia="Cambria"/>
        </w:rPr>
        <w:t xml:space="preserve"> </w:t>
      </w:r>
      <w:r w:rsidR="00706696">
        <w:rPr>
          <w:rFonts w:eastAsia="Cambria"/>
        </w:rPr>
        <w:t>Prescription only (</w:t>
      </w:r>
      <w:r w:rsidR="00706696">
        <w:t xml:space="preserve">Schedule 4) </w:t>
      </w:r>
      <w:r w:rsidR="00706696" w:rsidRPr="00B40156">
        <w:t>substances contained within research-only kits in very small amounts</w:t>
      </w:r>
      <w:bookmarkEnd w:id="53"/>
    </w:p>
    <w:p w14:paraId="6AB745AC" w14:textId="2791DBBD" w:rsidR="00706696" w:rsidRPr="00BB34CD" w:rsidRDefault="00706696" w:rsidP="00706696">
      <w:pPr>
        <w:pStyle w:val="Heading4"/>
      </w:pPr>
      <w:r w:rsidRPr="00BB34CD">
        <w:t>Final Decision</w:t>
      </w:r>
    </w:p>
    <w:p w14:paraId="13F9AB05" w14:textId="4A174013" w:rsidR="00706696" w:rsidRPr="002A208F" w:rsidRDefault="00706696" w:rsidP="00706696">
      <w:r w:rsidRPr="00E0696E">
        <w:t xml:space="preserve">Pursuant to r 42ZCZW of the Regulations, the Delegate has made a final decision </w:t>
      </w:r>
      <w:r w:rsidRPr="008D13D3">
        <w:t>not</w:t>
      </w:r>
      <w:r>
        <w:t xml:space="preserve"> </w:t>
      </w:r>
      <w:r w:rsidRPr="00E0696E">
        <w:t xml:space="preserve">to amend the current Poisons Standard in relation to </w:t>
      </w:r>
      <w:r>
        <w:t xml:space="preserve">Schedule 4 </w:t>
      </w:r>
      <w:r w:rsidRPr="00B40156">
        <w:t>substances contained within research-only kits in very small amounts</w:t>
      </w:r>
      <w:r w:rsidR="00BB2BEA">
        <w:t>.</w:t>
      </w:r>
    </w:p>
    <w:p w14:paraId="14EFF1A0" w14:textId="77777777" w:rsidR="00706696" w:rsidRPr="00215D48" w:rsidRDefault="00706696" w:rsidP="00706696">
      <w:pPr>
        <w:pStyle w:val="Heading4"/>
      </w:pPr>
      <w:bookmarkStart w:id="54" w:name="_Toc164061985"/>
      <w:r>
        <w:t>Materials considered</w:t>
      </w:r>
      <w:bookmarkEnd w:id="54"/>
    </w:p>
    <w:p w14:paraId="54154A09" w14:textId="77777777" w:rsidR="00706696" w:rsidRPr="002A208F" w:rsidRDefault="00706696" w:rsidP="00706696">
      <w:r w:rsidRPr="002A208F">
        <w:t>In making this final decision, the Delegate considered the following material:</w:t>
      </w:r>
    </w:p>
    <w:p w14:paraId="4FC61CFA" w14:textId="77777777" w:rsidR="00706696" w:rsidRDefault="00706696" w:rsidP="00706696">
      <w:pPr>
        <w:pStyle w:val="ListBullet-dotick"/>
        <w:numPr>
          <w:ilvl w:val="0"/>
          <w:numId w:val="31"/>
        </w:numPr>
        <w:tabs>
          <w:tab w:val="clear" w:pos="425"/>
          <w:tab w:val="left" w:pos="567"/>
        </w:tabs>
        <w:ind w:left="567" w:hanging="425"/>
      </w:pPr>
      <w:r w:rsidRPr="008D13D3">
        <w:t>the Application</w:t>
      </w:r>
    </w:p>
    <w:p w14:paraId="1BDED576" w14:textId="2CD7A51B" w:rsidR="00165900" w:rsidRPr="008D13D3" w:rsidRDefault="00165900" w:rsidP="00706696">
      <w:pPr>
        <w:pStyle w:val="ListBullet-dotick"/>
        <w:numPr>
          <w:ilvl w:val="0"/>
          <w:numId w:val="31"/>
        </w:numPr>
        <w:tabs>
          <w:tab w:val="clear" w:pos="425"/>
          <w:tab w:val="left" w:pos="567"/>
        </w:tabs>
        <w:ind w:left="567" w:hanging="425"/>
      </w:pPr>
      <w:r>
        <w:t>the interim decision notified in writing to the applicant on 4 September 2024</w:t>
      </w:r>
    </w:p>
    <w:p w14:paraId="7E527743" w14:textId="21A7B0DD" w:rsidR="00706696" w:rsidRPr="002A208F" w:rsidRDefault="00706696" w:rsidP="00706696">
      <w:pPr>
        <w:pStyle w:val="ListBullet-dotick"/>
        <w:numPr>
          <w:ilvl w:val="0"/>
          <w:numId w:val="31"/>
        </w:numPr>
        <w:tabs>
          <w:tab w:val="clear" w:pos="425"/>
          <w:tab w:val="left" w:pos="567"/>
        </w:tabs>
        <w:ind w:left="567" w:hanging="425"/>
      </w:pPr>
      <w:r w:rsidRPr="002A208F">
        <w:t xml:space="preserve">subsection 52E(1) of the </w:t>
      </w:r>
      <w:r w:rsidRPr="002A208F">
        <w:rPr>
          <w:i/>
          <w:iCs/>
        </w:rPr>
        <w:t>Therapeutic Goods Act 1989</w:t>
      </w:r>
      <w:r w:rsidRPr="002A208F">
        <w:t xml:space="preserve"> (</w:t>
      </w:r>
      <w:proofErr w:type="spellStart"/>
      <w:r w:rsidRPr="002A208F">
        <w:t>Cth</w:t>
      </w:r>
      <w:proofErr w:type="spellEnd"/>
      <w:r w:rsidRPr="002A208F">
        <w:t xml:space="preserve">) </w:t>
      </w:r>
      <w:r w:rsidRPr="002A208F">
        <w:rPr>
          <w:iCs/>
        </w:rPr>
        <w:t xml:space="preserve">(the </w:t>
      </w:r>
      <w:r w:rsidRPr="002A208F">
        <w:rPr>
          <w:b/>
          <w:bCs/>
          <w:iCs/>
        </w:rPr>
        <w:t>Act</w:t>
      </w:r>
      <w:r w:rsidRPr="002A208F">
        <w:rPr>
          <w:iCs/>
        </w:rPr>
        <w:t>)</w:t>
      </w:r>
      <w:r w:rsidRPr="002A208F">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3CB63A61" w14:textId="77777777" w:rsidR="00706696" w:rsidRPr="002A208F" w:rsidRDefault="00706696" w:rsidP="00706696">
      <w:pPr>
        <w:pStyle w:val="ListBullet-dotick"/>
        <w:numPr>
          <w:ilvl w:val="0"/>
          <w:numId w:val="31"/>
        </w:numPr>
        <w:tabs>
          <w:tab w:val="clear" w:pos="425"/>
          <w:tab w:val="left" w:pos="567"/>
        </w:tabs>
        <w:ind w:left="567" w:hanging="425"/>
      </w:pPr>
      <w:r w:rsidRPr="002A208F">
        <w:t xml:space="preserve">the </w:t>
      </w:r>
      <w:hyperlink r:id="rId44" w:history="1">
        <w:r w:rsidRPr="00532B1F">
          <w:rPr>
            <w:rStyle w:val="Hyperlink"/>
            <w:szCs w:val="20"/>
          </w:rPr>
          <w:t>Scheduling Policy Framework</w:t>
        </w:r>
      </w:hyperlink>
      <w:r w:rsidRPr="00532B1F">
        <w:rPr>
          <w:szCs w:val="20"/>
        </w:rPr>
        <w:t xml:space="preserve"> </w:t>
      </w:r>
      <w:r w:rsidRPr="002A208F">
        <w:t xml:space="preserve">2018 (the </w:t>
      </w:r>
      <w:r w:rsidRPr="002A208F">
        <w:rPr>
          <w:b/>
          <w:bCs/>
        </w:rPr>
        <w:t>SPF</w:t>
      </w:r>
      <w:r w:rsidRPr="002A208F">
        <w:t>), and</w:t>
      </w:r>
    </w:p>
    <w:p w14:paraId="35EA6A97" w14:textId="77777777" w:rsidR="00706696" w:rsidRPr="002A208F" w:rsidRDefault="00706696" w:rsidP="00706696">
      <w:pPr>
        <w:pStyle w:val="ListBullet-dotick"/>
        <w:numPr>
          <w:ilvl w:val="0"/>
          <w:numId w:val="31"/>
        </w:numPr>
        <w:tabs>
          <w:tab w:val="clear" w:pos="425"/>
          <w:tab w:val="left" w:pos="567"/>
        </w:tabs>
        <w:ind w:left="567" w:hanging="425"/>
      </w:pPr>
      <w:r w:rsidRPr="00532B1F">
        <w:rPr>
          <w:szCs w:val="20"/>
        </w:rPr>
        <w:t xml:space="preserve">the </w:t>
      </w:r>
      <w:hyperlink r:id="rId45" w:history="1">
        <w:r w:rsidRPr="00532B1F">
          <w:rPr>
            <w:rStyle w:val="Hyperlink"/>
            <w:szCs w:val="20"/>
          </w:rPr>
          <w:t>Scheduling handbook: Guidance for amending the Poisons Standard</w:t>
        </w:r>
      </w:hyperlink>
      <w:r w:rsidRPr="002A208F">
        <w:t xml:space="preserve"> (the </w:t>
      </w:r>
      <w:r w:rsidRPr="002A208F">
        <w:rPr>
          <w:b/>
          <w:bCs/>
        </w:rPr>
        <w:t>Handbook</w:t>
      </w:r>
      <w:r w:rsidRPr="002A208F">
        <w:t>).</w:t>
      </w:r>
    </w:p>
    <w:p w14:paraId="586ACAFA" w14:textId="7D07E40A" w:rsidR="00706696" w:rsidRDefault="00706696" w:rsidP="00706696">
      <w:r>
        <w:t>The applicant did not make a submission on the interim decision.</w:t>
      </w:r>
    </w:p>
    <w:p w14:paraId="41094898" w14:textId="77777777" w:rsidR="00706696" w:rsidRPr="00A620B8" w:rsidRDefault="00706696" w:rsidP="00706696">
      <w:pPr>
        <w:pStyle w:val="Heading4"/>
      </w:pPr>
      <w:r w:rsidRPr="00A620B8">
        <w:t>Proposal</w:t>
      </w:r>
    </w:p>
    <w:p w14:paraId="1C32D75F" w14:textId="77777777" w:rsidR="00706696" w:rsidRDefault="00706696" w:rsidP="00706696">
      <w:r w:rsidRPr="00B923C2">
        <w:t xml:space="preserve">The applicant proposed to exempt from scheduling substances listed in Schedule 4 of the Poisons Standard, such as insulin-like growth factors, interleukins, and interferons, when presented in very small quantities within kits used for research purposes only (the Proposal). The proposal aims to enable consumers who are using small quantities of </w:t>
      </w:r>
      <w:r>
        <w:t>Prescription only (</w:t>
      </w:r>
      <w:r w:rsidRPr="00B923C2">
        <w:t>Schedule 4</w:t>
      </w:r>
      <w:r>
        <w:t>)</w:t>
      </w:r>
      <w:r w:rsidRPr="00B923C2">
        <w:t xml:space="preserve"> substances for research purposes to access these substances without requiring a permit or approval from the relevant state and territory authorities.</w:t>
      </w:r>
    </w:p>
    <w:p w14:paraId="657D1D6B" w14:textId="77777777" w:rsidR="00706696" w:rsidRPr="00A620B8" w:rsidRDefault="00706696" w:rsidP="00706696">
      <w:pPr>
        <w:pStyle w:val="Heading4"/>
      </w:pPr>
      <w:bookmarkStart w:id="55" w:name="_Toc164061987"/>
      <w:r w:rsidRPr="00A620B8">
        <w:t>Interim decision</w:t>
      </w:r>
      <w:bookmarkEnd w:id="55"/>
    </w:p>
    <w:p w14:paraId="0BDE7DC5" w14:textId="401B7041" w:rsidR="00706696" w:rsidRDefault="00923EFF" w:rsidP="00706696">
      <w:r>
        <w:t xml:space="preserve">The proposal was not referred to an advisory committee for advice. </w:t>
      </w:r>
      <w:r w:rsidR="00706696" w:rsidRPr="001E4336">
        <w:t xml:space="preserve">Pursuant to r 42ZCZV of the Regulations, </w:t>
      </w:r>
      <w:r w:rsidR="00706696">
        <w:t xml:space="preserve">I made an interim decision to not amend the current Poisons Standard in relation </w:t>
      </w:r>
      <w:r w:rsidR="00706696" w:rsidRPr="00124882">
        <w:t xml:space="preserve">to </w:t>
      </w:r>
      <w:r w:rsidR="00706696" w:rsidRPr="00B40156">
        <w:t xml:space="preserve">substances </w:t>
      </w:r>
      <w:r w:rsidR="00706696">
        <w:t xml:space="preserve">included in the Poisons Standard as Prescription only (Schedule 4) substances that are </w:t>
      </w:r>
      <w:r w:rsidR="00706696" w:rsidRPr="00B40156">
        <w:t>contained within research-only kits in very small amounts</w:t>
      </w:r>
      <w:r w:rsidR="00706696">
        <w:t xml:space="preserve">. </w:t>
      </w:r>
      <w:r w:rsidR="00706696" w:rsidRPr="0000731F">
        <w:t xml:space="preserve">The detailed reasons for my decision </w:t>
      </w:r>
      <w:r w:rsidR="00894493">
        <w:t>f</w:t>
      </w:r>
      <w:r w:rsidR="00706696" w:rsidRPr="0000731F">
        <w:t>ollow</w:t>
      </w:r>
      <w:r w:rsidR="00706696">
        <w:t>.</w:t>
      </w:r>
    </w:p>
    <w:p w14:paraId="718BB79E" w14:textId="5ED7D7A7" w:rsidR="00706696" w:rsidRDefault="00706696" w:rsidP="00706696">
      <w:r>
        <w:lastRenderedPageBreak/>
        <w:t>In relation to s 52E (1)(a) of the Act, I noted the application aims to facilitate greater access to Prescription only (Schedule 4) substances for research purposes by exempting these substances from scheduling when contained within kits used in research. Typically, substances within these kits are present only in very small amounts, and it is the applicant’s position that there is a very low risk of diversion of these substances under these circumstances. However, there are no mechanisms available under the scheduling framework to restrict supply of these kits to qualified researchers with appropriate authority, or to prevent open supply outside of a research environment.</w:t>
      </w:r>
      <w:r w:rsidRPr="000B611B">
        <w:t xml:space="preserve"> </w:t>
      </w:r>
      <w:r>
        <w:t xml:space="preserve">Further, I noted that there are many </w:t>
      </w:r>
      <w:proofErr w:type="gramStart"/>
      <w:r>
        <w:t>Prescription</w:t>
      </w:r>
      <w:proofErr w:type="gramEnd"/>
      <w:r>
        <w:t xml:space="preserve"> only (Schedule 4) substances in research kits which are potent enough in even the quantities present in such kits to pose risks to health </w:t>
      </w:r>
      <w:r w:rsidR="00923EFF">
        <w:t>from</w:t>
      </w:r>
      <w:r>
        <w:t xml:space="preserve"> inappropriate use. I formed the view that the supply of Prescription only (Schedule 4) substances to any individuals, regardless of the quantities involved, without any control over access is inappropriate and presents unacceptable public health risks.</w:t>
      </w:r>
    </w:p>
    <w:p w14:paraId="18102C6D" w14:textId="77777777" w:rsidR="00706696" w:rsidRDefault="00706696" w:rsidP="00706696">
      <w:r>
        <w:t>Turning to s 52E (1)(b) and (d) of the Act, I acknowledge that Schedule 4 substances are commonly used for research purposes and play significant roles in medical and scientific research. I noted the application stated that the substances are presented in lyophilised form in small quantities in the kits, and as such there are low risks to health associated with these substances</w:t>
      </w:r>
      <w:r w:rsidRPr="00355CC2">
        <w:t xml:space="preserve">. </w:t>
      </w:r>
      <w:r>
        <w:t xml:space="preserve">However, I noted that many of these substances can be reconstituted and extracted from the kits, and the amendment does not prevent individuals from accessing significant quantities of these substances by obtaining multiple units of the product. </w:t>
      </w:r>
      <w:r w:rsidRPr="00355CC2">
        <w:t xml:space="preserve">I </w:t>
      </w:r>
      <w:r>
        <w:t>was not</w:t>
      </w:r>
      <w:r w:rsidRPr="00355CC2">
        <w:t xml:space="preserve"> convinced </w:t>
      </w:r>
      <w:r>
        <w:t xml:space="preserve">that </w:t>
      </w:r>
      <w:r w:rsidRPr="00355CC2">
        <w:t>these</w:t>
      </w:r>
      <w:r>
        <w:t xml:space="preserve"> measures set sufficient barriers to prevent individuals from accessing and misusing them.</w:t>
      </w:r>
    </w:p>
    <w:p w14:paraId="3F85072C" w14:textId="3938D88A" w:rsidR="00706696" w:rsidRDefault="00706696" w:rsidP="00706696">
      <w:r>
        <w:t>As outlined in the SPF, and with reference to sections 52E(1)(c) and (e) of the Act, substances listed in Schedule 4 of the Poisons Standard are medicines that pose a level of risk such that their use requires medical, veterinary or dental intervention. Many of these substances can cause significant adverse events when used without medical supervision or appropriate training, and some of these substances may also produce dependency or present with potential for abuse. I formed the view that the proposal which enables the direct supply of Prescription only (Schedule 4) substances to any individuals, including unqualified individuals who did not receive appropriate training, may potentially result in misuse and therefore result in toxicity from exposure to these substances.</w:t>
      </w:r>
    </w:p>
    <w:p w14:paraId="6D70F7F3" w14:textId="77777777" w:rsidR="00706696" w:rsidRDefault="00706696" w:rsidP="00706696">
      <w:r>
        <w:t>In considering s 52E (1)(f) of the Act, I note that the Poisons Standard is given legal effect through the drugs and poisons legislation of each state and territory. There are already mechanisms in place in each jurisdiction to enable qualified researchers (with appropriate authority) to access these substances for research purposes. While there is some administrative burden associated with this framework, as indicated by the applicant, I considered the additional burden to be justified given the potential health risks that these substances can present. I therefore concluded that the proposed amendment to the Poisons Standard is not appropriate or necessary.</w:t>
      </w:r>
    </w:p>
    <w:p w14:paraId="21E524BC" w14:textId="07BBF0C5" w:rsidR="00706696" w:rsidRDefault="00706696" w:rsidP="00706696">
      <w:pPr>
        <w:rPr>
          <w:rFonts w:cstheme="minorHAnsi"/>
        </w:rPr>
      </w:pPr>
      <w:r>
        <w:t>Based on the above reasons, I decided that the proposal does not align with the SPF</w:t>
      </w:r>
      <w:r w:rsidR="00923EFF">
        <w:t xml:space="preserve">. </w:t>
      </w:r>
      <w:r>
        <w:t xml:space="preserve">Access to scheduled substances for research purposes is currently managed by the legislation of the states and territories, which provides approvals and permits for qualified researchers with appropriate </w:t>
      </w:r>
      <w:r w:rsidRPr="008D7DD7">
        <w:t>authority.</w:t>
      </w:r>
      <w:r w:rsidRPr="00DD6A1D">
        <w:t xml:space="preserve"> </w:t>
      </w:r>
      <w:r>
        <w:t>In my view the risks associated with the proposal outweigh any potential benefits to public health, and therefore I decided not to amend the Poisons Standard in relation to the proposal.</w:t>
      </w:r>
    </w:p>
    <w:p w14:paraId="6EBEF2B9" w14:textId="77777777" w:rsidR="00706696" w:rsidRPr="001E4336" w:rsidRDefault="00706696" w:rsidP="00706696">
      <w:r>
        <w:rPr>
          <w:rFonts w:cstheme="minorHAnsi"/>
        </w:rPr>
        <w:t xml:space="preserve">In accordance with </w:t>
      </w:r>
      <w:r w:rsidRPr="001E4336">
        <w:t>r 42ZCZV of the Regulations</w:t>
      </w:r>
      <w:r>
        <w:t>, t</w:t>
      </w:r>
      <w:r>
        <w:rPr>
          <w:rFonts w:cstheme="minorHAnsi"/>
        </w:rPr>
        <w:t>he interim decision was communicated to the applicant on 21 June 2024 and written submissions on the interim decision was invited.</w:t>
      </w:r>
    </w:p>
    <w:p w14:paraId="2E72866A" w14:textId="77777777" w:rsidR="00706696" w:rsidRPr="00A620B8" w:rsidRDefault="00706696" w:rsidP="00706696">
      <w:pPr>
        <w:pStyle w:val="Heading4"/>
      </w:pPr>
      <w:bookmarkStart w:id="56" w:name="_Toc164061988"/>
      <w:r w:rsidRPr="00A620B8">
        <w:t>Reasons for the final decision (including findings on material questions of fact)</w:t>
      </w:r>
      <w:bookmarkEnd w:id="56"/>
    </w:p>
    <w:p w14:paraId="7A9B56DD" w14:textId="77777777" w:rsidR="00706696" w:rsidRPr="007C08A5" w:rsidRDefault="00706696" w:rsidP="00706696">
      <w:r w:rsidRPr="007C08A5">
        <w:t>Pursuant to regulation 42ZCZW of the Regulations I have made a final decision to confirm my interim decision not to amend the current Poisons Standard with respect to Prescription only (Schedule 4) substances contained within research-only kits in very small amounts. My reasons for making the final decision are those set out in the interim decision sent to the applicant. No submission on the interim decision was received from the applicant.</w:t>
      </w:r>
    </w:p>
    <w:p w14:paraId="65F9F3C2" w14:textId="5185CF45" w:rsidR="00706696" w:rsidRPr="00706696" w:rsidRDefault="00706696" w:rsidP="00706696">
      <w:r w:rsidRPr="007C08A5">
        <w:lastRenderedPageBreak/>
        <w:t xml:space="preserve">I retain the concerns raised in the interim decision. </w:t>
      </w:r>
      <w:proofErr w:type="gramStart"/>
      <w:r w:rsidRPr="007C08A5">
        <w:t>In particular, I</w:t>
      </w:r>
      <w:proofErr w:type="gramEnd"/>
      <w:r w:rsidRPr="007C08A5">
        <w:t xml:space="preserve"> am of the view that the supply of Schedule 4 substances to any individuals, regardless of the quantities involved, without any control over access is inappropriate and presents unacceptable public health risks. </w:t>
      </w:r>
      <w:r w:rsidR="00923EFF">
        <w:t xml:space="preserve">Access to </w:t>
      </w:r>
      <w:r w:rsidRPr="007C08A5">
        <w:t xml:space="preserve">Prescription only </w:t>
      </w:r>
      <w:r w:rsidR="00923EFF">
        <w:t xml:space="preserve">medicines </w:t>
      </w:r>
      <w:r w:rsidRPr="007C08A5">
        <w:t xml:space="preserve">(Schedule 4) research purposes </w:t>
      </w:r>
      <w:r w:rsidR="00923EFF">
        <w:t xml:space="preserve">is effectively managed under state and territory </w:t>
      </w:r>
      <w:r w:rsidRPr="007C08A5">
        <w:t>legislation</w:t>
      </w:r>
      <w:r>
        <w:t>.</w:t>
      </w:r>
    </w:p>
    <w:p w14:paraId="25B7B3CB" w14:textId="3522B975" w:rsidR="00084016" w:rsidRDefault="00014258" w:rsidP="00014258">
      <w:pPr>
        <w:pStyle w:val="Heading3"/>
        <w:rPr>
          <w:rFonts w:eastAsia="Cambria" w:cstheme="minorHAnsi"/>
        </w:rPr>
      </w:pPr>
      <w:bookmarkStart w:id="57" w:name="_Toc178340911"/>
      <w:r>
        <w:t>Final decision in relation to</w:t>
      </w:r>
      <w:r>
        <w:rPr>
          <w:rFonts w:eastAsia="Cambria" w:cstheme="minorHAnsi"/>
        </w:rPr>
        <w:t xml:space="preserve"> </w:t>
      </w:r>
      <w:r w:rsidR="00084016">
        <w:rPr>
          <w:rFonts w:eastAsia="Cambria" w:cstheme="minorHAnsi"/>
        </w:rPr>
        <w:t>Azelaic acid</w:t>
      </w:r>
      <w:bookmarkEnd w:id="57"/>
    </w:p>
    <w:p w14:paraId="7064FBF1" w14:textId="54D80032" w:rsidR="009B06CA" w:rsidRPr="00BB34CD" w:rsidRDefault="009B06CA" w:rsidP="009B06CA">
      <w:pPr>
        <w:pStyle w:val="Heading4"/>
      </w:pPr>
      <w:r w:rsidRPr="00BB34CD">
        <w:t>Final Decision</w:t>
      </w:r>
    </w:p>
    <w:p w14:paraId="626E2FAC" w14:textId="4FA9C730" w:rsidR="00C1282C" w:rsidRDefault="009B06CA" w:rsidP="00C1282C">
      <w:pPr>
        <w:spacing w:before="180"/>
        <w:ind w:left="425"/>
      </w:pPr>
      <w:r>
        <w:t xml:space="preserve">Pursuant to regulation 42ZCZW of the Regulations, </w:t>
      </w:r>
      <w:r w:rsidRPr="00165900">
        <w:t xml:space="preserve">I have made a final decision to confirm my interim decision to not amend the Poisons Standard </w:t>
      </w:r>
      <w:r w:rsidR="00CD70F8" w:rsidRPr="00165900">
        <w:t xml:space="preserve">as proposed by the applicant and to amend the Poisons Standard as per the </w:t>
      </w:r>
      <w:r w:rsidR="00165900">
        <w:t>f</w:t>
      </w:r>
      <w:r w:rsidR="00CD70F8" w:rsidRPr="00165900">
        <w:t>inal Decision</w:t>
      </w:r>
      <w:r w:rsidR="00165900">
        <w:t xml:space="preserve"> </w:t>
      </w:r>
      <w:r w:rsidR="00165900" w:rsidRPr="00165900">
        <w:t>to amend the Poisons Standard in relation to azelaic acid published on 4 September 2023 (the 2023 Final Decision)</w:t>
      </w:r>
      <w:r w:rsidRPr="00165900">
        <w:t>.</w:t>
      </w:r>
      <w:r>
        <w:t xml:space="preserve"> </w:t>
      </w:r>
      <w:r w:rsidR="00165900">
        <w:t xml:space="preserve">The amendments </w:t>
      </w:r>
      <w:r w:rsidR="00894493">
        <w:t xml:space="preserve">from the 2023 Final Decision </w:t>
      </w:r>
      <w:r w:rsidR="00165900">
        <w:t>are as follows:</w:t>
      </w:r>
      <w:r w:rsidR="00C1282C">
        <w:rPr>
          <w:rStyle w:val="FootnoteReference"/>
        </w:rPr>
        <w:footnoteReference w:id="28"/>
      </w:r>
    </w:p>
    <w:p w14:paraId="2DB3C328" w14:textId="4CF702DA" w:rsidR="00C1282C" w:rsidRPr="00F879DF" w:rsidRDefault="00C1282C" w:rsidP="00C1282C">
      <w:pPr>
        <w:spacing w:before="180"/>
        <w:ind w:left="425"/>
        <w:rPr>
          <w:rFonts w:cs="Arial"/>
          <w:b/>
          <w:szCs w:val="20"/>
        </w:rPr>
      </w:pPr>
      <w:r w:rsidRPr="00F879DF">
        <w:rPr>
          <w:rFonts w:cs="Arial"/>
          <w:b/>
          <w:szCs w:val="20"/>
        </w:rPr>
        <w:t>Schedule 5 – New Entry</w:t>
      </w:r>
    </w:p>
    <w:p w14:paraId="64529E82" w14:textId="77777777" w:rsidR="00C1282C" w:rsidRPr="00F879DF" w:rsidRDefault="00C1282C" w:rsidP="00C1282C">
      <w:pPr>
        <w:pStyle w:val="paragraph"/>
        <w:spacing w:before="180" w:beforeAutospacing="0" w:after="180" w:afterAutospacing="0"/>
        <w:ind w:left="709"/>
        <w:textAlignment w:val="baseline"/>
        <w:rPr>
          <w:rFonts w:ascii="Arial" w:hAnsi="Arial" w:cs="Arial"/>
          <w:color w:val="00AF50"/>
          <w:sz w:val="20"/>
          <w:szCs w:val="20"/>
          <w:u w:val="single"/>
        </w:rPr>
      </w:pPr>
      <w:r w:rsidRPr="00F879DF">
        <w:rPr>
          <w:rStyle w:val="normaltextrun"/>
          <w:rFonts w:ascii="Arial" w:hAnsi="Arial" w:cs="Arial"/>
          <w:color w:val="00AF50"/>
          <w:sz w:val="20"/>
          <w:szCs w:val="20"/>
        </w:rPr>
        <w:t xml:space="preserve">AZELAIC ACID </w:t>
      </w:r>
      <w:r w:rsidRPr="00F879DF">
        <w:rPr>
          <w:rStyle w:val="normaltextrun"/>
          <w:rFonts w:ascii="Arial" w:hAnsi="Arial" w:cs="Arial"/>
          <w:b/>
          <w:bCs/>
          <w:color w:val="00AF50"/>
          <w:sz w:val="20"/>
          <w:szCs w:val="20"/>
        </w:rPr>
        <w:t xml:space="preserve">except </w:t>
      </w:r>
      <w:r w:rsidRPr="00F879DF">
        <w:rPr>
          <w:rStyle w:val="normaltextrun"/>
          <w:rFonts w:ascii="Arial" w:hAnsi="Arial" w:cs="Arial"/>
          <w:color w:val="00AF50"/>
          <w:sz w:val="20"/>
          <w:szCs w:val="20"/>
        </w:rPr>
        <w:t>when included in Schedules 2 or 4.</w:t>
      </w:r>
    </w:p>
    <w:p w14:paraId="5097DE48" w14:textId="77777777" w:rsidR="00C1282C" w:rsidRPr="00F879DF" w:rsidRDefault="00C1282C" w:rsidP="00C1282C">
      <w:pPr>
        <w:pStyle w:val="paragraph"/>
        <w:spacing w:before="180" w:beforeAutospacing="0" w:after="180" w:afterAutospacing="0"/>
        <w:ind w:left="425"/>
        <w:textAlignment w:val="baseline"/>
        <w:rPr>
          <w:rFonts w:ascii="Arial" w:hAnsi="Arial" w:cs="Arial"/>
          <w:color w:val="000000"/>
          <w:sz w:val="20"/>
          <w:szCs w:val="20"/>
        </w:rPr>
      </w:pPr>
      <w:r w:rsidRPr="00F879DF">
        <w:rPr>
          <w:rStyle w:val="normaltextrun"/>
          <w:rFonts w:ascii="Arial" w:hAnsi="Arial" w:cs="Arial"/>
          <w:b/>
          <w:bCs/>
          <w:color w:val="000000"/>
          <w:sz w:val="20"/>
          <w:szCs w:val="20"/>
        </w:rPr>
        <w:t>Schedule 4 – Amend Entry</w:t>
      </w:r>
    </w:p>
    <w:p w14:paraId="6D375010" w14:textId="77777777" w:rsidR="00C1282C" w:rsidRPr="00F879DF" w:rsidRDefault="00C1282C" w:rsidP="00C1282C">
      <w:pPr>
        <w:pStyle w:val="paragraph"/>
        <w:spacing w:before="180" w:beforeAutospacing="0" w:after="180" w:afterAutospacing="0"/>
        <w:ind w:left="709"/>
        <w:textAlignment w:val="baseline"/>
        <w:rPr>
          <w:rFonts w:ascii="Arial" w:hAnsi="Arial" w:cs="Arial"/>
          <w:color w:val="000000"/>
          <w:sz w:val="20"/>
          <w:szCs w:val="20"/>
        </w:rPr>
      </w:pPr>
      <w:r w:rsidRPr="00F879DF">
        <w:rPr>
          <w:rStyle w:val="normaltextrun"/>
          <w:rFonts w:ascii="Arial" w:hAnsi="Arial" w:cs="Arial"/>
          <w:color w:val="000000"/>
          <w:sz w:val="20"/>
          <w:szCs w:val="20"/>
        </w:rPr>
        <w:t xml:space="preserve">AZELAIC ACID </w:t>
      </w:r>
      <w:r w:rsidRPr="00F879DF">
        <w:rPr>
          <w:rStyle w:val="normaltextrun"/>
          <w:rFonts w:ascii="Arial" w:hAnsi="Arial" w:cs="Arial"/>
          <w:color w:val="00AF50"/>
          <w:sz w:val="20"/>
          <w:szCs w:val="20"/>
        </w:rPr>
        <w:t xml:space="preserve">for therapeutic use </w:t>
      </w:r>
      <w:r w:rsidRPr="00F879DF">
        <w:rPr>
          <w:rStyle w:val="normaltextrun"/>
          <w:rFonts w:ascii="Arial" w:hAnsi="Arial" w:cs="Arial"/>
          <w:b/>
          <w:bCs/>
          <w:color w:val="000000"/>
          <w:sz w:val="20"/>
          <w:szCs w:val="20"/>
        </w:rPr>
        <w:t>except</w:t>
      </w:r>
      <w:r w:rsidRPr="00F879DF">
        <w:rPr>
          <w:rStyle w:val="normaltextrun"/>
          <w:rFonts w:ascii="Arial" w:hAnsi="Arial" w:cs="Arial"/>
          <w:strike/>
          <w:color w:val="FF0000"/>
          <w:sz w:val="20"/>
          <w:szCs w:val="20"/>
        </w:rPr>
        <w:t>:</w:t>
      </w:r>
    </w:p>
    <w:p w14:paraId="7E0762D4" w14:textId="77777777" w:rsidR="00C1282C" w:rsidRPr="00F879DF" w:rsidRDefault="00C1282C" w:rsidP="00C1282C">
      <w:pPr>
        <w:pStyle w:val="paragraph"/>
        <w:spacing w:before="180" w:beforeAutospacing="0" w:after="180" w:afterAutospacing="0"/>
        <w:ind w:left="1440"/>
        <w:textAlignment w:val="baseline"/>
        <w:rPr>
          <w:rFonts w:ascii="Arial" w:hAnsi="Arial" w:cs="Arial"/>
          <w:color w:val="000000"/>
          <w:sz w:val="20"/>
          <w:szCs w:val="20"/>
        </w:rPr>
      </w:pPr>
      <w:r w:rsidRPr="00F879DF">
        <w:rPr>
          <w:rStyle w:val="normaltextrun"/>
          <w:rFonts w:ascii="Arial" w:hAnsi="Arial" w:cs="Arial"/>
          <w:strike/>
          <w:color w:val="FF0000"/>
          <w:sz w:val="20"/>
          <w:szCs w:val="20"/>
        </w:rPr>
        <w:t>a)</w:t>
      </w:r>
      <w:r w:rsidRPr="00F879DF">
        <w:rPr>
          <w:rStyle w:val="normaltextrun"/>
          <w:rFonts w:ascii="Arial" w:hAnsi="Arial" w:cs="Arial"/>
          <w:color w:val="FF0000"/>
          <w:sz w:val="20"/>
          <w:szCs w:val="20"/>
        </w:rPr>
        <w:t xml:space="preserve"> </w:t>
      </w:r>
      <w:r w:rsidRPr="00F879DF">
        <w:rPr>
          <w:rStyle w:val="normaltextrun"/>
          <w:rFonts w:ascii="Arial" w:hAnsi="Arial" w:cs="Arial"/>
          <w:color w:val="000000"/>
          <w:sz w:val="20"/>
          <w:szCs w:val="20"/>
        </w:rPr>
        <w:t>when included in Schedule 2</w:t>
      </w:r>
      <w:r w:rsidRPr="00F879DF">
        <w:rPr>
          <w:rStyle w:val="normaltextrun"/>
          <w:rFonts w:ascii="Arial" w:hAnsi="Arial" w:cs="Arial"/>
          <w:color w:val="00B050"/>
          <w:sz w:val="20"/>
          <w:szCs w:val="20"/>
        </w:rPr>
        <w:t>.</w:t>
      </w:r>
      <w:r w:rsidRPr="00F879DF">
        <w:rPr>
          <w:rStyle w:val="normaltextrun"/>
          <w:rFonts w:ascii="Arial" w:hAnsi="Arial" w:cs="Arial"/>
          <w:strike/>
          <w:color w:val="FF0000"/>
          <w:sz w:val="20"/>
          <w:szCs w:val="20"/>
        </w:rPr>
        <w:t>; or</w:t>
      </w:r>
    </w:p>
    <w:p w14:paraId="7C676A4E" w14:textId="77777777" w:rsidR="00C1282C" w:rsidRPr="00F879DF" w:rsidRDefault="00C1282C" w:rsidP="00C1282C">
      <w:pPr>
        <w:pStyle w:val="paragraph"/>
        <w:spacing w:before="180" w:beforeAutospacing="0" w:after="180" w:afterAutospacing="0"/>
        <w:ind w:left="1440"/>
        <w:textAlignment w:val="baseline"/>
        <w:rPr>
          <w:rStyle w:val="normaltextrun"/>
          <w:rFonts w:ascii="Arial" w:hAnsi="Arial" w:cs="Arial"/>
          <w:strike/>
          <w:color w:val="FF0000"/>
          <w:sz w:val="20"/>
          <w:szCs w:val="20"/>
        </w:rPr>
      </w:pPr>
      <w:r w:rsidRPr="00F879DF">
        <w:rPr>
          <w:rStyle w:val="normaltextrun"/>
          <w:rFonts w:ascii="Arial" w:hAnsi="Arial" w:cs="Arial"/>
          <w:strike/>
          <w:color w:val="FF0000"/>
          <w:sz w:val="20"/>
          <w:szCs w:val="20"/>
        </w:rPr>
        <w:t>b) in preparations containing 1% or less of azelaic acid for non-human use</w:t>
      </w:r>
    </w:p>
    <w:p w14:paraId="266625F4" w14:textId="77777777" w:rsidR="00C1282C" w:rsidRPr="00F879DF" w:rsidRDefault="00C1282C" w:rsidP="00C1282C">
      <w:pPr>
        <w:pStyle w:val="paragraph"/>
        <w:spacing w:before="180" w:beforeAutospacing="0" w:after="180" w:afterAutospacing="0"/>
        <w:ind w:left="425"/>
        <w:textAlignment w:val="baseline"/>
        <w:rPr>
          <w:rFonts w:ascii="Arial" w:hAnsi="Arial" w:cs="Arial"/>
          <w:color w:val="000000"/>
          <w:sz w:val="20"/>
          <w:szCs w:val="20"/>
        </w:rPr>
      </w:pPr>
      <w:r w:rsidRPr="00F879DF">
        <w:rPr>
          <w:rStyle w:val="normaltextrun"/>
          <w:rFonts w:ascii="Arial" w:hAnsi="Arial" w:cs="Arial"/>
          <w:b/>
          <w:bCs/>
          <w:color w:val="000000"/>
          <w:sz w:val="20"/>
          <w:szCs w:val="20"/>
        </w:rPr>
        <w:t>Schedule 2 – Amend Entry</w:t>
      </w:r>
    </w:p>
    <w:p w14:paraId="37CABF9B" w14:textId="77777777" w:rsidR="00C1282C" w:rsidRPr="00F879DF" w:rsidRDefault="00C1282C" w:rsidP="00C1282C">
      <w:pPr>
        <w:pStyle w:val="paragraph"/>
        <w:spacing w:before="180" w:beforeAutospacing="0" w:after="180" w:afterAutospacing="0"/>
        <w:ind w:left="709"/>
        <w:textAlignment w:val="baseline"/>
        <w:rPr>
          <w:rStyle w:val="normaltextrun"/>
          <w:rFonts w:ascii="Arial" w:hAnsi="Arial" w:cs="Arial"/>
          <w:b/>
          <w:bCs/>
          <w:strike/>
          <w:color w:val="FF0000"/>
          <w:sz w:val="20"/>
          <w:szCs w:val="20"/>
        </w:rPr>
      </w:pPr>
      <w:r w:rsidRPr="00F879DF">
        <w:rPr>
          <w:rStyle w:val="normaltextrun"/>
          <w:rFonts w:ascii="Arial" w:hAnsi="Arial" w:cs="Arial"/>
          <w:color w:val="000000"/>
          <w:sz w:val="20"/>
          <w:szCs w:val="20"/>
        </w:rPr>
        <w:t>AZELAIC ACID in dermal preparations</w:t>
      </w:r>
      <w:r w:rsidRPr="00F879DF">
        <w:rPr>
          <w:rFonts w:ascii="Arial" w:eastAsiaTheme="minorHAnsi" w:hAnsi="Arial" w:cs="Arial"/>
          <w:sz w:val="20"/>
          <w:szCs w:val="20"/>
          <w:lang w:eastAsia="en-US"/>
        </w:rPr>
        <w:t xml:space="preserve"> </w:t>
      </w:r>
      <w:r w:rsidRPr="00894493">
        <w:rPr>
          <w:rFonts w:ascii="Arial" w:hAnsi="Arial" w:cs="Arial"/>
          <w:color w:val="00B050"/>
          <w:sz w:val="20"/>
          <w:szCs w:val="20"/>
        </w:rPr>
        <w:t>for</w:t>
      </w:r>
      <w:r w:rsidRPr="00F879DF">
        <w:rPr>
          <w:rStyle w:val="normaltextrun"/>
          <w:rFonts w:ascii="Arial" w:hAnsi="Arial" w:cs="Arial"/>
          <w:color w:val="00AF50"/>
          <w:sz w:val="20"/>
          <w:szCs w:val="20"/>
        </w:rPr>
        <w:t xml:space="preserve"> human therapeutic use.</w:t>
      </w:r>
    </w:p>
    <w:p w14:paraId="78257F76" w14:textId="77777777" w:rsidR="00C1282C" w:rsidRPr="00F879DF" w:rsidRDefault="00C1282C" w:rsidP="00C1282C">
      <w:pPr>
        <w:spacing w:after="160"/>
        <w:rPr>
          <w:rFonts w:eastAsia="Times New Roman" w:cs="Arial"/>
          <w:b/>
          <w:bCs/>
          <w:szCs w:val="20"/>
          <w:lang w:eastAsia="en-AU"/>
        </w:rPr>
      </w:pPr>
      <w:r w:rsidRPr="00F879DF">
        <w:rPr>
          <w:rFonts w:cs="Arial"/>
          <w:b/>
          <w:bCs/>
          <w:szCs w:val="20"/>
        </w:rPr>
        <w:t>Appendix E – New Entry</w:t>
      </w:r>
    </w:p>
    <w:tbl>
      <w:tblPr>
        <w:tblStyle w:val="TableTGAblue"/>
        <w:tblW w:w="8737" w:type="dxa"/>
        <w:tblInd w:w="720" w:type="dxa"/>
        <w:tblLook w:val="04A0" w:firstRow="1" w:lastRow="0" w:firstColumn="1" w:lastColumn="0" w:noHBand="0" w:noVBand="1"/>
      </w:tblPr>
      <w:tblGrid>
        <w:gridCol w:w="1360"/>
        <w:gridCol w:w="1360"/>
        <w:gridCol w:w="1881"/>
        <w:gridCol w:w="4136"/>
      </w:tblGrid>
      <w:tr w:rsidR="00C1282C" w:rsidRPr="00F879DF" w14:paraId="25027E01" w14:textId="77777777" w:rsidTr="007232A5">
        <w:trPr>
          <w:cnfStyle w:val="100000000000" w:firstRow="1" w:lastRow="0" w:firstColumn="0" w:lastColumn="0" w:oddVBand="0" w:evenVBand="0" w:oddHBand="0" w:evenHBand="0" w:firstRowFirstColumn="0" w:firstRowLastColumn="0" w:lastRowFirstColumn="0" w:lastRowLastColumn="0"/>
          <w:trHeight w:val="690"/>
          <w:tblHeader/>
        </w:trPr>
        <w:tc>
          <w:tcPr>
            <w:cnfStyle w:val="001000000000" w:firstRow="0" w:lastRow="0" w:firstColumn="1" w:lastColumn="0" w:oddVBand="0" w:evenVBand="0" w:oddHBand="0" w:evenHBand="0" w:firstRowFirstColumn="0" w:firstRowLastColumn="0" w:lastRowFirstColumn="0" w:lastRowLastColumn="0"/>
            <w:tcW w:w="1360" w:type="dxa"/>
          </w:tcPr>
          <w:p w14:paraId="5197D01F" w14:textId="77777777" w:rsidR="00C1282C" w:rsidRPr="00F879DF" w:rsidDel="00621185" w:rsidRDefault="00C1282C" w:rsidP="00A70D89">
            <w:pPr>
              <w:pStyle w:val="paragraph"/>
              <w:spacing w:before="180" w:beforeAutospacing="0" w:after="180" w:afterAutospacing="0"/>
              <w:textAlignment w:val="baseline"/>
              <w:rPr>
                <w:rFonts w:ascii="Arial" w:hAnsi="Arial" w:cs="Arial"/>
                <w:sz w:val="20"/>
                <w:szCs w:val="20"/>
              </w:rPr>
            </w:pPr>
            <w:r w:rsidRPr="007232A5">
              <w:rPr>
                <w:rFonts w:ascii="Arial" w:hAnsi="Arial" w:cs="Arial"/>
                <w:color w:val="FFFFFF" w:themeColor="background1"/>
                <w:sz w:val="20"/>
                <w:szCs w:val="20"/>
              </w:rPr>
              <w:t>Item</w:t>
            </w:r>
          </w:p>
        </w:tc>
        <w:tc>
          <w:tcPr>
            <w:tcW w:w="1360" w:type="dxa"/>
          </w:tcPr>
          <w:p w14:paraId="481811A6" w14:textId="77777777" w:rsidR="00C1282C" w:rsidRPr="00F879DF" w:rsidRDefault="00C1282C" w:rsidP="00A70D89">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879DF">
              <w:rPr>
                <w:rFonts w:ascii="Arial" w:hAnsi="Arial" w:cs="Arial"/>
                <w:color w:val="FFFFFF" w:themeColor="background1"/>
                <w:sz w:val="20"/>
                <w:szCs w:val="20"/>
              </w:rPr>
              <w:t>Poison</w:t>
            </w:r>
          </w:p>
        </w:tc>
        <w:tc>
          <w:tcPr>
            <w:tcW w:w="1881" w:type="dxa"/>
          </w:tcPr>
          <w:p w14:paraId="5E69E5B8" w14:textId="77777777" w:rsidR="00C1282C" w:rsidRPr="00F879DF" w:rsidRDefault="00C1282C" w:rsidP="00A70D89">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879DF">
              <w:rPr>
                <w:rFonts w:ascii="Arial" w:hAnsi="Arial" w:cs="Arial"/>
                <w:color w:val="FFFFFF" w:themeColor="background1"/>
                <w:sz w:val="20"/>
                <w:szCs w:val="20"/>
              </w:rPr>
              <w:t xml:space="preserve"> Statement code</w:t>
            </w:r>
          </w:p>
        </w:tc>
        <w:tc>
          <w:tcPr>
            <w:tcW w:w="4136" w:type="dxa"/>
          </w:tcPr>
          <w:p w14:paraId="1F9EAA93" w14:textId="77777777" w:rsidR="00C1282C" w:rsidRPr="00F879DF" w:rsidRDefault="00C1282C" w:rsidP="00A70D89">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879DF">
              <w:rPr>
                <w:rFonts w:ascii="Arial" w:hAnsi="Arial" w:cs="Arial"/>
                <w:color w:val="FFFFFF" w:themeColor="background1"/>
                <w:sz w:val="20"/>
                <w:szCs w:val="20"/>
              </w:rPr>
              <w:t>First aid instructions</w:t>
            </w:r>
          </w:p>
        </w:tc>
      </w:tr>
      <w:tr w:rsidR="00C1282C" w:rsidRPr="00F879DF" w14:paraId="31A44C89" w14:textId="77777777" w:rsidTr="00A70D89">
        <w:trPr>
          <w:trHeight w:val="1309"/>
        </w:trPr>
        <w:tc>
          <w:tcPr>
            <w:cnfStyle w:val="001000000000" w:firstRow="0" w:lastRow="0" w:firstColumn="1" w:lastColumn="0" w:oddVBand="0" w:evenVBand="0" w:oddHBand="0" w:evenHBand="0" w:firstRowFirstColumn="0" w:firstRowLastColumn="0" w:lastRowFirstColumn="0" w:lastRowLastColumn="0"/>
            <w:tcW w:w="1360" w:type="dxa"/>
          </w:tcPr>
          <w:p w14:paraId="6BA8B378" w14:textId="77777777" w:rsidR="00C1282C" w:rsidRPr="00F879DF" w:rsidRDefault="00C1282C" w:rsidP="00A70D89">
            <w:pPr>
              <w:pStyle w:val="paragraph"/>
              <w:spacing w:before="180" w:beforeAutospacing="0" w:after="180" w:afterAutospacing="0"/>
              <w:textAlignment w:val="baseline"/>
              <w:rPr>
                <w:rFonts w:ascii="Arial" w:hAnsi="Arial" w:cs="Arial"/>
                <w:color w:val="00B050"/>
                <w:sz w:val="20"/>
                <w:szCs w:val="20"/>
                <w:u w:val="single"/>
              </w:rPr>
            </w:pPr>
            <w:r w:rsidRPr="00F879DF">
              <w:rPr>
                <w:rFonts w:ascii="Arial" w:hAnsi="Arial" w:cs="Arial"/>
                <w:color w:val="00B050"/>
                <w:sz w:val="20"/>
                <w:szCs w:val="20"/>
                <w:u w:val="single"/>
              </w:rPr>
              <w:t>31a</w:t>
            </w:r>
          </w:p>
        </w:tc>
        <w:tc>
          <w:tcPr>
            <w:tcW w:w="1360" w:type="dxa"/>
          </w:tcPr>
          <w:p w14:paraId="41F9EAE5" w14:textId="77777777" w:rsidR="00C1282C" w:rsidRPr="00F879DF" w:rsidRDefault="00C1282C" w:rsidP="00A70D89">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B050"/>
                <w:sz w:val="20"/>
                <w:szCs w:val="20"/>
                <w:u w:val="single"/>
              </w:rPr>
            </w:pPr>
            <w:r w:rsidRPr="00F879DF">
              <w:rPr>
                <w:rFonts w:ascii="Arial" w:hAnsi="Arial" w:cs="Arial"/>
                <w:color w:val="00B050"/>
                <w:sz w:val="20"/>
                <w:szCs w:val="20"/>
                <w:u w:val="single"/>
              </w:rPr>
              <w:t>Azelaic acid</w:t>
            </w:r>
          </w:p>
        </w:tc>
        <w:tc>
          <w:tcPr>
            <w:tcW w:w="1881" w:type="dxa"/>
          </w:tcPr>
          <w:p w14:paraId="2BB5270A" w14:textId="77777777" w:rsidR="00C1282C" w:rsidRPr="00F879DF" w:rsidRDefault="00C1282C" w:rsidP="00A70D89">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B050"/>
                <w:sz w:val="20"/>
                <w:szCs w:val="20"/>
                <w:u w:val="single"/>
              </w:rPr>
            </w:pPr>
            <w:r w:rsidRPr="00F879DF">
              <w:rPr>
                <w:rFonts w:ascii="Arial" w:hAnsi="Arial" w:cs="Arial"/>
                <w:color w:val="00B050"/>
                <w:sz w:val="20"/>
                <w:szCs w:val="20"/>
                <w:u w:val="single"/>
              </w:rPr>
              <w:t>A, E1</w:t>
            </w:r>
          </w:p>
        </w:tc>
        <w:tc>
          <w:tcPr>
            <w:tcW w:w="4136" w:type="dxa"/>
            <w:vAlign w:val="center"/>
          </w:tcPr>
          <w:p w14:paraId="5FA767EC" w14:textId="77777777" w:rsidR="00C1282C" w:rsidRPr="00F879DF" w:rsidRDefault="00C1282C" w:rsidP="00A70D89">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B050"/>
                <w:sz w:val="20"/>
                <w:szCs w:val="20"/>
                <w:u w:val="single"/>
              </w:rPr>
            </w:pPr>
            <w:r w:rsidRPr="00F879DF">
              <w:rPr>
                <w:rFonts w:ascii="Arial" w:hAnsi="Arial" w:cs="Arial"/>
                <w:color w:val="00B050"/>
                <w:sz w:val="20"/>
                <w:szCs w:val="20"/>
                <w:u w:val="single"/>
              </w:rPr>
              <w:t>A - For advice, contact a Poisons Information Centre (e.g. phone Australia 13 11 26; New Zealand 0800 764 766) or a doctor (at once).</w:t>
            </w:r>
          </w:p>
          <w:p w14:paraId="344AB8E7" w14:textId="77777777" w:rsidR="00C1282C" w:rsidRPr="00F879DF" w:rsidRDefault="00C1282C" w:rsidP="00A70D89">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B050"/>
                <w:sz w:val="20"/>
                <w:szCs w:val="20"/>
                <w:u w:val="single"/>
              </w:rPr>
            </w:pPr>
            <w:r w:rsidRPr="00F879DF">
              <w:rPr>
                <w:rFonts w:ascii="Arial" w:hAnsi="Arial" w:cs="Arial"/>
                <w:color w:val="00B050"/>
                <w:sz w:val="20"/>
                <w:szCs w:val="20"/>
                <w:u w:val="single"/>
              </w:rPr>
              <w:t>E1 – If in eyes, wash out immediately with water</w:t>
            </w:r>
          </w:p>
        </w:tc>
      </w:tr>
    </w:tbl>
    <w:p w14:paraId="0718FCB7" w14:textId="77777777" w:rsidR="00C1282C" w:rsidRPr="00F879DF" w:rsidRDefault="00C1282C" w:rsidP="00C1282C">
      <w:pPr>
        <w:pStyle w:val="paragraph"/>
        <w:keepNext/>
        <w:spacing w:before="180" w:beforeAutospacing="0" w:after="180" w:afterAutospacing="0"/>
        <w:ind w:left="426"/>
        <w:textAlignment w:val="baseline"/>
        <w:rPr>
          <w:rFonts w:ascii="Arial" w:hAnsi="Arial" w:cs="Arial"/>
          <w:b/>
          <w:bCs/>
          <w:sz w:val="20"/>
          <w:szCs w:val="20"/>
        </w:rPr>
      </w:pPr>
      <w:r w:rsidRPr="00F879DF">
        <w:rPr>
          <w:rFonts w:ascii="Arial" w:hAnsi="Arial" w:cs="Arial"/>
          <w:b/>
          <w:bCs/>
          <w:sz w:val="20"/>
          <w:szCs w:val="20"/>
        </w:rPr>
        <w:lastRenderedPageBreak/>
        <w:t xml:space="preserve">Appendix F – New entry </w:t>
      </w:r>
    </w:p>
    <w:tbl>
      <w:tblPr>
        <w:tblStyle w:val="TableTGAblue"/>
        <w:tblW w:w="8573" w:type="dxa"/>
        <w:tblInd w:w="666" w:type="dxa"/>
        <w:tblLook w:val="04A0" w:firstRow="1" w:lastRow="0" w:firstColumn="1" w:lastColumn="0" w:noHBand="0" w:noVBand="1"/>
      </w:tblPr>
      <w:tblGrid>
        <w:gridCol w:w="1309"/>
        <w:gridCol w:w="1417"/>
        <w:gridCol w:w="1985"/>
        <w:gridCol w:w="3862"/>
      </w:tblGrid>
      <w:tr w:rsidR="00C1282C" w:rsidRPr="00F879DF" w14:paraId="60FA2B8C" w14:textId="77777777" w:rsidTr="00A70D89">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309" w:type="dxa"/>
          </w:tcPr>
          <w:p w14:paraId="64A39CE5" w14:textId="77777777" w:rsidR="00C1282C" w:rsidRPr="00F879DF" w:rsidRDefault="00C1282C" w:rsidP="00A70D89">
            <w:pPr>
              <w:pStyle w:val="paragraph"/>
              <w:spacing w:before="180" w:beforeAutospacing="0" w:after="180" w:afterAutospacing="0"/>
              <w:textAlignment w:val="baseline"/>
              <w:rPr>
                <w:rFonts w:ascii="Arial" w:hAnsi="Arial" w:cs="Arial"/>
                <w:color w:val="FFFFFF" w:themeColor="background1"/>
                <w:sz w:val="20"/>
                <w:szCs w:val="20"/>
              </w:rPr>
            </w:pPr>
            <w:r w:rsidRPr="00F879DF">
              <w:rPr>
                <w:rFonts w:ascii="Arial" w:hAnsi="Arial" w:cs="Arial"/>
                <w:color w:val="FFFFFF" w:themeColor="background1"/>
                <w:sz w:val="20"/>
                <w:szCs w:val="20"/>
              </w:rPr>
              <w:t>Item</w:t>
            </w:r>
          </w:p>
        </w:tc>
        <w:tc>
          <w:tcPr>
            <w:tcW w:w="1417" w:type="dxa"/>
          </w:tcPr>
          <w:p w14:paraId="73C6E1AB" w14:textId="77777777" w:rsidR="00C1282C" w:rsidRPr="00F879DF" w:rsidRDefault="00C1282C" w:rsidP="00A70D89">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879DF">
              <w:rPr>
                <w:rFonts w:ascii="Arial" w:hAnsi="Arial" w:cs="Arial"/>
                <w:color w:val="FFFFFF" w:themeColor="background1"/>
                <w:sz w:val="20"/>
                <w:szCs w:val="20"/>
              </w:rPr>
              <w:t>Poison</w:t>
            </w:r>
          </w:p>
        </w:tc>
        <w:tc>
          <w:tcPr>
            <w:tcW w:w="1985" w:type="dxa"/>
          </w:tcPr>
          <w:p w14:paraId="2FCC4D37" w14:textId="77777777" w:rsidR="00C1282C" w:rsidRPr="00F879DF" w:rsidRDefault="00C1282C" w:rsidP="00A70D89">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879DF">
              <w:rPr>
                <w:rFonts w:ascii="Arial" w:hAnsi="Arial" w:cs="Arial"/>
                <w:color w:val="FFFFFF" w:themeColor="background1"/>
                <w:sz w:val="20"/>
                <w:szCs w:val="20"/>
              </w:rPr>
              <w:t>Statement code for safety directions</w:t>
            </w:r>
          </w:p>
        </w:tc>
        <w:tc>
          <w:tcPr>
            <w:tcW w:w="3862" w:type="dxa"/>
          </w:tcPr>
          <w:p w14:paraId="4BBB06A1" w14:textId="77777777" w:rsidR="00C1282C" w:rsidRPr="00F879DF" w:rsidRDefault="00C1282C" w:rsidP="00A70D89">
            <w:pPr>
              <w:pStyle w:val="paragraph"/>
              <w:spacing w:before="180" w:beforeAutospacing="0" w:after="18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F879DF">
              <w:rPr>
                <w:rFonts w:ascii="Arial" w:hAnsi="Arial" w:cs="Arial"/>
                <w:color w:val="FFFFFF" w:themeColor="background1"/>
                <w:sz w:val="20"/>
                <w:szCs w:val="20"/>
              </w:rPr>
              <w:t>Safety Direction</w:t>
            </w:r>
          </w:p>
        </w:tc>
      </w:tr>
      <w:tr w:rsidR="00C1282C" w:rsidRPr="00F879DF" w14:paraId="75257F16" w14:textId="77777777" w:rsidTr="00A70D89">
        <w:trPr>
          <w:trHeight w:val="674"/>
        </w:trPr>
        <w:tc>
          <w:tcPr>
            <w:cnfStyle w:val="001000000000" w:firstRow="0" w:lastRow="0" w:firstColumn="1" w:lastColumn="0" w:oddVBand="0" w:evenVBand="0" w:oddHBand="0" w:evenHBand="0" w:firstRowFirstColumn="0" w:firstRowLastColumn="0" w:lastRowFirstColumn="0" w:lastRowLastColumn="0"/>
            <w:tcW w:w="1309" w:type="dxa"/>
          </w:tcPr>
          <w:p w14:paraId="78658AA0" w14:textId="77777777" w:rsidR="00C1282C" w:rsidRPr="00F879DF" w:rsidRDefault="00C1282C" w:rsidP="00A70D89">
            <w:pPr>
              <w:pStyle w:val="paragraph"/>
              <w:spacing w:before="180" w:beforeAutospacing="0" w:after="180" w:afterAutospacing="0"/>
              <w:textAlignment w:val="baseline"/>
              <w:rPr>
                <w:rFonts w:ascii="Arial" w:hAnsi="Arial" w:cs="Arial"/>
                <w:color w:val="00B050"/>
                <w:sz w:val="20"/>
                <w:szCs w:val="20"/>
                <w:u w:val="single"/>
              </w:rPr>
            </w:pPr>
            <w:r w:rsidRPr="00F879DF">
              <w:rPr>
                <w:rFonts w:ascii="Arial" w:hAnsi="Arial" w:cs="Arial"/>
                <w:color w:val="00B050"/>
                <w:sz w:val="20"/>
                <w:szCs w:val="20"/>
                <w:u w:val="single"/>
              </w:rPr>
              <w:t>32a</w:t>
            </w:r>
          </w:p>
        </w:tc>
        <w:tc>
          <w:tcPr>
            <w:tcW w:w="1417" w:type="dxa"/>
          </w:tcPr>
          <w:p w14:paraId="6A840420" w14:textId="77777777" w:rsidR="00C1282C" w:rsidRPr="00F879DF" w:rsidRDefault="00C1282C" w:rsidP="00A70D89">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B050"/>
                <w:sz w:val="20"/>
                <w:szCs w:val="20"/>
                <w:u w:val="single"/>
              </w:rPr>
            </w:pPr>
            <w:r w:rsidRPr="00F879DF">
              <w:rPr>
                <w:rFonts w:ascii="Arial" w:hAnsi="Arial" w:cs="Arial"/>
                <w:color w:val="00B050"/>
                <w:sz w:val="20"/>
                <w:szCs w:val="20"/>
                <w:u w:val="single"/>
              </w:rPr>
              <w:t>Azelaic acid</w:t>
            </w:r>
          </w:p>
        </w:tc>
        <w:tc>
          <w:tcPr>
            <w:tcW w:w="1985" w:type="dxa"/>
          </w:tcPr>
          <w:p w14:paraId="659F1DF5" w14:textId="77777777" w:rsidR="00C1282C" w:rsidRPr="00F879DF" w:rsidRDefault="00C1282C" w:rsidP="00A70D89">
            <w:pPr>
              <w:pStyle w:val="paragraph"/>
              <w:spacing w:before="18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B050"/>
                <w:sz w:val="20"/>
                <w:szCs w:val="20"/>
                <w:u w:val="single"/>
              </w:rPr>
            </w:pPr>
            <w:r w:rsidRPr="00F879DF">
              <w:rPr>
                <w:rFonts w:ascii="Arial" w:hAnsi="Arial" w:cs="Arial"/>
                <w:color w:val="00B050"/>
                <w:sz w:val="20"/>
                <w:szCs w:val="20"/>
                <w:u w:val="single"/>
              </w:rPr>
              <w:t>1, 4</w:t>
            </w:r>
          </w:p>
        </w:tc>
        <w:tc>
          <w:tcPr>
            <w:tcW w:w="3862" w:type="dxa"/>
            <w:vAlign w:val="center"/>
          </w:tcPr>
          <w:p w14:paraId="244D3425" w14:textId="77777777" w:rsidR="00C1282C" w:rsidRPr="00F879DF" w:rsidRDefault="00C1282C" w:rsidP="00A70D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B050"/>
                <w:sz w:val="20"/>
                <w:szCs w:val="20"/>
                <w:u w:val="single"/>
              </w:rPr>
            </w:pPr>
            <w:r w:rsidRPr="00F879DF">
              <w:rPr>
                <w:rFonts w:ascii="Arial" w:hAnsi="Arial" w:cs="Arial"/>
                <w:color w:val="00B050"/>
                <w:sz w:val="20"/>
                <w:szCs w:val="20"/>
                <w:u w:val="single"/>
              </w:rPr>
              <w:t>1 - Avoid contact with eyes</w:t>
            </w:r>
          </w:p>
          <w:p w14:paraId="40D637BF" w14:textId="77777777" w:rsidR="00C1282C" w:rsidRPr="00F879DF" w:rsidRDefault="00C1282C" w:rsidP="00A70D8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B050"/>
                <w:sz w:val="20"/>
                <w:szCs w:val="20"/>
                <w:u w:val="single"/>
              </w:rPr>
            </w:pPr>
            <w:r w:rsidRPr="00F879DF">
              <w:rPr>
                <w:rFonts w:ascii="Arial" w:hAnsi="Arial" w:cs="Arial"/>
                <w:color w:val="00B050"/>
                <w:sz w:val="20"/>
                <w:szCs w:val="20"/>
                <w:u w:val="single"/>
              </w:rPr>
              <w:t>4 - Avoid contact with skin</w:t>
            </w:r>
          </w:p>
        </w:tc>
      </w:tr>
    </w:tbl>
    <w:p w14:paraId="3A8973FE" w14:textId="77777777" w:rsidR="00C1282C" w:rsidRPr="00F879DF" w:rsidRDefault="00C1282C" w:rsidP="00C1282C">
      <w:pPr>
        <w:pStyle w:val="paragraph"/>
        <w:spacing w:before="180" w:beforeAutospacing="0" w:after="180" w:afterAutospacing="0"/>
        <w:ind w:left="426"/>
        <w:textAlignment w:val="baseline"/>
        <w:rPr>
          <w:rFonts w:ascii="Arial" w:hAnsi="Arial" w:cs="Arial"/>
          <w:color w:val="000000"/>
          <w:sz w:val="20"/>
          <w:szCs w:val="20"/>
        </w:rPr>
      </w:pPr>
      <w:r w:rsidRPr="00F879DF">
        <w:rPr>
          <w:rStyle w:val="normaltextrun"/>
          <w:rFonts w:ascii="Arial" w:hAnsi="Arial" w:cs="Arial"/>
          <w:b/>
          <w:bCs/>
          <w:color w:val="000000"/>
          <w:sz w:val="20"/>
          <w:szCs w:val="20"/>
        </w:rPr>
        <w:t>Index – Amend Entry</w:t>
      </w:r>
      <w:r w:rsidRPr="00F879DF">
        <w:rPr>
          <w:rStyle w:val="eop"/>
          <w:rFonts w:ascii="Arial" w:eastAsia="Cambria" w:hAnsi="Arial" w:cs="Arial"/>
          <w:color w:val="000000"/>
          <w:sz w:val="20"/>
          <w:szCs w:val="20"/>
        </w:rPr>
        <w:t> </w:t>
      </w:r>
    </w:p>
    <w:p w14:paraId="46339AA2" w14:textId="77777777" w:rsidR="00C1282C" w:rsidRPr="00F879DF" w:rsidRDefault="00C1282C" w:rsidP="00C1282C">
      <w:pPr>
        <w:spacing w:before="180"/>
        <w:ind w:left="709" w:firstLine="11"/>
        <w:rPr>
          <w:rStyle w:val="normaltextrun"/>
          <w:rFonts w:cs="Arial"/>
          <w:color w:val="00AF50"/>
          <w:szCs w:val="20"/>
          <w:lang w:eastAsia="en-AU"/>
        </w:rPr>
      </w:pPr>
      <w:r w:rsidRPr="00F879DF">
        <w:rPr>
          <w:rStyle w:val="normaltextrun"/>
          <w:rFonts w:cs="Arial"/>
          <w:b/>
          <w:bCs/>
          <w:color w:val="000000"/>
          <w:szCs w:val="20"/>
        </w:rPr>
        <w:t>AZELAIC ACID</w:t>
      </w:r>
      <w:r w:rsidRPr="00F879DF">
        <w:rPr>
          <w:rStyle w:val="scxw158489010"/>
          <w:rFonts w:cs="Arial"/>
          <w:color w:val="000000"/>
          <w:szCs w:val="20"/>
        </w:rPr>
        <w:t> </w:t>
      </w:r>
      <w:r w:rsidRPr="00F879DF">
        <w:rPr>
          <w:rFonts w:cs="Arial"/>
          <w:color w:val="000000"/>
          <w:szCs w:val="20"/>
        </w:rPr>
        <w:br/>
      </w:r>
      <w:r w:rsidRPr="00F879DF">
        <w:rPr>
          <w:rStyle w:val="normaltextrun"/>
          <w:rFonts w:cs="Arial"/>
          <w:color w:val="00AF50"/>
          <w:szCs w:val="20"/>
        </w:rPr>
        <w:t>cross reference: NONANEDIOIC ACID</w:t>
      </w:r>
    </w:p>
    <w:p w14:paraId="44C01E01" w14:textId="77777777" w:rsidR="00C1282C" w:rsidRPr="00F879DF" w:rsidRDefault="00C1282C" w:rsidP="00C1282C">
      <w:pPr>
        <w:spacing w:before="180"/>
        <w:ind w:left="709" w:firstLine="11"/>
        <w:rPr>
          <w:rStyle w:val="eop"/>
          <w:rFonts w:cs="Arial"/>
          <w:color w:val="00B050"/>
          <w:szCs w:val="20"/>
          <w:u w:val="single"/>
        </w:rPr>
      </w:pPr>
      <w:r w:rsidRPr="00F879DF">
        <w:rPr>
          <w:rStyle w:val="normaltextrun"/>
          <w:rFonts w:cs="Arial"/>
          <w:color w:val="00AF50"/>
          <w:szCs w:val="20"/>
        </w:rPr>
        <w:t>Schedule 5</w:t>
      </w:r>
      <w:r w:rsidRPr="00F879DF">
        <w:rPr>
          <w:rFonts w:cs="Arial"/>
          <w:color w:val="00AF50"/>
          <w:szCs w:val="20"/>
          <w:u w:val="single"/>
        </w:rPr>
        <w:br/>
      </w:r>
      <w:r w:rsidRPr="00F879DF">
        <w:rPr>
          <w:rStyle w:val="normaltextrun"/>
          <w:rFonts w:cs="Arial"/>
          <w:color w:val="000000"/>
          <w:szCs w:val="20"/>
        </w:rPr>
        <w:t>Schedule 4</w:t>
      </w:r>
      <w:r w:rsidRPr="00F879DF">
        <w:rPr>
          <w:rStyle w:val="scxw158489010"/>
          <w:rFonts w:cs="Arial"/>
          <w:color w:val="000000"/>
          <w:szCs w:val="20"/>
        </w:rPr>
        <w:t> </w:t>
      </w:r>
      <w:r w:rsidRPr="00F879DF">
        <w:rPr>
          <w:rFonts w:cs="Arial"/>
          <w:color w:val="000000"/>
          <w:szCs w:val="20"/>
        </w:rPr>
        <w:br/>
      </w:r>
      <w:r w:rsidRPr="00F879DF">
        <w:rPr>
          <w:rStyle w:val="normaltextrun"/>
          <w:rFonts w:cs="Arial"/>
          <w:color w:val="000000"/>
          <w:szCs w:val="20"/>
        </w:rPr>
        <w:t>Schedule 2</w:t>
      </w:r>
      <w:r w:rsidRPr="00F879DF">
        <w:rPr>
          <w:rStyle w:val="eop"/>
          <w:rFonts w:cs="Arial"/>
          <w:color w:val="000000"/>
          <w:szCs w:val="20"/>
        </w:rPr>
        <w:br/>
      </w:r>
      <w:r w:rsidRPr="00F879DF">
        <w:rPr>
          <w:rStyle w:val="eop"/>
          <w:rFonts w:cs="Arial"/>
          <w:color w:val="00B050"/>
          <w:szCs w:val="20"/>
          <w:u w:val="single"/>
        </w:rPr>
        <w:t>Appendix E, clause 3</w:t>
      </w:r>
      <w:r w:rsidRPr="00F879DF">
        <w:rPr>
          <w:rStyle w:val="eop"/>
          <w:rFonts w:cs="Arial"/>
          <w:color w:val="00B050"/>
          <w:szCs w:val="20"/>
          <w:u w:val="single"/>
        </w:rPr>
        <w:br/>
        <w:t>Appendix F, clause 4</w:t>
      </w:r>
    </w:p>
    <w:p w14:paraId="6C9B8C8F" w14:textId="55B6831D" w:rsidR="00F879DF" w:rsidRPr="00215D48" w:rsidRDefault="00F879DF" w:rsidP="00F879DF">
      <w:pPr>
        <w:pStyle w:val="Heading4"/>
      </w:pPr>
      <w:r>
        <w:t>Materials Considered</w:t>
      </w:r>
    </w:p>
    <w:p w14:paraId="7A6B8ABB" w14:textId="77777777" w:rsidR="009B06CA" w:rsidRPr="0016028F" w:rsidRDefault="009B06CA" w:rsidP="009B06CA">
      <w:pPr>
        <w:rPr>
          <w:rFonts w:cstheme="minorHAnsi"/>
        </w:rPr>
      </w:pPr>
      <w:r w:rsidRPr="002A208F">
        <w:t xml:space="preserve">In making this final </w:t>
      </w:r>
      <w:r w:rsidRPr="0016028F">
        <w:rPr>
          <w:rFonts w:cstheme="minorHAnsi"/>
        </w:rPr>
        <w:t>decision, the Delegate considered the following material:</w:t>
      </w:r>
    </w:p>
    <w:p w14:paraId="0AB62F8F" w14:textId="77777777" w:rsidR="009B06CA" w:rsidRPr="009B06CA" w:rsidRDefault="009B06CA" w:rsidP="009B06CA">
      <w:pPr>
        <w:pStyle w:val="ListBullet"/>
        <w:rPr>
          <w:rFonts w:cs="Arial"/>
          <w:szCs w:val="20"/>
        </w:rPr>
      </w:pPr>
      <w:r w:rsidRPr="009B06CA">
        <w:rPr>
          <w:rFonts w:cs="Arial"/>
          <w:szCs w:val="20"/>
        </w:rPr>
        <w:t>the application to amend the current Poisons Standard with respect to azelaic acid (the Application)</w:t>
      </w:r>
    </w:p>
    <w:p w14:paraId="40743D87" w14:textId="1D017D1B" w:rsidR="00F37BEB" w:rsidRDefault="00F37BEB" w:rsidP="009B06CA">
      <w:pPr>
        <w:pStyle w:val="ListBullet"/>
        <w:rPr>
          <w:rFonts w:cs="Arial"/>
          <w:szCs w:val="20"/>
        </w:rPr>
      </w:pPr>
      <w:r>
        <w:rPr>
          <w:bCs/>
        </w:rPr>
        <w:t xml:space="preserve">the </w:t>
      </w:r>
      <w:r w:rsidR="00165900" w:rsidRPr="005C1B8F">
        <w:t>interim decision</w:t>
      </w:r>
      <w:r w:rsidR="00165900">
        <w:t xml:space="preserve"> notified in writing to the applicant on 4 September 2024</w:t>
      </w:r>
    </w:p>
    <w:p w14:paraId="0A4B2BBD" w14:textId="6E7FB412" w:rsidR="009B06CA" w:rsidRPr="00165900" w:rsidRDefault="009B06CA" w:rsidP="009B06CA">
      <w:pPr>
        <w:pStyle w:val="ListBullet"/>
        <w:rPr>
          <w:rFonts w:cs="Arial"/>
          <w:szCs w:val="20"/>
        </w:rPr>
      </w:pPr>
      <w:r w:rsidRPr="00165900">
        <w:rPr>
          <w:rFonts w:cs="Arial"/>
          <w:szCs w:val="20"/>
        </w:rPr>
        <w:t>the</w:t>
      </w:r>
      <w:r w:rsidR="00AD7A8C" w:rsidRPr="00165900">
        <w:rPr>
          <w:rFonts w:cs="Arial"/>
          <w:szCs w:val="20"/>
        </w:rPr>
        <w:t xml:space="preserve"> </w:t>
      </w:r>
      <w:hyperlink r:id="rId46" w:history="1">
        <w:r w:rsidR="00165900" w:rsidRPr="00165900">
          <w:rPr>
            <w:rStyle w:val="Hyperlink"/>
            <w:rFonts w:cs="Arial"/>
            <w:szCs w:val="20"/>
          </w:rPr>
          <w:t>2023 Final Decision</w:t>
        </w:r>
      </w:hyperlink>
    </w:p>
    <w:p w14:paraId="00D99A47" w14:textId="28B59A2D" w:rsidR="009B06CA" w:rsidRPr="00165900" w:rsidRDefault="009B06CA" w:rsidP="009B06CA">
      <w:pPr>
        <w:pStyle w:val="ListBullet"/>
        <w:rPr>
          <w:rFonts w:cs="Arial"/>
          <w:szCs w:val="20"/>
        </w:rPr>
      </w:pPr>
      <w:r w:rsidRPr="00165900">
        <w:rPr>
          <w:rFonts w:cs="Arial"/>
          <w:szCs w:val="20"/>
        </w:rPr>
        <w:t xml:space="preserve">the </w:t>
      </w:r>
      <w:hyperlink r:id="rId47" w:history="1">
        <w:r w:rsidRPr="00165900">
          <w:rPr>
            <w:rStyle w:val="Hyperlink"/>
            <w:rFonts w:cs="Arial"/>
            <w:szCs w:val="20"/>
          </w:rPr>
          <w:t>interim decision</w:t>
        </w:r>
      </w:hyperlink>
      <w:r w:rsidRPr="00165900">
        <w:rPr>
          <w:rFonts w:cs="Arial"/>
          <w:szCs w:val="20"/>
        </w:rPr>
        <w:t xml:space="preserve"> that preceded the 2023 Final Decision</w:t>
      </w:r>
      <w:r w:rsidR="002A49F1" w:rsidRPr="00165900">
        <w:rPr>
          <w:rFonts w:cs="Arial"/>
          <w:szCs w:val="20"/>
        </w:rPr>
        <w:t xml:space="preserve"> (the 2023 Interim Decision)</w:t>
      </w:r>
    </w:p>
    <w:p w14:paraId="37003424" w14:textId="0E019A0E" w:rsidR="009B06CA" w:rsidRPr="00165900" w:rsidRDefault="009B06CA" w:rsidP="009B06CA">
      <w:pPr>
        <w:pStyle w:val="ListBullet"/>
        <w:rPr>
          <w:rFonts w:cs="Arial"/>
          <w:szCs w:val="20"/>
        </w:rPr>
      </w:pPr>
      <w:r w:rsidRPr="00165900">
        <w:rPr>
          <w:rFonts w:cs="Arial"/>
          <w:szCs w:val="20"/>
        </w:rPr>
        <w:t xml:space="preserve">the </w:t>
      </w:r>
      <w:hyperlink r:id="rId48" w:history="1">
        <w:r w:rsidRPr="00165900">
          <w:rPr>
            <w:rStyle w:val="Hyperlink"/>
            <w:rFonts w:cs="Arial"/>
            <w:szCs w:val="20"/>
          </w:rPr>
          <w:t>interim decision</w:t>
        </w:r>
      </w:hyperlink>
      <w:r w:rsidRPr="00165900">
        <w:rPr>
          <w:rFonts w:cs="Arial"/>
          <w:szCs w:val="20"/>
        </w:rPr>
        <w:t xml:space="preserve"> </w:t>
      </w:r>
      <w:r w:rsidR="002A49F1" w:rsidRPr="00165900">
        <w:rPr>
          <w:rFonts w:cs="Arial"/>
          <w:szCs w:val="20"/>
        </w:rPr>
        <w:t>to not amend the Poisons Standard in relation to azelaic acid published on 3 February 2021 (the 2021 Interim Decision)</w:t>
      </w:r>
    </w:p>
    <w:p w14:paraId="45106B59" w14:textId="342BFE17" w:rsidR="009B06CA" w:rsidRPr="009B06CA" w:rsidRDefault="009B06CA" w:rsidP="009B06CA">
      <w:pPr>
        <w:pStyle w:val="ListBullet"/>
        <w:rPr>
          <w:rFonts w:cs="Arial"/>
          <w:szCs w:val="20"/>
        </w:rPr>
      </w:pPr>
      <w:r w:rsidRPr="009B06CA">
        <w:rPr>
          <w:rFonts w:cs="Arial"/>
          <w:szCs w:val="20"/>
        </w:rPr>
        <w:t>subsection 52E(1) of the Therapeutic Goods Act 1989 (</w:t>
      </w:r>
      <w:proofErr w:type="spellStart"/>
      <w:r w:rsidRPr="009B06CA">
        <w:rPr>
          <w:rFonts w:cs="Arial"/>
          <w:szCs w:val="20"/>
        </w:rPr>
        <w:t>Cth</w:t>
      </w:r>
      <w:proofErr w:type="spellEnd"/>
      <w:r w:rsidRPr="009B06CA">
        <w:rPr>
          <w:rFonts w:cs="Arial"/>
          <w:szCs w:val="20"/>
        </w:rPr>
        <w:t>) (the Act),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21F304FC" w14:textId="77777777" w:rsidR="009B06CA" w:rsidRPr="009B06CA" w:rsidRDefault="009B06CA" w:rsidP="009B06CA">
      <w:pPr>
        <w:pStyle w:val="ListBullet"/>
        <w:rPr>
          <w:rFonts w:cs="Arial"/>
          <w:szCs w:val="20"/>
        </w:rPr>
      </w:pPr>
      <w:r w:rsidRPr="009B06CA">
        <w:rPr>
          <w:rFonts w:cs="Arial"/>
          <w:szCs w:val="20"/>
        </w:rPr>
        <w:t xml:space="preserve">the </w:t>
      </w:r>
      <w:hyperlink r:id="rId49" w:history="1">
        <w:r w:rsidRPr="009B06CA">
          <w:rPr>
            <w:rStyle w:val="Hyperlink"/>
            <w:rFonts w:cs="Arial"/>
            <w:szCs w:val="20"/>
          </w:rPr>
          <w:t>Scheduling Policy Framework</w:t>
        </w:r>
      </w:hyperlink>
      <w:r w:rsidRPr="009B06CA">
        <w:rPr>
          <w:rFonts w:cs="Arial"/>
          <w:szCs w:val="20"/>
        </w:rPr>
        <w:t xml:space="preserve"> 2018 (the SPF)</w:t>
      </w:r>
    </w:p>
    <w:p w14:paraId="0312EE40" w14:textId="77777777" w:rsidR="009B06CA" w:rsidRPr="009B06CA" w:rsidRDefault="009B06CA" w:rsidP="009B06CA">
      <w:pPr>
        <w:pStyle w:val="ListBullet"/>
        <w:rPr>
          <w:rFonts w:cs="Arial"/>
          <w:szCs w:val="20"/>
        </w:rPr>
      </w:pPr>
      <w:r w:rsidRPr="009B06CA">
        <w:rPr>
          <w:rFonts w:cs="Arial"/>
          <w:szCs w:val="20"/>
        </w:rPr>
        <w:t xml:space="preserve">the </w:t>
      </w:r>
      <w:hyperlink r:id="rId50" w:history="1">
        <w:r w:rsidRPr="009B06CA">
          <w:rPr>
            <w:rStyle w:val="Hyperlink"/>
            <w:rFonts w:cs="Arial"/>
            <w:szCs w:val="20"/>
          </w:rPr>
          <w:t>Scheduling handbook: Guidance for amending the Poisons Standard</w:t>
        </w:r>
      </w:hyperlink>
      <w:r w:rsidRPr="009B06CA">
        <w:rPr>
          <w:rFonts w:cs="Arial"/>
          <w:szCs w:val="20"/>
        </w:rPr>
        <w:t xml:space="preserve"> (the Handbook), and</w:t>
      </w:r>
    </w:p>
    <w:p w14:paraId="084AB14B" w14:textId="77777777" w:rsidR="009B06CA" w:rsidRDefault="009B06CA" w:rsidP="009B06CA">
      <w:pPr>
        <w:pStyle w:val="ListBullet"/>
        <w:rPr>
          <w:rFonts w:cs="Arial"/>
          <w:szCs w:val="20"/>
        </w:rPr>
      </w:pPr>
      <w:r w:rsidRPr="009B06CA">
        <w:rPr>
          <w:rFonts w:cs="Arial"/>
          <w:szCs w:val="20"/>
        </w:rPr>
        <w:t xml:space="preserve">the </w:t>
      </w:r>
      <w:hyperlink r:id="rId51" w:history="1">
        <w:r w:rsidRPr="009B06CA">
          <w:rPr>
            <w:rStyle w:val="Hyperlink"/>
            <w:rFonts w:cs="Arial"/>
            <w:szCs w:val="20"/>
          </w:rPr>
          <w:t>pregnancy database</w:t>
        </w:r>
      </w:hyperlink>
      <w:r w:rsidRPr="009B06CA">
        <w:rPr>
          <w:rFonts w:cs="Arial"/>
          <w:szCs w:val="20"/>
        </w:rPr>
        <w:t>.</w:t>
      </w:r>
    </w:p>
    <w:p w14:paraId="14EECDF5" w14:textId="4C3B5A98" w:rsidR="00165900" w:rsidRPr="009B06CA" w:rsidRDefault="00165900" w:rsidP="00165900">
      <w:pPr>
        <w:pStyle w:val="ListBullet"/>
        <w:numPr>
          <w:ilvl w:val="0"/>
          <w:numId w:val="0"/>
        </w:numPr>
        <w:rPr>
          <w:rFonts w:cs="Arial"/>
          <w:szCs w:val="20"/>
        </w:rPr>
      </w:pPr>
      <w:r w:rsidRPr="00C1282C">
        <w:rPr>
          <w:bCs/>
        </w:rPr>
        <w:t xml:space="preserve">The applicant </w:t>
      </w:r>
      <w:r w:rsidR="00C1282C" w:rsidRPr="00C1282C">
        <w:rPr>
          <w:bCs/>
        </w:rPr>
        <w:t xml:space="preserve">did not </w:t>
      </w:r>
      <w:r w:rsidRPr="00C1282C">
        <w:rPr>
          <w:bCs/>
        </w:rPr>
        <w:t>make a submission on the interim decision provided on 4 September 2024.</w:t>
      </w:r>
    </w:p>
    <w:p w14:paraId="495C0667" w14:textId="77777777" w:rsidR="00894493" w:rsidRDefault="00894493">
      <w:pPr>
        <w:rPr>
          <w:rFonts w:eastAsia="Cambria" w:cs="Times New Roman"/>
          <w:bCs/>
          <w:color w:val="001871"/>
          <w:sz w:val="28"/>
          <w:szCs w:val="26"/>
        </w:rPr>
      </w:pPr>
      <w:r>
        <w:br w:type="page"/>
      </w:r>
    </w:p>
    <w:p w14:paraId="01445E17" w14:textId="3F4B5DD8" w:rsidR="009B06CA" w:rsidRPr="00A620B8" w:rsidRDefault="009B06CA" w:rsidP="009B06CA">
      <w:pPr>
        <w:pStyle w:val="Heading4"/>
      </w:pPr>
      <w:r w:rsidRPr="00A620B8">
        <w:lastRenderedPageBreak/>
        <w:t>Proposal</w:t>
      </w:r>
    </w:p>
    <w:p w14:paraId="05017984" w14:textId="16BF9365" w:rsidR="009B06CA" w:rsidRPr="00F879DF" w:rsidRDefault="009B06CA" w:rsidP="009B06CA">
      <w:pPr>
        <w:pStyle w:val="Default"/>
        <w:rPr>
          <w:rFonts w:ascii="Arial" w:hAnsi="Arial" w:cs="Arial"/>
          <w:sz w:val="20"/>
          <w:szCs w:val="20"/>
        </w:rPr>
      </w:pPr>
      <w:r w:rsidRPr="00F879DF">
        <w:rPr>
          <w:rFonts w:ascii="Arial" w:hAnsi="Arial" w:cs="Arial"/>
          <w:sz w:val="20"/>
          <w:szCs w:val="20"/>
        </w:rPr>
        <w:t>The applicant proposed to amend the current Poisons Standard with regards to azelaic acid through two sequential amendments.</w:t>
      </w:r>
    </w:p>
    <w:p w14:paraId="249F7620" w14:textId="1C0F474C" w:rsidR="009B06CA" w:rsidRPr="00F37BEB" w:rsidRDefault="009B06CA" w:rsidP="009B06CA">
      <w:pPr>
        <w:pStyle w:val="paragraph"/>
        <w:spacing w:before="180" w:beforeAutospacing="0" w:after="180" w:afterAutospacing="0"/>
        <w:textAlignment w:val="baseline"/>
        <w:rPr>
          <w:rStyle w:val="normaltextrun"/>
          <w:rFonts w:ascii="Arial" w:eastAsiaTheme="minorHAnsi" w:hAnsi="Arial" w:cs="Arial"/>
          <w:i/>
          <w:iCs/>
          <w:color w:val="000000"/>
          <w:sz w:val="20"/>
          <w:szCs w:val="20"/>
          <w:u w:val="single"/>
          <w:lang w:eastAsia="en-US"/>
          <w14:ligatures w14:val="standardContextual"/>
        </w:rPr>
      </w:pPr>
      <w:r w:rsidRPr="00F37BEB">
        <w:rPr>
          <w:rStyle w:val="normaltextrun"/>
          <w:rFonts w:ascii="Arial" w:hAnsi="Arial" w:cs="Arial"/>
          <w:i/>
          <w:iCs/>
          <w:color w:val="000000"/>
          <w:sz w:val="20"/>
          <w:szCs w:val="20"/>
          <w:u w:val="single"/>
        </w:rPr>
        <w:t>Azelaic acid entry in</w:t>
      </w:r>
      <w:r w:rsidR="00F37BEB">
        <w:rPr>
          <w:rStyle w:val="normaltextrun"/>
          <w:rFonts w:ascii="Arial" w:hAnsi="Arial" w:cs="Arial"/>
          <w:i/>
          <w:iCs/>
          <w:color w:val="000000"/>
          <w:sz w:val="20"/>
          <w:szCs w:val="20"/>
          <w:u w:val="single"/>
        </w:rPr>
        <w:t xml:space="preserve"> the</w:t>
      </w:r>
      <w:r w:rsidRPr="00F37BEB">
        <w:rPr>
          <w:rStyle w:val="normaltextrun"/>
          <w:rFonts w:ascii="Arial" w:hAnsi="Arial" w:cs="Arial"/>
          <w:i/>
          <w:iCs/>
          <w:color w:val="000000"/>
          <w:sz w:val="20"/>
          <w:szCs w:val="20"/>
          <w:u w:val="single"/>
        </w:rPr>
        <w:t xml:space="preserve"> current Poison Standard</w:t>
      </w:r>
    </w:p>
    <w:p w14:paraId="148373CF" w14:textId="77777777" w:rsidR="009B06CA" w:rsidRPr="00F879DF" w:rsidRDefault="009B06CA" w:rsidP="009B06CA">
      <w:pPr>
        <w:pStyle w:val="paragraph"/>
        <w:spacing w:before="180" w:beforeAutospacing="0" w:after="180" w:afterAutospacing="0"/>
        <w:textAlignment w:val="baseline"/>
        <w:rPr>
          <w:rFonts w:ascii="Arial" w:hAnsi="Arial" w:cs="Arial"/>
          <w:color w:val="000000"/>
          <w:sz w:val="20"/>
          <w:szCs w:val="20"/>
        </w:rPr>
      </w:pPr>
      <w:r w:rsidRPr="00F879DF">
        <w:rPr>
          <w:rStyle w:val="normaltextrun"/>
          <w:rFonts w:ascii="Arial" w:hAnsi="Arial" w:cs="Arial"/>
          <w:b/>
          <w:bCs/>
          <w:color w:val="000000"/>
          <w:sz w:val="20"/>
          <w:szCs w:val="20"/>
        </w:rPr>
        <w:t xml:space="preserve">Schedule 4 </w:t>
      </w:r>
    </w:p>
    <w:p w14:paraId="11FE78EF" w14:textId="77777777" w:rsidR="009B06CA" w:rsidRPr="00F879DF" w:rsidRDefault="009B06CA" w:rsidP="009B06CA">
      <w:pPr>
        <w:pStyle w:val="paragraph"/>
        <w:spacing w:before="180" w:beforeAutospacing="0" w:after="180" w:afterAutospacing="0"/>
        <w:textAlignment w:val="baseline"/>
        <w:rPr>
          <w:rFonts w:ascii="Arial" w:hAnsi="Arial" w:cs="Arial"/>
          <w:color w:val="000000"/>
          <w:sz w:val="20"/>
          <w:szCs w:val="20"/>
        </w:rPr>
      </w:pPr>
      <w:r w:rsidRPr="00F879DF">
        <w:rPr>
          <w:rStyle w:val="normaltextrun"/>
          <w:rFonts w:ascii="Arial" w:hAnsi="Arial" w:cs="Arial"/>
          <w:color w:val="000000"/>
          <w:sz w:val="20"/>
          <w:szCs w:val="20"/>
        </w:rPr>
        <w:t xml:space="preserve">AZELAIC ACID </w:t>
      </w:r>
      <w:r w:rsidRPr="00F879DF">
        <w:rPr>
          <w:rStyle w:val="normaltextrun"/>
          <w:rFonts w:ascii="Arial" w:hAnsi="Arial" w:cs="Arial"/>
          <w:b/>
          <w:bCs/>
          <w:color w:val="000000"/>
          <w:sz w:val="20"/>
          <w:szCs w:val="20"/>
        </w:rPr>
        <w:t>except</w:t>
      </w:r>
      <w:r w:rsidRPr="00F879DF">
        <w:rPr>
          <w:rStyle w:val="normaltextrun"/>
          <w:rFonts w:ascii="Arial" w:hAnsi="Arial" w:cs="Arial"/>
          <w:sz w:val="20"/>
          <w:szCs w:val="20"/>
        </w:rPr>
        <w:t>:</w:t>
      </w:r>
    </w:p>
    <w:p w14:paraId="6A722D28" w14:textId="77777777" w:rsidR="009B06CA" w:rsidRPr="00F879DF" w:rsidRDefault="009B06CA" w:rsidP="009B06CA">
      <w:pPr>
        <w:pStyle w:val="paragraph"/>
        <w:spacing w:before="180" w:beforeAutospacing="0" w:after="180" w:afterAutospacing="0"/>
        <w:ind w:firstLine="720"/>
        <w:textAlignment w:val="baseline"/>
        <w:rPr>
          <w:rFonts w:ascii="Arial" w:hAnsi="Arial" w:cs="Arial"/>
          <w:sz w:val="20"/>
          <w:szCs w:val="20"/>
        </w:rPr>
      </w:pPr>
      <w:r w:rsidRPr="00F879DF">
        <w:rPr>
          <w:rStyle w:val="normaltextrun"/>
          <w:rFonts w:ascii="Arial" w:hAnsi="Arial" w:cs="Arial"/>
          <w:sz w:val="20"/>
          <w:szCs w:val="20"/>
        </w:rPr>
        <w:t>a) when included in Schedule 2; or</w:t>
      </w:r>
    </w:p>
    <w:p w14:paraId="393B4A8C" w14:textId="77777777" w:rsidR="009B06CA" w:rsidRPr="00F879DF" w:rsidRDefault="009B06CA" w:rsidP="009B06CA">
      <w:pPr>
        <w:pStyle w:val="paragraph"/>
        <w:spacing w:before="180" w:beforeAutospacing="0" w:after="180" w:afterAutospacing="0"/>
        <w:ind w:firstLine="720"/>
        <w:textAlignment w:val="baseline"/>
        <w:rPr>
          <w:rStyle w:val="normaltextrun"/>
          <w:rFonts w:ascii="Arial" w:hAnsi="Arial" w:cs="Arial"/>
          <w:sz w:val="20"/>
          <w:szCs w:val="20"/>
        </w:rPr>
      </w:pPr>
      <w:r w:rsidRPr="00F879DF">
        <w:rPr>
          <w:rStyle w:val="normaltextrun"/>
          <w:rFonts w:ascii="Arial" w:hAnsi="Arial" w:cs="Arial"/>
          <w:sz w:val="20"/>
          <w:szCs w:val="20"/>
        </w:rPr>
        <w:t>b) in preparations containing 1% or less of azelaic acid for non-human use.</w:t>
      </w:r>
    </w:p>
    <w:p w14:paraId="32A7AFBB" w14:textId="77777777" w:rsidR="009B06CA" w:rsidRPr="00F879DF" w:rsidRDefault="009B06CA" w:rsidP="009B06CA">
      <w:pPr>
        <w:pStyle w:val="paragraph"/>
        <w:spacing w:before="180" w:beforeAutospacing="0" w:after="180" w:afterAutospacing="0"/>
        <w:textAlignment w:val="baseline"/>
        <w:rPr>
          <w:rFonts w:ascii="Arial" w:hAnsi="Arial" w:cs="Arial"/>
          <w:color w:val="000000"/>
          <w:sz w:val="20"/>
          <w:szCs w:val="20"/>
        </w:rPr>
      </w:pPr>
      <w:r w:rsidRPr="00F879DF">
        <w:rPr>
          <w:rStyle w:val="normaltextrun"/>
          <w:rFonts w:ascii="Arial" w:hAnsi="Arial" w:cs="Arial"/>
          <w:b/>
          <w:bCs/>
          <w:color w:val="000000"/>
          <w:sz w:val="20"/>
          <w:szCs w:val="20"/>
        </w:rPr>
        <w:t xml:space="preserve">Schedule 2 </w:t>
      </w:r>
    </w:p>
    <w:p w14:paraId="660D6EB9" w14:textId="77777777" w:rsidR="009B06CA" w:rsidRPr="00F879DF" w:rsidRDefault="009B06CA" w:rsidP="009B06CA">
      <w:pPr>
        <w:pStyle w:val="Default"/>
        <w:ind w:firstLine="720"/>
        <w:rPr>
          <w:rStyle w:val="normaltextrun"/>
          <w:rFonts w:ascii="Arial" w:hAnsi="Arial" w:cs="Arial"/>
          <w:sz w:val="20"/>
          <w:szCs w:val="20"/>
        </w:rPr>
      </w:pPr>
      <w:r w:rsidRPr="00F879DF">
        <w:rPr>
          <w:rStyle w:val="normaltextrun"/>
          <w:rFonts w:ascii="Arial" w:hAnsi="Arial" w:cs="Arial"/>
          <w:sz w:val="20"/>
          <w:szCs w:val="20"/>
        </w:rPr>
        <w:t>AZELAIC ACID in dermal preparations.</w:t>
      </w:r>
    </w:p>
    <w:p w14:paraId="20FF823E" w14:textId="77777777" w:rsidR="009B06CA" w:rsidRPr="00F879DF" w:rsidRDefault="009B06CA" w:rsidP="009B06CA">
      <w:pPr>
        <w:pStyle w:val="Default"/>
        <w:rPr>
          <w:rFonts w:ascii="Arial" w:hAnsi="Arial" w:cs="Arial"/>
          <w:sz w:val="20"/>
          <w:szCs w:val="20"/>
        </w:rPr>
      </w:pPr>
    </w:p>
    <w:p w14:paraId="05343E86" w14:textId="147EF03C" w:rsidR="009B06CA" w:rsidRPr="00F37BEB" w:rsidRDefault="00F37BEB" w:rsidP="009B06CA">
      <w:pPr>
        <w:pStyle w:val="Default"/>
        <w:rPr>
          <w:rStyle w:val="normaltextrun"/>
          <w:rFonts w:ascii="Arial" w:hAnsi="Arial" w:cs="Arial"/>
          <w:i/>
          <w:iCs/>
          <w:sz w:val="20"/>
          <w:szCs w:val="20"/>
          <w:u w:val="single"/>
        </w:rPr>
      </w:pPr>
      <w:r>
        <w:rPr>
          <w:rStyle w:val="normaltextrun"/>
          <w:rFonts w:ascii="Arial" w:hAnsi="Arial" w:cs="Arial"/>
          <w:i/>
          <w:iCs/>
          <w:sz w:val="20"/>
          <w:szCs w:val="20"/>
          <w:u w:val="single"/>
        </w:rPr>
        <w:t>2023 Final Decision</w:t>
      </w:r>
    </w:p>
    <w:p w14:paraId="404F3E6C" w14:textId="77777777" w:rsidR="009B06CA" w:rsidRPr="00F879DF" w:rsidRDefault="009B06CA" w:rsidP="009B06CA">
      <w:pPr>
        <w:pStyle w:val="Default"/>
        <w:rPr>
          <w:rFonts w:ascii="Arial" w:hAnsi="Arial" w:cs="Arial"/>
          <w:sz w:val="20"/>
          <w:szCs w:val="20"/>
        </w:rPr>
      </w:pPr>
    </w:p>
    <w:p w14:paraId="3B1A815D" w14:textId="301FF197" w:rsidR="009B06CA" w:rsidRPr="00F879DF" w:rsidRDefault="00C1282C" w:rsidP="009B06CA">
      <w:pPr>
        <w:pStyle w:val="Default"/>
        <w:rPr>
          <w:rFonts w:ascii="Arial" w:hAnsi="Arial" w:cs="Arial"/>
          <w:sz w:val="20"/>
          <w:szCs w:val="20"/>
        </w:rPr>
      </w:pPr>
      <w:r>
        <w:rPr>
          <w:rFonts w:ascii="Arial" w:hAnsi="Arial" w:cs="Arial"/>
          <w:sz w:val="20"/>
          <w:szCs w:val="20"/>
        </w:rPr>
        <w:t>In the 2023 Final Decision</w:t>
      </w:r>
      <w:r w:rsidR="009B06CA" w:rsidRPr="00F879DF">
        <w:rPr>
          <w:rFonts w:ascii="Arial" w:hAnsi="Arial" w:cs="Arial"/>
          <w:sz w:val="20"/>
          <w:szCs w:val="20"/>
        </w:rPr>
        <w:t xml:space="preserve">, the Delegate </w:t>
      </w:r>
      <w:r>
        <w:rPr>
          <w:rFonts w:ascii="Arial" w:hAnsi="Arial" w:cs="Arial"/>
          <w:sz w:val="20"/>
          <w:szCs w:val="20"/>
        </w:rPr>
        <w:t>decided</w:t>
      </w:r>
      <w:r w:rsidR="009B06CA" w:rsidRPr="00F879DF">
        <w:rPr>
          <w:rFonts w:ascii="Arial" w:hAnsi="Arial" w:cs="Arial"/>
          <w:sz w:val="20"/>
          <w:szCs w:val="20"/>
        </w:rPr>
        <w:t xml:space="preserve"> to amend the current Poisons Standard in relation to azelaic acid as below:</w:t>
      </w:r>
      <w:r>
        <w:rPr>
          <w:rStyle w:val="FootnoteReference"/>
          <w:rFonts w:ascii="Arial" w:hAnsi="Arial" w:cs="Arial"/>
          <w:sz w:val="20"/>
          <w:szCs w:val="20"/>
        </w:rPr>
        <w:footnoteReference w:id="29"/>
      </w:r>
    </w:p>
    <w:p w14:paraId="02E1953F" w14:textId="77777777" w:rsidR="009B06CA" w:rsidRPr="00F879DF" w:rsidRDefault="009B06CA" w:rsidP="009B06CA">
      <w:pPr>
        <w:spacing w:before="180"/>
        <w:rPr>
          <w:rFonts w:cs="Arial"/>
          <w:b/>
          <w:szCs w:val="20"/>
        </w:rPr>
      </w:pPr>
      <w:r w:rsidRPr="00F879DF">
        <w:rPr>
          <w:rFonts w:cs="Arial"/>
          <w:b/>
          <w:szCs w:val="20"/>
        </w:rPr>
        <w:t>Schedule 5 – New Entry</w:t>
      </w:r>
    </w:p>
    <w:p w14:paraId="232737CD" w14:textId="77777777" w:rsidR="009B06CA" w:rsidRPr="00F879DF" w:rsidRDefault="009B06CA" w:rsidP="009B06CA">
      <w:pPr>
        <w:pStyle w:val="paragraph"/>
        <w:spacing w:before="180" w:beforeAutospacing="0" w:after="180" w:afterAutospacing="0"/>
        <w:ind w:firstLine="720"/>
        <w:textAlignment w:val="baseline"/>
        <w:rPr>
          <w:rFonts w:ascii="Arial" w:hAnsi="Arial" w:cs="Arial"/>
          <w:color w:val="00AF50"/>
          <w:sz w:val="20"/>
          <w:szCs w:val="20"/>
          <w:u w:val="single"/>
        </w:rPr>
      </w:pPr>
      <w:r w:rsidRPr="00F879DF">
        <w:rPr>
          <w:rStyle w:val="normaltextrun"/>
          <w:rFonts w:ascii="Arial" w:hAnsi="Arial" w:cs="Arial"/>
          <w:color w:val="00AF50"/>
          <w:sz w:val="20"/>
          <w:szCs w:val="20"/>
        </w:rPr>
        <w:t xml:space="preserve">AZELAIC ACID </w:t>
      </w:r>
      <w:r w:rsidRPr="00F879DF">
        <w:rPr>
          <w:rStyle w:val="normaltextrun"/>
          <w:rFonts w:ascii="Arial" w:hAnsi="Arial" w:cs="Arial"/>
          <w:b/>
          <w:bCs/>
          <w:color w:val="00AF50"/>
          <w:sz w:val="20"/>
          <w:szCs w:val="20"/>
        </w:rPr>
        <w:t xml:space="preserve">except </w:t>
      </w:r>
      <w:r w:rsidRPr="00F879DF">
        <w:rPr>
          <w:rStyle w:val="normaltextrun"/>
          <w:rFonts w:ascii="Arial" w:hAnsi="Arial" w:cs="Arial"/>
          <w:color w:val="00AF50"/>
          <w:sz w:val="20"/>
          <w:szCs w:val="20"/>
        </w:rPr>
        <w:t>when included in Schedules 2 or 4.</w:t>
      </w:r>
    </w:p>
    <w:p w14:paraId="329489DE" w14:textId="77777777" w:rsidR="009B06CA" w:rsidRPr="00F879DF" w:rsidRDefault="009B06CA" w:rsidP="009B06CA">
      <w:pPr>
        <w:pStyle w:val="paragraph"/>
        <w:spacing w:before="180" w:beforeAutospacing="0" w:after="180" w:afterAutospacing="0"/>
        <w:textAlignment w:val="baseline"/>
        <w:rPr>
          <w:rFonts w:ascii="Arial" w:hAnsi="Arial" w:cs="Arial"/>
          <w:color w:val="000000"/>
          <w:sz w:val="20"/>
          <w:szCs w:val="20"/>
        </w:rPr>
      </w:pPr>
      <w:r w:rsidRPr="00F879DF">
        <w:rPr>
          <w:rStyle w:val="normaltextrun"/>
          <w:rFonts w:ascii="Arial" w:hAnsi="Arial" w:cs="Arial"/>
          <w:b/>
          <w:bCs/>
          <w:color w:val="000000"/>
          <w:sz w:val="20"/>
          <w:szCs w:val="20"/>
        </w:rPr>
        <w:t>Schedule 4 – Amend Entry</w:t>
      </w:r>
    </w:p>
    <w:p w14:paraId="0779E4B1" w14:textId="77777777" w:rsidR="009B06CA" w:rsidRPr="00F879DF" w:rsidRDefault="009B06CA" w:rsidP="009B06CA">
      <w:pPr>
        <w:pStyle w:val="paragraph"/>
        <w:spacing w:before="180" w:beforeAutospacing="0" w:after="180" w:afterAutospacing="0"/>
        <w:ind w:firstLine="720"/>
        <w:textAlignment w:val="baseline"/>
        <w:rPr>
          <w:rFonts w:ascii="Arial" w:hAnsi="Arial" w:cs="Arial"/>
          <w:color w:val="000000"/>
          <w:sz w:val="20"/>
          <w:szCs w:val="20"/>
        </w:rPr>
      </w:pPr>
      <w:r w:rsidRPr="00F879DF">
        <w:rPr>
          <w:rStyle w:val="normaltextrun"/>
          <w:rFonts w:ascii="Arial" w:hAnsi="Arial" w:cs="Arial"/>
          <w:color w:val="000000"/>
          <w:sz w:val="20"/>
          <w:szCs w:val="20"/>
        </w:rPr>
        <w:t xml:space="preserve">AZELAIC ACID </w:t>
      </w:r>
      <w:r w:rsidRPr="00F879DF">
        <w:rPr>
          <w:rStyle w:val="normaltextrun"/>
          <w:rFonts w:ascii="Arial" w:hAnsi="Arial" w:cs="Arial"/>
          <w:color w:val="00AF50"/>
          <w:sz w:val="20"/>
          <w:szCs w:val="20"/>
        </w:rPr>
        <w:t xml:space="preserve">for therapeutic use </w:t>
      </w:r>
      <w:r w:rsidRPr="00F879DF">
        <w:rPr>
          <w:rStyle w:val="normaltextrun"/>
          <w:rFonts w:ascii="Arial" w:hAnsi="Arial" w:cs="Arial"/>
          <w:b/>
          <w:bCs/>
          <w:color w:val="000000"/>
          <w:sz w:val="20"/>
          <w:szCs w:val="20"/>
        </w:rPr>
        <w:t>except</w:t>
      </w:r>
      <w:r w:rsidRPr="00F879DF">
        <w:rPr>
          <w:rStyle w:val="normaltextrun"/>
          <w:rFonts w:ascii="Arial" w:hAnsi="Arial" w:cs="Arial"/>
          <w:strike/>
          <w:color w:val="FF0000"/>
          <w:sz w:val="20"/>
          <w:szCs w:val="20"/>
        </w:rPr>
        <w:t>:</w:t>
      </w:r>
    </w:p>
    <w:p w14:paraId="6A470203" w14:textId="77777777" w:rsidR="009B06CA" w:rsidRPr="00F879DF" w:rsidRDefault="009B06CA" w:rsidP="009B06CA">
      <w:pPr>
        <w:pStyle w:val="paragraph"/>
        <w:spacing w:before="180" w:beforeAutospacing="0" w:after="180" w:afterAutospacing="0"/>
        <w:ind w:firstLine="720"/>
        <w:textAlignment w:val="baseline"/>
        <w:rPr>
          <w:rFonts w:ascii="Arial" w:hAnsi="Arial" w:cs="Arial"/>
          <w:color w:val="000000"/>
          <w:sz w:val="20"/>
          <w:szCs w:val="20"/>
        </w:rPr>
      </w:pPr>
      <w:r w:rsidRPr="00F879DF">
        <w:rPr>
          <w:rStyle w:val="normaltextrun"/>
          <w:rFonts w:ascii="Arial" w:hAnsi="Arial" w:cs="Arial"/>
          <w:strike/>
          <w:color w:val="FF0000"/>
          <w:sz w:val="20"/>
          <w:szCs w:val="20"/>
        </w:rPr>
        <w:t>a)</w:t>
      </w:r>
      <w:r w:rsidRPr="00F879DF">
        <w:rPr>
          <w:rStyle w:val="normaltextrun"/>
          <w:rFonts w:ascii="Arial" w:hAnsi="Arial" w:cs="Arial"/>
          <w:color w:val="FF0000"/>
          <w:sz w:val="20"/>
          <w:szCs w:val="20"/>
        </w:rPr>
        <w:t xml:space="preserve"> </w:t>
      </w:r>
      <w:r w:rsidRPr="00F879DF">
        <w:rPr>
          <w:rStyle w:val="normaltextrun"/>
          <w:rFonts w:ascii="Arial" w:hAnsi="Arial" w:cs="Arial"/>
          <w:color w:val="000000"/>
          <w:sz w:val="20"/>
          <w:szCs w:val="20"/>
        </w:rPr>
        <w:t>when included in Schedule 2</w:t>
      </w:r>
      <w:r w:rsidRPr="00F879DF">
        <w:rPr>
          <w:rStyle w:val="normaltextrun"/>
          <w:rFonts w:ascii="Arial" w:hAnsi="Arial" w:cs="Arial"/>
          <w:color w:val="00B050"/>
          <w:sz w:val="20"/>
          <w:szCs w:val="20"/>
        </w:rPr>
        <w:t>.</w:t>
      </w:r>
      <w:r w:rsidRPr="00F879DF">
        <w:rPr>
          <w:rStyle w:val="normaltextrun"/>
          <w:rFonts w:ascii="Arial" w:hAnsi="Arial" w:cs="Arial"/>
          <w:strike/>
          <w:color w:val="FF0000"/>
          <w:sz w:val="20"/>
          <w:szCs w:val="20"/>
        </w:rPr>
        <w:t>; or</w:t>
      </w:r>
    </w:p>
    <w:p w14:paraId="41251145" w14:textId="77777777" w:rsidR="009B06CA" w:rsidRPr="00F879DF" w:rsidRDefault="009B06CA" w:rsidP="009B06CA">
      <w:pPr>
        <w:pStyle w:val="paragraph"/>
        <w:spacing w:before="180" w:beforeAutospacing="0" w:after="180" w:afterAutospacing="0"/>
        <w:ind w:firstLine="720"/>
        <w:textAlignment w:val="baseline"/>
        <w:rPr>
          <w:rStyle w:val="normaltextrun"/>
          <w:rFonts w:ascii="Arial" w:hAnsi="Arial" w:cs="Arial"/>
          <w:strike/>
          <w:color w:val="FF0000"/>
          <w:sz w:val="20"/>
          <w:szCs w:val="20"/>
        </w:rPr>
      </w:pPr>
      <w:r w:rsidRPr="00F879DF">
        <w:rPr>
          <w:rStyle w:val="normaltextrun"/>
          <w:rFonts w:ascii="Arial" w:hAnsi="Arial" w:cs="Arial"/>
          <w:strike/>
          <w:color w:val="FF0000"/>
          <w:sz w:val="20"/>
          <w:szCs w:val="20"/>
        </w:rPr>
        <w:t>b) in preparations containing 1% or less of azelaic acid for non-human use</w:t>
      </w:r>
    </w:p>
    <w:p w14:paraId="46145849" w14:textId="77777777" w:rsidR="009B06CA" w:rsidRPr="00F879DF" w:rsidRDefault="009B06CA" w:rsidP="009B06CA">
      <w:pPr>
        <w:pStyle w:val="paragraph"/>
        <w:spacing w:before="180" w:beforeAutospacing="0" w:after="180" w:afterAutospacing="0"/>
        <w:textAlignment w:val="baseline"/>
        <w:rPr>
          <w:rFonts w:ascii="Arial" w:hAnsi="Arial" w:cs="Arial"/>
          <w:color w:val="000000"/>
          <w:sz w:val="20"/>
          <w:szCs w:val="20"/>
        </w:rPr>
      </w:pPr>
      <w:r w:rsidRPr="00F879DF">
        <w:rPr>
          <w:rStyle w:val="normaltextrun"/>
          <w:rFonts w:ascii="Arial" w:hAnsi="Arial" w:cs="Arial"/>
          <w:b/>
          <w:bCs/>
          <w:color w:val="000000"/>
          <w:sz w:val="20"/>
          <w:szCs w:val="20"/>
        </w:rPr>
        <w:t>Schedule 2 – Amend Entry</w:t>
      </w:r>
    </w:p>
    <w:p w14:paraId="158BC8A8" w14:textId="77777777" w:rsidR="009B06CA" w:rsidRPr="00F879DF" w:rsidRDefault="009B06CA" w:rsidP="009B06CA">
      <w:pPr>
        <w:pStyle w:val="Default"/>
        <w:ind w:firstLine="720"/>
        <w:rPr>
          <w:rFonts w:ascii="Arial" w:hAnsi="Arial" w:cs="Arial"/>
          <w:sz w:val="20"/>
          <w:szCs w:val="20"/>
        </w:rPr>
      </w:pPr>
      <w:r w:rsidRPr="00F879DF">
        <w:rPr>
          <w:rStyle w:val="normaltextrun"/>
          <w:rFonts w:ascii="Arial" w:hAnsi="Arial" w:cs="Arial"/>
          <w:sz w:val="20"/>
          <w:szCs w:val="20"/>
        </w:rPr>
        <w:t>AZELAIC ACID in dermal preparations</w:t>
      </w:r>
      <w:r w:rsidRPr="00F879DF">
        <w:rPr>
          <w:rFonts w:ascii="Arial" w:hAnsi="Arial" w:cs="Arial"/>
          <w:sz w:val="20"/>
          <w:szCs w:val="20"/>
        </w:rPr>
        <w:t xml:space="preserve"> </w:t>
      </w:r>
      <w:r w:rsidRPr="00F879DF">
        <w:rPr>
          <w:rFonts w:ascii="Arial" w:hAnsi="Arial" w:cs="Arial"/>
          <w:color w:val="00B050"/>
          <w:sz w:val="20"/>
          <w:szCs w:val="20"/>
          <w:u w:val="single"/>
        </w:rPr>
        <w:t>for human therapeutic use</w:t>
      </w:r>
      <w:r w:rsidRPr="00F879DF">
        <w:rPr>
          <w:rStyle w:val="normaltextrun"/>
          <w:rFonts w:ascii="Arial" w:hAnsi="Arial" w:cs="Arial"/>
          <w:color w:val="00AF50"/>
          <w:sz w:val="20"/>
          <w:szCs w:val="20"/>
        </w:rPr>
        <w:t>.</w:t>
      </w:r>
    </w:p>
    <w:p w14:paraId="2E9D8A3B" w14:textId="77777777" w:rsidR="009B06CA" w:rsidRPr="00F879DF" w:rsidRDefault="009B06CA" w:rsidP="009B06CA">
      <w:pPr>
        <w:pStyle w:val="Default"/>
        <w:rPr>
          <w:rFonts w:ascii="Arial" w:hAnsi="Arial" w:cs="Arial"/>
          <w:sz w:val="20"/>
          <w:szCs w:val="20"/>
        </w:rPr>
      </w:pPr>
    </w:p>
    <w:p w14:paraId="6CCCD1EC" w14:textId="6856C89D" w:rsidR="009B06CA" w:rsidRPr="00F879DF" w:rsidRDefault="009B06CA" w:rsidP="009B06CA">
      <w:pPr>
        <w:pStyle w:val="Default"/>
        <w:rPr>
          <w:rFonts w:ascii="Arial" w:hAnsi="Arial" w:cs="Arial"/>
          <w:sz w:val="20"/>
          <w:szCs w:val="20"/>
        </w:rPr>
      </w:pPr>
      <w:r w:rsidRPr="00F879DF">
        <w:rPr>
          <w:rFonts w:ascii="Arial" w:hAnsi="Arial" w:cs="Arial"/>
          <w:sz w:val="20"/>
          <w:szCs w:val="20"/>
        </w:rPr>
        <w:t>Additional First Aid Instructions and Safety Directions under Appendices E and F, respectively, were also included.</w:t>
      </w:r>
    </w:p>
    <w:p w14:paraId="089E386F" w14:textId="77777777" w:rsidR="009B06CA" w:rsidRPr="00F879DF" w:rsidRDefault="009B06CA" w:rsidP="009B06CA">
      <w:pPr>
        <w:pStyle w:val="Default"/>
        <w:rPr>
          <w:rFonts w:ascii="Arial" w:hAnsi="Arial" w:cs="Arial"/>
          <w:sz w:val="20"/>
          <w:szCs w:val="20"/>
        </w:rPr>
      </w:pPr>
    </w:p>
    <w:p w14:paraId="38E7AACE" w14:textId="487B6AC9" w:rsidR="009B06CA" w:rsidRPr="00F879DF" w:rsidRDefault="009B06CA" w:rsidP="009B06CA">
      <w:pPr>
        <w:pStyle w:val="Default"/>
        <w:rPr>
          <w:rFonts w:ascii="Arial" w:hAnsi="Arial" w:cs="Arial"/>
          <w:sz w:val="20"/>
          <w:szCs w:val="20"/>
        </w:rPr>
      </w:pPr>
      <w:r w:rsidRPr="00F879DF">
        <w:rPr>
          <w:rFonts w:ascii="Arial" w:hAnsi="Arial" w:cs="Arial"/>
          <w:sz w:val="20"/>
          <w:szCs w:val="20"/>
        </w:rPr>
        <w:t>These amendments</w:t>
      </w:r>
      <w:r w:rsidR="00A53007">
        <w:rPr>
          <w:rFonts w:ascii="Arial" w:hAnsi="Arial" w:cs="Arial"/>
          <w:sz w:val="20"/>
          <w:szCs w:val="20"/>
        </w:rPr>
        <w:t>, to be effective on 1 October 2024,</w:t>
      </w:r>
      <w:r w:rsidRPr="00F879DF">
        <w:rPr>
          <w:rFonts w:ascii="Arial" w:hAnsi="Arial" w:cs="Arial"/>
          <w:sz w:val="20"/>
          <w:szCs w:val="20"/>
        </w:rPr>
        <w:t xml:space="preserve"> </w:t>
      </w:r>
      <w:r w:rsidR="00F37BEB">
        <w:rPr>
          <w:rFonts w:ascii="Arial" w:hAnsi="Arial" w:cs="Arial"/>
          <w:sz w:val="20"/>
          <w:szCs w:val="20"/>
        </w:rPr>
        <w:t xml:space="preserve">will </w:t>
      </w:r>
      <w:r w:rsidRPr="00F879DF">
        <w:rPr>
          <w:rFonts w:ascii="Arial" w:hAnsi="Arial" w:cs="Arial"/>
          <w:sz w:val="20"/>
          <w:szCs w:val="20"/>
        </w:rPr>
        <w:t>allow industrial uses of azelaic acid under Schedule 5 and retain all therapeutic uses in Schedule 4, with the sole exception for human dermal therapeutic uses in Schedule 2. Under these amendments, all azelaic acid preparations for cosmetic use will be classified as Schedule 5 substances and will require First Aid Instructions and Safety Directions.</w:t>
      </w:r>
    </w:p>
    <w:p w14:paraId="2A906852" w14:textId="77777777" w:rsidR="009B06CA" w:rsidRPr="00F879DF" w:rsidRDefault="009B06CA" w:rsidP="009B06CA">
      <w:pPr>
        <w:pStyle w:val="Default"/>
        <w:rPr>
          <w:rFonts w:ascii="Arial" w:hAnsi="Arial" w:cs="Arial"/>
          <w:sz w:val="20"/>
          <w:szCs w:val="20"/>
        </w:rPr>
      </w:pPr>
    </w:p>
    <w:p w14:paraId="2BAE0778" w14:textId="77777777" w:rsidR="00894493" w:rsidRDefault="00894493">
      <w:pPr>
        <w:rPr>
          <w:rFonts w:eastAsia="Cambria" w:cs="Arial"/>
          <w:i/>
          <w:iCs/>
          <w:color w:val="000000"/>
          <w:szCs w:val="20"/>
          <w:u w:val="single"/>
          <w:lang w:eastAsia="en-AU"/>
        </w:rPr>
      </w:pPr>
      <w:r>
        <w:rPr>
          <w:rFonts w:cs="Arial"/>
          <w:i/>
          <w:iCs/>
          <w:szCs w:val="20"/>
          <w:u w:val="single"/>
        </w:rPr>
        <w:br w:type="page"/>
      </w:r>
    </w:p>
    <w:p w14:paraId="00FED035" w14:textId="4E8657C4" w:rsidR="009B06CA" w:rsidRPr="00F879DF" w:rsidRDefault="009B06CA" w:rsidP="002D4856">
      <w:pPr>
        <w:pStyle w:val="Default"/>
        <w:spacing w:before="120" w:after="120"/>
        <w:rPr>
          <w:rFonts w:ascii="Arial" w:hAnsi="Arial" w:cs="Arial"/>
          <w:i/>
          <w:iCs/>
          <w:sz w:val="20"/>
          <w:szCs w:val="20"/>
          <w:u w:val="single"/>
        </w:rPr>
      </w:pPr>
      <w:r w:rsidRPr="00F879DF">
        <w:rPr>
          <w:rFonts w:ascii="Arial" w:hAnsi="Arial" w:cs="Arial"/>
          <w:i/>
          <w:iCs/>
          <w:sz w:val="20"/>
          <w:szCs w:val="20"/>
          <w:u w:val="single"/>
        </w:rPr>
        <w:lastRenderedPageBreak/>
        <w:t>Proposed amendments to the current azelaic acid entry</w:t>
      </w:r>
    </w:p>
    <w:p w14:paraId="1B65074E" w14:textId="5388284F" w:rsidR="009B06CA" w:rsidRPr="00F879DF" w:rsidRDefault="009B06CA" w:rsidP="002D4856">
      <w:pPr>
        <w:pStyle w:val="Default"/>
        <w:spacing w:before="120" w:after="120"/>
        <w:rPr>
          <w:rFonts w:ascii="Arial" w:hAnsi="Arial" w:cs="Arial"/>
          <w:sz w:val="20"/>
          <w:szCs w:val="20"/>
        </w:rPr>
      </w:pPr>
      <w:r w:rsidRPr="00F879DF">
        <w:rPr>
          <w:rFonts w:ascii="Arial" w:hAnsi="Arial" w:cs="Arial"/>
          <w:sz w:val="20"/>
          <w:szCs w:val="20"/>
        </w:rPr>
        <w:t>In November 2023, the applicant proposed to amend the current entry for azelaic acid in 2 tranches. In tranche 1, the current entry will be amended as below with immediate effect.</w:t>
      </w:r>
      <w:r w:rsidR="00C1282C">
        <w:rPr>
          <w:rStyle w:val="FootnoteReference"/>
          <w:rFonts w:ascii="Arial" w:hAnsi="Arial" w:cs="Arial"/>
          <w:sz w:val="20"/>
          <w:szCs w:val="20"/>
        </w:rPr>
        <w:footnoteReference w:id="30"/>
      </w:r>
    </w:p>
    <w:p w14:paraId="0DD5FF00" w14:textId="77777777" w:rsidR="009B06CA" w:rsidRPr="00F879DF" w:rsidRDefault="009B06CA" w:rsidP="009B06CA">
      <w:pPr>
        <w:spacing w:before="180"/>
        <w:rPr>
          <w:rFonts w:cs="Arial"/>
          <w:b/>
          <w:szCs w:val="20"/>
        </w:rPr>
      </w:pPr>
      <w:r w:rsidRPr="00F879DF">
        <w:rPr>
          <w:rFonts w:cs="Arial"/>
          <w:b/>
          <w:szCs w:val="20"/>
        </w:rPr>
        <w:t>Schedule 5 – New Entry</w:t>
      </w:r>
    </w:p>
    <w:p w14:paraId="65A4574C" w14:textId="77777777" w:rsidR="009B06CA" w:rsidRPr="00F879DF" w:rsidRDefault="009B06CA" w:rsidP="009B06CA">
      <w:pPr>
        <w:pStyle w:val="paragraph"/>
        <w:spacing w:before="180" w:beforeAutospacing="0" w:after="180" w:afterAutospacing="0"/>
        <w:ind w:left="720"/>
        <w:textAlignment w:val="baseline"/>
        <w:rPr>
          <w:rFonts w:ascii="Arial" w:hAnsi="Arial" w:cs="Arial"/>
          <w:color w:val="00AF50"/>
          <w:sz w:val="20"/>
          <w:szCs w:val="20"/>
          <w:u w:val="single"/>
        </w:rPr>
      </w:pPr>
      <w:r w:rsidRPr="00F879DF">
        <w:rPr>
          <w:rStyle w:val="normaltextrun"/>
          <w:rFonts w:ascii="Arial" w:hAnsi="Arial" w:cs="Arial"/>
          <w:color w:val="00AF50"/>
          <w:sz w:val="20"/>
          <w:szCs w:val="20"/>
        </w:rPr>
        <w:t xml:space="preserve">AZELAIC ACID </w:t>
      </w:r>
      <w:r w:rsidRPr="00F879DF">
        <w:rPr>
          <w:rStyle w:val="normaltextrun"/>
          <w:rFonts w:ascii="Arial" w:hAnsi="Arial" w:cs="Arial"/>
          <w:b/>
          <w:bCs/>
          <w:color w:val="00AF50"/>
          <w:sz w:val="20"/>
          <w:szCs w:val="20"/>
        </w:rPr>
        <w:t xml:space="preserve">except </w:t>
      </w:r>
      <w:r w:rsidRPr="00F879DF">
        <w:rPr>
          <w:rStyle w:val="normaltextrun"/>
          <w:rFonts w:ascii="Arial" w:hAnsi="Arial" w:cs="Arial"/>
          <w:color w:val="00AF50"/>
          <w:sz w:val="20"/>
          <w:szCs w:val="20"/>
        </w:rPr>
        <w:t>when included in Schedules 2 or 4 or in preparations containing 1% or less of azelaic acid for non-human use.</w:t>
      </w:r>
    </w:p>
    <w:p w14:paraId="6CB5F691" w14:textId="77777777" w:rsidR="009B06CA" w:rsidRPr="00F879DF" w:rsidRDefault="009B06CA" w:rsidP="009B06CA">
      <w:pPr>
        <w:pStyle w:val="paragraph"/>
        <w:spacing w:before="180" w:beforeAutospacing="0" w:after="180" w:afterAutospacing="0"/>
        <w:textAlignment w:val="baseline"/>
        <w:rPr>
          <w:rFonts w:ascii="Arial" w:hAnsi="Arial" w:cs="Arial"/>
          <w:color w:val="000000"/>
          <w:sz w:val="20"/>
          <w:szCs w:val="20"/>
        </w:rPr>
      </w:pPr>
      <w:r w:rsidRPr="00F879DF">
        <w:rPr>
          <w:rStyle w:val="normaltextrun"/>
          <w:rFonts w:ascii="Arial" w:hAnsi="Arial" w:cs="Arial"/>
          <w:b/>
          <w:bCs/>
          <w:color w:val="000000"/>
          <w:sz w:val="20"/>
          <w:szCs w:val="20"/>
        </w:rPr>
        <w:t>Schedule 4 – Amend Entry</w:t>
      </w:r>
    </w:p>
    <w:p w14:paraId="1BC11176" w14:textId="77777777" w:rsidR="009B06CA" w:rsidRPr="00F879DF" w:rsidRDefault="009B06CA" w:rsidP="009B06CA">
      <w:pPr>
        <w:pStyle w:val="paragraph"/>
        <w:spacing w:before="180" w:beforeAutospacing="0" w:after="180" w:afterAutospacing="0"/>
        <w:ind w:firstLine="720"/>
        <w:textAlignment w:val="baseline"/>
        <w:rPr>
          <w:rFonts w:ascii="Arial" w:hAnsi="Arial" w:cs="Arial"/>
          <w:color w:val="000000"/>
          <w:sz w:val="20"/>
          <w:szCs w:val="20"/>
        </w:rPr>
      </w:pPr>
      <w:r w:rsidRPr="00F879DF">
        <w:rPr>
          <w:rStyle w:val="normaltextrun"/>
          <w:rFonts w:ascii="Arial" w:hAnsi="Arial" w:cs="Arial"/>
          <w:color w:val="000000"/>
          <w:sz w:val="20"/>
          <w:szCs w:val="20"/>
        </w:rPr>
        <w:t xml:space="preserve">AZELAIC ACID </w:t>
      </w:r>
      <w:r w:rsidRPr="00F879DF">
        <w:rPr>
          <w:rStyle w:val="normaltextrun"/>
          <w:rFonts w:ascii="Arial" w:hAnsi="Arial" w:cs="Arial"/>
          <w:color w:val="00AF50"/>
          <w:sz w:val="20"/>
          <w:szCs w:val="20"/>
        </w:rPr>
        <w:t xml:space="preserve">for therapeutic use </w:t>
      </w:r>
      <w:r w:rsidRPr="00F879DF">
        <w:rPr>
          <w:rStyle w:val="normaltextrun"/>
          <w:rFonts w:ascii="Arial" w:hAnsi="Arial" w:cs="Arial"/>
          <w:b/>
          <w:bCs/>
          <w:color w:val="000000"/>
          <w:sz w:val="20"/>
          <w:szCs w:val="20"/>
        </w:rPr>
        <w:t>except</w:t>
      </w:r>
      <w:r w:rsidRPr="00F879DF">
        <w:rPr>
          <w:rStyle w:val="normaltextrun"/>
          <w:rFonts w:ascii="Arial" w:hAnsi="Arial" w:cs="Arial"/>
          <w:strike/>
          <w:color w:val="FF0000"/>
          <w:sz w:val="20"/>
          <w:szCs w:val="20"/>
        </w:rPr>
        <w:t>:</w:t>
      </w:r>
    </w:p>
    <w:p w14:paraId="58C7AE36" w14:textId="77777777" w:rsidR="009B06CA" w:rsidRPr="00F879DF" w:rsidRDefault="009B06CA" w:rsidP="009B06CA">
      <w:pPr>
        <w:pStyle w:val="paragraph"/>
        <w:spacing w:before="180" w:beforeAutospacing="0" w:after="180" w:afterAutospacing="0"/>
        <w:ind w:firstLine="720"/>
        <w:textAlignment w:val="baseline"/>
        <w:rPr>
          <w:rFonts w:ascii="Arial" w:hAnsi="Arial" w:cs="Arial"/>
          <w:color w:val="000000"/>
          <w:sz w:val="20"/>
          <w:szCs w:val="20"/>
        </w:rPr>
      </w:pPr>
      <w:r w:rsidRPr="00F879DF">
        <w:rPr>
          <w:rStyle w:val="normaltextrun"/>
          <w:rFonts w:ascii="Arial" w:hAnsi="Arial" w:cs="Arial"/>
          <w:strike/>
          <w:color w:val="FF0000"/>
          <w:sz w:val="20"/>
          <w:szCs w:val="20"/>
        </w:rPr>
        <w:t>a)</w:t>
      </w:r>
      <w:r w:rsidRPr="00F879DF">
        <w:rPr>
          <w:rStyle w:val="normaltextrun"/>
          <w:rFonts w:ascii="Arial" w:hAnsi="Arial" w:cs="Arial"/>
          <w:color w:val="FF0000"/>
          <w:sz w:val="20"/>
          <w:szCs w:val="20"/>
        </w:rPr>
        <w:t xml:space="preserve"> </w:t>
      </w:r>
      <w:r w:rsidRPr="00F879DF">
        <w:rPr>
          <w:rStyle w:val="normaltextrun"/>
          <w:rFonts w:ascii="Arial" w:hAnsi="Arial" w:cs="Arial"/>
          <w:color w:val="000000"/>
          <w:sz w:val="20"/>
          <w:szCs w:val="20"/>
        </w:rPr>
        <w:t>when included in Schedule 2</w:t>
      </w:r>
      <w:r w:rsidRPr="00F879DF">
        <w:rPr>
          <w:rStyle w:val="normaltextrun"/>
          <w:rFonts w:ascii="Arial" w:hAnsi="Arial" w:cs="Arial"/>
          <w:color w:val="00B050"/>
          <w:sz w:val="20"/>
          <w:szCs w:val="20"/>
        </w:rPr>
        <w:t>.</w:t>
      </w:r>
      <w:r w:rsidRPr="00F879DF">
        <w:rPr>
          <w:rStyle w:val="normaltextrun"/>
          <w:rFonts w:ascii="Arial" w:hAnsi="Arial" w:cs="Arial"/>
          <w:strike/>
          <w:color w:val="FF0000"/>
          <w:sz w:val="20"/>
          <w:szCs w:val="20"/>
        </w:rPr>
        <w:t>; or</w:t>
      </w:r>
    </w:p>
    <w:p w14:paraId="7F733F5B" w14:textId="77777777" w:rsidR="009B06CA" w:rsidRPr="00F879DF" w:rsidRDefault="009B06CA" w:rsidP="009B06CA">
      <w:pPr>
        <w:pStyle w:val="paragraph"/>
        <w:spacing w:before="180" w:beforeAutospacing="0" w:after="180" w:afterAutospacing="0"/>
        <w:ind w:firstLine="720"/>
        <w:textAlignment w:val="baseline"/>
        <w:rPr>
          <w:rStyle w:val="normaltextrun"/>
          <w:rFonts w:ascii="Arial" w:hAnsi="Arial" w:cs="Arial"/>
          <w:strike/>
          <w:color w:val="FF0000"/>
          <w:sz w:val="20"/>
          <w:szCs w:val="20"/>
        </w:rPr>
      </w:pPr>
      <w:r w:rsidRPr="00F879DF">
        <w:rPr>
          <w:rStyle w:val="normaltextrun"/>
          <w:rFonts w:ascii="Arial" w:hAnsi="Arial" w:cs="Arial"/>
          <w:strike/>
          <w:color w:val="FF0000"/>
          <w:sz w:val="20"/>
          <w:szCs w:val="20"/>
        </w:rPr>
        <w:t>b) in preparations containing 1% or less of azelaic acid for non-human use.</w:t>
      </w:r>
    </w:p>
    <w:p w14:paraId="03527BED" w14:textId="77777777" w:rsidR="009B06CA" w:rsidRPr="00F879DF" w:rsidRDefault="009B06CA" w:rsidP="009B06CA">
      <w:pPr>
        <w:pStyle w:val="paragraph"/>
        <w:spacing w:before="180" w:beforeAutospacing="0" w:after="180" w:afterAutospacing="0"/>
        <w:textAlignment w:val="baseline"/>
        <w:rPr>
          <w:rFonts w:ascii="Arial" w:hAnsi="Arial" w:cs="Arial"/>
          <w:color w:val="000000"/>
          <w:sz w:val="20"/>
          <w:szCs w:val="20"/>
        </w:rPr>
      </w:pPr>
      <w:r w:rsidRPr="00F879DF">
        <w:rPr>
          <w:rStyle w:val="normaltextrun"/>
          <w:rFonts w:ascii="Arial" w:hAnsi="Arial" w:cs="Arial"/>
          <w:b/>
          <w:bCs/>
          <w:color w:val="000000"/>
          <w:sz w:val="20"/>
          <w:szCs w:val="20"/>
        </w:rPr>
        <w:t>Schedule 2 – Amend Entry</w:t>
      </w:r>
    </w:p>
    <w:p w14:paraId="0E68DBF0" w14:textId="77777777" w:rsidR="009B06CA" w:rsidRPr="00F879DF" w:rsidRDefault="009B06CA" w:rsidP="009B06CA">
      <w:pPr>
        <w:pStyle w:val="Default"/>
        <w:ind w:left="720"/>
        <w:rPr>
          <w:rFonts w:ascii="Arial" w:hAnsi="Arial" w:cs="Arial"/>
          <w:sz w:val="20"/>
          <w:szCs w:val="20"/>
        </w:rPr>
      </w:pPr>
      <w:r w:rsidRPr="00F879DF">
        <w:rPr>
          <w:rStyle w:val="normaltextrun"/>
          <w:rFonts w:ascii="Arial" w:hAnsi="Arial" w:cs="Arial"/>
          <w:sz w:val="20"/>
          <w:szCs w:val="20"/>
        </w:rPr>
        <w:t>AZELAIC ACID in dermal preparations</w:t>
      </w:r>
      <w:r w:rsidRPr="00F879DF">
        <w:rPr>
          <w:rFonts w:ascii="Arial" w:hAnsi="Arial" w:cs="Arial"/>
          <w:sz w:val="20"/>
          <w:szCs w:val="20"/>
        </w:rPr>
        <w:t xml:space="preserve"> </w:t>
      </w:r>
      <w:r w:rsidRPr="00F879DF">
        <w:rPr>
          <w:rFonts w:ascii="Arial" w:hAnsi="Arial" w:cs="Arial"/>
          <w:color w:val="00B050"/>
          <w:sz w:val="20"/>
          <w:szCs w:val="20"/>
          <w:u w:val="single"/>
        </w:rPr>
        <w:t>for human use except in preparations for cosmetic use when containing no more than 10% azelaic acid</w:t>
      </w:r>
      <w:r w:rsidRPr="00F879DF">
        <w:rPr>
          <w:rStyle w:val="normaltextrun"/>
          <w:rFonts w:ascii="Arial" w:hAnsi="Arial" w:cs="Arial"/>
          <w:color w:val="00AF50"/>
          <w:sz w:val="20"/>
          <w:szCs w:val="20"/>
        </w:rPr>
        <w:t>.</w:t>
      </w:r>
    </w:p>
    <w:p w14:paraId="540A77D2" w14:textId="77777777" w:rsidR="009B06CA" w:rsidRPr="00F879DF" w:rsidRDefault="009B06CA" w:rsidP="002D4856">
      <w:pPr>
        <w:pStyle w:val="Default"/>
        <w:spacing w:before="120" w:after="120"/>
        <w:rPr>
          <w:rFonts w:ascii="Arial" w:hAnsi="Arial" w:cs="Arial"/>
          <w:sz w:val="20"/>
          <w:szCs w:val="20"/>
        </w:rPr>
      </w:pPr>
      <w:r w:rsidRPr="00F879DF">
        <w:rPr>
          <w:rFonts w:ascii="Arial" w:hAnsi="Arial" w:cs="Arial"/>
          <w:sz w:val="20"/>
          <w:szCs w:val="20"/>
        </w:rPr>
        <w:t>First Aid Instructions and Safety Directions under Appendices E and F, respectively, as in the 2023 Final Decision will also be included.</w:t>
      </w:r>
    </w:p>
    <w:p w14:paraId="42FFF42F" w14:textId="77777777" w:rsidR="002D4856" w:rsidRDefault="009B06CA" w:rsidP="002D4856">
      <w:pPr>
        <w:pStyle w:val="Default"/>
        <w:spacing w:before="120" w:after="120"/>
        <w:rPr>
          <w:rFonts w:ascii="Arial" w:hAnsi="Arial" w:cs="Arial"/>
          <w:sz w:val="20"/>
          <w:szCs w:val="20"/>
        </w:rPr>
      </w:pPr>
      <w:r w:rsidRPr="00F879DF">
        <w:rPr>
          <w:rFonts w:ascii="Arial" w:hAnsi="Arial" w:cs="Arial"/>
          <w:sz w:val="20"/>
          <w:szCs w:val="20"/>
        </w:rPr>
        <w:t>In tranche 2, only the Schedule 5 entry will be amended to remove the exemptions for preparations containing 1% or less of azelaic acid for non-human use. The Schedule 5 entry after the second tranche of amendment will read as:</w:t>
      </w:r>
      <w:r w:rsidR="00C1282C">
        <w:rPr>
          <w:rStyle w:val="FootnoteReference"/>
          <w:rFonts w:ascii="Arial" w:hAnsi="Arial" w:cs="Arial"/>
          <w:sz w:val="20"/>
          <w:szCs w:val="20"/>
        </w:rPr>
        <w:footnoteReference w:id="31"/>
      </w:r>
      <w:r w:rsidRPr="00F879DF">
        <w:rPr>
          <w:rFonts w:ascii="Arial" w:hAnsi="Arial" w:cs="Arial"/>
          <w:sz w:val="20"/>
          <w:szCs w:val="20"/>
        </w:rPr>
        <w:t xml:space="preserve"> </w:t>
      </w:r>
    </w:p>
    <w:p w14:paraId="148270A2" w14:textId="7047981F" w:rsidR="009B06CA" w:rsidRPr="00F879DF" w:rsidRDefault="009B06CA" w:rsidP="002D4856">
      <w:pPr>
        <w:pStyle w:val="Default"/>
        <w:spacing w:before="120" w:after="120"/>
        <w:ind w:firstLine="720"/>
        <w:rPr>
          <w:rFonts w:ascii="Arial" w:hAnsi="Arial" w:cs="Arial"/>
          <w:sz w:val="20"/>
          <w:szCs w:val="20"/>
          <w:u w:val="single"/>
        </w:rPr>
      </w:pPr>
      <w:r w:rsidRPr="00F879DF">
        <w:rPr>
          <w:rFonts w:ascii="Arial" w:hAnsi="Arial" w:cs="Arial"/>
          <w:color w:val="00B050"/>
          <w:sz w:val="20"/>
          <w:szCs w:val="20"/>
          <w:u w:val="single"/>
        </w:rPr>
        <w:t>AZELAIC ACID except when included in Schedules 2 or 4</w:t>
      </w:r>
      <w:r w:rsidRPr="00F879DF">
        <w:rPr>
          <w:rFonts w:ascii="Arial" w:hAnsi="Arial" w:cs="Arial"/>
          <w:sz w:val="20"/>
          <w:szCs w:val="20"/>
          <w:u w:val="single"/>
        </w:rPr>
        <w:t>.</w:t>
      </w:r>
    </w:p>
    <w:p w14:paraId="6C22C5A9" w14:textId="77777777" w:rsidR="009B06CA" w:rsidRPr="00F879DF" w:rsidRDefault="009B06CA" w:rsidP="002D4856">
      <w:pPr>
        <w:pStyle w:val="Default"/>
        <w:spacing w:before="120" w:after="120"/>
        <w:rPr>
          <w:rFonts w:ascii="Arial" w:hAnsi="Arial" w:cs="Arial"/>
          <w:sz w:val="20"/>
          <w:szCs w:val="20"/>
        </w:rPr>
      </w:pPr>
      <w:r w:rsidRPr="00F879DF">
        <w:rPr>
          <w:rFonts w:ascii="Arial" w:hAnsi="Arial" w:cs="Arial"/>
          <w:sz w:val="20"/>
          <w:szCs w:val="20"/>
        </w:rPr>
        <w:t>There will be no changes to the Schedule 2 and Schedule 4 entries, and First Aid Instructions and Safety Directions from the amendments proposed under tranche 1. Amendments under tranche 2 will come into effect on 1 October 2024.</w:t>
      </w:r>
    </w:p>
    <w:p w14:paraId="31B30649" w14:textId="77777777" w:rsidR="009B06CA" w:rsidRPr="00F879DF" w:rsidRDefault="009B06CA" w:rsidP="002D4856">
      <w:pPr>
        <w:pStyle w:val="Default"/>
        <w:spacing w:before="120" w:after="120"/>
        <w:rPr>
          <w:rFonts w:ascii="Arial" w:hAnsi="Arial" w:cs="Arial"/>
          <w:sz w:val="20"/>
          <w:szCs w:val="20"/>
        </w:rPr>
      </w:pPr>
      <w:r w:rsidRPr="00F879DF">
        <w:rPr>
          <w:rFonts w:ascii="Arial" w:hAnsi="Arial" w:cs="Arial"/>
          <w:sz w:val="20"/>
          <w:szCs w:val="20"/>
        </w:rPr>
        <w:t>The immediate implementation of tranche 1 of the proposed amendments will allow early entry into markets of certain non-therapeutic products. These include industrial preparations and cosmetic preparations containing no more than 10% azelaic acid.</w:t>
      </w:r>
    </w:p>
    <w:p w14:paraId="22D03497" w14:textId="77777777" w:rsidR="009B06CA" w:rsidRPr="00F879DF" w:rsidRDefault="009B06CA" w:rsidP="002D4856">
      <w:pPr>
        <w:pStyle w:val="Default"/>
        <w:spacing w:before="120" w:after="120"/>
        <w:rPr>
          <w:rFonts w:ascii="Arial" w:hAnsi="Arial" w:cs="Arial"/>
          <w:sz w:val="20"/>
          <w:szCs w:val="20"/>
        </w:rPr>
      </w:pPr>
      <w:r w:rsidRPr="00F879DF">
        <w:rPr>
          <w:rFonts w:ascii="Arial" w:hAnsi="Arial" w:cs="Arial"/>
          <w:sz w:val="20"/>
          <w:szCs w:val="20"/>
        </w:rPr>
        <w:t>The effect of tranche 1 and tranche 2 of the amendments proposed by the applicant, i.e. exempting products containing 1% or less azelaic acid for non-human use products until tranche 2 of the amendments are implemented, is intended to provide industry the lead time required comply with labelling requirements for such products.</w:t>
      </w:r>
    </w:p>
    <w:p w14:paraId="11ECD0E2" w14:textId="77777777" w:rsidR="009B06CA" w:rsidRPr="00F879DF" w:rsidRDefault="009B06CA" w:rsidP="002D4856">
      <w:pPr>
        <w:pStyle w:val="Default"/>
        <w:spacing w:before="120" w:after="120"/>
        <w:rPr>
          <w:rFonts w:ascii="Arial" w:hAnsi="Arial" w:cs="Arial"/>
          <w:sz w:val="20"/>
          <w:szCs w:val="20"/>
        </w:rPr>
      </w:pPr>
      <w:r w:rsidRPr="00F879DF">
        <w:rPr>
          <w:rFonts w:ascii="Arial" w:hAnsi="Arial" w:cs="Arial"/>
          <w:sz w:val="20"/>
          <w:szCs w:val="20"/>
        </w:rPr>
        <w:t>The applicant stated that the proposed amendments will result in early availability of a safer product for use during pregnancy and breastfeeding. Limited supporting data or information was provided.</w:t>
      </w:r>
    </w:p>
    <w:p w14:paraId="7F6BC168" w14:textId="77777777" w:rsidR="009B06CA" w:rsidRPr="00F879DF" w:rsidRDefault="009B06CA" w:rsidP="002D4856">
      <w:pPr>
        <w:pStyle w:val="Default"/>
        <w:spacing w:before="120" w:after="120"/>
        <w:rPr>
          <w:rFonts w:ascii="Arial" w:hAnsi="Arial" w:cs="Arial"/>
          <w:sz w:val="20"/>
          <w:szCs w:val="20"/>
        </w:rPr>
      </w:pPr>
      <w:r w:rsidRPr="00F879DF">
        <w:rPr>
          <w:rFonts w:ascii="Arial" w:hAnsi="Arial" w:cs="Arial"/>
          <w:sz w:val="20"/>
          <w:szCs w:val="20"/>
        </w:rPr>
        <w:t>The applicant stated that there is no intention to change the 2023 Final Decision. However, the proposed amendments would cause dermal cosmetic preparations containing more than 10% azelaic acid to be retained in Schedule 2. Such preparations are classified as Schedule 5 substances under the 2023 Final Decision.</w:t>
      </w:r>
    </w:p>
    <w:p w14:paraId="65CE25CE" w14:textId="5AEF8648" w:rsidR="005951C6" w:rsidRPr="00F879DF" w:rsidRDefault="009B06CA" w:rsidP="002D4856">
      <w:pPr>
        <w:pStyle w:val="Default"/>
        <w:spacing w:before="120" w:after="120"/>
        <w:rPr>
          <w:rFonts w:ascii="Arial" w:hAnsi="Arial" w:cs="Arial"/>
          <w:sz w:val="20"/>
          <w:szCs w:val="20"/>
        </w:rPr>
      </w:pPr>
      <w:r w:rsidRPr="00F879DF">
        <w:rPr>
          <w:rFonts w:ascii="Arial" w:hAnsi="Arial" w:cs="Arial"/>
          <w:sz w:val="20"/>
          <w:szCs w:val="20"/>
        </w:rPr>
        <w:t>I decided under regulation 42ZCZT not to seek advice from the Advisory Committees on Medicines and Chemicals Scheduling for this application.</w:t>
      </w:r>
    </w:p>
    <w:p w14:paraId="0CC80B4E" w14:textId="261D8878" w:rsidR="009B06CA" w:rsidRPr="00A53007" w:rsidRDefault="009B06CA" w:rsidP="009B06CA">
      <w:pPr>
        <w:pStyle w:val="Heading4"/>
      </w:pPr>
      <w:r w:rsidRPr="00A53007">
        <w:lastRenderedPageBreak/>
        <w:t>Interim Decision</w:t>
      </w:r>
    </w:p>
    <w:p w14:paraId="569E86A6" w14:textId="1558732F" w:rsidR="009B06CA" w:rsidRPr="00A53007" w:rsidRDefault="009B06CA" w:rsidP="002D4856">
      <w:pPr>
        <w:pStyle w:val="Default"/>
        <w:spacing w:before="120" w:after="120"/>
        <w:rPr>
          <w:rFonts w:ascii="Arial" w:hAnsi="Arial" w:cs="Arial"/>
          <w:sz w:val="20"/>
          <w:szCs w:val="20"/>
        </w:rPr>
      </w:pPr>
      <w:r w:rsidRPr="00A53007">
        <w:rPr>
          <w:rFonts w:ascii="Arial" w:hAnsi="Arial" w:cs="Arial"/>
          <w:sz w:val="20"/>
          <w:szCs w:val="20"/>
        </w:rPr>
        <w:t xml:space="preserve">Pursuant to regulation 42ZCZV of the Regulations, I made an interim decision </w:t>
      </w:r>
      <w:r w:rsidR="00CD70F8" w:rsidRPr="00A53007">
        <w:rPr>
          <w:rFonts w:ascii="Arial" w:hAnsi="Arial" w:cs="Arial"/>
          <w:sz w:val="20"/>
          <w:szCs w:val="20"/>
        </w:rPr>
        <w:t>to not amend the Poisons Standard as proposed by the applicant and to amend the Poisons Standard as per the 2023 Final Decision</w:t>
      </w:r>
      <w:r w:rsidRPr="00A53007">
        <w:rPr>
          <w:rFonts w:ascii="Arial" w:hAnsi="Arial" w:cs="Arial"/>
          <w:sz w:val="20"/>
          <w:szCs w:val="20"/>
        </w:rPr>
        <w:t xml:space="preserve">. The interim decision was provided </w:t>
      </w:r>
      <w:r w:rsidR="00C1282C" w:rsidRPr="00A53007">
        <w:rPr>
          <w:rFonts w:ascii="Arial" w:hAnsi="Arial" w:cs="Arial"/>
          <w:sz w:val="20"/>
          <w:szCs w:val="20"/>
        </w:rPr>
        <w:t xml:space="preserve">in writing </w:t>
      </w:r>
      <w:r w:rsidRPr="00A53007">
        <w:rPr>
          <w:rFonts w:ascii="Arial" w:hAnsi="Arial" w:cs="Arial"/>
          <w:sz w:val="20"/>
          <w:szCs w:val="20"/>
        </w:rPr>
        <w:t>to the applicant on 4 September 2024.</w:t>
      </w:r>
    </w:p>
    <w:p w14:paraId="73FED10A" w14:textId="0F199A9C" w:rsidR="009B06CA" w:rsidRPr="00A53007" w:rsidRDefault="00FB0C57" w:rsidP="002D4856">
      <w:pPr>
        <w:spacing w:before="120"/>
        <w:rPr>
          <w:rFonts w:cs="Arial"/>
          <w:color w:val="000000"/>
          <w:szCs w:val="20"/>
        </w:rPr>
      </w:pPr>
      <w:r w:rsidRPr="00A53007">
        <w:rPr>
          <w:rFonts w:cs="Arial"/>
          <w:szCs w:val="20"/>
        </w:rPr>
        <w:t>The</w:t>
      </w:r>
      <w:r w:rsidR="009B06CA" w:rsidRPr="00A53007">
        <w:rPr>
          <w:rFonts w:cs="Arial"/>
          <w:szCs w:val="20"/>
        </w:rPr>
        <w:t xml:space="preserve"> </w:t>
      </w:r>
      <w:r w:rsidR="00C1282C" w:rsidRPr="00A53007">
        <w:rPr>
          <w:rFonts w:cs="Arial"/>
          <w:szCs w:val="20"/>
        </w:rPr>
        <w:t xml:space="preserve">amendments to azelaic acid in the </w:t>
      </w:r>
      <w:r w:rsidR="009B06CA" w:rsidRPr="00A53007">
        <w:rPr>
          <w:rFonts w:cs="Arial"/>
          <w:szCs w:val="20"/>
        </w:rPr>
        <w:t>2023 Final Decision</w:t>
      </w:r>
      <w:r w:rsidR="00A53007" w:rsidRPr="00A53007">
        <w:rPr>
          <w:rFonts w:cs="Arial"/>
          <w:szCs w:val="20"/>
        </w:rPr>
        <w:t xml:space="preserve"> have been described above and are to be implemented on </w:t>
      </w:r>
      <w:r w:rsidR="009B06CA" w:rsidRPr="00A53007">
        <w:rPr>
          <w:rFonts w:cs="Arial"/>
          <w:color w:val="000000"/>
          <w:szCs w:val="20"/>
        </w:rPr>
        <w:t>1 October 2024</w:t>
      </w:r>
      <w:r w:rsidR="00A53007" w:rsidRPr="00A53007">
        <w:rPr>
          <w:rFonts w:cs="Arial"/>
          <w:color w:val="000000"/>
          <w:szCs w:val="20"/>
        </w:rPr>
        <w:t>.</w:t>
      </w:r>
      <w:r w:rsidR="009B06CA" w:rsidRPr="00A53007">
        <w:rPr>
          <w:rFonts w:cs="Arial"/>
          <w:color w:val="000000"/>
          <w:szCs w:val="20"/>
        </w:rPr>
        <w:t>The</w:t>
      </w:r>
      <w:r w:rsidR="00A53007" w:rsidRPr="00A53007">
        <w:rPr>
          <w:rFonts w:cs="Arial"/>
          <w:color w:val="000000"/>
          <w:szCs w:val="20"/>
        </w:rPr>
        <w:t>se amendments</w:t>
      </w:r>
      <w:r w:rsidR="009B06CA" w:rsidRPr="00A53007">
        <w:rPr>
          <w:rFonts w:cs="Arial"/>
          <w:szCs w:val="20"/>
        </w:rPr>
        <w:t xml:space="preserve"> </w:t>
      </w:r>
      <w:r w:rsidR="009B06CA" w:rsidRPr="00A53007">
        <w:rPr>
          <w:rFonts w:cs="Arial"/>
          <w:color w:val="000000"/>
          <w:szCs w:val="20"/>
        </w:rPr>
        <w:t>will create a new Schedule 5 entry covering the range of industrial uses of azelaic acid while continuing to capture the therapeutic use of azelaic acid under Schedules 2 and 4. This will also provide that any cosmetic preparations containing azelaic acid will be subject to the labelling requirements of Schedule 5 without any exemption as there is not enough evidence to support an exemption from scheduling based on a concentration cut-off.</w:t>
      </w:r>
    </w:p>
    <w:p w14:paraId="11A65F47" w14:textId="787FC67A" w:rsidR="009B06CA" w:rsidRPr="00A53007" w:rsidRDefault="009B06CA" w:rsidP="009B06CA">
      <w:pPr>
        <w:rPr>
          <w:rFonts w:cs="Arial"/>
          <w:szCs w:val="20"/>
        </w:rPr>
      </w:pPr>
      <w:r w:rsidRPr="00A53007">
        <w:rPr>
          <w:rFonts w:cs="Arial"/>
          <w:szCs w:val="20"/>
        </w:rPr>
        <w:t>The applicant submitted that azelaic acid, even in oral medicine form, is safe to use whilst pregnant or breastfeeding and, therefore, azelaic acid in cosmetics provides a safer alternative to retinol and retinol derivatives. In relation to 52E(1)(a) of the Act, topical azelaic acid is listed under category B1 in the TGA’s pregnancy database. I note</w:t>
      </w:r>
      <w:r w:rsidR="00F879DF" w:rsidRPr="00A53007">
        <w:rPr>
          <w:rFonts w:cs="Arial"/>
          <w:szCs w:val="20"/>
        </w:rPr>
        <w:t>d</w:t>
      </w:r>
      <w:r w:rsidRPr="00A53007">
        <w:rPr>
          <w:rFonts w:cs="Arial"/>
          <w:szCs w:val="20"/>
        </w:rPr>
        <w:t xml:space="preserve"> category B1 substances, such as azelaic acid, have been used by only a limited number of pregnant women and women of childbearing age. I placed less weight on the potential use of azelaic in those pregnant or breastfeeding since my primary concerns are in relation to the potential for skin and eye irritation.</w:t>
      </w:r>
    </w:p>
    <w:p w14:paraId="36A1D6F9" w14:textId="7A7BAB44" w:rsidR="009B06CA" w:rsidRPr="00A53007" w:rsidRDefault="009B06CA" w:rsidP="009B06CA">
      <w:pPr>
        <w:rPr>
          <w:rFonts w:cs="Arial"/>
          <w:szCs w:val="20"/>
        </w:rPr>
      </w:pPr>
      <w:r w:rsidRPr="00A53007">
        <w:rPr>
          <w:rFonts w:cs="Arial"/>
          <w:szCs w:val="20"/>
        </w:rPr>
        <w:t xml:space="preserve">In the </w:t>
      </w:r>
      <w:r w:rsidR="00166A6F" w:rsidRPr="00A53007">
        <w:rPr>
          <w:rFonts w:cs="Arial"/>
          <w:szCs w:val="20"/>
        </w:rPr>
        <w:t>2023 Interim Decision</w:t>
      </w:r>
      <w:r w:rsidRPr="00A53007">
        <w:rPr>
          <w:rFonts w:cs="Arial"/>
          <w:szCs w:val="20"/>
        </w:rPr>
        <w:t xml:space="preserve">, I set out several risks associated with azelaic acid when used in dermal preparations, including its potential to cause eye and skin irritation. There are various international limitations or restrictions placed upon azelaic acid-containing cosmetics. Under the Association of Southeast Asian Nations (ASEAN) </w:t>
      </w:r>
      <w:hyperlink r:id="rId52" w:history="1">
        <w:r w:rsidRPr="00A53007">
          <w:rPr>
            <w:rStyle w:val="Hyperlink"/>
            <w:rFonts w:cs="Arial"/>
            <w:szCs w:val="20"/>
          </w:rPr>
          <w:t>Cosmetics Directive</w:t>
        </w:r>
      </w:hyperlink>
      <w:r w:rsidRPr="00A53007">
        <w:rPr>
          <w:rFonts w:cs="Arial"/>
          <w:szCs w:val="20"/>
        </w:rPr>
        <w:t xml:space="preserve">, azelaic acid is a substance that must not form part of the composition of cosmetic products (Annex II Part 1). In New Zealand, dermal use of preparations containing azelaic acid are pharmacy medicines. I have </w:t>
      </w:r>
      <w:proofErr w:type="gramStart"/>
      <w:r w:rsidRPr="00A53007">
        <w:rPr>
          <w:rFonts w:cs="Arial"/>
          <w:szCs w:val="20"/>
        </w:rPr>
        <w:t>taken into account</w:t>
      </w:r>
      <w:proofErr w:type="gramEnd"/>
      <w:r w:rsidRPr="00A53007">
        <w:rPr>
          <w:rFonts w:cs="Arial"/>
          <w:szCs w:val="20"/>
        </w:rPr>
        <w:t xml:space="preserve"> the Australasian College of Dermatologists submission on </w:t>
      </w:r>
      <w:r w:rsidR="00166A6F" w:rsidRPr="00A53007">
        <w:rPr>
          <w:rFonts w:cs="Arial"/>
          <w:szCs w:val="20"/>
        </w:rPr>
        <w:t xml:space="preserve">the 2023 Interim Decision </w:t>
      </w:r>
      <w:r w:rsidRPr="00A53007">
        <w:rPr>
          <w:rFonts w:cs="Arial"/>
          <w:szCs w:val="20"/>
        </w:rPr>
        <w:t>which expressed a view that the risk of skin irritation from cosmetic preparations containing less than 10% of azelaic acid would be less common. However, they also supported that cosmetic preparations containing azelaic acid should be in Schedule 5.</w:t>
      </w:r>
    </w:p>
    <w:p w14:paraId="79C0E06D" w14:textId="686BB00D" w:rsidR="009B06CA" w:rsidRPr="00A53007" w:rsidRDefault="009B06CA" w:rsidP="009B06CA">
      <w:pPr>
        <w:rPr>
          <w:rFonts w:cs="Arial"/>
          <w:szCs w:val="20"/>
        </w:rPr>
      </w:pPr>
      <w:r w:rsidRPr="00A53007">
        <w:rPr>
          <w:rFonts w:cs="Arial"/>
          <w:szCs w:val="20"/>
        </w:rPr>
        <w:t>I note</w:t>
      </w:r>
      <w:r w:rsidR="00F879DF" w:rsidRPr="00A53007">
        <w:rPr>
          <w:rFonts w:cs="Arial"/>
          <w:szCs w:val="20"/>
        </w:rPr>
        <w:t>d</w:t>
      </w:r>
      <w:r w:rsidRPr="00A53007">
        <w:rPr>
          <w:rFonts w:cs="Arial"/>
          <w:szCs w:val="20"/>
        </w:rPr>
        <w:t xml:space="preserve"> there are several azelaic acid containing products available in Australia marketed as cosmetics that are used to treat acne and rosacea and claim to reduce inflammation. There is potential for these products to be considered as therapeutic goods due to the nature of such claims.</w:t>
      </w:r>
      <w:r w:rsidRPr="00A53007">
        <w:rPr>
          <w:rStyle w:val="FootnoteReference"/>
          <w:rFonts w:cs="Arial"/>
          <w:szCs w:val="20"/>
        </w:rPr>
        <w:footnoteReference w:id="32"/>
      </w:r>
    </w:p>
    <w:p w14:paraId="776EAADB" w14:textId="2DC06E0E" w:rsidR="009B06CA" w:rsidRPr="00A53007" w:rsidRDefault="009B06CA" w:rsidP="009B06CA">
      <w:pPr>
        <w:rPr>
          <w:rFonts w:cs="Arial"/>
          <w:color w:val="FF0000"/>
          <w:szCs w:val="20"/>
        </w:rPr>
      </w:pPr>
      <w:r w:rsidRPr="00A53007">
        <w:rPr>
          <w:rFonts w:cs="Arial"/>
          <w:szCs w:val="20"/>
        </w:rPr>
        <w:t>New compelling evidence has not been presented that support a lower potential for skin and eye irritation at concentrations less than 10%. I also note</w:t>
      </w:r>
      <w:r w:rsidR="00F879DF" w:rsidRPr="00A53007">
        <w:rPr>
          <w:rFonts w:cs="Arial"/>
          <w:szCs w:val="20"/>
        </w:rPr>
        <w:t>d</w:t>
      </w:r>
      <w:r w:rsidRPr="00A53007">
        <w:rPr>
          <w:rFonts w:cs="Arial"/>
          <w:szCs w:val="20"/>
        </w:rPr>
        <w:t xml:space="preserve"> that in the</w:t>
      </w:r>
      <w:r w:rsidR="005D1558" w:rsidRPr="00A53007">
        <w:rPr>
          <w:rFonts w:cs="Arial"/>
          <w:szCs w:val="20"/>
        </w:rPr>
        <w:t xml:space="preserve"> 2023 Interim Decision</w:t>
      </w:r>
      <w:r w:rsidRPr="00A53007">
        <w:rPr>
          <w:rFonts w:cs="Arial"/>
          <w:szCs w:val="20"/>
        </w:rPr>
        <w:t xml:space="preserve"> the reasons stated that “any future applications to exempt topical azelaic acid at low concentrations, should include evidence to support the cut-off concentrations”. I remain</w:t>
      </w:r>
      <w:r w:rsidR="00F879DF" w:rsidRPr="00A53007">
        <w:rPr>
          <w:rFonts w:cs="Arial"/>
          <w:szCs w:val="20"/>
        </w:rPr>
        <w:t>ed</w:t>
      </w:r>
      <w:r w:rsidRPr="00A53007">
        <w:rPr>
          <w:rFonts w:cs="Arial"/>
          <w:szCs w:val="20"/>
        </w:rPr>
        <w:t xml:space="preserve"> concerned that for products that could be supplied outside a pharmacy environment, with the known potential for azelaic acid to cause skin and eye irritation, that </w:t>
      </w:r>
      <w:r w:rsidR="00894493">
        <w:rPr>
          <w:rFonts w:cs="Arial"/>
          <w:szCs w:val="20"/>
        </w:rPr>
        <w:t xml:space="preserve">a requirement for </w:t>
      </w:r>
      <w:r w:rsidRPr="00A53007">
        <w:rPr>
          <w:rFonts w:cs="Arial"/>
          <w:szCs w:val="20"/>
        </w:rPr>
        <w:t>First Aid Instructions and Safety Directions remain appropriate.</w:t>
      </w:r>
    </w:p>
    <w:p w14:paraId="08C61CCA" w14:textId="4A4AE03C" w:rsidR="00A53007" w:rsidRPr="00894493" w:rsidRDefault="009B06CA">
      <w:pPr>
        <w:rPr>
          <w:rFonts w:cs="Arial"/>
          <w:szCs w:val="20"/>
        </w:rPr>
      </w:pPr>
      <w:r w:rsidRPr="00A53007">
        <w:rPr>
          <w:rFonts w:cs="Arial"/>
          <w:szCs w:val="20"/>
        </w:rPr>
        <w:t>Therefore, I decided to</w:t>
      </w:r>
      <w:r w:rsidR="005D1558" w:rsidRPr="00A53007">
        <w:rPr>
          <w:rFonts w:cs="Arial"/>
          <w:szCs w:val="20"/>
        </w:rPr>
        <w:t xml:space="preserve"> not</w:t>
      </w:r>
      <w:r w:rsidRPr="00A53007">
        <w:rPr>
          <w:rFonts w:cs="Arial"/>
          <w:szCs w:val="20"/>
        </w:rPr>
        <w:t xml:space="preserve"> </w:t>
      </w:r>
      <w:r w:rsidR="005D1558" w:rsidRPr="00A53007">
        <w:rPr>
          <w:rFonts w:cs="Arial"/>
          <w:szCs w:val="20"/>
        </w:rPr>
        <w:t xml:space="preserve">amend the Poisons Standard as proposed by the applicant and to amend the Poisons Standard as per the 2023 Final Decision. </w:t>
      </w:r>
      <w:r w:rsidRPr="00A53007">
        <w:rPr>
          <w:rFonts w:cs="Arial"/>
          <w:szCs w:val="20"/>
        </w:rPr>
        <w:t>The decision to not amend the Poisons Standard as proposed in relation to azelaic acid does not preclude reconsideration of scheduling of azelaic acid, should new information on safety and usage become available.</w:t>
      </w:r>
      <w:r w:rsidR="00A53007">
        <w:br w:type="page"/>
      </w:r>
    </w:p>
    <w:p w14:paraId="3B44FA78" w14:textId="32949287" w:rsidR="007165B1" w:rsidRPr="00BC2009" w:rsidRDefault="007165B1" w:rsidP="007165B1">
      <w:pPr>
        <w:pStyle w:val="Heading2"/>
      </w:pPr>
      <w:bookmarkStart w:id="58" w:name="_Toc178340912"/>
      <w:r>
        <w:lastRenderedPageBreak/>
        <w:t>D</w:t>
      </w:r>
      <w:r w:rsidRPr="00B41852">
        <w:t xml:space="preserve">ecisions to </w:t>
      </w:r>
      <w:r w:rsidR="00440D56">
        <w:t xml:space="preserve">amend </w:t>
      </w:r>
      <w:r w:rsidRPr="00B41852">
        <w:t xml:space="preserve">the current Poisons Standard under </w:t>
      </w:r>
      <w:r>
        <w:t>section 52</w:t>
      </w:r>
      <w:proofErr w:type="gramStart"/>
      <w:r>
        <w:t>D(</w:t>
      </w:r>
      <w:proofErr w:type="gramEnd"/>
      <w:r>
        <w:t>2) of the Act</w:t>
      </w:r>
      <w:bookmarkEnd w:id="58"/>
    </w:p>
    <w:p w14:paraId="38545617" w14:textId="328F72C0" w:rsidR="00084016" w:rsidRDefault="00435E0B" w:rsidP="00084016">
      <w:r w:rsidRPr="00B41852">
        <w:t xml:space="preserve">In my capacity as a delegate of the Secretary for the purpose of </w:t>
      </w:r>
      <w:r w:rsidR="00894493">
        <w:t>subsection 52</w:t>
      </w:r>
      <w:proofErr w:type="gramStart"/>
      <w:r w:rsidR="00894493">
        <w:t>D(</w:t>
      </w:r>
      <w:proofErr w:type="gramEnd"/>
      <w:r w:rsidR="00894493">
        <w:t>2)</w:t>
      </w:r>
      <w:r w:rsidRPr="005F3EA0" w:rsidDel="005F3EA0">
        <w:t xml:space="preserve"> </w:t>
      </w:r>
      <w:r w:rsidRPr="00B41852">
        <w:t xml:space="preserve">of </w:t>
      </w:r>
      <w:r>
        <w:t xml:space="preserve">the </w:t>
      </w:r>
      <w:r w:rsidR="00894493">
        <w:t>Act</w:t>
      </w:r>
      <w:r w:rsidRPr="00B41852">
        <w:t>, I have made final decisions with respec</w:t>
      </w:r>
      <w:r>
        <w:t>t to the following substances</w:t>
      </w:r>
      <w:r w:rsidR="00894493">
        <w:t>:</w:t>
      </w:r>
    </w:p>
    <w:p w14:paraId="317F7E97" w14:textId="7D501CE2" w:rsidR="00084016" w:rsidRDefault="00084016" w:rsidP="00D64077">
      <w:pPr>
        <w:pStyle w:val="ListParagraph"/>
        <w:numPr>
          <w:ilvl w:val="0"/>
          <w:numId w:val="22"/>
        </w:numPr>
        <w:spacing w:before="120"/>
        <w:ind w:left="714" w:hanging="357"/>
        <w:contextualSpacing w:val="0"/>
      </w:pPr>
      <w:proofErr w:type="spellStart"/>
      <w:r>
        <w:t>Thiafen</w:t>
      </w:r>
      <w:r w:rsidR="00435E0B">
        <w:t>t</w:t>
      </w:r>
      <w:r>
        <w:t>anil</w:t>
      </w:r>
      <w:proofErr w:type="spellEnd"/>
    </w:p>
    <w:p w14:paraId="23D13C96" w14:textId="33D0DE0F" w:rsidR="00084016" w:rsidRDefault="00084016" w:rsidP="00D64077">
      <w:pPr>
        <w:pStyle w:val="ListParagraph"/>
        <w:numPr>
          <w:ilvl w:val="0"/>
          <w:numId w:val="22"/>
        </w:numPr>
        <w:spacing w:before="120"/>
        <w:ind w:left="714" w:hanging="357"/>
        <w:contextualSpacing w:val="0"/>
      </w:pPr>
      <w:proofErr w:type="spellStart"/>
      <w:r>
        <w:t>Phenidine</w:t>
      </w:r>
      <w:proofErr w:type="spellEnd"/>
    </w:p>
    <w:p w14:paraId="7A98F0D9" w14:textId="77777777" w:rsidR="00084016" w:rsidRDefault="00084016" w:rsidP="00D64077">
      <w:pPr>
        <w:pStyle w:val="ListParagraph"/>
        <w:numPr>
          <w:ilvl w:val="0"/>
          <w:numId w:val="22"/>
        </w:numPr>
        <w:spacing w:before="120"/>
        <w:ind w:left="714" w:hanging="357"/>
        <w:contextualSpacing w:val="0"/>
      </w:pPr>
      <w:r>
        <w:t>Carbendazim</w:t>
      </w:r>
    </w:p>
    <w:p w14:paraId="73905D40" w14:textId="4FF4BA39" w:rsidR="005951C6" w:rsidRPr="005C7593" w:rsidRDefault="005951C6" w:rsidP="00D64077">
      <w:pPr>
        <w:pStyle w:val="Heading3"/>
      </w:pPr>
      <w:bookmarkStart w:id="59" w:name="_Toc178340913"/>
      <w:r>
        <w:t>D</w:t>
      </w:r>
      <w:r w:rsidRPr="005C7593">
        <w:t xml:space="preserve">ecision in relation to </w:t>
      </w:r>
      <w:proofErr w:type="spellStart"/>
      <w:r w:rsidRPr="005C7593">
        <w:t>thiafentan</w:t>
      </w:r>
      <w:r>
        <w:t>i</w:t>
      </w:r>
      <w:r w:rsidRPr="005C7593">
        <w:t>l</w:t>
      </w:r>
      <w:bookmarkEnd w:id="59"/>
      <w:proofErr w:type="spellEnd"/>
    </w:p>
    <w:p w14:paraId="7EEFA946" w14:textId="77777777" w:rsidR="005B7A98" w:rsidRDefault="005B7A98" w:rsidP="005B7A98">
      <w:pPr>
        <w:pStyle w:val="Heading4"/>
      </w:pPr>
      <w:r>
        <w:t>Decision</w:t>
      </w:r>
    </w:p>
    <w:p w14:paraId="5915ED27" w14:textId="52CAE688" w:rsidR="00435E0B" w:rsidRDefault="00435E0B" w:rsidP="00435E0B">
      <w:r>
        <w:t>Pursuant to section 52</w:t>
      </w:r>
      <w:proofErr w:type="gramStart"/>
      <w:r>
        <w:t>D(</w:t>
      </w:r>
      <w:proofErr w:type="gramEnd"/>
      <w:r>
        <w:t xml:space="preserve">2) of the Act, a Delegate of the Secretary has made a decision to amend the current Poisons Standard in relation to </w:t>
      </w:r>
      <w:proofErr w:type="spellStart"/>
      <w:r w:rsidR="00362FE7">
        <w:t>thiafentanil</w:t>
      </w:r>
      <w:proofErr w:type="spellEnd"/>
      <w:r>
        <w:t xml:space="preserve"> as follows:</w:t>
      </w:r>
      <w:r>
        <w:rPr>
          <w:rStyle w:val="FootnoteReference"/>
        </w:rPr>
        <w:footnoteReference w:id="33"/>
      </w:r>
    </w:p>
    <w:p w14:paraId="7E6F2B80" w14:textId="69D35686" w:rsidR="00D64077" w:rsidRPr="00831400" w:rsidRDefault="00D64077" w:rsidP="00D64077">
      <w:pPr>
        <w:ind w:left="426"/>
        <w:rPr>
          <w:rFonts w:cstheme="minorHAnsi"/>
          <w:b/>
          <w:color w:val="auto"/>
        </w:rPr>
      </w:pPr>
      <w:r w:rsidRPr="00831400">
        <w:rPr>
          <w:rFonts w:cstheme="minorHAnsi"/>
          <w:b/>
          <w:color w:val="auto"/>
        </w:rPr>
        <w:t xml:space="preserve">Schedule </w:t>
      </w:r>
      <w:r>
        <w:rPr>
          <w:rFonts w:cstheme="minorHAnsi"/>
          <w:b/>
          <w:color w:val="auto"/>
        </w:rPr>
        <w:t>8</w:t>
      </w:r>
      <w:r w:rsidRPr="00831400">
        <w:rPr>
          <w:rFonts w:cstheme="minorHAnsi"/>
          <w:b/>
          <w:color w:val="auto"/>
        </w:rPr>
        <w:t xml:space="preserve"> – New Entry</w:t>
      </w:r>
    </w:p>
    <w:p w14:paraId="09E4C221" w14:textId="6504BF43" w:rsidR="00D64077" w:rsidRPr="00831400" w:rsidRDefault="00D64077" w:rsidP="00D64077">
      <w:pPr>
        <w:ind w:firstLine="709"/>
        <w:rPr>
          <w:rFonts w:cstheme="minorHAnsi"/>
          <w:strike/>
          <w:color w:val="FF0000"/>
          <w:u w:val="single"/>
        </w:rPr>
      </w:pPr>
      <w:r>
        <w:rPr>
          <w:rFonts w:cstheme="minorHAnsi"/>
          <w:color w:val="00B050"/>
          <w:u w:val="single"/>
        </w:rPr>
        <w:t>THIAFENTANIL</w:t>
      </w:r>
    </w:p>
    <w:p w14:paraId="27F82828" w14:textId="77777777" w:rsidR="00D64077" w:rsidRPr="00831400" w:rsidRDefault="00D64077" w:rsidP="00D64077">
      <w:pPr>
        <w:ind w:left="426"/>
        <w:rPr>
          <w:rFonts w:cstheme="minorHAnsi"/>
          <w:b/>
          <w:color w:val="auto"/>
        </w:rPr>
      </w:pPr>
      <w:r w:rsidRPr="00831400">
        <w:rPr>
          <w:rFonts w:cstheme="minorHAnsi"/>
          <w:b/>
          <w:color w:val="auto"/>
        </w:rPr>
        <w:t>Index – New Entry</w:t>
      </w:r>
    </w:p>
    <w:p w14:paraId="76295AE6" w14:textId="3AD3627B" w:rsidR="00D64077" w:rsidRPr="00D64077" w:rsidRDefault="00D64077" w:rsidP="00D64077">
      <w:pPr>
        <w:spacing w:after="0"/>
        <w:ind w:firstLine="709"/>
        <w:rPr>
          <w:rFonts w:cstheme="minorHAnsi"/>
          <w:color w:val="00B050"/>
          <w:u w:val="single"/>
        </w:rPr>
      </w:pPr>
      <w:r>
        <w:rPr>
          <w:rFonts w:cstheme="minorHAnsi"/>
          <w:color w:val="00B050"/>
          <w:u w:val="single"/>
        </w:rPr>
        <w:t>THIAFENTANIL</w:t>
      </w:r>
    </w:p>
    <w:p w14:paraId="2B9117A0" w14:textId="785796A6" w:rsidR="00D64077" w:rsidRPr="00831400" w:rsidRDefault="00D64077" w:rsidP="00D64077">
      <w:pPr>
        <w:ind w:firstLine="709"/>
        <w:rPr>
          <w:rFonts w:cstheme="minorHAnsi"/>
          <w:strike/>
          <w:color w:val="FF0000"/>
        </w:rPr>
      </w:pPr>
      <w:r w:rsidRPr="00831400">
        <w:rPr>
          <w:rFonts w:cstheme="minorHAnsi"/>
          <w:color w:val="00B050"/>
          <w:u w:val="single"/>
        </w:rPr>
        <w:t xml:space="preserve">Schedule </w:t>
      </w:r>
      <w:r>
        <w:rPr>
          <w:rFonts w:cstheme="minorHAnsi"/>
          <w:color w:val="00B050"/>
          <w:u w:val="single"/>
        </w:rPr>
        <w:t>8</w:t>
      </w:r>
    </w:p>
    <w:p w14:paraId="75FCF5EE" w14:textId="523E31BE" w:rsidR="00D64077" w:rsidRPr="00BB34CD" w:rsidRDefault="00D64077" w:rsidP="00D64077">
      <w:pPr>
        <w:pStyle w:val="Heading4"/>
      </w:pPr>
      <w:r w:rsidRPr="00BB34CD">
        <w:t>Materials considered</w:t>
      </w:r>
    </w:p>
    <w:p w14:paraId="0473ABD1" w14:textId="77777777" w:rsidR="00D64077" w:rsidRDefault="00D64077" w:rsidP="00D64077">
      <w:r>
        <w:t>In making this final decision, the Delegate considered the following material:</w:t>
      </w:r>
    </w:p>
    <w:p w14:paraId="7CC88B00" w14:textId="37072D0D" w:rsidR="00D64077" w:rsidRDefault="00D64077" w:rsidP="00D64077">
      <w:pPr>
        <w:pStyle w:val="ListBullet"/>
      </w:pPr>
      <w:r w:rsidRPr="001169AC">
        <w:t xml:space="preserve">Subsection 52E(1) of </w:t>
      </w:r>
      <w:r w:rsidRPr="001169AC">
        <w:rPr>
          <w:i/>
        </w:rPr>
        <w:t>the Therapeutic Goods Act 1989</w:t>
      </w:r>
      <w:r w:rsidRPr="001169AC">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 </w:t>
      </w:r>
    </w:p>
    <w:p w14:paraId="34897038" w14:textId="77777777" w:rsidR="00D64077" w:rsidRDefault="00D64077" w:rsidP="00D64077">
      <w:pPr>
        <w:pStyle w:val="ListBullet"/>
      </w:pPr>
      <w:r>
        <w:t xml:space="preserve">Pursuant to paragraph 52E(2)(a) of the Act, the SPF, </w:t>
      </w:r>
      <w:r w:rsidRPr="00D64077">
        <w:t>and</w:t>
      </w:r>
    </w:p>
    <w:p w14:paraId="5D7EF670" w14:textId="60140017" w:rsidR="00D64077" w:rsidRDefault="00D64077" w:rsidP="00D64077">
      <w:pPr>
        <w:pStyle w:val="ListBullet"/>
      </w:pPr>
      <w:r>
        <w:t>The Handbook.</w:t>
      </w:r>
    </w:p>
    <w:p w14:paraId="6AC118F3" w14:textId="0CE7228F" w:rsidR="00D64077" w:rsidRPr="00300CBB" w:rsidRDefault="00D64077" w:rsidP="00D64077">
      <w:pPr>
        <w:pStyle w:val="Heading4"/>
      </w:pPr>
      <w:r w:rsidRPr="00300CBB">
        <w:t>Reasons for the decision (including findings on material questions of fact)</w:t>
      </w:r>
    </w:p>
    <w:p w14:paraId="4AFDCEC9" w14:textId="2F1D00E1" w:rsidR="00D64077" w:rsidRDefault="00D64077" w:rsidP="00D64077">
      <w:r>
        <w:t>In exercising my power under section 52</w:t>
      </w:r>
      <w:proofErr w:type="gramStart"/>
      <w:r>
        <w:t>D(</w:t>
      </w:r>
      <w:proofErr w:type="gramEnd"/>
      <w:r>
        <w:t xml:space="preserve">2) of the Act, I have taken into account the information provided in the materials listed above. I have </w:t>
      </w:r>
      <w:proofErr w:type="gramStart"/>
      <w:r>
        <w:t>made a decision</w:t>
      </w:r>
      <w:proofErr w:type="gramEnd"/>
      <w:r>
        <w:t xml:space="preserve"> to amend the current the Poisons Standard to create a new entry for </w:t>
      </w:r>
      <w:proofErr w:type="spellStart"/>
      <w:r>
        <w:t>thiafentanil</w:t>
      </w:r>
      <w:proofErr w:type="spellEnd"/>
      <w:r>
        <w:t xml:space="preserve"> under Controlled drugs (Schedule 8).</w:t>
      </w:r>
      <w:r w:rsidR="00934FDF">
        <w:t xml:space="preserve"> T</w:t>
      </w:r>
      <w:r w:rsidR="00934FDF" w:rsidRPr="008B1EEA">
        <w:t xml:space="preserve">his amendment was not referred to an expert advisory committee for </w:t>
      </w:r>
      <w:r w:rsidR="00E82526">
        <w:t>its</w:t>
      </w:r>
      <w:r w:rsidR="00934FDF" w:rsidRPr="008B1EEA">
        <w:t xml:space="preserve"> advice.</w:t>
      </w:r>
    </w:p>
    <w:p w14:paraId="080FE0F9" w14:textId="69137C99" w:rsidR="005951C6" w:rsidRDefault="005951C6" w:rsidP="005951C6">
      <w:proofErr w:type="spellStart"/>
      <w:r>
        <w:t>Thiafentanil</w:t>
      </w:r>
      <w:proofErr w:type="spellEnd"/>
      <w:r>
        <w:t xml:space="preserve"> (CAS No. </w:t>
      </w:r>
      <w:r w:rsidRPr="00C81F8B">
        <w:t>101345-60-2</w:t>
      </w:r>
      <w:r w:rsidR="00D64077">
        <w:t xml:space="preserve">; not be confused with </w:t>
      </w:r>
      <w:proofErr w:type="spellStart"/>
      <w:r w:rsidR="00D64077" w:rsidRPr="00D64077">
        <w:t>thiofentanyl</w:t>
      </w:r>
      <w:proofErr w:type="spellEnd"/>
      <w:r w:rsidRPr="00D64077">
        <w:t>)</w:t>
      </w:r>
      <w:r w:rsidRPr="005C7593">
        <w:t xml:space="preserve"> is an ultra-potent opioid used internationally</w:t>
      </w:r>
      <w:r>
        <w:t xml:space="preserve">. </w:t>
      </w:r>
      <w:r w:rsidR="00E05749">
        <w:t>It</w:t>
      </w:r>
      <w:r w:rsidR="00E05749" w:rsidRPr="005C7593">
        <w:t xml:space="preserve"> </w:t>
      </w:r>
      <w:r w:rsidR="00E05749">
        <w:t xml:space="preserve">is available as </w:t>
      </w:r>
      <w:r w:rsidR="00E05749" w:rsidRPr="005C7593">
        <w:t>an intramuscular injection to immobilise certain minor species of hoof stock</w:t>
      </w:r>
      <w:r w:rsidR="00E05749">
        <w:t xml:space="preserve">, </w:t>
      </w:r>
      <w:r w:rsidR="00E05749" w:rsidRPr="005C7593">
        <w:t>exclud</w:t>
      </w:r>
      <w:r w:rsidR="00E05749">
        <w:t>ing</w:t>
      </w:r>
      <w:r w:rsidR="00E05749" w:rsidRPr="005C7593">
        <w:t xml:space="preserve"> </w:t>
      </w:r>
      <w:r w:rsidR="00E05749">
        <w:t xml:space="preserve">minor species that are </w:t>
      </w:r>
      <w:r w:rsidR="00E05749" w:rsidRPr="005C7593">
        <w:t>food</w:t>
      </w:r>
      <w:r w:rsidR="00E05749">
        <w:t xml:space="preserve"> </w:t>
      </w:r>
      <w:r w:rsidR="00E05749" w:rsidRPr="005C7593">
        <w:t xml:space="preserve">producing </w:t>
      </w:r>
      <w:r w:rsidR="00E05749">
        <w:t xml:space="preserve">or </w:t>
      </w:r>
      <w:r w:rsidR="00E05749" w:rsidRPr="005C7593">
        <w:t xml:space="preserve">may become eligible for consumption by </w:t>
      </w:r>
      <w:r w:rsidR="00E05749" w:rsidRPr="005C7593">
        <w:lastRenderedPageBreak/>
        <w:t>humans.</w:t>
      </w:r>
      <w:bookmarkStart w:id="60" w:name="_Ref164708081"/>
      <w:r w:rsidR="00E05749" w:rsidRPr="005C7593">
        <w:rPr>
          <w:vertAlign w:val="superscript"/>
        </w:rPr>
        <w:footnoteReference w:id="34"/>
      </w:r>
      <w:bookmarkEnd w:id="60"/>
      <w:r w:rsidRPr="005C7593">
        <w:t xml:space="preserve"> There have been reports in Australia of veterinarians importing </w:t>
      </w:r>
      <w:proofErr w:type="spellStart"/>
      <w:r w:rsidRPr="005C7593">
        <w:t>thiafentanil</w:t>
      </w:r>
      <w:proofErr w:type="spellEnd"/>
      <w:r w:rsidRPr="005C7593">
        <w:t xml:space="preserve"> for this purpose</w:t>
      </w:r>
      <w:r>
        <w:t xml:space="preserve"> with</w:t>
      </w:r>
      <w:r w:rsidRPr="005C7593">
        <w:t xml:space="preserve"> uncertainty in relation to its scheduling status in Australia</w:t>
      </w:r>
      <w:r>
        <w:t>.</w:t>
      </w:r>
      <w:r w:rsidR="00E05749">
        <w:t xml:space="preserve"> </w:t>
      </w:r>
      <w:r w:rsidRPr="005C7593">
        <w:t xml:space="preserve">I note there has been uncertainty in relation to its scheduling status in Australia as </w:t>
      </w:r>
      <w:proofErr w:type="spellStart"/>
      <w:r>
        <w:t>thiafentanyil</w:t>
      </w:r>
      <w:proofErr w:type="spellEnd"/>
      <w:r w:rsidRPr="005C7593">
        <w:t xml:space="preserve"> is not explicitly listed in</w:t>
      </w:r>
      <w:r>
        <w:t xml:space="preserve"> </w:t>
      </w:r>
      <w:r w:rsidRPr="005C7593">
        <w:t>the Poisons Standard.</w:t>
      </w:r>
    </w:p>
    <w:p w14:paraId="16317329" w14:textId="29581C33" w:rsidR="005951C6" w:rsidRDefault="005951C6" w:rsidP="005951C6">
      <w:r w:rsidRPr="005C7593">
        <w:t xml:space="preserve">In relation to s 52E(a) of the Act, there is literature to support the use of </w:t>
      </w:r>
      <w:proofErr w:type="spellStart"/>
      <w:r w:rsidRPr="005C7593">
        <w:t>thiafentanil</w:t>
      </w:r>
      <w:proofErr w:type="spellEnd"/>
      <w:r w:rsidRPr="005C7593">
        <w:t xml:space="preserve"> for immobilising </w:t>
      </w:r>
      <w:r w:rsidR="00E05749">
        <w:t xml:space="preserve">certain </w:t>
      </w:r>
      <w:r w:rsidRPr="005C7593">
        <w:t>hoof stock.</w:t>
      </w:r>
      <w:r w:rsidRPr="005C7593">
        <w:rPr>
          <w:vertAlign w:val="superscript"/>
        </w:rPr>
        <w:footnoteReference w:id="35"/>
      </w:r>
      <w:r w:rsidRPr="005C7593">
        <w:rPr>
          <w:vertAlign w:val="superscript"/>
        </w:rPr>
        <w:t>,</w:t>
      </w:r>
      <w:r w:rsidRPr="005C7593">
        <w:rPr>
          <w:vertAlign w:val="superscript"/>
        </w:rPr>
        <w:footnoteReference w:id="36"/>
      </w:r>
      <w:r w:rsidRPr="005C7593">
        <w:rPr>
          <w:vertAlign w:val="superscript"/>
        </w:rPr>
        <w:t>,</w:t>
      </w:r>
      <w:r w:rsidRPr="005C7593">
        <w:rPr>
          <w:vertAlign w:val="superscript"/>
        </w:rPr>
        <w:footnoteReference w:id="37"/>
      </w:r>
      <w:r w:rsidRPr="005C7593">
        <w:rPr>
          <w:vertAlign w:val="superscript"/>
        </w:rPr>
        <w:t>,</w:t>
      </w:r>
      <w:r w:rsidRPr="005C7593">
        <w:rPr>
          <w:vertAlign w:val="superscript"/>
        </w:rPr>
        <w:footnoteReference w:id="38"/>
      </w:r>
      <w:r w:rsidRPr="005C7593">
        <w:rPr>
          <w:vertAlign w:val="superscript"/>
        </w:rPr>
        <w:t>,</w:t>
      </w:r>
      <w:r w:rsidRPr="005C7593">
        <w:rPr>
          <w:vertAlign w:val="superscript"/>
        </w:rPr>
        <w:footnoteReference w:id="39"/>
      </w:r>
      <w:r w:rsidRPr="005C7593">
        <w:rPr>
          <w:vertAlign w:val="superscript"/>
        </w:rPr>
        <w:t>,</w:t>
      </w:r>
      <w:r w:rsidRPr="005C7593">
        <w:rPr>
          <w:vertAlign w:val="superscript"/>
        </w:rPr>
        <w:footnoteReference w:id="40"/>
      </w:r>
      <w:r w:rsidRPr="005C7593">
        <w:t xml:space="preserve"> The use of </w:t>
      </w:r>
      <w:proofErr w:type="spellStart"/>
      <w:r>
        <w:t>thiafentanyil</w:t>
      </w:r>
      <w:proofErr w:type="spellEnd"/>
      <w:r w:rsidRPr="005C7593">
        <w:t xml:space="preserve"> for this purpose provides specific benefits</w:t>
      </w:r>
      <w:r>
        <w:t>,</w:t>
      </w:r>
      <w:r w:rsidRPr="005C7593">
        <w:t xml:space="preserve"> including a shorter duration of action and fewer cardiopulmonary depressant effects compared to </w:t>
      </w:r>
      <w:proofErr w:type="spellStart"/>
      <w:r w:rsidRPr="005C7593">
        <w:t>carfentanyl</w:t>
      </w:r>
      <w:proofErr w:type="spellEnd"/>
      <w:r w:rsidRPr="005C7593">
        <w:t xml:space="preserve">, which is used for the same purpose and is listed as a </w:t>
      </w:r>
      <w:r w:rsidR="00E82526">
        <w:t>Controlled drug (</w:t>
      </w:r>
      <w:r w:rsidRPr="005C7593">
        <w:t>Schedule 8</w:t>
      </w:r>
      <w:r w:rsidR="00E82526">
        <w:t>)</w:t>
      </w:r>
      <w:r w:rsidRPr="005C7593">
        <w:t xml:space="preserve"> substance in the Poisons Standard.</w:t>
      </w:r>
    </w:p>
    <w:p w14:paraId="021BBB2C" w14:textId="60E9A46A" w:rsidR="005951C6" w:rsidRPr="005C7593" w:rsidRDefault="005951C6" w:rsidP="005951C6">
      <w:proofErr w:type="spellStart"/>
      <w:r w:rsidRPr="005C7593">
        <w:t>Thiafentan</w:t>
      </w:r>
      <w:r>
        <w:t>i</w:t>
      </w:r>
      <w:r w:rsidRPr="005C7593">
        <w:t>l</w:t>
      </w:r>
      <w:proofErr w:type="spellEnd"/>
      <w:r w:rsidRPr="005C7593">
        <w:t xml:space="preserve"> and </w:t>
      </w:r>
      <w:proofErr w:type="spellStart"/>
      <w:r w:rsidRPr="005C7593">
        <w:t>carfentanyl</w:t>
      </w:r>
      <w:proofErr w:type="spellEnd"/>
      <w:r w:rsidRPr="005C7593">
        <w:t xml:space="preserve"> share a similar chemical structure.</w:t>
      </w:r>
      <w:bookmarkStart w:id="61" w:name="_Ref164707352"/>
      <w:r w:rsidRPr="005C7593">
        <w:rPr>
          <w:vertAlign w:val="superscript"/>
        </w:rPr>
        <w:footnoteReference w:id="41"/>
      </w:r>
      <w:r w:rsidRPr="005C7593">
        <w:rPr>
          <w:vertAlign w:val="superscript"/>
        </w:rPr>
        <w:t>,</w:t>
      </w:r>
      <w:r w:rsidRPr="005C7593">
        <w:rPr>
          <w:vertAlign w:val="superscript"/>
        </w:rPr>
        <w:footnoteReference w:id="42"/>
      </w:r>
      <w:bookmarkEnd w:id="61"/>
      <w:r w:rsidRPr="005C7593">
        <w:t xml:space="preserve"> While their effects can be reversed using an opioid antagonist such as naloxone, both substances are several thousand times more potent than morphine and there is a very high risk of overdose and potential for misuse, abuse, or illicit use. </w:t>
      </w:r>
      <w:r>
        <w:t xml:space="preserve">A review by the Department of Health and Human Services in the United States indicated </w:t>
      </w:r>
      <w:proofErr w:type="spellStart"/>
      <w:r>
        <w:t>thiafentanil</w:t>
      </w:r>
      <w:proofErr w:type="spellEnd"/>
      <w:r>
        <w:t xml:space="preserve"> presents a significant risk to public health and should only be used in certain animals for very limited purposed and with extreme caution. The United States Drug Enforcement Administration has classified </w:t>
      </w:r>
      <w:proofErr w:type="spellStart"/>
      <w:r>
        <w:t>thiafentanil</w:t>
      </w:r>
      <w:proofErr w:type="spellEnd"/>
      <w:r>
        <w:t xml:space="preserve"> as a Schedule II substance (dangerous substances considered to have high potential for abuse with the potential to cause dependence).</w:t>
      </w:r>
      <w:r>
        <w:rPr>
          <w:rStyle w:val="FootnoteReference"/>
        </w:rPr>
        <w:footnoteReference w:id="43"/>
      </w:r>
    </w:p>
    <w:p w14:paraId="7CE84133" w14:textId="1074E72B" w:rsidR="005951C6" w:rsidRDefault="005951C6" w:rsidP="005951C6">
      <w:r w:rsidRPr="005C7593">
        <w:t xml:space="preserve">In accordance with s 52E(a) of the Act, I acknowledge the very high risks associated with </w:t>
      </w:r>
      <w:proofErr w:type="spellStart"/>
      <w:r w:rsidRPr="005C7593">
        <w:t>thiafentan</w:t>
      </w:r>
      <w:r>
        <w:t>i</w:t>
      </w:r>
      <w:r w:rsidRPr="005C7593">
        <w:t>l</w:t>
      </w:r>
      <w:proofErr w:type="spellEnd"/>
      <w:r w:rsidRPr="005C7593">
        <w:t xml:space="preserve"> exposure in humans. </w:t>
      </w:r>
      <w:r>
        <w:t>It</w:t>
      </w:r>
      <w:r w:rsidRPr="005C7593">
        <w:t xml:space="preserve"> should only be applied by trained zoologic, wildlife, or exotic animal veterinarians or field biologists supervised by veterinarians.</w:t>
      </w:r>
      <w:r>
        <w:t xml:space="preserve"> While </w:t>
      </w:r>
      <w:proofErr w:type="spellStart"/>
      <w:r>
        <w:t>t</w:t>
      </w:r>
      <w:r w:rsidRPr="005C7593">
        <w:t>hiafentan</w:t>
      </w:r>
      <w:r>
        <w:t>i</w:t>
      </w:r>
      <w:r w:rsidRPr="005C7593">
        <w:t>l</w:t>
      </w:r>
      <w:proofErr w:type="spellEnd"/>
      <w:r w:rsidRPr="005C7593">
        <w:t xml:space="preserve"> has a wide margin of safety for the target species </w:t>
      </w:r>
      <w:r>
        <w:t xml:space="preserve">when </w:t>
      </w:r>
      <w:r w:rsidRPr="005C7593">
        <w:t>dosed and applied appropriately</w:t>
      </w:r>
      <w:r>
        <w:t>,</w:t>
      </w:r>
      <w:r w:rsidR="00E05749">
        <w:rPr>
          <w:rStyle w:val="FootnoteReference"/>
        </w:rPr>
        <w:footnoteReference w:id="44"/>
      </w:r>
      <w:r>
        <w:t xml:space="preserve"> i</w:t>
      </w:r>
      <w:r w:rsidRPr="005C7593">
        <w:t>ntroduction of the drug into the human or animal food chain should be avoided.</w:t>
      </w:r>
    </w:p>
    <w:p w14:paraId="751A46E6" w14:textId="02D55C15" w:rsidR="005951C6" w:rsidRDefault="005951C6" w:rsidP="005951C6">
      <w:r>
        <w:t xml:space="preserve">Safety precautions include use of personal protective equipment </w:t>
      </w:r>
      <w:r w:rsidR="00E82526">
        <w:t xml:space="preserve">and </w:t>
      </w:r>
      <w:r>
        <w:t xml:space="preserve">working in pairs with </w:t>
      </w:r>
      <w:r w:rsidRPr="005C7593">
        <w:t>a second person also knowledgeable about the hazards of working with ultra potent opioids</w:t>
      </w:r>
      <w:r>
        <w:t>. U</w:t>
      </w:r>
      <w:r w:rsidRPr="005C7593">
        <w:t xml:space="preserve">sed needles and syringes contaminated with </w:t>
      </w:r>
      <w:proofErr w:type="spellStart"/>
      <w:r>
        <w:t>thiafentanil</w:t>
      </w:r>
      <w:proofErr w:type="spellEnd"/>
      <w:r w:rsidRPr="005C7593">
        <w:t xml:space="preserve"> should </w:t>
      </w:r>
      <w:r>
        <w:t xml:space="preserve">also </w:t>
      </w:r>
      <w:r w:rsidRPr="005C7593">
        <w:t>be secured and disposed of in a safe manner.</w:t>
      </w:r>
    </w:p>
    <w:p w14:paraId="0C1EE2C3" w14:textId="7E1F921E" w:rsidR="005951C6" w:rsidRDefault="005951C6" w:rsidP="005951C6">
      <w:r>
        <w:t>Based on the available information</w:t>
      </w:r>
      <w:r w:rsidRPr="005C7593">
        <w:t xml:space="preserve"> </w:t>
      </w:r>
      <w:proofErr w:type="spellStart"/>
      <w:r w:rsidRPr="005C7593">
        <w:t>thiafentan</w:t>
      </w:r>
      <w:r>
        <w:t>i</w:t>
      </w:r>
      <w:r w:rsidRPr="005C7593">
        <w:t>l</w:t>
      </w:r>
      <w:proofErr w:type="spellEnd"/>
      <w:r w:rsidRPr="005C7593">
        <w:t xml:space="preserve"> is expected to </w:t>
      </w:r>
      <w:proofErr w:type="spellStart"/>
      <w:proofErr w:type="gramStart"/>
      <w:r>
        <w:t>used</w:t>
      </w:r>
      <w:proofErr w:type="spellEnd"/>
      <w:proofErr w:type="gramEnd"/>
      <w:r w:rsidRPr="005C7593">
        <w:t xml:space="preserve"> by highly specialised and experienced veterinarians in specific settings</w:t>
      </w:r>
      <w:r>
        <w:t xml:space="preserve">. Veterinarians operating in zoo environments are knowledgeable, highly competent and experienced professionals who are aware of the serious health consequences of </w:t>
      </w:r>
      <w:proofErr w:type="spellStart"/>
      <w:r>
        <w:t>thiafentanil</w:t>
      </w:r>
      <w:proofErr w:type="spellEnd"/>
      <w:r w:rsidRPr="000C3A5C">
        <w:t xml:space="preserve"> </w:t>
      </w:r>
      <w:r>
        <w:t xml:space="preserve">exposure. I am not aware of any incidents in Australia where a specialised user of </w:t>
      </w:r>
      <w:proofErr w:type="spellStart"/>
      <w:r>
        <w:t>thiafentanil</w:t>
      </w:r>
      <w:proofErr w:type="spellEnd"/>
      <w:r>
        <w:t xml:space="preserve"> has been harmed.</w:t>
      </w:r>
      <w:r w:rsidRPr="005C7593">
        <w:t xml:space="preserve"> I am satisfied these veterinarians will </w:t>
      </w:r>
      <w:r>
        <w:t>abide by</w:t>
      </w:r>
      <w:r w:rsidRPr="005C7593">
        <w:t xml:space="preserve"> the required </w:t>
      </w:r>
      <w:r>
        <w:t xml:space="preserve">processes </w:t>
      </w:r>
      <w:r w:rsidRPr="005C7593">
        <w:t xml:space="preserve">when handling </w:t>
      </w:r>
      <w:proofErr w:type="spellStart"/>
      <w:r>
        <w:t>thiafentanil</w:t>
      </w:r>
      <w:proofErr w:type="spellEnd"/>
      <w:r>
        <w:t xml:space="preserve">. Introduction in human or animal food chain is not an issue </w:t>
      </w:r>
      <w:r w:rsidRPr="005C7593">
        <w:t>with zoological animals.</w:t>
      </w:r>
    </w:p>
    <w:p w14:paraId="72D4046A" w14:textId="5EB0E781" w:rsidR="00543F1A" w:rsidRDefault="005951C6" w:rsidP="005951C6">
      <w:r w:rsidRPr="005C7593">
        <w:t xml:space="preserve">Since </w:t>
      </w:r>
      <w:proofErr w:type="spellStart"/>
      <w:r w:rsidRPr="005C7593">
        <w:t>thiafentanil</w:t>
      </w:r>
      <w:proofErr w:type="spellEnd"/>
      <w:r w:rsidRPr="005C7593">
        <w:t xml:space="preserve"> has therapeutic value and its risks can be appropriately managed in the circumstances in which it is expected to be used, I have decided to explicitly list </w:t>
      </w:r>
      <w:proofErr w:type="spellStart"/>
      <w:r w:rsidRPr="005C7593">
        <w:t>thiafentan</w:t>
      </w:r>
      <w:r>
        <w:t>i</w:t>
      </w:r>
      <w:r w:rsidRPr="005C7593">
        <w:t>l</w:t>
      </w:r>
      <w:proofErr w:type="spellEnd"/>
      <w:r w:rsidRPr="005C7593">
        <w:t xml:space="preserve"> </w:t>
      </w:r>
      <w:r>
        <w:t>as a Controlled drug (</w:t>
      </w:r>
      <w:r w:rsidRPr="005C7593">
        <w:t>Schedule 8</w:t>
      </w:r>
      <w:r>
        <w:t>)</w:t>
      </w:r>
      <w:r w:rsidRPr="005C7593">
        <w:t xml:space="preserve"> of the Poisons Standard.</w:t>
      </w:r>
    </w:p>
    <w:p w14:paraId="0AA648EE" w14:textId="343E8727" w:rsidR="00932395" w:rsidRPr="00300CBB" w:rsidRDefault="00932395" w:rsidP="00932395">
      <w:pPr>
        <w:pStyle w:val="Heading4"/>
      </w:pPr>
      <w:r w:rsidRPr="00300CBB">
        <w:lastRenderedPageBreak/>
        <w:t>Implementation date</w:t>
      </w:r>
    </w:p>
    <w:p w14:paraId="28488830" w14:textId="77777777" w:rsidR="00932395" w:rsidRDefault="00932395" w:rsidP="00932395">
      <w:pPr>
        <w:rPr>
          <w:rFonts w:eastAsia="Times New Roman" w:cs="Times New Roman"/>
          <w:b/>
          <w:bCs/>
          <w:color w:val="001871"/>
          <w:sz w:val="32"/>
          <w:szCs w:val="32"/>
        </w:rPr>
      </w:pPr>
      <w:r>
        <w:t>1 October 2024</w:t>
      </w:r>
    </w:p>
    <w:p w14:paraId="7F1C7496" w14:textId="0B0677B1" w:rsidR="00543F1A" w:rsidRDefault="00543F1A" w:rsidP="00932395">
      <w:pPr>
        <w:pStyle w:val="Heading3"/>
      </w:pPr>
      <w:bookmarkStart w:id="62" w:name="_Toc178340914"/>
      <w:r>
        <w:t>D</w:t>
      </w:r>
      <w:r w:rsidRPr="005C7593">
        <w:t xml:space="preserve">ecision in relation to </w:t>
      </w:r>
      <w:proofErr w:type="spellStart"/>
      <w:r>
        <w:t>phenidines</w:t>
      </w:r>
      <w:bookmarkEnd w:id="62"/>
      <w:proofErr w:type="spellEnd"/>
    </w:p>
    <w:p w14:paraId="6391B423" w14:textId="032C771C" w:rsidR="005B7A98" w:rsidRDefault="005B7A98" w:rsidP="005B7A98">
      <w:pPr>
        <w:pStyle w:val="Heading4"/>
      </w:pPr>
      <w:r>
        <w:t>Decision</w:t>
      </w:r>
      <w:bookmarkStart w:id="63" w:name="_Hlk177045553"/>
    </w:p>
    <w:p w14:paraId="4C91576A" w14:textId="709D74AB" w:rsidR="00932395" w:rsidRPr="000E1181" w:rsidRDefault="00932395" w:rsidP="00932395">
      <w:r>
        <w:t>Pursuant to section 52</w:t>
      </w:r>
      <w:proofErr w:type="gramStart"/>
      <w:r>
        <w:t>D(</w:t>
      </w:r>
      <w:proofErr w:type="gramEnd"/>
      <w:r>
        <w:t>2) of the Act</w:t>
      </w:r>
      <w:r w:rsidRPr="000E1181">
        <w:t xml:space="preserve">, a Delegate of the Secretary has made a final decision to amend the current Poisons Standard in relation to </w:t>
      </w:r>
      <w:proofErr w:type="spellStart"/>
      <w:r>
        <w:t>phenidines</w:t>
      </w:r>
      <w:proofErr w:type="spellEnd"/>
      <w:r w:rsidRPr="000E1181">
        <w:t xml:space="preserve"> as follows</w:t>
      </w:r>
      <w:bookmarkEnd w:id="63"/>
      <w:r w:rsidRPr="000E1181">
        <w:t>:</w:t>
      </w:r>
      <w:r w:rsidRPr="000E1181">
        <w:rPr>
          <w:vertAlign w:val="superscript"/>
        </w:rPr>
        <w:t xml:space="preserve"> </w:t>
      </w:r>
      <w:r w:rsidRPr="000E1181">
        <w:rPr>
          <w:vertAlign w:val="superscript"/>
        </w:rPr>
        <w:footnoteReference w:id="45"/>
      </w:r>
    </w:p>
    <w:p w14:paraId="7ED35818" w14:textId="77777777" w:rsidR="00932395" w:rsidRPr="00B501D4" w:rsidRDefault="00932395" w:rsidP="00932395">
      <w:pPr>
        <w:ind w:left="426"/>
        <w:rPr>
          <w:b/>
          <w:bCs/>
        </w:rPr>
      </w:pPr>
      <w:r w:rsidRPr="00B501D4">
        <w:rPr>
          <w:b/>
          <w:bCs/>
        </w:rPr>
        <w:t>Schedule 9 – New entries</w:t>
      </w:r>
    </w:p>
    <w:p w14:paraId="0CE781B7" w14:textId="77777777" w:rsidR="00932395" w:rsidRPr="00B501D4" w:rsidRDefault="00932395" w:rsidP="00932395">
      <w:pPr>
        <w:ind w:left="709"/>
        <w:rPr>
          <w:color w:val="00B050"/>
          <w:u w:val="single"/>
        </w:rPr>
      </w:pPr>
      <w:r w:rsidRPr="00B501D4">
        <w:rPr>
          <w:color w:val="00B050"/>
          <w:u w:val="single"/>
        </w:rPr>
        <w:t>DIPHENIDINE</w:t>
      </w:r>
    </w:p>
    <w:p w14:paraId="2867F9A9" w14:textId="77777777" w:rsidR="00932395" w:rsidRPr="00B501D4" w:rsidRDefault="00932395" w:rsidP="00932395">
      <w:pPr>
        <w:ind w:left="709"/>
        <w:rPr>
          <w:color w:val="00B050"/>
          <w:u w:val="single"/>
        </w:rPr>
      </w:pPr>
      <w:r w:rsidRPr="00B501D4">
        <w:rPr>
          <w:color w:val="00B050"/>
          <w:u w:val="single"/>
        </w:rPr>
        <w:t>EPHENIDINE</w:t>
      </w:r>
    </w:p>
    <w:p w14:paraId="37E19A5E" w14:textId="77777777" w:rsidR="00932395" w:rsidRPr="00B501D4" w:rsidRDefault="00932395" w:rsidP="00932395">
      <w:pPr>
        <w:ind w:left="709"/>
        <w:rPr>
          <w:color w:val="00B050"/>
          <w:u w:val="single"/>
        </w:rPr>
      </w:pPr>
      <w:r w:rsidRPr="00B501D4">
        <w:rPr>
          <w:color w:val="00B050"/>
          <w:u w:val="single"/>
        </w:rPr>
        <w:t>METHOXPHENIDINE</w:t>
      </w:r>
    </w:p>
    <w:p w14:paraId="64EBD70C" w14:textId="77777777" w:rsidR="00932395" w:rsidRPr="00B501D4" w:rsidRDefault="00932395" w:rsidP="00932395">
      <w:pPr>
        <w:ind w:left="709"/>
        <w:rPr>
          <w:color w:val="00B050"/>
          <w:u w:val="single"/>
        </w:rPr>
      </w:pPr>
      <w:r w:rsidRPr="00B501D4">
        <w:rPr>
          <w:color w:val="00B050"/>
          <w:u w:val="single"/>
        </w:rPr>
        <w:t>PROPYLPHENIDINE</w:t>
      </w:r>
    </w:p>
    <w:p w14:paraId="46A5CB77" w14:textId="77777777" w:rsidR="00932395" w:rsidRPr="00B501D4" w:rsidRDefault="00932395" w:rsidP="00932395">
      <w:pPr>
        <w:ind w:left="709"/>
        <w:rPr>
          <w:color w:val="00B050"/>
          <w:u w:val="single"/>
        </w:rPr>
      </w:pPr>
      <w:r w:rsidRPr="00B501D4">
        <w:rPr>
          <w:color w:val="00B050"/>
          <w:u w:val="single"/>
        </w:rPr>
        <w:t>ISOPHENIDINE</w:t>
      </w:r>
    </w:p>
    <w:p w14:paraId="617B617B" w14:textId="77777777" w:rsidR="00932395" w:rsidRPr="00B501D4" w:rsidRDefault="00932395" w:rsidP="00932395">
      <w:pPr>
        <w:spacing w:before="240"/>
        <w:ind w:left="425"/>
        <w:rPr>
          <w:b/>
          <w:bCs/>
        </w:rPr>
      </w:pPr>
      <w:r w:rsidRPr="00B501D4">
        <w:rPr>
          <w:b/>
          <w:bCs/>
        </w:rPr>
        <w:t>Index – New entries</w:t>
      </w:r>
    </w:p>
    <w:p w14:paraId="55578FF0" w14:textId="77777777" w:rsidR="00932395" w:rsidRPr="00B501D4" w:rsidRDefault="00932395" w:rsidP="00932395">
      <w:pPr>
        <w:ind w:left="709"/>
        <w:rPr>
          <w:color w:val="00B050"/>
          <w:u w:val="single"/>
        </w:rPr>
      </w:pPr>
      <w:r w:rsidRPr="00B501D4">
        <w:rPr>
          <w:b/>
          <w:bCs/>
          <w:color w:val="00B050"/>
          <w:u w:val="single"/>
        </w:rPr>
        <w:t>DIPHENIDINE</w:t>
      </w:r>
      <w:r w:rsidRPr="00B501D4">
        <w:rPr>
          <w:b/>
          <w:bCs/>
          <w:color w:val="00B050"/>
          <w:u w:val="single"/>
        </w:rPr>
        <w:br/>
      </w:r>
      <w:r w:rsidRPr="00B501D4">
        <w:rPr>
          <w:color w:val="00B050"/>
          <w:u w:val="single"/>
        </w:rPr>
        <w:t>cross reference: CAS No. 28383-15-5</w:t>
      </w:r>
    </w:p>
    <w:p w14:paraId="1B39C561" w14:textId="77777777" w:rsidR="00932395" w:rsidRPr="00B501D4" w:rsidRDefault="00932395" w:rsidP="00932395">
      <w:pPr>
        <w:ind w:left="709"/>
        <w:rPr>
          <w:color w:val="00B050"/>
          <w:u w:val="single"/>
        </w:rPr>
      </w:pPr>
      <w:r w:rsidRPr="00B501D4">
        <w:rPr>
          <w:color w:val="00B050"/>
          <w:u w:val="single"/>
        </w:rPr>
        <w:t>Schedule 9</w:t>
      </w:r>
    </w:p>
    <w:p w14:paraId="1255CFE4" w14:textId="77777777" w:rsidR="00932395" w:rsidRPr="00B501D4" w:rsidRDefault="00932395" w:rsidP="00932395">
      <w:pPr>
        <w:spacing w:before="360"/>
        <w:ind w:left="709"/>
        <w:rPr>
          <w:color w:val="00B050"/>
          <w:u w:val="single"/>
        </w:rPr>
      </w:pPr>
      <w:r w:rsidRPr="00B501D4">
        <w:rPr>
          <w:b/>
          <w:bCs/>
          <w:color w:val="00B050"/>
          <w:u w:val="single"/>
        </w:rPr>
        <w:t>EPHENIDINE</w:t>
      </w:r>
      <w:r w:rsidRPr="00B501D4">
        <w:rPr>
          <w:b/>
          <w:bCs/>
          <w:color w:val="00B050"/>
          <w:u w:val="single"/>
        </w:rPr>
        <w:br/>
      </w:r>
      <w:r w:rsidRPr="00B501D4">
        <w:rPr>
          <w:color w:val="00B050"/>
          <w:u w:val="single"/>
        </w:rPr>
        <w:t>cross reference: CAS No. 60951-19-1, EPHENIDINE HYDROCHLORIDE (CAS No. 6272-97-5)</w:t>
      </w:r>
    </w:p>
    <w:p w14:paraId="01151368" w14:textId="77777777" w:rsidR="00932395" w:rsidRPr="00B501D4" w:rsidRDefault="00932395" w:rsidP="00932395">
      <w:pPr>
        <w:ind w:left="709"/>
        <w:rPr>
          <w:color w:val="00B050"/>
          <w:u w:val="single"/>
        </w:rPr>
      </w:pPr>
      <w:r w:rsidRPr="00B501D4">
        <w:rPr>
          <w:color w:val="00B050"/>
          <w:u w:val="single"/>
        </w:rPr>
        <w:t>Schedule 9</w:t>
      </w:r>
    </w:p>
    <w:p w14:paraId="20962B64" w14:textId="77777777" w:rsidR="00932395" w:rsidRPr="00B501D4" w:rsidRDefault="00932395" w:rsidP="00932395">
      <w:pPr>
        <w:spacing w:before="360"/>
        <w:ind w:left="709"/>
        <w:rPr>
          <w:color w:val="00B050"/>
          <w:u w:val="single"/>
        </w:rPr>
      </w:pPr>
      <w:r w:rsidRPr="00B501D4">
        <w:rPr>
          <w:b/>
          <w:bCs/>
          <w:color w:val="00B050"/>
          <w:u w:val="single"/>
        </w:rPr>
        <w:t>METHOXPHENIDINE</w:t>
      </w:r>
      <w:r w:rsidRPr="00B501D4">
        <w:rPr>
          <w:b/>
          <w:bCs/>
          <w:color w:val="00B050"/>
          <w:u w:val="single"/>
        </w:rPr>
        <w:br/>
      </w:r>
      <w:r w:rsidRPr="00B501D4">
        <w:rPr>
          <w:color w:val="00B050"/>
          <w:u w:val="single"/>
        </w:rPr>
        <w:t>cross reference: CAS No. 127529-46-8, METHOXPHENIDINE HYDROCHLORIDE (CAS No. 2055777-48-3)</w:t>
      </w:r>
      <w:r>
        <w:rPr>
          <w:color w:val="00B050"/>
          <w:u w:val="single"/>
        </w:rPr>
        <w:t>, MXP</w:t>
      </w:r>
    </w:p>
    <w:p w14:paraId="3C0B4E0E" w14:textId="77777777" w:rsidR="00932395" w:rsidRPr="00B501D4" w:rsidRDefault="00932395" w:rsidP="00932395">
      <w:pPr>
        <w:ind w:left="709"/>
        <w:rPr>
          <w:color w:val="00B050"/>
          <w:u w:val="single"/>
        </w:rPr>
      </w:pPr>
      <w:r w:rsidRPr="00B501D4">
        <w:rPr>
          <w:color w:val="00B050"/>
          <w:u w:val="single"/>
        </w:rPr>
        <w:t>Schedule 9</w:t>
      </w:r>
    </w:p>
    <w:p w14:paraId="18BE534E" w14:textId="77777777" w:rsidR="00932395" w:rsidRPr="00B501D4" w:rsidRDefault="00932395" w:rsidP="00932395">
      <w:pPr>
        <w:spacing w:before="360"/>
        <w:ind w:left="709"/>
        <w:rPr>
          <w:color w:val="00B050"/>
          <w:u w:val="single"/>
        </w:rPr>
      </w:pPr>
      <w:r w:rsidRPr="00B501D4">
        <w:rPr>
          <w:b/>
          <w:bCs/>
          <w:color w:val="00B050"/>
          <w:u w:val="single"/>
        </w:rPr>
        <w:t>PROPYLPHENIDINE</w:t>
      </w:r>
      <w:r w:rsidRPr="00B501D4">
        <w:rPr>
          <w:b/>
          <w:bCs/>
          <w:color w:val="00B050"/>
          <w:u w:val="single"/>
        </w:rPr>
        <w:br/>
      </w:r>
      <w:r w:rsidRPr="00B501D4">
        <w:rPr>
          <w:color w:val="00B050"/>
          <w:u w:val="single"/>
        </w:rPr>
        <w:t>cross reference: CAS No. 6266-42-8</w:t>
      </w:r>
    </w:p>
    <w:p w14:paraId="588E9BD2" w14:textId="77777777" w:rsidR="00932395" w:rsidRPr="00B501D4" w:rsidRDefault="00932395" w:rsidP="00932395">
      <w:pPr>
        <w:ind w:left="709"/>
        <w:rPr>
          <w:color w:val="00B050"/>
          <w:u w:val="single"/>
        </w:rPr>
      </w:pPr>
      <w:r w:rsidRPr="00B501D4">
        <w:rPr>
          <w:color w:val="00B050"/>
          <w:u w:val="single"/>
        </w:rPr>
        <w:t>Schedule 9</w:t>
      </w:r>
    </w:p>
    <w:p w14:paraId="71FCA1E0" w14:textId="77777777" w:rsidR="00932395" w:rsidRPr="00B501D4" w:rsidRDefault="00932395" w:rsidP="00932395">
      <w:pPr>
        <w:spacing w:before="360"/>
        <w:ind w:left="709"/>
        <w:rPr>
          <w:color w:val="00B050"/>
          <w:u w:val="single"/>
        </w:rPr>
      </w:pPr>
      <w:r w:rsidRPr="00B501D4">
        <w:rPr>
          <w:b/>
          <w:bCs/>
          <w:color w:val="00B050"/>
          <w:u w:val="single"/>
        </w:rPr>
        <w:t>ISOPHENIDINE</w:t>
      </w:r>
      <w:r w:rsidRPr="00B501D4">
        <w:rPr>
          <w:b/>
          <w:bCs/>
          <w:color w:val="00B050"/>
          <w:u w:val="single"/>
        </w:rPr>
        <w:br/>
      </w:r>
      <w:r w:rsidRPr="00B501D4">
        <w:rPr>
          <w:color w:val="00B050"/>
          <w:u w:val="single"/>
        </w:rPr>
        <w:t>cross reference: CAS No. 774118-46-6, NPDPA, ISOPHENIDINE HYDROCHLORIDE (CAS No. 6267-56-7)</w:t>
      </w:r>
      <w:r>
        <w:rPr>
          <w:color w:val="00B050"/>
          <w:u w:val="single"/>
        </w:rPr>
        <w:t>, ISOPROPYLPHENIDINE</w:t>
      </w:r>
    </w:p>
    <w:p w14:paraId="03DAFF5F" w14:textId="77777777" w:rsidR="00932395" w:rsidRPr="00B501D4" w:rsidRDefault="00932395" w:rsidP="00932395">
      <w:pPr>
        <w:ind w:left="709"/>
        <w:rPr>
          <w:color w:val="00B050"/>
          <w:u w:val="single"/>
        </w:rPr>
      </w:pPr>
      <w:r w:rsidRPr="00B501D4">
        <w:rPr>
          <w:color w:val="00B050"/>
          <w:u w:val="single"/>
        </w:rPr>
        <w:t>Schedule 9</w:t>
      </w:r>
    </w:p>
    <w:p w14:paraId="03838FB2" w14:textId="5DD3A69A" w:rsidR="00932395" w:rsidRPr="00BB34CD" w:rsidRDefault="00932395" w:rsidP="005B7A98">
      <w:pPr>
        <w:pStyle w:val="Heading4"/>
      </w:pPr>
      <w:r w:rsidRPr="00BB34CD">
        <w:lastRenderedPageBreak/>
        <w:t>Materials considered</w:t>
      </w:r>
    </w:p>
    <w:p w14:paraId="692C4B45" w14:textId="77777777" w:rsidR="00932395" w:rsidRDefault="00932395" w:rsidP="00932395">
      <w:r>
        <w:t>In making this final decision, the Delegate considered the following material:</w:t>
      </w:r>
    </w:p>
    <w:p w14:paraId="63508B54" w14:textId="1BAB4E12" w:rsidR="00932395" w:rsidRDefault="00932395" w:rsidP="00932395">
      <w:pPr>
        <w:pStyle w:val="ListBullet"/>
        <w:ind w:left="360"/>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23FDF99F" w14:textId="77777777" w:rsidR="00932395" w:rsidRDefault="00932395" w:rsidP="00932395">
      <w:pPr>
        <w:pStyle w:val="ListBullet"/>
        <w:ind w:left="360"/>
      </w:pPr>
      <w:r>
        <w:t>The</w:t>
      </w:r>
      <w:r w:rsidRPr="00932395">
        <w:rPr>
          <w:rFonts w:cs="Arial"/>
        </w:rPr>
        <w:t xml:space="preserve"> </w:t>
      </w:r>
      <w:hyperlink r:id="rId53" w:history="1">
        <w:r w:rsidRPr="00932395">
          <w:rPr>
            <w:rStyle w:val="Hyperlink"/>
            <w:rFonts w:cs="Arial"/>
          </w:rPr>
          <w:t>review</w:t>
        </w:r>
      </w:hyperlink>
      <w:r>
        <w:t xml:space="preserve"> by the United Kingdom’s Advisory Council on the Misuse of Drugs (ACMD) of the evidence on the use and harms of </w:t>
      </w:r>
      <w:proofErr w:type="spellStart"/>
      <w:r>
        <w:t>diphenidine</w:t>
      </w:r>
      <w:proofErr w:type="spellEnd"/>
    </w:p>
    <w:p w14:paraId="615E1603" w14:textId="77777777" w:rsidR="00932395" w:rsidRDefault="00932395" w:rsidP="00932395">
      <w:pPr>
        <w:pStyle w:val="ListBullet"/>
        <w:ind w:left="360"/>
      </w:pPr>
      <w:r>
        <w:t xml:space="preserve">The World Health Organization’s Critical Review </w:t>
      </w:r>
      <w:r w:rsidRPr="00932395">
        <w:rPr>
          <w:rFonts w:cs="Arial"/>
        </w:rPr>
        <w:t xml:space="preserve">Reports on </w:t>
      </w:r>
      <w:hyperlink r:id="rId54" w:anchor=":~:text=Diphenidine%20is%20not%20approved%20for%20medical%20or%20veterinary%20use%2C%20and,also%20available%20from%20other%20sources." w:history="1">
        <w:proofErr w:type="spellStart"/>
        <w:r w:rsidRPr="00932395">
          <w:rPr>
            <w:rStyle w:val="Hyperlink"/>
            <w:rFonts w:cs="Arial"/>
          </w:rPr>
          <w:t>diphenidine</w:t>
        </w:r>
        <w:proofErr w:type="spellEnd"/>
      </w:hyperlink>
      <w:r w:rsidRPr="00932395">
        <w:rPr>
          <w:rFonts w:cs="Arial"/>
        </w:rPr>
        <w:t xml:space="preserve"> and </w:t>
      </w:r>
      <w:hyperlink r:id="rId55" w:history="1">
        <w:proofErr w:type="spellStart"/>
        <w:r w:rsidRPr="00932395">
          <w:rPr>
            <w:rStyle w:val="Hyperlink"/>
            <w:rFonts w:cs="Arial"/>
          </w:rPr>
          <w:t>methoxphenidine</w:t>
        </w:r>
        <w:proofErr w:type="spellEnd"/>
      </w:hyperlink>
      <w:r>
        <w:t xml:space="preserve"> </w:t>
      </w:r>
    </w:p>
    <w:p w14:paraId="3CF9EC28" w14:textId="0565F9FE" w:rsidR="00932395" w:rsidRDefault="00932395" w:rsidP="00185991">
      <w:pPr>
        <w:pStyle w:val="ListBullet"/>
        <w:ind w:left="360"/>
      </w:pPr>
      <w:r>
        <w:t xml:space="preserve">Pursuant to paragraph 52E(2)(a) of the Act, the SPF, </w:t>
      </w:r>
      <w:r w:rsidRPr="003B6CC6">
        <w:t>and</w:t>
      </w:r>
    </w:p>
    <w:p w14:paraId="5AE5969E" w14:textId="77777777" w:rsidR="00932395" w:rsidRPr="003B6CC6" w:rsidRDefault="00932395" w:rsidP="00932395">
      <w:pPr>
        <w:pStyle w:val="ListBullet"/>
        <w:ind w:left="360"/>
        <w:rPr>
          <w:b/>
          <w:bCs/>
          <w:i/>
          <w:iCs/>
        </w:rPr>
      </w:pPr>
      <w:r>
        <w:t>The Handbook.</w:t>
      </w:r>
    </w:p>
    <w:p w14:paraId="34D00E4E" w14:textId="77777777" w:rsidR="00932395" w:rsidRPr="00300CBB" w:rsidRDefault="00932395" w:rsidP="005B7A98">
      <w:pPr>
        <w:pStyle w:val="Heading4"/>
      </w:pPr>
      <w:r w:rsidRPr="00300CBB">
        <w:t>Reasons for the final decision (including findings on material questions of fact)</w:t>
      </w:r>
    </w:p>
    <w:p w14:paraId="2CC1972F" w14:textId="7EA1DFFF" w:rsidR="00932395" w:rsidRPr="00932395" w:rsidRDefault="00932395" w:rsidP="00932395">
      <w:pPr>
        <w:pStyle w:val="ListBullet2"/>
        <w:rPr>
          <w:rFonts w:cs="Arial"/>
        </w:rPr>
      </w:pPr>
      <w:r w:rsidRPr="00932395">
        <w:rPr>
          <w:rFonts w:cs="Arial"/>
        </w:rPr>
        <w:t xml:space="preserve">In exercising my power under paragraph 52D(2)(a) of the Act, I have </w:t>
      </w:r>
      <w:proofErr w:type="gramStart"/>
      <w:r w:rsidRPr="00932395">
        <w:rPr>
          <w:rFonts w:cs="Arial"/>
        </w:rPr>
        <w:t>taken into account</w:t>
      </w:r>
      <w:proofErr w:type="gramEnd"/>
      <w:r w:rsidRPr="00932395">
        <w:rPr>
          <w:rFonts w:cs="Arial"/>
        </w:rPr>
        <w:t xml:space="preserve"> the information provided in the materials listed above. I have decided to create new Prohibited substances</w:t>
      </w:r>
      <w:r>
        <w:rPr>
          <w:rFonts w:cs="Arial"/>
        </w:rPr>
        <w:t xml:space="preserve"> (</w:t>
      </w:r>
      <w:r w:rsidRPr="00932395">
        <w:rPr>
          <w:rFonts w:cs="Arial"/>
        </w:rPr>
        <w:t>Schedule 9</w:t>
      </w:r>
      <w:r>
        <w:rPr>
          <w:rFonts w:cs="Arial"/>
        </w:rPr>
        <w:t>)</w:t>
      </w:r>
      <w:r w:rsidRPr="00932395">
        <w:rPr>
          <w:rFonts w:cs="Arial"/>
        </w:rPr>
        <w:t xml:space="preserve"> entries for </w:t>
      </w:r>
      <w:proofErr w:type="spellStart"/>
      <w:r w:rsidRPr="00932395">
        <w:rPr>
          <w:rFonts w:cs="Arial"/>
        </w:rPr>
        <w:t>diphenidine</w:t>
      </w:r>
      <w:proofErr w:type="spellEnd"/>
      <w:r w:rsidRPr="00932395">
        <w:rPr>
          <w:rFonts w:cs="Arial"/>
        </w:rPr>
        <w:t xml:space="preserve">, </w:t>
      </w:r>
      <w:proofErr w:type="spellStart"/>
      <w:r w:rsidRPr="00932395">
        <w:rPr>
          <w:rFonts w:cs="Arial"/>
        </w:rPr>
        <w:t>ephenidine</w:t>
      </w:r>
      <w:proofErr w:type="spellEnd"/>
      <w:r w:rsidRPr="00932395">
        <w:rPr>
          <w:rFonts w:cs="Arial"/>
        </w:rPr>
        <w:t xml:space="preserve">, </w:t>
      </w:r>
      <w:proofErr w:type="spellStart"/>
      <w:r w:rsidRPr="00932395">
        <w:rPr>
          <w:rFonts w:cs="Arial"/>
        </w:rPr>
        <w:t>methoxphenidine</w:t>
      </w:r>
      <w:proofErr w:type="spellEnd"/>
      <w:r w:rsidRPr="00932395">
        <w:rPr>
          <w:rFonts w:cs="Arial"/>
        </w:rPr>
        <w:t xml:space="preserve">, </w:t>
      </w:r>
      <w:proofErr w:type="spellStart"/>
      <w:r w:rsidRPr="00932395">
        <w:rPr>
          <w:rFonts w:cs="Arial"/>
        </w:rPr>
        <w:t>propylphenidine</w:t>
      </w:r>
      <w:proofErr w:type="spellEnd"/>
      <w:r w:rsidRPr="00932395">
        <w:rPr>
          <w:rFonts w:cs="Arial"/>
        </w:rPr>
        <w:t xml:space="preserve"> and </w:t>
      </w:r>
      <w:proofErr w:type="spellStart"/>
      <w:r w:rsidRPr="00932395">
        <w:rPr>
          <w:rFonts w:cs="Arial"/>
        </w:rPr>
        <w:t>isophenidine</w:t>
      </w:r>
      <w:proofErr w:type="spellEnd"/>
      <w:r w:rsidRPr="00932395">
        <w:rPr>
          <w:rFonts w:cs="Arial"/>
        </w:rPr>
        <w:t>.</w:t>
      </w:r>
      <w:r w:rsidR="00934FDF">
        <w:rPr>
          <w:rFonts w:cs="Arial"/>
        </w:rPr>
        <w:t xml:space="preserve"> </w:t>
      </w:r>
      <w:r w:rsidR="00934FDF">
        <w:t>T</w:t>
      </w:r>
      <w:r w:rsidR="00934FDF" w:rsidRPr="008B1EEA">
        <w:t>his amendment was not referred to an expert advisory committee for their advice.</w:t>
      </w:r>
    </w:p>
    <w:p w14:paraId="646D0DF2" w14:textId="231B42D5" w:rsidR="00932395" w:rsidRPr="00005CE2" w:rsidRDefault="00005CE2" w:rsidP="00932395">
      <w:pPr>
        <w:pStyle w:val="ListBullet"/>
        <w:numPr>
          <w:ilvl w:val="0"/>
          <w:numId w:val="0"/>
        </w:numPr>
      </w:pPr>
      <w:r>
        <w:rPr>
          <w:rFonts w:cs="Arial"/>
        </w:rPr>
        <w:t>T</w:t>
      </w:r>
      <w:r w:rsidRPr="00932395">
        <w:rPr>
          <w:rFonts w:cs="Arial"/>
        </w:rPr>
        <w:t xml:space="preserve">he five substances that are the subject of this decision are dissociative anaesthetics of the </w:t>
      </w:r>
      <w:proofErr w:type="spellStart"/>
      <w:r w:rsidRPr="00932395">
        <w:rPr>
          <w:rFonts w:cs="Arial"/>
        </w:rPr>
        <w:t>phenidine</w:t>
      </w:r>
      <w:proofErr w:type="spellEnd"/>
      <w:r w:rsidRPr="00932395">
        <w:rPr>
          <w:rFonts w:cs="Arial"/>
        </w:rPr>
        <w:t xml:space="preserve"> (1,2-diarylethylamine) class</w:t>
      </w:r>
      <w:r>
        <w:rPr>
          <w:rFonts w:cs="Arial"/>
        </w:rPr>
        <w:t xml:space="preserve"> (hereafter referred to as </w:t>
      </w:r>
      <w:proofErr w:type="spellStart"/>
      <w:r>
        <w:rPr>
          <w:rFonts w:cs="Arial"/>
        </w:rPr>
        <w:t>phenidines</w:t>
      </w:r>
      <w:proofErr w:type="spellEnd"/>
      <w:r>
        <w:rPr>
          <w:rFonts w:cs="Arial"/>
        </w:rPr>
        <w:t>)</w:t>
      </w:r>
      <w:r>
        <w:t xml:space="preserve">. </w:t>
      </w:r>
      <w:r w:rsidRPr="00932395">
        <w:rPr>
          <w:rFonts w:cs="Arial"/>
        </w:rPr>
        <w:t xml:space="preserve">In Australia, </w:t>
      </w:r>
      <w:proofErr w:type="spellStart"/>
      <w:r w:rsidRPr="00932395">
        <w:rPr>
          <w:rFonts w:cs="Arial"/>
        </w:rPr>
        <w:t>propylphenidine</w:t>
      </w:r>
      <w:proofErr w:type="spellEnd"/>
      <w:r w:rsidRPr="00932395">
        <w:rPr>
          <w:rFonts w:cs="Arial"/>
        </w:rPr>
        <w:t xml:space="preserve"> was identified in laboratory testing by the ACT’s </w:t>
      </w:r>
      <w:proofErr w:type="spellStart"/>
      <w:r w:rsidRPr="00932395">
        <w:rPr>
          <w:rFonts w:cs="Arial"/>
        </w:rPr>
        <w:t>CanTEST</w:t>
      </w:r>
      <w:proofErr w:type="spellEnd"/>
      <w:r w:rsidRPr="00932395">
        <w:rPr>
          <w:rFonts w:cs="Arial"/>
        </w:rPr>
        <w:t xml:space="preserve"> Health and Drug Checking Service in January 2024.</w:t>
      </w:r>
      <w:r w:rsidRPr="00932395">
        <w:rPr>
          <w:rStyle w:val="FootnoteReference"/>
          <w:rFonts w:cs="Arial"/>
        </w:rPr>
        <w:footnoteReference w:id="46"/>
      </w:r>
      <w:r>
        <w:t xml:space="preserve"> </w:t>
      </w:r>
      <w:proofErr w:type="spellStart"/>
      <w:r w:rsidR="00E82526">
        <w:t>P</w:t>
      </w:r>
      <w:r w:rsidR="00932395" w:rsidRPr="00932395">
        <w:rPr>
          <w:rFonts w:cs="Arial"/>
        </w:rPr>
        <w:t>henidines</w:t>
      </w:r>
      <w:proofErr w:type="spellEnd"/>
      <w:r w:rsidR="00932395" w:rsidRPr="00932395">
        <w:rPr>
          <w:rFonts w:cs="Arial"/>
        </w:rPr>
        <w:t xml:space="preserve"> </w:t>
      </w:r>
      <w:r>
        <w:rPr>
          <w:rFonts w:cs="Arial"/>
        </w:rPr>
        <w:t xml:space="preserve">are </w:t>
      </w:r>
      <w:r w:rsidR="00E82526">
        <w:rPr>
          <w:rFonts w:cs="Arial"/>
        </w:rPr>
        <w:t>currently not</w:t>
      </w:r>
      <w:r w:rsidR="00932395" w:rsidRPr="00932395">
        <w:rPr>
          <w:rFonts w:cs="Arial"/>
        </w:rPr>
        <w:t xml:space="preserve"> included in the Poisons Standard.</w:t>
      </w:r>
    </w:p>
    <w:p w14:paraId="19D1BF8B" w14:textId="78B6C07F" w:rsidR="00932395" w:rsidRPr="00932395" w:rsidRDefault="00932395" w:rsidP="00932395">
      <w:pPr>
        <w:pStyle w:val="ListBullet"/>
        <w:numPr>
          <w:ilvl w:val="0"/>
          <w:numId w:val="0"/>
        </w:numPr>
        <w:rPr>
          <w:rFonts w:cs="Arial"/>
        </w:rPr>
      </w:pPr>
      <w:r w:rsidRPr="00932395">
        <w:rPr>
          <w:rFonts w:cs="Arial"/>
        </w:rPr>
        <w:t>Regarding s 52E(1)(a) and (b) of the Act, I note that</w:t>
      </w:r>
      <w:r w:rsidR="00005CE2">
        <w:rPr>
          <w:rFonts w:cs="Arial"/>
        </w:rPr>
        <w:t xml:space="preserve"> </w:t>
      </w:r>
      <w:proofErr w:type="spellStart"/>
      <w:r w:rsidR="00005CE2">
        <w:t>phenidines</w:t>
      </w:r>
      <w:proofErr w:type="spellEnd"/>
      <w:r w:rsidR="00005CE2">
        <w:t xml:space="preserve"> are used for recreational purposes mainly in Europe, Japan and the United States of America and use has resulted in several cases of severe intoxication and death.</w:t>
      </w:r>
      <w:r w:rsidRPr="00932395">
        <w:rPr>
          <w:rFonts w:cs="Arial"/>
        </w:rPr>
        <w:t xml:space="preserve"> Based on the information before me, substances in this class appear to have no recognised legitimate use, whether therapeutic or otherwise, outside of </w:t>
      </w:r>
      <w:proofErr w:type="gramStart"/>
      <w:r w:rsidR="00E82526">
        <w:rPr>
          <w:rFonts w:cs="Arial"/>
        </w:rPr>
        <w:t xml:space="preserve">a </w:t>
      </w:r>
      <w:r w:rsidRPr="00932395">
        <w:rPr>
          <w:rFonts w:cs="Arial"/>
        </w:rPr>
        <w:t>research</w:t>
      </w:r>
      <w:proofErr w:type="gramEnd"/>
      <w:r w:rsidRPr="00932395">
        <w:rPr>
          <w:rFonts w:cs="Arial"/>
        </w:rPr>
        <w:t xml:space="preserve"> setting and any public exposure appears to be entirely recreational. The dissociative properties of these substances and the lack of reliable toxicity data (see below) means that their abuse and illicit use poses a significant risk to public health.</w:t>
      </w:r>
    </w:p>
    <w:p w14:paraId="1EADE654" w14:textId="15DEC024" w:rsidR="00932395" w:rsidRPr="00932395" w:rsidRDefault="00932395" w:rsidP="00932395">
      <w:pPr>
        <w:pStyle w:val="ListBullet"/>
        <w:numPr>
          <w:ilvl w:val="0"/>
          <w:numId w:val="0"/>
        </w:numPr>
        <w:rPr>
          <w:rFonts w:cs="Arial"/>
        </w:rPr>
      </w:pPr>
      <w:r w:rsidRPr="00932395">
        <w:rPr>
          <w:rFonts w:cs="Arial"/>
        </w:rPr>
        <w:t xml:space="preserve">In relation to s 52E(1)(c) of the Act, </w:t>
      </w:r>
      <w:proofErr w:type="spellStart"/>
      <w:r w:rsidRPr="00932395">
        <w:rPr>
          <w:rFonts w:cs="Arial"/>
        </w:rPr>
        <w:t>phenidines</w:t>
      </w:r>
      <w:proofErr w:type="spellEnd"/>
      <w:r w:rsidRPr="00932395">
        <w:rPr>
          <w:rFonts w:cs="Arial"/>
        </w:rPr>
        <w:t xml:space="preserve">, like </w:t>
      </w:r>
      <w:proofErr w:type="spellStart"/>
      <w:r w:rsidRPr="00932395">
        <w:rPr>
          <w:rFonts w:cs="Arial"/>
        </w:rPr>
        <w:t>ketamines</w:t>
      </w:r>
      <w:proofErr w:type="spellEnd"/>
      <w:r w:rsidRPr="00932395">
        <w:rPr>
          <w:rFonts w:cs="Arial"/>
        </w:rPr>
        <w:t xml:space="preserve">, are antagonists of </w:t>
      </w:r>
      <w:r w:rsidR="00E82526" w:rsidRPr="00E82526">
        <w:rPr>
          <w:rFonts w:cs="Arial"/>
          <w:i/>
          <w:iCs/>
        </w:rPr>
        <w:t>N</w:t>
      </w:r>
      <w:r w:rsidR="00E82526" w:rsidRPr="00E82526">
        <w:rPr>
          <w:rFonts w:cs="Arial"/>
        </w:rPr>
        <w:t xml:space="preserve">-methyl-D-aspartate </w:t>
      </w:r>
      <w:r w:rsidR="00E82526">
        <w:rPr>
          <w:rFonts w:cs="Arial"/>
        </w:rPr>
        <w:t>(</w:t>
      </w:r>
      <w:r w:rsidRPr="00932395">
        <w:rPr>
          <w:rFonts w:cs="Arial"/>
        </w:rPr>
        <w:t>NMDA</w:t>
      </w:r>
      <w:r w:rsidR="00E82526">
        <w:rPr>
          <w:rFonts w:cs="Arial"/>
        </w:rPr>
        <w:t>)</w:t>
      </w:r>
      <w:r w:rsidRPr="00932395">
        <w:rPr>
          <w:rFonts w:cs="Arial"/>
        </w:rPr>
        <w:t xml:space="preserve"> receptors and are noted for their dissociative properties. Depending on the specific substance, the effects of </w:t>
      </w:r>
      <w:proofErr w:type="spellStart"/>
      <w:r w:rsidRPr="00932395">
        <w:rPr>
          <w:rFonts w:cs="Arial"/>
        </w:rPr>
        <w:t>phenidines</w:t>
      </w:r>
      <w:proofErr w:type="spellEnd"/>
      <w:r w:rsidRPr="00932395">
        <w:rPr>
          <w:rFonts w:cs="Arial"/>
        </w:rPr>
        <w:t xml:space="preserve"> can include behavioural, emotional, motivational, cognitive and somatosensory and motoric changes, as well as cardiovascular effects including hypertension and tachycardia. While the relatively recent rise in the recreational use of these substances means that information on their toxicity is limited, I note that there have been several recorded cases of intoxication and death resulting from ingestion of </w:t>
      </w:r>
      <w:proofErr w:type="spellStart"/>
      <w:r w:rsidRPr="00932395">
        <w:rPr>
          <w:rFonts w:cs="Arial"/>
        </w:rPr>
        <w:t>phenidines</w:t>
      </w:r>
      <w:proofErr w:type="spellEnd"/>
      <w:r w:rsidRPr="00932395">
        <w:rPr>
          <w:rFonts w:cs="Arial"/>
        </w:rPr>
        <w:t>.</w:t>
      </w:r>
      <w:r w:rsidRPr="00932395">
        <w:rPr>
          <w:rStyle w:val="FootnoteReference"/>
          <w:rFonts w:cs="Arial"/>
        </w:rPr>
        <w:footnoteReference w:id="47"/>
      </w:r>
      <w:r w:rsidRPr="00932395">
        <w:rPr>
          <w:rFonts w:cs="Arial"/>
          <w:vertAlign w:val="superscript"/>
        </w:rPr>
        <w:t>,</w:t>
      </w:r>
      <w:r w:rsidRPr="00932395">
        <w:rPr>
          <w:rStyle w:val="FootnoteReference"/>
          <w:rFonts w:cs="Arial"/>
        </w:rPr>
        <w:footnoteReference w:id="48"/>
      </w:r>
      <w:r w:rsidRPr="00932395">
        <w:rPr>
          <w:rFonts w:cs="Arial"/>
          <w:vertAlign w:val="superscript"/>
        </w:rPr>
        <w:t xml:space="preserve"> </w:t>
      </w:r>
    </w:p>
    <w:p w14:paraId="1069EC26" w14:textId="1D7DD004" w:rsidR="00932395" w:rsidRPr="00932395" w:rsidRDefault="00932395" w:rsidP="00932395">
      <w:pPr>
        <w:pStyle w:val="ListBullet"/>
        <w:numPr>
          <w:ilvl w:val="0"/>
          <w:numId w:val="0"/>
        </w:numPr>
        <w:rPr>
          <w:rFonts w:cs="Arial"/>
        </w:rPr>
      </w:pPr>
      <w:r w:rsidRPr="00932395">
        <w:rPr>
          <w:rFonts w:cs="Arial"/>
        </w:rPr>
        <w:t xml:space="preserve">With regards to s 52E(1)(d) of the Act, in considering material from the Advisory Council on the Misuse of Drugs and </w:t>
      </w:r>
      <w:r w:rsidR="00894493">
        <w:rPr>
          <w:rFonts w:cs="Arial"/>
        </w:rPr>
        <w:t xml:space="preserve">the </w:t>
      </w:r>
      <w:r w:rsidRPr="00932395">
        <w:rPr>
          <w:rFonts w:cs="Arial"/>
        </w:rPr>
        <w:t xml:space="preserve">WHO, I note that the detection of </w:t>
      </w:r>
      <w:proofErr w:type="spellStart"/>
      <w:r w:rsidRPr="00932395">
        <w:rPr>
          <w:rFonts w:cs="Arial"/>
        </w:rPr>
        <w:t>phenidines</w:t>
      </w:r>
      <w:proofErr w:type="spellEnd"/>
      <w:r w:rsidRPr="00932395">
        <w:rPr>
          <w:rFonts w:cs="Arial"/>
        </w:rPr>
        <w:t xml:space="preserve"> is almost entire</w:t>
      </w:r>
      <w:r w:rsidR="005B7A98">
        <w:rPr>
          <w:rFonts w:cs="Arial"/>
        </w:rPr>
        <w:t>ly</w:t>
      </w:r>
      <w:r w:rsidRPr="00932395">
        <w:rPr>
          <w:rFonts w:cs="Arial"/>
        </w:rPr>
        <w:t xml:space="preserve"> from seizures of drugs that were suspected to be for recreational use.</w:t>
      </w:r>
    </w:p>
    <w:p w14:paraId="4A953A28" w14:textId="302FAB58" w:rsidR="00932395" w:rsidRPr="00932395" w:rsidRDefault="00932395" w:rsidP="00932395">
      <w:pPr>
        <w:pStyle w:val="ListBullet"/>
        <w:numPr>
          <w:ilvl w:val="0"/>
          <w:numId w:val="0"/>
        </w:numPr>
        <w:rPr>
          <w:rFonts w:cs="Arial"/>
        </w:rPr>
      </w:pPr>
      <w:r w:rsidRPr="00932395">
        <w:rPr>
          <w:rFonts w:cs="Arial"/>
        </w:rPr>
        <w:lastRenderedPageBreak/>
        <w:t xml:space="preserve">In consideration of s 52E(1)(e) of the Act, </w:t>
      </w:r>
      <w:proofErr w:type="spellStart"/>
      <w:r w:rsidRPr="00932395">
        <w:rPr>
          <w:rFonts w:cs="Arial"/>
        </w:rPr>
        <w:t>phenidines</w:t>
      </w:r>
      <w:proofErr w:type="spellEnd"/>
      <w:r w:rsidRPr="00932395">
        <w:rPr>
          <w:rFonts w:cs="Arial"/>
        </w:rPr>
        <w:t xml:space="preserve"> present a high potential for abuse. This is expected for substances with dissociative anaesthetic activity. Notable drugs with similar activity include ketamine and phencyclidine. This aligns with the factor for an entry in </w:t>
      </w:r>
      <w:r w:rsidR="005B7A98" w:rsidRPr="00932395">
        <w:rPr>
          <w:rFonts w:cs="Arial"/>
        </w:rPr>
        <w:t>Prohibited substances</w:t>
      </w:r>
      <w:r w:rsidR="005B7A98">
        <w:rPr>
          <w:rFonts w:cs="Arial"/>
        </w:rPr>
        <w:t xml:space="preserve"> (</w:t>
      </w:r>
      <w:r w:rsidRPr="00932395">
        <w:rPr>
          <w:rFonts w:cs="Arial"/>
        </w:rPr>
        <w:t>Schedule 9</w:t>
      </w:r>
      <w:r w:rsidR="005B7A98">
        <w:rPr>
          <w:rFonts w:cs="Arial"/>
        </w:rPr>
        <w:t>)</w:t>
      </w:r>
      <w:r w:rsidRPr="00932395">
        <w:rPr>
          <w:rFonts w:cs="Arial"/>
        </w:rPr>
        <w:t xml:space="preserve"> of the Poisons Standard that ‘the substance has no currently established therapeutic value and is likely to present a high risk of dependency, abuse, misuse or illicit use’. Moreover, I am satisfied that the risks are of such significance as to warrant limiting access to these substances to strictly controlled medical and scientific research.</w:t>
      </w:r>
    </w:p>
    <w:p w14:paraId="4B54C289" w14:textId="62ACF31E" w:rsidR="005B7A98" w:rsidRPr="00932395" w:rsidRDefault="00932395" w:rsidP="005B7A98">
      <w:pPr>
        <w:pStyle w:val="ListBullet"/>
        <w:numPr>
          <w:ilvl w:val="0"/>
          <w:numId w:val="0"/>
        </w:numPr>
        <w:rPr>
          <w:rFonts w:cs="Arial"/>
        </w:rPr>
      </w:pPr>
      <w:r w:rsidRPr="00932395">
        <w:rPr>
          <w:rFonts w:cs="Arial"/>
        </w:rPr>
        <w:t xml:space="preserve">Finally, regarding s 52E(1)(f) of the Act, the novel nature of these substances means that in many international jurisdictions </w:t>
      </w:r>
      <w:proofErr w:type="spellStart"/>
      <w:r w:rsidRPr="00932395">
        <w:rPr>
          <w:rFonts w:cs="Arial"/>
        </w:rPr>
        <w:t>phenidines</w:t>
      </w:r>
      <w:proofErr w:type="spellEnd"/>
      <w:r w:rsidRPr="00932395">
        <w:rPr>
          <w:rFonts w:cs="Arial"/>
        </w:rPr>
        <w:t xml:space="preserve"> are not regulated as a class of substances and many individual substances within the class do not have controls on their manufacture, supply or use. </w:t>
      </w:r>
      <w:proofErr w:type="spellStart"/>
      <w:r w:rsidRPr="00932395">
        <w:rPr>
          <w:rFonts w:cs="Arial"/>
        </w:rPr>
        <w:t>Ephenidine</w:t>
      </w:r>
      <w:proofErr w:type="spellEnd"/>
      <w:r w:rsidRPr="00932395">
        <w:rPr>
          <w:rFonts w:cs="Arial"/>
        </w:rPr>
        <w:t xml:space="preserve">, </w:t>
      </w:r>
      <w:proofErr w:type="spellStart"/>
      <w:r w:rsidRPr="00932395">
        <w:rPr>
          <w:rFonts w:cs="Arial"/>
        </w:rPr>
        <w:t>diphenidine</w:t>
      </w:r>
      <w:proofErr w:type="spellEnd"/>
      <w:r w:rsidRPr="00932395">
        <w:rPr>
          <w:rFonts w:cs="Arial"/>
        </w:rPr>
        <w:t xml:space="preserve"> and </w:t>
      </w:r>
      <w:proofErr w:type="spellStart"/>
      <w:r w:rsidRPr="00932395">
        <w:rPr>
          <w:rFonts w:cs="Arial"/>
        </w:rPr>
        <w:t>methoxphenidine</w:t>
      </w:r>
      <w:proofErr w:type="spellEnd"/>
      <w:r w:rsidRPr="00932395">
        <w:rPr>
          <w:rFonts w:cs="Arial"/>
        </w:rPr>
        <w:t xml:space="preserve"> have been included as Class B substances in the </w:t>
      </w:r>
      <w:r w:rsidRPr="00E82526">
        <w:rPr>
          <w:rFonts w:cs="Arial"/>
          <w:i/>
          <w:iCs/>
        </w:rPr>
        <w:t>Misuse of Drugs Act 1971</w:t>
      </w:r>
      <w:r w:rsidRPr="00932395">
        <w:rPr>
          <w:rFonts w:cs="Arial"/>
        </w:rPr>
        <w:t xml:space="preserve"> in the United Kingdom. The Class B classification recognises the potential harm to public health associated with a substance and includes substances such as amphetamines, barbiturates and cannabis. </w:t>
      </w:r>
      <w:proofErr w:type="spellStart"/>
      <w:r w:rsidRPr="00932395">
        <w:rPr>
          <w:rFonts w:cs="Arial"/>
        </w:rPr>
        <w:t>Diphenidine</w:t>
      </w:r>
      <w:proofErr w:type="spellEnd"/>
      <w:r w:rsidRPr="00932395">
        <w:rPr>
          <w:rFonts w:cs="Arial"/>
        </w:rPr>
        <w:t xml:space="preserve"> is also included in Schedule II of the </w:t>
      </w:r>
      <w:r w:rsidRPr="00932395">
        <w:rPr>
          <w:rFonts w:cs="Arial"/>
          <w:i/>
          <w:iCs/>
        </w:rPr>
        <w:t>United Nations’ Convention on Psychotropic Substances 1971</w:t>
      </w:r>
      <w:r w:rsidRPr="00932395">
        <w:rPr>
          <w:rFonts w:cs="Arial"/>
        </w:rPr>
        <w:t xml:space="preserve">. Several </w:t>
      </w:r>
      <w:proofErr w:type="spellStart"/>
      <w:r w:rsidRPr="00932395">
        <w:rPr>
          <w:rFonts w:cs="Arial"/>
        </w:rPr>
        <w:t>phenidines</w:t>
      </w:r>
      <w:proofErr w:type="spellEnd"/>
      <w:r w:rsidRPr="00932395">
        <w:rPr>
          <w:rFonts w:cs="Arial"/>
        </w:rPr>
        <w:t xml:space="preserve"> are listed as controlled substances in international jurisdictions including China, Canada, Japan, and many countries in Europe.</w:t>
      </w:r>
      <w:r w:rsidR="005B7A98" w:rsidRPr="005B7A98">
        <w:rPr>
          <w:rFonts w:cs="Arial"/>
        </w:rPr>
        <w:t xml:space="preserve"> </w:t>
      </w:r>
      <w:r w:rsidR="005B7A98" w:rsidRPr="00932395">
        <w:rPr>
          <w:rFonts w:cs="Arial"/>
        </w:rPr>
        <w:t xml:space="preserve">Import of </w:t>
      </w:r>
      <w:proofErr w:type="spellStart"/>
      <w:r w:rsidR="005B7A98" w:rsidRPr="00932395">
        <w:rPr>
          <w:rFonts w:cs="Arial"/>
        </w:rPr>
        <w:t>diphenidine</w:t>
      </w:r>
      <w:proofErr w:type="spellEnd"/>
      <w:r w:rsidR="005B7A98" w:rsidRPr="00932395">
        <w:rPr>
          <w:rFonts w:cs="Arial"/>
        </w:rPr>
        <w:t xml:space="preserve"> into Australia is controlled under the </w:t>
      </w:r>
      <w:r w:rsidR="005B7A98" w:rsidRPr="00932395">
        <w:rPr>
          <w:rFonts w:cs="Arial"/>
          <w:i/>
          <w:iCs/>
        </w:rPr>
        <w:t>Customs (Prohibited Imports) Regulations 1956</w:t>
      </w:r>
      <w:r w:rsidR="005B7A98" w:rsidRPr="00932395">
        <w:rPr>
          <w:rFonts w:cs="Arial"/>
        </w:rPr>
        <w:t>.</w:t>
      </w:r>
    </w:p>
    <w:p w14:paraId="62672553" w14:textId="0311063C" w:rsidR="00932395" w:rsidRDefault="00932395" w:rsidP="00932395">
      <w:pPr>
        <w:pStyle w:val="ListBullet"/>
        <w:numPr>
          <w:ilvl w:val="0"/>
          <w:numId w:val="0"/>
        </w:numPr>
        <w:rPr>
          <w:rFonts w:cs="Arial"/>
        </w:rPr>
      </w:pPr>
      <w:proofErr w:type="gramStart"/>
      <w:r w:rsidRPr="00932395">
        <w:rPr>
          <w:rFonts w:cs="Arial"/>
        </w:rPr>
        <w:t>On the basis of</w:t>
      </w:r>
      <w:proofErr w:type="gramEnd"/>
      <w:r w:rsidRPr="00932395">
        <w:rPr>
          <w:rFonts w:cs="Arial"/>
        </w:rPr>
        <w:t xml:space="preserve"> the above considerations, I have decided to amend the Poisons Standard in the manner </w:t>
      </w:r>
      <w:r w:rsidR="00E82526">
        <w:rPr>
          <w:rFonts w:cs="Arial"/>
        </w:rPr>
        <w:t>set</w:t>
      </w:r>
      <w:r w:rsidRPr="00932395">
        <w:rPr>
          <w:rFonts w:cs="Arial"/>
        </w:rPr>
        <w:t xml:space="preserve"> out above. The </w:t>
      </w:r>
      <w:r w:rsidR="00E82526">
        <w:rPr>
          <w:rFonts w:cs="Arial"/>
        </w:rPr>
        <w:t>5</w:t>
      </w:r>
      <w:r w:rsidRPr="00932395">
        <w:rPr>
          <w:rFonts w:cs="Arial"/>
        </w:rPr>
        <w:t xml:space="preserve"> substances to be included in the Poisons Standard are selected </w:t>
      </w:r>
      <w:r w:rsidR="00E82526">
        <w:rPr>
          <w:rFonts w:cs="Arial"/>
        </w:rPr>
        <w:t>due to t</w:t>
      </w:r>
      <w:r w:rsidRPr="00932395">
        <w:rPr>
          <w:rFonts w:cs="Arial"/>
        </w:rPr>
        <w:t xml:space="preserve">heir inclusion in international regulation and </w:t>
      </w:r>
      <w:r w:rsidR="00E82526">
        <w:rPr>
          <w:rFonts w:cs="Arial"/>
        </w:rPr>
        <w:t xml:space="preserve">the </w:t>
      </w:r>
      <w:r w:rsidRPr="00932395">
        <w:rPr>
          <w:rFonts w:cs="Arial"/>
        </w:rPr>
        <w:t xml:space="preserve">means </w:t>
      </w:r>
      <w:r w:rsidR="00E82526">
        <w:rPr>
          <w:rFonts w:cs="Arial"/>
        </w:rPr>
        <w:t xml:space="preserve">available </w:t>
      </w:r>
      <w:r w:rsidRPr="00932395">
        <w:rPr>
          <w:rFonts w:cs="Arial"/>
        </w:rPr>
        <w:t xml:space="preserve">for detection. Further substances in this class may be added in future should the need arise. Due to the clear and immediate public health risks associated with these substances, and there being no current legitimate use of the substances that would be restricted by their inclusion in </w:t>
      </w:r>
      <w:r w:rsidR="005B7A98" w:rsidRPr="00932395">
        <w:rPr>
          <w:rFonts w:cs="Arial"/>
        </w:rPr>
        <w:t>Prohibited substances</w:t>
      </w:r>
      <w:r w:rsidR="005B7A98">
        <w:rPr>
          <w:rFonts w:cs="Arial"/>
        </w:rPr>
        <w:t xml:space="preserve"> (</w:t>
      </w:r>
      <w:r w:rsidRPr="00932395">
        <w:rPr>
          <w:rFonts w:cs="Arial"/>
        </w:rPr>
        <w:t>Schedule 9</w:t>
      </w:r>
      <w:r w:rsidR="005B7A98">
        <w:rPr>
          <w:rFonts w:cs="Arial"/>
        </w:rPr>
        <w:t>)</w:t>
      </w:r>
      <w:r w:rsidRPr="00932395">
        <w:rPr>
          <w:rFonts w:cs="Arial"/>
        </w:rPr>
        <w:t xml:space="preserve">, </w:t>
      </w:r>
      <w:bookmarkStart w:id="64" w:name="_Hlk177046245"/>
      <w:r w:rsidRPr="00932395">
        <w:rPr>
          <w:rFonts w:cs="Arial"/>
        </w:rPr>
        <w:t>this amendment was not referred to an expert advisory committee for their advice.</w:t>
      </w:r>
      <w:bookmarkEnd w:id="64"/>
    </w:p>
    <w:p w14:paraId="2A0FC0FD" w14:textId="67DFAF55" w:rsidR="00932395" w:rsidRPr="00300CBB" w:rsidRDefault="00932395" w:rsidP="005B7A98">
      <w:pPr>
        <w:pStyle w:val="Heading4"/>
      </w:pPr>
      <w:r w:rsidRPr="00300CBB">
        <w:t>Implementation date</w:t>
      </w:r>
    </w:p>
    <w:p w14:paraId="1FFEFC90" w14:textId="396B699A" w:rsidR="00D70413" w:rsidRDefault="00932395" w:rsidP="00932395">
      <w:pPr>
        <w:rPr>
          <w:rFonts w:eastAsia="Times New Roman" w:cs="Times New Roman"/>
          <w:b/>
          <w:bCs/>
          <w:color w:val="001871"/>
          <w:sz w:val="32"/>
          <w:szCs w:val="32"/>
        </w:rPr>
      </w:pPr>
      <w:r>
        <w:t>1 October 2024</w:t>
      </w:r>
    </w:p>
    <w:p w14:paraId="1CF09EC8" w14:textId="77777777" w:rsidR="00E82526" w:rsidRDefault="00E82526">
      <w:pPr>
        <w:rPr>
          <w:rFonts w:eastAsia="Times New Roman" w:cs="Times New Roman"/>
          <w:b/>
          <w:bCs/>
          <w:color w:val="001871"/>
          <w:sz w:val="32"/>
          <w:szCs w:val="32"/>
        </w:rPr>
      </w:pPr>
      <w:r>
        <w:br w:type="page"/>
      </w:r>
    </w:p>
    <w:p w14:paraId="47C25519" w14:textId="3F28D7EE" w:rsidR="005B7A98" w:rsidRDefault="00543F1A" w:rsidP="00932395">
      <w:pPr>
        <w:pStyle w:val="Heading3"/>
      </w:pPr>
      <w:bookmarkStart w:id="65" w:name="_Toc178340915"/>
      <w:r>
        <w:lastRenderedPageBreak/>
        <w:t>D</w:t>
      </w:r>
      <w:r w:rsidRPr="005C7593">
        <w:t xml:space="preserve">ecision in relation to </w:t>
      </w:r>
      <w:r>
        <w:t>carbendazim</w:t>
      </w:r>
      <w:bookmarkEnd w:id="65"/>
    </w:p>
    <w:p w14:paraId="05477F3F" w14:textId="0B563470" w:rsidR="005B7A98" w:rsidRPr="00831400" w:rsidRDefault="005B7A98" w:rsidP="005B7A98">
      <w:pPr>
        <w:pStyle w:val="Heading4"/>
      </w:pPr>
      <w:r w:rsidRPr="00831400">
        <w:t>Decision</w:t>
      </w:r>
    </w:p>
    <w:p w14:paraId="22E93B3A" w14:textId="77777777" w:rsidR="005B7A98" w:rsidRPr="000E1181" w:rsidRDefault="005B7A98" w:rsidP="005B7A98">
      <w:bookmarkStart w:id="66" w:name="_Hlk177045567"/>
      <w:r>
        <w:t>Pursuant to section 52</w:t>
      </w:r>
      <w:proofErr w:type="gramStart"/>
      <w:r>
        <w:t>D(</w:t>
      </w:r>
      <w:proofErr w:type="gramEnd"/>
      <w:r>
        <w:t>2) of the Act</w:t>
      </w:r>
      <w:r w:rsidRPr="000E1181">
        <w:t>, a Delegate of the Secretary has made a final decision to amend the current Poisons Standard in relation to carbendazim as follows:</w:t>
      </w:r>
      <w:r w:rsidRPr="000E1181">
        <w:rPr>
          <w:vertAlign w:val="superscript"/>
        </w:rPr>
        <w:t xml:space="preserve"> </w:t>
      </w:r>
      <w:r w:rsidRPr="000E1181">
        <w:rPr>
          <w:vertAlign w:val="superscript"/>
        </w:rPr>
        <w:footnoteReference w:id="49"/>
      </w:r>
    </w:p>
    <w:bookmarkEnd w:id="66"/>
    <w:p w14:paraId="6891E168" w14:textId="77777777" w:rsidR="005B7A98" w:rsidRPr="00831400" w:rsidRDefault="005B7A98" w:rsidP="005B7A98">
      <w:pPr>
        <w:ind w:left="426"/>
        <w:rPr>
          <w:rFonts w:cstheme="minorHAnsi"/>
          <w:b/>
        </w:rPr>
      </w:pPr>
      <w:r w:rsidRPr="00831400">
        <w:rPr>
          <w:rFonts w:cstheme="minorHAnsi"/>
          <w:b/>
        </w:rPr>
        <w:t xml:space="preserve">Schedule </w:t>
      </w:r>
      <w:r>
        <w:rPr>
          <w:rFonts w:cstheme="minorHAnsi"/>
          <w:b/>
        </w:rPr>
        <w:t>7 – Amend entry</w:t>
      </w:r>
    </w:p>
    <w:p w14:paraId="3F813B9B" w14:textId="77777777" w:rsidR="005B7A98" w:rsidRPr="00831400" w:rsidRDefault="005B7A98" w:rsidP="005B7A98">
      <w:pPr>
        <w:ind w:left="709"/>
        <w:rPr>
          <w:rFonts w:cstheme="minorHAnsi"/>
          <w:strike/>
          <w:color w:val="FF0000"/>
          <w:u w:val="single"/>
        </w:rPr>
      </w:pPr>
      <w:r w:rsidRPr="00A757D2">
        <w:rPr>
          <w:rFonts w:cstheme="minorHAnsi"/>
        </w:rPr>
        <w:t>CARBENDAZIM e</w:t>
      </w:r>
      <w:r w:rsidRPr="00A757D2">
        <w:rPr>
          <w:b/>
          <w:bCs/>
        </w:rPr>
        <w:t>xcept</w:t>
      </w:r>
      <w:r w:rsidRPr="000F7E47">
        <w:t xml:space="preserve"> in paints, jointing compounds and sealants containing </w:t>
      </w:r>
      <w:r w:rsidRPr="000F7E47">
        <w:rPr>
          <w:strike/>
          <w:color w:val="FF0000"/>
        </w:rPr>
        <w:t>0.1%</w:t>
      </w:r>
      <w:r w:rsidRPr="000F7E47">
        <w:rPr>
          <w:color w:val="FF0000"/>
        </w:rPr>
        <w:t xml:space="preserve"> </w:t>
      </w:r>
      <w:r w:rsidRPr="000F7E47">
        <w:rPr>
          <w:rFonts w:cstheme="minorHAnsi"/>
          <w:color w:val="00B050"/>
          <w:u w:val="single"/>
        </w:rPr>
        <w:t>0.35%</w:t>
      </w:r>
      <w:r>
        <w:rPr>
          <w:color w:val="000000"/>
        </w:rPr>
        <w:t xml:space="preserve"> or less of carbendazim</w:t>
      </w:r>
    </w:p>
    <w:p w14:paraId="5BD88791" w14:textId="77777777" w:rsidR="005B7A98" w:rsidRPr="00831400" w:rsidRDefault="005B7A98" w:rsidP="005B7A98">
      <w:pPr>
        <w:ind w:left="426"/>
        <w:rPr>
          <w:rFonts w:cstheme="minorHAnsi"/>
          <w:b/>
        </w:rPr>
      </w:pPr>
      <w:r w:rsidRPr="00831400">
        <w:rPr>
          <w:rFonts w:cstheme="minorHAnsi"/>
          <w:b/>
        </w:rPr>
        <w:t>Index</w:t>
      </w:r>
    </w:p>
    <w:p w14:paraId="1CD5B2D9" w14:textId="77777777" w:rsidR="005B7A98" w:rsidRPr="00A757D2" w:rsidRDefault="005B7A98" w:rsidP="005B7A98">
      <w:pPr>
        <w:spacing w:after="0"/>
        <w:ind w:firstLine="709"/>
        <w:rPr>
          <w:rFonts w:cstheme="minorHAnsi"/>
          <w:b/>
          <w:bCs/>
        </w:rPr>
      </w:pPr>
      <w:r w:rsidRPr="00A757D2">
        <w:rPr>
          <w:rFonts w:cstheme="minorHAnsi"/>
          <w:b/>
          <w:bCs/>
        </w:rPr>
        <w:t>CARBENDAZIM</w:t>
      </w:r>
    </w:p>
    <w:p w14:paraId="4D3AFB42" w14:textId="77777777" w:rsidR="005B7A98" w:rsidRPr="00A757D2" w:rsidRDefault="005B7A98" w:rsidP="005B7A98">
      <w:pPr>
        <w:ind w:firstLine="709"/>
        <w:rPr>
          <w:rFonts w:cstheme="minorHAnsi"/>
          <w:strike/>
        </w:rPr>
      </w:pPr>
      <w:r w:rsidRPr="00A757D2">
        <w:rPr>
          <w:rFonts w:cstheme="minorHAnsi"/>
        </w:rPr>
        <w:t>Schedule 7</w:t>
      </w:r>
    </w:p>
    <w:p w14:paraId="6AC5F74E" w14:textId="05265707" w:rsidR="005B7A98" w:rsidRPr="00831400" w:rsidRDefault="005B7A98" w:rsidP="00934FDF">
      <w:pPr>
        <w:pStyle w:val="Heading4"/>
      </w:pPr>
      <w:r w:rsidRPr="00831400">
        <w:t>Materials considered</w:t>
      </w:r>
    </w:p>
    <w:p w14:paraId="47AD4D7E" w14:textId="77777777" w:rsidR="005B7A98" w:rsidRPr="00831400" w:rsidRDefault="005B7A98" w:rsidP="005B7A98">
      <w:r w:rsidRPr="00831400">
        <w:t>In making this final decision, the Delegate considered the following material:</w:t>
      </w:r>
    </w:p>
    <w:p w14:paraId="5E82B2D0" w14:textId="2AE54CB6" w:rsidR="005B7A98" w:rsidRPr="00831400" w:rsidRDefault="005B7A98" w:rsidP="005B7A98">
      <w:pPr>
        <w:pStyle w:val="ListBullet"/>
      </w:pPr>
      <w:r w:rsidRPr="00831400">
        <w:t>Subsection 52</w:t>
      </w:r>
      <w:proofErr w:type="gramStart"/>
      <w:r w:rsidRPr="00831400">
        <w:t>E(</w:t>
      </w:r>
      <w:proofErr w:type="gramEnd"/>
      <w:r w:rsidRPr="00831400">
        <w:t xml:space="preserve">1) of </w:t>
      </w:r>
      <w:r w:rsidRPr="00831400">
        <w:rPr>
          <w:i/>
        </w:rPr>
        <w:t>the Therapeutic Goods Act 1989</w:t>
      </w:r>
      <w:r w:rsidRPr="00831400">
        <w:t>, in particular (a) the risks and benefits of the use of a substance; (b) the purposes for which a substance is to be used and the extent of use of a substance; (c) the toxicity of a substance</w:t>
      </w:r>
    </w:p>
    <w:p w14:paraId="7DEDD0B8" w14:textId="276D126A" w:rsidR="00934FDF" w:rsidRPr="00831400" w:rsidRDefault="00934FDF" w:rsidP="00934FDF">
      <w:pPr>
        <w:pStyle w:val="ListBullet"/>
      </w:pPr>
      <w:r>
        <w:t xml:space="preserve">Australian Industrial Chemicals Introduction Scheme (AICIS) </w:t>
      </w:r>
      <w:hyperlink r:id="rId56" w:history="1">
        <w:r>
          <w:rPr>
            <w:rStyle w:val="Hyperlink"/>
          </w:rPr>
          <w:t>evaluation statement on carbendazim</w:t>
        </w:r>
      </w:hyperlink>
      <w:r>
        <w:t xml:space="preserve"> published on 22 December 2022 (AICIS evaluation statement)</w:t>
      </w:r>
    </w:p>
    <w:p w14:paraId="5712BFCF" w14:textId="1F3D0941" w:rsidR="005B7A98" w:rsidRPr="00831400" w:rsidRDefault="005B7A98" w:rsidP="005B7A98">
      <w:pPr>
        <w:pStyle w:val="ListBullet"/>
      </w:pPr>
      <w:r w:rsidRPr="00831400">
        <w:t>Pursuant to paragraph 52E(2)(a) of the Act, the SPF</w:t>
      </w:r>
      <w:r w:rsidR="00934FDF">
        <w:t>, and</w:t>
      </w:r>
    </w:p>
    <w:p w14:paraId="055557C5" w14:textId="19318C9E" w:rsidR="005B7A98" w:rsidRDefault="005B7A98" w:rsidP="005B7A98">
      <w:pPr>
        <w:pStyle w:val="ListBullet"/>
      </w:pPr>
      <w:r w:rsidRPr="00831400">
        <w:t>The Handbook</w:t>
      </w:r>
      <w:r w:rsidR="00934FDF">
        <w:t>.</w:t>
      </w:r>
    </w:p>
    <w:p w14:paraId="5AC0BD04" w14:textId="77777777" w:rsidR="005B7A98" w:rsidRPr="000E1181" w:rsidRDefault="005B7A98" w:rsidP="00934FDF">
      <w:pPr>
        <w:pStyle w:val="Heading4"/>
      </w:pPr>
      <w:r w:rsidRPr="000E1181">
        <w:t>Reasons for the decision (including findings on material questions of fact)</w:t>
      </w:r>
    </w:p>
    <w:p w14:paraId="2F203099" w14:textId="0F560C65" w:rsidR="005B7A98" w:rsidRDefault="005B7A98" w:rsidP="005B7A98">
      <w:pPr>
        <w:pStyle w:val="ListBullet"/>
        <w:numPr>
          <w:ilvl w:val="0"/>
          <w:numId w:val="0"/>
        </w:numPr>
      </w:pPr>
      <w:r>
        <w:t>In exercising my power under section 52</w:t>
      </w:r>
      <w:proofErr w:type="gramStart"/>
      <w:r>
        <w:t>D(</w:t>
      </w:r>
      <w:proofErr w:type="gramEnd"/>
      <w:r>
        <w:t xml:space="preserve">2) of the Act, I have taken into account the information provided in the materials listed above. I have </w:t>
      </w:r>
      <w:proofErr w:type="gramStart"/>
      <w:r>
        <w:t>made a decision</w:t>
      </w:r>
      <w:proofErr w:type="gramEnd"/>
      <w:r>
        <w:t xml:space="preserve"> to amend the </w:t>
      </w:r>
      <w:r w:rsidR="00934FDF">
        <w:t xml:space="preserve">Dangerous </w:t>
      </w:r>
      <w:r w:rsidR="00E82526">
        <w:t>p</w:t>
      </w:r>
      <w:r w:rsidR="00934FDF">
        <w:t>oisons (</w:t>
      </w:r>
      <w:r>
        <w:t>Schedule 7</w:t>
      </w:r>
      <w:r w:rsidR="00934FDF">
        <w:t>)</w:t>
      </w:r>
      <w:r>
        <w:t xml:space="preserve"> entry for carbendazim to increase the concertation limit for exemption from 0.1% to 0.35%. T</w:t>
      </w:r>
      <w:r w:rsidRPr="008B1EEA">
        <w:t>his amendment was not referred to an expert advisory committee for their advice.</w:t>
      </w:r>
    </w:p>
    <w:p w14:paraId="00F537E0" w14:textId="28886D4E" w:rsidR="005B7A98" w:rsidRPr="000E1181" w:rsidRDefault="005B7A98" w:rsidP="00934FDF">
      <w:pPr>
        <w:pStyle w:val="ListBullet"/>
        <w:numPr>
          <w:ilvl w:val="0"/>
          <w:numId w:val="0"/>
        </w:numPr>
      </w:pPr>
      <w:r w:rsidRPr="000E1181">
        <w:t xml:space="preserve">In considering s 52E(1)(a) and (b) of the Act, carbendazim is a </w:t>
      </w:r>
      <w:r>
        <w:t xml:space="preserve">systemic fungicide </w:t>
      </w:r>
      <w:r w:rsidRPr="000E1181">
        <w:t>used to</w:t>
      </w:r>
      <w:r w:rsidRPr="00BD0132">
        <w:t xml:space="preserve"> control a broad range of diseases on pulses and macadamias</w:t>
      </w:r>
      <w:r>
        <w:t>. It is also</w:t>
      </w:r>
      <w:r w:rsidRPr="00BD0132">
        <w:t xml:space="preserve"> as a timber treatment</w:t>
      </w:r>
      <w:r w:rsidRPr="000E1181">
        <w:t xml:space="preserve"> </w:t>
      </w:r>
      <w:r>
        <w:t xml:space="preserve">to </w:t>
      </w:r>
      <w:r w:rsidRPr="000E1181">
        <w:t>improve the durability and quality of paints, jointing compounds, and sealants.</w:t>
      </w:r>
      <w:r w:rsidRPr="000E1181">
        <w:rPr>
          <w:vertAlign w:val="superscript"/>
        </w:rPr>
        <w:footnoteReference w:id="50"/>
      </w:r>
      <w:r w:rsidRPr="000E1181">
        <w:t xml:space="preserve"> </w:t>
      </w:r>
      <w:r>
        <w:t>C</w:t>
      </w:r>
      <w:r w:rsidRPr="000E1181">
        <w:t>arbendazim protect</w:t>
      </w:r>
      <w:r>
        <w:t xml:space="preserve">s the timber, </w:t>
      </w:r>
      <w:r w:rsidRPr="000E1181">
        <w:t xml:space="preserve">paints, jointing compounds, and sealants against fungal growth, which can affect the aesthetic, integrity and safety of the products over time. Fungal growth can </w:t>
      </w:r>
      <w:r>
        <w:t xml:space="preserve">also </w:t>
      </w:r>
      <w:r w:rsidRPr="000E1181">
        <w:t xml:space="preserve">lead to respiratory issues and allergic reactions. This makes carbendazim particularly useful in </w:t>
      </w:r>
      <w:r>
        <w:t xml:space="preserve">moist </w:t>
      </w:r>
      <w:r w:rsidRPr="000E1181">
        <w:t xml:space="preserve">environments </w:t>
      </w:r>
      <w:r>
        <w:t>which can promote fungal growth</w:t>
      </w:r>
      <w:r w:rsidRPr="000E1181">
        <w:t xml:space="preserve">. </w:t>
      </w:r>
      <w:r>
        <w:t xml:space="preserve">Currently carbendazim is captured in the Poisons Standard as a </w:t>
      </w:r>
      <w:r w:rsidR="00934FDF">
        <w:t xml:space="preserve">Dangerous </w:t>
      </w:r>
      <w:r w:rsidR="00E82526">
        <w:t>p</w:t>
      </w:r>
      <w:r w:rsidR="00934FDF">
        <w:t>oison (Schedule 7)</w:t>
      </w:r>
      <w:r>
        <w:t xml:space="preserve"> substance</w:t>
      </w:r>
      <w:r w:rsidRPr="00966953">
        <w:t xml:space="preserve"> except in paints, jointing compounds and sealants containing 0.1% or less of carbendazim.</w:t>
      </w:r>
    </w:p>
    <w:p w14:paraId="5A6D3B21" w14:textId="59A1F5BA" w:rsidR="005B7A98" w:rsidRPr="000E1181" w:rsidRDefault="005B7A98" w:rsidP="00934FDF">
      <w:pPr>
        <w:pStyle w:val="ListBullet"/>
        <w:numPr>
          <w:ilvl w:val="0"/>
          <w:numId w:val="0"/>
        </w:numPr>
      </w:pPr>
      <w:r w:rsidRPr="000E1181">
        <w:t xml:space="preserve">In relation to s 52E(1)(c) of the Act, carbendazim has significant safety concerns but the harm is substantially mitigated at a concentration of 0.35% in paints, jointing compounds, and sealants. I have </w:t>
      </w:r>
      <w:r>
        <w:t>reviewed</w:t>
      </w:r>
      <w:r w:rsidRPr="000E1181">
        <w:t xml:space="preserve"> the toxicity of carbendazim </w:t>
      </w:r>
      <w:r>
        <w:t>at 0.35%</w:t>
      </w:r>
      <w:r w:rsidRPr="000E1181">
        <w:t xml:space="preserve"> concentration </w:t>
      </w:r>
      <w:r>
        <w:t>including</w:t>
      </w:r>
      <w:r w:rsidRPr="000E1181">
        <w:t xml:space="preserve"> the new findings from the AICIS </w:t>
      </w:r>
      <w:r w:rsidRPr="000E1181">
        <w:lastRenderedPageBreak/>
        <w:t>evaluation</w:t>
      </w:r>
      <w:r>
        <w:t xml:space="preserve"> statement and </w:t>
      </w:r>
      <w:r w:rsidR="00E82526">
        <w:t>I am</w:t>
      </w:r>
      <w:r>
        <w:t xml:space="preserve"> satisfied that</w:t>
      </w:r>
      <w:r w:rsidRPr="000E1181">
        <w:t xml:space="preserve"> that the risks </w:t>
      </w:r>
      <w:r w:rsidR="00E82526">
        <w:t>can be managed at the higher concentration limit</w:t>
      </w:r>
      <w:r w:rsidRPr="000E1181">
        <w:t xml:space="preserve">. I recognise </w:t>
      </w:r>
      <w:r w:rsidR="00E82526">
        <w:t xml:space="preserve">that </w:t>
      </w:r>
      <w:r w:rsidRPr="000E1181">
        <w:t xml:space="preserve">the critical health effects for carbendazim include systemic long-term effects such as mutagenicity and reproductive toxicity. However, dermal absorption of carbendazim is minimal, with studies demonstrating less than 2% absorption in both human and rat skin when exposed to paint formulations containing carbendazim. Additionally, inhalation risks during typical use of these products are low. </w:t>
      </w:r>
      <w:r w:rsidR="00E82526">
        <w:t>The d</w:t>
      </w:r>
      <w:r w:rsidRPr="000E1181">
        <w:t xml:space="preserve">ermal and inhalation margin of exposure’s (MOEs) for both methods of paint application (brush and airless spray) were greater than 100 </w:t>
      </w:r>
      <w:r w:rsidR="00E82526">
        <w:t xml:space="preserve">when </w:t>
      </w:r>
      <w:r w:rsidRPr="000E1181">
        <w:t xml:space="preserve">assuming a maximum concentration of 0.35% carbendazim in paints. This presents an acceptable risk to people applying paint and other surface coverings containing carbendazim </w:t>
      </w:r>
      <w:r w:rsidR="00E82526">
        <w:t xml:space="preserve">at </w:t>
      </w:r>
      <w:r w:rsidRPr="000E1181">
        <w:t>0.35% or less.</w:t>
      </w:r>
    </w:p>
    <w:p w14:paraId="2B824804" w14:textId="39BC9931" w:rsidR="005B7A98" w:rsidRPr="000E1181" w:rsidRDefault="005B7A98" w:rsidP="00934FDF">
      <w:pPr>
        <w:pStyle w:val="ListBullet"/>
        <w:numPr>
          <w:ilvl w:val="0"/>
          <w:numId w:val="0"/>
        </w:numPr>
      </w:pPr>
      <w:r>
        <w:t>Overall,</w:t>
      </w:r>
      <w:r w:rsidRPr="000E1181">
        <w:t xml:space="preserve"> I find the evidence </w:t>
      </w:r>
      <w:r>
        <w:t xml:space="preserve">presented in the AICIS evaluation statement </w:t>
      </w:r>
      <w:r w:rsidRPr="000E1181">
        <w:t xml:space="preserve">supports an increase </w:t>
      </w:r>
      <w:r>
        <w:t>in the concentration limit</w:t>
      </w:r>
      <w:r w:rsidRPr="000E1181">
        <w:t xml:space="preserve"> </w:t>
      </w:r>
      <w:r>
        <w:t xml:space="preserve">for exempting </w:t>
      </w:r>
      <w:r w:rsidRPr="000E1181">
        <w:t>carbendazim</w:t>
      </w:r>
      <w:r>
        <w:t xml:space="preserve"> in</w:t>
      </w:r>
      <w:r w:rsidRPr="000E1181">
        <w:t xml:space="preserve"> paints, jointing compounds, and sealants from</w:t>
      </w:r>
      <w:r>
        <w:t xml:space="preserve"> </w:t>
      </w:r>
      <w:r w:rsidR="00934FDF">
        <w:t>Dangerous Poisons (Schedule 7)</w:t>
      </w:r>
      <w:r>
        <w:t xml:space="preserve"> classification from </w:t>
      </w:r>
      <w:r w:rsidRPr="000E1181">
        <w:t>0.1% to 0.35%. Th</w:t>
      </w:r>
      <w:r>
        <w:t>is</w:t>
      </w:r>
      <w:r w:rsidRPr="000E1181">
        <w:t xml:space="preserve"> amendment </w:t>
      </w:r>
      <w:r>
        <w:t>provides</w:t>
      </w:r>
      <w:r w:rsidRPr="000E1181">
        <w:t xml:space="preserve"> </w:t>
      </w:r>
      <w:r>
        <w:t>scope</w:t>
      </w:r>
      <w:r w:rsidRPr="000E1181">
        <w:t xml:space="preserve"> to enhance the effectiveness </w:t>
      </w:r>
      <w:r>
        <w:t xml:space="preserve">of carbendazim containing products </w:t>
      </w:r>
      <w:r w:rsidRPr="000E1181">
        <w:t>while ensuring that the risks remain controlled and within acceptable limits.</w:t>
      </w:r>
    </w:p>
    <w:p w14:paraId="40119D64" w14:textId="77777777" w:rsidR="005B7A98" w:rsidRPr="00E527AC" w:rsidRDefault="005B7A98" w:rsidP="00934FDF">
      <w:pPr>
        <w:pStyle w:val="Heading4"/>
      </w:pPr>
      <w:r w:rsidRPr="00E527AC">
        <w:t>Implementation date</w:t>
      </w:r>
    </w:p>
    <w:p w14:paraId="7ECFDA4B" w14:textId="77777777" w:rsidR="005B7A98" w:rsidRPr="008B1EEA" w:rsidRDefault="005B7A98" w:rsidP="005B7A98">
      <w:pPr>
        <w:pStyle w:val="ListBullet"/>
        <w:numPr>
          <w:ilvl w:val="0"/>
          <w:numId w:val="0"/>
        </w:numPr>
        <w:spacing w:before="0" w:after="120" w:line="259" w:lineRule="auto"/>
        <w:rPr>
          <w:color w:val="auto"/>
        </w:rPr>
      </w:pPr>
      <w:r>
        <w:rPr>
          <w:color w:val="auto"/>
        </w:rPr>
        <w:t>1 October 2024.</w:t>
      </w:r>
    </w:p>
    <w:p w14:paraId="15B7E497" w14:textId="69965832" w:rsidR="007165B1" w:rsidRDefault="007165B1" w:rsidP="00932395">
      <w:pPr>
        <w:pStyle w:val="Heading3"/>
        <w:rPr>
          <w:sz w:val="38"/>
          <w:szCs w:val="38"/>
        </w:rPr>
      </w:pPr>
      <w:r>
        <w:br w:type="page"/>
      </w:r>
    </w:p>
    <w:p w14:paraId="7166D417" w14:textId="22F0D531" w:rsidR="000D7942" w:rsidRPr="005069D2" w:rsidRDefault="000D7942" w:rsidP="000D7942">
      <w:pPr>
        <w:pStyle w:val="Heading2"/>
      </w:pPr>
      <w:bookmarkStart w:id="67" w:name="_Toc178340916"/>
      <w:r w:rsidRPr="005069D2">
        <w:lastRenderedPageBreak/>
        <w:t>Amendments to the Poison Standard in relation to New Chemical Entities (NCEs)</w:t>
      </w:r>
      <w:bookmarkEnd w:id="67"/>
    </w:p>
    <w:p w14:paraId="65568A5C" w14:textId="00B2F47C" w:rsidR="000D7942" w:rsidRDefault="000D7942" w:rsidP="00967490">
      <w:r>
        <w:t>The NCEs liste</w:t>
      </w:r>
      <w:r w:rsidRPr="00A27362">
        <w:t>d below will be inc</w:t>
      </w:r>
      <w:r w:rsidRPr="003C7F4C">
        <w:t>luded in the new Poisons Standard that will come into effect on 1 October 20</w:t>
      </w:r>
      <w:r w:rsidR="003C7F4C" w:rsidRPr="003C7F4C">
        <w:t>24</w:t>
      </w:r>
      <w:r w:rsidRPr="003C7F4C">
        <w:t>.</w:t>
      </w:r>
    </w:p>
    <w:p w14:paraId="19CA7B70" w14:textId="1A854C91" w:rsidR="000D7942" w:rsidRPr="00612683" w:rsidRDefault="001E089E" w:rsidP="000D7942">
      <w:pPr>
        <w:pStyle w:val="Heading3"/>
        <w:spacing w:before="240" w:line="220" w:lineRule="atLeast"/>
      </w:pPr>
      <w:bookmarkStart w:id="68" w:name="_Toc178340917"/>
      <w:proofErr w:type="spellStart"/>
      <w:r w:rsidRPr="001E089E">
        <w:t>Vutrisiran</w:t>
      </w:r>
      <w:bookmarkEnd w:id="68"/>
      <w:proofErr w:type="spellEnd"/>
    </w:p>
    <w:tbl>
      <w:tblPr>
        <w:tblStyle w:val="TableGrid"/>
        <w:tblW w:w="0" w:type="auto"/>
        <w:tblInd w:w="988" w:type="dxa"/>
        <w:tblLook w:val="04A0" w:firstRow="1" w:lastRow="0" w:firstColumn="1" w:lastColumn="0" w:noHBand="0" w:noVBand="1"/>
      </w:tblPr>
      <w:tblGrid>
        <w:gridCol w:w="8072"/>
      </w:tblGrid>
      <w:tr w:rsidR="000D7942" w14:paraId="34913987" w14:textId="77777777" w:rsidTr="00EE0811">
        <w:tc>
          <w:tcPr>
            <w:tcW w:w="8072" w:type="dxa"/>
          </w:tcPr>
          <w:p w14:paraId="07EE3D13" w14:textId="2ACF0E3B" w:rsidR="000D7942" w:rsidRPr="00247188" w:rsidRDefault="000D7942" w:rsidP="00EE0811">
            <w:pPr>
              <w:spacing w:before="120" w:after="120"/>
              <w:rPr>
                <w:rFonts w:cs="Arial"/>
                <w:sz w:val="20"/>
                <w:szCs w:val="20"/>
              </w:rPr>
            </w:pPr>
            <w:r w:rsidRPr="00247188">
              <w:rPr>
                <w:rStyle w:val="Strong"/>
                <w:rFonts w:cs="Arial"/>
                <w:color w:val="000000"/>
                <w:sz w:val="20"/>
                <w:szCs w:val="20"/>
              </w:rPr>
              <w:t xml:space="preserve">Schedule </w:t>
            </w:r>
            <w:r w:rsidR="00B36AFE" w:rsidRPr="00247188">
              <w:rPr>
                <w:rStyle w:val="Strong"/>
                <w:rFonts w:cs="Arial"/>
                <w:color w:val="000000"/>
                <w:sz w:val="20"/>
                <w:szCs w:val="20"/>
              </w:rPr>
              <w:t>4</w:t>
            </w:r>
            <w:r w:rsidRPr="00247188">
              <w:rPr>
                <w:rStyle w:val="Strong"/>
                <w:rFonts w:cs="Arial"/>
                <w:color w:val="000000"/>
                <w:sz w:val="20"/>
                <w:szCs w:val="20"/>
              </w:rPr>
              <w:t xml:space="preserve"> – New Entry</w:t>
            </w:r>
          </w:p>
          <w:p w14:paraId="46CB8B20" w14:textId="77777777" w:rsidR="00E65F1F" w:rsidRPr="00247188" w:rsidRDefault="00E65F1F" w:rsidP="00EE0811">
            <w:pPr>
              <w:spacing w:before="120" w:after="120"/>
              <w:rPr>
                <w:rFonts w:cs="Arial"/>
                <w:color w:val="00B050"/>
                <w:sz w:val="20"/>
                <w:szCs w:val="20"/>
                <w:u w:val="single"/>
              </w:rPr>
            </w:pPr>
            <w:r w:rsidRPr="00247188">
              <w:rPr>
                <w:rFonts w:cs="Arial"/>
                <w:color w:val="00B050"/>
                <w:sz w:val="20"/>
                <w:szCs w:val="20"/>
                <w:u w:val="single"/>
              </w:rPr>
              <w:t>VUTRISIRAN</w:t>
            </w:r>
          </w:p>
          <w:p w14:paraId="5FC54EB8" w14:textId="6A9A9178" w:rsidR="000D7942" w:rsidRPr="00247188" w:rsidRDefault="000D7942" w:rsidP="00EE0811">
            <w:pPr>
              <w:spacing w:before="120" w:after="120"/>
              <w:rPr>
                <w:rFonts w:cs="Arial"/>
                <w:sz w:val="20"/>
                <w:szCs w:val="20"/>
              </w:rPr>
            </w:pPr>
            <w:r w:rsidRPr="00247188">
              <w:rPr>
                <w:rStyle w:val="Strong"/>
                <w:rFonts w:cs="Arial"/>
                <w:color w:val="000000"/>
                <w:sz w:val="20"/>
                <w:szCs w:val="20"/>
              </w:rPr>
              <w:t>Index – New Entry</w:t>
            </w:r>
          </w:p>
          <w:p w14:paraId="551F5AC8" w14:textId="77777777" w:rsidR="001E089E" w:rsidRPr="00247188" w:rsidRDefault="001E089E" w:rsidP="00EE0811">
            <w:pPr>
              <w:spacing w:before="120" w:after="120"/>
              <w:rPr>
                <w:rFonts w:cs="Arial"/>
                <w:b/>
                <w:bCs/>
                <w:color w:val="00B050"/>
                <w:sz w:val="20"/>
                <w:szCs w:val="20"/>
                <w:u w:val="single"/>
              </w:rPr>
            </w:pPr>
            <w:r w:rsidRPr="00247188">
              <w:rPr>
                <w:rFonts w:cs="Arial"/>
                <w:b/>
                <w:bCs/>
                <w:color w:val="00B050"/>
                <w:sz w:val="20"/>
                <w:szCs w:val="20"/>
                <w:u w:val="single"/>
              </w:rPr>
              <w:t>VUTRISIRAN</w:t>
            </w:r>
          </w:p>
          <w:p w14:paraId="078C832E" w14:textId="7F68089D" w:rsidR="000D7942" w:rsidRPr="00013BFF" w:rsidRDefault="000D7942" w:rsidP="00EE0811">
            <w:pPr>
              <w:spacing w:before="120" w:after="120"/>
              <w:rPr>
                <w:color w:val="00B050"/>
              </w:rPr>
            </w:pPr>
            <w:r w:rsidRPr="00247188">
              <w:rPr>
                <w:rFonts w:cs="Arial"/>
                <w:color w:val="00B050"/>
                <w:sz w:val="20"/>
                <w:szCs w:val="20"/>
                <w:u w:val="single"/>
              </w:rPr>
              <w:t xml:space="preserve">Schedule </w:t>
            </w:r>
            <w:r w:rsidR="00B36AFE" w:rsidRPr="00247188">
              <w:rPr>
                <w:rFonts w:cs="Arial"/>
                <w:color w:val="00B050"/>
                <w:sz w:val="20"/>
                <w:szCs w:val="20"/>
                <w:u w:val="single"/>
              </w:rPr>
              <w:t>4</w:t>
            </w:r>
          </w:p>
        </w:tc>
      </w:tr>
    </w:tbl>
    <w:p w14:paraId="2CE4D8DC" w14:textId="09E82590" w:rsidR="00B36AFE" w:rsidRPr="00612683" w:rsidRDefault="00CC3661" w:rsidP="00B36AFE">
      <w:pPr>
        <w:pStyle w:val="Heading3"/>
        <w:spacing w:before="240" w:line="220" w:lineRule="atLeast"/>
      </w:pPr>
      <w:bookmarkStart w:id="69" w:name="_Toc178340918"/>
      <w:proofErr w:type="spellStart"/>
      <w:r w:rsidRPr="002608C4">
        <w:t>Ritlecitinib</w:t>
      </w:r>
      <w:bookmarkEnd w:id="69"/>
      <w:proofErr w:type="spellEnd"/>
    </w:p>
    <w:tbl>
      <w:tblPr>
        <w:tblStyle w:val="TableGrid"/>
        <w:tblW w:w="0" w:type="auto"/>
        <w:tblInd w:w="988" w:type="dxa"/>
        <w:tblLook w:val="04A0" w:firstRow="1" w:lastRow="0" w:firstColumn="1" w:lastColumn="0" w:noHBand="0" w:noVBand="1"/>
      </w:tblPr>
      <w:tblGrid>
        <w:gridCol w:w="8072"/>
      </w:tblGrid>
      <w:tr w:rsidR="00B36AFE" w14:paraId="4E95783B" w14:textId="77777777" w:rsidTr="00B77F23">
        <w:tc>
          <w:tcPr>
            <w:tcW w:w="8072" w:type="dxa"/>
          </w:tcPr>
          <w:p w14:paraId="62604D35" w14:textId="77777777" w:rsidR="00B36AFE" w:rsidRPr="00247188" w:rsidRDefault="00B36AFE" w:rsidP="00B77F23">
            <w:pPr>
              <w:spacing w:before="120" w:after="120"/>
              <w:rPr>
                <w:rFonts w:cs="Arial"/>
                <w:sz w:val="20"/>
                <w:szCs w:val="20"/>
              </w:rPr>
            </w:pPr>
            <w:r w:rsidRPr="00247188">
              <w:rPr>
                <w:rStyle w:val="Strong"/>
                <w:rFonts w:cs="Arial"/>
                <w:color w:val="000000"/>
                <w:sz w:val="20"/>
                <w:szCs w:val="20"/>
              </w:rPr>
              <w:t>Schedule 4 – New Entry</w:t>
            </w:r>
          </w:p>
          <w:p w14:paraId="6A261966" w14:textId="77777777" w:rsidR="002608C4" w:rsidRPr="00247188" w:rsidRDefault="002608C4" w:rsidP="00B77F23">
            <w:pPr>
              <w:spacing w:before="120" w:after="120"/>
              <w:rPr>
                <w:rFonts w:cs="Arial"/>
                <w:color w:val="00B050"/>
                <w:sz w:val="20"/>
                <w:szCs w:val="20"/>
                <w:u w:val="single"/>
              </w:rPr>
            </w:pPr>
            <w:r w:rsidRPr="00247188">
              <w:rPr>
                <w:rFonts w:cs="Arial"/>
                <w:color w:val="00B050"/>
                <w:sz w:val="20"/>
                <w:szCs w:val="20"/>
                <w:u w:val="single"/>
              </w:rPr>
              <w:t>RITLECITINIB</w:t>
            </w:r>
          </w:p>
          <w:p w14:paraId="520774F3" w14:textId="58B67151" w:rsidR="00B36AFE" w:rsidRPr="00247188" w:rsidRDefault="00B36AFE" w:rsidP="00B77F23">
            <w:pPr>
              <w:spacing w:before="120" w:after="120"/>
              <w:rPr>
                <w:rFonts w:cs="Arial"/>
                <w:sz w:val="20"/>
                <w:szCs w:val="20"/>
              </w:rPr>
            </w:pPr>
            <w:r w:rsidRPr="00247188">
              <w:rPr>
                <w:rStyle w:val="Strong"/>
                <w:rFonts w:cs="Arial"/>
                <w:color w:val="000000"/>
                <w:sz w:val="20"/>
                <w:szCs w:val="20"/>
              </w:rPr>
              <w:t>Index – New Entry</w:t>
            </w:r>
          </w:p>
          <w:p w14:paraId="7FEA21CF" w14:textId="77777777" w:rsidR="002608C4" w:rsidRPr="00247188" w:rsidRDefault="002608C4" w:rsidP="00B77F23">
            <w:pPr>
              <w:spacing w:before="120" w:after="120"/>
              <w:rPr>
                <w:rFonts w:cs="Arial"/>
                <w:b/>
                <w:bCs/>
                <w:color w:val="00B050"/>
                <w:sz w:val="20"/>
                <w:szCs w:val="20"/>
                <w:u w:val="single"/>
              </w:rPr>
            </w:pPr>
            <w:r w:rsidRPr="00247188">
              <w:rPr>
                <w:rFonts w:cs="Arial"/>
                <w:b/>
                <w:bCs/>
                <w:color w:val="00B050"/>
                <w:sz w:val="20"/>
                <w:szCs w:val="20"/>
                <w:u w:val="single"/>
              </w:rPr>
              <w:t>RITLECITINIB</w:t>
            </w:r>
          </w:p>
          <w:p w14:paraId="4164AEDF" w14:textId="2C34C805" w:rsidR="00B36AFE" w:rsidRPr="00013BFF" w:rsidRDefault="00B36AFE" w:rsidP="00B77F23">
            <w:pPr>
              <w:spacing w:before="120" w:after="120"/>
              <w:rPr>
                <w:color w:val="00B050"/>
              </w:rPr>
            </w:pPr>
            <w:r w:rsidRPr="00247188">
              <w:rPr>
                <w:rFonts w:cs="Arial"/>
                <w:color w:val="00B050"/>
                <w:sz w:val="20"/>
                <w:szCs w:val="20"/>
                <w:u w:val="single"/>
              </w:rPr>
              <w:t>Schedule 4</w:t>
            </w:r>
          </w:p>
        </w:tc>
      </w:tr>
    </w:tbl>
    <w:p w14:paraId="57324A65" w14:textId="548ADA5D" w:rsidR="00B36AFE" w:rsidRPr="00612683" w:rsidRDefault="00CC3661" w:rsidP="00B36AFE">
      <w:pPr>
        <w:pStyle w:val="Heading3"/>
        <w:spacing w:before="240" w:line="220" w:lineRule="atLeast"/>
      </w:pPr>
      <w:bookmarkStart w:id="70" w:name="_Toc178340919"/>
      <w:proofErr w:type="spellStart"/>
      <w:r w:rsidRPr="002608C4">
        <w:t>Odevixibat</w:t>
      </w:r>
      <w:bookmarkEnd w:id="70"/>
      <w:proofErr w:type="spellEnd"/>
    </w:p>
    <w:tbl>
      <w:tblPr>
        <w:tblStyle w:val="TableGrid"/>
        <w:tblW w:w="0" w:type="auto"/>
        <w:tblInd w:w="988" w:type="dxa"/>
        <w:tblLook w:val="04A0" w:firstRow="1" w:lastRow="0" w:firstColumn="1" w:lastColumn="0" w:noHBand="0" w:noVBand="1"/>
      </w:tblPr>
      <w:tblGrid>
        <w:gridCol w:w="8072"/>
      </w:tblGrid>
      <w:tr w:rsidR="00B36AFE" w14:paraId="0920BC4B" w14:textId="77777777" w:rsidTr="00B77F23">
        <w:tc>
          <w:tcPr>
            <w:tcW w:w="8072" w:type="dxa"/>
          </w:tcPr>
          <w:p w14:paraId="3F5CF229" w14:textId="77777777" w:rsidR="00B36AFE" w:rsidRPr="00247188" w:rsidRDefault="00B36AFE" w:rsidP="00B77F23">
            <w:pPr>
              <w:spacing w:before="120" w:after="120"/>
              <w:rPr>
                <w:rFonts w:cs="Arial"/>
                <w:sz w:val="20"/>
                <w:szCs w:val="20"/>
              </w:rPr>
            </w:pPr>
            <w:r w:rsidRPr="00247188">
              <w:rPr>
                <w:rStyle w:val="Strong"/>
                <w:rFonts w:cs="Arial"/>
                <w:color w:val="000000"/>
                <w:sz w:val="20"/>
                <w:szCs w:val="20"/>
              </w:rPr>
              <w:t>Schedule 4 – New Entry</w:t>
            </w:r>
          </w:p>
          <w:p w14:paraId="4D6A02F4" w14:textId="77777777" w:rsidR="002608C4" w:rsidRPr="00247188" w:rsidRDefault="002608C4" w:rsidP="00B77F23">
            <w:pPr>
              <w:spacing w:before="120" w:after="120"/>
              <w:rPr>
                <w:rFonts w:cs="Arial"/>
                <w:color w:val="00B050"/>
                <w:sz w:val="20"/>
                <w:szCs w:val="20"/>
                <w:u w:val="single"/>
              </w:rPr>
            </w:pPr>
            <w:r w:rsidRPr="00247188">
              <w:rPr>
                <w:rFonts w:cs="Arial"/>
                <w:color w:val="00B050"/>
                <w:sz w:val="20"/>
                <w:szCs w:val="20"/>
                <w:u w:val="single"/>
              </w:rPr>
              <w:t>ODEVIXIBAT</w:t>
            </w:r>
          </w:p>
          <w:p w14:paraId="31920D03" w14:textId="09DBB98D" w:rsidR="00B36AFE" w:rsidRPr="00247188" w:rsidRDefault="00B36AFE" w:rsidP="00B77F23">
            <w:pPr>
              <w:spacing w:before="120" w:after="120"/>
              <w:rPr>
                <w:rFonts w:cs="Arial"/>
                <w:sz w:val="20"/>
                <w:szCs w:val="20"/>
              </w:rPr>
            </w:pPr>
            <w:r w:rsidRPr="00247188">
              <w:rPr>
                <w:rStyle w:val="Strong"/>
                <w:rFonts w:cs="Arial"/>
                <w:color w:val="000000"/>
                <w:sz w:val="20"/>
                <w:szCs w:val="20"/>
              </w:rPr>
              <w:t>Index – New Entry</w:t>
            </w:r>
          </w:p>
          <w:p w14:paraId="6D9AB14A" w14:textId="77777777" w:rsidR="002608C4" w:rsidRPr="00247188" w:rsidRDefault="002608C4" w:rsidP="00B77F23">
            <w:pPr>
              <w:spacing w:before="120" w:after="120"/>
              <w:rPr>
                <w:rFonts w:cs="Arial"/>
                <w:b/>
                <w:bCs/>
                <w:color w:val="00B050"/>
                <w:sz w:val="20"/>
                <w:szCs w:val="20"/>
                <w:u w:val="single"/>
              </w:rPr>
            </w:pPr>
            <w:r w:rsidRPr="00247188">
              <w:rPr>
                <w:rFonts w:cs="Arial"/>
                <w:b/>
                <w:bCs/>
                <w:color w:val="00B050"/>
                <w:sz w:val="20"/>
                <w:szCs w:val="20"/>
                <w:u w:val="single"/>
              </w:rPr>
              <w:t>ODEVIXIBAT</w:t>
            </w:r>
          </w:p>
          <w:p w14:paraId="564DFE47" w14:textId="7A88CFD9" w:rsidR="00B36AFE" w:rsidRPr="00013BFF" w:rsidRDefault="00B36AFE" w:rsidP="00B77F23">
            <w:pPr>
              <w:spacing w:before="120" w:after="120"/>
              <w:rPr>
                <w:color w:val="00B050"/>
              </w:rPr>
            </w:pPr>
            <w:r w:rsidRPr="00247188">
              <w:rPr>
                <w:rFonts w:cs="Arial"/>
                <w:color w:val="00B050"/>
                <w:sz w:val="20"/>
                <w:szCs w:val="20"/>
                <w:u w:val="single"/>
              </w:rPr>
              <w:t>Schedule 4</w:t>
            </w:r>
          </w:p>
        </w:tc>
      </w:tr>
    </w:tbl>
    <w:p w14:paraId="2FF6E9E5" w14:textId="4F247A93" w:rsidR="00B36AFE" w:rsidRPr="00612683" w:rsidRDefault="00CC3661" w:rsidP="00B36AFE">
      <w:pPr>
        <w:pStyle w:val="Heading3"/>
        <w:spacing w:before="240" w:line="220" w:lineRule="atLeast"/>
      </w:pPr>
      <w:bookmarkStart w:id="71" w:name="_Toc178340920"/>
      <w:r w:rsidRPr="003C4DA5">
        <w:t xml:space="preserve">Pinaverium </w:t>
      </w:r>
      <w:r>
        <w:t>b</w:t>
      </w:r>
      <w:r w:rsidRPr="003C4DA5">
        <w:t>romide</w:t>
      </w:r>
      <w:bookmarkEnd w:id="71"/>
    </w:p>
    <w:tbl>
      <w:tblPr>
        <w:tblStyle w:val="TableGrid"/>
        <w:tblW w:w="0" w:type="auto"/>
        <w:tblInd w:w="988" w:type="dxa"/>
        <w:tblLook w:val="04A0" w:firstRow="1" w:lastRow="0" w:firstColumn="1" w:lastColumn="0" w:noHBand="0" w:noVBand="1"/>
      </w:tblPr>
      <w:tblGrid>
        <w:gridCol w:w="8072"/>
      </w:tblGrid>
      <w:tr w:rsidR="00B36AFE" w14:paraId="1097C431" w14:textId="77777777" w:rsidTr="00B77F23">
        <w:tc>
          <w:tcPr>
            <w:tcW w:w="8072" w:type="dxa"/>
          </w:tcPr>
          <w:p w14:paraId="2E77C1CC" w14:textId="77777777" w:rsidR="00B36AFE" w:rsidRPr="00247188" w:rsidRDefault="00B36AFE" w:rsidP="00B77F23">
            <w:pPr>
              <w:spacing w:before="120" w:after="120"/>
              <w:rPr>
                <w:rFonts w:cs="Arial"/>
                <w:sz w:val="20"/>
                <w:szCs w:val="20"/>
              </w:rPr>
            </w:pPr>
            <w:r w:rsidRPr="00247188">
              <w:rPr>
                <w:rStyle w:val="Strong"/>
                <w:rFonts w:cs="Arial"/>
                <w:color w:val="000000"/>
                <w:sz w:val="20"/>
                <w:szCs w:val="20"/>
              </w:rPr>
              <w:t>Schedule 4 – New Entry</w:t>
            </w:r>
          </w:p>
          <w:p w14:paraId="5EB896D8" w14:textId="77777777" w:rsidR="003C4DA5" w:rsidRPr="00247188" w:rsidRDefault="003C4DA5" w:rsidP="00B77F23">
            <w:pPr>
              <w:spacing w:before="120" w:after="120"/>
              <w:rPr>
                <w:rFonts w:cs="Arial"/>
                <w:color w:val="00B050"/>
                <w:sz w:val="20"/>
                <w:szCs w:val="20"/>
                <w:u w:val="single"/>
              </w:rPr>
            </w:pPr>
            <w:r w:rsidRPr="00247188">
              <w:rPr>
                <w:rFonts w:cs="Arial"/>
                <w:color w:val="00B050"/>
                <w:sz w:val="20"/>
                <w:szCs w:val="20"/>
                <w:u w:val="single"/>
              </w:rPr>
              <w:t>PINAVERIUM BROMIDE</w:t>
            </w:r>
          </w:p>
          <w:p w14:paraId="4C3233EE" w14:textId="2F9E15D7" w:rsidR="00B36AFE" w:rsidRPr="00247188" w:rsidRDefault="00B36AFE" w:rsidP="00B77F23">
            <w:pPr>
              <w:spacing w:before="120" w:after="120"/>
              <w:rPr>
                <w:rFonts w:cs="Arial"/>
                <w:sz w:val="20"/>
                <w:szCs w:val="20"/>
              </w:rPr>
            </w:pPr>
            <w:r w:rsidRPr="00247188">
              <w:rPr>
                <w:rStyle w:val="Strong"/>
                <w:rFonts w:cs="Arial"/>
                <w:color w:val="000000"/>
                <w:sz w:val="20"/>
                <w:szCs w:val="20"/>
              </w:rPr>
              <w:t>Index – New Entry</w:t>
            </w:r>
          </w:p>
          <w:p w14:paraId="120EF1A0" w14:textId="77777777" w:rsidR="003C4DA5" w:rsidRPr="00247188" w:rsidRDefault="003C4DA5" w:rsidP="00B77F23">
            <w:pPr>
              <w:spacing w:before="120" w:after="120"/>
              <w:rPr>
                <w:rFonts w:cs="Arial"/>
                <w:b/>
                <w:bCs/>
                <w:color w:val="00B050"/>
                <w:sz w:val="20"/>
                <w:szCs w:val="20"/>
                <w:u w:val="single"/>
              </w:rPr>
            </w:pPr>
            <w:r w:rsidRPr="00247188">
              <w:rPr>
                <w:rFonts w:cs="Arial"/>
                <w:b/>
                <w:bCs/>
                <w:color w:val="00B050"/>
                <w:sz w:val="20"/>
                <w:szCs w:val="20"/>
                <w:u w:val="single"/>
              </w:rPr>
              <w:t>PINAVERIUM BROMIDE</w:t>
            </w:r>
          </w:p>
          <w:p w14:paraId="1E78851F" w14:textId="5B70D101" w:rsidR="00B36AFE" w:rsidRPr="00013BFF" w:rsidRDefault="00B36AFE" w:rsidP="00B77F23">
            <w:pPr>
              <w:spacing w:before="120" w:after="120"/>
              <w:rPr>
                <w:color w:val="00B050"/>
              </w:rPr>
            </w:pPr>
            <w:r w:rsidRPr="00247188">
              <w:rPr>
                <w:rFonts w:cs="Arial"/>
                <w:color w:val="00B050"/>
                <w:sz w:val="20"/>
                <w:szCs w:val="20"/>
                <w:u w:val="single"/>
              </w:rPr>
              <w:t>Schedule 4</w:t>
            </w:r>
          </w:p>
        </w:tc>
      </w:tr>
    </w:tbl>
    <w:p w14:paraId="0102F6A2" w14:textId="77777777" w:rsidR="00FF2295" w:rsidRDefault="00FF2295" w:rsidP="00FF2295"/>
    <w:p w14:paraId="52EF769B" w14:textId="50F62275" w:rsidR="003C7F4C" w:rsidRPr="00612683" w:rsidRDefault="00FF2295" w:rsidP="0000665B">
      <w:pPr>
        <w:pStyle w:val="Heading3"/>
      </w:pPr>
      <w:r>
        <w:br w:type="page"/>
      </w:r>
      <w:bookmarkStart w:id="72" w:name="_Toc178340921"/>
      <w:proofErr w:type="spellStart"/>
      <w:r w:rsidR="00CC3661" w:rsidRPr="00DB3ECC">
        <w:lastRenderedPageBreak/>
        <w:t>Lumasiran</w:t>
      </w:r>
      <w:bookmarkEnd w:id="72"/>
      <w:proofErr w:type="spellEnd"/>
    </w:p>
    <w:tbl>
      <w:tblPr>
        <w:tblStyle w:val="TableGrid"/>
        <w:tblW w:w="0" w:type="auto"/>
        <w:tblInd w:w="988" w:type="dxa"/>
        <w:tblLook w:val="04A0" w:firstRow="1" w:lastRow="0" w:firstColumn="1" w:lastColumn="0" w:noHBand="0" w:noVBand="1"/>
      </w:tblPr>
      <w:tblGrid>
        <w:gridCol w:w="8072"/>
      </w:tblGrid>
      <w:tr w:rsidR="003C7F4C" w14:paraId="0C507D8C" w14:textId="77777777" w:rsidTr="00B77F23">
        <w:tc>
          <w:tcPr>
            <w:tcW w:w="8072" w:type="dxa"/>
          </w:tcPr>
          <w:p w14:paraId="47A60747" w14:textId="77777777" w:rsidR="003C7F4C" w:rsidRPr="00247188" w:rsidRDefault="003C7F4C" w:rsidP="00B77F23">
            <w:pPr>
              <w:spacing w:before="120" w:after="120"/>
              <w:rPr>
                <w:rFonts w:cs="Arial"/>
                <w:sz w:val="20"/>
                <w:szCs w:val="20"/>
              </w:rPr>
            </w:pPr>
            <w:r w:rsidRPr="00247188">
              <w:rPr>
                <w:rStyle w:val="Strong"/>
                <w:rFonts w:cs="Arial"/>
                <w:color w:val="000000"/>
                <w:sz w:val="20"/>
                <w:szCs w:val="20"/>
              </w:rPr>
              <w:t>Schedule 4 – New Entry</w:t>
            </w:r>
          </w:p>
          <w:p w14:paraId="09397C4A" w14:textId="77777777" w:rsidR="00DB3ECC" w:rsidRPr="00247188" w:rsidRDefault="00DB3ECC" w:rsidP="00B77F23">
            <w:pPr>
              <w:spacing w:before="120" w:after="120"/>
              <w:rPr>
                <w:rFonts w:cs="Arial"/>
                <w:color w:val="00B050"/>
                <w:sz w:val="20"/>
                <w:szCs w:val="20"/>
                <w:u w:val="single"/>
              </w:rPr>
            </w:pPr>
            <w:r w:rsidRPr="00247188">
              <w:rPr>
                <w:rFonts w:cs="Arial"/>
                <w:color w:val="00B050"/>
                <w:sz w:val="20"/>
                <w:szCs w:val="20"/>
                <w:u w:val="single"/>
              </w:rPr>
              <w:t>LUMASIRAN</w:t>
            </w:r>
          </w:p>
          <w:p w14:paraId="7CD05FE0" w14:textId="7DE9B108" w:rsidR="003C7F4C" w:rsidRPr="00247188" w:rsidRDefault="003C7F4C" w:rsidP="00B77F23">
            <w:pPr>
              <w:spacing w:before="120" w:after="120"/>
              <w:rPr>
                <w:rFonts w:cs="Arial"/>
                <w:sz w:val="20"/>
                <w:szCs w:val="20"/>
              </w:rPr>
            </w:pPr>
            <w:r w:rsidRPr="00247188">
              <w:rPr>
                <w:rStyle w:val="Strong"/>
                <w:rFonts w:cs="Arial"/>
                <w:color w:val="000000"/>
                <w:sz w:val="20"/>
                <w:szCs w:val="20"/>
              </w:rPr>
              <w:t>Index – New Entry</w:t>
            </w:r>
          </w:p>
          <w:p w14:paraId="35719F0C" w14:textId="77777777" w:rsidR="00DB3ECC" w:rsidRPr="00247188" w:rsidRDefault="00DB3ECC" w:rsidP="00B77F23">
            <w:pPr>
              <w:spacing w:before="120" w:after="120"/>
              <w:rPr>
                <w:rFonts w:cs="Arial"/>
                <w:b/>
                <w:bCs/>
                <w:color w:val="00B050"/>
                <w:sz w:val="20"/>
                <w:szCs w:val="20"/>
                <w:u w:val="single"/>
              </w:rPr>
            </w:pPr>
            <w:r w:rsidRPr="00247188">
              <w:rPr>
                <w:rFonts w:cs="Arial"/>
                <w:b/>
                <w:bCs/>
                <w:color w:val="00B050"/>
                <w:sz w:val="20"/>
                <w:szCs w:val="20"/>
                <w:u w:val="single"/>
              </w:rPr>
              <w:t>LUMASIRAN</w:t>
            </w:r>
          </w:p>
          <w:p w14:paraId="182987EE" w14:textId="75FAE6B5" w:rsidR="003C7F4C" w:rsidRPr="00013BFF" w:rsidRDefault="003C7F4C" w:rsidP="00B77F23">
            <w:pPr>
              <w:spacing w:before="120" w:after="120"/>
              <w:rPr>
                <w:color w:val="00B050"/>
              </w:rPr>
            </w:pPr>
            <w:r w:rsidRPr="00247188">
              <w:rPr>
                <w:rFonts w:cs="Arial"/>
                <w:color w:val="00B050"/>
                <w:sz w:val="20"/>
                <w:szCs w:val="20"/>
                <w:u w:val="single"/>
              </w:rPr>
              <w:t>Schedule 4</w:t>
            </w:r>
          </w:p>
        </w:tc>
      </w:tr>
    </w:tbl>
    <w:p w14:paraId="06ED0D4C" w14:textId="5DEB8431" w:rsidR="003C7F4C" w:rsidRPr="00612683" w:rsidRDefault="00CC3661" w:rsidP="003C7F4C">
      <w:pPr>
        <w:pStyle w:val="Heading3"/>
        <w:spacing w:before="240" w:line="220" w:lineRule="atLeast"/>
      </w:pPr>
      <w:bookmarkStart w:id="73" w:name="_Toc178340922"/>
      <w:proofErr w:type="spellStart"/>
      <w:r w:rsidRPr="008B7BA6">
        <w:t>Capivasertib</w:t>
      </w:r>
      <w:bookmarkEnd w:id="73"/>
      <w:proofErr w:type="spellEnd"/>
    </w:p>
    <w:tbl>
      <w:tblPr>
        <w:tblStyle w:val="TableGrid"/>
        <w:tblW w:w="0" w:type="auto"/>
        <w:tblInd w:w="988" w:type="dxa"/>
        <w:tblLook w:val="04A0" w:firstRow="1" w:lastRow="0" w:firstColumn="1" w:lastColumn="0" w:noHBand="0" w:noVBand="1"/>
      </w:tblPr>
      <w:tblGrid>
        <w:gridCol w:w="8072"/>
      </w:tblGrid>
      <w:tr w:rsidR="003C7F4C" w14:paraId="36C19AF3" w14:textId="77777777" w:rsidTr="00B77F23">
        <w:tc>
          <w:tcPr>
            <w:tcW w:w="8072" w:type="dxa"/>
          </w:tcPr>
          <w:p w14:paraId="4F23E13E" w14:textId="77777777" w:rsidR="003C7F4C" w:rsidRPr="00247188" w:rsidRDefault="003C7F4C" w:rsidP="00B77F23">
            <w:pPr>
              <w:spacing w:before="120" w:after="120"/>
              <w:rPr>
                <w:rFonts w:cs="Arial"/>
                <w:sz w:val="20"/>
                <w:szCs w:val="20"/>
              </w:rPr>
            </w:pPr>
            <w:r w:rsidRPr="00247188">
              <w:rPr>
                <w:rStyle w:val="Strong"/>
                <w:rFonts w:cs="Arial"/>
                <w:color w:val="000000"/>
                <w:sz w:val="20"/>
                <w:szCs w:val="20"/>
              </w:rPr>
              <w:t>Schedule 4 – New Entry</w:t>
            </w:r>
          </w:p>
          <w:p w14:paraId="4AFCC4F2" w14:textId="77777777" w:rsidR="008B7BA6" w:rsidRPr="00247188" w:rsidRDefault="008B7BA6" w:rsidP="00B77F23">
            <w:pPr>
              <w:spacing w:before="120" w:after="120"/>
              <w:rPr>
                <w:rFonts w:cs="Arial"/>
                <w:color w:val="00B050"/>
                <w:sz w:val="20"/>
                <w:szCs w:val="20"/>
                <w:u w:val="single"/>
              </w:rPr>
            </w:pPr>
            <w:r w:rsidRPr="00247188">
              <w:rPr>
                <w:rFonts w:cs="Arial"/>
                <w:color w:val="00B050"/>
                <w:sz w:val="20"/>
                <w:szCs w:val="20"/>
                <w:u w:val="single"/>
              </w:rPr>
              <w:t>CAPIVASERTIB</w:t>
            </w:r>
          </w:p>
          <w:p w14:paraId="3CF9E51C" w14:textId="30ABD450" w:rsidR="003C7F4C" w:rsidRPr="00247188" w:rsidRDefault="003C7F4C" w:rsidP="00B77F23">
            <w:pPr>
              <w:spacing w:before="120" w:after="120"/>
              <w:rPr>
                <w:rFonts w:cs="Arial"/>
                <w:sz w:val="20"/>
                <w:szCs w:val="20"/>
              </w:rPr>
            </w:pPr>
            <w:r w:rsidRPr="00247188">
              <w:rPr>
                <w:rStyle w:val="Strong"/>
                <w:rFonts w:cs="Arial"/>
                <w:color w:val="000000"/>
                <w:sz w:val="20"/>
                <w:szCs w:val="20"/>
              </w:rPr>
              <w:t>Index – New Entry</w:t>
            </w:r>
          </w:p>
          <w:p w14:paraId="5B804932" w14:textId="77777777" w:rsidR="008B7BA6" w:rsidRPr="00247188" w:rsidRDefault="008B7BA6" w:rsidP="00B77F23">
            <w:pPr>
              <w:spacing w:before="120" w:after="120"/>
              <w:rPr>
                <w:rFonts w:cs="Arial"/>
                <w:b/>
                <w:bCs/>
                <w:color w:val="00B050"/>
                <w:sz w:val="20"/>
                <w:szCs w:val="20"/>
                <w:u w:val="single"/>
              </w:rPr>
            </w:pPr>
            <w:r w:rsidRPr="00247188">
              <w:rPr>
                <w:rFonts w:cs="Arial"/>
                <w:b/>
                <w:bCs/>
                <w:color w:val="00B050"/>
                <w:sz w:val="20"/>
                <w:szCs w:val="20"/>
                <w:u w:val="single"/>
              </w:rPr>
              <w:t>CAPIVASERTIB</w:t>
            </w:r>
          </w:p>
          <w:p w14:paraId="30EAB229" w14:textId="3127B610" w:rsidR="003C7F4C" w:rsidRPr="00013BFF" w:rsidRDefault="003C7F4C" w:rsidP="00B77F23">
            <w:pPr>
              <w:spacing w:before="120" w:after="120"/>
              <w:rPr>
                <w:color w:val="00B050"/>
              </w:rPr>
            </w:pPr>
            <w:r w:rsidRPr="00247188">
              <w:rPr>
                <w:rFonts w:cs="Arial"/>
                <w:color w:val="00B050"/>
                <w:sz w:val="20"/>
                <w:szCs w:val="20"/>
                <w:u w:val="single"/>
              </w:rPr>
              <w:t>Schedule 4</w:t>
            </w:r>
          </w:p>
        </w:tc>
      </w:tr>
    </w:tbl>
    <w:p w14:paraId="1B1CB89B" w14:textId="723502D3" w:rsidR="003C7F4C" w:rsidRPr="00612683" w:rsidRDefault="00CC3661" w:rsidP="003C7F4C">
      <w:pPr>
        <w:pStyle w:val="Heading3"/>
        <w:spacing w:before="240" w:line="220" w:lineRule="atLeast"/>
      </w:pPr>
      <w:bookmarkStart w:id="74" w:name="_Toc178340923"/>
      <w:proofErr w:type="spellStart"/>
      <w:r w:rsidRPr="008B7BA6">
        <w:t>Vorasidenib</w:t>
      </w:r>
      <w:bookmarkEnd w:id="74"/>
      <w:proofErr w:type="spellEnd"/>
    </w:p>
    <w:tbl>
      <w:tblPr>
        <w:tblStyle w:val="TableGrid"/>
        <w:tblW w:w="0" w:type="auto"/>
        <w:tblInd w:w="988" w:type="dxa"/>
        <w:tblLook w:val="04A0" w:firstRow="1" w:lastRow="0" w:firstColumn="1" w:lastColumn="0" w:noHBand="0" w:noVBand="1"/>
      </w:tblPr>
      <w:tblGrid>
        <w:gridCol w:w="8072"/>
      </w:tblGrid>
      <w:tr w:rsidR="003C7F4C" w14:paraId="2ECB57DC" w14:textId="77777777" w:rsidTr="00B77F23">
        <w:tc>
          <w:tcPr>
            <w:tcW w:w="8072" w:type="dxa"/>
          </w:tcPr>
          <w:p w14:paraId="37E2C1F7" w14:textId="77777777" w:rsidR="003C7F4C" w:rsidRPr="00247188" w:rsidRDefault="003C7F4C" w:rsidP="00B77F23">
            <w:pPr>
              <w:spacing w:before="120" w:after="120"/>
              <w:rPr>
                <w:rFonts w:cs="Arial"/>
                <w:sz w:val="20"/>
                <w:szCs w:val="20"/>
              </w:rPr>
            </w:pPr>
            <w:r w:rsidRPr="00247188">
              <w:rPr>
                <w:rStyle w:val="Strong"/>
                <w:rFonts w:cs="Arial"/>
                <w:color w:val="000000"/>
                <w:sz w:val="20"/>
                <w:szCs w:val="20"/>
              </w:rPr>
              <w:t>Schedule 4 – New Entry</w:t>
            </w:r>
          </w:p>
          <w:p w14:paraId="2CD03A18" w14:textId="77777777" w:rsidR="008B7BA6" w:rsidRPr="00247188" w:rsidRDefault="008B7BA6" w:rsidP="00B77F23">
            <w:pPr>
              <w:spacing w:before="120" w:after="120"/>
              <w:rPr>
                <w:rFonts w:cs="Arial"/>
                <w:color w:val="00B050"/>
                <w:sz w:val="20"/>
                <w:szCs w:val="20"/>
                <w:u w:val="single"/>
              </w:rPr>
            </w:pPr>
            <w:r w:rsidRPr="00247188">
              <w:rPr>
                <w:rFonts w:cs="Arial"/>
                <w:color w:val="00B050"/>
                <w:sz w:val="20"/>
                <w:szCs w:val="20"/>
                <w:u w:val="single"/>
              </w:rPr>
              <w:t xml:space="preserve">VORASIDENIB </w:t>
            </w:r>
          </w:p>
          <w:p w14:paraId="28D72445" w14:textId="781A8794" w:rsidR="003C7F4C" w:rsidRPr="00247188" w:rsidRDefault="003C7F4C" w:rsidP="00B77F23">
            <w:pPr>
              <w:spacing w:before="120" w:after="120"/>
              <w:rPr>
                <w:rFonts w:cs="Arial"/>
                <w:sz w:val="20"/>
                <w:szCs w:val="20"/>
              </w:rPr>
            </w:pPr>
            <w:r w:rsidRPr="00247188">
              <w:rPr>
                <w:rStyle w:val="Strong"/>
                <w:rFonts w:cs="Arial"/>
                <w:color w:val="000000"/>
                <w:sz w:val="20"/>
                <w:szCs w:val="20"/>
              </w:rPr>
              <w:t>Index – New Entry</w:t>
            </w:r>
          </w:p>
          <w:p w14:paraId="16102CF8" w14:textId="77777777" w:rsidR="008B7BA6" w:rsidRPr="00247188" w:rsidRDefault="008B7BA6" w:rsidP="00B77F23">
            <w:pPr>
              <w:spacing w:before="120" w:after="120"/>
              <w:rPr>
                <w:rFonts w:cs="Arial"/>
                <w:b/>
                <w:bCs/>
                <w:color w:val="00B050"/>
                <w:sz w:val="20"/>
                <w:szCs w:val="20"/>
                <w:u w:val="single"/>
              </w:rPr>
            </w:pPr>
            <w:r w:rsidRPr="00247188">
              <w:rPr>
                <w:rFonts w:cs="Arial"/>
                <w:b/>
                <w:bCs/>
                <w:color w:val="00B050"/>
                <w:sz w:val="20"/>
                <w:szCs w:val="20"/>
                <w:u w:val="single"/>
              </w:rPr>
              <w:t xml:space="preserve">VORASIDENIB </w:t>
            </w:r>
          </w:p>
          <w:p w14:paraId="21A0BEFB" w14:textId="1317E09A" w:rsidR="003C7F4C" w:rsidRPr="00013BFF" w:rsidRDefault="003C7F4C" w:rsidP="00B77F23">
            <w:pPr>
              <w:spacing w:before="120" w:after="120"/>
              <w:rPr>
                <w:color w:val="00B050"/>
              </w:rPr>
            </w:pPr>
            <w:r w:rsidRPr="00247188">
              <w:rPr>
                <w:rFonts w:cs="Arial"/>
                <w:color w:val="00B050"/>
                <w:sz w:val="20"/>
                <w:szCs w:val="20"/>
                <w:u w:val="single"/>
              </w:rPr>
              <w:t>Schedule 4</w:t>
            </w:r>
          </w:p>
        </w:tc>
      </w:tr>
    </w:tbl>
    <w:p w14:paraId="49F660FF" w14:textId="6406F14A" w:rsidR="003C7F4C" w:rsidRPr="00612683" w:rsidRDefault="00CC3661" w:rsidP="003C7F4C">
      <w:pPr>
        <w:pStyle w:val="Heading3"/>
        <w:spacing w:before="240" w:line="220" w:lineRule="atLeast"/>
      </w:pPr>
      <w:bookmarkStart w:id="75" w:name="_Toc178340924"/>
      <w:proofErr w:type="spellStart"/>
      <w:r w:rsidRPr="0093723C">
        <w:t>Fruquintinib</w:t>
      </w:r>
      <w:bookmarkEnd w:id="75"/>
      <w:proofErr w:type="spellEnd"/>
    </w:p>
    <w:tbl>
      <w:tblPr>
        <w:tblStyle w:val="TableGrid"/>
        <w:tblW w:w="0" w:type="auto"/>
        <w:tblInd w:w="988" w:type="dxa"/>
        <w:tblLook w:val="04A0" w:firstRow="1" w:lastRow="0" w:firstColumn="1" w:lastColumn="0" w:noHBand="0" w:noVBand="1"/>
      </w:tblPr>
      <w:tblGrid>
        <w:gridCol w:w="8072"/>
      </w:tblGrid>
      <w:tr w:rsidR="003C7F4C" w14:paraId="06D73F0B" w14:textId="77777777" w:rsidTr="00B77F23">
        <w:tc>
          <w:tcPr>
            <w:tcW w:w="8072" w:type="dxa"/>
          </w:tcPr>
          <w:p w14:paraId="0BF3FAD2" w14:textId="77777777" w:rsidR="003C7F4C" w:rsidRPr="00247188" w:rsidRDefault="003C7F4C" w:rsidP="00B77F23">
            <w:pPr>
              <w:spacing w:before="120" w:after="120"/>
              <w:rPr>
                <w:rFonts w:cs="Arial"/>
                <w:sz w:val="20"/>
                <w:szCs w:val="20"/>
              </w:rPr>
            </w:pPr>
            <w:r w:rsidRPr="00247188">
              <w:rPr>
                <w:rStyle w:val="Strong"/>
                <w:rFonts w:cs="Arial"/>
                <w:color w:val="000000"/>
                <w:sz w:val="20"/>
                <w:szCs w:val="20"/>
              </w:rPr>
              <w:t>Schedule 4 – New Entry</w:t>
            </w:r>
          </w:p>
          <w:p w14:paraId="7FF03ACB" w14:textId="77777777" w:rsidR="0093723C" w:rsidRPr="00247188" w:rsidRDefault="0093723C" w:rsidP="00B77F23">
            <w:pPr>
              <w:spacing w:before="120" w:after="120"/>
              <w:rPr>
                <w:rFonts w:cs="Arial"/>
                <w:color w:val="00B050"/>
                <w:sz w:val="20"/>
                <w:szCs w:val="20"/>
                <w:u w:val="single"/>
              </w:rPr>
            </w:pPr>
            <w:r w:rsidRPr="00247188">
              <w:rPr>
                <w:rFonts w:cs="Arial"/>
                <w:color w:val="00B050"/>
                <w:sz w:val="20"/>
                <w:szCs w:val="20"/>
                <w:u w:val="single"/>
              </w:rPr>
              <w:t>FRUQUINTINIB</w:t>
            </w:r>
          </w:p>
          <w:p w14:paraId="0FE18394" w14:textId="31721083" w:rsidR="003C7F4C" w:rsidRPr="00247188" w:rsidRDefault="003C7F4C" w:rsidP="00B77F23">
            <w:pPr>
              <w:spacing w:before="120" w:after="120"/>
              <w:rPr>
                <w:rFonts w:cs="Arial"/>
                <w:sz w:val="20"/>
                <w:szCs w:val="20"/>
              </w:rPr>
            </w:pPr>
            <w:r w:rsidRPr="00247188">
              <w:rPr>
                <w:rStyle w:val="Strong"/>
                <w:rFonts w:cs="Arial"/>
                <w:color w:val="000000"/>
                <w:sz w:val="20"/>
                <w:szCs w:val="20"/>
              </w:rPr>
              <w:t>Index – New Entry</w:t>
            </w:r>
          </w:p>
          <w:p w14:paraId="335BDF7A" w14:textId="77777777" w:rsidR="0093723C" w:rsidRPr="00247188" w:rsidRDefault="0093723C" w:rsidP="00B77F23">
            <w:pPr>
              <w:spacing w:before="120" w:after="120"/>
              <w:rPr>
                <w:rFonts w:cs="Arial"/>
                <w:b/>
                <w:bCs/>
                <w:color w:val="00B050"/>
                <w:sz w:val="20"/>
                <w:szCs w:val="20"/>
                <w:u w:val="single"/>
              </w:rPr>
            </w:pPr>
            <w:r w:rsidRPr="00247188">
              <w:rPr>
                <w:rFonts w:cs="Arial"/>
                <w:b/>
                <w:bCs/>
                <w:color w:val="00B050"/>
                <w:sz w:val="20"/>
                <w:szCs w:val="20"/>
                <w:u w:val="single"/>
              </w:rPr>
              <w:t>FRUQUINTINIB</w:t>
            </w:r>
          </w:p>
          <w:p w14:paraId="5730D138" w14:textId="5DFFA4A3" w:rsidR="003C7F4C" w:rsidRPr="00013BFF" w:rsidRDefault="003C7F4C" w:rsidP="00B77F23">
            <w:pPr>
              <w:spacing w:before="120" w:after="120"/>
              <w:rPr>
                <w:color w:val="00B050"/>
              </w:rPr>
            </w:pPr>
            <w:r w:rsidRPr="00247188">
              <w:rPr>
                <w:rFonts w:cs="Arial"/>
                <w:color w:val="00B050"/>
                <w:sz w:val="20"/>
                <w:szCs w:val="20"/>
                <w:u w:val="single"/>
              </w:rPr>
              <w:t>Schedule 4</w:t>
            </w:r>
          </w:p>
        </w:tc>
      </w:tr>
    </w:tbl>
    <w:p w14:paraId="47D9D140" w14:textId="7B59172A" w:rsidR="003C7F4C" w:rsidRPr="00612683" w:rsidRDefault="00CC3661" w:rsidP="003C7F4C">
      <w:pPr>
        <w:pStyle w:val="Heading3"/>
        <w:spacing w:before="240" w:line="220" w:lineRule="atLeast"/>
      </w:pPr>
      <w:bookmarkStart w:id="76" w:name="_Toc178340925"/>
      <w:proofErr w:type="spellStart"/>
      <w:r w:rsidRPr="00EA75C9">
        <w:t>Iptacopan</w:t>
      </w:r>
      <w:bookmarkEnd w:id="76"/>
      <w:proofErr w:type="spellEnd"/>
    </w:p>
    <w:tbl>
      <w:tblPr>
        <w:tblStyle w:val="TableGrid"/>
        <w:tblW w:w="0" w:type="auto"/>
        <w:tblInd w:w="988" w:type="dxa"/>
        <w:tblLook w:val="04A0" w:firstRow="1" w:lastRow="0" w:firstColumn="1" w:lastColumn="0" w:noHBand="0" w:noVBand="1"/>
      </w:tblPr>
      <w:tblGrid>
        <w:gridCol w:w="8072"/>
      </w:tblGrid>
      <w:tr w:rsidR="003C7F4C" w14:paraId="772DB042" w14:textId="77777777" w:rsidTr="00B77F23">
        <w:tc>
          <w:tcPr>
            <w:tcW w:w="8072" w:type="dxa"/>
          </w:tcPr>
          <w:p w14:paraId="0A3D69DB" w14:textId="77777777" w:rsidR="003C7F4C" w:rsidRPr="00247188" w:rsidRDefault="003C7F4C" w:rsidP="00B77F23">
            <w:pPr>
              <w:spacing w:before="120" w:after="120"/>
              <w:rPr>
                <w:rFonts w:cs="Arial"/>
                <w:sz w:val="20"/>
                <w:szCs w:val="20"/>
              </w:rPr>
            </w:pPr>
            <w:r w:rsidRPr="00247188">
              <w:rPr>
                <w:rStyle w:val="Strong"/>
                <w:rFonts w:cs="Arial"/>
                <w:color w:val="000000"/>
                <w:sz w:val="20"/>
                <w:szCs w:val="20"/>
              </w:rPr>
              <w:t>Schedule 4 – New Entry</w:t>
            </w:r>
          </w:p>
          <w:p w14:paraId="3C538453" w14:textId="77777777" w:rsidR="00EA75C9" w:rsidRPr="00247188" w:rsidRDefault="00EA75C9" w:rsidP="00B77F23">
            <w:pPr>
              <w:spacing w:before="120" w:after="120"/>
              <w:rPr>
                <w:rFonts w:cs="Arial"/>
                <w:color w:val="00B050"/>
                <w:sz w:val="20"/>
                <w:szCs w:val="20"/>
                <w:u w:val="single"/>
              </w:rPr>
            </w:pPr>
            <w:r w:rsidRPr="00247188">
              <w:rPr>
                <w:rFonts w:cs="Arial"/>
                <w:color w:val="00B050"/>
                <w:sz w:val="20"/>
                <w:szCs w:val="20"/>
                <w:u w:val="single"/>
              </w:rPr>
              <w:t>IPTACOPAN</w:t>
            </w:r>
          </w:p>
          <w:p w14:paraId="75D258C3" w14:textId="050F704A" w:rsidR="003C7F4C" w:rsidRPr="00247188" w:rsidRDefault="003C7F4C" w:rsidP="00B77F23">
            <w:pPr>
              <w:spacing w:before="120" w:after="120"/>
              <w:rPr>
                <w:rFonts w:cs="Arial"/>
                <w:sz w:val="20"/>
                <w:szCs w:val="20"/>
              </w:rPr>
            </w:pPr>
            <w:r w:rsidRPr="00247188">
              <w:rPr>
                <w:rStyle w:val="Strong"/>
                <w:rFonts w:cs="Arial"/>
                <w:color w:val="000000"/>
                <w:sz w:val="20"/>
                <w:szCs w:val="20"/>
              </w:rPr>
              <w:t>Index – New Entry</w:t>
            </w:r>
          </w:p>
          <w:p w14:paraId="7E9A6ECC" w14:textId="77777777" w:rsidR="00EA75C9" w:rsidRPr="00247188" w:rsidRDefault="00EA75C9" w:rsidP="00B77F23">
            <w:pPr>
              <w:spacing w:before="120" w:after="120"/>
              <w:rPr>
                <w:rFonts w:cs="Arial"/>
                <w:b/>
                <w:bCs/>
                <w:color w:val="00B050"/>
                <w:sz w:val="20"/>
                <w:szCs w:val="20"/>
                <w:u w:val="single"/>
              </w:rPr>
            </w:pPr>
            <w:r w:rsidRPr="00247188">
              <w:rPr>
                <w:rFonts w:cs="Arial"/>
                <w:b/>
                <w:bCs/>
                <w:color w:val="00B050"/>
                <w:sz w:val="20"/>
                <w:szCs w:val="20"/>
                <w:u w:val="single"/>
              </w:rPr>
              <w:t>IPTACOPAN</w:t>
            </w:r>
          </w:p>
          <w:p w14:paraId="3453353A" w14:textId="3132A2C0" w:rsidR="003C7F4C" w:rsidRPr="00013BFF" w:rsidRDefault="003C7F4C" w:rsidP="00B77F23">
            <w:pPr>
              <w:spacing w:before="120" w:after="120"/>
              <w:rPr>
                <w:color w:val="00B050"/>
              </w:rPr>
            </w:pPr>
            <w:r w:rsidRPr="00247188">
              <w:rPr>
                <w:rFonts w:cs="Arial"/>
                <w:color w:val="00B050"/>
                <w:sz w:val="20"/>
                <w:szCs w:val="20"/>
                <w:u w:val="single"/>
              </w:rPr>
              <w:t>Schedule 4</w:t>
            </w:r>
          </w:p>
        </w:tc>
      </w:tr>
    </w:tbl>
    <w:p w14:paraId="2ECFCB0A" w14:textId="16FFC54E" w:rsidR="003C7F4C" w:rsidRPr="00612683" w:rsidRDefault="00CC3661" w:rsidP="003C7F4C">
      <w:pPr>
        <w:pStyle w:val="Heading3"/>
        <w:spacing w:before="240" w:line="220" w:lineRule="atLeast"/>
      </w:pPr>
      <w:bookmarkStart w:id="77" w:name="_Toc178340926"/>
      <w:proofErr w:type="spellStart"/>
      <w:r w:rsidRPr="00CC3661">
        <w:lastRenderedPageBreak/>
        <w:t>Danicopan</w:t>
      </w:r>
      <w:bookmarkEnd w:id="77"/>
      <w:proofErr w:type="spellEnd"/>
    </w:p>
    <w:tbl>
      <w:tblPr>
        <w:tblStyle w:val="TableGrid"/>
        <w:tblW w:w="0" w:type="auto"/>
        <w:tblInd w:w="988" w:type="dxa"/>
        <w:tblLook w:val="04A0" w:firstRow="1" w:lastRow="0" w:firstColumn="1" w:lastColumn="0" w:noHBand="0" w:noVBand="1"/>
      </w:tblPr>
      <w:tblGrid>
        <w:gridCol w:w="8072"/>
      </w:tblGrid>
      <w:tr w:rsidR="003C7F4C" w14:paraId="1EECD0CE" w14:textId="77777777" w:rsidTr="00B77F23">
        <w:tc>
          <w:tcPr>
            <w:tcW w:w="8072" w:type="dxa"/>
          </w:tcPr>
          <w:p w14:paraId="74AD0A3C" w14:textId="77777777" w:rsidR="003C7F4C" w:rsidRPr="00247188" w:rsidRDefault="003C7F4C" w:rsidP="00B77F23">
            <w:pPr>
              <w:spacing w:before="120" w:after="120"/>
              <w:rPr>
                <w:rFonts w:cs="Arial"/>
                <w:sz w:val="20"/>
                <w:szCs w:val="20"/>
              </w:rPr>
            </w:pPr>
            <w:r w:rsidRPr="00247188">
              <w:rPr>
                <w:rStyle w:val="Strong"/>
                <w:rFonts w:cs="Arial"/>
                <w:color w:val="000000"/>
                <w:sz w:val="20"/>
                <w:szCs w:val="20"/>
              </w:rPr>
              <w:t>Schedule 4 – New Entry</w:t>
            </w:r>
          </w:p>
          <w:p w14:paraId="76C23AE2" w14:textId="77777777" w:rsidR="00CC3661" w:rsidRPr="00247188" w:rsidRDefault="00CC3661" w:rsidP="00B77F23">
            <w:pPr>
              <w:spacing w:before="120" w:after="120"/>
              <w:rPr>
                <w:rFonts w:cs="Arial"/>
                <w:color w:val="00B050"/>
                <w:sz w:val="20"/>
                <w:szCs w:val="20"/>
                <w:u w:val="single"/>
              </w:rPr>
            </w:pPr>
            <w:r w:rsidRPr="00247188">
              <w:rPr>
                <w:rFonts w:cs="Arial"/>
                <w:color w:val="00B050"/>
                <w:sz w:val="20"/>
                <w:szCs w:val="20"/>
                <w:u w:val="single"/>
              </w:rPr>
              <w:t>DANICOPAN</w:t>
            </w:r>
          </w:p>
          <w:p w14:paraId="03D281A8" w14:textId="01AD7731" w:rsidR="003C7F4C" w:rsidRPr="00247188" w:rsidRDefault="003C7F4C" w:rsidP="00B77F23">
            <w:pPr>
              <w:spacing w:before="120" w:after="120"/>
              <w:rPr>
                <w:rFonts w:cs="Arial"/>
                <w:sz w:val="20"/>
                <w:szCs w:val="20"/>
              </w:rPr>
            </w:pPr>
            <w:r w:rsidRPr="00247188">
              <w:rPr>
                <w:rStyle w:val="Strong"/>
                <w:rFonts w:cs="Arial"/>
                <w:color w:val="000000"/>
                <w:sz w:val="20"/>
                <w:szCs w:val="20"/>
              </w:rPr>
              <w:t>Index – New Entry</w:t>
            </w:r>
          </w:p>
          <w:p w14:paraId="18A38AD1" w14:textId="77777777" w:rsidR="00CC3661" w:rsidRPr="00247188" w:rsidRDefault="00CC3661" w:rsidP="00B77F23">
            <w:pPr>
              <w:spacing w:before="120" w:after="120"/>
              <w:rPr>
                <w:rFonts w:cs="Arial"/>
                <w:b/>
                <w:bCs/>
                <w:color w:val="00B050"/>
                <w:sz w:val="20"/>
                <w:szCs w:val="20"/>
                <w:u w:val="single"/>
              </w:rPr>
            </w:pPr>
            <w:r w:rsidRPr="00247188">
              <w:rPr>
                <w:rFonts w:cs="Arial"/>
                <w:b/>
                <w:bCs/>
                <w:color w:val="00B050"/>
                <w:sz w:val="20"/>
                <w:szCs w:val="20"/>
                <w:u w:val="single"/>
              </w:rPr>
              <w:t>DANICOPAN</w:t>
            </w:r>
          </w:p>
          <w:p w14:paraId="3EBE2060" w14:textId="7F7723C0" w:rsidR="003C7F4C" w:rsidRPr="00013BFF" w:rsidRDefault="003C7F4C" w:rsidP="00B77F23">
            <w:pPr>
              <w:spacing w:before="120" w:after="120"/>
              <w:rPr>
                <w:color w:val="00B050"/>
              </w:rPr>
            </w:pPr>
            <w:r w:rsidRPr="00247188">
              <w:rPr>
                <w:rFonts w:cs="Arial"/>
                <w:color w:val="00B050"/>
                <w:sz w:val="20"/>
                <w:szCs w:val="20"/>
                <w:u w:val="single"/>
              </w:rPr>
              <w:t>Schedule 4</w:t>
            </w:r>
          </w:p>
        </w:tc>
      </w:tr>
    </w:tbl>
    <w:p w14:paraId="2717B056" w14:textId="727DA464" w:rsidR="00CC3661" w:rsidRDefault="00CC3661" w:rsidP="00CC3661">
      <w:pPr>
        <w:pStyle w:val="Heading3"/>
        <w:spacing w:before="240" w:line="220" w:lineRule="atLeast"/>
      </w:pPr>
      <w:bookmarkStart w:id="78" w:name="_Toc178340927"/>
      <w:proofErr w:type="spellStart"/>
      <w:r w:rsidRPr="00CC3661">
        <w:t>Sotatercept</w:t>
      </w:r>
      <w:bookmarkEnd w:id="78"/>
      <w:proofErr w:type="spellEnd"/>
    </w:p>
    <w:tbl>
      <w:tblPr>
        <w:tblStyle w:val="TableGrid"/>
        <w:tblW w:w="0" w:type="auto"/>
        <w:tblInd w:w="988" w:type="dxa"/>
        <w:tblLook w:val="04A0" w:firstRow="1" w:lastRow="0" w:firstColumn="1" w:lastColumn="0" w:noHBand="0" w:noVBand="1"/>
      </w:tblPr>
      <w:tblGrid>
        <w:gridCol w:w="8072"/>
      </w:tblGrid>
      <w:tr w:rsidR="00EE2006" w14:paraId="68B2C81F" w14:textId="77777777" w:rsidTr="004307D1">
        <w:tc>
          <w:tcPr>
            <w:tcW w:w="8072" w:type="dxa"/>
          </w:tcPr>
          <w:p w14:paraId="70E8DAFA" w14:textId="77777777" w:rsidR="00EE2006" w:rsidRPr="00EE2006" w:rsidRDefault="00EE2006" w:rsidP="00EE2006">
            <w:pPr>
              <w:spacing w:before="120"/>
              <w:rPr>
                <w:rFonts w:cs="Arial"/>
                <w:sz w:val="20"/>
                <w:szCs w:val="20"/>
              </w:rPr>
            </w:pPr>
            <w:r w:rsidRPr="00EE2006">
              <w:rPr>
                <w:rStyle w:val="Strong"/>
                <w:rFonts w:cs="Arial"/>
                <w:color w:val="000000"/>
                <w:sz w:val="20"/>
                <w:szCs w:val="20"/>
              </w:rPr>
              <w:t>Schedule 4 – New Entry</w:t>
            </w:r>
          </w:p>
          <w:p w14:paraId="30258D73" w14:textId="77777777" w:rsidR="00EE2006" w:rsidRPr="00EE2006" w:rsidRDefault="00EE2006" w:rsidP="00EE2006">
            <w:pPr>
              <w:spacing w:before="120"/>
              <w:rPr>
                <w:rFonts w:cs="Arial"/>
                <w:color w:val="00B050"/>
                <w:sz w:val="20"/>
                <w:szCs w:val="20"/>
                <w:u w:val="single"/>
              </w:rPr>
            </w:pPr>
            <w:r w:rsidRPr="00EE2006">
              <w:rPr>
                <w:rFonts w:cs="Arial"/>
                <w:color w:val="00B050"/>
                <w:sz w:val="20"/>
                <w:szCs w:val="20"/>
                <w:u w:val="single"/>
              </w:rPr>
              <w:t>SOTATERCEPT</w:t>
            </w:r>
          </w:p>
          <w:p w14:paraId="2BB04C85" w14:textId="77777777" w:rsidR="00EE2006" w:rsidRPr="00EE2006" w:rsidRDefault="00EE2006" w:rsidP="00EE2006">
            <w:pPr>
              <w:spacing w:before="120"/>
              <w:rPr>
                <w:rFonts w:cs="Arial"/>
                <w:sz w:val="20"/>
                <w:szCs w:val="20"/>
              </w:rPr>
            </w:pPr>
            <w:r w:rsidRPr="00EE2006">
              <w:rPr>
                <w:rStyle w:val="Strong"/>
                <w:rFonts w:cs="Arial"/>
                <w:color w:val="000000"/>
                <w:sz w:val="20"/>
                <w:szCs w:val="20"/>
              </w:rPr>
              <w:t>Index – New Entry</w:t>
            </w:r>
          </w:p>
          <w:p w14:paraId="257458B1" w14:textId="77777777" w:rsidR="00EE2006" w:rsidRPr="00EE2006" w:rsidRDefault="00EE2006" w:rsidP="00EE2006">
            <w:pPr>
              <w:spacing w:before="120"/>
              <w:rPr>
                <w:rFonts w:cs="Arial"/>
                <w:b/>
                <w:bCs/>
                <w:color w:val="00B050"/>
                <w:sz w:val="20"/>
                <w:szCs w:val="20"/>
                <w:u w:val="single"/>
              </w:rPr>
            </w:pPr>
            <w:r w:rsidRPr="00EE2006">
              <w:rPr>
                <w:rFonts w:cs="Arial"/>
                <w:b/>
                <w:bCs/>
                <w:color w:val="00B050"/>
                <w:sz w:val="20"/>
                <w:szCs w:val="20"/>
                <w:u w:val="single"/>
              </w:rPr>
              <w:t>SOTATERCEPT</w:t>
            </w:r>
          </w:p>
          <w:p w14:paraId="68AA4F58" w14:textId="740E815B" w:rsidR="00EE2006" w:rsidRPr="00EE2006" w:rsidRDefault="00EE2006" w:rsidP="00EE2006">
            <w:r w:rsidRPr="00EE2006">
              <w:rPr>
                <w:rFonts w:cs="Arial"/>
                <w:color w:val="00B050"/>
                <w:sz w:val="20"/>
                <w:szCs w:val="20"/>
                <w:u w:val="single"/>
              </w:rPr>
              <w:t>Schedule 4</w:t>
            </w:r>
            <w:r>
              <w:rPr>
                <w:u w:val="single"/>
              </w:rPr>
              <w:br/>
            </w:r>
          </w:p>
        </w:tc>
      </w:tr>
    </w:tbl>
    <w:p w14:paraId="7967E32D" w14:textId="77777777" w:rsidR="000D7942" w:rsidRDefault="000D7942" w:rsidP="00967490"/>
    <w:p w14:paraId="0578C7BF" w14:textId="77777777" w:rsidR="00EE2006" w:rsidRDefault="00EE2006" w:rsidP="00EE2006"/>
    <w:p w14:paraId="4A509140" w14:textId="3F347AA3" w:rsidR="00EE2006" w:rsidRDefault="00EE2006">
      <w:r>
        <w:br w:type="page"/>
      </w:r>
    </w:p>
    <w:p w14:paraId="0A509807" w14:textId="77777777" w:rsidR="00EE2006" w:rsidRPr="009401F6" w:rsidRDefault="00EE2006" w:rsidP="00EE2006">
      <w:pPr>
        <w:pStyle w:val="Heading2"/>
      </w:pPr>
      <w:r w:rsidRPr="009401F6">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EE2006" w:rsidRPr="009401F6" w14:paraId="0E34780A" w14:textId="77777777" w:rsidTr="0043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0E4F027" w14:textId="77777777" w:rsidR="00EE2006" w:rsidRPr="006E5F4C" w:rsidRDefault="00EE2006" w:rsidP="006E5F4C">
            <w:pPr>
              <w:ind w:left="0"/>
              <w:rPr>
                <w:color w:val="FFFFFF" w:themeColor="background1"/>
              </w:rPr>
            </w:pPr>
            <w:bookmarkStart w:id="79" w:name="ColumnTitle_4"/>
            <w:r w:rsidRPr="006E5F4C">
              <w:rPr>
                <w:color w:val="FFFFFF" w:themeColor="background1"/>
              </w:rPr>
              <w:t>Version</w:t>
            </w:r>
          </w:p>
        </w:tc>
        <w:tc>
          <w:tcPr>
            <w:tcW w:w="3242" w:type="dxa"/>
          </w:tcPr>
          <w:p w14:paraId="79DDD710" w14:textId="77777777" w:rsidR="00EE2006" w:rsidRPr="006E5F4C" w:rsidRDefault="00EE2006" w:rsidP="004307D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6E5F4C">
              <w:rPr>
                <w:color w:val="FFFFFF" w:themeColor="background1"/>
              </w:rPr>
              <w:t>Description of change</w:t>
            </w:r>
          </w:p>
        </w:tc>
        <w:tc>
          <w:tcPr>
            <w:tcW w:w="2712" w:type="dxa"/>
          </w:tcPr>
          <w:p w14:paraId="4E908B48" w14:textId="77777777" w:rsidR="00EE2006" w:rsidRPr="006E5F4C" w:rsidRDefault="00EE2006" w:rsidP="004307D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6E5F4C">
              <w:rPr>
                <w:color w:val="FFFFFF" w:themeColor="background1"/>
              </w:rPr>
              <w:t>Author</w:t>
            </w:r>
          </w:p>
        </w:tc>
        <w:tc>
          <w:tcPr>
            <w:tcW w:w="1808" w:type="dxa"/>
          </w:tcPr>
          <w:p w14:paraId="1A3C1669" w14:textId="77777777" w:rsidR="00EE2006" w:rsidRPr="006E5F4C" w:rsidRDefault="00EE2006" w:rsidP="004307D1">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6E5F4C">
              <w:rPr>
                <w:color w:val="FFFFFF" w:themeColor="background1"/>
              </w:rPr>
              <w:t>Effective date</w:t>
            </w:r>
          </w:p>
        </w:tc>
      </w:tr>
      <w:bookmarkEnd w:id="79"/>
      <w:tr w:rsidR="00EE2006" w:rsidRPr="009401F6" w14:paraId="35016912" w14:textId="77777777" w:rsidTr="004307D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DEDCC76" w14:textId="68260F9F" w:rsidR="00EE2006" w:rsidRPr="009401F6" w:rsidRDefault="00EE2006" w:rsidP="004307D1">
            <w:r w:rsidRPr="009401F6">
              <w:t>1.0</w:t>
            </w:r>
          </w:p>
        </w:tc>
        <w:tc>
          <w:tcPr>
            <w:tcW w:w="3242" w:type="dxa"/>
          </w:tcPr>
          <w:p w14:paraId="76C98083" w14:textId="77777777" w:rsidR="00EE2006" w:rsidRPr="009401F6" w:rsidRDefault="00EE2006" w:rsidP="004307D1">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2B5423E4" w14:textId="77777777" w:rsidR="00EE2006" w:rsidRPr="009401F6" w:rsidRDefault="00EE2006" w:rsidP="004307D1">
            <w:pPr>
              <w:cnfStyle w:val="000000000000" w:firstRow="0" w:lastRow="0" w:firstColumn="0" w:lastColumn="0" w:oddVBand="0" w:evenVBand="0" w:oddHBand="0" w:evenHBand="0" w:firstRowFirstColumn="0" w:firstRowLastColumn="0" w:lastRowFirstColumn="0" w:lastRowLastColumn="0"/>
            </w:pPr>
            <w:r w:rsidRPr="00087E66">
              <w:t>Scheduling and Chemicals Policy Section</w:t>
            </w:r>
          </w:p>
        </w:tc>
        <w:tc>
          <w:tcPr>
            <w:tcW w:w="1808" w:type="dxa"/>
          </w:tcPr>
          <w:p w14:paraId="55F1B6DF" w14:textId="77777777" w:rsidR="00EE2006" w:rsidRPr="009401F6" w:rsidRDefault="00EE2006" w:rsidP="004307D1">
            <w:pPr>
              <w:cnfStyle w:val="000000000000" w:firstRow="0" w:lastRow="0" w:firstColumn="0" w:lastColumn="0" w:oddVBand="0" w:evenVBand="0" w:oddHBand="0" w:evenHBand="0" w:firstRowFirstColumn="0" w:firstRowLastColumn="0" w:lastRowFirstColumn="0" w:lastRowLastColumn="0"/>
            </w:pPr>
            <w:r>
              <w:t>September 2024</w:t>
            </w:r>
          </w:p>
        </w:tc>
      </w:tr>
      <w:tr w:rsidR="00EE2006" w:rsidRPr="009401F6" w14:paraId="7790420E" w14:textId="77777777" w:rsidTr="004307D1">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228AC23" w14:textId="43618B72" w:rsidR="00EE2006" w:rsidRPr="009401F6" w:rsidRDefault="00CE580A" w:rsidP="004307D1">
            <w:r>
              <w:t>2.0</w:t>
            </w:r>
          </w:p>
        </w:tc>
        <w:tc>
          <w:tcPr>
            <w:tcW w:w="3242" w:type="dxa"/>
          </w:tcPr>
          <w:p w14:paraId="3D6070F7" w14:textId="22AA5719" w:rsidR="00EE2006" w:rsidRPr="009401F6" w:rsidRDefault="00CE580A" w:rsidP="004307D1">
            <w:pPr>
              <w:cnfStyle w:val="000000000000" w:firstRow="0" w:lastRow="0" w:firstColumn="0" w:lastColumn="0" w:oddVBand="0" w:evenVBand="0" w:oddHBand="0" w:evenHBand="0" w:firstRowFirstColumn="0" w:firstRowLastColumn="0" w:lastRowFirstColumn="0" w:lastRowLastColumn="0"/>
            </w:pPr>
            <w:r>
              <w:t xml:space="preserve">Correction of implementation date for </w:t>
            </w:r>
            <w:proofErr w:type="spellStart"/>
            <w:r>
              <w:t>homobrassinolide</w:t>
            </w:r>
            <w:proofErr w:type="spellEnd"/>
            <w:r>
              <w:t xml:space="preserve"> from 1 February 2025 to 1 October 2024</w:t>
            </w:r>
            <w:r w:rsidR="00EE2006">
              <w:t xml:space="preserve"> </w:t>
            </w:r>
            <w:r w:rsidR="006E5F4C">
              <w:t>(p. 29)</w:t>
            </w:r>
          </w:p>
        </w:tc>
        <w:tc>
          <w:tcPr>
            <w:tcW w:w="2712" w:type="dxa"/>
          </w:tcPr>
          <w:p w14:paraId="37DA7AB0" w14:textId="77777777" w:rsidR="00EE2006" w:rsidRPr="00087E66" w:rsidRDefault="00EE2006" w:rsidP="004307D1">
            <w:pPr>
              <w:cnfStyle w:val="000000000000" w:firstRow="0" w:lastRow="0" w:firstColumn="0" w:lastColumn="0" w:oddVBand="0" w:evenVBand="0" w:oddHBand="0" w:evenHBand="0" w:firstRowFirstColumn="0" w:firstRowLastColumn="0" w:lastRowFirstColumn="0" w:lastRowLastColumn="0"/>
            </w:pPr>
            <w:r>
              <w:t>Scheduling and Chemicals Policy Section</w:t>
            </w:r>
          </w:p>
        </w:tc>
        <w:tc>
          <w:tcPr>
            <w:tcW w:w="1808" w:type="dxa"/>
          </w:tcPr>
          <w:p w14:paraId="53A18C4D" w14:textId="388F2109" w:rsidR="00EE2006" w:rsidRDefault="00CE580A" w:rsidP="004307D1">
            <w:pPr>
              <w:cnfStyle w:val="000000000000" w:firstRow="0" w:lastRow="0" w:firstColumn="0" w:lastColumn="0" w:oddVBand="0" w:evenVBand="0" w:oddHBand="0" w:evenHBand="0" w:firstRowFirstColumn="0" w:firstRowLastColumn="0" w:lastRowFirstColumn="0" w:lastRowLastColumn="0"/>
            </w:pPr>
            <w:r>
              <w:t>November</w:t>
            </w:r>
            <w:r w:rsidR="00EE2006">
              <w:t xml:space="preserve"> 2024</w:t>
            </w:r>
          </w:p>
        </w:tc>
      </w:tr>
    </w:tbl>
    <w:p w14:paraId="1C7DEDBF" w14:textId="0D743C28" w:rsidR="00EE2006" w:rsidRPr="00EE2006" w:rsidRDefault="00EE2006" w:rsidP="00EE2006">
      <w:pPr>
        <w:tabs>
          <w:tab w:val="left" w:pos="811"/>
        </w:tabs>
        <w:sectPr w:rsidR="00EE2006" w:rsidRPr="00EE2006" w:rsidSect="008C6CF9">
          <w:headerReference w:type="default" r:id="rId57"/>
          <w:footerReference w:type="default" r:id="rId58"/>
          <w:pgSz w:w="11906" w:h="16838" w:code="9"/>
          <w:pgMar w:top="1418" w:right="1418" w:bottom="1843" w:left="1418" w:header="573" w:footer="567" w:gutter="0"/>
          <w:cols w:space="708"/>
          <w:docGrid w:linePitch="360"/>
        </w:sectPr>
      </w:pPr>
      <w:r>
        <w:tab/>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59"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7232A5" w:rsidP="00300CBB">
            <w:pPr>
              <w:pStyle w:val="Address"/>
              <w:jc w:val="center"/>
              <w:rPr>
                <w:rStyle w:val="Hyperlink"/>
                <w:b/>
                <w:color w:val="auto"/>
                <w:sz w:val="22"/>
              </w:rPr>
            </w:pPr>
            <w:hyperlink r:id="rId60" w:history="1">
              <w:r w:rsidR="00F02AEC"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4B4802" w:rsidRDefault="004B4802" w:rsidP="00967490"/>
    <w:sectPr w:rsidR="004B4802" w:rsidSect="00AE7C6A">
      <w:headerReference w:type="first" r:id="rId61"/>
      <w:footerReference w:type="first" r:id="rId6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5E9BD" w14:textId="77777777" w:rsidR="00052FC5" w:rsidRDefault="00052FC5" w:rsidP="00967490">
      <w:r>
        <w:separator/>
      </w:r>
    </w:p>
    <w:p w14:paraId="3994B746" w14:textId="77777777" w:rsidR="00052FC5" w:rsidRDefault="00052FC5" w:rsidP="00967490"/>
    <w:p w14:paraId="1947DA70" w14:textId="77777777" w:rsidR="00052FC5" w:rsidRDefault="00052FC5" w:rsidP="00967490"/>
  </w:endnote>
  <w:endnote w:type="continuationSeparator" w:id="0">
    <w:p w14:paraId="63EBAC21" w14:textId="77777777" w:rsidR="00052FC5" w:rsidRDefault="00052FC5" w:rsidP="00967490">
      <w:r>
        <w:continuationSeparator/>
      </w:r>
    </w:p>
    <w:p w14:paraId="63376533" w14:textId="77777777" w:rsidR="00052FC5" w:rsidRDefault="00052FC5" w:rsidP="00967490"/>
    <w:p w14:paraId="5F322EFD" w14:textId="77777777" w:rsidR="00052FC5" w:rsidRDefault="00052FC5"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701884E1" w14:textId="77777777" w:rsidR="00557AF7" w:rsidRDefault="00557AF7" w:rsidP="00557AF7">
          <w:pPr>
            <w:ind w:left="-110"/>
            <w:rPr>
              <w:rFonts w:asciiTheme="minorHAnsi" w:hAnsiTheme="minorHAnsi" w:cstheme="minorHAnsi"/>
              <w:sz w:val="18"/>
              <w:szCs w:val="18"/>
            </w:rPr>
          </w:pPr>
          <w:r w:rsidRPr="00557AF7">
            <w:rPr>
              <w:rFonts w:asciiTheme="minorHAnsi" w:hAnsiTheme="minorHAnsi" w:cstheme="minorHAnsi"/>
              <w:sz w:val="18"/>
              <w:szCs w:val="18"/>
            </w:rPr>
            <w:t>Notice of final decisions to amend (or not amend) the current Poisons Standar</w:t>
          </w:r>
          <w:r>
            <w:rPr>
              <w:rFonts w:asciiTheme="minorHAnsi" w:hAnsiTheme="minorHAnsi" w:cstheme="minorHAnsi"/>
              <w:sz w:val="18"/>
              <w:szCs w:val="18"/>
            </w:rPr>
            <w:t xml:space="preserve">d – </w:t>
          </w:r>
          <w:r w:rsidR="00CE580A">
            <w:rPr>
              <w:rFonts w:asciiTheme="minorHAnsi" w:hAnsiTheme="minorHAnsi" w:cstheme="minorHAnsi"/>
              <w:sz w:val="18"/>
              <w:szCs w:val="18"/>
            </w:rPr>
            <w:t>September 2024</w:t>
          </w:r>
        </w:p>
        <w:p w14:paraId="5FF3321B" w14:textId="1203D5EE" w:rsidR="00CE580A" w:rsidRPr="00DE78C9" w:rsidRDefault="00CE580A" w:rsidP="00557AF7">
          <w:pPr>
            <w:ind w:left="-110"/>
            <w:rPr>
              <w:rFonts w:asciiTheme="minorHAnsi" w:hAnsiTheme="minorHAnsi" w:cstheme="minorHAnsi"/>
              <w:sz w:val="18"/>
              <w:szCs w:val="18"/>
            </w:rPr>
          </w:pPr>
          <w:r>
            <w:rPr>
              <w:rFonts w:asciiTheme="minorHAnsi" w:hAnsiTheme="minorHAnsi" w:cstheme="minorHAnsi"/>
              <w:sz w:val="18"/>
              <w:szCs w:val="18"/>
            </w:rPr>
            <w:t>Version 2.0 (updated November 2024)</w:t>
          </w: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6DA1F76" w14:textId="77777777" w:rsidR="00F02AEC" w:rsidRPr="00DE78C9" w:rsidRDefault="00F02AEC" w:rsidP="00DE78C9">
    <w:pPr>
      <w:rPr>
        <w:rFonts w:cstheme="minorHAnsi"/>
        <w:sz w:val="18"/>
        <w:szCs w:val="18"/>
      </w:rPr>
    </w:pPr>
  </w:p>
  <w:p w14:paraId="3AA6B05E" w14:textId="77777777" w:rsidR="004B4802" w:rsidRDefault="004B480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EBDA" w14:textId="77777777" w:rsidR="004B4802" w:rsidRPr="008E3C43" w:rsidRDefault="004B4802"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3BACD" w14:textId="77777777" w:rsidR="00052FC5" w:rsidRDefault="00052FC5" w:rsidP="00967490">
      <w:r>
        <w:separator/>
      </w:r>
    </w:p>
  </w:footnote>
  <w:footnote w:type="continuationSeparator" w:id="0">
    <w:p w14:paraId="53C7453F" w14:textId="77777777" w:rsidR="00052FC5" w:rsidRDefault="00052FC5" w:rsidP="00967490">
      <w:r>
        <w:continuationSeparator/>
      </w:r>
    </w:p>
    <w:p w14:paraId="1EB86EC3" w14:textId="77777777" w:rsidR="00052FC5" w:rsidRDefault="00052FC5" w:rsidP="00967490"/>
    <w:p w14:paraId="247DDF65" w14:textId="77777777" w:rsidR="00052FC5" w:rsidRDefault="00052FC5" w:rsidP="00967490"/>
  </w:footnote>
  <w:footnote w:id="1">
    <w:p w14:paraId="799494EA" w14:textId="7CE74680"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For the purposes of s 52D of the </w:t>
      </w:r>
      <w:r w:rsidRPr="006119D9">
        <w:rPr>
          <w:rFonts w:asciiTheme="minorHAnsi" w:hAnsiTheme="minorHAnsi" w:cstheme="minorHAnsi"/>
          <w:i/>
          <w:iCs/>
          <w:sz w:val="18"/>
          <w:szCs w:val="18"/>
        </w:rPr>
        <w:t>Therapeutic Goods Act 1989</w:t>
      </w:r>
      <w:r w:rsidRPr="006119D9">
        <w:rPr>
          <w:rFonts w:asciiTheme="minorHAnsi" w:hAnsiTheme="minorHAnsi" w:cstheme="minorHAnsi"/>
          <w:sz w:val="18"/>
          <w:szCs w:val="18"/>
        </w:rPr>
        <w:t xml:space="preserve"> (</w:t>
      </w:r>
      <w:proofErr w:type="spellStart"/>
      <w:r w:rsidRPr="006119D9">
        <w:rPr>
          <w:rFonts w:asciiTheme="minorHAnsi" w:hAnsiTheme="minorHAnsi" w:cstheme="minorHAnsi"/>
          <w:sz w:val="18"/>
          <w:szCs w:val="18"/>
        </w:rPr>
        <w:t>Cth</w:t>
      </w:r>
      <w:proofErr w:type="spellEnd"/>
      <w:r w:rsidRPr="006119D9">
        <w:rPr>
          <w:rFonts w:asciiTheme="minorHAnsi" w:hAnsiTheme="minorHAnsi" w:cstheme="minorHAnsi"/>
          <w:sz w:val="18"/>
          <w:szCs w:val="18"/>
        </w:rPr>
        <w:t>).</w:t>
      </w:r>
    </w:p>
  </w:footnote>
  <w:footnote w:id="2">
    <w:p w14:paraId="4D590266" w14:textId="21E5ACBC" w:rsidR="008C6CF9" w:rsidRDefault="008C6CF9">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3">
    <w:p w14:paraId="62FE1B66" w14:textId="77777777" w:rsidR="00FE75C7" w:rsidRPr="00967490" w:rsidRDefault="00FE75C7" w:rsidP="00FE75C7">
      <w:r w:rsidRPr="00D15E47">
        <w:rPr>
          <w:rStyle w:val="FootnoteReference"/>
          <w:sz w:val="14"/>
          <w:szCs w:val="14"/>
        </w:rPr>
        <w:footnoteRef/>
      </w:r>
      <w:r w:rsidRPr="00D15E47">
        <w:rPr>
          <w:sz w:val="18"/>
          <w:szCs w:val="18"/>
        </w:rPr>
        <w:t xml:space="preserve"> Established under sections 52B and 52C of the </w:t>
      </w:r>
      <w:r w:rsidRPr="00D15E47">
        <w:rPr>
          <w:i/>
          <w:iCs/>
          <w:sz w:val="18"/>
          <w:szCs w:val="18"/>
        </w:rPr>
        <w:t>Therapeutic Goods Act 1989</w:t>
      </w:r>
      <w:r w:rsidRPr="00D15E47">
        <w:rPr>
          <w:sz w:val="18"/>
          <w:szCs w:val="18"/>
        </w:rPr>
        <w:t xml:space="preserve"> (</w:t>
      </w:r>
      <w:proofErr w:type="spellStart"/>
      <w:r w:rsidRPr="00D15E47">
        <w:rPr>
          <w:sz w:val="18"/>
          <w:szCs w:val="18"/>
        </w:rPr>
        <w:t>Cth</w:t>
      </w:r>
      <w:proofErr w:type="spellEnd"/>
      <w:r w:rsidRPr="00D15E47">
        <w:rPr>
          <w:sz w:val="18"/>
          <w:szCs w:val="18"/>
        </w:rPr>
        <w:t>).</w:t>
      </w:r>
    </w:p>
  </w:footnote>
  <w:footnote w:id="4">
    <w:p w14:paraId="14CBD78A" w14:textId="77777777" w:rsidR="00155533" w:rsidRPr="00206027" w:rsidRDefault="00155533" w:rsidP="00206027">
      <w:pPr>
        <w:pStyle w:val="Footnotetext0"/>
      </w:pPr>
      <w:r w:rsidRPr="00206027">
        <w:rPr>
          <w:rStyle w:val="FootnoteReference"/>
        </w:rPr>
        <w:footnoteRef/>
      </w:r>
      <w:r w:rsidRPr="00206027">
        <w:t xml:space="preserve"> Established under sections 52B and 52C of the </w:t>
      </w:r>
      <w:r w:rsidRPr="00206027">
        <w:rPr>
          <w:i/>
          <w:iCs/>
        </w:rPr>
        <w:t>Therapeutic Goods Act 1989</w:t>
      </w:r>
      <w:r w:rsidRPr="00206027">
        <w:t xml:space="preserve"> (</w:t>
      </w:r>
      <w:proofErr w:type="spellStart"/>
      <w:r w:rsidRPr="00206027">
        <w:t>Cth</w:t>
      </w:r>
      <w:proofErr w:type="spellEnd"/>
      <w:r w:rsidRPr="00206027">
        <w:t>).</w:t>
      </w:r>
    </w:p>
  </w:footnote>
  <w:footnote w:id="5">
    <w:p w14:paraId="629FA679" w14:textId="5B73EAAB" w:rsidR="00D008E1" w:rsidRPr="00D2065C" w:rsidRDefault="00D008E1" w:rsidP="00206027">
      <w:pPr>
        <w:pStyle w:val="Footnotetext0"/>
        <w:rPr>
          <w:rFonts w:cs="Arial"/>
        </w:rPr>
      </w:pPr>
      <w:r w:rsidRPr="00D2065C">
        <w:rPr>
          <w:rFonts w:cs="Arial"/>
          <w:vertAlign w:val="superscript"/>
        </w:rPr>
        <w:footnoteRef/>
      </w:r>
      <w:r w:rsidRPr="00D2065C">
        <w:rPr>
          <w:rFonts w:cs="Arial"/>
        </w:rPr>
        <w:t xml:space="preserve"> </w:t>
      </w:r>
      <w:proofErr w:type="spellStart"/>
      <w:r w:rsidR="00206027" w:rsidRPr="00D2065C">
        <w:rPr>
          <w:rStyle w:val="FootnoteTextChar"/>
          <w:rFonts w:cs="Arial"/>
          <w:szCs w:val="16"/>
        </w:rPr>
        <w:t>Revol</w:t>
      </w:r>
      <w:proofErr w:type="spellEnd"/>
      <w:r w:rsidR="00206027" w:rsidRPr="00D2065C">
        <w:rPr>
          <w:rStyle w:val="FootnoteTextChar"/>
          <w:rFonts w:cs="Arial"/>
          <w:szCs w:val="16"/>
        </w:rPr>
        <w:t> B, Lapeyre-Mestre M, </w:t>
      </w:r>
      <w:proofErr w:type="spellStart"/>
      <w:r w:rsidR="00206027" w:rsidRPr="00D2065C">
        <w:rPr>
          <w:rStyle w:val="FootnoteTextChar"/>
          <w:rFonts w:cs="Arial"/>
          <w:szCs w:val="16"/>
        </w:rPr>
        <w:t>Fouilhé</w:t>
      </w:r>
      <w:proofErr w:type="spellEnd"/>
      <w:r w:rsidR="00206027" w:rsidRPr="00D2065C">
        <w:rPr>
          <w:rStyle w:val="FootnoteTextChar"/>
          <w:rFonts w:cs="Arial"/>
          <w:szCs w:val="16"/>
        </w:rPr>
        <w:t xml:space="preserve"> Sam-</w:t>
      </w:r>
      <w:proofErr w:type="spellStart"/>
      <w:r w:rsidR="00206027" w:rsidRPr="00D2065C">
        <w:rPr>
          <w:rStyle w:val="FootnoteTextChar"/>
          <w:rFonts w:cs="Arial"/>
          <w:szCs w:val="16"/>
        </w:rPr>
        <w:t>Laï</w:t>
      </w:r>
      <w:proofErr w:type="spellEnd"/>
      <w:r w:rsidR="00206027" w:rsidRPr="00D2065C">
        <w:rPr>
          <w:rStyle w:val="FootnoteTextChar"/>
          <w:rFonts w:cs="Arial"/>
          <w:szCs w:val="16"/>
        </w:rPr>
        <w:t> N, </w:t>
      </w:r>
      <w:proofErr w:type="spellStart"/>
      <w:r w:rsidR="00206027" w:rsidRPr="00D2065C">
        <w:rPr>
          <w:rStyle w:val="FootnoteTextChar"/>
          <w:rFonts w:cs="Arial"/>
          <w:szCs w:val="16"/>
        </w:rPr>
        <w:t>Jouanjus</w:t>
      </w:r>
      <w:proofErr w:type="spellEnd"/>
      <w:r w:rsidR="00206027" w:rsidRPr="00D2065C">
        <w:rPr>
          <w:rStyle w:val="FootnoteTextChar"/>
          <w:rFonts w:cs="Arial"/>
          <w:szCs w:val="16"/>
        </w:rPr>
        <w:t xml:space="preserve"> E. Association between NMDAR antagonists, drug abuse and dependence: A disproportionality analysis from the WHO pharmacovigilance database. Br J Clin </w:t>
      </w:r>
      <w:proofErr w:type="spellStart"/>
      <w:r w:rsidR="00206027" w:rsidRPr="00D2065C">
        <w:rPr>
          <w:rStyle w:val="FootnoteTextChar"/>
          <w:rFonts w:cs="Arial"/>
          <w:szCs w:val="16"/>
        </w:rPr>
        <w:t>Pharmacol</w:t>
      </w:r>
      <w:proofErr w:type="spellEnd"/>
      <w:r w:rsidR="00206027" w:rsidRPr="00D2065C">
        <w:rPr>
          <w:rStyle w:val="FootnoteTextChar"/>
          <w:rFonts w:cs="Arial"/>
          <w:szCs w:val="16"/>
        </w:rPr>
        <w:t>. 2022; 88(11): 4937-4940. doi:</w:t>
      </w:r>
      <w:hyperlink r:id="rId1" w:tgtFrame="_blank" w:tooltip="Link to external resource: 10.1111/bcp.15430" w:history="1">
        <w:r w:rsidR="00206027" w:rsidRPr="00D2065C">
          <w:rPr>
            <w:rStyle w:val="FootnoteTextChar"/>
            <w:rFonts w:cs="Arial"/>
            <w:szCs w:val="16"/>
          </w:rPr>
          <w:t>10.1111/bcp.15430</w:t>
        </w:r>
      </w:hyperlink>
    </w:p>
  </w:footnote>
  <w:footnote w:id="6">
    <w:p w14:paraId="7E971E8C" w14:textId="665C633B" w:rsidR="00DC2E44" w:rsidRPr="00D2065C" w:rsidRDefault="00DC2E44" w:rsidP="00206027">
      <w:pPr>
        <w:pStyle w:val="Footnotetext0"/>
        <w:rPr>
          <w:rFonts w:cs="Arial"/>
        </w:rPr>
      </w:pPr>
      <w:r w:rsidRPr="00D2065C">
        <w:rPr>
          <w:rStyle w:val="FootnoteReference"/>
          <w:rFonts w:cs="Arial"/>
        </w:rPr>
        <w:footnoteRef/>
      </w:r>
      <w:r w:rsidRPr="00D2065C">
        <w:rPr>
          <w:rStyle w:val="FootnoteReference"/>
          <w:rFonts w:cs="Arial"/>
        </w:rPr>
        <w:t xml:space="preserve"> </w:t>
      </w:r>
      <w:hyperlink r:id="rId2" w:history="1">
        <w:r w:rsidRPr="00D2065C">
          <w:rPr>
            <w:rStyle w:val="Hyperlink"/>
            <w:rFonts w:cs="Arial"/>
          </w:rPr>
          <w:t>https://www.cahma.org.au/article/safer-using-dxm/</w:t>
        </w:r>
      </w:hyperlink>
      <w:r w:rsidR="00296E82" w:rsidRPr="00D2065C">
        <w:rPr>
          <w:rStyle w:val="Hyperlink"/>
          <w:rFonts w:cs="Arial"/>
          <w:color w:val="auto"/>
          <w:u w:val="none"/>
        </w:rPr>
        <w:t xml:space="preserve"> </w:t>
      </w:r>
    </w:p>
  </w:footnote>
  <w:footnote w:id="7">
    <w:p w14:paraId="6B83E68C" w14:textId="55804A88" w:rsidR="00D2065C" w:rsidRPr="00D2065C" w:rsidRDefault="00D2065C" w:rsidP="00D2065C">
      <w:pPr>
        <w:pStyle w:val="Footnotetext0"/>
        <w:rPr>
          <w:rFonts w:cs="Arial"/>
        </w:rPr>
      </w:pPr>
      <w:r w:rsidRPr="00D2065C">
        <w:rPr>
          <w:rStyle w:val="FootnoteReference"/>
          <w:rFonts w:cs="Arial"/>
        </w:rPr>
        <w:footnoteRef/>
      </w:r>
      <w:r w:rsidRPr="00D2065C">
        <w:rPr>
          <w:rFonts w:cs="Arial"/>
          <w:vertAlign w:val="superscript"/>
        </w:rPr>
        <w:t xml:space="preserve"> </w:t>
      </w:r>
      <w:hyperlink r:id="rId3" w:history="1">
        <w:r w:rsidRPr="00D2065C">
          <w:rPr>
            <w:rStyle w:val="Hyperlink"/>
            <w:rFonts w:cs="Arial"/>
          </w:rPr>
          <w:t>https://hi-ground.org/substances/dxm/</w:t>
        </w:r>
      </w:hyperlink>
      <w:r w:rsidRPr="00D2065C">
        <w:rPr>
          <w:rStyle w:val="Hyperlink"/>
          <w:rFonts w:cs="Arial"/>
        </w:rPr>
        <w:t xml:space="preserve"> </w:t>
      </w:r>
    </w:p>
  </w:footnote>
  <w:footnote w:id="8">
    <w:p w14:paraId="39F7E316" w14:textId="50B77614" w:rsidR="001E6CD4" w:rsidRPr="00D2065C" w:rsidRDefault="001E6CD4" w:rsidP="00D2065C">
      <w:pPr>
        <w:pStyle w:val="Footnotetext0"/>
        <w:rPr>
          <w:rFonts w:cs="Arial"/>
        </w:rPr>
      </w:pPr>
      <w:r w:rsidRPr="00D2065C">
        <w:rPr>
          <w:rStyle w:val="FootnoteReference"/>
          <w:rFonts w:cs="Arial"/>
        </w:rPr>
        <w:footnoteRef/>
      </w:r>
      <w:r w:rsidRPr="00D2065C">
        <w:rPr>
          <w:rFonts w:cs="Arial"/>
        </w:rPr>
        <w:t xml:space="preserve"> </w:t>
      </w:r>
      <w:hyperlink r:id="rId4" w:history="1">
        <w:r w:rsidR="005426BC" w:rsidRPr="00D2065C">
          <w:rPr>
            <w:rStyle w:val="Hyperlink"/>
            <w:rFonts w:cs="Arial"/>
          </w:rPr>
          <w:t>https://www.dea.gov/factsheets/dxm</w:t>
        </w:r>
      </w:hyperlink>
      <w:r w:rsidR="00D2065C">
        <w:rPr>
          <w:rStyle w:val="Hyperlink"/>
          <w:rFonts w:cs="Arial"/>
        </w:rPr>
        <w:t>/</w:t>
      </w:r>
    </w:p>
  </w:footnote>
  <w:footnote w:id="9">
    <w:p w14:paraId="6B8FE50C" w14:textId="38CB770C" w:rsidR="00D2065C" w:rsidRDefault="00D2065C" w:rsidP="00D2065C">
      <w:pPr>
        <w:pStyle w:val="Footnotetext0"/>
      </w:pPr>
      <w:r w:rsidRPr="00D2065C">
        <w:rPr>
          <w:rStyle w:val="FootnoteReference"/>
          <w:rFonts w:cs="Arial"/>
        </w:rPr>
        <w:footnoteRef/>
      </w:r>
      <w:r w:rsidRPr="00D2065C">
        <w:rPr>
          <w:rFonts w:cs="Arial"/>
        </w:rPr>
        <w:t xml:space="preserve"> </w:t>
      </w:r>
      <w:hyperlink r:id="rId5" w:history="1">
        <w:r w:rsidRPr="00D2065C">
          <w:rPr>
            <w:rStyle w:val="Hyperlink"/>
            <w:rFonts w:cs="Arial"/>
          </w:rPr>
          <w:t>https://www.poison.org/articles/dextromethorphan</w:t>
        </w:r>
      </w:hyperlink>
      <w:r>
        <w:rPr>
          <w:rStyle w:val="Hyperlink"/>
          <w:rFonts w:asciiTheme="minorHAnsi" w:hAnsiTheme="minorHAnsi"/>
          <w:sz w:val="18"/>
          <w:szCs w:val="18"/>
        </w:rPr>
        <w:t xml:space="preserve"> </w:t>
      </w:r>
    </w:p>
  </w:footnote>
  <w:footnote w:id="10">
    <w:p w14:paraId="70B4628C" w14:textId="359EEAE7" w:rsidR="008C6CF9" w:rsidRDefault="008C6CF9">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11">
    <w:p w14:paraId="7B85B7CE" w14:textId="77777777" w:rsidR="0075124E" w:rsidRPr="00967490" w:rsidRDefault="0075124E" w:rsidP="0075124E">
      <w:pPr>
        <w:pStyle w:val="Footnotetext0"/>
      </w:pPr>
      <w:r w:rsidRPr="00D15E47">
        <w:rPr>
          <w:rStyle w:val="FootnoteReference"/>
          <w:sz w:val="14"/>
          <w:szCs w:val="14"/>
        </w:rPr>
        <w:footnoteRef/>
      </w:r>
      <w:r w:rsidRPr="00D15E47">
        <w:t xml:space="preserve"> Established under sections 52B and 52C of the </w:t>
      </w:r>
      <w:r w:rsidRPr="00D15E47">
        <w:rPr>
          <w:i/>
          <w:iCs/>
        </w:rPr>
        <w:t>Therapeutic Goods Act 1989</w:t>
      </w:r>
      <w:r w:rsidRPr="00D15E47">
        <w:t xml:space="preserve"> (</w:t>
      </w:r>
      <w:proofErr w:type="spellStart"/>
      <w:r w:rsidRPr="00D15E47">
        <w:t>Cth</w:t>
      </w:r>
      <w:proofErr w:type="spellEnd"/>
      <w:r w:rsidRPr="00D15E47">
        <w:t>).</w:t>
      </w:r>
    </w:p>
  </w:footnote>
  <w:footnote w:id="12">
    <w:p w14:paraId="6F39CD3B" w14:textId="609EFEDE" w:rsidR="008C6CF9" w:rsidRDefault="008C6CF9">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13">
    <w:p w14:paraId="4B1488F2" w14:textId="313ABF78" w:rsidR="00762848" w:rsidRPr="00454694" w:rsidRDefault="00762848">
      <w:pPr>
        <w:pStyle w:val="FootnoteText"/>
        <w:rPr>
          <w:rFonts w:cs="Arial"/>
          <w:szCs w:val="16"/>
        </w:rPr>
      </w:pPr>
      <w:r w:rsidRPr="00454694">
        <w:rPr>
          <w:rStyle w:val="FootnoteReference"/>
          <w:rFonts w:cs="Arial"/>
          <w:szCs w:val="16"/>
        </w:rPr>
        <w:footnoteRef/>
      </w:r>
      <w:r w:rsidRPr="00454694">
        <w:rPr>
          <w:rFonts w:cs="Arial"/>
          <w:szCs w:val="16"/>
        </w:rPr>
        <w:t xml:space="preserve"> https://www.dpi.nsw.gov.au/about-us/services/laboratory-services/veterinary/footrot-in-sheep</w:t>
      </w:r>
    </w:p>
  </w:footnote>
  <w:footnote w:id="14">
    <w:p w14:paraId="75552070" w14:textId="77777777" w:rsidR="00762848" w:rsidRPr="00454694" w:rsidRDefault="00762848" w:rsidP="00762848">
      <w:pPr>
        <w:pStyle w:val="FootnoteText"/>
        <w:rPr>
          <w:rFonts w:cs="Arial"/>
          <w:szCs w:val="16"/>
        </w:rPr>
      </w:pPr>
      <w:r w:rsidRPr="00454694">
        <w:rPr>
          <w:rStyle w:val="FootnoteReference"/>
          <w:rFonts w:cs="Arial"/>
          <w:szCs w:val="16"/>
        </w:rPr>
        <w:footnoteRef/>
      </w:r>
      <w:r w:rsidRPr="00454694">
        <w:rPr>
          <w:rFonts w:cs="Arial"/>
          <w:szCs w:val="16"/>
        </w:rPr>
        <w:t xml:space="preserve"> https://iris.who.int/bitstream/handle/10665/255027/9789241512220-eng.pdf</w:t>
      </w:r>
    </w:p>
  </w:footnote>
  <w:footnote w:id="15">
    <w:p w14:paraId="44369810" w14:textId="4E6FFC6E" w:rsidR="00EA7641" w:rsidRPr="00454694" w:rsidRDefault="00EA7641" w:rsidP="00EA7641">
      <w:pPr>
        <w:pStyle w:val="FootnoteText"/>
        <w:rPr>
          <w:rFonts w:cs="Arial"/>
          <w:szCs w:val="16"/>
        </w:rPr>
      </w:pPr>
      <w:r w:rsidRPr="00454694">
        <w:rPr>
          <w:rStyle w:val="FootnoteReference"/>
          <w:rFonts w:cs="Arial"/>
          <w:szCs w:val="16"/>
        </w:rPr>
        <w:footnoteRef/>
      </w:r>
      <w:r w:rsidRPr="00454694">
        <w:rPr>
          <w:rFonts w:cs="Arial"/>
          <w:szCs w:val="16"/>
        </w:rPr>
        <w:t xml:space="preserve"> </w:t>
      </w:r>
      <w:r w:rsidR="00454694" w:rsidRPr="00454694">
        <w:rPr>
          <w:rFonts w:cs="Arial"/>
          <w:color w:val="1C1D1E"/>
          <w:szCs w:val="16"/>
          <w:shd w:val="clear" w:color="auto" w:fill="FFFFFF"/>
        </w:rPr>
        <w:t>Munari, S.C., Goller, J.L., Hellard, M.E. and Hocking, J.S. (2022), Chlamydia prevention and management in Australia: reducing the burden of disease. Med J Aust, 217: 499-501. </w:t>
      </w:r>
      <w:hyperlink r:id="rId6" w:history="1">
        <w:r w:rsidR="00454694" w:rsidRPr="00454694">
          <w:rPr>
            <w:rStyle w:val="Hyperlink"/>
            <w:rFonts w:cs="Arial"/>
            <w:szCs w:val="16"/>
            <w:shd w:val="clear" w:color="auto" w:fill="FFFFFF"/>
          </w:rPr>
          <w:t>https://doi.org/10.5694/mja2.51749</w:t>
        </w:r>
      </w:hyperlink>
    </w:p>
  </w:footnote>
  <w:footnote w:id="16">
    <w:p w14:paraId="5DCA70B8" w14:textId="19D3C9D7" w:rsidR="00762848" w:rsidRDefault="00762848" w:rsidP="00454694">
      <w:pPr>
        <w:pStyle w:val="FootnoteText"/>
      </w:pPr>
      <w:r w:rsidRPr="00454694">
        <w:rPr>
          <w:rStyle w:val="FootnoteReference"/>
          <w:rFonts w:cs="Arial"/>
          <w:szCs w:val="16"/>
        </w:rPr>
        <w:footnoteRef/>
      </w:r>
      <w:r w:rsidRPr="00454694">
        <w:rPr>
          <w:rFonts w:cs="Arial"/>
          <w:szCs w:val="16"/>
        </w:rPr>
        <w:t xml:space="preserve"> </w:t>
      </w:r>
      <w:proofErr w:type="spellStart"/>
      <w:r w:rsidR="00454694" w:rsidRPr="00454694">
        <w:rPr>
          <w:rFonts w:cs="Arial"/>
          <w:szCs w:val="16"/>
        </w:rPr>
        <w:t>Dehhaghi</w:t>
      </w:r>
      <w:proofErr w:type="spellEnd"/>
      <w:r w:rsidR="00454694" w:rsidRPr="00454694">
        <w:rPr>
          <w:rFonts w:cs="Arial"/>
          <w:szCs w:val="16"/>
        </w:rPr>
        <w:t xml:space="preserve">, M., Panahi, H. K. S., Holmes, E. C., Hudson, B. J., </w:t>
      </w:r>
      <w:proofErr w:type="spellStart"/>
      <w:r w:rsidR="00454694" w:rsidRPr="00454694">
        <w:rPr>
          <w:rFonts w:cs="Arial"/>
          <w:szCs w:val="16"/>
        </w:rPr>
        <w:t>Schloeffel</w:t>
      </w:r>
      <w:proofErr w:type="spellEnd"/>
      <w:r w:rsidR="00454694" w:rsidRPr="00454694">
        <w:rPr>
          <w:rFonts w:cs="Arial"/>
          <w:szCs w:val="16"/>
        </w:rPr>
        <w:t>, R., &amp; Guillemin, G. J. (2019). Human tick-borne diseases in Australia. Frontiers in Cellular and Infection Microbiology, 9, 1–17. https://doi.org/10.3389/fcimb.2019.00003</w:t>
      </w:r>
    </w:p>
  </w:footnote>
  <w:footnote w:id="17">
    <w:p w14:paraId="2872EE67" w14:textId="2431F964" w:rsidR="00DA0F7B" w:rsidRPr="002B1BF7" w:rsidRDefault="00DA0F7B">
      <w:pPr>
        <w:pStyle w:val="FootnoteText"/>
        <w:rPr>
          <w:rFonts w:cs="Arial"/>
          <w:szCs w:val="16"/>
        </w:rPr>
      </w:pPr>
      <w:r w:rsidRPr="002B1BF7">
        <w:rPr>
          <w:rStyle w:val="FootnoteReference"/>
          <w:rFonts w:cs="Arial"/>
          <w:szCs w:val="16"/>
        </w:rPr>
        <w:footnoteRef/>
      </w:r>
      <w:r w:rsidRPr="002B1BF7">
        <w:rPr>
          <w:rFonts w:cs="Arial"/>
          <w:szCs w:val="16"/>
        </w:rPr>
        <w:t xml:space="preserve"> </w:t>
      </w:r>
      <w:r w:rsidR="002B1BF7" w:rsidRPr="00454694">
        <w:rPr>
          <w:rFonts w:cs="Arial"/>
          <w:color w:val="212121"/>
          <w:szCs w:val="16"/>
          <w:shd w:val="clear" w:color="auto" w:fill="FFFFFF"/>
        </w:rPr>
        <w:t xml:space="preserve">Grossman TH. Tetracycline Antibiotics and Resistance. Cold Spring Harb </w:t>
      </w:r>
      <w:proofErr w:type="spellStart"/>
      <w:r w:rsidR="002B1BF7" w:rsidRPr="00454694">
        <w:rPr>
          <w:rFonts w:cs="Arial"/>
          <w:color w:val="212121"/>
          <w:szCs w:val="16"/>
          <w:shd w:val="clear" w:color="auto" w:fill="FFFFFF"/>
        </w:rPr>
        <w:t>Perspect</w:t>
      </w:r>
      <w:proofErr w:type="spellEnd"/>
      <w:r w:rsidR="002B1BF7" w:rsidRPr="00454694">
        <w:rPr>
          <w:rFonts w:cs="Arial"/>
          <w:color w:val="212121"/>
          <w:szCs w:val="16"/>
          <w:shd w:val="clear" w:color="auto" w:fill="FFFFFF"/>
        </w:rPr>
        <w:t xml:space="preserve"> Med. 2016 Apr 1;6(4</w:t>
      </w:r>
      <w:proofErr w:type="gramStart"/>
      <w:r w:rsidR="002B1BF7" w:rsidRPr="00454694">
        <w:rPr>
          <w:rFonts w:cs="Arial"/>
          <w:color w:val="212121"/>
          <w:szCs w:val="16"/>
          <w:shd w:val="clear" w:color="auto" w:fill="FFFFFF"/>
        </w:rPr>
        <w:t>):a</w:t>
      </w:r>
      <w:proofErr w:type="gramEnd"/>
      <w:r w:rsidR="002B1BF7" w:rsidRPr="00454694">
        <w:rPr>
          <w:rFonts w:cs="Arial"/>
          <w:color w:val="212121"/>
          <w:szCs w:val="16"/>
          <w:shd w:val="clear" w:color="auto" w:fill="FFFFFF"/>
        </w:rPr>
        <w:t xml:space="preserve">025387. </w:t>
      </w:r>
      <w:proofErr w:type="spellStart"/>
      <w:r w:rsidR="002B1BF7" w:rsidRPr="00454694">
        <w:rPr>
          <w:rFonts w:cs="Arial"/>
          <w:color w:val="212121"/>
          <w:szCs w:val="16"/>
          <w:shd w:val="clear" w:color="auto" w:fill="FFFFFF"/>
        </w:rPr>
        <w:t>doi</w:t>
      </w:r>
      <w:proofErr w:type="spellEnd"/>
      <w:r w:rsidR="002B1BF7" w:rsidRPr="00454694">
        <w:rPr>
          <w:rFonts w:cs="Arial"/>
          <w:color w:val="212121"/>
          <w:szCs w:val="16"/>
          <w:shd w:val="clear" w:color="auto" w:fill="FFFFFF"/>
        </w:rPr>
        <w:t>: 10.1101/</w:t>
      </w:r>
      <w:proofErr w:type="gramStart"/>
      <w:r w:rsidR="002B1BF7" w:rsidRPr="00454694">
        <w:rPr>
          <w:rFonts w:cs="Arial"/>
          <w:color w:val="212121"/>
          <w:szCs w:val="16"/>
          <w:shd w:val="clear" w:color="auto" w:fill="FFFFFF"/>
        </w:rPr>
        <w:t>cshperspect.a</w:t>
      </w:r>
      <w:proofErr w:type="gramEnd"/>
      <w:r w:rsidR="002B1BF7" w:rsidRPr="00454694">
        <w:rPr>
          <w:rFonts w:cs="Arial"/>
          <w:color w:val="212121"/>
          <w:szCs w:val="16"/>
          <w:shd w:val="clear" w:color="auto" w:fill="FFFFFF"/>
        </w:rPr>
        <w:t>025387.</w:t>
      </w:r>
    </w:p>
  </w:footnote>
  <w:footnote w:id="18">
    <w:p w14:paraId="1439DAE1" w14:textId="3D410576" w:rsidR="008C6CF9" w:rsidRDefault="008C6CF9">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19">
    <w:p w14:paraId="5440BDE8" w14:textId="505B6FDE" w:rsidR="00084016" w:rsidRPr="0094436E" w:rsidRDefault="00084016" w:rsidP="00084016">
      <w:pPr>
        <w:pStyle w:val="FootnoteText"/>
        <w:rPr>
          <w:rFonts w:cs="Arial"/>
          <w:szCs w:val="16"/>
        </w:rPr>
      </w:pPr>
      <w:r w:rsidRPr="0094436E">
        <w:rPr>
          <w:rStyle w:val="FootnoteReference"/>
          <w:rFonts w:cs="Arial"/>
          <w:color w:val="000000" w:themeColor="text1"/>
          <w:szCs w:val="16"/>
        </w:rPr>
        <w:footnoteRef/>
      </w:r>
      <w:r w:rsidRPr="0094436E">
        <w:rPr>
          <w:rFonts w:cs="Arial"/>
          <w:color w:val="000000" w:themeColor="text1"/>
          <w:szCs w:val="16"/>
        </w:rPr>
        <w:t xml:space="preserve"> Proposed additions are shown in green underlined font, proposed deletions are shown in red strikethrough font, and tex</w:t>
      </w:r>
      <w:r w:rsidR="008C6CF9">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20">
    <w:p w14:paraId="52C253DB" w14:textId="77777777" w:rsidR="00084016" w:rsidRDefault="00084016" w:rsidP="00084016">
      <w:pPr>
        <w:pStyle w:val="FootnoteText"/>
      </w:pPr>
      <w:r>
        <w:rPr>
          <w:rStyle w:val="FootnoteReference"/>
        </w:rPr>
        <w:footnoteRef/>
      </w:r>
      <w:r>
        <w:t xml:space="preserve"> SM Munley, ‘</w:t>
      </w:r>
      <w:r w:rsidRPr="00413599">
        <w:t>DMAC: Development toxicity study in Sprague-Dawley rats</w:t>
      </w:r>
      <w:r>
        <w:t>’, 1997 - unpublished</w:t>
      </w:r>
    </w:p>
  </w:footnote>
  <w:footnote w:id="21">
    <w:p w14:paraId="0417EBF4" w14:textId="77777777" w:rsidR="00084016" w:rsidRPr="0094436E" w:rsidRDefault="00084016" w:rsidP="00084016">
      <w:pPr>
        <w:pStyle w:val="FootnoteText"/>
        <w:rPr>
          <w:rFonts w:cs="Arial"/>
          <w:szCs w:val="16"/>
        </w:rPr>
      </w:pPr>
      <w:r w:rsidRPr="0094436E">
        <w:rPr>
          <w:rStyle w:val="FootnoteReference"/>
          <w:rFonts w:cs="Arial"/>
          <w:color w:val="000000" w:themeColor="text1"/>
          <w:szCs w:val="16"/>
        </w:rPr>
        <w:footnoteRef/>
      </w:r>
      <w:r w:rsidRPr="0094436E">
        <w:rPr>
          <w:rFonts w:cs="Arial"/>
          <w:color w:val="000000" w:themeColor="text1"/>
          <w:szCs w:val="16"/>
        </w:rPr>
        <w:t xml:space="preserve"> Proposed additions are shown in green underlined font, proposed deletions are shown in red strikethrough font, and text without this formatting represents the current text in the Poisons Standard.</w:t>
      </w:r>
    </w:p>
  </w:footnote>
  <w:footnote w:id="22">
    <w:p w14:paraId="24C398A1" w14:textId="77777777" w:rsidR="00084016" w:rsidRPr="0094436E" w:rsidRDefault="00084016" w:rsidP="00084016">
      <w:pPr>
        <w:pStyle w:val="FootnoteText"/>
        <w:rPr>
          <w:rFonts w:cs="Arial"/>
          <w:szCs w:val="16"/>
        </w:rPr>
      </w:pPr>
      <w:r w:rsidRPr="0094436E">
        <w:rPr>
          <w:rStyle w:val="FootnoteReference"/>
          <w:rFonts w:cs="Arial"/>
          <w:color w:val="000000" w:themeColor="text1"/>
          <w:szCs w:val="16"/>
        </w:rPr>
        <w:footnoteRef/>
      </w:r>
      <w:r w:rsidRPr="0094436E">
        <w:rPr>
          <w:rFonts w:cs="Arial"/>
          <w:color w:val="000000" w:themeColor="text1"/>
          <w:szCs w:val="16"/>
        </w:rPr>
        <w:t xml:space="preserve"> Proposed additions are shown in green underlined font, proposed deletions are shown in red strikethrough font, and text without this formatting represents the current text in the Poisons Standard.</w:t>
      </w:r>
    </w:p>
  </w:footnote>
  <w:footnote w:id="23">
    <w:p w14:paraId="7EC319AC" w14:textId="77777777" w:rsidR="00084016" w:rsidRDefault="00084016" w:rsidP="00084016">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w:t>
      </w:r>
      <w:r w:rsidRPr="00435E0B">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24">
    <w:p w14:paraId="0155F0B5" w14:textId="77777777" w:rsidR="005951C6" w:rsidRDefault="005951C6" w:rsidP="005951C6">
      <w:pPr>
        <w:pStyle w:val="FootnoteText"/>
      </w:pPr>
      <w:r w:rsidRPr="003B3F3B">
        <w:rPr>
          <w:rStyle w:val="FootnoteReference"/>
          <w:rFonts w:asciiTheme="minorHAnsi" w:hAnsiTheme="minorHAnsi" w:cstheme="minorHAnsi"/>
          <w:color w:val="000000" w:themeColor="text1"/>
          <w:sz w:val="18"/>
          <w:szCs w:val="18"/>
        </w:rPr>
        <w:footnoteRef/>
      </w:r>
      <w:r w:rsidRPr="003B3F3B">
        <w:rPr>
          <w:rFonts w:asciiTheme="minorHAnsi" w:hAnsiTheme="minorHAnsi" w:cstheme="minorHAnsi"/>
          <w:color w:val="000000" w:themeColor="text1"/>
          <w:sz w:val="18"/>
          <w:szCs w:val="18"/>
        </w:rPr>
        <w:t xml:space="preserve"> </w:t>
      </w:r>
      <w:r w:rsidRPr="00435E0B">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25">
    <w:p w14:paraId="23AD975E" w14:textId="619BC6E8" w:rsidR="00D70413" w:rsidRDefault="00D70413" w:rsidP="00D70413">
      <w:pPr>
        <w:pStyle w:val="FootnoteText"/>
        <w:spacing w:line="240" w:lineRule="auto"/>
      </w:pPr>
      <w:r>
        <w:rPr>
          <w:rStyle w:val="FootnoteReference"/>
        </w:rPr>
        <w:footnoteRef/>
      </w:r>
      <w:r>
        <w:t xml:space="preserve"> </w:t>
      </w:r>
      <w:r w:rsidRPr="00435E0B">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26">
    <w:p w14:paraId="79C58C8E" w14:textId="010F39A3" w:rsidR="0058651C" w:rsidRPr="0017784B" w:rsidRDefault="0058651C">
      <w:pPr>
        <w:pStyle w:val="FootnoteText"/>
        <w:rPr>
          <w:szCs w:val="16"/>
        </w:rPr>
      </w:pPr>
      <w:r w:rsidRPr="0017784B">
        <w:rPr>
          <w:rStyle w:val="FootnoteReference"/>
          <w:szCs w:val="16"/>
        </w:rPr>
        <w:footnoteRef/>
      </w:r>
      <w:r w:rsidRPr="0017784B">
        <w:rPr>
          <w:szCs w:val="16"/>
        </w:rPr>
        <w:t xml:space="preserve"> </w:t>
      </w:r>
      <w:r w:rsidR="00CD1B7F" w:rsidRPr="00CE755B">
        <w:rPr>
          <w:szCs w:val="16"/>
        </w:rPr>
        <w:t xml:space="preserve">US EPA (2010). 40 CFR Part 180 [EPA–HQ–OPP–2007–1187; FRL–8831–2] </w:t>
      </w:r>
      <w:proofErr w:type="spellStart"/>
      <w:r w:rsidR="00CD1B7F" w:rsidRPr="00CE755B">
        <w:rPr>
          <w:szCs w:val="16"/>
        </w:rPr>
        <w:t>Homobrassinolide</w:t>
      </w:r>
      <w:proofErr w:type="spellEnd"/>
      <w:r w:rsidR="00CD1B7F" w:rsidRPr="00CE755B">
        <w:rPr>
          <w:szCs w:val="16"/>
        </w:rPr>
        <w:t xml:space="preserve">; Exemption from the Requirement of a Tolerance </w:t>
      </w:r>
      <w:r w:rsidR="00CD1B7F" w:rsidRPr="00CE755B">
        <w:rPr>
          <w:color w:val="0462C1"/>
          <w:szCs w:val="16"/>
        </w:rPr>
        <w:t>https://www.govinfo.gov/content/pkg/FR-2010-07-09/pdf/2010-16771.pdf.</w:t>
      </w:r>
    </w:p>
  </w:footnote>
  <w:footnote w:id="27">
    <w:p w14:paraId="572AE609" w14:textId="585D1A89" w:rsidR="00CD1B7F" w:rsidRPr="0017784B" w:rsidRDefault="00CD1B7F">
      <w:pPr>
        <w:pStyle w:val="FootnoteText"/>
        <w:rPr>
          <w:szCs w:val="16"/>
        </w:rPr>
      </w:pPr>
      <w:r w:rsidRPr="0017784B">
        <w:rPr>
          <w:rStyle w:val="FootnoteReference"/>
          <w:szCs w:val="16"/>
        </w:rPr>
        <w:footnoteRef/>
      </w:r>
      <w:r w:rsidRPr="0017784B">
        <w:rPr>
          <w:szCs w:val="16"/>
        </w:rPr>
        <w:t xml:space="preserve"> </w:t>
      </w:r>
      <w:r w:rsidR="0017784B" w:rsidRPr="0017784B">
        <w:rPr>
          <w:szCs w:val="16"/>
        </w:rPr>
        <w:t xml:space="preserve">EFSA (2020). Peer review of the pesticide risk assessment of the active substance 24-epibrassinolide. EFSA journal. European Food Safety Authority, 18(6), e06132. </w:t>
      </w:r>
      <w:hyperlink r:id="rId7" w:history="1">
        <w:r w:rsidR="0017784B" w:rsidRPr="00D240BC">
          <w:rPr>
            <w:rStyle w:val="Hyperlink"/>
            <w:szCs w:val="16"/>
          </w:rPr>
          <w:t>https://doi.org/10.2903/j.efsa.2020.6132</w:t>
        </w:r>
      </w:hyperlink>
      <w:r w:rsidR="0017784B">
        <w:rPr>
          <w:szCs w:val="16"/>
        </w:rPr>
        <w:t xml:space="preserve"> </w:t>
      </w:r>
    </w:p>
  </w:footnote>
  <w:footnote w:id="28">
    <w:p w14:paraId="2D0128E4" w14:textId="3A8225C4" w:rsidR="00C1282C" w:rsidRDefault="00C1282C">
      <w:pPr>
        <w:pStyle w:val="FootnoteText"/>
      </w:pPr>
      <w:r>
        <w:rPr>
          <w:rStyle w:val="FootnoteReference"/>
        </w:rPr>
        <w:footnoteRef/>
      </w:r>
      <w:r>
        <w:t xml:space="preserve"> </w:t>
      </w:r>
      <w:r w:rsidRPr="00435E0B">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29">
    <w:p w14:paraId="5483FDCE" w14:textId="734E8408" w:rsidR="00C1282C" w:rsidRDefault="00C1282C">
      <w:pPr>
        <w:pStyle w:val="FootnoteText"/>
      </w:pPr>
      <w:r>
        <w:rPr>
          <w:rStyle w:val="FootnoteReference"/>
        </w:rPr>
        <w:footnoteRef/>
      </w:r>
      <w:r>
        <w:t xml:space="preserve"> </w:t>
      </w:r>
      <w:r w:rsidRPr="00435E0B">
        <w:rPr>
          <w:rFonts w:cs="Arial"/>
          <w:color w:val="000000" w:themeColor="text1"/>
          <w:szCs w:val="16"/>
        </w:rPr>
        <w:t>Proposed additions are shown in green underlined font, proposed deletions are shown in red strikethrough font, and text without this formatting represents the current text in the Poisons Standard</w:t>
      </w:r>
      <w:r>
        <w:rPr>
          <w:rFonts w:cs="Arial"/>
          <w:color w:val="000000" w:themeColor="text1"/>
          <w:szCs w:val="16"/>
        </w:rPr>
        <w:t>.</w:t>
      </w:r>
    </w:p>
  </w:footnote>
  <w:footnote w:id="30">
    <w:p w14:paraId="297F4D25" w14:textId="15F857D7" w:rsidR="00C1282C" w:rsidRDefault="00C1282C">
      <w:pPr>
        <w:pStyle w:val="FootnoteText"/>
      </w:pPr>
      <w:r>
        <w:rPr>
          <w:rStyle w:val="FootnoteReference"/>
        </w:rPr>
        <w:footnoteRef/>
      </w:r>
      <w:r>
        <w:t xml:space="preserve"> </w:t>
      </w:r>
      <w:r w:rsidRPr="00435E0B">
        <w:rPr>
          <w:rFonts w:cs="Arial"/>
          <w:color w:val="000000" w:themeColor="text1"/>
          <w:szCs w:val="16"/>
        </w:rPr>
        <w:t>Proposed additions are shown in green underlined font, proposed deletions are shown in red strikethrough font, and text without this formatting represents the current text in the Poisons Standard</w:t>
      </w:r>
      <w:r>
        <w:rPr>
          <w:rFonts w:cs="Arial"/>
          <w:color w:val="000000" w:themeColor="text1"/>
          <w:szCs w:val="16"/>
        </w:rPr>
        <w:t>.</w:t>
      </w:r>
    </w:p>
  </w:footnote>
  <w:footnote w:id="31">
    <w:p w14:paraId="04A92895" w14:textId="0A7EB78C" w:rsidR="00C1282C" w:rsidRDefault="00C1282C">
      <w:pPr>
        <w:pStyle w:val="FootnoteText"/>
      </w:pPr>
      <w:r>
        <w:rPr>
          <w:rStyle w:val="FootnoteReference"/>
        </w:rPr>
        <w:footnoteRef/>
      </w:r>
      <w:r>
        <w:t xml:space="preserve"> </w:t>
      </w:r>
      <w:r w:rsidRPr="00435E0B">
        <w:rPr>
          <w:rFonts w:cs="Arial"/>
          <w:color w:val="000000" w:themeColor="text1"/>
          <w:szCs w:val="16"/>
        </w:rPr>
        <w:t>Proposed additions are shown in green underlined font, proposed deletions are shown in red strikethrough font, and text without this formatting represents the current text in the Poisons Standard</w:t>
      </w:r>
      <w:r>
        <w:rPr>
          <w:rFonts w:cs="Arial"/>
          <w:color w:val="000000" w:themeColor="text1"/>
          <w:szCs w:val="16"/>
        </w:rPr>
        <w:t>.</w:t>
      </w:r>
    </w:p>
  </w:footnote>
  <w:footnote w:id="32">
    <w:p w14:paraId="2A197CD7" w14:textId="77777777" w:rsidR="009B06CA" w:rsidRDefault="009B06CA" w:rsidP="009B06CA">
      <w:pPr>
        <w:pStyle w:val="FootnoteText"/>
      </w:pPr>
      <w:r>
        <w:rPr>
          <w:rStyle w:val="FootnoteReference"/>
        </w:rPr>
        <w:footnoteRef/>
      </w:r>
      <w:r>
        <w:t xml:space="preserve"> </w:t>
      </w:r>
      <w:r w:rsidRPr="00516091">
        <w:rPr>
          <w:szCs w:val="16"/>
        </w:rPr>
        <w:t>www.tga.gov.au/about-tga/what-we-do/what-are-therapeutic-goods</w:t>
      </w:r>
    </w:p>
  </w:footnote>
  <w:footnote w:id="33">
    <w:p w14:paraId="4D2833BB" w14:textId="25C47BE4" w:rsidR="00435E0B" w:rsidRPr="0094436E" w:rsidRDefault="00435E0B" w:rsidP="00D70413">
      <w:pPr>
        <w:pStyle w:val="FootnoteText"/>
        <w:spacing w:line="240" w:lineRule="auto"/>
        <w:rPr>
          <w:rFonts w:cs="Arial"/>
          <w:szCs w:val="16"/>
        </w:rPr>
      </w:pPr>
      <w:r w:rsidRPr="0094436E">
        <w:rPr>
          <w:rStyle w:val="FootnoteReference"/>
          <w:rFonts w:cs="Arial"/>
          <w:szCs w:val="16"/>
        </w:rPr>
        <w:footnoteRef/>
      </w:r>
      <w:r w:rsidRPr="0094436E">
        <w:rPr>
          <w:rFonts w:cs="Arial"/>
          <w:szCs w:val="16"/>
        </w:rPr>
        <w:t xml:space="preserve"> </w:t>
      </w:r>
      <w:r w:rsidR="0094436E" w:rsidRPr="0094436E">
        <w:rPr>
          <w:rFonts w:cs="Arial"/>
          <w:color w:val="000000" w:themeColor="text1"/>
          <w:szCs w:val="16"/>
        </w:rPr>
        <w:t>Proposed additions are shown in green underlined font, proposed deletions are shown in red strikethrough font, and text without this formatting represents the current text in the Poisons Standard.</w:t>
      </w:r>
    </w:p>
  </w:footnote>
  <w:footnote w:id="34">
    <w:p w14:paraId="4BC38BC2" w14:textId="2CD4015F" w:rsidR="00E05749" w:rsidRPr="00D70413" w:rsidRDefault="00E05749" w:rsidP="00D70413">
      <w:pPr>
        <w:pStyle w:val="FootnoteText"/>
        <w:spacing w:line="240" w:lineRule="auto"/>
        <w:rPr>
          <w:rFonts w:cs="Arial"/>
        </w:rPr>
      </w:pPr>
      <w:r w:rsidRPr="00D70413">
        <w:rPr>
          <w:rStyle w:val="FootnoteReference"/>
          <w:rFonts w:cs="Arial"/>
        </w:rPr>
        <w:footnoteRef/>
      </w:r>
      <w:hyperlink r:id="rId8" w:anchor=":~:text=THIANIL%20contains%20thiafentanil%2C%20a%20high,caution%20to%20avoid%20accidental%20exposure" w:history="1">
        <w:r w:rsidR="00D70413" w:rsidRPr="00F256F1">
          <w:rPr>
            <w:rStyle w:val="Hyperlink"/>
            <w:rFonts w:cs="Arial"/>
          </w:rPr>
          <w:t>https://www.fda.gov/media/101539/download#:~:text=THIANIL%20contains%20thiafentanil%2C%20a%20high,caution%20to%20avoid%20accidental%20exposure</w:t>
        </w:r>
      </w:hyperlink>
      <w:r w:rsidRPr="00D70413">
        <w:rPr>
          <w:rFonts w:cs="Arial"/>
        </w:rPr>
        <w:t xml:space="preserve"> </w:t>
      </w:r>
    </w:p>
  </w:footnote>
  <w:footnote w:id="35">
    <w:p w14:paraId="7285874E" w14:textId="70CAEC20" w:rsidR="005951C6" w:rsidRPr="00D70413" w:rsidRDefault="005951C6" w:rsidP="00D70413">
      <w:pPr>
        <w:pStyle w:val="FootnoteText"/>
        <w:spacing w:line="240" w:lineRule="auto"/>
        <w:rPr>
          <w:rFonts w:cs="Arial"/>
          <w:szCs w:val="16"/>
        </w:rPr>
      </w:pPr>
      <w:r w:rsidRPr="00D70413">
        <w:rPr>
          <w:rStyle w:val="FootnoteReference"/>
          <w:rFonts w:cs="Arial"/>
          <w:szCs w:val="16"/>
        </w:rPr>
        <w:footnoteRef/>
      </w:r>
      <w:r w:rsidRPr="00D70413">
        <w:rPr>
          <w:rFonts w:cs="Arial"/>
          <w:szCs w:val="16"/>
        </w:rPr>
        <w:t xml:space="preserve"> </w:t>
      </w:r>
      <w:r w:rsidR="00E05749" w:rsidRPr="00D70413">
        <w:rPr>
          <w:rFonts w:cs="Arial"/>
          <w:szCs w:val="16"/>
        </w:rPr>
        <w:t xml:space="preserve">Lapid R, King R, </w:t>
      </w:r>
      <w:proofErr w:type="spellStart"/>
      <w:r w:rsidR="00E05749" w:rsidRPr="00D70413">
        <w:rPr>
          <w:rFonts w:cs="Arial"/>
          <w:szCs w:val="16"/>
        </w:rPr>
        <w:t>Bdolah</w:t>
      </w:r>
      <w:proofErr w:type="spellEnd"/>
      <w:r w:rsidR="00E05749" w:rsidRPr="00D70413">
        <w:rPr>
          <w:rFonts w:cs="Arial"/>
          <w:szCs w:val="16"/>
        </w:rPr>
        <w:t xml:space="preserve">-Abram T, Shilo-Benjamini Y. A </w:t>
      </w:r>
      <w:r w:rsidR="00E12CD7" w:rsidRPr="00D70413">
        <w:rPr>
          <w:rFonts w:cs="Arial"/>
          <w:szCs w:val="16"/>
        </w:rPr>
        <w:t xml:space="preserve">retrospective comparison of chemical immobilization with </w:t>
      </w:r>
      <w:proofErr w:type="spellStart"/>
      <w:r w:rsidR="00E12CD7" w:rsidRPr="00D70413">
        <w:rPr>
          <w:rFonts w:cs="Arial"/>
          <w:szCs w:val="16"/>
        </w:rPr>
        <w:t>thiafentanil</w:t>
      </w:r>
      <w:proofErr w:type="spellEnd"/>
      <w:r w:rsidR="00E12CD7" w:rsidRPr="00D70413">
        <w:rPr>
          <w:rFonts w:cs="Arial"/>
          <w:szCs w:val="16"/>
        </w:rPr>
        <w:t xml:space="preserve">, </w:t>
      </w:r>
      <w:proofErr w:type="spellStart"/>
      <w:r w:rsidR="00E12CD7" w:rsidRPr="00D70413">
        <w:rPr>
          <w:rFonts w:cs="Arial"/>
          <w:szCs w:val="16"/>
        </w:rPr>
        <w:t>thiafentanil</w:t>
      </w:r>
      <w:proofErr w:type="spellEnd"/>
      <w:r w:rsidR="00E12CD7" w:rsidRPr="00D70413">
        <w:rPr>
          <w:rFonts w:cs="Arial"/>
          <w:szCs w:val="16"/>
        </w:rPr>
        <w:t>-azaperone, or etorphine-acepromazine in captive Persian fallow deer (</w:t>
      </w:r>
      <w:r w:rsidR="00E12CD7" w:rsidRPr="00D70413">
        <w:rPr>
          <w:rFonts w:cs="Arial"/>
          <w:i/>
          <w:iCs/>
          <w:szCs w:val="16"/>
        </w:rPr>
        <w:t xml:space="preserve">Dama </w:t>
      </w:r>
      <w:proofErr w:type="spellStart"/>
      <w:r w:rsidR="00E12CD7" w:rsidRPr="00D70413">
        <w:rPr>
          <w:rFonts w:cs="Arial"/>
          <w:i/>
          <w:iCs/>
          <w:szCs w:val="16"/>
        </w:rPr>
        <w:t>dama</w:t>
      </w:r>
      <w:proofErr w:type="spellEnd"/>
      <w:r w:rsidR="00E12CD7" w:rsidRPr="00D70413">
        <w:rPr>
          <w:rFonts w:cs="Arial"/>
          <w:i/>
          <w:iCs/>
          <w:szCs w:val="16"/>
        </w:rPr>
        <w:t xml:space="preserve"> </w:t>
      </w:r>
      <w:proofErr w:type="spellStart"/>
      <w:r w:rsidR="00E12CD7" w:rsidRPr="00D70413">
        <w:rPr>
          <w:rFonts w:cs="Arial"/>
          <w:i/>
          <w:iCs/>
          <w:szCs w:val="16"/>
        </w:rPr>
        <w:t>mesopotamica</w:t>
      </w:r>
      <w:proofErr w:type="spellEnd"/>
      <w:r w:rsidR="00E12CD7" w:rsidRPr="00D70413">
        <w:rPr>
          <w:rFonts w:cs="Arial"/>
          <w:szCs w:val="16"/>
        </w:rPr>
        <w:t>).</w:t>
      </w:r>
      <w:r w:rsidR="00E05749" w:rsidRPr="00D70413">
        <w:rPr>
          <w:rFonts w:cs="Arial"/>
          <w:szCs w:val="16"/>
        </w:rPr>
        <w:t xml:space="preserve"> J</w:t>
      </w:r>
      <w:r w:rsidR="00E12CD7" w:rsidRPr="00D70413">
        <w:rPr>
          <w:rFonts w:cs="Arial"/>
          <w:szCs w:val="16"/>
        </w:rPr>
        <w:t>.</w:t>
      </w:r>
      <w:r w:rsidR="00E05749" w:rsidRPr="00D70413">
        <w:rPr>
          <w:rFonts w:cs="Arial"/>
          <w:szCs w:val="16"/>
        </w:rPr>
        <w:t xml:space="preserve"> Zoo </w:t>
      </w:r>
      <w:proofErr w:type="spellStart"/>
      <w:r w:rsidR="00E05749" w:rsidRPr="00D70413">
        <w:rPr>
          <w:rFonts w:cs="Arial"/>
          <w:szCs w:val="16"/>
        </w:rPr>
        <w:t>Wildl</w:t>
      </w:r>
      <w:proofErr w:type="spellEnd"/>
      <w:r w:rsidR="00E12CD7" w:rsidRPr="00D70413">
        <w:rPr>
          <w:rFonts w:cs="Arial"/>
          <w:szCs w:val="16"/>
        </w:rPr>
        <w:t>.</w:t>
      </w:r>
      <w:r w:rsidR="00E05749" w:rsidRPr="00D70413">
        <w:rPr>
          <w:rFonts w:cs="Arial"/>
          <w:szCs w:val="16"/>
        </w:rPr>
        <w:t xml:space="preserve"> Med. 2017 Sep;48(3):627-635. </w:t>
      </w:r>
      <w:proofErr w:type="spellStart"/>
      <w:r w:rsidR="00E05749" w:rsidRPr="00D70413">
        <w:rPr>
          <w:rFonts w:cs="Arial"/>
          <w:szCs w:val="16"/>
        </w:rPr>
        <w:t>doi</w:t>
      </w:r>
      <w:proofErr w:type="spellEnd"/>
      <w:r w:rsidR="00E05749" w:rsidRPr="00D70413">
        <w:rPr>
          <w:rFonts w:cs="Arial"/>
          <w:szCs w:val="16"/>
        </w:rPr>
        <w:t xml:space="preserve">: 10.1638/2016-0280. </w:t>
      </w:r>
    </w:p>
  </w:footnote>
  <w:footnote w:id="36">
    <w:p w14:paraId="07A4B4F3" w14:textId="7FD43E26" w:rsidR="005951C6" w:rsidRPr="00D70413" w:rsidRDefault="005951C6" w:rsidP="00D70413">
      <w:pPr>
        <w:pStyle w:val="FootnoteText"/>
        <w:spacing w:line="240" w:lineRule="auto"/>
        <w:rPr>
          <w:rFonts w:cs="Arial"/>
        </w:rPr>
      </w:pPr>
      <w:r w:rsidRPr="00D70413">
        <w:rPr>
          <w:rStyle w:val="FootnoteReference"/>
          <w:rFonts w:cs="Arial"/>
        </w:rPr>
        <w:footnoteRef/>
      </w:r>
      <w:r w:rsidRPr="00D70413">
        <w:rPr>
          <w:rFonts w:cs="Arial"/>
        </w:rPr>
        <w:t xml:space="preserve"> </w:t>
      </w:r>
      <w:r w:rsidR="00E12CD7" w:rsidRPr="00D70413">
        <w:rPr>
          <w:rFonts w:cs="Arial"/>
          <w:color w:val="212121"/>
          <w:shd w:val="clear" w:color="auto" w:fill="FFFFFF"/>
        </w:rPr>
        <w:t xml:space="preserve">Wolfe LL, Lance WR, Miller MW. Immobilization of mule deer with </w:t>
      </w:r>
      <w:proofErr w:type="spellStart"/>
      <w:r w:rsidR="00E12CD7" w:rsidRPr="00D70413">
        <w:rPr>
          <w:rFonts w:cs="Arial"/>
          <w:color w:val="212121"/>
          <w:shd w:val="clear" w:color="auto" w:fill="FFFFFF"/>
        </w:rPr>
        <w:t>thiafentanil</w:t>
      </w:r>
      <w:proofErr w:type="spellEnd"/>
      <w:r w:rsidR="00E12CD7" w:rsidRPr="00D70413">
        <w:rPr>
          <w:rFonts w:cs="Arial"/>
          <w:color w:val="212121"/>
          <w:shd w:val="clear" w:color="auto" w:fill="FFFFFF"/>
        </w:rPr>
        <w:t xml:space="preserve"> (A-3080) or </w:t>
      </w:r>
      <w:proofErr w:type="spellStart"/>
      <w:r w:rsidR="00E12CD7" w:rsidRPr="00D70413">
        <w:rPr>
          <w:rFonts w:cs="Arial"/>
          <w:color w:val="212121"/>
          <w:shd w:val="clear" w:color="auto" w:fill="FFFFFF"/>
        </w:rPr>
        <w:t>thiafentanil</w:t>
      </w:r>
      <w:proofErr w:type="spellEnd"/>
      <w:r w:rsidR="00E12CD7" w:rsidRPr="00D70413">
        <w:rPr>
          <w:rFonts w:cs="Arial"/>
          <w:color w:val="212121"/>
          <w:shd w:val="clear" w:color="auto" w:fill="FFFFFF"/>
        </w:rPr>
        <w:t xml:space="preserve"> plus xylazine. J </w:t>
      </w:r>
      <w:proofErr w:type="spellStart"/>
      <w:r w:rsidR="00E12CD7" w:rsidRPr="00D70413">
        <w:rPr>
          <w:rFonts w:cs="Arial"/>
          <w:color w:val="212121"/>
          <w:shd w:val="clear" w:color="auto" w:fill="FFFFFF"/>
        </w:rPr>
        <w:t>Wildl</w:t>
      </w:r>
      <w:proofErr w:type="spellEnd"/>
      <w:r w:rsidR="00E12CD7" w:rsidRPr="00D70413">
        <w:rPr>
          <w:rFonts w:cs="Arial"/>
          <w:color w:val="212121"/>
          <w:shd w:val="clear" w:color="auto" w:fill="FFFFFF"/>
        </w:rPr>
        <w:t xml:space="preserve"> Dis. 2004 Apr;40(2):282-7. </w:t>
      </w:r>
      <w:proofErr w:type="spellStart"/>
      <w:r w:rsidR="00E12CD7" w:rsidRPr="00D70413">
        <w:rPr>
          <w:rFonts w:cs="Arial"/>
          <w:color w:val="212121"/>
          <w:shd w:val="clear" w:color="auto" w:fill="FFFFFF"/>
        </w:rPr>
        <w:t>doi</w:t>
      </w:r>
      <w:proofErr w:type="spellEnd"/>
      <w:r w:rsidR="00E12CD7" w:rsidRPr="00D70413">
        <w:rPr>
          <w:rFonts w:cs="Arial"/>
          <w:color w:val="212121"/>
          <w:shd w:val="clear" w:color="auto" w:fill="FFFFFF"/>
        </w:rPr>
        <w:t>: 10.7589/0090-3558-40.2.282.</w:t>
      </w:r>
    </w:p>
  </w:footnote>
  <w:footnote w:id="37">
    <w:p w14:paraId="54BE7A42" w14:textId="30600879" w:rsidR="005951C6" w:rsidRPr="00D70413" w:rsidRDefault="005951C6" w:rsidP="00D70413">
      <w:pPr>
        <w:pStyle w:val="FootnoteText"/>
        <w:spacing w:line="240" w:lineRule="auto"/>
        <w:rPr>
          <w:rFonts w:cs="Arial"/>
        </w:rPr>
      </w:pPr>
      <w:r w:rsidRPr="00D70413">
        <w:rPr>
          <w:rStyle w:val="FootnoteReference"/>
          <w:rFonts w:cs="Arial"/>
        </w:rPr>
        <w:footnoteRef/>
      </w:r>
      <w:r w:rsidRPr="00D70413">
        <w:rPr>
          <w:rFonts w:cs="Arial"/>
        </w:rPr>
        <w:t xml:space="preserve"> </w:t>
      </w:r>
      <w:r w:rsidR="00E12CD7" w:rsidRPr="00D70413">
        <w:rPr>
          <w:rFonts w:cs="Arial"/>
        </w:rPr>
        <w:t xml:space="preserve">Kilgallon CP, </w:t>
      </w:r>
      <w:proofErr w:type="spellStart"/>
      <w:r w:rsidR="00E12CD7" w:rsidRPr="00D70413">
        <w:rPr>
          <w:rFonts w:cs="Arial"/>
        </w:rPr>
        <w:t>Lamberski</w:t>
      </w:r>
      <w:proofErr w:type="spellEnd"/>
      <w:r w:rsidR="00E12CD7" w:rsidRPr="00D70413">
        <w:rPr>
          <w:rFonts w:cs="Arial"/>
        </w:rPr>
        <w:t xml:space="preserve"> N, Larsen RS. Comparison of </w:t>
      </w:r>
      <w:proofErr w:type="spellStart"/>
      <w:r w:rsidR="00E12CD7" w:rsidRPr="00D70413">
        <w:rPr>
          <w:rFonts w:cs="Arial"/>
        </w:rPr>
        <w:t>thiafenantil</w:t>
      </w:r>
      <w:proofErr w:type="spellEnd"/>
      <w:r w:rsidR="00E12CD7" w:rsidRPr="00D70413">
        <w:rPr>
          <w:rFonts w:cs="Arial"/>
        </w:rPr>
        <w:t xml:space="preserve">-xylazine and </w:t>
      </w:r>
      <w:proofErr w:type="spellStart"/>
      <w:r w:rsidR="00E12CD7" w:rsidRPr="00D70413">
        <w:rPr>
          <w:rFonts w:cs="Arial"/>
        </w:rPr>
        <w:t>carfentanil</w:t>
      </w:r>
      <w:proofErr w:type="spellEnd"/>
      <w:r w:rsidR="00E12CD7" w:rsidRPr="00D70413">
        <w:rPr>
          <w:rFonts w:cs="Arial"/>
        </w:rPr>
        <w:t xml:space="preserve">-xylazine for immobilization of gemsbok (Oryx gazella). J Zoo </w:t>
      </w:r>
      <w:proofErr w:type="spellStart"/>
      <w:r w:rsidR="00E12CD7" w:rsidRPr="00D70413">
        <w:rPr>
          <w:rFonts w:cs="Arial"/>
        </w:rPr>
        <w:t>Wildl</w:t>
      </w:r>
      <w:proofErr w:type="spellEnd"/>
      <w:r w:rsidR="00E12CD7" w:rsidRPr="00D70413">
        <w:rPr>
          <w:rFonts w:cs="Arial"/>
        </w:rPr>
        <w:t xml:space="preserve"> Med. 2010 Sep;41(3):567-71. </w:t>
      </w:r>
      <w:proofErr w:type="spellStart"/>
      <w:r w:rsidR="00E12CD7" w:rsidRPr="00D70413">
        <w:rPr>
          <w:rFonts w:cs="Arial"/>
        </w:rPr>
        <w:t>doi</w:t>
      </w:r>
      <w:proofErr w:type="spellEnd"/>
      <w:r w:rsidR="00E12CD7" w:rsidRPr="00D70413">
        <w:rPr>
          <w:rFonts w:cs="Arial"/>
        </w:rPr>
        <w:t>: 10.1638/2010-0021.1.</w:t>
      </w:r>
    </w:p>
  </w:footnote>
  <w:footnote w:id="38">
    <w:p w14:paraId="2A6527B8" w14:textId="5B0EF2C6" w:rsidR="005951C6" w:rsidRPr="00D70413" w:rsidRDefault="005951C6" w:rsidP="00D70413">
      <w:pPr>
        <w:pStyle w:val="FootnoteText"/>
        <w:spacing w:line="240" w:lineRule="auto"/>
        <w:rPr>
          <w:rFonts w:cs="Arial"/>
        </w:rPr>
      </w:pPr>
      <w:r w:rsidRPr="00D70413">
        <w:rPr>
          <w:rStyle w:val="FootnoteReference"/>
          <w:rFonts w:cs="Arial"/>
        </w:rPr>
        <w:footnoteRef/>
      </w:r>
      <w:r w:rsidRPr="00D70413">
        <w:rPr>
          <w:rFonts w:cs="Arial"/>
        </w:rPr>
        <w:t xml:space="preserve"> </w:t>
      </w:r>
      <w:r w:rsidR="00E12CD7" w:rsidRPr="00D70413">
        <w:rPr>
          <w:rFonts w:cs="Arial"/>
        </w:rPr>
        <w:t xml:space="preserve">Cooper DV, Grobler D, Bush M, Jessup D, Lance W. Anaesthesia of nyala (Tragelaphus </w:t>
      </w:r>
      <w:proofErr w:type="spellStart"/>
      <w:r w:rsidR="00E12CD7" w:rsidRPr="00D70413">
        <w:rPr>
          <w:rFonts w:cs="Arial"/>
        </w:rPr>
        <w:t>angasi</w:t>
      </w:r>
      <w:proofErr w:type="spellEnd"/>
      <w:r w:rsidR="00E12CD7" w:rsidRPr="00D70413">
        <w:rPr>
          <w:rFonts w:cs="Arial"/>
        </w:rPr>
        <w:t xml:space="preserve">) with a combination of </w:t>
      </w:r>
      <w:proofErr w:type="spellStart"/>
      <w:r w:rsidR="00E12CD7" w:rsidRPr="00D70413">
        <w:rPr>
          <w:rFonts w:cs="Arial"/>
        </w:rPr>
        <w:t>thiafentanil</w:t>
      </w:r>
      <w:proofErr w:type="spellEnd"/>
      <w:r w:rsidR="00E12CD7" w:rsidRPr="00D70413">
        <w:rPr>
          <w:rFonts w:cs="Arial"/>
        </w:rPr>
        <w:t xml:space="preserve"> (A3080), medetomidine and ketamine. J S </w:t>
      </w:r>
      <w:proofErr w:type="spellStart"/>
      <w:r w:rsidR="00E12CD7" w:rsidRPr="00D70413">
        <w:rPr>
          <w:rFonts w:cs="Arial"/>
        </w:rPr>
        <w:t>Afr</w:t>
      </w:r>
      <w:proofErr w:type="spellEnd"/>
      <w:r w:rsidR="00E12CD7" w:rsidRPr="00D70413">
        <w:rPr>
          <w:rFonts w:cs="Arial"/>
        </w:rPr>
        <w:t xml:space="preserve"> Vet Assoc. 2005 Mar;76(1):18-21. </w:t>
      </w:r>
      <w:proofErr w:type="spellStart"/>
      <w:r w:rsidR="00E12CD7" w:rsidRPr="00D70413">
        <w:rPr>
          <w:rFonts w:cs="Arial"/>
        </w:rPr>
        <w:t>doi</w:t>
      </w:r>
      <w:proofErr w:type="spellEnd"/>
      <w:r w:rsidR="00E12CD7" w:rsidRPr="00D70413">
        <w:rPr>
          <w:rFonts w:cs="Arial"/>
        </w:rPr>
        <w:t>: 10.4102/</w:t>
      </w:r>
      <w:proofErr w:type="gramStart"/>
      <w:r w:rsidR="00E12CD7" w:rsidRPr="00D70413">
        <w:rPr>
          <w:rFonts w:cs="Arial"/>
        </w:rPr>
        <w:t>jsava.v</w:t>
      </w:r>
      <w:proofErr w:type="gramEnd"/>
      <w:r w:rsidR="00E12CD7" w:rsidRPr="00D70413">
        <w:rPr>
          <w:rFonts w:cs="Arial"/>
        </w:rPr>
        <w:t>76i1.388.</w:t>
      </w:r>
    </w:p>
  </w:footnote>
  <w:footnote w:id="39">
    <w:p w14:paraId="05B18D59" w14:textId="5422AB5E" w:rsidR="005951C6" w:rsidRPr="00D70413" w:rsidRDefault="005951C6" w:rsidP="00D70413">
      <w:pPr>
        <w:pStyle w:val="FootnoteText"/>
        <w:spacing w:line="240" w:lineRule="auto"/>
        <w:rPr>
          <w:rFonts w:cs="Arial"/>
        </w:rPr>
      </w:pPr>
      <w:r w:rsidRPr="00D70413">
        <w:rPr>
          <w:rStyle w:val="FootnoteReference"/>
          <w:rFonts w:cs="Arial"/>
        </w:rPr>
        <w:footnoteRef/>
      </w:r>
      <w:r w:rsidRPr="00D70413">
        <w:rPr>
          <w:rFonts w:cs="Arial"/>
        </w:rPr>
        <w:t xml:space="preserve"> </w:t>
      </w:r>
      <w:r w:rsidR="00DC11BA" w:rsidRPr="00D70413">
        <w:rPr>
          <w:rFonts w:cs="Arial"/>
        </w:rPr>
        <w:t xml:space="preserve">Citino SB, Bush M, Grobler D, Lance W. Anaesthesia of roan antelope (Hippotragus </w:t>
      </w:r>
      <w:proofErr w:type="spellStart"/>
      <w:r w:rsidR="00DC11BA" w:rsidRPr="00D70413">
        <w:rPr>
          <w:rFonts w:cs="Arial"/>
        </w:rPr>
        <w:t>equinus</w:t>
      </w:r>
      <w:proofErr w:type="spellEnd"/>
      <w:r w:rsidR="00DC11BA" w:rsidRPr="00D70413">
        <w:rPr>
          <w:rFonts w:cs="Arial"/>
        </w:rPr>
        <w:t xml:space="preserve">) with a combination of A3080, medetomidine and ketamine. J S </w:t>
      </w:r>
      <w:proofErr w:type="spellStart"/>
      <w:r w:rsidR="00DC11BA" w:rsidRPr="00D70413">
        <w:rPr>
          <w:rFonts w:cs="Arial"/>
        </w:rPr>
        <w:t>Afr</w:t>
      </w:r>
      <w:proofErr w:type="spellEnd"/>
      <w:r w:rsidR="00DC11BA" w:rsidRPr="00D70413">
        <w:rPr>
          <w:rFonts w:cs="Arial"/>
        </w:rPr>
        <w:t xml:space="preserve"> Vet Assoc. 2001 Mar;72(1):29-32. </w:t>
      </w:r>
      <w:proofErr w:type="spellStart"/>
      <w:r w:rsidR="00DC11BA" w:rsidRPr="00D70413">
        <w:rPr>
          <w:rFonts w:cs="Arial"/>
        </w:rPr>
        <w:t>doi</w:t>
      </w:r>
      <w:proofErr w:type="spellEnd"/>
      <w:r w:rsidR="00DC11BA" w:rsidRPr="00D70413">
        <w:rPr>
          <w:rFonts w:cs="Arial"/>
        </w:rPr>
        <w:t>: 10.4102/</w:t>
      </w:r>
      <w:proofErr w:type="gramStart"/>
      <w:r w:rsidR="00DC11BA" w:rsidRPr="00D70413">
        <w:rPr>
          <w:rFonts w:cs="Arial"/>
        </w:rPr>
        <w:t>jsava.v</w:t>
      </w:r>
      <w:proofErr w:type="gramEnd"/>
      <w:r w:rsidR="00DC11BA" w:rsidRPr="00D70413">
        <w:rPr>
          <w:rFonts w:cs="Arial"/>
        </w:rPr>
        <w:t>72i1.605. PMID: 11563714.</w:t>
      </w:r>
    </w:p>
  </w:footnote>
  <w:footnote w:id="40">
    <w:p w14:paraId="07883819" w14:textId="6A528A9B" w:rsidR="005951C6" w:rsidRPr="00D70413" w:rsidRDefault="005951C6" w:rsidP="00D70413">
      <w:pPr>
        <w:pStyle w:val="FootnoteText"/>
        <w:spacing w:line="240" w:lineRule="auto"/>
        <w:rPr>
          <w:rFonts w:cs="Arial"/>
        </w:rPr>
      </w:pPr>
      <w:r w:rsidRPr="00D70413">
        <w:rPr>
          <w:rStyle w:val="FootnoteReference"/>
          <w:rFonts w:cs="Arial"/>
        </w:rPr>
        <w:footnoteRef/>
      </w:r>
      <w:r w:rsidRPr="00D70413">
        <w:rPr>
          <w:rFonts w:cs="Arial"/>
        </w:rPr>
        <w:t xml:space="preserve"> </w:t>
      </w:r>
      <w:r w:rsidR="00DC11BA" w:rsidRPr="00D70413">
        <w:rPr>
          <w:rFonts w:cs="Arial"/>
        </w:rPr>
        <w:t xml:space="preserve">Citino SB, Bush M, Grobler D, Lance W. </w:t>
      </w:r>
      <w:proofErr w:type="spellStart"/>
      <w:r w:rsidR="00DC11BA" w:rsidRPr="00D70413">
        <w:rPr>
          <w:rFonts w:cs="Arial"/>
        </w:rPr>
        <w:t>Anesthesia</w:t>
      </w:r>
      <w:proofErr w:type="spellEnd"/>
      <w:r w:rsidR="00DC11BA" w:rsidRPr="00D70413">
        <w:rPr>
          <w:rFonts w:cs="Arial"/>
        </w:rPr>
        <w:t xml:space="preserve"> of boma-captured Lichtenstein's hartebeest (</w:t>
      </w:r>
      <w:proofErr w:type="spellStart"/>
      <w:r w:rsidR="00DC11BA" w:rsidRPr="00D70413">
        <w:rPr>
          <w:rFonts w:cs="Arial"/>
        </w:rPr>
        <w:t>Sigmoceros</w:t>
      </w:r>
      <w:proofErr w:type="spellEnd"/>
      <w:r w:rsidR="00DC11BA" w:rsidRPr="00D70413">
        <w:rPr>
          <w:rFonts w:cs="Arial"/>
        </w:rPr>
        <w:t xml:space="preserve"> </w:t>
      </w:r>
      <w:proofErr w:type="spellStart"/>
      <w:r w:rsidR="00DC11BA" w:rsidRPr="00D70413">
        <w:rPr>
          <w:rFonts w:cs="Arial"/>
        </w:rPr>
        <w:t>lichtensteinii</w:t>
      </w:r>
      <w:proofErr w:type="spellEnd"/>
      <w:r w:rsidR="00DC11BA" w:rsidRPr="00D70413">
        <w:rPr>
          <w:rFonts w:cs="Arial"/>
        </w:rPr>
        <w:t xml:space="preserve">) with a combination of </w:t>
      </w:r>
      <w:proofErr w:type="spellStart"/>
      <w:r w:rsidR="00DC11BA" w:rsidRPr="00D70413">
        <w:rPr>
          <w:rFonts w:cs="Arial"/>
        </w:rPr>
        <w:t>thiafentanil</w:t>
      </w:r>
      <w:proofErr w:type="spellEnd"/>
      <w:r w:rsidR="00DC11BA" w:rsidRPr="00D70413">
        <w:rPr>
          <w:rFonts w:cs="Arial"/>
        </w:rPr>
        <w:t xml:space="preserve">, medetomidine, and ketamine. J </w:t>
      </w:r>
      <w:proofErr w:type="spellStart"/>
      <w:r w:rsidR="00DC11BA" w:rsidRPr="00D70413">
        <w:rPr>
          <w:rFonts w:cs="Arial"/>
        </w:rPr>
        <w:t>Wildl</w:t>
      </w:r>
      <w:proofErr w:type="spellEnd"/>
      <w:r w:rsidR="00DC11BA" w:rsidRPr="00D70413">
        <w:rPr>
          <w:rFonts w:cs="Arial"/>
        </w:rPr>
        <w:t xml:space="preserve"> Dis. 2002 Apr;38(2):457-62. </w:t>
      </w:r>
      <w:proofErr w:type="spellStart"/>
      <w:r w:rsidR="00DC11BA" w:rsidRPr="00D70413">
        <w:rPr>
          <w:rFonts w:cs="Arial"/>
        </w:rPr>
        <w:t>doi</w:t>
      </w:r>
      <w:proofErr w:type="spellEnd"/>
      <w:r w:rsidR="00DC11BA" w:rsidRPr="00D70413">
        <w:rPr>
          <w:rFonts w:cs="Arial"/>
        </w:rPr>
        <w:t>: 10.7589/0090-3558-38.2.457. PMID: 12038149.</w:t>
      </w:r>
    </w:p>
  </w:footnote>
  <w:footnote w:id="41">
    <w:p w14:paraId="0FDCC35E" w14:textId="77777777" w:rsidR="005951C6" w:rsidRPr="00D70413" w:rsidRDefault="005951C6" w:rsidP="00D70413">
      <w:pPr>
        <w:pStyle w:val="FootnoteText"/>
        <w:spacing w:line="240" w:lineRule="auto"/>
        <w:rPr>
          <w:rFonts w:cs="Arial"/>
        </w:rPr>
      </w:pPr>
      <w:r w:rsidRPr="00D70413">
        <w:rPr>
          <w:rStyle w:val="FootnoteReference"/>
          <w:rFonts w:cs="Arial"/>
        </w:rPr>
        <w:footnoteRef/>
      </w:r>
      <w:r w:rsidRPr="00D70413">
        <w:rPr>
          <w:rFonts w:cs="Arial"/>
        </w:rPr>
        <w:t xml:space="preserve"> </w:t>
      </w:r>
      <w:hyperlink r:id="rId9" w:history="1">
        <w:r w:rsidRPr="00D70413">
          <w:rPr>
            <w:rStyle w:val="Hyperlink"/>
            <w:rFonts w:cs="Arial"/>
          </w:rPr>
          <w:t>https://pubchem.ncbi.nlm.nih.gov/</w:t>
        </w:r>
      </w:hyperlink>
    </w:p>
  </w:footnote>
  <w:footnote w:id="42">
    <w:p w14:paraId="0EFBD4EE" w14:textId="3379FA1B" w:rsidR="005951C6" w:rsidRPr="00D70413" w:rsidRDefault="005951C6" w:rsidP="00D70413">
      <w:pPr>
        <w:pStyle w:val="FootnoteText"/>
        <w:spacing w:line="240" w:lineRule="auto"/>
        <w:rPr>
          <w:rFonts w:cs="Arial"/>
        </w:rPr>
      </w:pPr>
      <w:r w:rsidRPr="00D70413">
        <w:rPr>
          <w:rStyle w:val="FootnoteReference"/>
          <w:rFonts w:cs="Arial"/>
        </w:rPr>
        <w:footnoteRef/>
      </w:r>
      <w:r w:rsidRPr="00D70413">
        <w:rPr>
          <w:rFonts w:cs="Arial"/>
        </w:rPr>
        <w:t xml:space="preserve"> </w:t>
      </w:r>
      <w:hyperlink r:id="rId10" w:history="1">
        <w:r w:rsidRPr="00D70413">
          <w:rPr>
            <w:rStyle w:val="Hyperlink"/>
            <w:rFonts w:cs="Arial"/>
          </w:rPr>
          <w:t>https://www.sciencedirect.com/topics/pharmacology-toxicology-and-pharmaceutical-science/carfentanil</w:t>
        </w:r>
      </w:hyperlink>
    </w:p>
  </w:footnote>
  <w:footnote w:id="43">
    <w:p w14:paraId="6E247305" w14:textId="1FF44FE8" w:rsidR="005951C6" w:rsidRPr="00D70413" w:rsidRDefault="005951C6" w:rsidP="00D70413">
      <w:pPr>
        <w:pStyle w:val="FootnoteText"/>
        <w:spacing w:line="240" w:lineRule="auto"/>
        <w:rPr>
          <w:rFonts w:cs="Arial"/>
        </w:rPr>
      </w:pPr>
      <w:r w:rsidRPr="00D70413">
        <w:rPr>
          <w:rStyle w:val="FootnoteReference"/>
          <w:rFonts w:cs="Arial"/>
        </w:rPr>
        <w:footnoteRef/>
      </w:r>
      <w:r w:rsidRPr="00D70413">
        <w:rPr>
          <w:rFonts w:cs="Arial"/>
        </w:rPr>
        <w:t xml:space="preserve"> </w:t>
      </w:r>
      <w:hyperlink r:id="rId11" w:history="1">
        <w:r w:rsidR="00E05749" w:rsidRPr="00D70413">
          <w:rPr>
            <w:rStyle w:val="Hyperlink"/>
            <w:rFonts w:cs="Arial"/>
          </w:rPr>
          <w:t>https://www.dea.gov/drug-information/drug-scheduling</w:t>
        </w:r>
      </w:hyperlink>
      <w:r w:rsidR="00E05749" w:rsidRPr="00D70413">
        <w:rPr>
          <w:rFonts w:cs="Arial"/>
        </w:rPr>
        <w:t xml:space="preserve"> </w:t>
      </w:r>
    </w:p>
  </w:footnote>
  <w:footnote w:id="44">
    <w:p w14:paraId="42935505" w14:textId="6B8EA411" w:rsidR="00E05749" w:rsidRDefault="00E05749" w:rsidP="00D70413">
      <w:pPr>
        <w:pStyle w:val="FootnoteText"/>
        <w:spacing w:line="240" w:lineRule="auto"/>
      </w:pPr>
      <w:r w:rsidRPr="00D70413">
        <w:rPr>
          <w:rStyle w:val="FootnoteReference"/>
          <w:rFonts w:cs="Arial"/>
        </w:rPr>
        <w:footnoteRef/>
      </w:r>
      <w:r w:rsidRPr="00D70413">
        <w:rPr>
          <w:rFonts w:cs="Arial"/>
        </w:rPr>
        <w:t xml:space="preserve"> </w:t>
      </w:r>
      <w:hyperlink r:id="rId12" w:history="1">
        <w:r w:rsidRPr="00D70413">
          <w:rPr>
            <w:rStyle w:val="Hyperlink"/>
            <w:rFonts w:cs="Arial"/>
            <w:szCs w:val="20"/>
          </w:rPr>
          <w:t>https://veteriankey.com/thiafentanil-oxalate-a3080-in-nondomestic-ungulate-species/</w:t>
        </w:r>
      </w:hyperlink>
    </w:p>
  </w:footnote>
  <w:footnote w:id="45">
    <w:p w14:paraId="01C562C9" w14:textId="77777777" w:rsidR="00932395" w:rsidRDefault="00932395" w:rsidP="00932395">
      <w:pPr>
        <w:pStyle w:val="FootnoteText"/>
      </w:pPr>
      <w:r w:rsidRPr="003B3F3B">
        <w:rPr>
          <w:rStyle w:val="FootnoteReference"/>
          <w:rFonts w:cstheme="minorHAnsi"/>
          <w:sz w:val="18"/>
          <w:szCs w:val="18"/>
        </w:rPr>
        <w:footnoteRef/>
      </w:r>
      <w:r w:rsidRPr="003B3F3B">
        <w:rPr>
          <w:rFonts w:cstheme="minorHAnsi"/>
          <w:color w:val="000000" w:themeColor="text1"/>
          <w:sz w:val="18"/>
          <w:szCs w:val="18"/>
        </w:rPr>
        <w:t xml:space="preserve"> Proposed additions are shown in green underlined font, proposed deletions are shown in red strikethrough font, and text without this formatting represents the current text in the Poisons Standard.</w:t>
      </w:r>
    </w:p>
  </w:footnote>
  <w:footnote w:id="46">
    <w:p w14:paraId="2A2E9504" w14:textId="77777777" w:rsidR="00005CE2" w:rsidRDefault="00005CE2" w:rsidP="00005CE2">
      <w:pPr>
        <w:pStyle w:val="FootnoteText"/>
        <w:spacing w:after="240"/>
      </w:pPr>
      <w:r>
        <w:rPr>
          <w:rStyle w:val="FootnoteReference"/>
        </w:rPr>
        <w:footnoteRef/>
      </w:r>
      <w:r>
        <w:t xml:space="preserve"> </w:t>
      </w:r>
      <w:hyperlink r:id="rId13" w:history="1">
        <w:r w:rsidRPr="00196406">
          <w:rPr>
            <w:rStyle w:val="Hyperlink"/>
            <w:sz w:val="18"/>
            <w:szCs w:val="18"/>
          </w:rPr>
          <w:t>https://pubmed.ncbi.nlm.nih.gov/38205685/</w:t>
        </w:r>
      </w:hyperlink>
    </w:p>
  </w:footnote>
  <w:footnote w:id="47">
    <w:p w14:paraId="0C6B7797" w14:textId="77777777" w:rsidR="00932395" w:rsidRPr="00934FDF" w:rsidRDefault="00932395" w:rsidP="00934FDF">
      <w:pPr>
        <w:pStyle w:val="FootnoteText"/>
        <w:spacing w:line="240" w:lineRule="auto"/>
        <w:rPr>
          <w:szCs w:val="16"/>
        </w:rPr>
      </w:pPr>
      <w:r w:rsidRPr="00934FDF">
        <w:rPr>
          <w:rStyle w:val="FootnoteReference"/>
          <w:szCs w:val="16"/>
        </w:rPr>
        <w:footnoteRef/>
      </w:r>
      <w:r w:rsidRPr="00934FDF">
        <w:rPr>
          <w:szCs w:val="16"/>
        </w:rPr>
        <w:t xml:space="preserve"> Critical Review Report: </w:t>
      </w:r>
      <w:proofErr w:type="spellStart"/>
      <w:r w:rsidRPr="00934FDF">
        <w:rPr>
          <w:szCs w:val="16"/>
        </w:rPr>
        <w:t>Diphenidine</w:t>
      </w:r>
      <w:proofErr w:type="spellEnd"/>
      <w:r w:rsidRPr="00934FDF">
        <w:rPr>
          <w:szCs w:val="16"/>
        </w:rPr>
        <w:t xml:space="preserve">, WHO Expert Committee on Drug Dependence, October 2020 </w:t>
      </w:r>
    </w:p>
  </w:footnote>
  <w:footnote w:id="48">
    <w:p w14:paraId="11D782AC" w14:textId="77777777" w:rsidR="00932395" w:rsidRPr="00934FDF" w:rsidRDefault="00932395" w:rsidP="00934FDF">
      <w:pPr>
        <w:pStyle w:val="FootnoteText"/>
        <w:spacing w:line="240" w:lineRule="auto"/>
        <w:rPr>
          <w:szCs w:val="16"/>
        </w:rPr>
      </w:pPr>
      <w:r w:rsidRPr="00934FDF">
        <w:rPr>
          <w:rStyle w:val="FootnoteReference"/>
          <w:szCs w:val="16"/>
        </w:rPr>
        <w:footnoteRef/>
      </w:r>
      <w:r w:rsidRPr="00934FDF">
        <w:rPr>
          <w:szCs w:val="16"/>
        </w:rPr>
        <w:t xml:space="preserve"> A review of the evidence on the use and harms of </w:t>
      </w:r>
      <w:proofErr w:type="spellStart"/>
      <w:r w:rsidRPr="00934FDF">
        <w:rPr>
          <w:szCs w:val="16"/>
        </w:rPr>
        <w:t>Diphenidine</w:t>
      </w:r>
      <w:proofErr w:type="spellEnd"/>
      <w:r w:rsidRPr="00934FDF">
        <w:rPr>
          <w:szCs w:val="16"/>
        </w:rPr>
        <w:t xml:space="preserve"> and other related substances, Advisory Council on the Misuse of Drugs, United Kingdom, May 2023.</w:t>
      </w:r>
    </w:p>
  </w:footnote>
  <w:footnote w:id="49">
    <w:p w14:paraId="3701A1D1" w14:textId="77777777" w:rsidR="005B7A98" w:rsidRDefault="005B7A98" w:rsidP="00934FDF">
      <w:pPr>
        <w:pStyle w:val="FootnoteText"/>
        <w:spacing w:line="240" w:lineRule="auto"/>
      </w:pPr>
      <w:r w:rsidRPr="00934FDF">
        <w:rPr>
          <w:rStyle w:val="FootnoteReference"/>
          <w:rFonts w:cstheme="minorHAnsi"/>
          <w:szCs w:val="16"/>
        </w:rPr>
        <w:footnoteRef/>
      </w:r>
      <w:r w:rsidRPr="00934FDF">
        <w:rPr>
          <w:rFonts w:cstheme="minorHAnsi"/>
          <w:color w:val="000000" w:themeColor="text1"/>
          <w:szCs w:val="16"/>
        </w:rPr>
        <w:t xml:space="preserve"> Proposed additions are shown in green underlined font, proposed deletions are shown in red strikethrough font, and text without this formatting represents the current text in the Poisons Standard.</w:t>
      </w:r>
    </w:p>
  </w:footnote>
  <w:footnote w:id="50">
    <w:p w14:paraId="54A9B221" w14:textId="77777777" w:rsidR="005B7A98" w:rsidRPr="00401FB5" w:rsidRDefault="005B7A98" w:rsidP="005B7A98">
      <w:pPr>
        <w:pStyle w:val="FootnoteText"/>
        <w:rPr>
          <w:rFonts w:cstheme="minorHAnsi"/>
          <w:sz w:val="18"/>
          <w:szCs w:val="18"/>
        </w:rPr>
      </w:pPr>
      <w:r w:rsidRPr="00401FB5">
        <w:rPr>
          <w:rStyle w:val="FootnoteReference"/>
          <w:rFonts w:cstheme="minorHAnsi"/>
          <w:sz w:val="18"/>
          <w:szCs w:val="18"/>
        </w:rPr>
        <w:footnoteRef/>
      </w:r>
      <w:r w:rsidRPr="00401FB5">
        <w:rPr>
          <w:rFonts w:cstheme="minorHAnsi"/>
          <w:sz w:val="18"/>
          <w:szCs w:val="18"/>
        </w:rPr>
        <w:t xml:space="preserve"> https://echa.europa.eu/documents/10162/4230c62d-7422-4c3d-a1e2-38a7f2dd2067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428903361" name="Picture 142890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41430748" name="Picture 41430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10EEB2AD" w14:textId="77777777" w:rsidR="00870254" w:rsidRDefault="008702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D080" w14:textId="77777777" w:rsidR="004B4802" w:rsidRPr="00FE501F" w:rsidRDefault="004B4802"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32A77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CDC77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F24A1D"/>
    <w:multiLevelType w:val="hybridMultilevel"/>
    <w:tmpl w:val="95C2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7"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0FC2B36"/>
    <w:multiLevelType w:val="hybridMultilevel"/>
    <w:tmpl w:val="3474B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AC3326"/>
    <w:multiLevelType w:val="hybridMultilevel"/>
    <w:tmpl w:val="0C2A2B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24D838A1"/>
    <w:multiLevelType w:val="hybridMultilevel"/>
    <w:tmpl w:val="405675F8"/>
    <w:lvl w:ilvl="0" w:tplc="91B677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924211"/>
    <w:multiLevelType w:val="hybridMultilevel"/>
    <w:tmpl w:val="FBF6AE7C"/>
    <w:lvl w:ilvl="0" w:tplc="6748B478">
      <w:start w:val="1"/>
      <w:numFmt w:val="lowerLetter"/>
      <w:pStyle w:val="ListBulleta"/>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1058C4"/>
    <w:multiLevelType w:val="hybridMultilevel"/>
    <w:tmpl w:val="ACA00536"/>
    <w:lvl w:ilvl="0" w:tplc="91B67724">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EBB2E90"/>
    <w:multiLevelType w:val="hybridMultilevel"/>
    <w:tmpl w:val="B7E45DF4"/>
    <w:lvl w:ilvl="0" w:tplc="FFFFFFFF">
      <w:start w:val="1"/>
      <w:numFmt w:val="lowerLetter"/>
      <w:lvlText w:val="(%1)"/>
      <w:lvlJc w:val="left"/>
      <w:pPr>
        <w:ind w:left="1429" w:hanging="360"/>
      </w:pPr>
      <w:rPr>
        <w:rFonts w:ascii="Arial" w:eastAsiaTheme="minorHAnsi" w:hAnsi="Arial" w:cstheme="minorBidi" w:hint="default"/>
      </w:rPr>
    </w:lvl>
    <w:lvl w:ilvl="1" w:tplc="95C89DF8">
      <w:start w:val="1"/>
      <w:numFmt w:val="lowerRoman"/>
      <w:lvlText w:val="(%2)"/>
      <w:lvlJc w:val="left"/>
      <w:pPr>
        <w:ind w:left="191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7" w15:restartNumberingAfterBreak="0">
    <w:nsid w:val="500351ED"/>
    <w:multiLevelType w:val="hybridMultilevel"/>
    <w:tmpl w:val="A32A1F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995581"/>
    <w:multiLevelType w:val="hybridMultilevel"/>
    <w:tmpl w:val="B1860C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FE239F4"/>
    <w:multiLevelType w:val="hybridMultilevel"/>
    <w:tmpl w:val="2E82A58C"/>
    <w:lvl w:ilvl="0" w:tplc="82AA357A">
      <w:start w:val="1"/>
      <w:numFmt w:val="upperLetter"/>
      <w:lvlText w:val="%1)"/>
      <w:lvlJc w:val="left"/>
      <w:pPr>
        <w:ind w:left="1020" w:hanging="360"/>
      </w:pPr>
    </w:lvl>
    <w:lvl w:ilvl="1" w:tplc="0F56DB78">
      <w:start w:val="1"/>
      <w:numFmt w:val="upperLetter"/>
      <w:lvlText w:val="%2)"/>
      <w:lvlJc w:val="left"/>
      <w:pPr>
        <w:ind w:left="1020" w:hanging="360"/>
      </w:pPr>
    </w:lvl>
    <w:lvl w:ilvl="2" w:tplc="03F631B0">
      <w:start w:val="1"/>
      <w:numFmt w:val="upperLetter"/>
      <w:lvlText w:val="%3)"/>
      <w:lvlJc w:val="left"/>
      <w:pPr>
        <w:ind w:left="1020" w:hanging="360"/>
      </w:pPr>
    </w:lvl>
    <w:lvl w:ilvl="3" w:tplc="93720EE6">
      <w:start w:val="1"/>
      <w:numFmt w:val="upperLetter"/>
      <w:lvlText w:val="%4)"/>
      <w:lvlJc w:val="left"/>
      <w:pPr>
        <w:ind w:left="1020" w:hanging="360"/>
      </w:pPr>
    </w:lvl>
    <w:lvl w:ilvl="4" w:tplc="E8AA7EEE">
      <w:start w:val="1"/>
      <w:numFmt w:val="upperLetter"/>
      <w:lvlText w:val="%5)"/>
      <w:lvlJc w:val="left"/>
      <w:pPr>
        <w:ind w:left="1020" w:hanging="360"/>
      </w:pPr>
    </w:lvl>
    <w:lvl w:ilvl="5" w:tplc="CF9076DA">
      <w:start w:val="1"/>
      <w:numFmt w:val="upperLetter"/>
      <w:lvlText w:val="%6)"/>
      <w:lvlJc w:val="left"/>
      <w:pPr>
        <w:ind w:left="1020" w:hanging="360"/>
      </w:pPr>
    </w:lvl>
    <w:lvl w:ilvl="6" w:tplc="27729EB2">
      <w:start w:val="1"/>
      <w:numFmt w:val="upperLetter"/>
      <w:lvlText w:val="%7)"/>
      <w:lvlJc w:val="left"/>
      <w:pPr>
        <w:ind w:left="1020" w:hanging="360"/>
      </w:pPr>
    </w:lvl>
    <w:lvl w:ilvl="7" w:tplc="7FA45CA4">
      <w:start w:val="1"/>
      <w:numFmt w:val="upperLetter"/>
      <w:lvlText w:val="%8)"/>
      <w:lvlJc w:val="left"/>
      <w:pPr>
        <w:ind w:left="1020" w:hanging="360"/>
      </w:pPr>
    </w:lvl>
    <w:lvl w:ilvl="8" w:tplc="6B9EFEC2">
      <w:start w:val="1"/>
      <w:numFmt w:val="upperLetter"/>
      <w:lvlText w:val="%9)"/>
      <w:lvlJc w:val="left"/>
      <w:pPr>
        <w:ind w:left="1020" w:hanging="360"/>
      </w:pPr>
    </w:lvl>
  </w:abstractNum>
  <w:abstractNum w:abstractNumId="21" w15:restartNumberingAfterBreak="0">
    <w:nsid w:val="67AD19E4"/>
    <w:multiLevelType w:val="hybridMultilevel"/>
    <w:tmpl w:val="44664D7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EA7444"/>
    <w:multiLevelType w:val="hybridMultilevel"/>
    <w:tmpl w:val="108AC550"/>
    <w:lvl w:ilvl="0" w:tplc="91B6772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9C12510"/>
    <w:multiLevelType w:val="hybridMultilevel"/>
    <w:tmpl w:val="B64AC26E"/>
    <w:lvl w:ilvl="0" w:tplc="6730F66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0653A2"/>
    <w:multiLevelType w:val="hybridMultilevel"/>
    <w:tmpl w:val="7814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5"/>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3"/>
  </w:num>
  <w:num w:numId="3" w16cid:durableId="1248614696">
    <w:abstractNumId w:val="4"/>
  </w:num>
  <w:num w:numId="4" w16cid:durableId="297951965">
    <w:abstractNumId w:val="18"/>
  </w:num>
  <w:num w:numId="5" w16cid:durableId="1535191726">
    <w:abstractNumId w:val="10"/>
  </w:num>
  <w:num w:numId="6" w16cid:durableId="224069918">
    <w:abstractNumId w:val="16"/>
  </w:num>
  <w:num w:numId="7" w16cid:durableId="1150249122">
    <w:abstractNumId w:val="7"/>
  </w:num>
  <w:num w:numId="8" w16cid:durableId="233053789">
    <w:abstractNumId w:val="1"/>
  </w:num>
  <w:num w:numId="9" w16cid:durableId="1393187700">
    <w:abstractNumId w:val="0"/>
  </w:num>
  <w:num w:numId="10" w16cid:durableId="91820601">
    <w:abstractNumId w:val="5"/>
  </w:num>
  <w:num w:numId="11" w16cid:durableId="1223715709">
    <w:abstractNumId w:val="24"/>
  </w:num>
  <w:num w:numId="12" w16cid:durableId="284118181">
    <w:abstractNumId w:val="12"/>
  </w:num>
  <w:num w:numId="13" w16cid:durableId="65491580">
    <w:abstractNumId w:val="12"/>
    <w:lvlOverride w:ilvl="0">
      <w:startOverride w:val="1"/>
    </w:lvlOverride>
  </w:num>
  <w:num w:numId="14" w16cid:durableId="478496800">
    <w:abstractNumId w:val="22"/>
  </w:num>
  <w:num w:numId="15" w16cid:durableId="1951473459">
    <w:abstractNumId w:val="21"/>
  </w:num>
  <w:num w:numId="16" w16cid:durableId="409738082">
    <w:abstractNumId w:val="23"/>
  </w:num>
  <w:num w:numId="17" w16cid:durableId="1253704649">
    <w:abstractNumId w:val="15"/>
  </w:num>
  <w:num w:numId="18" w16cid:durableId="1702510677">
    <w:abstractNumId w:val="19"/>
  </w:num>
  <w:num w:numId="19" w16cid:durableId="430591781">
    <w:abstractNumId w:val="2"/>
  </w:num>
  <w:num w:numId="20" w16cid:durableId="1060520906">
    <w:abstractNumId w:val="17"/>
  </w:num>
  <w:num w:numId="21" w16cid:durableId="1694768760">
    <w:abstractNumId w:val="8"/>
  </w:num>
  <w:num w:numId="22" w16cid:durableId="2071878291">
    <w:abstractNumId w:val="25"/>
  </w:num>
  <w:num w:numId="23" w16cid:durableId="165481811">
    <w:abstractNumId w:val="20"/>
  </w:num>
  <w:num w:numId="24" w16cid:durableId="726995479">
    <w:abstractNumId w:val="11"/>
  </w:num>
  <w:num w:numId="25" w16cid:durableId="829443525">
    <w:abstractNumId w:val="14"/>
  </w:num>
  <w:num w:numId="26" w16cid:durableId="1648128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017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2466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4626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3286621">
    <w:abstractNumId w:val="6"/>
  </w:num>
  <w:num w:numId="31" w16cid:durableId="348146139">
    <w:abstractNumId w:val="9"/>
  </w:num>
  <w:num w:numId="32" w16cid:durableId="2012171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5CE2"/>
    <w:rsid w:val="0000665B"/>
    <w:rsid w:val="00007A50"/>
    <w:rsid w:val="000127F9"/>
    <w:rsid w:val="00014258"/>
    <w:rsid w:val="0004645C"/>
    <w:rsid w:val="00052BE5"/>
    <w:rsid w:val="00052FC5"/>
    <w:rsid w:val="00064106"/>
    <w:rsid w:val="00064108"/>
    <w:rsid w:val="000644B9"/>
    <w:rsid w:val="00064D72"/>
    <w:rsid w:val="000827B0"/>
    <w:rsid w:val="00082AEF"/>
    <w:rsid w:val="00084016"/>
    <w:rsid w:val="0008505E"/>
    <w:rsid w:val="00094B81"/>
    <w:rsid w:val="00095A50"/>
    <w:rsid w:val="000A5B3C"/>
    <w:rsid w:val="000B1F7B"/>
    <w:rsid w:val="000C0B57"/>
    <w:rsid w:val="000C3A5C"/>
    <w:rsid w:val="000C3B71"/>
    <w:rsid w:val="000D17D8"/>
    <w:rsid w:val="000D3369"/>
    <w:rsid w:val="000D7942"/>
    <w:rsid w:val="000E4DEF"/>
    <w:rsid w:val="000F30C6"/>
    <w:rsid w:val="000F5861"/>
    <w:rsid w:val="000F6D1C"/>
    <w:rsid w:val="000F6F7E"/>
    <w:rsid w:val="000F7C3D"/>
    <w:rsid w:val="0010231F"/>
    <w:rsid w:val="0011279A"/>
    <w:rsid w:val="0012473C"/>
    <w:rsid w:val="00126769"/>
    <w:rsid w:val="00132410"/>
    <w:rsid w:val="00134EF7"/>
    <w:rsid w:val="00152308"/>
    <w:rsid w:val="00152321"/>
    <w:rsid w:val="00153582"/>
    <w:rsid w:val="00155533"/>
    <w:rsid w:val="00161403"/>
    <w:rsid w:val="00165900"/>
    <w:rsid w:val="00166A6F"/>
    <w:rsid w:val="001670DC"/>
    <w:rsid w:val="00175CD8"/>
    <w:rsid w:val="0017784B"/>
    <w:rsid w:val="00186B9E"/>
    <w:rsid w:val="001C23E5"/>
    <w:rsid w:val="001C52BB"/>
    <w:rsid w:val="001D4C7E"/>
    <w:rsid w:val="001E074B"/>
    <w:rsid w:val="001E089E"/>
    <w:rsid w:val="001E43B0"/>
    <w:rsid w:val="001E6CD4"/>
    <w:rsid w:val="002050E4"/>
    <w:rsid w:val="00206027"/>
    <w:rsid w:val="00212F39"/>
    <w:rsid w:val="00230E2E"/>
    <w:rsid w:val="002410E9"/>
    <w:rsid w:val="00241B50"/>
    <w:rsid w:val="00247188"/>
    <w:rsid w:val="0025010F"/>
    <w:rsid w:val="00250EB2"/>
    <w:rsid w:val="002608C4"/>
    <w:rsid w:val="00263C10"/>
    <w:rsid w:val="00274EEB"/>
    <w:rsid w:val="0027775B"/>
    <w:rsid w:val="00280BB3"/>
    <w:rsid w:val="00286E51"/>
    <w:rsid w:val="00290514"/>
    <w:rsid w:val="00290CD9"/>
    <w:rsid w:val="002940FF"/>
    <w:rsid w:val="00296E82"/>
    <w:rsid w:val="002A49F1"/>
    <w:rsid w:val="002A6F8F"/>
    <w:rsid w:val="002B1BF7"/>
    <w:rsid w:val="002B1E3C"/>
    <w:rsid w:val="002B5C5B"/>
    <w:rsid w:val="002D10B2"/>
    <w:rsid w:val="002D4856"/>
    <w:rsid w:val="002E14A0"/>
    <w:rsid w:val="002F4F8E"/>
    <w:rsid w:val="002F591F"/>
    <w:rsid w:val="003008D8"/>
    <w:rsid w:val="00300CBB"/>
    <w:rsid w:val="003120CD"/>
    <w:rsid w:val="00321B93"/>
    <w:rsid w:val="003231C8"/>
    <w:rsid w:val="003263E6"/>
    <w:rsid w:val="00335320"/>
    <w:rsid w:val="00335538"/>
    <w:rsid w:val="00345304"/>
    <w:rsid w:val="0035444D"/>
    <w:rsid w:val="003566D3"/>
    <w:rsid w:val="00361624"/>
    <w:rsid w:val="00362FE7"/>
    <w:rsid w:val="00386AF2"/>
    <w:rsid w:val="003924D4"/>
    <w:rsid w:val="003961D6"/>
    <w:rsid w:val="003A1B6F"/>
    <w:rsid w:val="003A461B"/>
    <w:rsid w:val="003B4235"/>
    <w:rsid w:val="003B6C24"/>
    <w:rsid w:val="003C1B12"/>
    <w:rsid w:val="003C3C33"/>
    <w:rsid w:val="003C4DA5"/>
    <w:rsid w:val="003C7F4C"/>
    <w:rsid w:val="003D036E"/>
    <w:rsid w:val="003E7102"/>
    <w:rsid w:val="003F2E57"/>
    <w:rsid w:val="003F4036"/>
    <w:rsid w:val="003F5E43"/>
    <w:rsid w:val="00416F79"/>
    <w:rsid w:val="004246B8"/>
    <w:rsid w:val="0042652F"/>
    <w:rsid w:val="004320AC"/>
    <w:rsid w:val="00435E0B"/>
    <w:rsid w:val="00440D56"/>
    <w:rsid w:val="004429A5"/>
    <w:rsid w:val="00443404"/>
    <w:rsid w:val="0045381C"/>
    <w:rsid w:val="004544B1"/>
    <w:rsid w:val="00454694"/>
    <w:rsid w:val="00457050"/>
    <w:rsid w:val="0046072C"/>
    <w:rsid w:val="004728CC"/>
    <w:rsid w:val="00487A39"/>
    <w:rsid w:val="004A41D9"/>
    <w:rsid w:val="004B2B51"/>
    <w:rsid w:val="004B4802"/>
    <w:rsid w:val="004B58A3"/>
    <w:rsid w:val="004B6ADF"/>
    <w:rsid w:val="004B7498"/>
    <w:rsid w:val="004C1DFF"/>
    <w:rsid w:val="004C434F"/>
    <w:rsid w:val="004C719A"/>
    <w:rsid w:val="004D06D7"/>
    <w:rsid w:val="004D7346"/>
    <w:rsid w:val="004E3E16"/>
    <w:rsid w:val="00502188"/>
    <w:rsid w:val="00512E8A"/>
    <w:rsid w:val="00524638"/>
    <w:rsid w:val="00532A0F"/>
    <w:rsid w:val="005426BC"/>
    <w:rsid w:val="00543F1A"/>
    <w:rsid w:val="00553705"/>
    <w:rsid w:val="00557AF7"/>
    <w:rsid w:val="00566FB7"/>
    <w:rsid w:val="00576352"/>
    <w:rsid w:val="00577563"/>
    <w:rsid w:val="00581BB9"/>
    <w:rsid w:val="0058575E"/>
    <w:rsid w:val="0058651C"/>
    <w:rsid w:val="00590CB3"/>
    <w:rsid w:val="00591A30"/>
    <w:rsid w:val="00591B8B"/>
    <w:rsid w:val="005951C6"/>
    <w:rsid w:val="005978BA"/>
    <w:rsid w:val="005A1B5A"/>
    <w:rsid w:val="005A3C87"/>
    <w:rsid w:val="005A5C2A"/>
    <w:rsid w:val="005B7A98"/>
    <w:rsid w:val="005B7FA0"/>
    <w:rsid w:val="005C65E7"/>
    <w:rsid w:val="005D1558"/>
    <w:rsid w:val="005E3E9A"/>
    <w:rsid w:val="00600BBC"/>
    <w:rsid w:val="00603B07"/>
    <w:rsid w:val="00607C44"/>
    <w:rsid w:val="006119D9"/>
    <w:rsid w:val="00613263"/>
    <w:rsid w:val="00615E49"/>
    <w:rsid w:val="00616016"/>
    <w:rsid w:val="00643B54"/>
    <w:rsid w:val="006514F7"/>
    <w:rsid w:val="00653E82"/>
    <w:rsid w:val="00664E91"/>
    <w:rsid w:val="00671D81"/>
    <w:rsid w:val="0067613C"/>
    <w:rsid w:val="0067698A"/>
    <w:rsid w:val="006926FB"/>
    <w:rsid w:val="006976B8"/>
    <w:rsid w:val="006A1F0B"/>
    <w:rsid w:val="006B1C10"/>
    <w:rsid w:val="006C1D61"/>
    <w:rsid w:val="006C4A65"/>
    <w:rsid w:val="006D0733"/>
    <w:rsid w:val="006E5F4C"/>
    <w:rsid w:val="006F115E"/>
    <w:rsid w:val="006F6F29"/>
    <w:rsid w:val="00701F92"/>
    <w:rsid w:val="00704A6D"/>
    <w:rsid w:val="00706696"/>
    <w:rsid w:val="00706C82"/>
    <w:rsid w:val="00711546"/>
    <w:rsid w:val="00711853"/>
    <w:rsid w:val="007165B1"/>
    <w:rsid w:val="00720587"/>
    <w:rsid w:val="00722E1A"/>
    <w:rsid w:val="007232A5"/>
    <w:rsid w:val="00731F5A"/>
    <w:rsid w:val="00746990"/>
    <w:rsid w:val="0075008A"/>
    <w:rsid w:val="0075124E"/>
    <w:rsid w:val="00756EB0"/>
    <w:rsid w:val="00757E6A"/>
    <w:rsid w:val="00762848"/>
    <w:rsid w:val="0077314C"/>
    <w:rsid w:val="00773B4C"/>
    <w:rsid w:val="0077764E"/>
    <w:rsid w:val="00782458"/>
    <w:rsid w:val="007829DD"/>
    <w:rsid w:val="00786240"/>
    <w:rsid w:val="007909E2"/>
    <w:rsid w:val="007A19DC"/>
    <w:rsid w:val="007A2E0B"/>
    <w:rsid w:val="007A3539"/>
    <w:rsid w:val="007A3857"/>
    <w:rsid w:val="007A78F1"/>
    <w:rsid w:val="007B28CA"/>
    <w:rsid w:val="007D2158"/>
    <w:rsid w:val="007F0A77"/>
    <w:rsid w:val="007F28F9"/>
    <w:rsid w:val="008015EE"/>
    <w:rsid w:val="00811206"/>
    <w:rsid w:val="008117C8"/>
    <w:rsid w:val="00831B56"/>
    <w:rsid w:val="008329DB"/>
    <w:rsid w:val="0085753D"/>
    <w:rsid w:val="00870173"/>
    <w:rsid w:val="00870254"/>
    <w:rsid w:val="00870BB0"/>
    <w:rsid w:val="00874773"/>
    <w:rsid w:val="00877A7A"/>
    <w:rsid w:val="008921D5"/>
    <w:rsid w:val="00894493"/>
    <w:rsid w:val="008B28D0"/>
    <w:rsid w:val="008B7BA6"/>
    <w:rsid w:val="008C06FD"/>
    <w:rsid w:val="008C116A"/>
    <w:rsid w:val="008C6CF9"/>
    <w:rsid w:val="008D25F1"/>
    <w:rsid w:val="008D4F95"/>
    <w:rsid w:val="008D6261"/>
    <w:rsid w:val="008E0C10"/>
    <w:rsid w:val="008F4413"/>
    <w:rsid w:val="008F5087"/>
    <w:rsid w:val="00903CBD"/>
    <w:rsid w:val="0091663D"/>
    <w:rsid w:val="009225D3"/>
    <w:rsid w:val="00923EFF"/>
    <w:rsid w:val="00930D58"/>
    <w:rsid w:val="00931A63"/>
    <w:rsid w:val="00932395"/>
    <w:rsid w:val="009338F3"/>
    <w:rsid w:val="00934FDF"/>
    <w:rsid w:val="0093723C"/>
    <w:rsid w:val="0094276C"/>
    <w:rsid w:val="0094436E"/>
    <w:rsid w:val="0094514B"/>
    <w:rsid w:val="0095570D"/>
    <w:rsid w:val="00967490"/>
    <w:rsid w:val="00967885"/>
    <w:rsid w:val="00984405"/>
    <w:rsid w:val="00990AFC"/>
    <w:rsid w:val="009A2087"/>
    <w:rsid w:val="009A4603"/>
    <w:rsid w:val="009A62A2"/>
    <w:rsid w:val="009A7318"/>
    <w:rsid w:val="009B06CA"/>
    <w:rsid w:val="009B7232"/>
    <w:rsid w:val="009C1126"/>
    <w:rsid w:val="009C6D92"/>
    <w:rsid w:val="009D113D"/>
    <w:rsid w:val="009D4A3D"/>
    <w:rsid w:val="009E215E"/>
    <w:rsid w:val="009E7789"/>
    <w:rsid w:val="009E7E17"/>
    <w:rsid w:val="009F3B53"/>
    <w:rsid w:val="009F7132"/>
    <w:rsid w:val="00A238D3"/>
    <w:rsid w:val="00A30217"/>
    <w:rsid w:val="00A40F25"/>
    <w:rsid w:val="00A43A45"/>
    <w:rsid w:val="00A52A67"/>
    <w:rsid w:val="00A53007"/>
    <w:rsid w:val="00A608CA"/>
    <w:rsid w:val="00A757D2"/>
    <w:rsid w:val="00A80741"/>
    <w:rsid w:val="00A84B94"/>
    <w:rsid w:val="00AA12EC"/>
    <w:rsid w:val="00AB7CBF"/>
    <w:rsid w:val="00AC2957"/>
    <w:rsid w:val="00AC33DF"/>
    <w:rsid w:val="00AC5329"/>
    <w:rsid w:val="00AD3544"/>
    <w:rsid w:val="00AD3E40"/>
    <w:rsid w:val="00AD7A8C"/>
    <w:rsid w:val="00AE5559"/>
    <w:rsid w:val="00AE7C12"/>
    <w:rsid w:val="00B00355"/>
    <w:rsid w:val="00B167C2"/>
    <w:rsid w:val="00B23A63"/>
    <w:rsid w:val="00B266A4"/>
    <w:rsid w:val="00B3629B"/>
    <w:rsid w:val="00B36AFE"/>
    <w:rsid w:val="00B42B6F"/>
    <w:rsid w:val="00B46BC0"/>
    <w:rsid w:val="00B7271F"/>
    <w:rsid w:val="00B81163"/>
    <w:rsid w:val="00B9395E"/>
    <w:rsid w:val="00B94301"/>
    <w:rsid w:val="00B96674"/>
    <w:rsid w:val="00BB2BEA"/>
    <w:rsid w:val="00BB2FE9"/>
    <w:rsid w:val="00BB34CD"/>
    <w:rsid w:val="00BB71C3"/>
    <w:rsid w:val="00BD7AF5"/>
    <w:rsid w:val="00BE0386"/>
    <w:rsid w:val="00BE03B8"/>
    <w:rsid w:val="00BE2699"/>
    <w:rsid w:val="00BE32C5"/>
    <w:rsid w:val="00C05965"/>
    <w:rsid w:val="00C12388"/>
    <w:rsid w:val="00C1282C"/>
    <w:rsid w:val="00C12DE0"/>
    <w:rsid w:val="00C14E48"/>
    <w:rsid w:val="00C16D34"/>
    <w:rsid w:val="00C346EA"/>
    <w:rsid w:val="00C4248E"/>
    <w:rsid w:val="00C54D2C"/>
    <w:rsid w:val="00C5736D"/>
    <w:rsid w:val="00C60B74"/>
    <w:rsid w:val="00C740B8"/>
    <w:rsid w:val="00C81F8B"/>
    <w:rsid w:val="00C83AE3"/>
    <w:rsid w:val="00C910A0"/>
    <w:rsid w:val="00C915FD"/>
    <w:rsid w:val="00C91633"/>
    <w:rsid w:val="00CA6C30"/>
    <w:rsid w:val="00CB0550"/>
    <w:rsid w:val="00CC3661"/>
    <w:rsid w:val="00CC3DAA"/>
    <w:rsid w:val="00CC4089"/>
    <w:rsid w:val="00CD1B7F"/>
    <w:rsid w:val="00CD70F8"/>
    <w:rsid w:val="00CE580A"/>
    <w:rsid w:val="00CE641B"/>
    <w:rsid w:val="00CE755B"/>
    <w:rsid w:val="00CF100B"/>
    <w:rsid w:val="00D008E1"/>
    <w:rsid w:val="00D078BE"/>
    <w:rsid w:val="00D07BC2"/>
    <w:rsid w:val="00D110DC"/>
    <w:rsid w:val="00D13F8A"/>
    <w:rsid w:val="00D15E47"/>
    <w:rsid w:val="00D1612F"/>
    <w:rsid w:val="00D2065C"/>
    <w:rsid w:val="00D20CE2"/>
    <w:rsid w:val="00D23434"/>
    <w:rsid w:val="00D377D4"/>
    <w:rsid w:val="00D561B7"/>
    <w:rsid w:val="00D600F3"/>
    <w:rsid w:val="00D63833"/>
    <w:rsid w:val="00D64077"/>
    <w:rsid w:val="00D651A5"/>
    <w:rsid w:val="00D67AB0"/>
    <w:rsid w:val="00D702C4"/>
    <w:rsid w:val="00D70413"/>
    <w:rsid w:val="00D77233"/>
    <w:rsid w:val="00D805A2"/>
    <w:rsid w:val="00D918D5"/>
    <w:rsid w:val="00D93E10"/>
    <w:rsid w:val="00D9468B"/>
    <w:rsid w:val="00D96A5A"/>
    <w:rsid w:val="00DA0F7B"/>
    <w:rsid w:val="00DA5F8B"/>
    <w:rsid w:val="00DB3ECC"/>
    <w:rsid w:val="00DC11BA"/>
    <w:rsid w:val="00DC2E44"/>
    <w:rsid w:val="00DC4A56"/>
    <w:rsid w:val="00DD3A05"/>
    <w:rsid w:val="00DE78C9"/>
    <w:rsid w:val="00DF606E"/>
    <w:rsid w:val="00E05749"/>
    <w:rsid w:val="00E061B9"/>
    <w:rsid w:val="00E12CD7"/>
    <w:rsid w:val="00E24C24"/>
    <w:rsid w:val="00E272F1"/>
    <w:rsid w:val="00E42057"/>
    <w:rsid w:val="00E523BA"/>
    <w:rsid w:val="00E53D3F"/>
    <w:rsid w:val="00E65F1F"/>
    <w:rsid w:val="00E72F3E"/>
    <w:rsid w:val="00E82526"/>
    <w:rsid w:val="00E84865"/>
    <w:rsid w:val="00EA0132"/>
    <w:rsid w:val="00EA35B4"/>
    <w:rsid w:val="00EA75C9"/>
    <w:rsid w:val="00EA7641"/>
    <w:rsid w:val="00EB592B"/>
    <w:rsid w:val="00EB7D3C"/>
    <w:rsid w:val="00EC4FBE"/>
    <w:rsid w:val="00EC771A"/>
    <w:rsid w:val="00ED198A"/>
    <w:rsid w:val="00EE2006"/>
    <w:rsid w:val="00EF6958"/>
    <w:rsid w:val="00F005F3"/>
    <w:rsid w:val="00F02AEC"/>
    <w:rsid w:val="00F06944"/>
    <w:rsid w:val="00F10269"/>
    <w:rsid w:val="00F122BD"/>
    <w:rsid w:val="00F213CA"/>
    <w:rsid w:val="00F22416"/>
    <w:rsid w:val="00F24669"/>
    <w:rsid w:val="00F27D21"/>
    <w:rsid w:val="00F36362"/>
    <w:rsid w:val="00F37BEB"/>
    <w:rsid w:val="00F45262"/>
    <w:rsid w:val="00F54DA5"/>
    <w:rsid w:val="00F56084"/>
    <w:rsid w:val="00F61CBA"/>
    <w:rsid w:val="00F777E7"/>
    <w:rsid w:val="00F879DF"/>
    <w:rsid w:val="00F97B41"/>
    <w:rsid w:val="00FA49C3"/>
    <w:rsid w:val="00FA76BB"/>
    <w:rsid w:val="00FB0C57"/>
    <w:rsid w:val="00FB1ACB"/>
    <w:rsid w:val="00FC1821"/>
    <w:rsid w:val="00FC1EB4"/>
    <w:rsid w:val="00FC4B5C"/>
    <w:rsid w:val="00FE0270"/>
    <w:rsid w:val="00FE0F05"/>
    <w:rsid w:val="00FE75C7"/>
    <w:rsid w:val="00FF229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538"/>
    <w:rPr>
      <w:rFonts w:ascii="Arial" w:hAnsi="Arial"/>
      <w:color w:val="000000" w:themeColor="text1"/>
      <w:szCs w:val="22"/>
    </w:rPr>
  </w:style>
  <w:style w:type="paragraph" w:styleId="Heading1">
    <w:name w:val="heading 1"/>
    <w:basedOn w:val="Normal"/>
    <w:next w:val="Normal"/>
    <w:link w:val="Heading1Char"/>
    <w:uiPriority w:val="9"/>
    <w:qFormat/>
    <w:rsid w:val="004546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335538"/>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335538"/>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321B93"/>
    <w:pPr>
      <w:numPr>
        <w:numId w:val="11"/>
      </w:numPr>
      <w:spacing w:before="120" w:after="180" w:line="240" w:lineRule="atLeast"/>
      <w:ind w:left="567"/>
    </w:pPr>
    <w:rPr>
      <w:rFonts w:eastAsia="Cambria" w:cstheme="minorHAnsi"/>
    </w:rPr>
  </w:style>
  <w:style w:type="paragraph" w:styleId="ListBullet2">
    <w:name w:val="List Bullet 2"/>
    <w:basedOn w:val="Normal"/>
    <w:autoRedefine/>
    <w:uiPriority w:val="2"/>
    <w:qFormat/>
    <w:rsid w:val="00C12DE0"/>
    <w:pPr>
      <w:spacing w:before="120" w:after="180" w:line="240" w:lineRule="atLeast"/>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206027"/>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206027"/>
    <w:rPr>
      <w:rFonts w:ascii="Arial" w:eastAsia="Cambria" w:hAnsi="Arial" w:cs="Times New Roman"/>
      <w:color w:val="333F48"/>
      <w:sz w:val="16"/>
      <w:szCs w:val="22"/>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9D113D"/>
    <w:pPr>
      <w:spacing w:after="0" w:line="240" w:lineRule="auto"/>
    </w:pPr>
    <w:rPr>
      <w:rFonts w:ascii="Arial" w:hAnsi="Arial" w:cs="Arial"/>
      <w:color w:val="000000" w:themeColor="text1"/>
      <w:sz w:val="16"/>
      <w:szCs w:val="16"/>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BE0386"/>
    <w:pPr>
      <w:ind w:left="720"/>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paragraph" w:styleId="Revision">
    <w:name w:val="Revision"/>
    <w:hidden/>
    <w:uiPriority w:val="99"/>
    <w:semiHidden/>
    <w:rsid w:val="00CC4089"/>
    <w:pPr>
      <w:spacing w:after="0" w:line="240" w:lineRule="auto"/>
    </w:pPr>
    <w:rPr>
      <w:color w:val="000000" w:themeColor="text1"/>
      <w:sz w:val="22"/>
      <w:szCs w:val="22"/>
    </w:rPr>
  </w:style>
  <w:style w:type="table" w:customStyle="1" w:styleId="TableTGAblue1">
    <w:name w:val="Table TGA blue1"/>
    <w:basedOn w:val="TableNormal"/>
    <w:uiPriority w:val="99"/>
    <w:qFormat/>
    <w:rsid w:val="00F24669"/>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a">
    <w:name w:val="List Bullet (a)"/>
    <w:basedOn w:val="ListBullet"/>
    <w:autoRedefine/>
    <w:uiPriority w:val="1"/>
    <w:qFormat/>
    <w:rsid w:val="00F24669"/>
    <w:pPr>
      <w:numPr>
        <w:numId w:val="12"/>
      </w:numPr>
      <w:tabs>
        <w:tab w:val="num" w:pos="360"/>
      </w:tabs>
      <w:ind w:left="1083"/>
    </w:pPr>
    <w:rPr>
      <w:rFonts w:cs="Arial"/>
      <w:color w:val="FF0000"/>
      <w:szCs w:val="20"/>
    </w:rPr>
  </w:style>
  <w:style w:type="character" w:styleId="FollowedHyperlink">
    <w:name w:val="FollowedHyperlink"/>
    <w:basedOn w:val="DefaultParagraphFont"/>
    <w:uiPriority w:val="99"/>
    <w:semiHidden/>
    <w:unhideWhenUsed/>
    <w:rsid w:val="00FE75C7"/>
    <w:rPr>
      <w:color w:val="954F72" w:themeColor="followedHyperlink"/>
      <w:u w:val="single"/>
    </w:rPr>
  </w:style>
  <w:style w:type="character" w:customStyle="1" w:styleId="fm-vol-iss-date">
    <w:name w:val="fm-vol-iss-date"/>
    <w:basedOn w:val="DefaultParagraphFont"/>
    <w:rsid w:val="00D008E1"/>
  </w:style>
  <w:style w:type="character" w:customStyle="1" w:styleId="doi">
    <w:name w:val="doi"/>
    <w:basedOn w:val="DefaultParagraphFont"/>
    <w:rsid w:val="00D008E1"/>
  </w:style>
  <w:style w:type="character" w:customStyle="1" w:styleId="cf01">
    <w:name w:val="cf01"/>
    <w:basedOn w:val="DefaultParagraphFont"/>
    <w:rsid w:val="00361624"/>
    <w:rPr>
      <w:rFonts w:ascii="Segoe UI" w:hAnsi="Segoe UI" w:cs="Segoe UI" w:hint="default"/>
      <w:sz w:val="18"/>
      <w:szCs w:val="18"/>
    </w:rPr>
  </w:style>
  <w:style w:type="paragraph" w:customStyle="1" w:styleId="Footnotetext0">
    <w:name w:val="Foot note text"/>
    <w:basedOn w:val="Normal"/>
    <w:qFormat/>
    <w:rsid w:val="00206027"/>
    <w:pPr>
      <w:spacing w:after="0"/>
    </w:pPr>
    <w:rPr>
      <w:sz w:val="16"/>
      <w:szCs w:val="16"/>
    </w:rPr>
  </w:style>
  <w:style w:type="character" w:customStyle="1" w:styleId="author">
    <w:name w:val="author"/>
    <w:basedOn w:val="DefaultParagraphFont"/>
    <w:rsid w:val="00206027"/>
  </w:style>
  <w:style w:type="character" w:customStyle="1" w:styleId="articletitle">
    <w:name w:val="articletitle"/>
    <w:basedOn w:val="DefaultParagraphFont"/>
    <w:rsid w:val="00206027"/>
  </w:style>
  <w:style w:type="character" w:customStyle="1" w:styleId="pubyear">
    <w:name w:val="pubyear"/>
    <w:basedOn w:val="DefaultParagraphFont"/>
    <w:rsid w:val="00206027"/>
  </w:style>
  <w:style w:type="character" w:customStyle="1" w:styleId="vol">
    <w:name w:val="vol"/>
    <w:basedOn w:val="DefaultParagraphFont"/>
    <w:rsid w:val="00206027"/>
  </w:style>
  <w:style w:type="character" w:customStyle="1" w:styleId="citedissue">
    <w:name w:val="citedissue"/>
    <w:basedOn w:val="DefaultParagraphFont"/>
    <w:rsid w:val="00206027"/>
  </w:style>
  <w:style w:type="character" w:customStyle="1" w:styleId="pagefirst">
    <w:name w:val="pagefirst"/>
    <w:basedOn w:val="DefaultParagraphFont"/>
    <w:rsid w:val="00206027"/>
  </w:style>
  <w:style w:type="character" w:customStyle="1" w:styleId="pagelast">
    <w:name w:val="pagelast"/>
    <w:basedOn w:val="DefaultParagraphFont"/>
    <w:rsid w:val="00206027"/>
  </w:style>
  <w:style w:type="character" w:customStyle="1" w:styleId="cf11">
    <w:name w:val="cf11"/>
    <w:basedOn w:val="DefaultParagraphFont"/>
    <w:rsid w:val="005951C6"/>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084016"/>
    <w:rPr>
      <w:rFonts w:ascii="Arial" w:hAnsi="Arial"/>
      <w:color w:val="000000" w:themeColor="text1"/>
      <w:szCs w:val="22"/>
    </w:rPr>
  </w:style>
  <w:style w:type="character" w:customStyle="1" w:styleId="Heading1Char">
    <w:name w:val="Heading 1 Char"/>
    <w:basedOn w:val="DefaultParagraphFont"/>
    <w:link w:val="Heading1"/>
    <w:uiPriority w:val="9"/>
    <w:rsid w:val="00454694"/>
    <w:rPr>
      <w:rFonts w:asciiTheme="majorHAnsi" w:eastAsiaTheme="majorEastAsia" w:hAnsiTheme="majorHAnsi" w:cstheme="majorBidi"/>
      <w:color w:val="2F5496" w:themeColor="accent1" w:themeShade="BF"/>
      <w:sz w:val="32"/>
      <w:szCs w:val="32"/>
    </w:rPr>
  </w:style>
  <w:style w:type="paragraph" w:customStyle="1" w:styleId="ListBulleti">
    <w:name w:val="List Bullet (i)"/>
    <w:basedOn w:val="ListBullet"/>
    <w:autoRedefine/>
    <w:uiPriority w:val="1"/>
    <w:qFormat/>
    <w:rsid w:val="00874773"/>
    <w:pPr>
      <w:numPr>
        <w:numId w:val="26"/>
      </w:numPr>
    </w:pPr>
    <w:rPr>
      <w:rFonts w:asciiTheme="minorHAnsi" w:hAnsiTheme="minorHAnsi" w:cs="Times New Roman"/>
      <w:color w:val="auto"/>
      <w:kern w:val="2"/>
      <w:sz w:val="22"/>
      <w14:ligatures w14:val="standardContextual"/>
    </w:rPr>
  </w:style>
  <w:style w:type="character" w:customStyle="1" w:styleId="normaltextrun">
    <w:name w:val="normaltextrun"/>
    <w:basedOn w:val="DefaultParagraphFont"/>
    <w:rsid w:val="00874773"/>
  </w:style>
  <w:style w:type="paragraph" w:styleId="TOC4">
    <w:name w:val="toc 4"/>
    <w:basedOn w:val="Normal"/>
    <w:next w:val="Normal"/>
    <w:autoRedefine/>
    <w:uiPriority w:val="39"/>
    <w:unhideWhenUsed/>
    <w:rsid w:val="004320AC"/>
    <w:pPr>
      <w:spacing w:after="100"/>
      <w:ind w:left="660"/>
    </w:pPr>
    <w:rPr>
      <w:rFonts w:asciiTheme="minorHAnsi" w:eastAsiaTheme="minorEastAsia" w:hAnsiTheme="minorHAnsi"/>
      <w:color w:val="auto"/>
      <w:kern w:val="2"/>
      <w:sz w:val="22"/>
      <w:lang w:eastAsia="en-AU"/>
      <w14:ligatures w14:val="standardContextual"/>
    </w:rPr>
  </w:style>
  <w:style w:type="paragraph" w:styleId="TOC5">
    <w:name w:val="toc 5"/>
    <w:basedOn w:val="Normal"/>
    <w:next w:val="Normal"/>
    <w:autoRedefine/>
    <w:uiPriority w:val="39"/>
    <w:unhideWhenUsed/>
    <w:rsid w:val="004320AC"/>
    <w:pPr>
      <w:spacing w:after="100"/>
      <w:ind w:left="880"/>
    </w:pPr>
    <w:rPr>
      <w:rFonts w:asciiTheme="minorHAnsi" w:eastAsiaTheme="minorEastAsia" w:hAnsiTheme="minorHAnsi"/>
      <w:color w:val="auto"/>
      <w:kern w:val="2"/>
      <w:sz w:val="22"/>
      <w:lang w:eastAsia="en-AU"/>
      <w14:ligatures w14:val="standardContextual"/>
    </w:rPr>
  </w:style>
  <w:style w:type="paragraph" w:styleId="TOC6">
    <w:name w:val="toc 6"/>
    <w:basedOn w:val="Normal"/>
    <w:next w:val="Normal"/>
    <w:autoRedefine/>
    <w:uiPriority w:val="39"/>
    <w:unhideWhenUsed/>
    <w:rsid w:val="004320AC"/>
    <w:pPr>
      <w:spacing w:after="100"/>
      <w:ind w:left="1100"/>
    </w:pPr>
    <w:rPr>
      <w:rFonts w:asciiTheme="minorHAnsi" w:eastAsiaTheme="minorEastAsia" w:hAnsiTheme="minorHAnsi"/>
      <w:color w:val="auto"/>
      <w:kern w:val="2"/>
      <w:sz w:val="22"/>
      <w:lang w:eastAsia="en-AU"/>
      <w14:ligatures w14:val="standardContextual"/>
    </w:rPr>
  </w:style>
  <w:style w:type="paragraph" w:styleId="TOC7">
    <w:name w:val="toc 7"/>
    <w:basedOn w:val="Normal"/>
    <w:next w:val="Normal"/>
    <w:autoRedefine/>
    <w:uiPriority w:val="39"/>
    <w:unhideWhenUsed/>
    <w:rsid w:val="004320AC"/>
    <w:pPr>
      <w:spacing w:after="100"/>
      <w:ind w:left="1320"/>
    </w:pPr>
    <w:rPr>
      <w:rFonts w:asciiTheme="minorHAnsi" w:eastAsiaTheme="minorEastAsia" w:hAnsiTheme="minorHAnsi"/>
      <w:color w:val="auto"/>
      <w:kern w:val="2"/>
      <w:sz w:val="22"/>
      <w:lang w:eastAsia="en-AU"/>
      <w14:ligatures w14:val="standardContextual"/>
    </w:rPr>
  </w:style>
  <w:style w:type="paragraph" w:styleId="TOC8">
    <w:name w:val="toc 8"/>
    <w:basedOn w:val="Normal"/>
    <w:next w:val="Normal"/>
    <w:autoRedefine/>
    <w:uiPriority w:val="39"/>
    <w:unhideWhenUsed/>
    <w:rsid w:val="004320AC"/>
    <w:pPr>
      <w:spacing w:after="100"/>
      <w:ind w:left="1540"/>
    </w:pPr>
    <w:rPr>
      <w:rFonts w:asciiTheme="minorHAnsi" w:eastAsiaTheme="minorEastAsia" w:hAnsiTheme="minorHAnsi"/>
      <w:color w:val="auto"/>
      <w:kern w:val="2"/>
      <w:sz w:val="22"/>
      <w:lang w:eastAsia="en-AU"/>
      <w14:ligatures w14:val="standardContextual"/>
    </w:rPr>
  </w:style>
  <w:style w:type="paragraph" w:styleId="TOC9">
    <w:name w:val="toc 9"/>
    <w:basedOn w:val="Normal"/>
    <w:next w:val="Normal"/>
    <w:autoRedefine/>
    <w:uiPriority w:val="39"/>
    <w:unhideWhenUsed/>
    <w:rsid w:val="004320AC"/>
    <w:pPr>
      <w:spacing w:after="100"/>
      <w:ind w:left="1760"/>
    </w:pPr>
    <w:rPr>
      <w:rFonts w:asciiTheme="minorHAnsi" w:eastAsiaTheme="minorEastAsia" w:hAnsiTheme="minorHAnsi"/>
      <w:color w:val="auto"/>
      <w:kern w:val="2"/>
      <w:sz w:val="22"/>
      <w:lang w:eastAsia="en-AU"/>
      <w14:ligatures w14:val="standardContextual"/>
    </w:rPr>
  </w:style>
  <w:style w:type="paragraph" w:customStyle="1" w:styleId="Default">
    <w:name w:val="Default"/>
    <w:rsid w:val="009B06CA"/>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customStyle="1" w:styleId="paragraph">
    <w:name w:val="paragraph"/>
    <w:basedOn w:val="Normal"/>
    <w:rsid w:val="009B06CA"/>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
    <w:name w:val="Table TGA blue"/>
    <w:basedOn w:val="TableNormal"/>
    <w:uiPriority w:val="99"/>
    <w:qFormat/>
    <w:rsid w:val="009B06CA"/>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eop">
    <w:name w:val="eop"/>
    <w:basedOn w:val="DefaultParagraphFont"/>
    <w:rsid w:val="009B06CA"/>
  </w:style>
  <w:style w:type="character" w:customStyle="1" w:styleId="scxw158489010">
    <w:name w:val="scxw158489010"/>
    <w:basedOn w:val="DefaultParagraphFont"/>
    <w:rsid w:val="009B06CA"/>
  </w:style>
  <w:style w:type="paragraph" w:styleId="TOCHeading">
    <w:name w:val="TOC Heading"/>
    <w:basedOn w:val="Heading1"/>
    <w:next w:val="Normal"/>
    <w:uiPriority w:val="39"/>
    <w:unhideWhenUsed/>
    <w:qFormat/>
    <w:rsid w:val="002B5C5B"/>
    <w:pPr>
      <w:outlineLvl w:val="9"/>
    </w:pPr>
    <w:rPr>
      <w:lang w:val="en-US"/>
    </w:rPr>
  </w:style>
  <w:style w:type="paragraph" w:styleId="EndnoteText">
    <w:name w:val="endnote text"/>
    <w:basedOn w:val="Normal"/>
    <w:link w:val="EndnoteTextChar"/>
    <w:uiPriority w:val="99"/>
    <w:semiHidden/>
    <w:unhideWhenUsed/>
    <w:rsid w:val="008C6CF9"/>
    <w:pPr>
      <w:spacing w:after="0" w:line="240" w:lineRule="auto"/>
    </w:pPr>
    <w:rPr>
      <w:szCs w:val="20"/>
    </w:rPr>
  </w:style>
  <w:style w:type="character" w:customStyle="1" w:styleId="EndnoteTextChar">
    <w:name w:val="Endnote Text Char"/>
    <w:basedOn w:val="DefaultParagraphFont"/>
    <w:link w:val="EndnoteText"/>
    <w:uiPriority w:val="99"/>
    <w:semiHidden/>
    <w:rsid w:val="008C6CF9"/>
    <w:rPr>
      <w:rFonts w:ascii="Arial" w:hAnsi="Arial"/>
      <w:color w:val="000000" w:themeColor="text1"/>
    </w:rPr>
  </w:style>
  <w:style w:type="character" w:styleId="EndnoteReference">
    <w:name w:val="endnote reference"/>
    <w:basedOn w:val="DefaultParagraphFont"/>
    <w:uiPriority w:val="99"/>
    <w:semiHidden/>
    <w:unhideWhenUsed/>
    <w:rsid w:val="008C6C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930176">
      <w:bodyDiv w:val="1"/>
      <w:marLeft w:val="0"/>
      <w:marRight w:val="0"/>
      <w:marTop w:val="0"/>
      <w:marBottom w:val="0"/>
      <w:divBdr>
        <w:top w:val="none" w:sz="0" w:space="0" w:color="auto"/>
        <w:left w:val="none" w:sz="0" w:space="0" w:color="auto"/>
        <w:bottom w:val="none" w:sz="0" w:space="0" w:color="auto"/>
        <w:right w:val="none" w:sz="0" w:space="0" w:color="auto"/>
      </w:divBdr>
      <w:divsChild>
        <w:div w:id="1743988268">
          <w:marLeft w:val="0"/>
          <w:marRight w:val="0"/>
          <w:marTop w:val="0"/>
          <w:marBottom w:val="0"/>
          <w:divBdr>
            <w:top w:val="none" w:sz="0" w:space="0" w:color="auto"/>
            <w:left w:val="none" w:sz="0" w:space="0" w:color="auto"/>
            <w:bottom w:val="none" w:sz="0" w:space="0" w:color="auto"/>
            <w:right w:val="none" w:sz="0" w:space="0" w:color="auto"/>
          </w:divBdr>
        </w:div>
        <w:div w:id="2094618935">
          <w:marLeft w:val="0"/>
          <w:marRight w:val="0"/>
          <w:marTop w:val="0"/>
          <w:marBottom w:val="0"/>
          <w:divBdr>
            <w:top w:val="none" w:sz="0" w:space="0" w:color="auto"/>
            <w:left w:val="none" w:sz="0" w:space="0" w:color="auto"/>
            <w:bottom w:val="none" w:sz="0" w:space="0" w:color="auto"/>
            <w:right w:val="none" w:sz="0" w:space="0" w:color="auto"/>
          </w:divBdr>
        </w:div>
      </w:divsChild>
    </w:div>
    <w:div w:id="975795127">
      <w:bodyDiv w:val="1"/>
      <w:marLeft w:val="0"/>
      <w:marRight w:val="0"/>
      <w:marTop w:val="0"/>
      <w:marBottom w:val="0"/>
      <w:divBdr>
        <w:top w:val="none" w:sz="0" w:space="0" w:color="auto"/>
        <w:left w:val="none" w:sz="0" w:space="0" w:color="auto"/>
        <w:bottom w:val="none" w:sz="0" w:space="0" w:color="auto"/>
        <w:right w:val="none" w:sz="0" w:space="0" w:color="auto"/>
      </w:divBdr>
    </w:div>
    <w:div w:id="996493112">
      <w:bodyDiv w:val="1"/>
      <w:marLeft w:val="0"/>
      <w:marRight w:val="0"/>
      <w:marTop w:val="0"/>
      <w:marBottom w:val="0"/>
      <w:divBdr>
        <w:top w:val="none" w:sz="0" w:space="0" w:color="auto"/>
        <w:left w:val="none" w:sz="0" w:space="0" w:color="auto"/>
        <w:bottom w:val="none" w:sz="0" w:space="0" w:color="auto"/>
        <w:right w:val="none" w:sz="0" w:space="0" w:color="auto"/>
      </w:divBdr>
    </w:div>
    <w:div w:id="1477255627">
      <w:bodyDiv w:val="1"/>
      <w:marLeft w:val="0"/>
      <w:marRight w:val="0"/>
      <w:marTop w:val="0"/>
      <w:marBottom w:val="0"/>
      <w:divBdr>
        <w:top w:val="none" w:sz="0" w:space="0" w:color="auto"/>
        <w:left w:val="none" w:sz="0" w:space="0" w:color="auto"/>
        <w:bottom w:val="none" w:sz="0" w:space="0" w:color="auto"/>
        <w:right w:val="none" w:sz="0" w:space="0" w:color="auto"/>
      </w:divBdr>
    </w:div>
    <w:div w:id="1548372662">
      <w:bodyDiv w:val="1"/>
      <w:marLeft w:val="0"/>
      <w:marRight w:val="0"/>
      <w:marTop w:val="0"/>
      <w:marBottom w:val="0"/>
      <w:divBdr>
        <w:top w:val="none" w:sz="0" w:space="0" w:color="auto"/>
        <w:left w:val="none" w:sz="0" w:space="0" w:color="auto"/>
        <w:bottom w:val="none" w:sz="0" w:space="0" w:color="auto"/>
        <w:right w:val="none" w:sz="0" w:space="0" w:color="auto"/>
      </w:divBdr>
    </w:div>
    <w:div w:id="20205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ublication/scheduling-handbook-guidance-amending-poisons-standard" TargetMode="External"/><Relationship Id="rId18" Type="http://schemas.openxmlformats.org/officeDocument/2006/relationships/hyperlink" Target="https://www.tga.gov.au/sites/default/files/2024-07/public_notice_of_interim_decisions_-_acms44_accs38_joint_acms-accs36_-_march_2024.pdf" TargetMode="External"/><Relationship Id="rId26" Type="http://schemas.openxmlformats.org/officeDocument/2006/relationships/hyperlink" Target="https://consultations.tga.gov.au/tga/scheduling-pre-meeting-march-2024/" TargetMode="External"/><Relationship Id="rId39" Type="http://schemas.openxmlformats.org/officeDocument/2006/relationships/hyperlink" Target="https://consultations.tga.gov.au/tga/scheduling-pre-meeting-march-2024/consultation/published_select_respondent" TargetMode="External"/><Relationship Id="rId21" Type="http://schemas.openxmlformats.org/officeDocument/2006/relationships/hyperlink" Target="https://www.tga.gov.au/sites/default/files/2024-07/public_notice_of_interim_decisions_-_acms44_accs38_joint_acms-accs36_-_march_2024.pdf" TargetMode="External"/><Relationship Id="rId34" Type="http://schemas.openxmlformats.org/officeDocument/2006/relationships/hyperlink" Target="https://consultations.tga.gov.au/tga/scheduling-pre-meeting-march-2024/consultation/published_select_respondent" TargetMode="External"/><Relationship Id="rId42" Type="http://schemas.openxmlformats.org/officeDocument/2006/relationships/hyperlink" Target="https://consultations.tga.gov.au/tga/scheduling-interim-decision-march-2024/" TargetMode="External"/><Relationship Id="rId47" Type="http://schemas.openxmlformats.org/officeDocument/2006/relationships/hyperlink" Target="https://www.tga.gov.au/resources/publication/scheduling-decisions-interim/notice-interim-decisions-proposed-amendments-poisons-standard-acms-41-accs-36-joint-acms-accs-33-march-2023" TargetMode="External"/><Relationship Id="rId50" Type="http://schemas.openxmlformats.org/officeDocument/2006/relationships/hyperlink" Target="https://www.tga.gov.au/publication/scheduling-handbook-guidance-amending-poisons-standard" TargetMode="External"/><Relationship Id="rId55" Type="http://schemas.openxmlformats.org/officeDocument/2006/relationships/hyperlink" Target="https://www.who.int/docs/default-source/controlled-substances/43rd-ecdd/2-meo-diphenidine-report-final-a.pdf?sfvrsn=7fe2b600_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resources/publication/scheduling-decisions-interim/notice-interim-decisions-proposed-amendments-poisons-standard-acms-44-accs-38-and-joint-acms-accs-36-march-2024" TargetMode="External"/><Relationship Id="rId20" Type="http://schemas.openxmlformats.org/officeDocument/2006/relationships/hyperlink" Target="https://consultations.tga.gov.au/tga/scheduling-pre-meeting-march-2024/" TargetMode="External"/><Relationship Id="rId29" Type="http://schemas.openxmlformats.org/officeDocument/2006/relationships/hyperlink" Target="https://www.tga.gov.au/resources/artg" TargetMode="External"/><Relationship Id="rId41" Type="http://schemas.openxmlformats.org/officeDocument/2006/relationships/hyperlink" Target="https://www.tga.gov.au/sites/default/files/2024-07/public_notice_of_interim_decisions_-_acms44_accs38_joint_acms-accs36_-_march_2024.pdf" TargetMode="External"/><Relationship Id="rId54" Type="http://schemas.openxmlformats.org/officeDocument/2006/relationships/hyperlink" Target="https://cdn.who.int/media/docs/default-source/controlled-substances/43rd-ecdd/diphenidine-report-complete.pdf?sfvrsn=4f7ad16d_2"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consultations.tga.gov.au/tga/scheduling-pre-meeting-march-2024/user_uploads/proposed-amendments-to-the-poisons-standard---march-2024.pdf" TargetMode="External"/><Relationship Id="rId32" Type="http://schemas.openxmlformats.org/officeDocument/2006/relationships/hyperlink" Target="https://www.tga.gov.au/sites/default/files/2024-07/public_notice_of_interim_decisions_-_acms44_accs38_joint_acms-accs36_-_march_2024.pdf" TargetMode="External"/><Relationship Id="rId37" Type="http://schemas.openxmlformats.org/officeDocument/2006/relationships/hyperlink" Target="https://consultations.tga.gov.au/tga/scheduling-pre-meeting-june-2024/" TargetMode="External"/><Relationship Id="rId40" Type="http://schemas.openxmlformats.org/officeDocument/2006/relationships/hyperlink" Target="https://consultations.tga.gov.au/tga/scheduling-pre-meeting-march-2024" TargetMode="External"/><Relationship Id="rId45" Type="http://schemas.openxmlformats.org/officeDocument/2006/relationships/hyperlink" Target="https://www.tga.gov.au/publication/scheduling-handbook-guidance-amending-poisons-standard" TargetMode="External"/><Relationship Id="rId53" Type="http://schemas.openxmlformats.org/officeDocument/2006/relationships/hyperlink" Target="https://www.gov.uk/government/publications/acmd-review-of-the-evidence-on-the-use-and-harms-of-diphenidine/acmd-review-of-the-evidence-on-the-use-and-harms-of-diphenidine-accessible" TargetMode="Externa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onsultations.tga.gov.au/tga/scheduling-pre-meeting-march-2024/" TargetMode="External"/><Relationship Id="rId23" Type="http://schemas.openxmlformats.org/officeDocument/2006/relationships/hyperlink" Target="https://adf.org.au/drug-facts/dxm/" TargetMode="External"/><Relationship Id="rId28" Type="http://schemas.openxmlformats.org/officeDocument/2006/relationships/hyperlink" Target="https://consultations.tga.gov.au/tga/scheduling-pre-meeting-june-2024/" TargetMode="External"/><Relationship Id="rId36" Type="http://schemas.openxmlformats.org/officeDocument/2006/relationships/hyperlink" Target="https://www.tga.gov.au/sites/default/files/2024-07/public_notice_of_interim_decisions_-_acms44_accs38_joint_acms-accs36_-_march_2024.pdf" TargetMode="External"/><Relationship Id="rId49" Type="http://schemas.openxmlformats.org/officeDocument/2006/relationships/hyperlink" Target="https://www.tga.gov.au/publication/ahmac-scheduling-policy-framework-medicines-and-chemicals" TargetMode="External"/><Relationship Id="rId57" Type="http://schemas.openxmlformats.org/officeDocument/2006/relationships/header" Target="header2.xml"/><Relationship Id="rId61"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consultations.tga.gov.au/tga/scheduling-pre-meeting-march-2024/consultation/published_select_respondent" TargetMode="External"/><Relationship Id="rId31" Type="http://schemas.openxmlformats.org/officeDocument/2006/relationships/hyperlink" Target="https://consultations.tga.gov.au/tga/scheduling-pre-meeting-march-2024" TargetMode="External"/><Relationship Id="rId44" Type="http://schemas.openxmlformats.org/officeDocument/2006/relationships/hyperlink" Target="https://www.tga.gov.au/publication/ahmac-scheduling-policy-framework-medicines-and-chemicals" TargetMode="External"/><Relationship Id="rId52" Type="http://schemas.openxmlformats.org/officeDocument/2006/relationships/hyperlink" Target="https://aseancosmetics.org/uploads/UserFiles/File/TECHNICAL%20DOCUMENTS/oct2015/Annex%20II%20of%20ACD%20rev%20August%202015-1.pdf" TargetMode="External"/><Relationship Id="rId60"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nsultations.tga.gov.au/tga/scheduling-pre-meeting-march-2024/consultation/published_select_respondent" TargetMode="External"/><Relationship Id="rId22" Type="http://schemas.openxmlformats.org/officeDocument/2006/relationships/hyperlink" Target="https://www.tga.gov.au/sites/default/files/2024-07/public_notice_of_interim_decisions_-_acms44_accs38_joint_acms-accs36_-_march_2024.pdf" TargetMode="External"/><Relationship Id="rId27" Type="http://schemas.openxmlformats.org/officeDocument/2006/relationships/hyperlink" Target="https://www.tga.gov.au/sites/default/files/2024-07/public_notice_of_interim_decisions_-_acms44_accs38_joint_acms-accs36_-_march_2024.pdf" TargetMode="External"/><Relationship Id="rId30" Type="http://schemas.openxmlformats.org/officeDocument/2006/relationships/hyperlink" Target="https://consultations.tga.gov.au/tga/scheduling-pre-meeting-march-2024/consultation/published_select_respondent" TargetMode="External"/><Relationship Id="rId35" Type="http://schemas.openxmlformats.org/officeDocument/2006/relationships/hyperlink" Target="https://consultations.tga.gov.au/tga/scheduling-pre-meeting-march-2024" TargetMode="External"/><Relationship Id="rId43" Type="http://schemas.openxmlformats.org/officeDocument/2006/relationships/hyperlink" Target="https://www.tga.gov.au/resources/consultation/consultation-proposed-amendments-poisons-standard-accs-acms-and-joint-accs-acms-meetings-march-2018" TargetMode="External"/><Relationship Id="rId48" Type="http://schemas.openxmlformats.org/officeDocument/2006/relationships/hyperlink" Target="https://www.tga.gov.au/sites/default/files/notice-interim-decisions-proposed-amendments-poisons-standard-acms-accs-and-joint-acms-accs-meetings-november-2020.pdf" TargetMode="External"/><Relationship Id="rId56" Type="http://schemas.openxmlformats.org/officeDocument/2006/relationships/hyperlink" Target="https://www.industrialchemicals.gov.au/sites/default/files/2022-12/EVA00060%20-%20Evaluation%20statement%20-%2022%20December%202022.pdf" TargetMode="Externa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tga.gov.au/products/medicines/find-information-about-medicine/prescribing-medicines-pregnancy-database" TargetMode="External"/><Relationship Id="rId3" Type="http://schemas.openxmlformats.org/officeDocument/2006/relationships/styles" Target="styles.xml"/><Relationship Id="rId12" Type="http://schemas.openxmlformats.org/officeDocument/2006/relationships/hyperlink" Target="https://www.tga.gov.au/publication/ahmac-scheduling-policy-framework-medicines-and-chemicals" TargetMode="External"/><Relationship Id="rId17" Type="http://schemas.openxmlformats.org/officeDocument/2006/relationships/hyperlink" Target="https://consultations.tga.gov.au/tga/scheduling-interim-decision-march-2024/" TargetMode="External"/><Relationship Id="rId25" Type="http://schemas.openxmlformats.org/officeDocument/2006/relationships/hyperlink" Target="https://consultations.tga.gov.au/tga/scheduling-pre-meeting-march-2024/consultation/published_select_respondent" TargetMode="External"/><Relationship Id="rId33" Type="http://schemas.openxmlformats.org/officeDocument/2006/relationships/hyperlink" Target="https://consultations.tga.gov.au/tga/scheduling-interim-decision-march-2024/" TargetMode="External"/><Relationship Id="rId38" Type="http://schemas.openxmlformats.org/officeDocument/2006/relationships/hyperlink" Target="https://www.agriculture.gov.au/agriculture-land/animal/welfare/standards-guidelines" TargetMode="External"/><Relationship Id="rId46" Type="http://schemas.openxmlformats.org/officeDocument/2006/relationships/hyperlink" Target="https://www.tga.gov.au/sites/default/files/2023-09/notice-final-decision-amend-not-amend-current-poisons-standard-acms41-accs-36-joint-acms-accs-33.pdf" TargetMode="External"/><Relationship Id="rId59"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da.gov/media/101539/download" TargetMode="External"/><Relationship Id="rId13" Type="http://schemas.openxmlformats.org/officeDocument/2006/relationships/hyperlink" Target="https://pubmed.ncbi.nlm.nih.gov/38205685/" TargetMode="External"/><Relationship Id="rId3" Type="http://schemas.openxmlformats.org/officeDocument/2006/relationships/hyperlink" Target="https://hi-ground.org/substances/dxm/" TargetMode="External"/><Relationship Id="rId7" Type="http://schemas.openxmlformats.org/officeDocument/2006/relationships/hyperlink" Target="https://doi.org/10.2903/j.efsa.2020.6132" TargetMode="External"/><Relationship Id="rId12" Type="http://schemas.openxmlformats.org/officeDocument/2006/relationships/hyperlink" Target="https://veteriankey.com/thiafentanil-oxalate-a3080-in-nondomestic-ungulate-species/" TargetMode="External"/><Relationship Id="rId2" Type="http://schemas.openxmlformats.org/officeDocument/2006/relationships/hyperlink" Target="https://www.cahma.org.au/article/safer-using-dxm/" TargetMode="External"/><Relationship Id="rId1" Type="http://schemas.openxmlformats.org/officeDocument/2006/relationships/hyperlink" Target="https://doi.org/10.1111/bcp.15430" TargetMode="External"/><Relationship Id="rId6" Type="http://schemas.openxmlformats.org/officeDocument/2006/relationships/hyperlink" Target="https://doi.org/10.5694/mja2.51749" TargetMode="External"/><Relationship Id="rId11" Type="http://schemas.openxmlformats.org/officeDocument/2006/relationships/hyperlink" Target="https://www.dea.gov/drug-information/drug-scheduling" TargetMode="External"/><Relationship Id="rId5" Type="http://schemas.openxmlformats.org/officeDocument/2006/relationships/hyperlink" Target="https://www.poison.org/articles/dextromethorphan" TargetMode="External"/><Relationship Id="rId10" Type="http://schemas.openxmlformats.org/officeDocument/2006/relationships/hyperlink" Target="https://www.sciencedirect.com/topics/pharmacology-toxicology-and-pharmaceutical-science/carfentanil" TargetMode="External"/><Relationship Id="rId4" Type="http://schemas.openxmlformats.org/officeDocument/2006/relationships/hyperlink" Target="https://www.dea.gov/factsheets/dxm" TargetMode="External"/><Relationship Id="rId9" Type="http://schemas.openxmlformats.org/officeDocument/2006/relationships/hyperlink" Target="https://pubchem.ncbi.nlm.nih.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15</TotalTime>
  <Pages>48</Pages>
  <Words>15468</Words>
  <Characters>88173</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Notice of final decision to amend (or not amend) the current Poisons Standard - ACMS #44, ACCS #38, Joint ACMS-ACCS #36</vt:lpstr>
    </vt:vector>
  </TitlesOfParts>
  <Company>Department of Health and Aged Care</Company>
  <LinksUpToDate>false</LinksUpToDate>
  <CharactersWithSpaces>103435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 - ACMS #44, ACCS #38, Joint ACMS-ACCS #36</dc:title>
  <dc:subject>therapeutic goods regulation</dc:subject>
  <dc:creator>Therapeutic Goods Administration</dc:creator>
  <cp:keywords/>
  <dc:description/>
  <cp:lastModifiedBy>SEARSON, Lisa</cp:lastModifiedBy>
  <cp:revision>3</cp:revision>
  <dcterms:created xsi:type="dcterms:W3CDTF">2024-11-11T02:44:00Z</dcterms:created>
  <dcterms:modified xsi:type="dcterms:W3CDTF">2024-11-11T02:58:00Z</dcterms:modified>
</cp:coreProperties>
</file>