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D4CC1" w14:textId="77777777" w:rsidR="0065309B" w:rsidRDefault="0065309B" w:rsidP="0065309B">
      <w:r>
        <w:t xml:space="preserve">This method describes the analysis of samples derived from </w:t>
      </w:r>
      <w:r w:rsidRPr="003367F5">
        <w:rPr>
          <w:i/>
        </w:rPr>
        <w:t>Cannabis</w:t>
      </w:r>
      <w:r>
        <w:t xml:space="preserve"> species, specifically the assay of the primary compounds of regulatory interest [</w:t>
      </w:r>
      <w:proofErr w:type="spellStart"/>
      <w:r>
        <w:t>Tetrahydrocannabinolic</w:t>
      </w:r>
      <w:proofErr w:type="spellEnd"/>
      <w:r>
        <w:t xml:space="preserve"> Acid (THCA), Tetrahydrocannabinol (THC), </w:t>
      </w:r>
      <w:proofErr w:type="spellStart"/>
      <w:r>
        <w:t>Cannabidiolic</w:t>
      </w:r>
      <w:proofErr w:type="spellEnd"/>
      <w:r>
        <w:t xml:space="preserve"> Acid (CBDA) and Cannabidiol (CBD)] b</w:t>
      </w:r>
      <w:r w:rsidR="003367F5">
        <w:t>y UPLC coupled with UV or PDA.</w:t>
      </w:r>
    </w:p>
    <w:p w14:paraId="5E364DB8" w14:textId="77777777" w:rsidR="00EE583F" w:rsidRDefault="0065309B" w:rsidP="0065309B">
      <w:r>
        <w:t>Note: This method is adapted from the Cannabis Flos Monograph, produced by the Netherlands Cannabis Bureau.</w:t>
      </w:r>
    </w:p>
    <w:tbl>
      <w:tblPr>
        <w:tblStyle w:val="TableGrid"/>
        <w:tblW w:w="0" w:type="auto"/>
        <w:tblLook w:val="04A0" w:firstRow="1" w:lastRow="0" w:firstColumn="1" w:lastColumn="0" w:noHBand="0" w:noVBand="1"/>
      </w:tblPr>
      <w:tblGrid>
        <w:gridCol w:w="2263"/>
        <w:gridCol w:w="2127"/>
        <w:gridCol w:w="2126"/>
        <w:gridCol w:w="1978"/>
      </w:tblGrid>
      <w:tr w:rsidR="0065309B" w:rsidRPr="0065309B" w14:paraId="5B632E9E" w14:textId="77777777" w:rsidTr="0065309B">
        <w:tc>
          <w:tcPr>
            <w:tcW w:w="2263" w:type="dxa"/>
            <w:shd w:val="clear" w:color="auto" w:fill="006DA7"/>
          </w:tcPr>
          <w:p w14:paraId="6450823B" w14:textId="77777777" w:rsidR="0065309B" w:rsidRPr="0065309B" w:rsidRDefault="0065309B" w:rsidP="0065309B">
            <w:pPr>
              <w:spacing w:before="100" w:after="100"/>
              <w:rPr>
                <w:rFonts w:asciiTheme="minorHAnsi" w:hAnsiTheme="minorHAnsi"/>
                <w:b/>
                <w:color w:val="FFFFFF" w:themeColor="background1"/>
                <w:sz w:val="20"/>
                <w:szCs w:val="22"/>
              </w:rPr>
            </w:pPr>
            <w:r w:rsidRPr="0065309B">
              <w:rPr>
                <w:rFonts w:asciiTheme="minorHAnsi" w:hAnsiTheme="minorHAnsi"/>
                <w:b/>
                <w:color w:val="FFFFFF" w:themeColor="background1"/>
                <w:sz w:val="20"/>
                <w:szCs w:val="22"/>
              </w:rPr>
              <w:t>Test:</w:t>
            </w:r>
          </w:p>
        </w:tc>
        <w:tc>
          <w:tcPr>
            <w:tcW w:w="6231" w:type="dxa"/>
            <w:gridSpan w:val="3"/>
          </w:tcPr>
          <w:p w14:paraId="7FA0EAF8" w14:textId="77777777" w:rsidR="0065309B" w:rsidRPr="00983A09" w:rsidRDefault="0065309B" w:rsidP="00983A09">
            <w:pPr>
              <w:pStyle w:val="Heading1"/>
            </w:pPr>
            <w:r w:rsidRPr="00983A09">
              <w:rPr>
                <w:i/>
              </w:rPr>
              <w:t>Assay of Cannabinoids</w:t>
            </w:r>
            <w:r w:rsidRPr="0065309B">
              <w:t xml:space="preserve"> by UPLC</w:t>
            </w:r>
          </w:p>
        </w:tc>
      </w:tr>
      <w:tr w:rsidR="0065309B" w:rsidRPr="0065309B" w14:paraId="6F270326" w14:textId="77777777" w:rsidTr="0065309B">
        <w:tc>
          <w:tcPr>
            <w:tcW w:w="2263" w:type="dxa"/>
            <w:shd w:val="clear" w:color="auto" w:fill="006DA7"/>
          </w:tcPr>
          <w:p w14:paraId="07004D6D" w14:textId="77777777" w:rsidR="0065309B" w:rsidRPr="0065309B" w:rsidRDefault="0065309B" w:rsidP="0065309B">
            <w:pPr>
              <w:spacing w:before="100" w:after="100"/>
              <w:rPr>
                <w:rFonts w:asciiTheme="minorHAnsi" w:hAnsiTheme="minorHAnsi"/>
                <w:b/>
                <w:color w:val="FFFFFF" w:themeColor="background1"/>
                <w:sz w:val="20"/>
                <w:szCs w:val="22"/>
              </w:rPr>
            </w:pPr>
            <w:r w:rsidRPr="0065309B">
              <w:rPr>
                <w:rFonts w:asciiTheme="minorHAnsi" w:hAnsiTheme="minorHAnsi"/>
                <w:b/>
                <w:color w:val="FFFFFF" w:themeColor="background1"/>
                <w:sz w:val="20"/>
                <w:szCs w:val="22"/>
              </w:rPr>
              <w:t>Column:</w:t>
            </w:r>
          </w:p>
        </w:tc>
        <w:tc>
          <w:tcPr>
            <w:tcW w:w="6231" w:type="dxa"/>
            <w:gridSpan w:val="3"/>
          </w:tcPr>
          <w:p w14:paraId="31A702E6"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 xml:space="preserve">Waters </w:t>
            </w:r>
            <w:proofErr w:type="spellStart"/>
            <w:r w:rsidRPr="0065309B">
              <w:rPr>
                <w:rFonts w:asciiTheme="minorHAnsi" w:hAnsiTheme="minorHAnsi"/>
                <w:sz w:val="20"/>
                <w:szCs w:val="22"/>
              </w:rPr>
              <w:t>Acquity</w:t>
            </w:r>
            <w:proofErr w:type="spellEnd"/>
            <w:r w:rsidRPr="0065309B">
              <w:rPr>
                <w:rFonts w:asciiTheme="minorHAnsi" w:hAnsiTheme="minorHAnsi"/>
                <w:sz w:val="20"/>
                <w:szCs w:val="22"/>
              </w:rPr>
              <w:t xml:space="preserve"> BEH C18, 1.7µm, 2.1 x 150mm, with an </w:t>
            </w:r>
            <w:proofErr w:type="spellStart"/>
            <w:r w:rsidRPr="0065309B">
              <w:rPr>
                <w:rFonts w:asciiTheme="minorHAnsi" w:hAnsiTheme="minorHAnsi"/>
                <w:sz w:val="20"/>
                <w:szCs w:val="22"/>
              </w:rPr>
              <w:t>Acquity</w:t>
            </w:r>
            <w:proofErr w:type="spellEnd"/>
            <w:r w:rsidRPr="0065309B">
              <w:rPr>
                <w:rFonts w:asciiTheme="minorHAnsi" w:hAnsiTheme="minorHAnsi"/>
                <w:sz w:val="20"/>
                <w:szCs w:val="22"/>
              </w:rPr>
              <w:t xml:space="preserve"> </w:t>
            </w:r>
            <w:proofErr w:type="spellStart"/>
            <w:r w:rsidRPr="0065309B">
              <w:rPr>
                <w:rFonts w:asciiTheme="minorHAnsi" w:hAnsiTheme="minorHAnsi"/>
                <w:sz w:val="20"/>
                <w:szCs w:val="22"/>
              </w:rPr>
              <w:t>VanGuard</w:t>
            </w:r>
            <w:proofErr w:type="spellEnd"/>
            <w:r w:rsidRPr="0065309B">
              <w:rPr>
                <w:rFonts w:asciiTheme="minorHAnsi" w:hAnsiTheme="minorHAnsi"/>
                <w:sz w:val="20"/>
                <w:szCs w:val="22"/>
              </w:rPr>
              <w:t xml:space="preserve"> BEH C18, 1.7 µm, 2.1 x 5mm guard column</w:t>
            </w:r>
          </w:p>
        </w:tc>
      </w:tr>
      <w:tr w:rsidR="0065309B" w:rsidRPr="0065309B" w14:paraId="52CDB491" w14:textId="77777777" w:rsidTr="0065309B">
        <w:tc>
          <w:tcPr>
            <w:tcW w:w="2263" w:type="dxa"/>
            <w:shd w:val="clear" w:color="auto" w:fill="006DA7"/>
          </w:tcPr>
          <w:p w14:paraId="46B0C197" w14:textId="77777777" w:rsidR="0065309B" w:rsidRPr="0065309B" w:rsidRDefault="0065309B" w:rsidP="0065309B">
            <w:pPr>
              <w:spacing w:before="100" w:after="100"/>
              <w:rPr>
                <w:rFonts w:asciiTheme="minorHAnsi" w:hAnsiTheme="minorHAnsi"/>
                <w:b/>
                <w:color w:val="FFFFFF" w:themeColor="background1"/>
                <w:sz w:val="20"/>
                <w:szCs w:val="22"/>
              </w:rPr>
            </w:pPr>
            <w:r w:rsidRPr="0065309B">
              <w:rPr>
                <w:rFonts w:asciiTheme="minorHAnsi" w:hAnsiTheme="minorHAnsi"/>
                <w:b/>
                <w:color w:val="FFFFFF" w:themeColor="background1"/>
                <w:sz w:val="20"/>
                <w:szCs w:val="22"/>
              </w:rPr>
              <w:t>Mobile phase:</w:t>
            </w:r>
          </w:p>
        </w:tc>
        <w:tc>
          <w:tcPr>
            <w:tcW w:w="6231" w:type="dxa"/>
            <w:gridSpan w:val="3"/>
          </w:tcPr>
          <w:p w14:paraId="05FF9035" w14:textId="77777777" w:rsidR="0065309B" w:rsidRPr="0065309B" w:rsidRDefault="0065309B" w:rsidP="0065309B">
            <w:pPr>
              <w:spacing w:before="100" w:after="100"/>
              <w:ind w:left="462" w:hanging="462"/>
              <w:rPr>
                <w:rFonts w:asciiTheme="minorHAnsi" w:hAnsiTheme="minorHAnsi"/>
                <w:sz w:val="20"/>
                <w:szCs w:val="22"/>
              </w:rPr>
            </w:pPr>
            <w:r w:rsidRPr="0065309B">
              <w:rPr>
                <w:rFonts w:asciiTheme="minorHAnsi" w:hAnsiTheme="minorHAnsi"/>
                <w:sz w:val="20"/>
                <w:szCs w:val="22"/>
              </w:rPr>
              <w:t>A:</w:t>
            </w:r>
            <w:r w:rsidRPr="0065309B">
              <w:rPr>
                <w:rFonts w:asciiTheme="minorHAnsi" w:hAnsiTheme="minorHAnsi"/>
                <w:sz w:val="20"/>
                <w:szCs w:val="22"/>
              </w:rPr>
              <w:tab/>
              <w:t>0.1% formic acid in water (0.055 µScm-1), prepared daily</w:t>
            </w:r>
          </w:p>
          <w:p w14:paraId="384BE645" w14:textId="77777777" w:rsidR="0065309B" w:rsidRPr="0065309B" w:rsidRDefault="0065309B" w:rsidP="0065309B">
            <w:pPr>
              <w:spacing w:before="100" w:after="100"/>
              <w:ind w:left="462" w:hanging="462"/>
              <w:rPr>
                <w:rFonts w:asciiTheme="minorHAnsi" w:hAnsiTheme="minorHAnsi"/>
                <w:sz w:val="20"/>
                <w:szCs w:val="22"/>
              </w:rPr>
            </w:pPr>
            <w:r w:rsidRPr="0065309B">
              <w:rPr>
                <w:rFonts w:asciiTheme="minorHAnsi" w:hAnsiTheme="minorHAnsi"/>
                <w:sz w:val="20"/>
                <w:szCs w:val="22"/>
              </w:rPr>
              <w:t>B:</w:t>
            </w:r>
            <w:r w:rsidRPr="0065309B">
              <w:rPr>
                <w:rFonts w:asciiTheme="minorHAnsi" w:hAnsiTheme="minorHAnsi"/>
                <w:sz w:val="20"/>
                <w:szCs w:val="22"/>
              </w:rPr>
              <w:tab/>
              <w:t>0.1% formic acid in acetonitrile</w:t>
            </w:r>
          </w:p>
        </w:tc>
      </w:tr>
      <w:tr w:rsidR="0065309B" w:rsidRPr="0065309B" w14:paraId="409800B3" w14:textId="77777777" w:rsidTr="003367F5">
        <w:trPr>
          <w:trHeight w:val="106"/>
        </w:trPr>
        <w:tc>
          <w:tcPr>
            <w:tcW w:w="2263" w:type="dxa"/>
            <w:vMerge w:val="restart"/>
            <w:shd w:val="clear" w:color="auto" w:fill="006DA7"/>
          </w:tcPr>
          <w:p w14:paraId="3894EDCD" w14:textId="77777777" w:rsidR="0065309B" w:rsidRPr="0065309B" w:rsidRDefault="0065309B" w:rsidP="0065309B">
            <w:pPr>
              <w:spacing w:before="100" w:after="100"/>
              <w:rPr>
                <w:rFonts w:asciiTheme="minorHAnsi" w:hAnsiTheme="minorHAnsi"/>
                <w:b/>
                <w:color w:val="FFFFFF" w:themeColor="background1"/>
                <w:sz w:val="20"/>
                <w:szCs w:val="22"/>
              </w:rPr>
            </w:pPr>
            <w:r w:rsidRPr="0065309B">
              <w:rPr>
                <w:rFonts w:asciiTheme="minorHAnsi" w:hAnsiTheme="minorHAnsi"/>
                <w:b/>
                <w:color w:val="FFFFFF" w:themeColor="background1"/>
                <w:sz w:val="20"/>
                <w:szCs w:val="22"/>
              </w:rPr>
              <w:t>Gradient table:</w:t>
            </w:r>
          </w:p>
        </w:tc>
        <w:tc>
          <w:tcPr>
            <w:tcW w:w="2127" w:type="dxa"/>
            <w:shd w:val="clear" w:color="auto" w:fill="C6D4E9"/>
          </w:tcPr>
          <w:p w14:paraId="4473A41E" w14:textId="77777777" w:rsidR="0065309B" w:rsidRPr="0065309B" w:rsidRDefault="0065309B" w:rsidP="0065309B">
            <w:pPr>
              <w:spacing w:before="100" w:after="100"/>
              <w:rPr>
                <w:rFonts w:asciiTheme="minorHAnsi" w:hAnsiTheme="minorHAnsi"/>
                <w:b/>
                <w:sz w:val="20"/>
                <w:szCs w:val="22"/>
              </w:rPr>
            </w:pPr>
            <w:r w:rsidRPr="0065309B">
              <w:rPr>
                <w:rFonts w:asciiTheme="minorHAnsi" w:hAnsiTheme="minorHAnsi"/>
                <w:b/>
                <w:sz w:val="20"/>
                <w:szCs w:val="22"/>
              </w:rPr>
              <w:t>Time (min)</w:t>
            </w:r>
          </w:p>
        </w:tc>
        <w:tc>
          <w:tcPr>
            <w:tcW w:w="2126" w:type="dxa"/>
            <w:shd w:val="clear" w:color="auto" w:fill="C6D4E9"/>
          </w:tcPr>
          <w:p w14:paraId="236BFA27" w14:textId="77777777" w:rsidR="0065309B" w:rsidRPr="0065309B" w:rsidRDefault="0065309B" w:rsidP="0065309B">
            <w:pPr>
              <w:spacing w:before="100" w:after="100"/>
              <w:rPr>
                <w:rFonts w:asciiTheme="minorHAnsi" w:hAnsiTheme="minorHAnsi"/>
                <w:b/>
                <w:sz w:val="20"/>
                <w:szCs w:val="22"/>
              </w:rPr>
            </w:pPr>
            <w:r w:rsidRPr="0065309B">
              <w:rPr>
                <w:rFonts w:asciiTheme="minorHAnsi" w:hAnsiTheme="minorHAnsi"/>
                <w:b/>
                <w:sz w:val="20"/>
                <w:szCs w:val="22"/>
              </w:rPr>
              <w:t>A (%)</w:t>
            </w:r>
          </w:p>
        </w:tc>
        <w:tc>
          <w:tcPr>
            <w:tcW w:w="1978" w:type="dxa"/>
            <w:shd w:val="clear" w:color="auto" w:fill="C6D4E9"/>
          </w:tcPr>
          <w:p w14:paraId="00686930" w14:textId="77777777" w:rsidR="0065309B" w:rsidRPr="0065309B" w:rsidRDefault="0065309B" w:rsidP="0065309B">
            <w:pPr>
              <w:spacing w:before="100" w:after="100"/>
              <w:rPr>
                <w:rFonts w:asciiTheme="minorHAnsi" w:hAnsiTheme="minorHAnsi"/>
                <w:b/>
                <w:sz w:val="20"/>
                <w:szCs w:val="22"/>
              </w:rPr>
            </w:pPr>
            <w:r w:rsidRPr="0065309B">
              <w:rPr>
                <w:rFonts w:asciiTheme="minorHAnsi" w:hAnsiTheme="minorHAnsi"/>
                <w:b/>
                <w:sz w:val="20"/>
                <w:szCs w:val="22"/>
              </w:rPr>
              <w:t>B (%)</w:t>
            </w:r>
          </w:p>
        </w:tc>
      </w:tr>
      <w:tr w:rsidR="0065309B" w:rsidRPr="0065309B" w14:paraId="288AFC14" w14:textId="77777777" w:rsidTr="003367F5">
        <w:trPr>
          <w:trHeight w:val="104"/>
        </w:trPr>
        <w:tc>
          <w:tcPr>
            <w:tcW w:w="2263" w:type="dxa"/>
            <w:vMerge/>
            <w:shd w:val="clear" w:color="auto" w:fill="006DA7"/>
          </w:tcPr>
          <w:p w14:paraId="225F9797" w14:textId="77777777" w:rsidR="0065309B" w:rsidRPr="0065309B" w:rsidRDefault="0065309B" w:rsidP="0065309B">
            <w:pPr>
              <w:spacing w:before="100" w:after="100"/>
              <w:rPr>
                <w:rFonts w:asciiTheme="minorHAnsi" w:hAnsiTheme="minorHAnsi"/>
                <w:b/>
                <w:color w:val="FFFFFF" w:themeColor="background1"/>
                <w:sz w:val="20"/>
                <w:szCs w:val="22"/>
              </w:rPr>
            </w:pPr>
          </w:p>
        </w:tc>
        <w:tc>
          <w:tcPr>
            <w:tcW w:w="2127" w:type="dxa"/>
          </w:tcPr>
          <w:p w14:paraId="4847456F"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0.0</w:t>
            </w:r>
          </w:p>
        </w:tc>
        <w:tc>
          <w:tcPr>
            <w:tcW w:w="2126" w:type="dxa"/>
          </w:tcPr>
          <w:p w14:paraId="713F9B66"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30</w:t>
            </w:r>
          </w:p>
        </w:tc>
        <w:tc>
          <w:tcPr>
            <w:tcW w:w="1978" w:type="dxa"/>
          </w:tcPr>
          <w:p w14:paraId="30397D5C"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70</w:t>
            </w:r>
          </w:p>
        </w:tc>
      </w:tr>
      <w:tr w:rsidR="0065309B" w:rsidRPr="0065309B" w14:paraId="339F7922" w14:textId="77777777" w:rsidTr="003367F5">
        <w:trPr>
          <w:trHeight w:val="104"/>
        </w:trPr>
        <w:tc>
          <w:tcPr>
            <w:tcW w:w="2263" w:type="dxa"/>
            <w:vMerge/>
            <w:shd w:val="clear" w:color="auto" w:fill="006DA7"/>
          </w:tcPr>
          <w:p w14:paraId="76F553F1" w14:textId="77777777" w:rsidR="0065309B" w:rsidRPr="0065309B" w:rsidRDefault="0065309B" w:rsidP="0065309B">
            <w:pPr>
              <w:spacing w:before="100" w:after="100"/>
              <w:rPr>
                <w:rFonts w:asciiTheme="minorHAnsi" w:hAnsiTheme="minorHAnsi"/>
                <w:b/>
                <w:color w:val="FFFFFF" w:themeColor="background1"/>
                <w:sz w:val="20"/>
                <w:szCs w:val="22"/>
              </w:rPr>
            </w:pPr>
          </w:p>
        </w:tc>
        <w:tc>
          <w:tcPr>
            <w:tcW w:w="2127" w:type="dxa"/>
          </w:tcPr>
          <w:p w14:paraId="3CA24C19"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6.0</w:t>
            </w:r>
          </w:p>
        </w:tc>
        <w:tc>
          <w:tcPr>
            <w:tcW w:w="2126" w:type="dxa"/>
          </w:tcPr>
          <w:p w14:paraId="394E2530"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30</w:t>
            </w:r>
          </w:p>
        </w:tc>
        <w:tc>
          <w:tcPr>
            <w:tcW w:w="1978" w:type="dxa"/>
          </w:tcPr>
          <w:p w14:paraId="05F56E92"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70</w:t>
            </w:r>
          </w:p>
        </w:tc>
      </w:tr>
      <w:tr w:rsidR="0065309B" w:rsidRPr="0065309B" w14:paraId="5ED37EE9" w14:textId="77777777" w:rsidTr="003367F5">
        <w:trPr>
          <w:trHeight w:val="104"/>
        </w:trPr>
        <w:tc>
          <w:tcPr>
            <w:tcW w:w="2263" w:type="dxa"/>
            <w:vMerge/>
            <w:shd w:val="clear" w:color="auto" w:fill="006DA7"/>
          </w:tcPr>
          <w:p w14:paraId="07F6D9A2" w14:textId="77777777" w:rsidR="0065309B" w:rsidRPr="0065309B" w:rsidRDefault="0065309B" w:rsidP="0065309B">
            <w:pPr>
              <w:spacing w:before="100" w:after="100"/>
              <w:rPr>
                <w:rFonts w:asciiTheme="minorHAnsi" w:hAnsiTheme="minorHAnsi"/>
                <w:b/>
                <w:color w:val="FFFFFF" w:themeColor="background1"/>
                <w:sz w:val="20"/>
                <w:szCs w:val="22"/>
              </w:rPr>
            </w:pPr>
          </w:p>
        </w:tc>
        <w:tc>
          <w:tcPr>
            <w:tcW w:w="2127" w:type="dxa"/>
          </w:tcPr>
          <w:p w14:paraId="2407CBE2"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10.5</w:t>
            </w:r>
          </w:p>
        </w:tc>
        <w:tc>
          <w:tcPr>
            <w:tcW w:w="2126" w:type="dxa"/>
          </w:tcPr>
          <w:p w14:paraId="5A256123"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0</w:t>
            </w:r>
          </w:p>
        </w:tc>
        <w:tc>
          <w:tcPr>
            <w:tcW w:w="1978" w:type="dxa"/>
          </w:tcPr>
          <w:p w14:paraId="670C52DB"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100</w:t>
            </w:r>
          </w:p>
        </w:tc>
      </w:tr>
      <w:tr w:rsidR="0065309B" w:rsidRPr="0065309B" w14:paraId="0D65BD8E" w14:textId="77777777" w:rsidTr="003367F5">
        <w:trPr>
          <w:trHeight w:val="104"/>
        </w:trPr>
        <w:tc>
          <w:tcPr>
            <w:tcW w:w="2263" w:type="dxa"/>
            <w:vMerge/>
            <w:shd w:val="clear" w:color="auto" w:fill="006DA7"/>
          </w:tcPr>
          <w:p w14:paraId="72B8AB4D" w14:textId="77777777" w:rsidR="0065309B" w:rsidRPr="0065309B" w:rsidRDefault="0065309B" w:rsidP="0065309B">
            <w:pPr>
              <w:spacing w:before="100" w:after="100"/>
              <w:rPr>
                <w:rFonts w:asciiTheme="minorHAnsi" w:hAnsiTheme="minorHAnsi"/>
                <w:b/>
                <w:color w:val="FFFFFF" w:themeColor="background1"/>
                <w:sz w:val="20"/>
                <w:szCs w:val="22"/>
              </w:rPr>
            </w:pPr>
          </w:p>
        </w:tc>
        <w:tc>
          <w:tcPr>
            <w:tcW w:w="2127" w:type="dxa"/>
          </w:tcPr>
          <w:p w14:paraId="31909013"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10.7</w:t>
            </w:r>
          </w:p>
        </w:tc>
        <w:tc>
          <w:tcPr>
            <w:tcW w:w="2126" w:type="dxa"/>
          </w:tcPr>
          <w:p w14:paraId="11F40059"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0</w:t>
            </w:r>
          </w:p>
        </w:tc>
        <w:tc>
          <w:tcPr>
            <w:tcW w:w="1978" w:type="dxa"/>
          </w:tcPr>
          <w:p w14:paraId="58BE08D5"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100</w:t>
            </w:r>
          </w:p>
        </w:tc>
      </w:tr>
      <w:tr w:rsidR="0065309B" w:rsidRPr="0065309B" w14:paraId="0AD76B75" w14:textId="77777777" w:rsidTr="003367F5">
        <w:trPr>
          <w:trHeight w:val="104"/>
        </w:trPr>
        <w:tc>
          <w:tcPr>
            <w:tcW w:w="2263" w:type="dxa"/>
            <w:vMerge/>
            <w:shd w:val="clear" w:color="auto" w:fill="006DA7"/>
          </w:tcPr>
          <w:p w14:paraId="1325B2D3" w14:textId="77777777" w:rsidR="0065309B" w:rsidRPr="0065309B" w:rsidRDefault="0065309B" w:rsidP="0065309B">
            <w:pPr>
              <w:spacing w:before="100" w:after="100"/>
              <w:rPr>
                <w:rFonts w:asciiTheme="minorHAnsi" w:hAnsiTheme="minorHAnsi"/>
                <w:b/>
                <w:color w:val="FFFFFF" w:themeColor="background1"/>
                <w:sz w:val="20"/>
                <w:szCs w:val="22"/>
              </w:rPr>
            </w:pPr>
          </w:p>
        </w:tc>
        <w:tc>
          <w:tcPr>
            <w:tcW w:w="2127" w:type="dxa"/>
          </w:tcPr>
          <w:p w14:paraId="284A1202"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1.0</w:t>
            </w:r>
          </w:p>
        </w:tc>
        <w:tc>
          <w:tcPr>
            <w:tcW w:w="2126" w:type="dxa"/>
          </w:tcPr>
          <w:p w14:paraId="3CA1A9E6"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30</w:t>
            </w:r>
          </w:p>
        </w:tc>
        <w:tc>
          <w:tcPr>
            <w:tcW w:w="1978" w:type="dxa"/>
          </w:tcPr>
          <w:p w14:paraId="20FFA7DC"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70</w:t>
            </w:r>
          </w:p>
        </w:tc>
      </w:tr>
      <w:tr w:rsidR="0065309B" w:rsidRPr="0065309B" w14:paraId="21BD4A25" w14:textId="77777777" w:rsidTr="003367F5">
        <w:trPr>
          <w:trHeight w:val="104"/>
        </w:trPr>
        <w:tc>
          <w:tcPr>
            <w:tcW w:w="2263" w:type="dxa"/>
            <w:vMerge/>
            <w:shd w:val="clear" w:color="auto" w:fill="006DA7"/>
          </w:tcPr>
          <w:p w14:paraId="05421464" w14:textId="77777777" w:rsidR="0065309B" w:rsidRPr="0065309B" w:rsidRDefault="0065309B" w:rsidP="0065309B">
            <w:pPr>
              <w:spacing w:before="100" w:after="100"/>
              <w:rPr>
                <w:rFonts w:asciiTheme="minorHAnsi" w:hAnsiTheme="minorHAnsi"/>
                <w:b/>
                <w:color w:val="FFFFFF" w:themeColor="background1"/>
                <w:sz w:val="20"/>
                <w:szCs w:val="22"/>
              </w:rPr>
            </w:pPr>
          </w:p>
        </w:tc>
        <w:tc>
          <w:tcPr>
            <w:tcW w:w="2127" w:type="dxa"/>
          </w:tcPr>
          <w:p w14:paraId="5314EC3C"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14</w:t>
            </w:r>
          </w:p>
        </w:tc>
        <w:tc>
          <w:tcPr>
            <w:tcW w:w="2126" w:type="dxa"/>
          </w:tcPr>
          <w:p w14:paraId="64B7A491"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30</w:t>
            </w:r>
          </w:p>
        </w:tc>
        <w:tc>
          <w:tcPr>
            <w:tcW w:w="1978" w:type="dxa"/>
          </w:tcPr>
          <w:p w14:paraId="743148A8"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70</w:t>
            </w:r>
          </w:p>
        </w:tc>
      </w:tr>
      <w:tr w:rsidR="0065309B" w:rsidRPr="0065309B" w14:paraId="6D079603" w14:textId="77777777" w:rsidTr="0065309B">
        <w:tc>
          <w:tcPr>
            <w:tcW w:w="2263" w:type="dxa"/>
            <w:shd w:val="clear" w:color="auto" w:fill="006DA7"/>
          </w:tcPr>
          <w:p w14:paraId="75D243AE" w14:textId="77777777" w:rsidR="0065309B" w:rsidRPr="0065309B" w:rsidRDefault="0065309B" w:rsidP="0065309B">
            <w:pPr>
              <w:spacing w:before="100" w:after="100"/>
              <w:rPr>
                <w:rFonts w:asciiTheme="minorHAnsi" w:hAnsiTheme="minorHAnsi"/>
                <w:b/>
                <w:color w:val="FFFFFF" w:themeColor="background1"/>
                <w:sz w:val="20"/>
                <w:szCs w:val="22"/>
              </w:rPr>
            </w:pPr>
            <w:r w:rsidRPr="0065309B">
              <w:rPr>
                <w:rFonts w:asciiTheme="minorHAnsi" w:hAnsiTheme="minorHAnsi"/>
                <w:b/>
                <w:color w:val="FFFFFF" w:themeColor="background1"/>
                <w:sz w:val="20"/>
                <w:szCs w:val="22"/>
              </w:rPr>
              <w:t>Wash solvents:</w:t>
            </w:r>
          </w:p>
        </w:tc>
        <w:tc>
          <w:tcPr>
            <w:tcW w:w="6231" w:type="dxa"/>
            <w:gridSpan w:val="3"/>
          </w:tcPr>
          <w:p w14:paraId="1E7B6D0A"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80% acetonitrile (needle wash and purge solvent)</w:t>
            </w:r>
          </w:p>
          <w:p w14:paraId="0012D1CF"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10% acetonitrile (seal wash)</w:t>
            </w:r>
          </w:p>
        </w:tc>
      </w:tr>
      <w:tr w:rsidR="0065309B" w:rsidRPr="0065309B" w14:paraId="6B1A2DEF" w14:textId="77777777" w:rsidTr="0065309B">
        <w:tc>
          <w:tcPr>
            <w:tcW w:w="2263" w:type="dxa"/>
            <w:shd w:val="clear" w:color="auto" w:fill="006DA7"/>
          </w:tcPr>
          <w:p w14:paraId="5712EA8D" w14:textId="77777777" w:rsidR="0065309B" w:rsidRPr="0065309B" w:rsidRDefault="0065309B" w:rsidP="0065309B">
            <w:pPr>
              <w:spacing w:before="100" w:after="100"/>
              <w:rPr>
                <w:rFonts w:asciiTheme="minorHAnsi" w:hAnsiTheme="minorHAnsi"/>
                <w:b/>
                <w:color w:val="FFFFFF" w:themeColor="background1"/>
                <w:sz w:val="20"/>
                <w:szCs w:val="22"/>
              </w:rPr>
            </w:pPr>
            <w:r w:rsidRPr="0065309B">
              <w:rPr>
                <w:rFonts w:asciiTheme="minorHAnsi" w:hAnsiTheme="minorHAnsi"/>
                <w:b/>
                <w:color w:val="FFFFFF" w:themeColor="background1"/>
                <w:sz w:val="20"/>
                <w:szCs w:val="22"/>
              </w:rPr>
              <w:t>Flow rate:</w:t>
            </w:r>
          </w:p>
        </w:tc>
        <w:tc>
          <w:tcPr>
            <w:tcW w:w="6231" w:type="dxa"/>
            <w:gridSpan w:val="3"/>
          </w:tcPr>
          <w:p w14:paraId="0BBCF546"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0.4 mL/min</w:t>
            </w:r>
          </w:p>
        </w:tc>
      </w:tr>
      <w:tr w:rsidR="0065309B" w:rsidRPr="0065309B" w14:paraId="381BBA42" w14:textId="77777777" w:rsidTr="0065309B">
        <w:tc>
          <w:tcPr>
            <w:tcW w:w="2263" w:type="dxa"/>
            <w:shd w:val="clear" w:color="auto" w:fill="006DA7"/>
          </w:tcPr>
          <w:p w14:paraId="666109CE" w14:textId="77777777" w:rsidR="0065309B" w:rsidRPr="0065309B" w:rsidRDefault="0065309B" w:rsidP="0065309B">
            <w:pPr>
              <w:spacing w:before="100" w:after="100"/>
              <w:rPr>
                <w:rFonts w:asciiTheme="minorHAnsi" w:hAnsiTheme="minorHAnsi"/>
                <w:b/>
                <w:color w:val="FFFFFF" w:themeColor="background1"/>
                <w:sz w:val="20"/>
                <w:szCs w:val="22"/>
              </w:rPr>
            </w:pPr>
            <w:r w:rsidRPr="0065309B">
              <w:rPr>
                <w:rFonts w:asciiTheme="minorHAnsi" w:hAnsiTheme="minorHAnsi"/>
                <w:b/>
                <w:color w:val="FFFFFF" w:themeColor="background1"/>
                <w:sz w:val="20"/>
                <w:szCs w:val="22"/>
              </w:rPr>
              <w:t>Injection volume:</w:t>
            </w:r>
          </w:p>
        </w:tc>
        <w:tc>
          <w:tcPr>
            <w:tcW w:w="6231" w:type="dxa"/>
            <w:gridSpan w:val="3"/>
          </w:tcPr>
          <w:p w14:paraId="33C217E7"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1 µL</w:t>
            </w:r>
          </w:p>
        </w:tc>
      </w:tr>
      <w:tr w:rsidR="0065309B" w:rsidRPr="0065309B" w14:paraId="42CB7716" w14:textId="77777777" w:rsidTr="0065309B">
        <w:tc>
          <w:tcPr>
            <w:tcW w:w="2263" w:type="dxa"/>
            <w:shd w:val="clear" w:color="auto" w:fill="006DA7"/>
          </w:tcPr>
          <w:p w14:paraId="1AC53871" w14:textId="77777777" w:rsidR="0065309B" w:rsidRPr="0065309B" w:rsidRDefault="0065309B" w:rsidP="0065309B">
            <w:pPr>
              <w:spacing w:before="100" w:after="100"/>
              <w:rPr>
                <w:rFonts w:asciiTheme="minorHAnsi" w:hAnsiTheme="minorHAnsi"/>
                <w:b/>
                <w:color w:val="FFFFFF" w:themeColor="background1"/>
                <w:sz w:val="20"/>
                <w:szCs w:val="22"/>
              </w:rPr>
            </w:pPr>
            <w:r w:rsidRPr="0065309B">
              <w:rPr>
                <w:rFonts w:asciiTheme="minorHAnsi" w:hAnsiTheme="minorHAnsi"/>
                <w:b/>
                <w:color w:val="FFFFFF" w:themeColor="background1"/>
                <w:sz w:val="20"/>
                <w:szCs w:val="22"/>
              </w:rPr>
              <w:t>Column Temp:</w:t>
            </w:r>
          </w:p>
        </w:tc>
        <w:tc>
          <w:tcPr>
            <w:tcW w:w="6231" w:type="dxa"/>
            <w:gridSpan w:val="3"/>
          </w:tcPr>
          <w:p w14:paraId="1B12FEF3"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30°C</w:t>
            </w:r>
          </w:p>
        </w:tc>
      </w:tr>
      <w:tr w:rsidR="0065309B" w:rsidRPr="0065309B" w14:paraId="2110CAB0" w14:textId="77777777" w:rsidTr="0065309B">
        <w:tc>
          <w:tcPr>
            <w:tcW w:w="2263" w:type="dxa"/>
            <w:shd w:val="clear" w:color="auto" w:fill="006DA7"/>
          </w:tcPr>
          <w:p w14:paraId="12A4536C" w14:textId="77777777" w:rsidR="0065309B" w:rsidRPr="0065309B" w:rsidRDefault="0065309B" w:rsidP="0065309B">
            <w:pPr>
              <w:spacing w:before="100" w:after="100"/>
              <w:rPr>
                <w:rFonts w:asciiTheme="minorHAnsi" w:hAnsiTheme="minorHAnsi"/>
                <w:b/>
                <w:color w:val="FFFFFF" w:themeColor="background1"/>
                <w:sz w:val="20"/>
                <w:szCs w:val="22"/>
              </w:rPr>
            </w:pPr>
            <w:r w:rsidRPr="0065309B">
              <w:rPr>
                <w:rFonts w:asciiTheme="minorHAnsi" w:hAnsiTheme="minorHAnsi"/>
                <w:b/>
                <w:color w:val="FFFFFF" w:themeColor="background1"/>
                <w:sz w:val="20"/>
                <w:szCs w:val="22"/>
              </w:rPr>
              <w:t>Sample Temp:</w:t>
            </w:r>
          </w:p>
        </w:tc>
        <w:tc>
          <w:tcPr>
            <w:tcW w:w="6231" w:type="dxa"/>
            <w:gridSpan w:val="3"/>
          </w:tcPr>
          <w:p w14:paraId="45211433"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8°C</w:t>
            </w:r>
          </w:p>
        </w:tc>
      </w:tr>
      <w:tr w:rsidR="0065309B" w:rsidRPr="0065309B" w14:paraId="07B43167" w14:textId="77777777" w:rsidTr="0065309B">
        <w:tc>
          <w:tcPr>
            <w:tcW w:w="2263" w:type="dxa"/>
            <w:shd w:val="clear" w:color="auto" w:fill="006DA7"/>
          </w:tcPr>
          <w:p w14:paraId="1C3C7378" w14:textId="77777777" w:rsidR="0065309B" w:rsidRPr="0065309B" w:rsidRDefault="0065309B" w:rsidP="0065309B">
            <w:pPr>
              <w:spacing w:before="100" w:after="100"/>
              <w:rPr>
                <w:rFonts w:asciiTheme="minorHAnsi" w:hAnsiTheme="minorHAnsi"/>
                <w:b/>
                <w:color w:val="FFFFFF" w:themeColor="background1"/>
                <w:sz w:val="20"/>
                <w:szCs w:val="22"/>
              </w:rPr>
            </w:pPr>
            <w:r w:rsidRPr="0065309B">
              <w:rPr>
                <w:rFonts w:asciiTheme="minorHAnsi" w:hAnsiTheme="minorHAnsi"/>
                <w:b/>
                <w:color w:val="FFFFFF" w:themeColor="background1"/>
                <w:sz w:val="20"/>
                <w:szCs w:val="22"/>
              </w:rPr>
              <w:t>Detection:</w:t>
            </w:r>
          </w:p>
        </w:tc>
        <w:tc>
          <w:tcPr>
            <w:tcW w:w="6231" w:type="dxa"/>
            <w:gridSpan w:val="3"/>
          </w:tcPr>
          <w:p w14:paraId="5626788B"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UV at 228 nm, PDA range 190-400nm with monitoring at 228 nm.</w:t>
            </w:r>
          </w:p>
          <w:p w14:paraId="1CEB3DF2"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Mass Detection may be used if further verification of peak identity is required.</w:t>
            </w:r>
          </w:p>
        </w:tc>
      </w:tr>
      <w:tr w:rsidR="0065309B" w:rsidRPr="0065309B" w14:paraId="05171B96" w14:textId="77777777" w:rsidTr="0065309B">
        <w:tc>
          <w:tcPr>
            <w:tcW w:w="2263" w:type="dxa"/>
            <w:shd w:val="clear" w:color="auto" w:fill="006DA7"/>
          </w:tcPr>
          <w:p w14:paraId="26D7F0A5" w14:textId="77777777" w:rsidR="0065309B" w:rsidRPr="0065309B" w:rsidRDefault="0065309B" w:rsidP="0065309B">
            <w:pPr>
              <w:spacing w:before="100" w:after="100"/>
              <w:rPr>
                <w:rFonts w:asciiTheme="minorHAnsi" w:hAnsiTheme="minorHAnsi"/>
                <w:b/>
                <w:color w:val="FFFFFF" w:themeColor="background1"/>
                <w:sz w:val="20"/>
                <w:szCs w:val="22"/>
              </w:rPr>
            </w:pPr>
            <w:r w:rsidRPr="0065309B">
              <w:rPr>
                <w:rFonts w:asciiTheme="minorHAnsi" w:hAnsiTheme="minorHAnsi"/>
                <w:b/>
                <w:color w:val="FFFFFF" w:themeColor="background1"/>
                <w:sz w:val="20"/>
                <w:szCs w:val="22"/>
              </w:rPr>
              <w:t>Sample diluent:</w:t>
            </w:r>
          </w:p>
        </w:tc>
        <w:tc>
          <w:tcPr>
            <w:tcW w:w="6231" w:type="dxa"/>
            <w:gridSpan w:val="3"/>
          </w:tcPr>
          <w:p w14:paraId="4537B492" w14:textId="77777777" w:rsidR="0065309B" w:rsidRPr="0065309B" w:rsidRDefault="0065309B" w:rsidP="0065309B">
            <w:pPr>
              <w:spacing w:before="100" w:after="100"/>
              <w:rPr>
                <w:rFonts w:asciiTheme="minorHAnsi" w:hAnsiTheme="minorHAnsi"/>
                <w:sz w:val="20"/>
                <w:szCs w:val="22"/>
              </w:rPr>
            </w:pPr>
            <w:r w:rsidRPr="0065309B">
              <w:rPr>
                <w:rFonts w:asciiTheme="minorHAnsi" w:hAnsiTheme="minorHAnsi"/>
                <w:sz w:val="20"/>
                <w:szCs w:val="22"/>
              </w:rPr>
              <w:t>30:70  Mobile phase A:Mobile Phase B</w:t>
            </w:r>
          </w:p>
        </w:tc>
      </w:tr>
    </w:tbl>
    <w:p w14:paraId="6289F519" w14:textId="77777777" w:rsidR="0065309B" w:rsidRDefault="0065309B" w:rsidP="00B86644">
      <w:pPr>
        <w:pStyle w:val="Heading2"/>
        <w:spacing w:before="100" w:after="100"/>
      </w:pPr>
      <w:r>
        <w:lastRenderedPageBreak/>
        <w:t>Resolution Solution</w:t>
      </w:r>
    </w:p>
    <w:p w14:paraId="618CB558" w14:textId="77777777" w:rsidR="0065309B" w:rsidRDefault="0065309B" w:rsidP="00B86644">
      <w:pPr>
        <w:spacing w:before="100" w:after="100"/>
      </w:pPr>
      <w:r>
        <w:t>Prepare a solution containing 0.04mg/mL delta-9-THC and 0.005mg/mL delta-8-THC in Diluent. The resolution between the peaks attributed to these compounds in the chromatogram obtained from analysis of this solution must be not less than 1.2.</w:t>
      </w:r>
    </w:p>
    <w:p w14:paraId="6E15D512" w14:textId="77777777" w:rsidR="0065309B" w:rsidRDefault="0065309B" w:rsidP="00B86644">
      <w:pPr>
        <w:pStyle w:val="Heading2"/>
        <w:spacing w:before="100" w:after="100"/>
      </w:pPr>
      <w:r>
        <w:t>Standard Preparation (in duplicate)</w:t>
      </w:r>
    </w:p>
    <w:p w14:paraId="569C0727" w14:textId="77777777" w:rsidR="0065309B" w:rsidRDefault="0065309B" w:rsidP="00B86644">
      <w:pPr>
        <w:spacing w:before="100" w:after="100"/>
      </w:pPr>
      <w:r>
        <w:t>Prepare the standards in sample diluent for plant material samples.</w:t>
      </w:r>
    </w:p>
    <w:p w14:paraId="3ACB477F" w14:textId="77777777" w:rsidR="0065309B" w:rsidRDefault="0065309B" w:rsidP="00B86644">
      <w:pPr>
        <w:spacing w:before="100" w:after="100"/>
      </w:pPr>
      <w:r>
        <w:t>Prepare the standards in 2-propanol (IPA) for cannabis oil finished product samples.</w:t>
      </w:r>
    </w:p>
    <w:p w14:paraId="2382B54B" w14:textId="77777777" w:rsidR="0065309B" w:rsidRDefault="0065309B" w:rsidP="00B86644">
      <w:pPr>
        <w:spacing w:before="100" w:after="100"/>
      </w:pPr>
      <w:r>
        <w:t>Weigh accurately an amount of cannabidiol (CBD) and accurately dilute to a volume in the appropriate diluent to achieve a final concentration of 100 µg/mL CBD (this target concentration may need to be adjusted depending on your validated linear range).</w:t>
      </w:r>
    </w:p>
    <w:p w14:paraId="6871D623" w14:textId="77777777" w:rsidR="0065309B" w:rsidRDefault="0065309B" w:rsidP="00B86644">
      <w:pPr>
        <w:pStyle w:val="Heading2"/>
        <w:spacing w:before="100" w:after="100"/>
      </w:pPr>
      <w:r>
        <w:t>Sample Preparation</w:t>
      </w:r>
    </w:p>
    <w:p w14:paraId="7230D906" w14:textId="77777777" w:rsidR="0065309B" w:rsidRDefault="0065309B" w:rsidP="00B86644">
      <w:pPr>
        <w:pStyle w:val="Heading3"/>
        <w:spacing w:before="100" w:after="100"/>
      </w:pPr>
      <w:r>
        <w:t>Plant material:</w:t>
      </w:r>
    </w:p>
    <w:p w14:paraId="5702B2FD" w14:textId="77777777" w:rsidR="0065309B" w:rsidRDefault="0065309B" w:rsidP="00B86644">
      <w:pPr>
        <w:spacing w:before="100" w:after="100"/>
      </w:pPr>
      <w:r>
        <w:t>Perform a loss on drying test on the sample as follows:</w:t>
      </w:r>
    </w:p>
    <w:p w14:paraId="1D997ED6" w14:textId="77777777" w:rsidR="0065309B" w:rsidRDefault="0065309B" w:rsidP="00B86644">
      <w:pPr>
        <w:spacing w:before="100" w:after="100"/>
      </w:pPr>
      <w:r>
        <w:t>Samples should be dried to anhydrous at 40 °C, under vacuum of 1.5 - 2.5kPa (15 -25 mbar), over phosphorus pentoxide. Typically constant weight is achieved within 24 hours. Refer to BP Appendix IX D.</w:t>
      </w:r>
    </w:p>
    <w:p w14:paraId="24A392F0" w14:textId="77777777" w:rsidR="0065309B" w:rsidRDefault="0065309B" w:rsidP="00B86644">
      <w:pPr>
        <w:spacing w:before="100" w:after="100"/>
      </w:pPr>
      <w:r>
        <w:t xml:space="preserve">The anhydrous plant material can be homogenised by milling or chopping. Care should be taken to avoid loss of resin through adhesion to surfaces and ensure the sample is not subjected to heat or light. </w:t>
      </w:r>
    </w:p>
    <w:p w14:paraId="3248C7B2" w14:textId="77777777" w:rsidR="0065309B" w:rsidRDefault="0065309B" w:rsidP="00B86644">
      <w:pPr>
        <w:spacing w:before="100" w:after="100"/>
      </w:pPr>
      <w:r>
        <w:t xml:space="preserve">Immediately following performing the loss on drying, weigh accurately, in triplicate, approximately 1.0 g of anhydrous homogenised sample material into a new plastic 50 mL centrifuge tube. Add a single stainless steel ball (approximately 12 mm diameter), 40mL of ethanol and cap securely. Place on a mechanical shaker at 70% maximum speed for 15 minutes. Centrifuge at 3000rpm for 5 minutes, and transfer the clear upper layer to a 100mL volumetric flask. Repeat this extraction a further two times using 25mL aliquots of ethanol. Make the sample solution to the mark with ethanol. </w:t>
      </w:r>
    </w:p>
    <w:p w14:paraId="2D21CE95" w14:textId="77777777" w:rsidR="0065309B" w:rsidRDefault="0065309B" w:rsidP="00B86644">
      <w:pPr>
        <w:spacing w:before="100" w:after="100"/>
      </w:pPr>
      <w:r>
        <w:t xml:space="preserve">Filter the solution using a glass fibre / 0.2µm PTFE syringe filter. Dilute the filtrate appropriately with sample diluent to achieve target concentrations within the validated linear range for the target cannabinoids. </w:t>
      </w:r>
    </w:p>
    <w:p w14:paraId="04FEF895" w14:textId="77777777" w:rsidR="0065309B" w:rsidRDefault="0065309B" w:rsidP="00B86644">
      <w:pPr>
        <w:pStyle w:val="Heading3"/>
        <w:spacing w:before="100" w:after="100"/>
      </w:pPr>
      <w:r>
        <w:t>Cannabis Oil/ Oral solution:</w:t>
      </w:r>
    </w:p>
    <w:p w14:paraId="4493266C" w14:textId="77777777" w:rsidR="0065309B" w:rsidRPr="00B86644" w:rsidRDefault="0065309B" w:rsidP="00B86644">
      <w:pPr>
        <w:pStyle w:val="Heading4"/>
        <w:spacing w:before="100" w:after="100"/>
      </w:pPr>
      <w:r w:rsidRPr="00B86644">
        <w:t>Density Measurements:</w:t>
      </w:r>
    </w:p>
    <w:p w14:paraId="5C35E336" w14:textId="77777777" w:rsidR="0065309B" w:rsidRDefault="0065309B" w:rsidP="00B86644">
      <w:pPr>
        <w:spacing w:before="100" w:after="100"/>
      </w:pPr>
      <w:r>
        <w:t>Measure the density of any oral solution and/or cannabis oil sample using a densitometer. Use the density result to calculate the weight equivalent to 1 mL of sample for assay testing.</w:t>
      </w:r>
    </w:p>
    <w:p w14:paraId="1A5A70A0" w14:textId="77777777" w:rsidR="0065309B" w:rsidRDefault="0065309B" w:rsidP="00B86644">
      <w:pPr>
        <w:pStyle w:val="Heading4"/>
        <w:spacing w:before="100" w:after="100"/>
      </w:pPr>
      <w:r>
        <w:t>Cannabis oil capsules:</w:t>
      </w:r>
    </w:p>
    <w:p w14:paraId="1A9F7415" w14:textId="77777777" w:rsidR="0065309B" w:rsidRDefault="0065309B" w:rsidP="00B86644">
      <w:pPr>
        <w:spacing w:before="100" w:after="100"/>
      </w:pPr>
      <w:r>
        <w:t>Prepare a composite of 20 capsules. Measure the average fill weight of the capsules following the procedure in BP Appendix XII C. Use the average fill weight for assay preparation.</w:t>
      </w:r>
    </w:p>
    <w:p w14:paraId="723507D1" w14:textId="77777777" w:rsidR="0065309B" w:rsidRDefault="0065309B" w:rsidP="00B86644">
      <w:pPr>
        <w:spacing w:before="100" w:after="100"/>
      </w:pPr>
      <w:r>
        <w:t>Weigh accurately, in triplicate, approximately 1 mL of oral solution/cannabis oil, or the average fill weight for capsules into a 50 mL volumetric flask. Add 40 mL of 2-propanol (IPA) to each volumetric flask and cap securely. Place on a mechanical shaker at 70% maximum speed for 15 minutes. Sonicate for 5 minutes, and make the sample</w:t>
      </w:r>
      <w:r w:rsidR="00B86644">
        <w:t xml:space="preserve"> solution to the mark with IPA.</w:t>
      </w:r>
    </w:p>
    <w:p w14:paraId="7779D3FC" w14:textId="77777777" w:rsidR="0065309B" w:rsidRDefault="0065309B" w:rsidP="00B86644">
      <w:pPr>
        <w:spacing w:before="100" w:after="100"/>
      </w:pPr>
      <w:r>
        <w:t xml:space="preserve">Filter the solution using a glass fibre / 0.2µm PTFE syringe filter. Dilute appropriately with IPA to achieve target concentrations within the validated linear range for the target cannabinoids. </w:t>
      </w:r>
    </w:p>
    <w:p w14:paraId="17C65C84" w14:textId="77777777" w:rsidR="0065309B" w:rsidRDefault="0065309B" w:rsidP="00B86644">
      <w:pPr>
        <w:pStyle w:val="Heading2"/>
        <w:spacing w:before="100" w:after="100"/>
      </w:pPr>
      <w:r>
        <w:lastRenderedPageBreak/>
        <w:t>Blank Preparation</w:t>
      </w:r>
    </w:p>
    <w:p w14:paraId="2FD7F212" w14:textId="77777777" w:rsidR="0065309B" w:rsidRDefault="0065309B" w:rsidP="00B86644">
      <w:pPr>
        <w:spacing w:before="100" w:after="100"/>
      </w:pPr>
      <w:r>
        <w:t>Prepare a blank preparation by following the sample preparation steps, omitting the sample.</w:t>
      </w:r>
    </w:p>
    <w:p w14:paraId="0A6E6646" w14:textId="77777777" w:rsidR="0065309B" w:rsidRDefault="0065309B" w:rsidP="00B86644">
      <w:pPr>
        <w:pStyle w:val="Heading2"/>
      </w:pPr>
      <w:r>
        <w:t>Calculations:</w:t>
      </w:r>
    </w:p>
    <w:p w14:paraId="485634B7" w14:textId="77777777" w:rsidR="0065309B" w:rsidRDefault="00B86644" w:rsidP="00B86644">
      <w:pPr>
        <w:pStyle w:val="Heading3"/>
      </w:pPr>
      <w:r>
        <w:t>Plants:</w:t>
      </w:r>
    </w:p>
    <w:p w14:paraId="2E312D8B" w14:textId="77777777" w:rsidR="00B86644" w:rsidRPr="004D418F" w:rsidRDefault="00403EEA" w:rsidP="00B86644">
      <w:pPr>
        <w:spacing w:before="100" w:after="100"/>
      </w:pPr>
      <m:oMathPara>
        <m:oMath>
          <m:d>
            <m:dPr>
              <m:ctrlPr>
                <w:rPr>
                  <w:rFonts w:ascii="Cambria Math" w:hAnsi="Cambria Math"/>
                  <w:i/>
                </w:rPr>
              </m:ctrlPr>
            </m:dPr>
            <m:e>
              <m:eqArr>
                <m:eqArrPr>
                  <m:ctrlPr>
                    <w:rPr>
                      <w:rFonts w:ascii="Cambria Math" w:hAnsi="Cambria Math"/>
                      <w:i/>
                    </w:rPr>
                  </m:ctrlPr>
                </m:eqArrPr>
                <m:e>
                  <m:r>
                    <w:rPr>
                      <w:rFonts w:ascii="Cambria Math" w:hAnsi="Cambria Math"/>
                    </w:rPr>
                    <m:t>% w/w cannabinoid</m:t>
                  </m:r>
                </m:e>
                <m:e>
                  <m:r>
                    <w:rPr>
                      <w:rFonts w:ascii="Cambria Math" w:hAnsi="Cambria Math"/>
                    </w:rPr>
                    <m:t>(anhydrous basis)</m:t>
                  </m:r>
                </m:e>
              </m:eqArr>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Area</m:t>
                  </m:r>
                </m:e>
                <m:sub>
                  <m:r>
                    <w:rPr>
                      <w:rFonts w:ascii="Cambria Math" w:hAnsi="Cambria Math"/>
                    </w:rPr>
                    <m:t>cannabinoid</m:t>
                  </m:r>
                </m:sub>
              </m:sSub>
            </m:num>
            <m:den>
              <m:sSub>
                <m:sSubPr>
                  <m:ctrlPr>
                    <w:rPr>
                      <w:rFonts w:ascii="Cambria Math" w:hAnsi="Cambria Math"/>
                      <w:i/>
                    </w:rPr>
                  </m:ctrlPr>
                </m:sSubPr>
                <m:e>
                  <m:r>
                    <w:rPr>
                      <w:rFonts w:ascii="Cambria Math" w:hAnsi="Cambria Math"/>
                    </w:rPr>
                    <m:t>Area</m:t>
                  </m:r>
                </m:e>
                <m:sub>
                  <m:r>
                    <w:rPr>
                      <w:rFonts w:ascii="Cambria Math" w:hAnsi="Cambria Math"/>
                    </w:rPr>
                    <m:t>standard</m:t>
                  </m:r>
                </m:sub>
              </m:sSub>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wt</m:t>
                  </m:r>
                </m:e>
                <m:sub>
                  <m:r>
                    <w:rPr>
                      <w:rFonts w:ascii="Cambria Math" w:hAnsi="Cambria Math"/>
                    </w:rPr>
                    <m:t>standard</m:t>
                  </m:r>
                </m:sub>
              </m:sSub>
            </m:num>
            <m:den>
              <m:sSub>
                <m:sSubPr>
                  <m:ctrlPr>
                    <w:rPr>
                      <w:rFonts w:ascii="Cambria Math" w:hAnsi="Cambria Math"/>
                      <w:i/>
                    </w:rPr>
                  </m:ctrlPr>
                </m:sSubPr>
                <m:e>
                  <m:r>
                    <w:rPr>
                      <w:rFonts w:ascii="Cambria Math" w:hAnsi="Cambria Math"/>
                    </w:rPr>
                    <m:t>wt</m:t>
                  </m:r>
                </m:e>
                <m:sub>
                  <m:r>
                    <w:rPr>
                      <w:rFonts w:ascii="Cambria Math" w:hAnsi="Cambria Math"/>
                    </w:rPr>
                    <m:t>sample</m:t>
                  </m:r>
                </m:sub>
              </m:sSub>
            </m:den>
          </m:f>
          <m:r>
            <w:rPr>
              <w:rFonts w:ascii="Cambria Math" w:hAnsi="Cambria Math"/>
            </w:rPr>
            <m:t xml:space="preserve"> ×DF ×P(%) ×RRF</m:t>
          </m:r>
        </m:oMath>
      </m:oMathPara>
    </w:p>
    <w:p w14:paraId="2FACF7E7" w14:textId="77777777" w:rsidR="00B86644" w:rsidRPr="008E1D63" w:rsidRDefault="00403EEA" w:rsidP="00B86644">
      <w:pPr>
        <w:spacing w:before="100" w:after="100"/>
      </w:pPr>
      <m:oMathPara>
        <m:oMath>
          <m:d>
            <m:dPr>
              <m:ctrlPr>
                <w:rPr>
                  <w:rFonts w:ascii="Cambria Math" w:hAnsi="Cambria Math"/>
                  <w:i/>
                </w:rPr>
              </m:ctrlPr>
            </m:dPr>
            <m:e>
              <m:eqArr>
                <m:eqArrPr>
                  <m:ctrlPr>
                    <w:rPr>
                      <w:rFonts w:ascii="Cambria Math" w:hAnsi="Cambria Math"/>
                      <w:i/>
                    </w:rPr>
                  </m:ctrlPr>
                </m:eqArrPr>
                <m:e>
                  <m:r>
                    <w:rPr>
                      <w:rFonts w:ascii="Cambria Math" w:hAnsi="Cambria Math"/>
                    </w:rPr>
                    <m:t>% w/w cannabinoid</m:t>
                  </m:r>
                </m:e>
                <m:e>
                  <m:r>
                    <w:rPr>
                      <w:rFonts w:ascii="Cambria Math" w:hAnsi="Cambria Math"/>
                    </w:rPr>
                    <m:t>(as is)</m:t>
                  </m:r>
                </m:e>
              </m:eqArr>
            </m:e>
          </m:d>
          <m:r>
            <w:rPr>
              <w:rFonts w:ascii="Cambria Math" w:hAnsi="Cambria Math"/>
            </w:rPr>
            <m:t xml:space="preserve">= </m:t>
          </m:r>
          <m:d>
            <m:dPr>
              <m:ctrlPr>
                <w:rPr>
                  <w:rFonts w:ascii="Cambria Math" w:hAnsi="Cambria Math"/>
                  <w:i/>
                </w:rPr>
              </m:ctrlPr>
            </m:dPr>
            <m:e>
              <m:eqArr>
                <m:eqArrPr>
                  <m:ctrlPr>
                    <w:rPr>
                      <w:rFonts w:ascii="Cambria Math" w:hAnsi="Cambria Math"/>
                      <w:i/>
                    </w:rPr>
                  </m:ctrlPr>
                </m:eqArrPr>
                <m:e>
                  <m:r>
                    <w:rPr>
                      <w:rFonts w:ascii="Cambria Math" w:hAnsi="Cambria Math"/>
                    </w:rPr>
                    <m:t>% w/w cannabinoid</m:t>
                  </m:r>
                </m:e>
                <m:e>
                  <m:r>
                    <w:rPr>
                      <w:rFonts w:ascii="Cambria Math" w:hAnsi="Cambria Math"/>
                    </w:rPr>
                    <m:t>(anhydrous basis)</m:t>
                  </m:r>
                </m:e>
              </m:eqArr>
            </m:e>
          </m:d>
          <m:r>
            <w:rPr>
              <w:rFonts w:ascii="Cambria Math" w:hAnsi="Cambria Math"/>
            </w:rPr>
            <m:t xml:space="preserve"> × LOD factor</m:t>
          </m:r>
        </m:oMath>
      </m:oMathPara>
    </w:p>
    <w:p w14:paraId="19AF1A8F" w14:textId="77777777" w:rsidR="00B86644" w:rsidRDefault="00403EEA" w:rsidP="00B86644">
      <w:pPr>
        <w:spacing w:before="100" w:after="100"/>
      </w:pPr>
      <m:oMathPara>
        <m:oMath>
          <m:d>
            <m:dPr>
              <m:ctrlPr>
                <w:rPr>
                  <w:rFonts w:ascii="Cambria Math" w:hAnsi="Cambria Math"/>
                  <w:i/>
                </w:rPr>
              </m:ctrlPr>
            </m:dPr>
            <m:e>
              <m:eqArr>
                <m:eqArrPr>
                  <m:ctrlPr>
                    <w:rPr>
                      <w:rFonts w:ascii="Cambria Math" w:hAnsi="Cambria Math"/>
                      <w:i/>
                    </w:rPr>
                  </m:ctrlPr>
                </m:eqArrPr>
                <m:e>
                  <m:r>
                    <w:rPr>
                      <w:rFonts w:ascii="Cambria Math" w:hAnsi="Cambria Math"/>
                    </w:rPr>
                    <m:t>Total CBD</m:t>
                  </m:r>
                </m:e>
                <m:e>
                  <m:r>
                    <w:rPr>
                      <w:rFonts w:ascii="Cambria Math" w:hAnsi="Cambria Math"/>
                    </w:rPr>
                    <m:t>(% w/w)</m:t>
                  </m:r>
                </m:e>
              </m:eqArr>
            </m:e>
          </m:d>
          <m:r>
            <w:rPr>
              <w:rFonts w:ascii="Cambria Math" w:hAnsi="Cambria Math"/>
            </w:rPr>
            <m:t>=% w/w CBDA ×0.877+% w/w CBD</m:t>
          </m:r>
        </m:oMath>
      </m:oMathPara>
    </w:p>
    <w:p w14:paraId="6D9A97EB" w14:textId="77777777" w:rsidR="00B86644" w:rsidRDefault="00403EEA" w:rsidP="00B86644">
      <w:pPr>
        <w:spacing w:before="100" w:after="100"/>
      </w:pPr>
      <m:oMathPara>
        <m:oMath>
          <m:d>
            <m:dPr>
              <m:ctrlPr>
                <w:rPr>
                  <w:rFonts w:ascii="Cambria Math" w:hAnsi="Cambria Math"/>
                  <w:i/>
                </w:rPr>
              </m:ctrlPr>
            </m:dPr>
            <m:e>
              <m:eqArr>
                <m:eqArrPr>
                  <m:ctrlPr>
                    <w:rPr>
                      <w:rFonts w:ascii="Cambria Math" w:hAnsi="Cambria Math"/>
                      <w:i/>
                    </w:rPr>
                  </m:ctrlPr>
                </m:eqArrPr>
                <m:e>
                  <m:r>
                    <w:rPr>
                      <w:rFonts w:ascii="Cambria Math" w:hAnsi="Cambria Math"/>
                    </w:rPr>
                    <m:t>Total THC</m:t>
                  </m:r>
                </m:e>
                <m:e>
                  <m:r>
                    <w:rPr>
                      <w:rFonts w:ascii="Cambria Math" w:hAnsi="Cambria Math"/>
                    </w:rPr>
                    <m:t>(% w/w)</m:t>
                  </m:r>
                </m:e>
              </m:eqArr>
            </m:e>
          </m:d>
          <m:r>
            <w:rPr>
              <w:rFonts w:ascii="Cambria Math" w:hAnsi="Cambria Math"/>
            </w:rPr>
            <m:t>=% w/w THCA ×0.877+% w/w THC</m:t>
          </m:r>
        </m:oMath>
      </m:oMathPara>
    </w:p>
    <w:p w14:paraId="5EC30682" w14:textId="77777777" w:rsidR="0065309B" w:rsidRDefault="0065309B" w:rsidP="00B86644">
      <w:pPr>
        <w:pStyle w:val="Heading3"/>
        <w:spacing w:before="100" w:after="100"/>
      </w:pPr>
      <w:r>
        <w:t>Cannabis Oil Finished Products:</w:t>
      </w:r>
    </w:p>
    <w:p w14:paraId="7ADD980B" w14:textId="77777777" w:rsidR="00B86644" w:rsidRDefault="00403EEA" w:rsidP="00B86644">
      <w:pPr>
        <w:spacing w:before="100" w:after="100"/>
        <w:rPr>
          <w:b/>
        </w:rP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amount cannabinoid</m:t>
                  </m:r>
                </m:e>
                <m:e>
                  <m:r>
                    <w:rPr>
                      <w:rFonts w:ascii="Cambria Math" w:hAnsi="Cambria Math"/>
                    </w:rPr>
                    <m:t>(mg/mL)</m:t>
                  </m:r>
                </m:e>
              </m:eqArr>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Area</m:t>
                  </m:r>
                </m:e>
                <m:sub>
                  <m:r>
                    <w:rPr>
                      <w:rFonts w:ascii="Cambria Math" w:hAnsi="Cambria Math"/>
                    </w:rPr>
                    <m:t>cannabinoid</m:t>
                  </m:r>
                </m:sub>
              </m:sSub>
            </m:num>
            <m:den>
              <m:sSub>
                <m:sSubPr>
                  <m:ctrlPr>
                    <w:rPr>
                      <w:rFonts w:ascii="Cambria Math" w:hAnsi="Cambria Math"/>
                      <w:i/>
                    </w:rPr>
                  </m:ctrlPr>
                </m:sSubPr>
                <m:e>
                  <m:r>
                    <w:rPr>
                      <w:rFonts w:ascii="Cambria Math" w:hAnsi="Cambria Math"/>
                    </w:rPr>
                    <m:t>Area</m:t>
                  </m:r>
                </m:e>
                <m:sub>
                  <m:r>
                    <w:rPr>
                      <w:rFonts w:ascii="Cambria Math" w:hAnsi="Cambria Math"/>
                    </w:rPr>
                    <m:t>standard</m:t>
                  </m:r>
                </m:sub>
              </m:sSub>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wt</m:t>
                  </m:r>
                </m:e>
                <m:sub>
                  <m:r>
                    <w:rPr>
                      <w:rFonts w:ascii="Cambria Math" w:hAnsi="Cambria Math"/>
                    </w:rPr>
                    <m:t>standard</m:t>
                  </m:r>
                </m:sub>
              </m:sSub>
            </m:num>
            <m:den>
              <m:sSub>
                <m:sSubPr>
                  <m:ctrlPr>
                    <w:rPr>
                      <w:rFonts w:ascii="Cambria Math" w:hAnsi="Cambria Math"/>
                      <w:i/>
                    </w:rPr>
                  </m:ctrlPr>
                </m:sSubPr>
                <m:e>
                  <m:r>
                    <w:rPr>
                      <w:rFonts w:ascii="Cambria Math" w:hAnsi="Cambria Math"/>
                    </w:rPr>
                    <m:t>wt</m:t>
                  </m:r>
                </m:e>
                <m:sub>
                  <m:r>
                    <w:rPr>
                      <w:rFonts w:ascii="Cambria Math" w:hAnsi="Cambria Math"/>
                    </w:rPr>
                    <m:t>sample</m:t>
                  </m:r>
                </m:sub>
              </m:sSub>
            </m:den>
          </m:f>
          <m:r>
            <w:rPr>
              <w:rFonts w:ascii="Cambria Math" w:hAnsi="Cambria Math"/>
            </w:rPr>
            <m:t xml:space="preserve"> ×DF ×P ×RRF ×Den</m:t>
          </m:r>
        </m:oMath>
      </m:oMathPara>
    </w:p>
    <w:p w14:paraId="221ED0A3" w14:textId="77777777" w:rsidR="00B86644" w:rsidRDefault="00403EEA" w:rsidP="00B86644">
      <w:pPr>
        <w:spacing w:before="100" w:after="100"/>
        <w:rPr>
          <w:b/>
        </w:rP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Total CBD</m:t>
                  </m:r>
                </m:e>
                <m:e>
                  <m:r>
                    <w:rPr>
                      <w:rFonts w:ascii="Cambria Math" w:hAnsi="Cambria Math"/>
                    </w:rPr>
                    <m:t>(mg/mL)</m:t>
                  </m:r>
                </m:e>
              </m:eqArr>
            </m:e>
          </m:d>
          <m:r>
            <w:rPr>
              <w:rFonts w:ascii="Cambria Math" w:hAnsi="Cambria Math"/>
            </w:rPr>
            <m:t>=amount CBDA ×0.877+amount CBD</m:t>
          </m:r>
        </m:oMath>
      </m:oMathPara>
    </w:p>
    <w:p w14:paraId="1336D3C3" w14:textId="77777777" w:rsidR="00B86644" w:rsidRDefault="00403EEA" w:rsidP="00B86644">
      <w:pPr>
        <w:spacing w:before="100" w:after="100"/>
        <w:rPr>
          <w:b/>
        </w:rP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Total THC</m:t>
                  </m:r>
                </m:e>
                <m:e>
                  <m:r>
                    <w:rPr>
                      <w:rFonts w:ascii="Cambria Math" w:hAnsi="Cambria Math"/>
                    </w:rPr>
                    <m:t>(mg/mL)</m:t>
                  </m:r>
                </m:e>
              </m:eqArr>
            </m:e>
          </m:d>
          <m:r>
            <w:rPr>
              <w:rFonts w:ascii="Cambria Math" w:hAnsi="Cambria Math"/>
            </w:rPr>
            <m:t>=amount THCA ×0.877+amount THC</m:t>
          </m:r>
        </m:oMath>
      </m:oMathPara>
    </w:p>
    <w:p w14:paraId="39668B73" w14:textId="77777777" w:rsidR="0065309B" w:rsidRDefault="0065309B" w:rsidP="00B86644">
      <w:pPr>
        <w:pStyle w:val="Heading3"/>
        <w:spacing w:before="100" w:after="100"/>
      </w:pPr>
      <w:r>
        <w:t>% Stated content:</w:t>
      </w:r>
    </w:p>
    <w:p w14:paraId="2E0089AE" w14:textId="77777777" w:rsidR="00B86644" w:rsidRDefault="00403EEA" w:rsidP="00B86644">
      <w:pPr>
        <w:spacing w:before="100" w:after="100"/>
      </w:pPr>
      <m:oMathPara>
        <m:oMath>
          <m:d>
            <m:dPr>
              <m:ctrlPr>
                <w:rPr>
                  <w:rFonts w:ascii="Cambria Math" w:hAnsi="Cambria Math"/>
                  <w:i/>
                </w:rPr>
              </m:ctrlPr>
            </m:dPr>
            <m:e>
              <m:eqArr>
                <m:eqArrPr>
                  <m:ctrlPr>
                    <w:rPr>
                      <w:rFonts w:ascii="Cambria Math" w:hAnsi="Cambria Math"/>
                      <w:i/>
                    </w:rPr>
                  </m:ctrlPr>
                </m:eqArrPr>
                <m:e>
                  <m:r>
                    <w:rPr>
                      <w:rFonts w:ascii="Cambria Math" w:hAnsi="Cambria Math"/>
                    </w:rPr>
                    <m:t>% stated content</m:t>
                  </m:r>
                </m:e>
                <m:e>
                  <m:r>
                    <w:rPr>
                      <w:rFonts w:ascii="Cambria Math" w:hAnsi="Cambria Math"/>
                    </w:rPr>
                    <m:t>(CBD)</m:t>
                  </m:r>
                </m:e>
              </m:eqArr>
            </m:e>
          </m:d>
          <m:r>
            <w:rPr>
              <w:rFonts w:ascii="Cambria Math" w:hAnsi="Cambria Math"/>
            </w:rPr>
            <m:t>=</m:t>
          </m:r>
          <m:f>
            <m:fPr>
              <m:ctrlPr>
                <w:rPr>
                  <w:rFonts w:ascii="Cambria Math" w:hAnsi="Cambria Math"/>
                  <w:i/>
                </w:rPr>
              </m:ctrlPr>
            </m:fPr>
            <m:num>
              <m:r>
                <w:rPr>
                  <w:rFonts w:ascii="Cambria Math" w:hAnsi="Cambria Math"/>
                </w:rPr>
                <m:t>total CBD amount or %w/w</m:t>
              </m:r>
            </m:num>
            <m:den>
              <m:r>
                <w:rPr>
                  <w:rFonts w:ascii="Cambria Math" w:hAnsi="Cambria Math"/>
                </w:rPr>
                <m:t>stated content CBD</m:t>
              </m:r>
            </m:den>
          </m:f>
          <m:r>
            <w:rPr>
              <w:rFonts w:ascii="Cambria Math" w:hAnsi="Cambria Math"/>
            </w:rPr>
            <m:t xml:space="preserve"> ×100 %</m:t>
          </m:r>
        </m:oMath>
      </m:oMathPara>
    </w:p>
    <w:p w14:paraId="65AE95F3" w14:textId="77777777" w:rsidR="00B86644" w:rsidRDefault="00403EEA" w:rsidP="00B86644">
      <w:pPr>
        <w:spacing w:before="100" w:after="100"/>
      </w:pPr>
      <m:oMathPara>
        <m:oMath>
          <m:d>
            <m:dPr>
              <m:ctrlPr>
                <w:rPr>
                  <w:rFonts w:ascii="Cambria Math" w:hAnsi="Cambria Math"/>
                  <w:i/>
                </w:rPr>
              </m:ctrlPr>
            </m:dPr>
            <m:e>
              <m:eqArr>
                <m:eqArrPr>
                  <m:ctrlPr>
                    <w:rPr>
                      <w:rFonts w:ascii="Cambria Math" w:hAnsi="Cambria Math"/>
                      <w:i/>
                    </w:rPr>
                  </m:ctrlPr>
                </m:eqArrPr>
                <m:e>
                  <m:r>
                    <w:rPr>
                      <w:rFonts w:ascii="Cambria Math" w:hAnsi="Cambria Math"/>
                    </w:rPr>
                    <m:t>% stated content</m:t>
                  </m:r>
                </m:e>
                <m:e>
                  <m:r>
                    <w:rPr>
                      <w:rFonts w:ascii="Cambria Math" w:hAnsi="Cambria Math"/>
                    </w:rPr>
                    <m:t>(THC)</m:t>
                  </m:r>
                </m:e>
              </m:eqArr>
            </m:e>
          </m:d>
          <m:r>
            <w:rPr>
              <w:rFonts w:ascii="Cambria Math" w:hAnsi="Cambria Math"/>
            </w:rPr>
            <m:t>=</m:t>
          </m:r>
          <m:f>
            <m:fPr>
              <m:ctrlPr>
                <w:rPr>
                  <w:rFonts w:ascii="Cambria Math" w:hAnsi="Cambria Math"/>
                  <w:i/>
                </w:rPr>
              </m:ctrlPr>
            </m:fPr>
            <m:num>
              <m:r>
                <w:rPr>
                  <w:rFonts w:ascii="Cambria Math" w:hAnsi="Cambria Math"/>
                </w:rPr>
                <m:t>total THC amount or %w/w</m:t>
              </m:r>
            </m:num>
            <m:den>
              <m:r>
                <w:rPr>
                  <w:rFonts w:ascii="Cambria Math" w:hAnsi="Cambria Math"/>
                </w:rPr>
                <m:t>stated content THC</m:t>
              </m:r>
            </m:den>
          </m:f>
          <m:r>
            <w:rPr>
              <w:rFonts w:ascii="Cambria Math" w:hAnsi="Cambria Math"/>
            </w:rPr>
            <m:t xml:space="preserve"> ×100 %</m:t>
          </m:r>
        </m:oMath>
      </m:oMathPara>
    </w:p>
    <w:p w14:paraId="75BB7EE4" w14:textId="77777777" w:rsidR="0065309B" w:rsidRDefault="0065309B" w:rsidP="00B86644">
      <w:pPr>
        <w:spacing w:before="100" w:after="100"/>
      </w:pPr>
      <w:r>
        <w:t>Where:</w:t>
      </w:r>
    </w:p>
    <w:tbl>
      <w:tblPr>
        <w:tblStyle w:val="TableGrid"/>
        <w:tblW w:w="0" w:type="auto"/>
        <w:tblLook w:val="0480" w:firstRow="0" w:lastRow="0" w:firstColumn="1" w:lastColumn="0" w:noHBand="0" w:noVBand="1"/>
      </w:tblPr>
      <w:tblGrid>
        <w:gridCol w:w="1696"/>
        <w:gridCol w:w="6798"/>
      </w:tblGrid>
      <w:tr w:rsidR="00B86644" w14:paraId="38212AAE" w14:textId="77777777" w:rsidTr="00B86644">
        <w:tc>
          <w:tcPr>
            <w:tcW w:w="1696" w:type="dxa"/>
            <w:shd w:val="clear" w:color="auto" w:fill="006DA7"/>
          </w:tcPr>
          <w:p w14:paraId="34FFD515" w14:textId="77777777" w:rsidR="00B86644" w:rsidRPr="00B86644" w:rsidRDefault="00B86644" w:rsidP="00B86644">
            <w:pPr>
              <w:spacing w:before="100" w:after="100"/>
              <w:rPr>
                <w:b/>
                <w:color w:val="FFFFFF" w:themeColor="background1"/>
              </w:rPr>
            </w:pPr>
            <w:proofErr w:type="spellStart"/>
            <w:r w:rsidRPr="00B86644">
              <w:rPr>
                <w:b/>
                <w:color w:val="FFFFFF" w:themeColor="background1"/>
              </w:rPr>
              <w:t>Area</w:t>
            </w:r>
            <w:r w:rsidRPr="00B86644">
              <w:rPr>
                <w:b/>
                <w:color w:val="FFFFFF" w:themeColor="background1"/>
                <w:vertAlign w:val="subscript"/>
              </w:rPr>
              <w:t>Cannabinoid</w:t>
            </w:r>
            <w:proofErr w:type="spellEnd"/>
          </w:p>
        </w:tc>
        <w:tc>
          <w:tcPr>
            <w:tcW w:w="6798" w:type="dxa"/>
          </w:tcPr>
          <w:p w14:paraId="559E61F7" w14:textId="77777777" w:rsidR="00B86644" w:rsidRDefault="00B86644" w:rsidP="00B86644">
            <w:pPr>
              <w:spacing w:before="100" w:after="100"/>
            </w:pPr>
            <w:r>
              <w:t>is the peak area response of the individual cannabinoid in the sample solution</w:t>
            </w:r>
          </w:p>
        </w:tc>
      </w:tr>
      <w:tr w:rsidR="00B86644" w14:paraId="4F022C0C" w14:textId="77777777" w:rsidTr="00B86644">
        <w:tc>
          <w:tcPr>
            <w:tcW w:w="1696" w:type="dxa"/>
            <w:shd w:val="clear" w:color="auto" w:fill="006DA7"/>
          </w:tcPr>
          <w:p w14:paraId="6B6F28E7" w14:textId="77777777" w:rsidR="00B86644" w:rsidRPr="00B86644" w:rsidRDefault="00B86644" w:rsidP="00B86644">
            <w:pPr>
              <w:spacing w:before="100" w:after="100"/>
              <w:rPr>
                <w:b/>
                <w:color w:val="FFFFFF" w:themeColor="background1"/>
              </w:rPr>
            </w:pPr>
            <w:proofErr w:type="spellStart"/>
            <w:r w:rsidRPr="00B86644">
              <w:rPr>
                <w:b/>
                <w:color w:val="FFFFFF" w:themeColor="background1"/>
              </w:rPr>
              <w:t>Area</w:t>
            </w:r>
            <w:r w:rsidRPr="00B86644">
              <w:rPr>
                <w:b/>
                <w:color w:val="FFFFFF" w:themeColor="background1"/>
                <w:vertAlign w:val="subscript"/>
              </w:rPr>
              <w:t>Standard</w:t>
            </w:r>
            <w:proofErr w:type="spellEnd"/>
          </w:p>
        </w:tc>
        <w:tc>
          <w:tcPr>
            <w:tcW w:w="6798" w:type="dxa"/>
          </w:tcPr>
          <w:p w14:paraId="22812200" w14:textId="77777777" w:rsidR="00B86644" w:rsidRDefault="00B86644" w:rsidP="00B86644">
            <w:pPr>
              <w:spacing w:before="100" w:after="100"/>
            </w:pPr>
            <w:r>
              <w:t>is the average peak area response of CBD in the standard solution</w:t>
            </w:r>
          </w:p>
        </w:tc>
      </w:tr>
      <w:tr w:rsidR="00B86644" w14:paraId="10ECA1B7" w14:textId="77777777" w:rsidTr="00B86644">
        <w:tc>
          <w:tcPr>
            <w:tcW w:w="1696" w:type="dxa"/>
            <w:shd w:val="clear" w:color="auto" w:fill="006DA7"/>
          </w:tcPr>
          <w:p w14:paraId="21609E3B" w14:textId="77777777" w:rsidR="00B86644" w:rsidRPr="00B86644" w:rsidRDefault="00B86644" w:rsidP="00B86644">
            <w:pPr>
              <w:spacing w:before="100" w:after="100"/>
              <w:rPr>
                <w:b/>
                <w:color w:val="FFFFFF" w:themeColor="background1"/>
              </w:rPr>
            </w:pPr>
            <w:proofErr w:type="spellStart"/>
            <w:r w:rsidRPr="00B86644">
              <w:rPr>
                <w:b/>
                <w:color w:val="FFFFFF" w:themeColor="background1"/>
              </w:rPr>
              <w:t>Wt</w:t>
            </w:r>
            <w:r w:rsidRPr="00B86644">
              <w:rPr>
                <w:b/>
                <w:color w:val="FFFFFF" w:themeColor="background1"/>
                <w:vertAlign w:val="subscript"/>
              </w:rPr>
              <w:t>Standard</w:t>
            </w:r>
            <w:proofErr w:type="spellEnd"/>
          </w:p>
        </w:tc>
        <w:tc>
          <w:tcPr>
            <w:tcW w:w="6798" w:type="dxa"/>
          </w:tcPr>
          <w:p w14:paraId="12A2F70E" w14:textId="77777777" w:rsidR="00B86644" w:rsidRDefault="00B86644" w:rsidP="00B86644">
            <w:pPr>
              <w:spacing w:before="100" w:after="100"/>
            </w:pPr>
            <w:r>
              <w:t>is the weight of CBD reference material, in mg</w:t>
            </w:r>
          </w:p>
        </w:tc>
      </w:tr>
      <w:tr w:rsidR="00B86644" w14:paraId="6F6DB82D" w14:textId="77777777" w:rsidTr="00B86644">
        <w:tc>
          <w:tcPr>
            <w:tcW w:w="1696" w:type="dxa"/>
            <w:shd w:val="clear" w:color="auto" w:fill="006DA7"/>
          </w:tcPr>
          <w:p w14:paraId="6104A3D9" w14:textId="77777777" w:rsidR="00B86644" w:rsidRPr="00B86644" w:rsidRDefault="00B86644" w:rsidP="00B86644">
            <w:pPr>
              <w:spacing w:before="100" w:after="100"/>
              <w:rPr>
                <w:b/>
                <w:color w:val="FFFFFF" w:themeColor="background1"/>
              </w:rPr>
            </w:pPr>
            <w:proofErr w:type="spellStart"/>
            <w:r w:rsidRPr="00B86644">
              <w:rPr>
                <w:b/>
                <w:color w:val="FFFFFF" w:themeColor="background1"/>
              </w:rPr>
              <w:t>Wt</w:t>
            </w:r>
            <w:r w:rsidRPr="00B86644">
              <w:rPr>
                <w:b/>
                <w:color w:val="FFFFFF" w:themeColor="background1"/>
                <w:vertAlign w:val="subscript"/>
              </w:rPr>
              <w:t>Sample</w:t>
            </w:r>
            <w:proofErr w:type="spellEnd"/>
          </w:p>
        </w:tc>
        <w:tc>
          <w:tcPr>
            <w:tcW w:w="6798" w:type="dxa"/>
          </w:tcPr>
          <w:p w14:paraId="0A0EA8C8" w14:textId="77777777" w:rsidR="00B86644" w:rsidRDefault="00B86644" w:rsidP="00B86644">
            <w:pPr>
              <w:spacing w:before="100" w:after="100"/>
            </w:pPr>
            <w:r>
              <w:t>is the weight of sample, in mg</w:t>
            </w:r>
          </w:p>
        </w:tc>
      </w:tr>
      <w:tr w:rsidR="00B86644" w14:paraId="7A2B3B36" w14:textId="77777777" w:rsidTr="00B86644">
        <w:tc>
          <w:tcPr>
            <w:tcW w:w="1696" w:type="dxa"/>
            <w:shd w:val="clear" w:color="auto" w:fill="006DA7"/>
          </w:tcPr>
          <w:p w14:paraId="5F3F870A" w14:textId="77777777" w:rsidR="00B86644" w:rsidRPr="00B86644" w:rsidRDefault="00B86644" w:rsidP="00B86644">
            <w:pPr>
              <w:spacing w:before="100" w:after="100"/>
              <w:rPr>
                <w:b/>
                <w:color w:val="FFFFFF" w:themeColor="background1"/>
              </w:rPr>
            </w:pPr>
            <w:r w:rsidRPr="00B86644">
              <w:rPr>
                <w:b/>
                <w:color w:val="FFFFFF" w:themeColor="background1"/>
              </w:rPr>
              <w:t>DF</w:t>
            </w:r>
          </w:p>
        </w:tc>
        <w:tc>
          <w:tcPr>
            <w:tcW w:w="6798" w:type="dxa"/>
          </w:tcPr>
          <w:p w14:paraId="232C6BAB" w14:textId="77777777" w:rsidR="00B86644" w:rsidRDefault="00B86644" w:rsidP="00B86644">
            <w:pPr>
              <w:spacing w:before="100" w:after="100"/>
            </w:pPr>
            <w:r>
              <w:t>is the combined standard and sample dilution factor</w:t>
            </w:r>
          </w:p>
        </w:tc>
      </w:tr>
      <w:tr w:rsidR="00B86644" w14:paraId="53F2A7C7" w14:textId="77777777" w:rsidTr="00B86644">
        <w:tc>
          <w:tcPr>
            <w:tcW w:w="1696" w:type="dxa"/>
            <w:shd w:val="clear" w:color="auto" w:fill="006DA7"/>
          </w:tcPr>
          <w:p w14:paraId="678B7A61" w14:textId="77777777" w:rsidR="00B86644" w:rsidRPr="00B86644" w:rsidRDefault="00B86644" w:rsidP="00B86644">
            <w:pPr>
              <w:spacing w:before="100" w:after="100"/>
              <w:rPr>
                <w:b/>
                <w:color w:val="FFFFFF" w:themeColor="background1"/>
              </w:rPr>
            </w:pPr>
            <w:proofErr w:type="gramStart"/>
            <w:r w:rsidRPr="00B86644">
              <w:rPr>
                <w:b/>
                <w:color w:val="FFFFFF" w:themeColor="background1"/>
              </w:rPr>
              <w:t>P(</w:t>
            </w:r>
            <w:proofErr w:type="gramEnd"/>
            <w:r w:rsidRPr="00B86644">
              <w:rPr>
                <w:b/>
                <w:color w:val="FFFFFF" w:themeColor="background1"/>
              </w:rPr>
              <w:t>%)</w:t>
            </w:r>
          </w:p>
        </w:tc>
        <w:tc>
          <w:tcPr>
            <w:tcW w:w="6798" w:type="dxa"/>
          </w:tcPr>
          <w:p w14:paraId="6CE2CD80" w14:textId="77777777" w:rsidR="00B86644" w:rsidRDefault="00B86644" w:rsidP="00B86644">
            <w:pPr>
              <w:spacing w:before="100" w:after="100"/>
            </w:pPr>
            <w:r>
              <w:t>is the ‘as is’ potency in percentage of the CBD reference material</w:t>
            </w:r>
          </w:p>
        </w:tc>
      </w:tr>
      <w:tr w:rsidR="00B86644" w14:paraId="39977252" w14:textId="77777777" w:rsidTr="00B86644">
        <w:tc>
          <w:tcPr>
            <w:tcW w:w="1696" w:type="dxa"/>
            <w:shd w:val="clear" w:color="auto" w:fill="006DA7"/>
          </w:tcPr>
          <w:p w14:paraId="1F1B55EF" w14:textId="77777777" w:rsidR="00B86644" w:rsidRPr="00B86644" w:rsidRDefault="00B86644" w:rsidP="00B86644">
            <w:pPr>
              <w:spacing w:before="100" w:after="100"/>
              <w:rPr>
                <w:b/>
                <w:color w:val="FFFFFF" w:themeColor="background1"/>
              </w:rPr>
            </w:pPr>
            <w:r w:rsidRPr="00B86644">
              <w:rPr>
                <w:b/>
                <w:color w:val="FFFFFF" w:themeColor="background1"/>
              </w:rPr>
              <w:t>P</w:t>
            </w:r>
          </w:p>
        </w:tc>
        <w:tc>
          <w:tcPr>
            <w:tcW w:w="6798" w:type="dxa"/>
          </w:tcPr>
          <w:p w14:paraId="76BC8717" w14:textId="77777777" w:rsidR="00B86644" w:rsidRDefault="00B86644" w:rsidP="00B86644">
            <w:pPr>
              <w:spacing w:before="100" w:after="100"/>
            </w:pPr>
            <w:r>
              <w:t>is the ‘as is’ potency in fraction form of the CBD reference material</w:t>
            </w:r>
          </w:p>
        </w:tc>
      </w:tr>
      <w:tr w:rsidR="00B86644" w14:paraId="00A6D2E0" w14:textId="77777777" w:rsidTr="00B86644">
        <w:tc>
          <w:tcPr>
            <w:tcW w:w="1696" w:type="dxa"/>
            <w:shd w:val="clear" w:color="auto" w:fill="006DA7"/>
          </w:tcPr>
          <w:p w14:paraId="02097C19" w14:textId="77777777" w:rsidR="00B86644" w:rsidRPr="00B86644" w:rsidRDefault="00B86644" w:rsidP="00B86644">
            <w:pPr>
              <w:spacing w:before="100" w:after="100"/>
              <w:rPr>
                <w:b/>
                <w:color w:val="FFFFFF" w:themeColor="background1"/>
              </w:rPr>
            </w:pPr>
            <w:r w:rsidRPr="00B86644">
              <w:rPr>
                <w:b/>
                <w:color w:val="FFFFFF" w:themeColor="background1"/>
              </w:rPr>
              <w:t>RRF</w:t>
            </w:r>
          </w:p>
        </w:tc>
        <w:tc>
          <w:tcPr>
            <w:tcW w:w="6798" w:type="dxa"/>
          </w:tcPr>
          <w:p w14:paraId="40EA896C" w14:textId="77777777" w:rsidR="00B86644" w:rsidRDefault="00B86644" w:rsidP="00B86644">
            <w:pPr>
              <w:spacing w:before="100" w:after="100"/>
            </w:pPr>
            <w:r>
              <w:t>is the relative response factor of the individual cannabinoid to CBD – Refer to Table 1.</w:t>
            </w:r>
          </w:p>
        </w:tc>
      </w:tr>
      <w:tr w:rsidR="00B86644" w14:paraId="799C2EE1" w14:textId="77777777" w:rsidTr="00B86644">
        <w:tc>
          <w:tcPr>
            <w:tcW w:w="1696" w:type="dxa"/>
            <w:shd w:val="clear" w:color="auto" w:fill="006DA7"/>
          </w:tcPr>
          <w:p w14:paraId="1AF48F4E" w14:textId="77777777" w:rsidR="00B86644" w:rsidRPr="00B86644" w:rsidRDefault="00B86644" w:rsidP="00B86644">
            <w:pPr>
              <w:spacing w:before="100" w:after="100"/>
              <w:rPr>
                <w:b/>
                <w:color w:val="FFFFFF" w:themeColor="background1"/>
              </w:rPr>
            </w:pPr>
            <w:r w:rsidRPr="00B86644">
              <w:rPr>
                <w:b/>
                <w:color w:val="FFFFFF" w:themeColor="background1"/>
              </w:rPr>
              <w:t>LOD factor</w:t>
            </w:r>
          </w:p>
        </w:tc>
        <w:tc>
          <w:tcPr>
            <w:tcW w:w="6798" w:type="dxa"/>
          </w:tcPr>
          <w:p w14:paraId="332A5218" w14:textId="77777777" w:rsidR="00B86644" w:rsidRDefault="00B86644" w:rsidP="00B86644">
            <w:pPr>
              <w:spacing w:before="100" w:after="100"/>
            </w:pPr>
            <w:r>
              <w:t>is the loss on drying expressed in fraction form ((100 – loss on drying (%))/100)</w:t>
            </w:r>
          </w:p>
        </w:tc>
      </w:tr>
      <w:tr w:rsidR="00B86644" w14:paraId="49816566" w14:textId="77777777" w:rsidTr="00B86644">
        <w:tc>
          <w:tcPr>
            <w:tcW w:w="1696" w:type="dxa"/>
            <w:shd w:val="clear" w:color="auto" w:fill="006DA7"/>
          </w:tcPr>
          <w:p w14:paraId="77BF7338" w14:textId="77777777" w:rsidR="00B86644" w:rsidRPr="00B86644" w:rsidRDefault="00B86644" w:rsidP="00B86644">
            <w:pPr>
              <w:spacing w:before="100" w:after="100"/>
              <w:rPr>
                <w:b/>
                <w:color w:val="FFFFFF" w:themeColor="background1"/>
              </w:rPr>
            </w:pPr>
            <w:r w:rsidRPr="00B86644">
              <w:rPr>
                <w:b/>
                <w:color w:val="FFFFFF" w:themeColor="background1"/>
              </w:rPr>
              <w:t>Den</w:t>
            </w:r>
          </w:p>
        </w:tc>
        <w:tc>
          <w:tcPr>
            <w:tcW w:w="6798" w:type="dxa"/>
          </w:tcPr>
          <w:p w14:paraId="06B42F25" w14:textId="77777777" w:rsidR="00B86644" w:rsidRDefault="00B86644" w:rsidP="00B86644">
            <w:pPr>
              <w:spacing w:before="100" w:after="100"/>
            </w:pPr>
            <w:r>
              <w:t>is the density measurement in mg/mL</w:t>
            </w:r>
          </w:p>
        </w:tc>
      </w:tr>
    </w:tbl>
    <w:p w14:paraId="041BD46C" w14:textId="77777777" w:rsidR="0065309B" w:rsidRDefault="0065309B" w:rsidP="0065309B">
      <w:r>
        <w:lastRenderedPageBreak/>
        <w:t>Similar calculations for other cannabinoids can be performed, using the values listed in Table 1.</w:t>
      </w:r>
    </w:p>
    <w:p w14:paraId="3AB0E8F5" w14:textId="77777777" w:rsidR="0065309B" w:rsidRDefault="0065309B" w:rsidP="005F6ADF">
      <w:pPr>
        <w:pStyle w:val="Tabletitle"/>
      </w:pPr>
      <w:r>
        <w:t>Table 1: RRTs and RRFs for UPLC</w:t>
      </w:r>
    </w:p>
    <w:tbl>
      <w:tblPr>
        <w:tblStyle w:val="TableTGAblue"/>
        <w:tblW w:w="0" w:type="auto"/>
        <w:jc w:val="center"/>
        <w:tblLook w:val="04A0" w:firstRow="1" w:lastRow="0" w:firstColumn="1" w:lastColumn="0" w:noHBand="0" w:noVBand="1"/>
      </w:tblPr>
      <w:tblGrid>
        <w:gridCol w:w="2379"/>
        <w:gridCol w:w="2556"/>
        <w:gridCol w:w="1246"/>
        <w:gridCol w:w="1231"/>
        <w:gridCol w:w="1072"/>
      </w:tblGrid>
      <w:tr w:rsidR="00892210" w:rsidRPr="00892210" w14:paraId="7389F4A6" w14:textId="77777777" w:rsidTr="00563A0D">
        <w:trPr>
          <w:cnfStyle w:val="100000000000" w:firstRow="1" w:lastRow="0" w:firstColumn="0" w:lastColumn="0" w:oddVBand="0" w:evenVBand="0" w:oddHBand="0" w:evenHBand="0" w:firstRowFirstColumn="0" w:firstRowLastColumn="0" w:lastRowFirstColumn="0" w:lastRowLastColumn="0"/>
          <w:jc w:val="center"/>
        </w:trPr>
        <w:tc>
          <w:tcPr>
            <w:tcW w:w="2472" w:type="dxa"/>
            <w:vAlign w:val="center"/>
          </w:tcPr>
          <w:p w14:paraId="2FE5E1E9" w14:textId="77777777" w:rsidR="005F6ADF" w:rsidRPr="00892210" w:rsidRDefault="005F6ADF" w:rsidP="00563A0D">
            <w:pPr>
              <w:spacing w:before="100" w:after="100"/>
              <w:jc w:val="center"/>
              <w:rPr>
                <w:sz w:val="20"/>
              </w:rPr>
            </w:pPr>
            <w:r w:rsidRPr="00892210">
              <w:rPr>
                <w:sz w:val="20"/>
              </w:rPr>
              <w:t>Component</w:t>
            </w:r>
          </w:p>
        </w:tc>
        <w:tc>
          <w:tcPr>
            <w:tcW w:w="1771" w:type="dxa"/>
            <w:vAlign w:val="center"/>
          </w:tcPr>
          <w:p w14:paraId="2118787F" w14:textId="77777777" w:rsidR="005F6ADF" w:rsidRPr="00892210" w:rsidRDefault="005F6ADF" w:rsidP="00563A0D">
            <w:pPr>
              <w:spacing w:before="100" w:after="100"/>
              <w:jc w:val="center"/>
              <w:rPr>
                <w:sz w:val="20"/>
              </w:rPr>
            </w:pPr>
            <w:r w:rsidRPr="00892210">
              <w:rPr>
                <w:sz w:val="20"/>
              </w:rPr>
              <w:t>Structure</w:t>
            </w:r>
          </w:p>
        </w:tc>
        <w:tc>
          <w:tcPr>
            <w:tcW w:w="1417" w:type="dxa"/>
            <w:vAlign w:val="center"/>
          </w:tcPr>
          <w:p w14:paraId="42D3533D" w14:textId="77777777" w:rsidR="005F6ADF" w:rsidRPr="00892210" w:rsidRDefault="005F6ADF" w:rsidP="00563A0D">
            <w:pPr>
              <w:spacing w:before="100" w:after="100"/>
              <w:jc w:val="center"/>
              <w:rPr>
                <w:sz w:val="20"/>
              </w:rPr>
            </w:pPr>
            <w:r w:rsidRPr="00892210">
              <w:rPr>
                <w:sz w:val="20"/>
              </w:rPr>
              <w:t>Relative Retention Time</w:t>
            </w:r>
          </w:p>
        </w:tc>
        <w:tc>
          <w:tcPr>
            <w:tcW w:w="1418" w:type="dxa"/>
            <w:vAlign w:val="center"/>
          </w:tcPr>
          <w:p w14:paraId="402D205B" w14:textId="77777777" w:rsidR="005F6ADF" w:rsidRPr="00892210" w:rsidRDefault="005F6ADF" w:rsidP="00563A0D">
            <w:pPr>
              <w:spacing w:before="100" w:after="100"/>
              <w:jc w:val="center"/>
              <w:rPr>
                <w:sz w:val="20"/>
              </w:rPr>
            </w:pPr>
            <w:r w:rsidRPr="00892210">
              <w:rPr>
                <w:sz w:val="20"/>
              </w:rPr>
              <w:t>Relative Response Factor (RRF)</w:t>
            </w:r>
          </w:p>
        </w:tc>
        <w:tc>
          <w:tcPr>
            <w:tcW w:w="1406" w:type="dxa"/>
            <w:vAlign w:val="center"/>
          </w:tcPr>
          <w:p w14:paraId="1E3F0AB1" w14:textId="77777777" w:rsidR="005F6ADF" w:rsidRPr="00892210" w:rsidRDefault="005F6ADF" w:rsidP="00563A0D">
            <w:pPr>
              <w:spacing w:before="100" w:after="100"/>
              <w:jc w:val="center"/>
              <w:rPr>
                <w:sz w:val="20"/>
              </w:rPr>
            </w:pPr>
            <w:r w:rsidRPr="00892210">
              <w:rPr>
                <w:sz w:val="20"/>
              </w:rPr>
              <w:t>MS mode &amp; parent ion mass</w:t>
            </w:r>
          </w:p>
        </w:tc>
      </w:tr>
      <w:tr w:rsidR="00892210" w:rsidRPr="00892210" w14:paraId="0AB26604" w14:textId="77777777" w:rsidTr="00563A0D">
        <w:trPr>
          <w:jc w:val="center"/>
        </w:trPr>
        <w:tc>
          <w:tcPr>
            <w:tcW w:w="2472" w:type="dxa"/>
            <w:vAlign w:val="center"/>
          </w:tcPr>
          <w:p w14:paraId="0E7B8808" w14:textId="77777777" w:rsidR="005F6ADF" w:rsidRPr="00892210" w:rsidRDefault="005F6ADF" w:rsidP="00563A0D">
            <w:pPr>
              <w:spacing w:before="100" w:after="100"/>
              <w:jc w:val="center"/>
              <w:rPr>
                <w:sz w:val="20"/>
              </w:rPr>
            </w:pPr>
            <w:proofErr w:type="spellStart"/>
            <w:r w:rsidRPr="00892210">
              <w:rPr>
                <w:sz w:val="20"/>
              </w:rPr>
              <w:t>Cannabidivarinic</w:t>
            </w:r>
            <w:proofErr w:type="spellEnd"/>
            <w:r w:rsidRPr="00892210">
              <w:rPr>
                <w:sz w:val="20"/>
              </w:rPr>
              <w:t xml:space="preserve"> Acid</w:t>
            </w:r>
            <w:r w:rsidR="00901A84" w:rsidRPr="00892210">
              <w:rPr>
                <w:sz w:val="20"/>
              </w:rPr>
              <w:br/>
            </w:r>
            <w:r w:rsidRPr="00892210">
              <w:rPr>
                <w:sz w:val="20"/>
              </w:rPr>
              <w:t>(CBDVA)</w:t>
            </w:r>
          </w:p>
        </w:tc>
        <w:tc>
          <w:tcPr>
            <w:tcW w:w="1771" w:type="dxa"/>
            <w:vAlign w:val="center"/>
          </w:tcPr>
          <w:p w14:paraId="341E5AF9" w14:textId="77777777" w:rsidR="005F6ADF" w:rsidRPr="00892210" w:rsidRDefault="00766BA8" w:rsidP="00563A0D">
            <w:pPr>
              <w:spacing w:before="100" w:after="100"/>
              <w:jc w:val="center"/>
              <w:rPr>
                <w:sz w:val="20"/>
              </w:rPr>
            </w:pPr>
            <w:r>
              <w:rPr>
                <w:noProof/>
              </w:rPr>
              <w:drawing>
                <wp:inline distT="0" distB="0" distL="0" distR="0" wp14:anchorId="05834602" wp14:editId="18216A16">
                  <wp:extent cx="810000" cy="878400"/>
                  <wp:effectExtent l="0" t="0" r="9525" b="0"/>
                  <wp:docPr id="42" name="Picture 42" descr="structure of Cannabidivarinic Acid (CBD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VA.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0000" cy="878400"/>
                          </a:xfrm>
                          <a:prstGeom prst="rect">
                            <a:avLst/>
                          </a:prstGeom>
                        </pic:spPr>
                      </pic:pic>
                    </a:graphicData>
                  </a:graphic>
                </wp:inline>
              </w:drawing>
            </w:r>
          </w:p>
        </w:tc>
        <w:tc>
          <w:tcPr>
            <w:tcW w:w="1417" w:type="dxa"/>
            <w:vAlign w:val="center"/>
          </w:tcPr>
          <w:p w14:paraId="0B94C18D" w14:textId="77777777" w:rsidR="005F6ADF" w:rsidRPr="00892210" w:rsidRDefault="005F6ADF" w:rsidP="00563A0D">
            <w:pPr>
              <w:spacing w:before="100" w:after="100"/>
              <w:jc w:val="center"/>
              <w:rPr>
                <w:sz w:val="20"/>
              </w:rPr>
            </w:pPr>
            <w:r w:rsidRPr="00892210">
              <w:rPr>
                <w:sz w:val="20"/>
              </w:rPr>
              <w:t>0.57</w:t>
            </w:r>
          </w:p>
        </w:tc>
        <w:tc>
          <w:tcPr>
            <w:tcW w:w="1418" w:type="dxa"/>
            <w:vAlign w:val="center"/>
          </w:tcPr>
          <w:p w14:paraId="64D1EF73" w14:textId="77777777" w:rsidR="005F6ADF" w:rsidRPr="00892210" w:rsidRDefault="005F6ADF" w:rsidP="00563A0D">
            <w:pPr>
              <w:spacing w:before="100" w:after="100"/>
              <w:jc w:val="center"/>
              <w:rPr>
                <w:sz w:val="20"/>
              </w:rPr>
            </w:pPr>
            <w:r w:rsidRPr="00892210">
              <w:rPr>
                <w:sz w:val="20"/>
              </w:rPr>
              <w:t>0.496</w:t>
            </w:r>
          </w:p>
        </w:tc>
        <w:tc>
          <w:tcPr>
            <w:tcW w:w="1406" w:type="dxa"/>
            <w:vAlign w:val="center"/>
          </w:tcPr>
          <w:p w14:paraId="64DBF594" w14:textId="77777777" w:rsidR="005F6ADF" w:rsidRPr="00892210" w:rsidRDefault="005F6ADF"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656910B2" w14:textId="77777777" w:rsidR="005F6ADF" w:rsidRPr="00892210" w:rsidRDefault="005F6ADF" w:rsidP="00563A0D">
            <w:pPr>
              <w:spacing w:before="100" w:after="100"/>
              <w:jc w:val="center"/>
              <w:rPr>
                <w:sz w:val="20"/>
              </w:rPr>
            </w:pPr>
            <w:r w:rsidRPr="00892210">
              <w:rPr>
                <w:sz w:val="20"/>
              </w:rPr>
              <w:t>329.2</w:t>
            </w:r>
          </w:p>
        </w:tc>
      </w:tr>
      <w:tr w:rsidR="00892210" w:rsidRPr="00892210" w14:paraId="5E6FE812" w14:textId="77777777" w:rsidTr="00563A0D">
        <w:trPr>
          <w:jc w:val="center"/>
        </w:trPr>
        <w:tc>
          <w:tcPr>
            <w:tcW w:w="2472" w:type="dxa"/>
            <w:vAlign w:val="center"/>
          </w:tcPr>
          <w:p w14:paraId="790069C3" w14:textId="77777777" w:rsidR="005F6ADF" w:rsidRPr="00892210" w:rsidRDefault="005F6ADF" w:rsidP="00563A0D">
            <w:pPr>
              <w:spacing w:before="100" w:after="100"/>
              <w:jc w:val="center"/>
              <w:rPr>
                <w:sz w:val="20"/>
              </w:rPr>
            </w:pPr>
            <w:proofErr w:type="spellStart"/>
            <w:r w:rsidRPr="00892210">
              <w:rPr>
                <w:sz w:val="20"/>
              </w:rPr>
              <w:t>Cannabidivarin</w:t>
            </w:r>
            <w:proofErr w:type="spellEnd"/>
            <w:r w:rsidR="00901A84" w:rsidRPr="00892210">
              <w:rPr>
                <w:sz w:val="20"/>
              </w:rPr>
              <w:br/>
            </w:r>
            <w:r w:rsidRPr="00892210">
              <w:rPr>
                <w:sz w:val="20"/>
              </w:rPr>
              <w:t>(CBDV)</w:t>
            </w:r>
          </w:p>
        </w:tc>
        <w:tc>
          <w:tcPr>
            <w:tcW w:w="1771" w:type="dxa"/>
            <w:vAlign w:val="center"/>
          </w:tcPr>
          <w:p w14:paraId="1FE65487" w14:textId="77777777" w:rsidR="005F6ADF" w:rsidRPr="00892210" w:rsidRDefault="00766BA8" w:rsidP="00563A0D">
            <w:pPr>
              <w:spacing w:before="100" w:after="100"/>
              <w:jc w:val="center"/>
              <w:rPr>
                <w:sz w:val="20"/>
              </w:rPr>
            </w:pPr>
            <w:r>
              <w:rPr>
                <w:noProof/>
              </w:rPr>
              <w:drawing>
                <wp:inline distT="0" distB="0" distL="0" distR="0" wp14:anchorId="54EF79AD" wp14:editId="021BB7B8">
                  <wp:extent cx="844061" cy="914516"/>
                  <wp:effectExtent l="0" t="0" r="0" b="0"/>
                  <wp:docPr id="43" name="Picture 43" descr="structure of Cannabidivarin (CB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V.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048" cy="913418"/>
                          </a:xfrm>
                          <a:prstGeom prst="rect">
                            <a:avLst/>
                          </a:prstGeom>
                        </pic:spPr>
                      </pic:pic>
                    </a:graphicData>
                  </a:graphic>
                </wp:inline>
              </w:drawing>
            </w:r>
          </w:p>
        </w:tc>
        <w:tc>
          <w:tcPr>
            <w:tcW w:w="1417" w:type="dxa"/>
            <w:vAlign w:val="center"/>
          </w:tcPr>
          <w:p w14:paraId="62458E17" w14:textId="77777777" w:rsidR="005F6ADF" w:rsidRPr="00892210" w:rsidRDefault="005F6ADF" w:rsidP="00563A0D">
            <w:pPr>
              <w:spacing w:before="100" w:after="100"/>
              <w:jc w:val="center"/>
              <w:rPr>
                <w:sz w:val="20"/>
              </w:rPr>
            </w:pPr>
            <w:r w:rsidRPr="00892210">
              <w:rPr>
                <w:sz w:val="20"/>
              </w:rPr>
              <w:t>0.62</w:t>
            </w:r>
          </w:p>
        </w:tc>
        <w:tc>
          <w:tcPr>
            <w:tcW w:w="1418" w:type="dxa"/>
            <w:vAlign w:val="center"/>
          </w:tcPr>
          <w:p w14:paraId="2168FA66" w14:textId="77777777" w:rsidR="005F6ADF" w:rsidRPr="00892210" w:rsidRDefault="005F6ADF" w:rsidP="00563A0D">
            <w:pPr>
              <w:spacing w:before="100" w:after="100"/>
              <w:jc w:val="center"/>
              <w:rPr>
                <w:sz w:val="20"/>
              </w:rPr>
            </w:pPr>
            <w:r w:rsidRPr="00892210">
              <w:rPr>
                <w:sz w:val="20"/>
              </w:rPr>
              <w:t>0.923</w:t>
            </w:r>
          </w:p>
        </w:tc>
        <w:tc>
          <w:tcPr>
            <w:tcW w:w="1406" w:type="dxa"/>
            <w:vAlign w:val="center"/>
          </w:tcPr>
          <w:p w14:paraId="535AE010" w14:textId="77777777" w:rsidR="005F6ADF" w:rsidRPr="00892210" w:rsidRDefault="005F6ADF"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6052AAD0" w14:textId="77777777" w:rsidR="005F6ADF" w:rsidRPr="00892210" w:rsidRDefault="005F6ADF" w:rsidP="00563A0D">
            <w:pPr>
              <w:spacing w:before="100" w:after="100"/>
              <w:jc w:val="center"/>
              <w:rPr>
                <w:sz w:val="20"/>
              </w:rPr>
            </w:pPr>
            <w:r w:rsidRPr="00892210">
              <w:rPr>
                <w:sz w:val="20"/>
              </w:rPr>
              <w:t>287.2</w:t>
            </w:r>
          </w:p>
        </w:tc>
      </w:tr>
      <w:tr w:rsidR="00892210" w:rsidRPr="00892210" w14:paraId="20D6D455" w14:textId="77777777" w:rsidTr="00563A0D">
        <w:trPr>
          <w:jc w:val="center"/>
        </w:trPr>
        <w:tc>
          <w:tcPr>
            <w:tcW w:w="2472" w:type="dxa"/>
            <w:vAlign w:val="center"/>
          </w:tcPr>
          <w:p w14:paraId="0626D3B5" w14:textId="77777777" w:rsidR="005F6ADF" w:rsidRPr="00892210" w:rsidRDefault="005F6ADF" w:rsidP="00563A0D">
            <w:pPr>
              <w:spacing w:before="100" w:after="100"/>
              <w:jc w:val="center"/>
              <w:rPr>
                <w:sz w:val="20"/>
              </w:rPr>
            </w:pPr>
            <w:proofErr w:type="spellStart"/>
            <w:r w:rsidRPr="00892210">
              <w:rPr>
                <w:sz w:val="20"/>
              </w:rPr>
              <w:t>Cannabidiolic</w:t>
            </w:r>
            <w:proofErr w:type="spellEnd"/>
            <w:r w:rsidRPr="00892210">
              <w:rPr>
                <w:sz w:val="20"/>
              </w:rPr>
              <w:t xml:space="preserve"> Acid</w:t>
            </w:r>
            <w:r w:rsidR="00892210" w:rsidRPr="00892210">
              <w:rPr>
                <w:sz w:val="20"/>
              </w:rPr>
              <w:br/>
            </w:r>
            <w:r w:rsidRPr="00892210">
              <w:rPr>
                <w:sz w:val="20"/>
              </w:rPr>
              <w:t>(CBDA)</w:t>
            </w:r>
          </w:p>
        </w:tc>
        <w:tc>
          <w:tcPr>
            <w:tcW w:w="1771" w:type="dxa"/>
            <w:vAlign w:val="center"/>
          </w:tcPr>
          <w:p w14:paraId="1A948014" w14:textId="77777777" w:rsidR="005F6ADF" w:rsidRPr="00892210" w:rsidRDefault="00766BA8" w:rsidP="00563A0D">
            <w:pPr>
              <w:spacing w:before="100" w:after="100"/>
              <w:jc w:val="center"/>
              <w:rPr>
                <w:sz w:val="20"/>
              </w:rPr>
            </w:pPr>
            <w:r>
              <w:rPr>
                <w:noProof/>
              </w:rPr>
              <w:drawing>
                <wp:inline distT="0" distB="0" distL="0" distR="0" wp14:anchorId="7C63C776" wp14:editId="1AE7EDDC">
                  <wp:extent cx="1080000" cy="1080000"/>
                  <wp:effectExtent l="0" t="0" r="6350" b="6350"/>
                  <wp:docPr id="7" name="Picture 7" descr="structure of Cannabidiolic Acid (C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A.png"/>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1417" w:type="dxa"/>
            <w:vAlign w:val="center"/>
          </w:tcPr>
          <w:p w14:paraId="4E023104" w14:textId="77777777" w:rsidR="005F6ADF" w:rsidRPr="00892210" w:rsidRDefault="005F6ADF" w:rsidP="00563A0D">
            <w:pPr>
              <w:spacing w:before="100" w:after="100"/>
              <w:jc w:val="center"/>
              <w:rPr>
                <w:sz w:val="20"/>
              </w:rPr>
            </w:pPr>
            <w:r w:rsidRPr="00892210">
              <w:rPr>
                <w:sz w:val="20"/>
              </w:rPr>
              <w:t>0.86</w:t>
            </w:r>
          </w:p>
        </w:tc>
        <w:tc>
          <w:tcPr>
            <w:tcW w:w="1418" w:type="dxa"/>
            <w:vAlign w:val="center"/>
          </w:tcPr>
          <w:p w14:paraId="451F57AB" w14:textId="77777777" w:rsidR="005F6ADF" w:rsidRPr="00892210" w:rsidRDefault="005F6ADF" w:rsidP="00563A0D">
            <w:pPr>
              <w:spacing w:before="100" w:after="100"/>
              <w:jc w:val="center"/>
              <w:rPr>
                <w:sz w:val="20"/>
              </w:rPr>
            </w:pPr>
            <w:r w:rsidRPr="00892210">
              <w:rPr>
                <w:sz w:val="20"/>
              </w:rPr>
              <w:t>0.538</w:t>
            </w:r>
          </w:p>
        </w:tc>
        <w:tc>
          <w:tcPr>
            <w:tcW w:w="1406" w:type="dxa"/>
            <w:vAlign w:val="center"/>
          </w:tcPr>
          <w:p w14:paraId="5E732691" w14:textId="77777777" w:rsidR="005F6ADF" w:rsidRPr="00892210" w:rsidRDefault="005F6ADF"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029B74A7" w14:textId="77777777" w:rsidR="005F6ADF" w:rsidRPr="00892210" w:rsidRDefault="005F6ADF" w:rsidP="00563A0D">
            <w:pPr>
              <w:spacing w:before="100" w:after="100"/>
              <w:jc w:val="center"/>
              <w:rPr>
                <w:sz w:val="20"/>
              </w:rPr>
            </w:pPr>
            <w:r w:rsidRPr="00892210">
              <w:rPr>
                <w:sz w:val="20"/>
              </w:rPr>
              <w:t>357.3</w:t>
            </w:r>
          </w:p>
        </w:tc>
      </w:tr>
      <w:tr w:rsidR="00892210" w:rsidRPr="00892210" w14:paraId="49DB6829" w14:textId="77777777" w:rsidTr="00563A0D">
        <w:trPr>
          <w:jc w:val="center"/>
        </w:trPr>
        <w:tc>
          <w:tcPr>
            <w:tcW w:w="2472" w:type="dxa"/>
            <w:vAlign w:val="center"/>
          </w:tcPr>
          <w:p w14:paraId="6C9C740E" w14:textId="77777777" w:rsidR="005F6ADF" w:rsidRPr="00892210" w:rsidRDefault="005F6ADF" w:rsidP="00563A0D">
            <w:pPr>
              <w:spacing w:before="100" w:after="100"/>
              <w:jc w:val="center"/>
              <w:rPr>
                <w:sz w:val="20"/>
              </w:rPr>
            </w:pPr>
            <w:proofErr w:type="spellStart"/>
            <w:r w:rsidRPr="00892210">
              <w:rPr>
                <w:sz w:val="20"/>
              </w:rPr>
              <w:t>Cannabigerolic</w:t>
            </w:r>
            <w:proofErr w:type="spellEnd"/>
            <w:r w:rsidRPr="00892210">
              <w:rPr>
                <w:sz w:val="20"/>
              </w:rPr>
              <w:t xml:space="preserve"> Acid</w:t>
            </w:r>
            <w:r w:rsidR="00892210" w:rsidRPr="00892210">
              <w:rPr>
                <w:sz w:val="20"/>
              </w:rPr>
              <w:br/>
            </w:r>
            <w:r w:rsidRPr="00892210">
              <w:rPr>
                <w:sz w:val="20"/>
              </w:rPr>
              <w:t>(CBGA)</w:t>
            </w:r>
          </w:p>
        </w:tc>
        <w:tc>
          <w:tcPr>
            <w:tcW w:w="1771" w:type="dxa"/>
            <w:vAlign w:val="center"/>
          </w:tcPr>
          <w:p w14:paraId="491D3040" w14:textId="77777777" w:rsidR="005F6ADF" w:rsidRPr="00892210" w:rsidRDefault="00766BA8" w:rsidP="00563A0D">
            <w:pPr>
              <w:spacing w:before="100" w:after="100"/>
              <w:jc w:val="center"/>
              <w:rPr>
                <w:sz w:val="20"/>
              </w:rPr>
            </w:pPr>
            <w:r>
              <w:rPr>
                <w:noProof/>
              </w:rPr>
              <w:drawing>
                <wp:inline distT="0" distB="0" distL="0" distR="0" wp14:anchorId="4E9CE25E" wp14:editId="73A51AFE">
                  <wp:extent cx="1009860" cy="1334119"/>
                  <wp:effectExtent l="0" t="0" r="0" b="0"/>
                  <wp:docPr id="46" name="Picture 46" descr="structure of Cannabigerolic Acid (CB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GA.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0981" cy="1335600"/>
                          </a:xfrm>
                          <a:prstGeom prst="rect">
                            <a:avLst/>
                          </a:prstGeom>
                        </pic:spPr>
                      </pic:pic>
                    </a:graphicData>
                  </a:graphic>
                </wp:inline>
              </w:drawing>
            </w:r>
          </w:p>
        </w:tc>
        <w:tc>
          <w:tcPr>
            <w:tcW w:w="1417" w:type="dxa"/>
            <w:vAlign w:val="center"/>
          </w:tcPr>
          <w:p w14:paraId="7FD0E821" w14:textId="77777777" w:rsidR="005F6ADF" w:rsidRPr="00892210" w:rsidRDefault="005F6ADF" w:rsidP="00563A0D">
            <w:pPr>
              <w:spacing w:before="100" w:after="100"/>
              <w:jc w:val="center"/>
              <w:rPr>
                <w:sz w:val="20"/>
              </w:rPr>
            </w:pPr>
            <w:r w:rsidRPr="00892210">
              <w:rPr>
                <w:sz w:val="20"/>
              </w:rPr>
              <w:t>0.93</w:t>
            </w:r>
          </w:p>
        </w:tc>
        <w:tc>
          <w:tcPr>
            <w:tcW w:w="1418" w:type="dxa"/>
            <w:vAlign w:val="center"/>
          </w:tcPr>
          <w:p w14:paraId="0C6634E0" w14:textId="77777777" w:rsidR="005F6ADF" w:rsidRPr="00892210" w:rsidRDefault="005F6ADF" w:rsidP="00563A0D">
            <w:pPr>
              <w:spacing w:before="100" w:after="100"/>
              <w:jc w:val="center"/>
              <w:rPr>
                <w:sz w:val="20"/>
              </w:rPr>
            </w:pPr>
            <w:r w:rsidRPr="00892210">
              <w:rPr>
                <w:sz w:val="20"/>
              </w:rPr>
              <w:t>0.534</w:t>
            </w:r>
          </w:p>
        </w:tc>
        <w:tc>
          <w:tcPr>
            <w:tcW w:w="1406" w:type="dxa"/>
            <w:vAlign w:val="center"/>
          </w:tcPr>
          <w:p w14:paraId="480724A8" w14:textId="77777777" w:rsidR="005F6ADF" w:rsidRPr="00892210" w:rsidRDefault="005F6ADF"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55160C1C" w14:textId="77777777" w:rsidR="005F6ADF" w:rsidRPr="00892210" w:rsidRDefault="005F6ADF" w:rsidP="00563A0D">
            <w:pPr>
              <w:spacing w:before="100" w:after="100"/>
              <w:jc w:val="center"/>
              <w:rPr>
                <w:sz w:val="20"/>
              </w:rPr>
            </w:pPr>
            <w:r w:rsidRPr="00892210">
              <w:rPr>
                <w:sz w:val="20"/>
              </w:rPr>
              <w:t>359.3</w:t>
            </w:r>
          </w:p>
        </w:tc>
      </w:tr>
      <w:tr w:rsidR="00892210" w:rsidRPr="00892210" w14:paraId="2943EB86" w14:textId="77777777" w:rsidTr="00563A0D">
        <w:trPr>
          <w:jc w:val="center"/>
        </w:trPr>
        <w:tc>
          <w:tcPr>
            <w:tcW w:w="2472" w:type="dxa"/>
            <w:vAlign w:val="center"/>
          </w:tcPr>
          <w:p w14:paraId="0137CC82" w14:textId="77777777" w:rsidR="005F6ADF" w:rsidRPr="00892210" w:rsidRDefault="005F6ADF" w:rsidP="00563A0D">
            <w:pPr>
              <w:spacing w:before="100" w:after="100"/>
              <w:jc w:val="center"/>
              <w:rPr>
                <w:sz w:val="20"/>
              </w:rPr>
            </w:pPr>
            <w:proofErr w:type="spellStart"/>
            <w:r w:rsidRPr="00892210">
              <w:rPr>
                <w:sz w:val="20"/>
              </w:rPr>
              <w:t>Cannabigerol</w:t>
            </w:r>
            <w:proofErr w:type="spellEnd"/>
            <w:r w:rsidR="00892210" w:rsidRPr="00892210">
              <w:rPr>
                <w:sz w:val="20"/>
              </w:rPr>
              <w:br/>
            </w:r>
            <w:r w:rsidRPr="00892210">
              <w:rPr>
                <w:sz w:val="20"/>
              </w:rPr>
              <w:t>(CBG)</w:t>
            </w:r>
          </w:p>
        </w:tc>
        <w:tc>
          <w:tcPr>
            <w:tcW w:w="1771" w:type="dxa"/>
            <w:vAlign w:val="center"/>
          </w:tcPr>
          <w:p w14:paraId="54AD4202" w14:textId="77777777" w:rsidR="005F6ADF" w:rsidRPr="00892210" w:rsidRDefault="00766BA8" w:rsidP="00563A0D">
            <w:pPr>
              <w:spacing w:before="100" w:after="100"/>
              <w:jc w:val="center"/>
              <w:rPr>
                <w:sz w:val="20"/>
              </w:rPr>
            </w:pPr>
            <w:r>
              <w:rPr>
                <w:noProof/>
              </w:rPr>
              <w:drawing>
                <wp:inline distT="0" distB="0" distL="0" distR="0" wp14:anchorId="2009833A" wp14:editId="27FC12C7">
                  <wp:extent cx="1029335" cy="1335625"/>
                  <wp:effectExtent l="0" t="0" r="0" b="0"/>
                  <wp:docPr id="45" name="Picture 45" descr="structure of Cannabigerol (C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G.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1570" cy="1338525"/>
                          </a:xfrm>
                          <a:prstGeom prst="rect">
                            <a:avLst/>
                          </a:prstGeom>
                        </pic:spPr>
                      </pic:pic>
                    </a:graphicData>
                  </a:graphic>
                </wp:inline>
              </w:drawing>
            </w:r>
          </w:p>
        </w:tc>
        <w:tc>
          <w:tcPr>
            <w:tcW w:w="1417" w:type="dxa"/>
            <w:vAlign w:val="center"/>
          </w:tcPr>
          <w:p w14:paraId="15CA3C11" w14:textId="77777777" w:rsidR="005F6ADF" w:rsidRPr="00892210" w:rsidRDefault="005F6ADF" w:rsidP="00563A0D">
            <w:pPr>
              <w:spacing w:before="100" w:after="100"/>
              <w:jc w:val="center"/>
              <w:rPr>
                <w:sz w:val="20"/>
              </w:rPr>
            </w:pPr>
            <w:r w:rsidRPr="00892210">
              <w:rPr>
                <w:sz w:val="20"/>
              </w:rPr>
              <w:t>0.97</w:t>
            </w:r>
          </w:p>
        </w:tc>
        <w:tc>
          <w:tcPr>
            <w:tcW w:w="1418" w:type="dxa"/>
            <w:vAlign w:val="center"/>
          </w:tcPr>
          <w:p w14:paraId="0A6F285A" w14:textId="77777777" w:rsidR="005F6ADF" w:rsidRPr="00892210" w:rsidRDefault="005F6ADF" w:rsidP="00563A0D">
            <w:pPr>
              <w:spacing w:before="100" w:after="100"/>
              <w:jc w:val="center"/>
              <w:rPr>
                <w:sz w:val="20"/>
              </w:rPr>
            </w:pPr>
            <w:r w:rsidRPr="00892210">
              <w:rPr>
                <w:sz w:val="20"/>
              </w:rPr>
              <w:t>1.069</w:t>
            </w:r>
          </w:p>
        </w:tc>
        <w:tc>
          <w:tcPr>
            <w:tcW w:w="1406" w:type="dxa"/>
            <w:vAlign w:val="center"/>
          </w:tcPr>
          <w:p w14:paraId="656BC5CE" w14:textId="77777777" w:rsidR="00AC4E68" w:rsidRPr="00892210" w:rsidRDefault="00AC4E68"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72906A1E" w14:textId="77777777" w:rsidR="005F6ADF" w:rsidRPr="00892210" w:rsidRDefault="00AC4E68" w:rsidP="00563A0D">
            <w:pPr>
              <w:spacing w:before="100" w:after="100"/>
              <w:jc w:val="center"/>
              <w:rPr>
                <w:sz w:val="20"/>
              </w:rPr>
            </w:pPr>
            <w:r w:rsidRPr="00892210">
              <w:rPr>
                <w:sz w:val="20"/>
              </w:rPr>
              <w:t>317.2</w:t>
            </w:r>
          </w:p>
        </w:tc>
      </w:tr>
      <w:tr w:rsidR="00892210" w:rsidRPr="00892210" w14:paraId="794D80FC" w14:textId="77777777" w:rsidTr="00563A0D">
        <w:trPr>
          <w:jc w:val="center"/>
        </w:trPr>
        <w:tc>
          <w:tcPr>
            <w:tcW w:w="2472" w:type="dxa"/>
            <w:vAlign w:val="center"/>
          </w:tcPr>
          <w:p w14:paraId="2DAF3970" w14:textId="77777777" w:rsidR="005F6ADF" w:rsidRPr="00892210" w:rsidRDefault="00AC4E68" w:rsidP="00563A0D">
            <w:pPr>
              <w:spacing w:before="100" w:after="100"/>
              <w:jc w:val="center"/>
              <w:rPr>
                <w:sz w:val="20"/>
              </w:rPr>
            </w:pPr>
            <w:r w:rsidRPr="00892210">
              <w:rPr>
                <w:sz w:val="20"/>
              </w:rPr>
              <w:t>Cannabidiol</w:t>
            </w:r>
            <w:r w:rsidR="00892210" w:rsidRPr="00892210">
              <w:rPr>
                <w:sz w:val="20"/>
              </w:rPr>
              <w:br/>
            </w:r>
            <w:r w:rsidRPr="00892210">
              <w:rPr>
                <w:sz w:val="20"/>
              </w:rPr>
              <w:t>(CBD)</w:t>
            </w:r>
          </w:p>
        </w:tc>
        <w:tc>
          <w:tcPr>
            <w:tcW w:w="1771" w:type="dxa"/>
            <w:vAlign w:val="center"/>
          </w:tcPr>
          <w:p w14:paraId="363B5BA6" w14:textId="77777777" w:rsidR="005F6ADF" w:rsidRPr="00892210" w:rsidRDefault="00766BA8" w:rsidP="00563A0D">
            <w:pPr>
              <w:spacing w:before="100" w:after="100"/>
              <w:jc w:val="center"/>
              <w:rPr>
                <w:sz w:val="20"/>
              </w:rPr>
            </w:pPr>
            <w:r>
              <w:rPr>
                <w:noProof/>
              </w:rPr>
              <w:drawing>
                <wp:inline distT="0" distB="0" distL="0" distR="0" wp14:anchorId="0C691372" wp14:editId="361BA3E7">
                  <wp:extent cx="1080000" cy="1080000"/>
                  <wp:effectExtent l="0" t="0" r="6350" b="6350"/>
                  <wp:docPr id="6" name="Picture 6" descr="structure of Cannabidiol (C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png"/>
                          <pic:cNvPicPr/>
                        </pic:nvPicPr>
                        <pic:blipFill>
                          <a:blip r:embed="rId13">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1417" w:type="dxa"/>
            <w:vAlign w:val="center"/>
          </w:tcPr>
          <w:p w14:paraId="1E37C09B" w14:textId="77777777" w:rsidR="005F6ADF" w:rsidRPr="00892210" w:rsidRDefault="00AC4E68" w:rsidP="00563A0D">
            <w:pPr>
              <w:spacing w:before="100" w:after="100"/>
              <w:jc w:val="center"/>
              <w:rPr>
                <w:sz w:val="20"/>
              </w:rPr>
            </w:pPr>
            <w:r w:rsidRPr="00892210">
              <w:rPr>
                <w:sz w:val="20"/>
              </w:rPr>
              <w:t>1.00</w:t>
            </w:r>
          </w:p>
        </w:tc>
        <w:tc>
          <w:tcPr>
            <w:tcW w:w="1418" w:type="dxa"/>
            <w:vAlign w:val="center"/>
          </w:tcPr>
          <w:p w14:paraId="5BE4B0DB" w14:textId="77777777" w:rsidR="005F6ADF" w:rsidRPr="00892210" w:rsidRDefault="00AC4E68" w:rsidP="00563A0D">
            <w:pPr>
              <w:spacing w:before="100" w:after="100"/>
              <w:jc w:val="center"/>
              <w:rPr>
                <w:sz w:val="20"/>
              </w:rPr>
            </w:pPr>
            <w:r w:rsidRPr="00892210">
              <w:rPr>
                <w:sz w:val="20"/>
              </w:rPr>
              <w:t>1.000</w:t>
            </w:r>
          </w:p>
        </w:tc>
        <w:tc>
          <w:tcPr>
            <w:tcW w:w="1406" w:type="dxa"/>
            <w:vAlign w:val="center"/>
          </w:tcPr>
          <w:p w14:paraId="6F61A463" w14:textId="77777777" w:rsidR="00AC4E68" w:rsidRPr="00892210" w:rsidRDefault="00AC4E68"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0FEC5A36" w14:textId="77777777" w:rsidR="005F6ADF" w:rsidRPr="00892210" w:rsidRDefault="00AC4E68" w:rsidP="00563A0D">
            <w:pPr>
              <w:spacing w:before="100" w:after="100"/>
              <w:jc w:val="center"/>
              <w:rPr>
                <w:sz w:val="20"/>
              </w:rPr>
            </w:pPr>
            <w:r w:rsidRPr="00892210">
              <w:rPr>
                <w:sz w:val="20"/>
              </w:rPr>
              <w:t>315.2</w:t>
            </w:r>
          </w:p>
        </w:tc>
      </w:tr>
      <w:tr w:rsidR="00892210" w:rsidRPr="00892210" w14:paraId="717FDE68" w14:textId="77777777" w:rsidTr="00563A0D">
        <w:trPr>
          <w:jc w:val="center"/>
        </w:trPr>
        <w:tc>
          <w:tcPr>
            <w:tcW w:w="2472" w:type="dxa"/>
            <w:vAlign w:val="center"/>
          </w:tcPr>
          <w:p w14:paraId="2D5A4CAB" w14:textId="77777777" w:rsidR="005F6ADF" w:rsidRPr="00892210" w:rsidRDefault="00901A84" w:rsidP="00563A0D">
            <w:pPr>
              <w:spacing w:before="100" w:after="100"/>
              <w:jc w:val="center"/>
              <w:rPr>
                <w:sz w:val="20"/>
              </w:rPr>
            </w:pPr>
            <w:r w:rsidRPr="00892210">
              <w:rPr>
                <w:sz w:val="20"/>
              </w:rPr>
              <w:lastRenderedPageBreak/>
              <w:t>Tetrahydrocannabivarin</w:t>
            </w:r>
            <w:r w:rsidR="00892210" w:rsidRPr="00892210">
              <w:rPr>
                <w:sz w:val="20"/>
              </w:rPr>
              <w:br/>
            </w:r>
            <w:r w:rsidRPr="00892210">
              <w:rPr>
                <w:sz w:val="20"/>
              </w:rPr>
              <w:t>(THCV)</w:t>
            </w:r>
          </w:p>
        </w:tc>
        <w:tc>
          <w:tcPr>
            <w:tcW w:w="1771" w:type="dxa"/>
            <w:vAlign w:val="center"/>
          </w:tcPr>
          <w:p w14:paraId="7C3BFF2E" w14:textId="77777777" w:rsidR="005F6ADF" w:rsidRPr="00892210" w:rsidRDefault="00766BA8" w:rsidP="00563A0D">
            <w:pPr>
              <w:spacing w:before="100" w:after="100"/>
              <w:jc w:val="center"/>
              <w:rPr>
                <w:sz w:val="20"/>
              </w:rPr>
            </w:pPr>
            <w:r>
              <w:rPr>
                <w:noProof/>
              </w:rPr>
              <w:drawing>
                <wp:inline distT="0" distB="0" distL="0" distR="0" wp14:anchorId="5D6BA431" wp14:editId="0586CC63">
                  <wp:extent cx="1170633" cy="698360"/>
                  <wp:effectExtent l="0" t="0" r="0" b="6985"/>
                  <wp:docPr id="44" name="Picture 44" descr="structure of Tetrahydrocannabivarin (TH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CV.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1888" cy="699109"/>
                          </a:xfrm>
                          <a:prstGeom prst="rect">
                            <a:avLst/>
                          </a:prstGeom>
                        </pic:spPr>
                      </pic:pic>
                    </a:graphicData>
                  </a:graphic>
                </wp:inline>
              </w:drawing>
            </w:r>
          </w:p>
        </w:tc>
        <w:tc>
          <w:tcPr>
            <w:tcW w:w="1417" w:type="dxa"/>
            <w:vAlign w:val="center"/>
          </w:tcPr>
          <w:p w14:paraId="24B9775B" w14:textId="77777777" w:rsidR="005F6ADF" w:rsidRPr="00892210" w:rsidRDefault="00901A84" w:rsidP="00563A0D">
            <w:pPr>
              <w:spacing w:before="100" w:after="100"/>
              <w:jc w:val="center"/>
              <w:rPr>
                <w:sz w:val="20"/>
              </w:rPr>
            </w:pPr>
            <w:r w:rsidRPr="00892210">
              <w:rPr>
                <w:sz w:val="20"/>
              </w:rPr>
              <w:t>1.10</w:t>
            </w:r>
          </w:p>
        </w:tc>
        <w:tc>
          <w:tcPr>
            <w:tcW w:w="1418" w:type="dxa"/>
            <w:vAlign w:val="center"/>
          </w:tcPr>
          <w:p w14:paraId="7A24AA68" w14:textId="77777777" w:rsidR="005F6ADF" w:rsidRPr="00892210" w:rsidRDefault="00901A84" w:rsidP="00563A0D">
            <w:pPr>
              <w:spacing w:before="100" w:after="100"/>
              <w:jc w:val="center"/>
              <w:rPr>
                <w:sz w:val="20"/>
              </w:rPr>
            </w:pPr>
            <w:r w:rsidRPr="00892210">
              <w:rPr>
                <w:sz w:val="20"/>
              </w:rPr>
              <w:t>1.064</w:t>
            </w:r>
          </w:p>
        </w:tc>
        <w:tc>
          <w:tcPr>
            <w:tcW w:w="1406" w:type="dxa"/>
            <w:vAlign w:val="center"/>
          </w:tcPr>
          <w:p w14:paraId="6BAA5B81" w14:textId="77777777" w:rsidR="00901A84" w:rsidRPr="00892210" w:rsidRDefault="00901A84"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01854A4B" w14:textId="77777777" w:rsidR="005F6ADF" w:rsidRPr="00892210" w:rsidRDefault="00901A84" w:rsidP="00563A0D">
            <w:pPr>
              <w:spacing w:before="100" w:after="100"/>
              <w:jc w:val="center"/>
              <w:rPr>
                <w:sz w:val="20"/>
              </w:rPr>
            </w:pPr>
            <w:r w:rsidRPr="00892210">
              <w:rPr>
                <w:sz w:val="20"/>
              </w:rPr>
              <w:t>287.2</w:t>
            </w:r>
          </w:p>
        </w:tc>
      </w:tr>
      <w:tr w:rsidR="00901A84" w:rsidRPr="00892210" w14:paraId="64052D2D" w14:textId="77777777" w:rsidTr="00563A0D">
        <w:trPr>
          <w:jc w:val="center"/>
        </w:trPr>
        <w:tc>
          <w:tcPr>
            <w:tcW w:w="2472" w:type="dxa"/>
            <w:vAlign w:val="center"/>
          </w:tcPr>
          <w:p w14:paraId="518440B4" w14:textId="77777777" w:rsidR="00901A84" w:rsidRPr="00892210" w:rsidRDefault="00901A84" w:rsidP="00563A0D">
            <w:pPr>
              <w:spacing w:before="100" w:after="100"/>
              <w:jc w:val="center"/>
              <w:rPr>
                <w:sz w:val="20"/>
              </w:rPr>
            </w:pPr>
            <w:r w:rsidRPr="00892210">
              <w:rPr>
                <w:sz w:val="20"/>
              </w:rPr>
              <w:t>Cannabinol</w:t>
            </w:r>
            <w:r w:rsidR="00892210" w:rsidRPr="00892210">
              <w:rPr>
                <w:sz w:val="20"/>
              </w:rPr>
              <w:br/>
            </w:r>
            <w:r w:rsidRPr="00892210">
              <w:rPr>
                <w:sz w:val="20"/>
              </w:rPr>
              <w:t>(CBN)</w:t>
            </w:r>
          </w:p>
        </w:tc>
        <w:tc>
          <w:tcPr>
            <w:tcW w:w="1771" w:type="dxa"/>
            <w:vAlign w:val="center"/>
          </w:tcPr>
          <w:p w14:paraId="59B3279C" w14:textId="77777777" w:rsidR="00901A84" w:rsidRPr="00892210" w:rsidRDefault="00766BA8" w:rsidP="00563A0D">
            <w:pPr>
              <w:spacing w:before="100" w:after="100"/>
              <w:jc w:val="center"/>
              <w:rPr>
                <w:sz w:val="20"/>
              </w:rPr>
            </w:pPr>
            <w:r>
              <w:rPr>
                <w:noProof/>
              </w:rPr>
              <w:drawing>
                <wp:inline distT="0" distB="0" distL="0" distR="0" wp14:anchorId="1F5BAA9D" wp14:editId="1AAD08CD">
                  <wp:extent cx="1080000" cy="1080000"/>
                  <wp:effectExtent l="0" t="0" r="6350" b="6350"/>
                  <wp:docPr id="8" name="Picture 8" descr="structure of Cannabinol (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N.png"/>
                          <pic:cNvPicPr/>
                        </pic:nvPicPr>
                        <pic:blipFill>
                          <a:blip r:embed="rId15">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1417" w:type="dxa"/>
            <w:vAlign w:val="center"/>
          </w:tcPr>
          <w:p w14:paraId="49036CEE" w14:textId="77777777" w:rsidR="00901A84" w:rsidRPr="00892210" w:rsidRDefault="00901A84" w:rsidP="00563A0D">
            <w:pPr>
              <w:spacing w:before="100" w:after="100"/>
              <w:jc w:val="center"/>
              <w:rPr>
                <w:sz w:val="20"/>
              </w:rPr>
            </w:pPr>
            <w:r w:rsidRPr="00892210">
              <w:rPr>
                <w:sz w:val="20"/>
              </w:rPr>
              <w:t>1.63</w:t>
            </w:r>
          </w:p>
        </w:tc>
        <w:tc>
          <w:tcPr>
            <w:tcW w:w="1418" w:type="dxa"/>
            <w:vAlign w:val="center"/>
          </w:tcPr>
          <w:p w14:paraId="2376B776" w14:textId="77777777" w:rsidR="00901A84" w:rsidRPr="00892210" w:rsidRDefault="00901A84" w:rsidP="00563A0D">
            <w:pPr>
              <w:spacing w:before="100" w:after="100"/>
              <w:jc w:val="center"/>
              <w:rPr>
                <w:sz w:val="20"/>
              </w:rPr>
            </w:pPr>
            <w:r w:rsidRPr="00892210">
              <w:rPr>
                <w:sz w:val="20"/>
              </w:rPr>
              <w:t>0.421</w:t>
            </w:r>
          </w:p>
        </w:tc>
        <w:tc>
          <w:tcPr>
            <w:tcW w:w="1406" w:type="dxa"/>
            <w:vAlign w:val="center"/>
          </w:tcPr>
          <w:p w14:paraId="1C68EAE8" w14:textId="77777777" w:rsidR="00901A84" w:rsidRPr="00892210" w:rsidRDefault="00901A84"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0008933D" w14:textId="77777777" w:rsidR="00901A84" w:rsidRPr="00892210" w:rsidRDefault="00901A84" w:rsidP="00563A0D">
            <w:pPr>
              <w:spacing w:before="100" w:after="100"/>
              <w:jc w:val="center"/>
              <w:rPr>
                <w:sz w:val="20"/>
              </w:rPr>
            </w:pPr>
            <w:r w:rsidRPr="00892210">
              <w:rPr>
                <w:sz w:val="20"/>
              </w:rPr>
              <w:t>311.2</w:t>
            </w:r>
          </w:p>
        </w:tc>
      </w:tr>
      <w:tr w:rsidR="00901A84" w:rsidRPr="00892210" w14:paraId="40A1CBAB" w14:textId="77777777" w:rsidTr="00563A0D">
        <w:trPr>
          <w:jc w:val="center"/>
        </w:trPr>
        <w:tc>
          <w:tcPr>
            <w:tcW w:w="2472" w:type="dxa"/>
            <w:vAlign w:val="center"/>
          </w:tcPr>
          <w:p w14:paraId="35A30306" w14:textId="77777777" w:rsidR="00901A84" w:rsidRPr="00892210" w:rsidRDefault="00901A84" w:rsidP="00563A0D">
            <w:pPr>
              <w:spacing w:before="100" w:after="100"/>
              <w:jc w:val="center"/>
              <w:rPr>
                <w:sz w:val="20"/>
              </w:rPr>
            </w:pPr>
            <w:r w:rsidRPr="00892210">
              <w:rPr>
                <w:rFonts w:hint="eastAsia"/>
                <w:sz w:val="20"/>
              </w:rPr>
              <w:t>Δ</w:t>
            </w:r>
            <w:r w:rsidRPr="00892210">
              <w:rPr>
                <w:sz w:val="20"/>
                <w:vertAlign w:val="superscript"/>
              </w:rPr>
              <w:t>9</w:t>
            </w:r>
            <w:r w:rsidRPr="00892210">
              <w:rPr>
                <w:sz w:val="20"/>
              </w:rPr>
              <w:t>-Tetrahydrocannabinol</w:t>
            </w:r>
            <w:r w:rsidR="00892210" w:rsidRPr="00892210">
              <w:rPr>
                <w:sz w:val="20"/>
              </w:rPr>
              <w:br/>
            </w:r>
            <w:r w:rsidRPr="00892210">
              <w:rPr>
                <w:sz w:val="20"/>
              </w:rPr>
              <w:t>(THC)</w:t>
            </w:r>
          </w:p>
        </w:tc>
        <w:tc>
          <w:tcPr>
            <w:tcW w:w="1771" w:type="dxa"/>
            <w:vAlign w:val="center"/>
          </w:tcPr>
          <w:p w14:paraId="49B7BEF7" w14:textId="77777777" w:rsidR="00901A84" w:rsidRPr="00766BA8" w:rsidRDefault="00766BA8" w:rsidP="00563A0D">
            <w:pPr>
              <w:spacing w:before="100" w:after="100"/>
              <w:jc w:val="center"/>
              <w:rPr>
                <w:sz w:val="20"/>
                <w:vertAlign w:val="superscript"/>
              </w:rPr>
            </w:pPr>
            <w:r w:rsidRPr="00766BA8">
              <w:rPr>
                <w:noProof/>
                <w:vertAlign w:val="superscript"/>
              </w:rPr>
              <w:drawing>
                <wp:inline distT="0" distB="0" distL="0" distR="0" wp14:anchorId="7B376A0D" wp14:editId="17EC5CCD">
                  <wp:extent cx="1080000" cy="1080000"/>
                  <wp:effectExtent l="0" t="0" r="6350" b="6350"/>
                  <wp:docPr id="13" name="Picture 13" descr="structure of Δ9-Tetrahydrocannabinol (T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ta-9-THC.png"/>
                          <pic:cNvPicPr/>
                        </pic:nvPicPr>
                        <pic:blipFill>
                          <a:blip r:embed="rId16">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1417" w:type="dxa"/>
            <w:vAlign w:val="center"/>
          </w:tcPr>
          <w:p w14:paraId="2925F601" w14:textId="77777777" w:rsidR="00901A84" w:rsidRPr="00892210" w:rsidRDefault="00901A84" w:rsidP="00563A0D">
            <w:pPr>
              <w:spacing w:before="100" w:after="100"/>
              <w:jc w:val="center"/>
              <w:rPr>
                <w:sz w:val="20"/>
              </w:rPr>
            </w:pPr>
            <w:r w:rsidRPr="00892210">
              <w:rPr>
                <w:sz w:val="20"/>
              </w:rPr>
              <w:t>2.02</w:t>
            </w:r>
          </w:p>
        </w:tc>
        <w:tc>
          <w:tcPr>
            <w:tcW w:w="1418" w:type="dxa"/>
            <w:vAlign w:val="center"/>
          </w:tcPr>
          <w:p w14:paraId="305B49E6" w14:textId="77777777" w:rsidR="00901A84" w:rsidRPr="00892210" w:rsidRDefault="00901A84" w:rsidP="00563A0D">
            <w:pPr>
              <w:spacing w:before="100" w:after="100"/>
              <w:jc w:val="center"/>
              <w:rPr>
                <w:sz w:val="20"/>
              </w:rPr>
            </w:pPr>
            <w:r w:rsidRPr="00892210">
              <w:rPr>
                <w:sz w:val="20"/>
              </w:rPr>
              <w:t>1.124</w:t>
            </w:r>
          </w:p>
        </w:tc>
        <w:tc>
          <w:tcPr>
            <w:tcW w:w="1406" w:type="dxa"/>
            <w:vAlign w:val="center"/>
          </w:tcPr>
          <w:p w14:paraId="392EC59C" w14:textId="77777777" w:rsidR="00901A84" w:rsidRPr="00892210" w:rsidRDefault="00901A84"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525FCF55" w14:textId="77777777" w:rsidR="00901A84" w:rsidRPr="00892210" w:rsidRDefault="00901A84" w:rsidP="00563A0D">
            <w:pPr>
              <w:spacing w:before="100" w:after="100"/>
              <w:jc w:val="center"/>
              <w:rPr>
                <w:sz w:val="20"/>
              </w:rPr>
            </w:pPr>
            <w:r w:rsidRPr="00892210">
              <w:rPr>
                <w:sz w:val="20"/>
              </w:rPr>
              <w:t>315.2</w:t>
            </w:r>
          </w:p>
        </w:tc>
      </w:tr>
      <w:tr w:rsidR="00901A84" w:rsidRPr="00892210" w14:paraId="080D1181" w14:textId="77777777" w:rsidTr="00563A0D">
        <w:trPr>
          <w:jc w:val="center"/>
        </w:trPr>
        <w:tc>
          <w:tcPr>
            <w:tcW w:w="2472" w:type="dxa"/>
            <w:vAlign w:val="center"/>
          </w:tcPr>
          <w:p w14:paraId="1A0F2628" w14:textId="77777777" w:rsidR="00901A84" w:rsidRPr="00892210" w:rsidRDefault="00901A84" w:rsidP="00563A0D">
            <w:pPr>
              <w:spacing w:before="100" w:after="100"/>
              <w:jc w:val="center"/>
              <w:rPr>
                <w:sz w:val="20"/>
              </w:rPr>
            </w:pPr>
            <w:r w:rsidRPr="00892210">
              <w:rPr>
                <w:rFonts w:hint="eastAsia"/>
                <w:sz w:val="20"/>
              </w:rPr>
              <w:t>Δ</w:t>
            </w:r>
            <w:r w:rsidRPr="00892210">
              <w:rPr>
                <w:sz w:val="20"/>
                <w:vertAlign w:val="superscript"/>
              </w:rPr>
              <w:t>8</w:t>
            </w:r>
            <w:r w:rsidRPr="00892210">
              <w:rPr>
                <w:sz w:val="20"/>
              </w:rPr>
              <w:t>-Tetrahydrocannabinol</w:t>
            </w:r>
            <w:r w:rsidR="00892210" w:rsidRPr="00892210">
              <w:rPr>
                <w:sz w:val="20"/>
              </w:rPr>
              <w:br/>
            </w:r>
            <w:r w:rsidRPr="00892210">
              <w:rPr>
                <w:sz w:val="20"/>
              </w:rPr>
              <w:t>(Δ</w:t>
            </w:r>
            <w:r w:rsidRPr="00892210">
              <w:rPr>
                <w:sz w:val="20"/>
                <w:vertAlign w:val="superscript"/>
              </w:rPr>
              <w:t>8</w:t>
            </w:r>
            <w:r w:rsidRPr="00892210">
              <w:rPr>
                <w:sz w:val="20"/>
              </w:rPr>
              <w:t>-THC)</w:t>
            </w:r>
          </w:p>
        </w:tc>
        <w:tc>
          <w:tcPr>
            <w:tcW w:w="1771" w:type="dxa"/>
            <w:vAlign w:val="center"/>
          </w:tcPr>
          <w:p w14:paraId="52378780" w14:textId="77777777" w:rsidR="00901A84" w:rsidRPr="00892210" w:rsidRDefault="00766BA8" w:rsidP="00563A0D">
            <w:pPr>
              <w:spacing w:before="100" w:after="100"/>
              <w:jc w:val="center"/>
              <w:rPr>
                <w:sz w:val="20"/>
              </w:rPr>
            </w:pPr>
            <w:r>
              <w:rPr>
                <w:noProof/>
              </w:rPr>
              <w:drawing>
                <wp:inline distT="0" distB="0" distL="0" distR="0" wp14:anchorId="61B0E37C" wp14:editId="5A140308">
                  <wp:extent cx="1080000" cy="1080000"/>
                  <wp:effectExtent l="0" t="0" r="6350" b="6350"/>
                  <wp:docPr id="4" name="Picture 4" descr="Δ8-Tetrahydrocannabinol (Δ8-T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ta-8-THC.png"/>
                          <pic:cNvPicPr/>
                        </pic:nvPicPr>
                        <pic:blipFill>
                          <a:blip r:embed="rId1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1417" w:type="dxa"/>
            <w:vAlign w:val="center"/>
          </w:tcPr>
          <w:p w14:paraId="37561177" w14:textId="77777777" w:rsidR="00901A84" w:rsidRPr="00892210" w:rsidRDefault="00901A84" w:rsidP="00563A0D">
            <w:pPr>
              <w:spacing w:before="100" w:after="100"/>
              <w:jc w:val="center"/>
              <w:rPr>
                <w:sz w:val="20"/>
              </w:rPr>
            </w:pPr>
            <w:r w:rsidRPr="00892210">
              <w:rPr>
                <w:sz w:val="20"/>
              </w:rPr>
              <w:t>2.07</w:t>
            </w:r>
          </w:p>
        </w:tc>
        <w:tc>
          <w:tcPr>
            <w:tcW w:w="1418" w:type="dxa"/>
            <w:vAlign w:val="center"/>
          </w:tcPr>
          <w:p w14:paraId="7BE8E582" w14:textId="77777777" w:rsidR="00901A84" w:rsidRPr="00892210" w:rsidRDefault="00901A84" w:rsidP="00563A0D">
            <w:pPr>
              <w:spacing w:before="100" w:after="100"/>
              <w:jc w:val="center"/>
              <w:rPr>
                <w:sz w:val="20"/>
              </w:rPr>
            </w:pPr>
          </w:p>
        </w:tc>
        <w:tc>
          <w:tcPr>
            <w:tcW w:w="1406" w:type="dxa"/>
            <w:vAlign w:val="center"/>
          </w:tcPr>
          <w:p w14:paraId="30B99FEB" w14:textId="77777777" w:rsidR="00901A84" w:rsidRPr="00892210" w:rsidRDefault="00901A84"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5C38BF3B" w14:textId="77777777" w:rsidR="00901A84" w:rsidRPr="00892210" w:rsidRDefault="00901A84" w:rsidP="00563A0D">
            <w:pPr>
              <w:spacing w:before="100" w:after="100"/>
              <w:jc w:val="center"/>
              <w:rPr>
                <w:sz w:val="20"/>
              </w:rPr>
            </w:pPr>
            <w:r w:rsidRPr="00892210">
              <w:rPr>
                <w:sz w:val="20"/>
              </w:rPr>
              <w:t>315.2</w:t>
            </w:r>
          </w:p>
        </w:tc>
      </w:tr>
      <w:tr w:rsidR="00901A84" w:rsidRPr="00892210" w14:paraId="0C007300" w14:textId="77777777" w:rsidTr="00563A0D">
        <w:trPr>
          <w:jc w:val="center"/>
        </w:trPr>
        <w:tc>
          <w:tcPr>
            <w:tcW w:w="2472" w:type="dxa"/>
            <w:vAlign w:val="center"/>
          </w:tcPr>
          <w:p w14:paraId="786537E2" w14:textId="77777777" w:rsidR="00901A84" w:rsidRPr="00892210" w:rsidRDefault="00901A84" w:rsidP="00563A0D">
            <w:pPr>
              <w:spacing w:before="100" w:after="100"/>
              <w:jc w:val="center"/>
              <w:rPr>
                <w:sz w:val="20"/>
              </w:rPr>
            </w:pPr>
            <w:r w:rsidRPr="00892210">
              <w:rPr>
                <w:sz w:val="20"/>
              </w:rPr>
              <w:t xml:space="preserve">(+/-) </w:t>
            </w:r>
            <w:proofErr w:type="spellStart"/>
            <w:r w:rsidRPr="00892210">
              <w:rPr>
                <w:sz w:val="20"/>
              </w:rPr>
              <w:t>Cannabicyclol</w:t>
            </w:r>
            <w:proofErr w:type="spellEnd"/>
            <w:r w:rsidR="00892210" w:rsidRPr="00892210">
              <w:rPr>
                <w:sz w:val="20"/>
              </w:rPr>
              <w:br/>
            </w:r>
            <w:r w:rsidRPr="00892210">
              <w:rPr>
                <w:sz w:val="20"/>
              </w:rPr>
              <w:t>(CBL)</w:t>
            </w:r>
          </w:p>
        </w:tc>
        <w:tc>
          <w:tcPr>
            <w:tcW w:w="1771" w:type="dxa"/>
            <w:vAlign w:val="center"/>
          </w:tcPr>
          <w:p w14:paraId="5E1DD7E1" w14:textId="77777777" w:rsidR="00901A84" w:rsidRPr="00892210" w:rsidRDefault="000261F9" w:rsidP="00563A0D">
            <w:pPr>
              <w:spacing w:before="100" w:after="100"/>
              <w:jc w:val="center"/>
              <w:rPr>
                <w:sz w:val="20"/>
              </w:rPr>
            </w:pPr>
            <w:r>
              <w:rPr>
                <w:noProof/>
                <w:sz w:val="20"/>
              </w:rPr>
              <w:drawing>
                <wp:inline distT="0" distB="0" distL="0" distR="0" wp14:anchorId="4CC534D4" wp14:editId="44888A93">
                  <wp:extent cx="1143000" cy="514350"/>
                  <wp:effectExtent l="0" t="0" r="0" b="0"/>
                  <wp:docPr id="1" name="Picture 1" descr="structure of (+/-) Cannabicyclol (C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8">
                            <a:extLst>
                              <a:ext uri="{28A0092B-C50C-407E-A947-70E740481C1C}">
                                <a14:useLocalDpi xmlns:a14="http://schemas.microsoft.com/office/drawing/2010/main" val="0"/>
                              </a:ext>
                            </a:extLst>
                          </a:blip>
                          <a:stretch>
                            <a:fillRect/>
                          </a:stretch>
                        </pic:blipFill>
                        <pic:spPr>
                          <a:xfrm>
                            <a:off x="0" y="0"/>
                            <a:ext cx="1143000" cy="514350"/>
                          </a:xfrm>
                          <a:prstGeom prst="rect">
                            <a:avLst/>
                          </a:prstGeom>
                        </pic:spPr>
                      </pic:pic>
                    </a:graphicData>
                  </a:graphic>
                </wp:inline>
              </w:drawing>
            </w:r>
          </w:p>
        </w:tc>
        <w:tc>
          <w:tcPr>
            <w:tcW w:w="1417" w:type="dxa"/>
            <w:vAlign w:val="center"/>
          </w:tcPr>
          <w:p w14:paraId="39EFB977" w14:textId="77777777" w:rsidR="00901A84" w:rsidRPr="00892210" w:rsidRDefault="00901A84" w:rsidP="00563A0D">
            <w:pPr>
              <w:spacing w:before="100" w:after="100"/>
              <w:jc w:val="center"/>
              <w:rPr>
                <w:sz w:val="20"/>
              </w:rPr>
            </w:pPr>
            <w:r w:rsidRPr="00892210">
              <w:rPr>
                <w:sz w:val="20"/>
              </w:rPr>
              <w:t>2.23</w:t>
            </w:r>
          </w:p>
        </w:tc>
        <w:tc>
          <w:tcPr>
            <w:tcW w:w="1418" w:type="dxa"/>
            <w:vAlign w:val="center"/>
          </w:tcPr>
          <w:p w14:paraId="3CAAE532" w14:textId="77777777" w:rsidR="00901A84" w:rsidRPr="00892210" w:rsidRDefault="00901A84" w:rsidP="00563A0D">
            <w:pPr>
              <w:spacing w:before="100" w:after="100"/>
              <w:jc w:val="center"/>
              <w:rPr>
                <w:sz w:val="20"/>
              </w:rPr>
            </w:pPr>
            <w:r w:rsidRPr="00892210">
              <w:rPr>
                <w:sz w:val="20"/>
              </w:rPr>
              <w:t>1.039</w:t>
            </w:r>
          </w:p>
        </w:tc>
        <w:tc>
          <w:tcPr>
            <w:tcW w:w="1406" w:type="dxa"/>
            <w:vAlign w:val="center"/>
          </w:tcPr>
          <w:p w14:paraId="03277646" w14:textId="77777777" w:rsidR="00901A84" w:rsidRPr="00892210" w:rsidRDefault="00901A84"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1BF11D5E" w14:textId="77777777" w:rsidR="00901A84" w:rsidRPr="00892210" w:rsidRDefault="00901A84" w:rsidP="00563A0D">
            <w:pPr>
              <w:spacing w:before="100" w:after="100"/>
              <w:jc w:val="center"/>
              <w:rPr>
                <w:sz w:val="20"/>
              </w:rPr>
            </w:pPr>
            <w:r w:rsidRPr="00892210">
              <w:rPr>
                <w:sz w:val="20"/>
              </w:rPr>
              <w:t>315.2</w:t>
            </w:r>
          </w:p>
        </w:tc>
      </w:tr>
      <w:tr w:rsidR="00901A84" w:rsidRPr="00892210" w14:paraId="23CC92BB" w14:textId="77777777" w:rsidTr="00563A0D">
        <w:trPr>
          <w:jc w:val="center"/>
        </w:trPr>
        <w:tc>
          <w:tcPr>
            <w:tcW w:w="2472" w:type="dxa"/>
            <w:vAlign w:val="center"/>
          </w:tcPr>
          <w:p w14:paraId="084874EF" w14:textId="77777777" w:rsidR="00901A84" w:rsidRPr="00892210" w:rsidRDefault="00901A84" w:rsidP="00563A0D">
            <w:pPr>
              <w:spacing w:before="100" w:after="100"/>
              <w:jc w:val="center"/>
              <w:rPr>
                <w:sz w:val="20"/>
              </w:rPr>
            </w:pPr>
            <w:proofErr w:type="spellStart"/>
            <w:r w:rsidRPr="00892210">
              <w:rPr>
                <w:sz w:val="20"/>
              </w:rPr>
              <w:t>Cannabichromeme</w:t>
            </w:r>
            <w:proofErr w:type="spellEnd"/>
            <w:r w:rsidR="00892210" w:rsidRPr="00892210">
              <w:rPr>
                <w:sz w:val="20"/>
              </w:rPr>
              <w:br/>
            </w:r>
            <w:r w:rsidRPr="00892210">
              <w:rPr>
                <w:sz w:val="20"/>
              </w:rPr>
              <w:t>(CBC)</w:t>
            </w:r>
          </w:p>
        </w:tc>
        <w:tc>
          <w:tcPr>
            <w:tcW w:w="1771" w:type="dxa"/>
            <w:vAlign w:val="center"/>
          </w:tcPr>
          <w:p w14:paraId="5EBAB590" w14:textId="77777777" w:rsidR="00901A84" w:rsidRPr="00892210" w:rsidRDefault="000261F9" w:rsidP="00563A0D">
            <w:pPr>
              <w:spacing w:before="100" w:after="100"/>
              <w:jc w:val="center"/>
              <w:rPr>
                <w:sz w:val="20"/>
              </w:rPr>
            </w:pPr>
            <w:r>
              <w:rPr>
                <w:noProof/>
              </w:rPr>
              <w:drawing>
                <wp:inline distT="0" distB="0" distL="0" distR="0" wp14:anchorId="4538EFE9" wp14:editId="34589490">
                  <wp:extent cx="1477108" cy="622997"/>
                  <wp:effectExtent l="0" t="0" r="8890" b="5715"/>
                  <wp:docPr id="39" name="Picture 39" descr="structure of Cannabichromeme (C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g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78693" cy="623665"/>
                          </a:xfrm>
                          <a:prstGeom prst="rect">
                            <a:avLst/>
                          </a:prstGeom>
                        </pic:spPr>
                      </pic:pic>
                    </a:graphicData>
                  </a:graphic>
                </wp:inline>
              </w:drawing>
            </w:r>
          </w:p>
        </w:tc>
        <w:tc>
          <w:tcPr>
            <w:tcW w:w="1417" w:type="dxa"/>
            <w:vAlign w:val="center"/>
          </w:tcPr>
          <w:p w14:paraId="3BD42CC1" w14:textId="77777777" w:rsidR="00901A84" w:rsidRPr="00892210" w:rsidRDefault="00901A84" w:rsidP="00563A0D">
            <w:pPr>
              <w:spacing w:before="100" w:after="100"/>
              <w:jc w:val="center"/>
              <w:rPr>
                <w:sz w:val="20"/>
              </w:rPr>
            </w:pPr>
            <w:r w:rsidRPr="00892210">
              <w:rPr>
                <w:sz w:val="20"/>
              </w:rPr>
              <w:t>2.35</w:t>
            </w:r>
          </w:p>
        </w:tc>
        <w:tc>
          <w:tcPr>
            <w:tcW w:w="1418" w:type="dxa"/>
            <w:vAlign w:val="center"/>
          </w:tcPr>
          <w:p w14:paraId="55C5C0FA" w14:textId="77777777" w:rsidR="00901A84" w:rsidRPr="00892210" w:rsidRDefault="00901A84" w:rsidP="00563A0D">
            <w:pPr>
              <w:spacing w:before="100" w:after="100"/>
              <w:jc w:val="center"/>
              <w:rPr>
                <w:sz w:val="20"/>
              </w:rPr>
            </w:pPr>
            <w:r w:rsidRPr="00892210">
              <w:rPr>
                <w:sz w:val="20"/>
              </w:rPr>
              <w:t>0.453</w:t>
            </w:r>
          </w:p>
        </w:tc>
        <w:tc>
          <w:tcPr>
            <w:tcW w:w="1406" w:type="dxa"/>
            <w:vAlign w:val="center"/>
          </w:tcPr>
          <w:p w14:paraId="1E8920FF" w14:textId="77777777" w:rsidR="00901A84" w:rsidRPr="00892210" w:rsidRDefault="00901A84"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0DC398E0" w14:textId="77777777" w:rsidR="00901A84" w:rsidRPr="00892210" w:rsidRDefault="00901A84" w:rsidP="00563A0D">
            <w:pPr>
              <w:spacing w:before="100" w:after="100"/>
              <w:jc w:val="center"/>
              <w:rPr>
                <w:sz w:val="20"/>
              </w:rPr>
            </w:pPr>
            <w:r w:rsidRPr="00892210">
              <w:rPr>
                <w:sz w:val="20"/>
              </w:rPr>
              <w:t>315.2</w:t>
            </w:r>
          </w:p>
        </w:tc>
      </w:tr>
      <w:tr w:rsidR="00901A84" w:rsidRPr="00892210" w14:paraId="5FBFC634" w14:textId="77777777" w:rsidTr="00563A0D">
        <w:trPr>
          <w:jc w:val="center"/>
        </w:trPr>
        <w:tc>
          <w:tcPr>
            <w:tcW w:w="2472" w:type="dxa"/>
            <w:vAlign w:val="center"/>
          </w:tcPr>
          <w:p w14:paraId="7A25E31A" w14:textId="77777777" w:rsidR="00901A84" w:rsidRPr="00892210" w:rsidRDefault="00901A84" w:rsidP="00563A0D">
            <w:pPr>
              <w:spacing w:before="100" w:after="100"/>
              <w:jc w:val="center"/>
              <w:rPr>
                <w:sz w:val="20"/>
              </w:rPr>
            </w:pPr>
            <w:proofErr w:type="spellStart"/>
            <w:r w:rsidRPr="00892210">
              <w:rPr>
                <w:sz w:val="20"/>
              </w:rPr>
              <w:t>Tetrahydrocannabinolic</w:t>
            </w:r>
            <w:proofErr w:type="spellEnd"/>
            <w:r w:rsidRPr="00892210">
              <w:rPr>
                <w:sz w:val="20"/>
              </w:rPr>
              <w:t xml:space="preserve"> Acid</w:t>
            </w:r>
            <w:r w:rsidR="00892210" w:rsidRPr="00892210">
              <w:rPr>
                <w:sz w:val="20"/>
              </w:rPr>
              <w:br/>
            </w:r>
            <w:r w:rsidRPr="00892210">
              <w:rPr>
                <w:sz w:val="20"/>
              </w:rPr>
              <w:t>(THCA)</w:t>
            </w:r>
          </w:p>
        </w:tc>
        <w:tc>
          <w:tcPr>
            <w:tcW w:w="1771" w:type="dxa"/>
            <w:vAlign w:val="center"/>
          </w:tcPr>
          <w:p w14:paraId="1A864E1D" w14:textId="77777777" w:rsidR="00901A84" w:rsidRPr="00892210" w:rsidRDefault="000261F9" w:rsidP="00563A0D">
            <w:pPr>
              <w:spacing w:before="100" w:after="100"/>
              <w:jc w:val="center"/>
              <w:rPr>
                <w:sz w:val="20"/>
              </w:rPr>
            </w:pPr>
            <w:r>
              <w:rPr>
                <w:noProof/>
              </w:rPr>
              <w:drawing>
                <wp:inline distT="0" distB="0" distL="0" distR="0" wp14:anchorId="454826C3" wp14:editId="7C03E77E">
                  <wp:extent cx="1080000" cy="1080000"/>
                  <wp:effectExtent l="0" t="0" r="6350" b="6350"/>
                  <wp:docPr id="9" name="Picture 9" descr="structure of Tetrahydrocannabinolic Acid (TH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CA.png"/>
                          <pic:cNvPicPr/>
                        </pic:nvPicPr>
                        <pic:blipFill>
                          <a:blip r:embed="rId2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1417" w:type="dxa"/>
            <w:vAlign w:val="center"/>
          </w:tcPr>
          <w:p w14:paraId="2D6F7724" w14:textId="77777777" w:rsidR="00901A84" w:rsidRPr="00892210" w:rsidRDefault="00901A84" w:rsidP="00563A0D">
            <w:pPr>
              <w:spacing w:before="100" w:after="100"/>
              <w:jc w:val="center"/>
              <w:rPr>
                <w:sz w:val="20"/>
              </w:rPr>
            </w:pPr>
            <w:r w:rsidRPr="00892210">
              <w:rPr>
                <w:sz w:val="20"/>
              </w:rPr>
              <w:t>2.39</w:t>
            </w:r>
          </w:p>
        </w:tc>
        <w:tc>
          <w:tcPr>
            <w:tcW w:w="1418" w:type="dxa"/>
            <w:vAlign w:val="center"/>
          </w:tcPr>
          <w:p w14:paraId="283A7A4B" w14:textId="77777777" w:rsidR="00901A84" w:rsidRPr="00892210" w:rsidRDefault="00901A84" w:rsidP="00563A0D">
            <w:pPr>
              <w:spacing w:before="100" w:after="100"/>
              <w:jc w:val="center"/>
              <w:rPr>
                <w:sz w:val="20"/>
              </w:rPr>
            </w:pPr>
            <w:r w:rsidRPr="00892210">
              <w:rPr>
                <w:sz w:val="20"/>
              </w:rPr>
              <w:t>0.588</w:t>
            </w:r>
          </w:p>
        </w:tc>
        <w:tc>
          <w:tcPr>
            <w:tcW w:w="1406" w:type="dxa"/>
            <w:vAlign w:val="center"/>
          </w:tcPr>
          <w:p w14:paraId="66725D65" w14:textId="77777777" w:rsidR="00901A84" w:rsidRPr="00892210" w:rsidRDefault="00901A84" w:rsidP="00563A0D">
            <w:pPr>
              <w:spacing w:before="100" w:after="100"/>
              <w:jc w:val="center"/>
              <w:rPr>
                <w:sz w:val="20"/>
              </w:rPr>
            </w:pPr>
            <w:r w:rsidRPr="00892210">
              <w:rPr>
                <w:sz w:val="20"/>
              </w:rPr>
              <w:t>-</w:t>
            </w:r>
            <w:proofErr w:type="spellStart"/>
            <w:r w:rsidRPr="00892210">
              <w:rPr>
                <w:sz w:val="20"/>
              </w:rPr>
              <w:t>ve</w:t>
            </w:r>
            <w:proofErr w:type="spellEnd"/>
            <w:r w:rsidRPr="00892210">
              <w:rPr>
                <w:sz w:val="20"/>
              </w:rPr>
              <w:t xml:space="preserve"> mode</w:t>
            </w:r>
          </w:p>
          <w:p w14:paraId="4C75D6D7" w14:textId="77777777" w:rsidR="00901A84" w:rsidRPr="00892210" w:rsidRDefault="00901A84" w:rsidP="00563A0D">
            <w:pPr>
              <w:spacing w:before="100" w:after="100"/>
              <w:jc w:val="center"/>
              <w:rPr>
                <w:sz w:val="20"/>
              </w:rPr>
            </w:pPr>
            <w:r w:rsidRPr="00892210">
              <w:rPr>
                <w:sz w:val="20"/>
              </w:rPr>
              <w:t>357.3</w:t>
            </w:r>
          </w:p>
        </w:tc>
      </w:tr>
    </w:tbl>
    <w:p w14:paraId="5B239966" w14:textId="77777777" w:rsidR="0065309B" w:rsidRDefault="0065309B" w:rsidP="0065309B">
      <w:r>
        <w:t>This table provides information on the standards currently validated for linearity. If further investigation is required for a peak in the assay both positive and negative ionisation modes should be considered. The intensity of [M+</w:t>
      </w:r>
      <w:proofErr w:type="gramStart"/>
      <w:r>
        <w:t>H]+</w:t>
      </w:r>
      <w:proofErr w:type="gramEnd"/>
      <w:r>
        <w:t xml:space="preserve"> ions for acid-type cannabinoids in positive ion mode tends to be low as in-source fragmentation can occur. [M-H]- ions have been observed in negative ion mode for the acid-type cannabinoids.</w:t>
      </w:r>
    </w:p>
    <w:p w14:paraId="7FC0B618" w14:textId="77777777" w:rsidR="0065309B" w:rsidRDefault="0065309B" w:rsidP="00563A0D">
      <w:pPr>
        <w:pStyle w:val="Heading3"/>
      </w:pPr>
      <w:r>
        <w:lastRenderedPageBreak/>
        <w:t>UV Spectra:</w:t>
      </w:r>
    </w:p>
    <w:p w14:paraId="1F16A0F8" w14:textId="77777777" w:rsidR="0065309B" w:rsidRDefault="009A3F56" w:rsidP="0065309B">
      <w:r>
        <w:rPr>
          <w:noProof/>
          <w:lang w:eastAsia="en-AU"/>
        </w:rPr>
        <w:drawing>
          <wp:inline distT="0" distB="0" distL="0" distR="0" wp14:anchorId="3CD4D91D" wp14:editId="4C9A0F9E">
            <wp:extent cx="1773534" cy="1521911"/>
            <wp:effectExtent l="0" t="0" r="0" b="2540"/>
            <wp:docPr id="48" name="Picture 48" descr="UV Spectra: 2.371 CBD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3748" cy="1522095"/>
                    </a:xfrm>
                    <a:prstGeom prst="rect">
                      <a:avLst/>
                    </a:prstGeom>
                    <a:noFill/>
                    <a:ln>
                      <a:noFill/>
                    </a:ln>
                  </pic:spPr>
                </pic:pic>
              </a:graphicData>
            </a:graphic>
          </wp:inline>
        </w:drawing>
      </w:r>
      <w:r>
        <w:rPr>
          <w:noProof/>
          <w:lang w:eastAsia="en-AU"/>
        </w:rPr>
        <w:drawing>
          <wp:inline distT="0" distB="0" distL="0" distR="0" wp14:anchorId="4D55F152" wp14:editId="7517B738">
            <wp:extent cx="1773534" cy="1521911"/>
            <wp:effectExtent l="0" t="0" r="0" b="2540"/>
            <wp:docPr id="49" name="Picture 49" descr="UV Spectra: 2.568 CB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3748" cy="1522095"/>
                    </a:xfrm>
                    <a:prstGeom prst="rect">
                      <a:avLst/>
                    </a:prstGeom>
                    <a:noFill/>
                    <a:ln>
                      <a:noFill/>
                    </a:ln>
                  </pic:spPr>
                </pic:pic>
              </a:graphicData>
            </a:graphic>
          </wp:inline>
        </w:drawing>
      </w:r>
      <w:r>
        <w:rPr>
          <w:noProof/>
          <w:lang w:eastAsia="en-AU"/>
        </w:rPr>
        <w:drawing>
          <wp:inline distT="0" distB="0" distL="0" distR="0" wp14:anchorId="29DCD6C8" wp14:editId="18287ED1">
            <wp:extent cx="1818752" cy="1522174"/>
            <wp:effectExtent l="0" t="0" r="0" b="1905"/>
            <wp:docPr id="12" name="Picture 12" descr="UV Spectra: 20568 C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8658" cy="1522095"/>
                    </a:xfrm>
                    <a:prstGeom prst="rect">
                      <a:avLst/>
                    </a:prstGeom>
                    <a:noFill/>
                    <a:ln>
                      <a:noFill/>
                    </a:ln>
                  </pic:spPr>
                </pic:pic>
              </a:graphicData>
            </a:graphic>
          </wp:inline>
        </w:drawing>
      </w:r>
    </w:p>
    <w:p w14:paraId="422A1373" w14:textId="77777777" w:rsidR="0065309B" w:rsidRDefault="009A3F56" w:rsidP="0065309B">
      <w:r>
        <w:rPr>
          <w:noProof/>
          <w:lang w:eastAsia="en-AU"/>
        </w:rPr>
        <w:drawing>
          <wp:inline distT="0" distB="0" distL="0" distR="0" wp14:anchorId="6495C854" wp14:editId="61332564">
            <wp:extent cx="1798655" cy="1522174"/>
            <wp:effectExtent l="0" t="0" r="0" b="1905"/>
            <wp:docPr id="50" name="Picture 50" descr="UV Spectra: 3.890 CB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98562" cy="1522095"/>
                    </a:xfrm>
                    <a:prstGeom prst="rect">
                      <a:avLst/>
                    </a:prstGeom>
                    <a:noFill/>
                    <a:ln>
                      <a:noFill/>
                    </a:ln>
                  </pic:spPr>
                </pic:pic>
              </a:graphicData>
            </a:graphic>
          </wp:inline>
        </w:drawing>
      </w:r>
      <w:r>
        <w:rPr>
          <w:noProof/>
          <w:lang w:eastAsia="en-AU"/>
        </w:rPr>
        <w:drawing>
          <wp:inline distT="0" distB="0" distL="0" distR="0" wp14:anchorId="022E563B" wp14:editId="46AED44C">
            <wp:extent cx="1748413" cy="1522208"/>
            <wp:effectExtent l="0" t="0" r="4445" b="1905"/>
            <wp:docPr id="14" name="Picture 14" descr="UV Spectra: 4.005 C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8284" cy="1522095"/>
                    </a:xfrm>
                    <a:prstGeom prst="rect">
                      <a:avLst/>
                    </a:prstGeom>
                    <a:noFill/>
                    <a:ln>
                      <a:noFill/>
                    </a:ln>
                  </pic:spPr>
                </pic:pic>
              </a:graphicData>
            </a:graphic>
          </wp:inline>
        </w:drawing>
      </w:r>
      <w:r>
        <w:rPr>
          <w:noProof/>
          <w:lang w:eastAsia="en-AU"/>
        </w:rPr>
        <w:drawing>
          <wp:inline distT="0" distB="0" distL="0" distR="0" wp14:anchorId="3C1350A9" wp14:editId="4C0A4733">
            <wp:extent cx="1813728" cy="1522208"/>
            <wp:effectExtent l="0" t="0" r="0" b="1905"/>
            <wp:docPr id="16" name="Picture 16" descr="UV Spectra: 4.157 C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3594" cy="1522095"/>
                    </a:xfrm>
                    <a:prstGeom prst="rect">
                      <a:avLst/>
                    </a:prstGeom>
                    <a:noFill/>
                    <a:ln>
                      <a:noFill/>
                    </a:ln>
                  </pic:spPr>
                </pic:pic>
              </a:graphicData>
            </a:graphic>
          </wp:inline>
        </w:drawing>
      </w:r>
    </w:p>
    <w:p w14:paraId="6338F5F2" w14:textId="77777777" w:rsidR="0065309B" w:rsidRDefault="009A3F56" w:rsidP="0065309B">
      <w:r>
        <w:rPr>
          <w:noProof/>
          <w:lang w:eastAsia="en-AU"/>
        </w:rPr>
        <w:drawing>
          <wp:inline distT="0" distB="0" distL="0" distR="0" wp14:anchorId="415A4745" wp14:editId="3F6CF071">
            <wp:extent cx="1838848" cy="1522207"/>
            <wp:effectExtent l="0" t="0" r="9525" b="1905"/>
            <wp:docPr id="17" name="Picture 17" descr="UV Spectra: 4.563 TH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8712" cy="1522095"/>
                    </a:xfrm>
                    <a:prstGeom prst="rect">
                      <a:avLst/>
                    </a:prstGeom>
                    <a:noFill/>
                    <a:ln>
                      <a:noFill/>
                    </a:ln>
                  </pic:spPr>
                </pic:pic>
              </a:graphicData>
            </a:graphic>
          </wp:inline>
        </w:drawing>
      </w:r>
      <w:r>
        <w:rPr>
          <w:noProof/>
          <w:lang w:eastAsia="en-AU"/>
        </w:rPr>
        <w:drawing>
          <wp:inline distT="0" distB="0" distL="0" distR="0" wp14:anchorId="5150F8BD" wp14:editId="2A6354C3">
            <wp:extent cx="1717482" cy="1457582"/>
            <wp:effectExtent l="0" t="0" r="0" b="0"/>
            <wp:docPr id="19" name="Picture 19" descr="UV Spectra: 6.760 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18794" cy="1458696"/>
                    </a:xfrm>
                    <a:prstGeom prst="rect">
                      <a:avLst/>
                    </a:prstGeom>
                    <a:noFill/>
                    <a:ln>
                      <a:noFill/>
                    </a:ln>
                  </pic:spPr>
                </pic:pic>
              </a:graphicData>
            </a:graphic>
          </wp:inline>
        </w:drawing>
      </w:r>
      <w:r>
        <w:rPr>
          <w:noProof/>
          <w:lang w:eastAsia="en-AU"/>
        </w:rPr>
        <w:drawing>
          <wp:inline distT="0" distB="0" distL="0" distR="0" wp14:anchorId="3FB7781C" wp14:editId="7C8797A5">
            <wp:extent cx="1793631" cy="1522208"/>
            <wp:effectExtent l="0" t="0" r="0" b="1905"/>
            <wp:docPr id="20" name="Picture 20" descr="UV Spectra: 8.394 Delta 9 T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3498" cy="1522095"/>
                    </a:xfrm>
                    <a:prstGeom prst="rect">
                      <a:avLst/>
                    </a:prstGeom>
                    <a:noFill/>
                    <a:ln>
                      <a:noFill/>
                    </a:ln>
                  </pic:spPr>
                </pic:pic>
              </a:graphicData>
            </a:graphic>
          </wp:inline>
        </w:drawing>
      </w:r>
    </w:p>
    <w:p w14:paraId="1B403695" w14:textId="77777777" w:rsidR="0065309B" w:rsidRDefault="009A3F56" w:rsidP="0065309B">
      <w:r>
        <w:rPr>
          <w:noProof/>
          <w:lang w:eastAsia="en-AU"/>
        </w:rPr>
        <w:drawing>
          <wp:inline distT="0" distB="0" distL="0" distR="0" wp14:anchorId="78D18E19" wp14:editId="1A454A59">
            <wp:extent cx="1838848" cy="1522207"/>
            <wp:effectExtent l="0" t="0" r="9525" b="1905"/>
            <wp:docPr id="22" name="Picture 22" descr="UV Spectra: 8.603 Delta 8 T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8712" cy="1522095"/>
                    </a:xfrm>
                    <a:prstGeom prst="rect">
                      <a:avLst/>
                    </a:prstGeom>
                    <a:noFill/>
                    <a:ln>
                      <a:noFill/>
                    </a:ln>
                  </pic:spPr>
                </pic:pic>
              </a:graphicData>
            </a:graphic>
          </wp:inline>
        </w:drawing>
      </w:r>
      <w:r>
        <w:rPr>
          <w:noProof/>
          <w:lang w:eastAsia="en-AU"/>
        </w:rPr>
        <w:drawing>
          <wp:inline distT="0" distB="0" distL="0" distR="0" wp14:anchorId="6F41F625" wp14:editId="508CE406">
            <wp:extent cx="1701579" cy="1444086"/>
            <wp:effectExtent l="0" t="0" r="0" b="3810"/>
            <wp:docPr id="23" name="Picture 23" descr="UV Spectra: 9.260 C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04459" cy="1446530"/>
                    </a:xfrm>
                    <a:prstGeom prst="rect">
                      <a:avLst/>
                    </a:prstGeom>
                    <a:noFill/>
                    <a:ln>
                      <a:noFill/>
                    </a:ln>
                  </pic:spPr>
                </pic:pic>
              </a:graphicData>
            </a:graphic>
          </wp:inline>
        </w:drawing>
      </w:r>
      <w:r>
        <w:rPr>
          <w:noProof/>
          <w:lang w:eastAsia="en-AU"/>
        </w:rPr>
        <w:drawing>
          <wp:inline distT="0" distB="0" distL="0" distR="0" wp14:anchorId="48149A50" wp14:editId="5970CAA0">
            <wp:extent cx="1803680" cy="1522207"/>
            <wp:effectExtent l="0" t="0" r="6350" b="1905"/>
            <wp:docPr id="24" name="Picture 24" descr="UV Spectra: 9.29 C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3547" cy="1522095"/>
                    </a:xfrm>
                    <a:prstGeom prst="rect">
                      <a:avLst/>
                    </a:prstGeom>
                    <a:noFill/>
                    <a:ln>
                      <a:noFill/>
                    </a:ln>
                  </pic:spPr>
                </pic:pic>
              </a:graphicData>
            </a:graphic>
          </wp:inline>
        </w:drawing>
      </w:r>
    </w:p>
    <w:p w14:paraId="097ABAAA" w14:textId="77777777" w:rsidR="0065309B" w:rsidRDefault="009A3F56" w:rsidP="0065309B">
      <w:r>
        <w:rPr>
          <w:noProof/>
          <w:lang w:eastAsia="en-AU"/>
        </w:rPr>
        <w:drawing>
          <wp:inline distT="0" distB="0" distL="0" distR="0" wp14:anchorId="571A349D" wp14:editId="236158BB">
            <wp:extent cx="1808703" cy="1522208"/>
            <wp:effectExtent l="0" t="0" r="1270" b="1905"/>
            <wp:docPr id="25" name="Picture 25" descr="UV Spectra: 9.930 TH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8569" cy="1522095"/>
                    </a:xfrm>
                    <a:prstGeom prst="rect">
                      <a:avLst/>
                    </a:prstGeom>
                    <a:noFill/>
                    <a:ln>
                      <a:noFill/>
                    </a:ln>
                  </pic:spPr>
                </pic:pic>
              </a:graphicData>
            </a:graphic>
          </wp:inline>
        </w:drawing>
      </w:r>
    </w:p>
    <w:p w14:paraId="4457B8A4" w14:textId="77777777" w:rsidR="0065309B" w:rsidRDefault="0065309B" w:rsidP="009A3F56">
      <w:pPr>
        <w:pStyle w:val="Figuretitle"/>
        <w:keepNext/>
      </w:pPr>
      <w:r>
        <w:lastRenderedPageBreak/>
        <w:t>Example Chromatogram</w:t>
      </w:r>
    </w:p>
    <w:p w14:paraId="74533DD9" w14:textId="77777777" w:rsidR="0065309B" w:rsidRDefault="009A3F56" w:rsidP="0065309B">
      <w:r w:rsidRPr="00304B89">
        <w:rPr>
          <w:noProof/>
          <w:lang w:eastAsia="en-AU"/>
        </w:rPr>
        <w:drawing>
          <wp:inline distT="0" distB="0" distL="0" distR="0" wp14:anchorId="6895D4C6" wp14:editId="57109DC6">
            <wp:extent cx="5400040" cy="2085590"/>
            <wp:effectExtent l="0" t="0" r="0" b="0"/>
            <wp:docPr id="5" name="Picture 5" descr="example chroma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00040" cy="2085590"/>
                    </a:xfrm>
                    <a:prstGeom prst="rect">
                      <a:avLst/>
                    </a:prstGeom>
                    <a:noFill/>
                    <a:ln>
                      <a:noFill/>
                    </a:ln>
                  </pic:spPr>
                </pic:pic>
              </a:graphicData>
            </a:graphic>
          </wp:inline>
        </w:drawing>
      </w:r>
    </w:p>
    <w:p w14:paraId="3878989B" w14:textId="77777777" w:rsidR="0065309B" w:rsidRDefault="0065309B" w:rsidP="0065309B">
      <w:r>
        <w:t>Mixed Cannabinoids Standard Solution ~ 70 µg/mL, chromatogram extracted at 228 nm.</w:t>
      </w:r>
    </w:p>
    <w:sectPr w:rsidR="0065309B" w:rsidSect="00CB463B">
      <w:footerReference w:type="default" r:id="rId35"/>
      <w:headerReference w:type="first" r:id="rId36"/>
      <w:footerReference w:type="first" r:id="rId37"/>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DF5BA" w14:textId="77777777" w:rsidR="0065309B" w:rsidRDefault="0065309B" w:rsidP="00C40A36">
      <w:r>
        <w:separator/>
      </w:r>
    </w:p>
  </w:endnote>
  <w:endnote w:type="continuationSeparator" w:id="0">
    <w:p w14:paraId="4D104D57" w14:textId="77777777" w:rsidR="0065309B" w:rsidRDefault="0065309B"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505"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1869"/>
    </w:tblGrid>
    <w:sdt>
      <w:sdtPr>
        <w:id w:val="1335729165"/>
        <w:docPartObj>
          <w:docPartGallery w:val="Page Numbers (Bottom of Page)"/>
          <w:docPartUnique/>
        </w:docPartObj>
      </w:sdtPr>
      <w:sdtEndPr/>
      <w:sdtContent>
        <w:tr w:rsidR="00271BB2" w:rsidRPr="009A6687" w14:paraId="04C75622" w14:textId="77777777" w:rsidTr="00112300">
          <w:trPr>
            <w:cantSplit/>
          </w:trPr>
          <w:tc>
            <w:tcPr>
              <w:tcW w:w="6636" w:type="dxa"/>
              <w:shd w:val="clear" w:color="auto" w:fill="auto"/>
              <w:vAlign w:val="center"/>
            </w:tcPr>
            <w:p w14:paraId="47B7A047" w14:textId="77777777" w:rsidR="00271BB2" w:rsidRPr="009A6687" w:rsidRDefault="00BA5191" w:rsidP="00BA5191">
              <w:pPr>
                <w:pStyle w:val="Footer"/>
                <w:spacing w:before="0" w:after="0"/>
                <w:rPr>
                  <w:lang w:val="fr-FR"/>
                </w:rPr>
              </w:pPr>
              <w:r w:rsidRPr="00BA5191">
                <w:rPr>
                  <w:i/>
                </w:rPr>
                <w:t>Assay of Cannabinoids</w:t>
              </w:r>
              <w:r w:rsidRPr="00BA5191">
                <w:t xml:space="preserve"> by UPLC</w:t>
              </w:r>
            </w:p>
          </w:tc>
          <w:tc>
            <w:tcPr>
              <w:tcW w:w="1869" w:type="dxa"/>
              <w:shd w:val="clear" w:color="auto" w:fill="auto"/>
              <w:vAlign w:val="center"/>
            </w:tcPr>
            <w:p w14:paraId="6A8C9B88" w14:textId="77777777" w:rsidR="00271BB2" w:rsidRDefault="00271BB2" w:rsidP="00BA5191">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3367F5">
                <w:rPr>
                  <w:noProof/>
                </w:rPr>
                <w:t>3</w:t>
              </w:r>
              <w:r w:rsidR="004F4C94">
                <w:rPr>
                  <w:noProof/>
                </w:rPr>
                <w:fldChar w:fldCharType="end"/>
              </w:r>
              <w:r w:rsidRPr="0068201D">
                <w:t xml:space="preserve"> of </w:t>
              </w:r>
              <w:r w:rsidR="003367F5">
                <w:fldChar w:fldCharType="begin"/>
              </w:r>
              <w:r w:rsidR="003367F5">
                <w:instrText xml:space="preserve"> NUMPAGES  </w:instrText>
              </w:r>
              <w:r w:rsidR="003367F5">
                <w:fldChar w:fldCharType="separate"/>
              </w:r>
              <w:r w:rsidR="003367F5">
                <w:rPr>
                  <w:noProof/>
                </w:rPr>
                <w:t>7</w:t>
              </w:r>
              <w:r w:rsidR="003367F5">
                <w:rPr>
                  <w:noProof/>
                </w:rPr>
                <w:fldChar w:fldCharType="end"/>
              </w:r>
            </w:p>
            <w:p w14:paraId="2F37A525" w14:textId="77777777" w:rsidR="00271BB2" w:rsidRPr="009A6687" w:rsidRDefault="00271BB2" w:rsidP="00BA5191">
              <w:pPr>
                <w:pStyle w:val="Footer"/>
                <w:spacing w:before="0" w:after="0"/>
                <w:jc w:val="right"/>
              </w:pPr>
            </w:p>
          </w:tc>
        </w:tr>
      </w:sdtContent>
    </w:sdt>
  </w:tbl>
  <w:p w14:paraId="6E401A16" w14:textId="77777777" w:rsidR="00271BB2" w:rsidRDefault="00271BB2" w:rsidP="00FC52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D99BC" w14:textId="77777777" w:rsidR="00375F1A" w:rsidRDefault="00375F1A" w:rsidP="006C116C">
    <w:pPr>
      <w:spacing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6EE93F04" w14:textId="77777777" w:rsidTr="00715A03">
      <w:trPr>
        <w:trHeight w:hRule="exact" w:val="1006"/>
      </w:trPr>
      <w:tc>
        <w:tcPr>
          <w:tcW w:w="6636" w:type="dxa"/>
          <w:shd w:val="clear" w:color="auto" w:fill="auto"/>
          <w:vAlign w:val="bottom"/>
        </w:tcPr>
        <w:p w14:paraId="59EFC52B" w14:textId="77777777" w:rsidR="00271BB2" w:rsidRPr="007B0408" w:rsidRDefault="00271BB2" w:rsidP="006C116C">
          <w:pPr>
            <w:tabs>
              <w:tab w:val="left" w:pos="3105"/>
            </w:tabs>
            <w:spacing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3F004963" wp14:editId="090C366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w:t>
          </w:r>
          <w:r w:rsidR="006C116C">
            <w:rPr>
              <w:rStyle w:val="FooterChar"/>
              <w:rFonts w:cs="Arial"/>
            </w:rPr>
            <w:t xml:space="preserve">1800 020 653 or </w:t>
          </w:r>
          <w:r w:rsidRPr="007B0408">
            <w:rPr>
              <w:rStyle w:val="FooterChar"/>
              <w:rFonts w:cs="Arial"/>
            </w:rPr>
            <w:t>02 6232 8</w:t>
          </w:r>
          <w:r w:rsidR="006C116C">
            <w:rPr>
              <w:rStyle w:val="FooterChar"/>
              <w:rFonts w:cs="Arial"/>
            </w:rPr>
            <w:t>6</w:t>
          </w:r>
          <w:r w:rsidRPr="007B0408">
            <w:rPr>
              <w:rStyle w:val="FooterChar"/>
              <w:rFonts w:cs="Arial"/>
            </w:rPr>
            <w:t xml:space="preserve">44  </w:t>
          </w:r>
          <w:r w:rsidRPr="007B0408">
            <w:rPr>
              <w:rStyle w:val="FooterChar"/>
              <w:rFonts w:cs="Arial"/>
              <w:color w:val="006DA7"/>
            </w:rPr>
            <w:t>Fax:</w:t>
          </w:r>
          <w:r w:rsidRPr="007B0408">
            <w:rPr>
              <w:rStyle w:val="FooterChar"/>
              <w:rFonts w:cs="Arial"/>
            </w:rPr>
            <w:t xml:space="preserve"> 02 623</w:t>
          </w:r>
          <w:r w:rsidR="006C116C">
            <w:rPr>
              <w:rStyle w:val="FooterChar"/>
              <w:rFonts w:cs="Arial"/>
            </w:rPr>
            <w:t>2</w:t>
          </w:r>
          <w:r w:rsidRPr="007B0408">
            <w:rPr>
              <w:rStyle w:val="FooterChar"/>
              <w:rFonts w:cs="Arial"/>
            </w:rPr>
            <w:t xml:space="preserve"> </w:t>
          </w:r>
          <w:r w:rsidR="006C116C">
            <w:rPr>
              <w:rStyle w:val="FooterChar"/>
              <w:rFonts w:cs="Arial"/>
            </w:rPr>
            <w:t>8112</w:t>
          </w:r>
          <w:r w:rsidRPr="007B0408">
            <w:rPr>
              <w:rStyle w:val="FooterChar"/>
              <w:rFonts w:cs="Arial"/>
            </w:rPr>
            <w:t xml:space="preserve"> </w:t>
          </w:r>
          <w:r w:rsidR="006C116C">
            <w:rPr>
              <w:rStyle w:val="FooterChar"/>
              <w:rFonts w:cs="Arial"/>
            </w:rPr>
            <w:br/>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006C116C">
            <w:rPr>
              <w:rStyle w:val="FooterChar"/>
              <w:rFonts w:cs="Arial"/>
              <w:color w:val="006DA7"/>
              <w:u w:val="single"/>
            </w:rPr>
            <w:t xml:space="preserve"> </w:t>
          </w:r>
          <w:r w:rsidR="006C116C" w:rsidRPr="006C116C">
            <w:tab/>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5E6BF6D5" w14:textId="77777777" w:rsidR="00271BB2" w:rsidRPr="009A6687" w:rsidRDefault="00271BB2" w:rsidP="006C116C">
          <w:pPr>
            <w:pStyle w:val="Footer"/>
            <w:spacing w:after="0"/>
          </w:pPr>
          <w:r w:rsidRPr="009D6273">
            <w:rPr>
              <w:noProof/>
              <w:lang w:eastAsia="en-AU"/>
            </w:rPr>
            <w:drawing>
              <wp:anchor distT="360045" distB="0" distL="114300" distR="114300" simplePos="0" relativeHeight="251674624" behindDoc="0" locked="0" layoutInCell="1" allowOverlap="1" wp14:anchorId="348EF1CB" wp14:editId="6ADEC851">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05235D0A" w14:textId="77777777" w:rsidR="00271BB2" w:rsidRPr="0068201D" w:rsidRDefault="00271BB2" w:rsidP="006C116C">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29A5C" w14:textId="77777777" w:rsidR="0065309B" w:rsidRDefault="0065309B" w:rsidP="00C40A36">
      <w:r>
        <w:separator/>
      </w:r>
    </w:p>
  </w:footnote>
  <w:footnote w:type="continuationSeparator" w:id="0">
    <w:p w14:paraId="5923AB0D" w14:textId="77777777" w:rsidR="0065309B" w:rsidRDefault="0065309B"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98AAE" w14:textId="77777777" w:rsidR="00271BB2" w:rsidRDefault="00A427AD" w:rsidP="0065309B">
    <w:pPr>
      <w:spacing w:before="0" w:after="0"/>
    </w:pPr>
    <w:r w:rsidRPr="00A427AD">
      <w:rPr>
        <w:noProof/>
        <w:lang w:eastAsia="en-AU"/>
      </w:rPr>
      <w:drawing>
        <wp:anchor distT="0" distB="0" distL="114300" distR="114300" simplePos="0" relativeHeight="251676672" behindDoc="0" locked="0" layoutInCell="1" allowOverlap="1" wp14:anchorId="46341F34" wp14:editId="589DF657">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066755895">
    <w:abstractNumId w:val="2"/>
  </w:num>
  <w:num w:numId="2" w16cid:durableId="1965457179">
    <w:abstractNumId w:val="1"/>
  </w:num>
  <w:num w:numId="3" w16cid:durableId="13651825">
    <w:abstractNumId w:val="4"/>
  </w:num>
  <w:num w:numId="4" w16cid:durableId="164052013">
    <w:abstractNumId w:val="4"/>
  </w:num>
  <w:num w:numId="5" w16cid:durableId="1467813419">
    <w:abstractNumId w:val="0"/>
  </w:num>
  <w:num w:numId="6" w16cid:durableId="89737602">
    <w:abstractNumId w:val="4"/>
  </w:num>
  <w:num w:numId="7" w16cid:durableId="30035579">
    <w:abstractNumId w:val="4"/>
  </w:num>
  <w:num w:numId="8" w16cid:durableId="4676846">
    <w:abstractNumId w:val="3"/>
  </w:num>
  <w:num w:numId="9" w16cid:durableId="1660882072">
    <w:abstractNumId w:val="3"/>
  </w:num>
  <w:num w:numId="10" w16cid:durableId="838734716">
    <w:abstractNumId w:val="3"/>
  </w:num>
  <w:num w:numId="11" w16cid:durableId="1619994693">
    <w:abstractNumId w:val="3"/>
  </w:num>
  <w:num w:numId="12" w16cid:durableId="1678190739">
    <w:abstractNumId w:val="4"/>
  </w:num>
  <w:num w:numId="13" w16cid:durableId="1180702562">
    <w:abstractNumId w:val="4"/>
  </w:num>
  <w:num w:numId="14" w16cid:durableId="177236514">
    <w:abstractNumId w:val="4"/>
  </w:num>
  <w:num w:numId="15" w16cid:durableId="1691880116">
    <w:abstractNumId w:val="3"/>
  </w:num>
  <w:num w:numId="16" w16cid:durableId="2014800155">
    <w:abstractNumId w:val="3"/>
  </w:num>
  <w:num w:numId="17" w16cid:durableId="820003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9B"/>
    <w:rsid w:val="00002031"/>
    <w:rsid w:val="00004734"/>
    <w:rsid w:val="00006B22"/>
    <w:rsid w:val="0001276A"/>
    <w:rsid w:val="00022A2D"/>
    <w:rsid w:val="00024299"/>
    <w:rsid w:val="000246AE"/>
    <w:rsid w:val="00025C67"/>
    <w:rsid w:val="000261F9"/>
    <w:rsid w:val="000521FD"/>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2300"/>
    <w:rsid w:val="00115240"/>
    <w:rsid w:val="00125318"/>
    <w:rsid w:val="001305A2"/>
    <w:rsid w:val="00133238"/>
    <w:rsid w:val="0014197B"/>
    <w:rsid w:val="001447CD"/>
    <w:rsid w:val="00146F10"/>
    <w:rsid w:val="001516B1"/>
    <w:rsid w:val="00156316"/>
    <w:rsid w:val="00161908"/>
    <w:rsid w:val="00165389"/>
    <w:rsid w:val="0017526B"/>
    <w:rsid w:val="0017693F"/>
    <w:rsid w:val="0018110E"/>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436"/>
    <w:rsid w:val="002316FE"/>
    <w:rsid w:val="00232019"/>
    <w:rsid w:val="00233456"/>
    <w:rsid w:val="002339A5"/>
    <w:rsid w:val="00251A47"/>
    <w:rsid w:val="00257848"/>
    <w:rsid w:val="0026430C"/>
    <w:rsid w:val="0027084A"/>
    <w:rsid w:val="00271BB2"/>
    <w:rsid w:val="00286434"/>
    <w:rsid w:val="00286C59"/>
    <w:rsid w:val="002942D1"/>
    <w:rsid w:val="002A0556"/>
    <w:rsid w:val="002B1638"/>
    <w:rsid w:val="002C4547"/>
    <w:rsid w:val="002D0354"/>
    <w:rsid w:val="002E4C9A"/>
    <w:rsid w:val="002E4E7C"/>
    <w:rsid w:val="002E550D"/>
    <w:rsid w:val="002F11F8"/>
    <w:rsid w:val="002F3F56"/>
    <w:rsid w:val="002F44B5"/>
    <w:rsid w:val="00311AC0"/>
    <w:rsid w:val="003367F5"/>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03EEA"/>
    <w:rsid w:val="00432436"/>
    <w:rsid w:val="00440A2D"/>
    <w:rsid w:val="0044337B"/>
    <w:rsid w:val="00443C32"/>
    <w:rsid w:val="004564A7"/>
    <w:rsid w:val="004617BF"/>
    <w:rsid w:val="00466C1D"/>
    <w:rsid w:val="00494E60"/>
    <w:rsid w:val="004B7B76"/>
    <w:rsid w:val="004C5ABB"/>
    <w:rsid w:val="004D4103"/>
    <w:rsid w:val="004F0BE4"/>
    <w:rsid w:val="004F0F38"/>
    <w:rsid w:val="004F4C94"/>
    <w:rsid w:val="00501921"/>
    <w:rsid w:val="00501A05"/>
    <w:rsid w:val="005060C8"/>
    <w:rsid w:val="00530354"/>
    <w:rsid w:val="005434C6"/>
    <w:rsid w:val="00543B39"/>
    <w:rsid w:val="00550096"/>
    <w:rsid w:val="00557FF9"/>
    <w:rsid w:val="00563A0D"/>
    <w:rsid w:val="00571DA2"/>
    <w:rsid w:val="00576378"/>
    <w:rsid w:val="00577E38"/>
    <w:rsid w:val="0058201A"/>
    <w:rsid w:val="00585322"/>
    <w:rsid w:val="00593AD1"/>
    <w:rsid w:val="005A1131"/>
    <w:rsid w:val="005A3DBA"/>
    <w:rsid w:val="005C5570"/>
    <w:rsid w:val="005C5E62"/>
    <w:rsid w:val="005C79A4"/>
    <w:rsid w:val="005D5442"/>
    <w:rsid w:val="005F6ADF"/>
    <w:rsid w:val="00630352"/>
    <w:rsid w:val="00640FC3"/>
    <w:rsid w:val="00642020"/>
    <w:rsid w:val="0064475A"/>
    <w:rsid w:val="0065309B"/>
    <w:rsid w:val="0065337B"/>
    <w:rsid w:val="0065419D"/>
    <w:rsid w:val="006604D8"/>
    <w:rsid w:val="00664A5B"/>
    <w:rsid w:val="00680C08"/>
    <w:rsid w:val="0068201D"/>
    <w:rsid w:val="0068741A"/>
    <w:rsid w:val="006931B1"/>
    <w:rsid w:val="006935E5"/>
    <w:rsid w:val="006A15C0"/>
    <w:rsid w:val="006B3F5D"/>
    <w:rsid w:val="006C116C"/>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66BA8"/>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821776"/>
    <w:rsid w:val="00826007"/>
    <w:rsid w:val="008321F5"/>
    <w:rsid w:val="00832369"/>
    <w:rsid w:val="00834660"/>
    <w:rsid w:val="00836BC2"/>
    <w:rsid w:val="00846418"/>
    <w:rsid w:val="00855221"/>
    <w:rsid w:val="0085641B"/>
    <w:rsid w:val="00857136"/>
    <w:rsid w:val="0087502F"/>
    <w:rsid w:val="00875F6F"/>
    <w:rsid w:val="008831B7"/>
    <w:rsid w:val="00892210"/>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A84"/>
    <w:rsid w:val="009032D7"/>
    <w:rsid w:val="00920330"/>
    <w:rsid w:val="009219D7"/>
    <w:rsid w:val="00922D53"/>
    <w:rsid w:val="00923B70"/>
    <w:rsid w:val="00925E84"/>
    <w:rsid w:val="00930237"/>
    <w:rsid w:val="00933C60"/>
    <w:rsid w:val="00937DD0"/>
    <w:rsid w:val="00941E4F"/>
    <w:rsid w:val="00943D2D"/>
    <w:rsid w:val="0094448F"/>
    <w:rsid w:val="00963C08"/>
    <w:rsid w:val="00983A09"/>
    <w:rsid w:val="009857B4"/>
    <w:rsid w:val="009A3BBD"/>
    <w:rsid w:val="009A3F56"/>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200F"/>
    <w:rsid w:val="00AC2B40"/>
    <w:rsid w:val="00AC2BB2"/>
    <w:rsid w:val="00AC2C3C"/>
    <w:rsid w:val="00AC4E68"/>
    <w:rsid w:val="00AC7B9E"/>
    <w:rsid w:val="00AE65EB"/>
    <w:rsid w:val="00AE7F88"/>
    <w:rsid w:val="00AF1D94"/>
    <w:rsid w:val="00AF60C5"/>
    <w:rsid w:val="00B009C6"/>
    <w:rsid w:val="00B01548"/>
    <w:rsid w:val="00B21D29"/>
    <w:rsid w:val="00B25034"/>
    <w:rsid w:val="00B33863"/>
    <w:rsid w:val="00B37D17"/>
    <w:rsid w:val="00B40564"/>
    <w:rsid w:val="00B4175E"/>
    <w:rsid w:val="00B472F6"/>
    <w:rsid w:val="00B54C25"/>
    <w:rsid w:val="00B76B91"/>
    <w:rsid w:val="00B86644"/>
    <w:rsid w:val="00BA51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40E12"/>
    <w:rsid w:val="00D54C12"/>
    <w:rsid w:val="00D62853"/>
    <w:rsid w:val="00D6493E"/>
    <w:rsid w:val="00D92470"/>
    <w:rsid w:val="00DA1124"/>
    <w:rsid w:val="00DB7B83"/>
    <w:rsid w:val="00DC3AA6"/>
    <w:rsid w:val="00DD75A3"/>
    <w:rsid w:val="00DE02AE"/>
    <w:rsid w:val="00DE092B"/>
    <w:rsid w:val="00DE6A0C"/>
    <w:rsid w:val="00DF1D7F"/>
    <w:rsid w:val="00E02FB4"/>
    <w:rsid w:val="00E20571"/>
    <w:rsid w:val="00E21651"/>
    <w:rsid w:val="00E235F7"/>
    <w:rsid w:val="00E239D4"/>
    <w:rsid w:val="00E40B22"/>
    <w:rsid w:val="00E4588F"/>
    <w:rsid w:val="00E46DA3"/>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640B6"/>
    <w:rsid w:val="00F80E40"/>
    <w:rsid w:val="00F84FA2"/>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7BF7B3"/>
  <w15:docId w15:val="{AD109FC0-3307-4F21-B566-9E756D9C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9B"/>
    <w:pPr>
      <w:spacing w:before="120" w:after="120" w:line="240" w:lineRule="atLeast"/>
    </w:pPr>
    <w:rPr>
      <w:rFonts w:eastAsia="Cambria"/>
    </w:rPr>
  </w:style>
  <w:style w:type="paragraph" w:styleId="Heading1">
    <w:name w:val="heading 1"/>
    <w:basedOn w:val="Normal"/>
    <w:next w:val="Normal"/>
    <w:link w:val="Heading1Char"/>
    <w:rsid w:val="00983A09"/>
    <w:pPr>
      <w:spacing w:before="100" w:after="100"/>
      <w:outlineLvl w:val="0"/>
    </w:pPr>
    <w:rPr>
      <w:rFonts w:cs="Times New Roman"/>
      <w:sz w:val="20"/>
      <w:lang w:eastAsia="en-AU"/>
    </w:rPr>
  </w:style>
  <w:style w:type="paragraph" w:styleId="Heading2">
    <w:name w:val="heading 2"/>
    <w:basedOn w:val="Normal"/>
    <w:next w:val="Normal"/>
    <w:link w:val="Heading2Char"/>
    <w:qFormat/>
    <w:rsid w:val="0065309B"/>
    <w:pPr>
      <w:keepNext/>
      <w:keepLines/>
      <w:outlineLvl w:val="1"/>
    </w:pPr>
    <w:rPr>
      <w:rFonts w:ascii="Arial" w:eastAsia="Times New Roman" w:hAnsi="Arial"/>
      <w:b/>
      <w:bCs/>
      <w:sz w:val="28"/>
      <w:szCs w:val="38"/>
    </w:rPr>
  </w:style>
  <w:style w:type="paragraph" w:styleId="Heading3">
    <w:name w:val="heading 3"/>
    <w:basedOn w:val="Normal"/>
    <w:next w:val="Normal"/>
    <w:link w:val="Heading3Char"/>
    <w:qFormat/>
    <w:rsid w:val="0065309B"/>
    <w:pPr>
      <w:keepNext/>
      <w:keepLines/>
      <w:outlineLvl w:val="2"/>
    </w:pPr>
    <w:rPr>
      <w:rFonts w:ascii="Arial" w:eastAsia="Times New Roman" w:hAnsi="Arial"/>
      <w:b/>
      <w:bCs/>
      <w:sz w:val="24"/>
      <w:szCs w:val="32"/>
    </w:rPr>
  </w:style>
  <w:style w:type="paragraph" w:styleId="Heading4">
    <w:name w:val="heading 4"/>
    <w:basedOn w:val="Normal"/>
    <w:next w:val="Normal"/>
    <w:link w:val="Heading4Char"/>
    <w:qFormat/>
    <w:rsid w:val="00B86644"/>
    <w:pPr>
      <w:outlineLvl w:val="3"/>
    </w:pPr>
    <w:rPr>
      <w:b/>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A09"/>
    <w:rPr>
      <w:rFonts w:eastAsia="Cambria" w:cs="Times New Roman"/>
      <w:sz w:val="20"/>
      <w:lang w:eastAsia="en-AU"/>
    </w:rPr>
  </w:style>
  <w:style w:type="character" w:customStyle="1" w:styleId="Heading2Char">
    <w:name w:val="Heading 2 Char"/>
    <w:basedOn w:val="DefaultParagraphFont"/>
    <w:link w:val="Heading2"/>
    <w:rsid w:val="0065309B"/>
    <w:rPr>
      <w:rFonts w:ascii="Arial" w:eastAsia="Times New Roman" w:hAnsi="Arial"/>
      <w:b/>
      <w:bCs/>
      <w:sz w:val="28"/>
      <w:szCs w:val="38"/>
    </w:rPr>
  </w:style>
  <w:style w:type="character" w:customStyle="1" w:styleId="Heading3Char">
    <w:name w:val="Heading 3 Char"/>
    <w:basedOn w:val="DefaultParagraphFont"/>
    <w:link w:val="Heading3"/>
    <w:rsid w:val="0065309B"/>
    <w:rPr>
      <w:rFonts w:ascii="Arial" w:eastAsia="Times New Roman" w:hAnsi="Arial"/>
      <w:b/>
      <w:bCs/>
      <w:sz w:val="24"/>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B86644"/>
    <w:rPr>
      <w:rFonts w:eastAsia="Cambria"/>
      <w:b/>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6935E5"/>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gi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9.jpeg"/><Relationship Id="rId4" Type="http://schemas.openxmlformats.org/officeDocument/2006/relationships/image" Target="media/image30.jpeg"/></Relationships>
</file>

<file path=word/_rels/header1.xml.rels><?xml version="1.0" encoding="UTF-8" standalone="yes"?>
<Relationships xmlns="http://schemas.openxmlformats.org/package/2006/relationships"><Relationship Id="rId1" Type="http://schemas.openxmlformats.org/officeDocument/2006/relationships/image" Target="media/image28.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Letterhead.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DCA67-0C73-4EF4-9FD6-04A51AFE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0</TotalTime>
  <Pages>7</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Test method: UPLCC01 – Cannabinoids</vt:lpstr>
    </vt:vector>
  </TitlesOfParts>
  <Company>TGA</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Assay of Cannabinoids by UPLC</dc:title>
  <dc:creator>Therapeutic Goods Administration</dc:creator>
  <dc:description/>
  <cp:lastModifiedBy>PETKOVIC, Emily</cp:lastModifiedBy>
  <cp:revision>2</cp:revision>
  <cp:lastPrinted>2014-03-18T05:18:00Z</cp:lastPrinted>
  <dcterms:created xsi:type="dcterms:W3CDTF">2024-11-06T04:01:00Z</dcterms:created>
  <dcterms:modified xsi:type="dcterms:W3CDTF">2024-11-06T04:01:00Z</dcterms:modified>
</cp:coreProperties>
</file>