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page" w:horzAnchor="margin" w:tblpY="312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20"/>
      </w:tblGrid>
      <w:tr w:rsidR="002B29B2" w:rsidRPr="00215D48" w14:paraId="3C731F4C" w14:textId="77777777" w:rsidTr="002B29B2">
        <w:tc>
          <w:tcPr>
            <w:tcW w:w="8720" w:type="dxa"/>
          </w:tcPr>
          <w:p w14:paraId="7C64A74D" w14:textId="77777777" w:rsidR="00F401EF" w:rsidRPr="00042B40" w:rsidRDefault="00F82DCA" w:rsidP="00042B40">
            <w:pPr>
              <w:pStyle w:val="Title"/>
            </w:pPr>
            <w:r w:rsidRPr="00F82DCA">
              <w:t xml:space="preserve">Variations to prescription medicines – excluding variations requiring </w:t>
            </w:r>
            <w:r w:rsidRPr="007B278E">
              <w:t>evaluation</w:t>
            </w:r>
            <w:r w:rsidRPr="00F82DCA">
              <w:t xml:space="preserve"> of clinical or bioequivalence data</w:t>
            </w:r>
          </w:p>
        </w:tc>
      </w:tr>
      <w:tr w:rsidR="002B29B2" w:rsidRPr="00215D48" w14:paraId="1FD09E01" w14:textId="77777777" w:rsidTr="002B29B2">
        <w:trPr>
          <w:trHeight w:val="1916"/>
        </w:trPr>
        <w:tc>
          <w:tcPr>
            <w:tcW w:w="8720" w:type="dxa"/>
          </w:tcPr>
          <w:p w14:paraId="278476DC" w14:textId="77777777" w:rsidR="00F401EF" w:rsidRPr="00215D48" w:rsidRDefault="00F82DCA" w:rsidP="00EC1372">
            <w:pPr>
              <w:pStyle w:val="Subtitle"/>
              <w:framePr w:hSpace="0" w:wrap="auto" w:vAnchor="margin" w:hAnchor="text" w:yAlign="inline"/>
            </w:pPr>
            <w:r>
              <w:t xml:space="preserve">Process </w:t>
            </w:r>
            <w:r w:rsidRPr="00EC1372">
              <w:t>guidance</w:t>
            </w:r>
          </w:p>
        </w:tc>
      </w:tr>
      <w:tr w:rsidR="002B29B2" w:rsidRPr="00215D48" w14:paraId="3CBE7BE5" w14:textId="77777777" w:rsidTr="002B29B2">
        <w:tc>
          <w:tcPr>
            <w:tcW w:w="8720" w:type="dxa"/>
          </w:tcPr>
          <w:p w14:paraId="214A5C2A" w14:textId="77777777" w:rsidR="002B29B2" w:rsidRPr="007B278E" w:rsidRDefault="00F57473" w:rsidP="00EC1372">
            <w:pPr>
              <w:pStyle w:val="Date"/>
            </w:pPr>
            <w:r w:rsidRPr="007B278E">
              <w:t>Version 3.0, Ju</w:t>
            </w:r>
            <w:r w:rsidR="00EC1372">
              <w:t>ly</w:t>
            </w:r>
            <w:r w:rsidR="002B29B2" w:rsidRPr="007B278E">
              <w:t xml:space="preserve"> </w:t>
            </w:r>
            <w:r w:rsidR="00F82DCA" w:rsidRPr="007B278E">
              <w:t>2019</w:t>
            </w:r>
          </w:p>
        </w:tc>
      </w:tr>
    </w:tbl>
    <w:p w14:paraId="72A3C25A" w14:textId="77777777" w:rsidR="00B24FF5" w:rsidRPr="00215D48" w:rsidRDefault="00B24FF5" w:rsidP="00B24FF5">
      <w:pPr>
        <w:pStyle w:val="ListBullet"/>
        <w:numPr>
          <w:ilvl w:val="0"/>
          <w:numId w:val="0"/>
        </w:numPr>
        <w:sectPr w:rsidR="00B24FF5" w:rsidRPr="00215D48" w:rsidSect="00F401EF">
          <w:headerReference w:type="default" r:id="rId8"/>
          <w:footerReference w:type="default" r:id="rId9"/>
          <w:headerReference w:type="first" r:id="rId10"/>
          <w:footerReference w:type="first" r:id="rId11"/>
          <w:type w:val="continuous"/>
          <w:pgSz w:w="11906" w:h="16838" w:code="9"/>
          <w:pgMar w:top="6486" w:right="1418" w:bottom="0" w:left="1418" w:header="992" w:footer="335" w:gutter="0"/>
          <w:cols w:space="708"/>
          <w:titlePg/>
          <w:docGrid w:linePitch="360"/>
        </w:sectPr>
      </w:pPr>
    </w:p>
    <w:p w14:paraId="0F63DF73" w14:textId="77777777" w:rsidR="005D1689" w:rsidRPr="00E1198B" w:rsidRDefault="005D1689" w:rsidP="00BA0DFC">
      <w:pPr>
        <w:pStyle w:val="LegalSubheading"/>
      </w:pPr>
      <w:r w:rsidRPr="00BA0DFC">
        <w:lastRenderedPageBreak/>
        <w:t>Copyright</w:t>
      </w:r>
    </w:p>
    <w:p w14:paraId="057FEFDC" w14:textId="77777777" w:rsidR="00F274A2" w:rsidRDefault="005D1689" w:rsidP="0029069E">
      <w:pPr>
        <w:pStyle w:val="LegalCopy"/>
        <w:rPr>
          <w:rFonts w:cs="Arial"/>
        </w:rPr>
      </w:pPr>
      <w:r w:rsidRPr="00215D48">
        <w:rPr>
          <w:rFonts w:cs="Arial"/>
        </w:rPr>
        <w:t>© Commonwealth of Australia 201</w:t>
      </w:r>
      <w:r w:rsidR="00FE6716">
        <w:rPr>
          <w:rFonts w:cs="Arial"/>
        </w:rPr>
        <w:t>9</w:t>
      </w:r>
      <w:r w:rsidRPr="00215D48">
        <w:rPr>
          <w:rFonts w:cs="Arial"/>
        </w:rPr>
        <w:br/>
        <w:t xml:space="preserve">This work is copyright. You may reproduce the whole or part of this work in unaltered form for your own personal use or, if you are part of an organisation, for internal use within your organisation, but only if you or your organisation do not use the reproduction for any commercial purpose and retain this copyright notice and all disclaimer notices as part of that reproduction. Apart from rights to use as permitted by the </w:t>
      </w:r>
      <w:r w:rsidRPr="00215D48">
        <w:rPr>
          <w:rFonts w:cs="Arial"/>
          <w:i/>
        </w:rPr>
        <w:t>Copyright Act 1968</w:t>
      </w:r>
      <w:r w:rsidRPr="00215D48">
        <w:rPr>
          <w:rFonts w:cs="Arial"/>
        </w:rPr>
        <w:t xml:space="preserve"> or allowed by this copyright notice, all other rights are reserved and you are not allowed to reproduce the whole or any part of this work in any way (electronic or otherwise) without first being given specific written permission from the Commonwealth to do so. Requests and inquiries concerning reproduction and rights are to be sent to the TGA Copyright Officer, Therapeutic Goods Administration, PO Box 100, Woden ACT 2606 or emailed to &lt;</w:t>
      </w:r>
      <w:hyperlink r:id="rId12" w:history="1">
        <w:r w:rsidRPr="00215D48">
          <w:rPr>
            <w:rStyle w:val="Hyperlink"/>
            <w:rFonts w:cs="Arial"/>
          </w:rPr>
          <w:t>tga.copyright@tga.gov.au</w:t>
        </w:r>
      </w:hyperlink>
      <w:r w:rsidRPr="00215D48">
        <w:rPr>
          <w:rFonts w:cs="Arial"/>
        </w:rPr>
        <w:t>&gt;.</w:t>
      </w:r>
    </w:p>
    <w:sdt>
      <w:sdtPr>
        <w:rPr>
          <w:rFonts w:ascii="Cambria" w:hAnsi="Cambria"/>
          <w:b w:val="0"/>
          <w:sz w:val="22"/>
        </w:rPr>
        <w:id w:val="21514769"/>
        <w:docPartObj>
          <w:docPartGallery w:val="Table of Contents"/>
          <w:docPartUnique/>
        </w:docPartObj>
      </w:sdtPr>
      <w:sdtEndPr/>
      <w:sdtContent>
        <w:p w14:paraId="18217D6D" w14:textId="77777777" w:rsidR="00F401EF" w:rsidRPr="00215D48" w:rsidRDefault="00F401EF" w:rsidP="00F048E4">
          <w:pPr>
            <w:pStyle w:val="NonTOCheading2"/>
          </w:pPr>
          <w:r w:rsidRPr="00215D48">
            <w:t>Contents</w:t>
          </w:r>
        </w:p>
        <w:p w14:paraId="57D58268" w14:textId="77777777" w:rsidR="00BB6DE3" w:rsidRDefault="00F859D2">
          <w:pPr>
            <w:pStyle w:val="TOC1"/>
            <w:rPr>
              <w:rFonts w:asciiTheme="minorHAnsi" w:eastAsiaTheme="minorEastAsia" w:hAnsiTheme="minorHAnsi" w:cstheme="minorBidi"/>
              <w:b w:val="0"/>
              <w:noProof/>
              <w:sz w:val="22"/>
              <w:szCs w:val="22"/>
              <w:lang w:eastAsia="en-AU"/>
            </w:rPr>
          </w:pPr>
          <w:r w:rsidRPr="00215D48">
            <w:fldChar w:fldCharType="begin"/>
          </w:r>
          <w:r w:rsidR="00F401EF" w:rsidRPr="00215D48">
            <w:instrText xml:space="preserve"> TOC \h \z \u \t "Heading 2,1,Heading 3,2,Heading 4,3" </w:instrText>
          </w:r>
          <w:r w:rsidRPr="00215D48">
            <w:fldChar w:fldCharType="separate"/>
          </w:r>
          <w:hyperlink w:anchor="_Toc10202234" w:history="1">
            <w:r w:rsidR="00BB6DE3" w:rsidRPr="00E91865">
              <w:rPr>
                <w:rStyle w:val="Hyperlink"/>
                <w:noProof/>
              </w:rPr>
              <w:t>Introduction</w:t>
            </w:r>
            <w:r w:rsidR="00BB6DE3">
              <w:rPr>
                <w:noProof/>
                <w:webHidden/>
              </w:rPr>
              <w:tab/>
            </w:r>
            <w:r w:rsidR="00BB6DE3">
              <w:rPr>
                <w:noProof/>
                <w:webHidden/>
              </w:rPr>
              <w:fldChar w:fldCharType="begin"/>
            </w:r>
            <w:r w:rsidR="00BB6DE3">
              <w:rPr>
                <w:noProof/>
                <w:webHidden/>
              </w:rPr>
              <w:instrText xml:space="preserve"> PAGEREF _Toc10202234 \h </w:instrText>
            </w:r>
            <w:r w:rsidR="00BB6DE3">
              <w:rPr>
                <w:noProof/>
                <w:webHidden/>
              </w:rPr>
            </w:r>
            <w:r w:rsidR="00BB6DE3">
              <w:rPr>
                <w:noProof/>
                <w:webHidden/>
              </w:rPr>
              <w:fldChar w:fldCharType="separate"/>
            </w:r>
            <w:r w:rsidR="00BB6DE3">
              <w:rPr>
                <w:noProof/>
                <w:webHidden/>
              </w:rPr>
              <w:t>5</w:t>
            </w:r>
            <w:r w:rsidR="00BB6DE3">
              <w:rPr>
                <w:noProof/>
                <w:webHidden/>
              </w:rPr>
              <w:fldChar w:fldCharType="end"/>
            </w:r>
          </w:hyperlink>
        </w:p>
        <w:p w14:paraId="34F8B862" w14:textId="77777777" w:rsidR="00BB6DE3" w:rsidRDefault="0057494E">
          <w:pPr>
            <w:pStyle w:val="TOC2"/>
            <w:rPr>
              <w:rFonts w:asciiTheme="minorHAnsi" w:eastAsiaTheme="minorEastAsia" w:hAnsiTheme="minorHAnsi" w:cstheme="minorBidi"/>
              <w:b w:val="0"/>
              <w:noProof/>
              <w:sz w:val="22"/>
              <w:szCs w:val="22"/>
              <w:lang w:eastAsia="en-AU"/>
            </w:rPr>
          </w:pPr>
          <w:hyperlink w:anchor="_Toc10202235" w:history="1">
            <w:r w:rsidR="00BB6DE3" w:rsidRPr="00E91865">
              <w:rPr>
                <w:rStyle w:val="Hyperlink"/>
                <w:noProof/>
              </w:rPr>
              <w:t>Other types of variations</w:t>
            </w:r>
            <w:r w:rsidR="00BB6DE3">
              <w:rPr>
                <w:noProof/>
                <w:webHidden/>
              </w:rPr>
              <w:tab/>
            </w:r>
            <w:r w:rsidR="00BB6DE3">
              <w:rPr>
                <w:noProof/>
                <w:webHidden/>
              </w:rPr>
              <w:fldChar w:fldCharType="begin"/>
            </w:r>
            <w:r w:rsidR="00BB6DE3">
              <w:rPr>
                <w:noProof/>
                <w:webHidden/>
              </w:rPr>
              <w:instrText xml:space="preserve"> PAGEREF _Toc10202235 \h </w:instrText>
            </w:r>
            <w:r w:rsidR="00BB6DE3">
              <w:rPr>
                <w:noProof/>
                <w:webHidden/>
              </w:rPr>
            </w:r>
            <w:r w:rsidR="00BB6DE3">
              <w:rPr>
                <w:noProof/>
                <w:webHidden/>
              </w:rPr>
              <w:fldChar w:fldCharType="separate"/>
            </w:r>
            <w:r w:rsidR="00BB6DE3">
              <w:rPr>
                <w:noProof/>
                <w:webHidden/>
              </w:rPr>
              <w:t>6</w:t>
            </w:r>
            <w:r w:rsidR="00BB6DE3">
              <w:rPr>
                <w:noProof/>
                <w:webHidden/>
              </w:rPr>
              <w:fldChar w:fldCharType="end"/>
            </w:r>
          </w:hyperlink>
        </w:p>
        <w:p w14:paraId="44C650F5" w14:textId="77777777" w:rsidR="00BB6DE3" w:rsidRDefault="0057494E">
          <w:pPr>
            <w:pStyle w:val="TOC2"/>
            <w:rPr>
              <w:rFonts w:asciiTheme="minorHAnsi" w:eastAsiaTheme="minorEastAsia" w:hAnsiTheme="minorHAnsi" w:cstheme="minorBidi"/>
              <w:b w:val="0"/>
              <w:noProof/>
              <w:sz w:val="22"/>
              <w:szCs w:val="22"/>
              <w:lang w:eastAsia="en-AU"/>
            </w:rPr>
          </w:pPr>
          <w:hyperlink w:anchor="_Toc10202236" w:history="1">
            <w:r w:rsidR="00BB6DE3" w:rsidRPr="00E91865">
              <w:rPr>
                <w:rStyle w:val="Hyperlink"/>
                <w:noProof/>
              </w:rPr>
              <w:t>Contact the TGA</w:t>
            </w:r>
            <w:r w:rsidR="00BB6DE3">
              <w:rPr>
                <w:noProof/>
                <w:webHidden/>
              </w:rPr>
              <w:tab/>
            </w:r>
            <w:r w:rsidR="00BB6DE3">
              <w:rPr>
                <w:noProof/>
                <w:webHidden/>
              </w:rPr>
              <w:fldChar w:fldCharType="begin"/>
            </w:r>
            <w:r w:rsidR="00BB6DE3">
              <w:rPr>
                <w:noProof/>
                <w:webHidden/>
              </w:rPr>
              <w:instrText xml:space="preserve"> PAGEREF _Toc10202236 \h </w:instrText>
            </w:r>
            <w:r w:rsidR="00BB6DE3">
              <w:rPr>
                <w:noProof/>
                <w:webHidden/>
              </w:rPr>
            </w:r>
            <w:r w:rsidR="00BB6DE3">
              <w:rPr>
                <w:noProof/>
                <w:webHidden/>
              </w:rPr>
              <w:fldChar w:fldCharType="separate"/>
            </w:r>
            <w:r w:rsidR="00BB6DE3">
              <w:rPr>
                <w:noProof/>
                <w:webHidden/>
              </w:rPr>
              <w:t>6</w:t>
            </w:r>
            <w:r w:rsidR="00BB6DE3">
              <w:rPr>
                <w:noProof/>
                <w:webHidden/>
              </w:rPr>
              <w:fldChar w:fldCharType="end"/>
            </w:r>
          </w:hyperlink>
        </w:p>
        <w:p w14:paraId="071C9A2E" w14:textId="77777777" w:rsidR="00BB6DE3" w:rsidRDefault="0057494E">
          <w:pPr>
            <w:pStyle w:val="TOC1"/>
            <w:tabs>
              <w:tab w:val="left" w:pos="851"/>
            </w:tabs>
            <w:rPr>
              <w:rFonts w:asciiTheme="minorHAnsi" w:eastAsiaTheme="minorEastAsia" w:hAnsiTheme="minorHAnsi" w:cstheme="minorBidi"/>
              <w:b w:val="0"/>
              <w:noProof/>
              <w:sz w:val="22"/>
              <w:szCs w:val="22"/>
              <w:lang w:eastAsia="en-AU"/>
            </w:rPr>
          </w:pPr>
          <w:hyperlink w:anchor="_Toc10202237" w:history="1">
            <w:r w:rsidR="00BB6DE3" w:rsidRPr="00E91865">
              <w:rPr>
                <w:rStyle w:val="Hyperlink"/>
                <w:noProof/>
              </w:rPr>
              <w:t>1.</w:t>
            </w:r>
            <w:r w:rsidR="00BB6DE3">
              <w:rPr>
                <w:rFonts w:asciiTheme="minorHAnsi" w:eastAsiaTheme="minorEastAsia" w:hAnsiTheme="minorHAnsi" w:cstheme="minorBidi"/>
                <w:b w:val="0"/>
                <w:noProof/>
                <w:sz w:val="22"/>
                <w:szCs w:val="22"/>
                <w:lang w:eastAsia="en-AU"/>
              </w:rPr>
              <w:tab/>
            </w:r>
            <w:r w:rsidR="00BB6DE3" w:rsidRPr="00E91865">
              <w:rPr>
                <w:rStyle w:val="Hyperlink"/>
                <w:noProof/>
              </w:rPr>
              <w:t>Legislative basis for varying products</w:t>
            </w:r>
            <w:r w:rsidR="00BB6DE3">
              <w:rPr>
                <w:noProof/>
                <w:webHidden/>
              </w:rPr>
              <w:tab/>
            </w:r>
            <w:r w:rsidR="00BB6DE3">
              <w:rPr>
                <w:noProof/>
                <w:webHidden/>
              </w:rPr>
              <w:fldChar w:fldCharType="begin"/>
            </w:r>
            <w:r w:rsidR="00BB6DE3">
              <w:rPr>
                <w:noProof/>
                <w:webHidden/>
              </w:rPr>
              <w:instrText xml:space="preserve"> PAGEREF _Toc10202237 \h </w:instrText>
            </w:r>
            <w:r w:rsidR="00BB6DE3">
              <w:rPr>
                <w:noProof/>
                <w:webHidden/>
              </w:rPr>
            </w:r>
            <w:r w:rsidR="00BB6DE3">
              <w:rPr>
                <w:noProof/>
                <w:webHidden/>
              </w:rPr>
              <w:fldChar w:fldCharType="separate"/>
            </w:r>
            <w:r w:rsidR="00BB6DE3">
              <w:rPr>
                <w:noProof/>
                <w:webHidden/>
              </w:rPr>
              <w:t>7</w:t>
            </w:r>
            <w:r w:rsidR="00BB6DE3">
              <w:rPr>
                <w:noProof/>
                <w:webHidden/>
              </w:rPr>
              <w:fldChar w:fldCharType="end"/>
            </w:r>
          </w:hyperlink>
        </w:p>
        <w:p w14:paraId="6F537BA6" w14:textId="77777777" w:rsidR="00BB6DE3" w:rsidRDefault="0057494E">
          <w:pPr>
            <w:pStyle w:val="TOC2"/>
            <w:tabs>
              <w:tab w:val="left" w:pos="1276"/>
            </w:tabs>
            <w:rPr>
              <w:rFonts w:asciiTheme="minorHAnsi" w:eastAsiaTheme="minorEastAsia" w:hAnsiTheme="minorHAnsi" w:cstheme="minorBidi"/>
              <w:b w:val="0"/>
              <w:noProof/>
              <w:sz w:val="22"/>
              <w:szCs w:val="22"/>
              <w:lang w:eastAsia="en-AU"/>
            </w:rPr>
          </w:pPr>
          <w:hyperlink w:anchor="_Toc10202238" w:history="1">
            <w:r w:rsidR="00BB6DE3" w:rsidRPr="00E91865">
              <w:rPr>
                <w:rStyle w:val="Hyperlink"/>
                <w:noProof/>
              </w:rPr>
              <w:t>1.1</w:t>
            </w:r>
            <w:r w:rsidR="00BB6DE3">
              <w:rPr>
                <w:rFonts w:asciiTheme="minorHAnsi" w:eastAsiaTheme="minorEastAsia" w:hAnsiTheme="minorHAnsi" w:cstheme="minorBidi"/>
                <w:b w:val="0"/>
                <w:noProof/>
                <w:sz w:val="22"/>
                <w:szCs w:val="22"/>
                <w:lang w:eastAsia="en-AU"/>
              </w:rPr>
              <w:tab/>
            </w:r>
            <w:r w:rsidR="00BB6DE3" w:rsidRPr="00E91865">
              <w:rPr>
                <w:rStyle w:val="Hyperlink"/>
                <w:noProof/>
              </w:rPr>
              <w:t>Variations under s.9D of the Act</w:t>
            </w:r>
            <w:r w:rsidR="00BB6DE3">
              <w:rPr>
                <w:noProof/>
                <w:webHidden/>
              </w:rPr>
              <w:tab/>
            </w:r>
            <w:r w:rsidR="00BB6DE3">
              <w:rPr>
                <w:noProof/>
                <w:webHidden/>
              </w:rPr>
              <w:fldChar w:fldCharType="begin"/>
            </w:r>
            <w:r w:rsidR="00BB6DE3">
              <w:rPr>
                <w:noProof/>
                <w:webHidden/>
              </w:rPr>
              <w:instrText xml:space="preserve"> PAGEREF _Toc10202238 \h </w:instrText>
            </w:r>
            <w:r w:rsidR="00BB6DE3">
              <w:rPr>
                <w:noProof/>
                <w:webHidden/>
              </w:rPr>
            </w:r>
            <w:r w:rsidR="00BB6DE3">
              <w:rPr>
                <w:noProof/>
                <w:webHidden/>
              </w:rPr>
              <w:fldChar w:fldCharType="separate"/>
            </w:r>
            <w:r w:rsidR="00BB6DE3">
              <w:rPr>
                <w:noProof/>
                <w:webHidden/>
              </w:rPr>
              <w:t>7</w:t>
            </w:r>
            <w:r w:rsidR="00BB6DE3">
              <w:rPr>
                <w:noProof/>
                <w:webHidden/>
              </w:rPr>
              <w:fldChar w:fldCharType="end"/>
            </w:r>
          </w:hyperlink>
        </w:p>
        <w:p w14:paraId="70BB7E32" w14:textId="77777777" w:rsidR="00BB6DE3" w:rsidRDefault="0057494E">
          <w:pPr>
            <w:pStyle w:val="TOC2"/>
            <w:tabs>
              <w:tab w:val="left" w:pos="1276"/>
            </w:tabs>
            <w:rPr>
              <w:rFonts w:asciiTheme="minorHAnsi" w:eastAsiaTheme="minorEastAsia" w:hAnsiTheme="minorHAnsi" w:cstheme="minorBidi"/>
              <w:b w:val="0"/>
              <w:noProof/>
              <w:sz w:val="22"/>
              <w:szCs w:val="22"/>
              <w:lang w:eastAsia="en-AU"/>
            </w:rPr>
          </w:pPr>
          <w:hyperlink w:anchor="_Toc10202239" w:history="1">
            <w:r w:rsidR="00BB6DE3" w:rsidRPr="00E91865">
              <w:rPr>
                <w:rStyle w:val="Hyperlink"/>
                <w:noProof/>
              </w:rPr>
              <w:t>1.2</w:t>
            </w:r>
            <w:r w:rsidR="00BB6DE3">
              <w:rPr>
                <w:rFonts w:asciiTheme="minorHAnsi" w:eastAsiaTheme="minorEastAsia" w:hAnsiTheme="minorHAnsi" w:cstheme="minorBidi"/>
                <w:b w:val="0"/>
                <w:noProof/>
                <w:sz w:val="22"/>
                <w:szCs w:val="22"/>
                <w:lang w:eastAsia="en-AU"/>
              </w:rPr>
              <w:tab/>
            </w:r>
            <w:r w:rsidR="00BB6DE3" w:rsidRPr="00E91865">
              <w:rPr>
                <w:rStyle w:val="Hyperlink"/>
                <w:noProof/>
              </w:rPr>
              <w:t>Changes that do not require prior approval</w:t>
            </w:r>
            <w:r w:rsidR="00BB6DE3">
              <w:rPr>
                <w:noProof/>
                <w:webHidden/>
              </w:rPr>
              <w:tab/>
            </w:r>
            <w:r w:rsidR="00BB6DE3">
              <w:rPr>
                <w:noProof/>
                <w:webHidden/>
              </w:rPr>
              <w:fldChar w:fldCharType="begin"/>
            </w:r>
            <w:r w:rsidR="00BB6DE3">
              <w:rPr>
                <w:noProof/>
                <w:webHidden/>
              </w:rPr>
              <w:instrText xml:space="preserve"> PAGEREF _Toc10202239 \h </w:instrText>
            </w:r>
            <w:r w:rsidR="00BB6DE3">
              <w:rPr>
                <w:noProof/>
                <w:webHidden/>
              </w:rPr>
            </w:r>
            <w:r w:rsidR="00BB6DE3">
              <w:rPr>
                <w:noProof/>
                <w:webHidden/>
              </w:rPr>
              <w:fldChar w:fldCharType="separate"/>
            </w:r>
            <w:r w:rsidR="00BB6DE3">
              <w:rPr>
                <w:noProof/>
                <w:webHidden/>
              </w:rPr>
              <w:t>8</w:t>
            </w:r>
            <w:r w:rsidR="00BB6DE3">
              <w:rPr>
                <w:noProof/>
                <w:webHidden/>
              </w:rPr>
              <w:fldChar w:fldCharType="end"/>
            </w:r>
          </w:hyperlink>
        </w:p>
        <w:p w14:paraId="63E53DC5" w14:textId="77777777" w:rsidR="00BB6DE3" w:rsidRDefault="0057494E">
          <w:pPr>
            <w:pStyle w:val="TOC3"/>
            <w:tabs>
              <w:tab w:val="left" w:pos="1701"/>
            </w:tabs>
            <w:rPr>
              <w:rFonts w:asciiTheme="minorHAnsi" w:eastAsiaTheme="minorEastAsia" w:hAnsiTheme="minorHAnsi" w:cstheme="minorBidi"/>
              <w:b w:val="0"/>
              <w:noProof/>
              <w:szCs w:val="22"/>
              <w:lang w:eastAsia="en-AU"/>
            </w:rPr>
          </w:pPr>
          <w:hyperlink w:anchor="_Toc10202240" w:history="1">
            <w:r w:rsidR="00BB6DE3" w:rsidRPr="00E91865">
              <w:rPr>
                <w:rStyle w:val="Hyperlink"/>
                <w:rFonts w:cs="Arial"/>
                <w:noProof/>
              </w:rPr>
              <w:t>1.2.1</w:t>
            </w:r>
            <w:r w:rsidR="00BB6DE3">
              <w:rPr>
                <w:rFonts w:asciiTheme="minorHAnsi" w:eastAsiaTheme="minorEastAsia" w:hAnsiTheme="minorHAnsi" w:cstheme="minorBidi"/>
                <w:b w:val="0"/>
                <w:noProof/>
                <w:szCs w:val="22"/>
                <w:lang w:eastAsia="en-AU"/>
              </w:rPr>
              <w:tab/>
            </w:r>
            <w:r w:rsidR="00BB6DE3" w:rsidRPr="00E91865">
              <w:rPr>
                <w:rStyle w:val="Hyperlink"/>
                <w:rFonts w:cs="Arial"/>
                <w:noProof/>
              </w:rPr>
              <w:t>Examples</w:t>
            </w:r>
            <w:r w:rsidR="00BB6DE3">
              <w:rPr>
                <w:noProof/>
                <w:webHidden/>
              </w:rPr>
              <w:tab/>
            </w:r>
            <w:r w:rsidR="00BB6DE3">
              <w:rPr>
                <w:noProof/>
                <w:webHidden/>
              </w:rPr>
              <w:fldChar w:fldCharType="begin"/>
            </w:r>
            <w:r w:rsidR="00BB6DE3">
              <w:rPr>
                <w:noProof/>
                <w:webHidden/>
              </w:rPr>
              <w:instrText xml:space="preserve"> PAGEREF _Toc10202240 \h </w:instrText>
            </w:r>
            <w:r w:rsidR="00BB6DE3">
              <w:rPr>
                <w:noProof/>
                <w:webHidden/>
              </w:rPr>
            </w:r>
            <w:r w:rsidR="00BB6DE3">
              <w:rPr>
                <w:noProof/>
                <w:webHidden/>
              </w:rPr>
              <w:fldChar w:fldCharType="separate"/>
            </w:r>
            <w:r w:rsidR="00BB6DE3">
              <w:rPr>
                <w:noProof/>
                <w:webHidden/>
              </w:rPr>
              <w:t>8</w:t>
            </w:r>
            <w:r w:rsidR="00BB6DE3">
              <w:rPr>
                <w:noProof/>
                <w:webHidden/>
              </w:rPr>
              <w:fldChar w:fldCharType="end"/>
            </w:r>
          </w:hyperlink>
        </w:p>
        <w:p w14:paraId="6C7FA746" w14:textId="77777777" w:rsidR="00BB6DE3" w:rsidRDefault="0057494E">
          <w:pPr>
            <w:pStyle w:val="TOC2"/>
            <w:tabs>
              <w:tab w:val="left" w:pos="1276"/>
            </w:tabs>
            <w:rPr>
              <w:rFonts w:asciiTheme="minorHAnsi" w:eastAsiaTheme="minorEastAsia" w:hAnsiTheme="minorHAnsi" w:cstheme="minorBidi"/>
              <w:b w:val="0"/>
              <w:noProof/>
              <w:sz w:val="22"/>
              <w:szCs w:val="22"/>
              <w:lang w:eastAsia="en-AU"/>
            </w:rPr>
          </w:pPr>
          <w:hyperlink w:anchor="_Toc10202241" w:history="1">
            <w:r w:rsidR="00BB6DE3" w:rsidRPr="00E91865">
              <w:rPr>
                <w:rStyle w:val="Hyperlink"/>
                <w:noProof/>
              </w:rPr>
              <w:t>1.3</w:t>
            </w:r>
            <w:r w:rsidR="00BB6DE3">
              <w:rPr>
                <w:rFonts w:asciiTheme="minorHAnsi" w:eastAsiaTheme="minorEastAsia" w:hAnsiTheme="minorHAnsi" w:cstheme="minorBidi"/>
                <w:b w:val="0"/>
                <w:noProof/>
                <w:sz w:val="22"/>
                <w:szCs w:val="22"/>
                <w:lang w:eastAsia="en-AU"/>
              </w:rPr>
              <w:tab/>
            </w:r>
            <w:r w:rsidR="00BB6DE3" w:rsidRPr="00E91865">
              <w:rPr>
                <w:rStyle w:val="Hyperlink"/>
                <w:noProof/>
              </w:rPr>
              <w:t>Separate and distinct goods</w:t>
            </w:r>
            <w:r w:rsidR="00BB6DE3">
              <w:rPr>
                <w:noProof/>
                <w:webHidden/>
              </w:rPr>
              <w:tab/>
            </w:r>
            <w:r w:rsidR="00BB6DE3">
              <w:rPr>
                <w:noProof/>
                <w:webHidden/>
              </w:rPr>
              <w:fldChar w:fldCharType="begin"/>
            </w:r>
            <w:r w:rsidR="00BB6DE3">
              <w:rPr>
                <w:noProof/>
                <w:webHidden/>
              </w:rPr>
              <w:instrText xml:space="preserve"> PAGEREF _Toc10202241 \h </w:instrText>
            </w:r>
            <w:r w:rsidR="00BB6DE3">
              <w:rPr>
                <w:noProof/>
                <w:webHidden/>
              </w:rPr>
            </w:r>
            <w:r w:rsidR="00BB6DE3">
              <w:rPr>
                <w:noProof/>
                <w:webHidden/>
              </w:rPr>
              <w:fldChar w:fldCharType="separate"/>
            </w:r>
            <w:r w:rsidR="00BB6DE3">
              <w:rPr>
                <w:noProof/>
                <w:webHidden/>
              </w:rPr>
              <w:t>9</w:t>
            </w:r>
            <w:r w:rsidR="00BB6DE3">
              <w:rPr>
                <w:noProof/>
                <w:webHidden/>
              </w:rPr>
              <w:fldChar w:fldCharType="end"/>
            </w:r>
          </w:hyperlink>
        </w:p>
        <w:p w14:paraId="78411A2B" w14:textId="77777777" w:rsidR="00BB6DE3" w:rsidRDefault="0057494E">
          <w:pPr>
            <w:pStyle w:val="TOC3"/>
            <w:tabs>
              <w:tab w:val="left" w:pos="1701"/>
            </w:tabs>
            <w:rPr>
              <w:rFonts w:asciiTheme="minorHAnsi" w:eastAsiaTheme="minorEastAsia" w:hAnsiTheme="minorHAnsi" w:cstheme="minorBidi"/>
              <w:b w:val="0"/>
              <w:noProof/>
              <w:szCs w:val="22"/>
              <w:lang w:eastAsia="en-AU"/>
            </w:rPr>
          </w:pPr>
          <w:hyperlink w:anchor="_Toc10202242" w:history="1">
            <w:r w:rsidR="00BB6DE3" w:rsidRPr="00E91865">
              <w:rPr>
                <w:rStyle w:val="Hyperlink"/>
                <w:noProof/>
              </w:rPr>
              <w:t>1.3.1</w:t>
            </w:r>
            <w:r w:rsidR="00BB6DE3">
              <w:rPr>
                <w:rFonts w:asciiTheme="minorHAnsi" w:eastAsiaTheme="minorEastAsia" w:hAnsiTheme="minorHAnsi" w:cstheme="minorBidi"/>
                <w:b w:val="0"/>
                <w:noProof/>
                <w:szCs w:val="22"/>
                <w:lang w:eastAsia="en-AU"/>
              </w:rPr>
              <w:tab/>
            </w:r>
            <w:r w:rsidR="00BB6DE3" w:rsidRPr="00E91865">
              <w:rPr>
                <w:rStyle w:val="Hyperlink"/>
                <w:noProof/>
              </w:rPr>
              <w:t>Retaining an existing AUST R number</w:t>
            </w:r>
            <w:r w:rsidR="00BB6DE3">
              <w:rPr>
                <w:noProof/>
                <w:webHidden/>
              </w:rPr>
              <w:tab/>
            </w:r>
            <w:r w:rsidR="00BB6DE3">
              <w:rPr>
                <w:noProof/>
                <w:webHidden/>
              </w:rPr>
              <w:fldChar w:fldCharType="begin"/>
            </w:r>
            <w:r w:rsidR="00BB6DE3">
              <w:rPr>
                <w:noProof/>
                <w:webHidden/>
              </w:rPr>
              <w:instrText xml:space="preserve"> PAGEREF _Toc10202242 \h </w:instrText>
            </w:r>
            <w:r w:rsidR="00BB6DE3">
              <w:rPr>
                <w:noProof/>
                <w:webHidden/>
              </w:rPr>
            </w:r>
            <w:r w:rsidR="00BB6DE3">
              <w:rPr>
                <w:noProof/>
                <w:webHidden/>
              </w:rPr>
              <w:fldChar w:fldCharType="separate"/>
            </w:r>
            <w:r w:rsidR="00BB6DE3">
              <w:rPr>
                <w:noProof/>
                <w:webHidden/>
              </w:rPr>
              <w:t>9</w:t>
            </w:r>
            <w:r w:rsidR="00BB6DE3">
              <w:rPr>
                <w:noProof/>
                <w:webHidden/>
              </w:rPr>
              <w:fldChar w:fldCharType="end"/>
            </w:r>
          </w:hyperlink>
        </w:p>
        <w:p w14:paraId="7495D9A1" w14:textId="77777777" w:rsidR="00BB6DE3" w:rsidRDefault="0057494E">
          <w:pPr>
            <w:pStyle w:val="TOC3"/>
            <w:tabs>
              <w:tab w:val="left" w:pos="1701"/>
            </w:tabs>
            <w:rPr>
              <w:rFonts w:asciiTheme="minorHAnsi" w:eastAsiaTheme="minorEastAsia" w:hAnsiTheme="minorHAnsi" w:cstheme="minorBidi"/>
              <w:b w:val="0"/>
              <w:noProof/>
              <w:szCs w:val="22"/>
              <w:lang w:eastAsia="en-AU"/>
            </w:rPr>
          </w:pPr>
          <w:hyperlink w:anchor="_Toc10202243" w:history="1">
            <w:r w:rsidR="00BB6DE3" w:rsidRPr="00E91865">
              <w:rPr>
                <w:rStyle w:val="Hyperlink"/>
                <w:noProof/>
              </w:rPr>
              <w:t>1.3.2</w:t>
            </w:r>
            <w:r w:rsidR="00BB6DE3">
              <w:rPr>
                <w:rFonts w:asciiTheme="minorHAnsi" w:eastAsiaTheme="minorEastAsia" w:hAnsiTheme="minorHAnsi" w:cstheme="minorBidi"/>
                <w:b w:val="0"/>
                <w:noProof/>
                <w:szCs w:val="22"/>
                <w:lang w:eastAsia="en-AU"/>
              </w:rPr>
              <w:tab/>
            </w:r>
            <w:r w:rsidR="00BB6DE3" w:rsidRPr="00E91865">
              <w:rPr>
                <w:rStyle w:val="Hyperlink"/>
                <w:noProof/>
              </w:rPr>
              <w:t>New AUST R number</w:t>
            </w:r>
            <w:r w:rsidR="00BB6DE3">
              <w:rPr>
                <w:noProof/>
                <w:webHidden/>
              </w:rPr>
              <w:tab/>
            </w:r>
            <w:r w:rsidR="00BB6DE3">
              <w:rPr>
                <w:noProof/>
                <w:webHidden/>
              </w:rPr>
              <w:fldChar w:fldCharType="begin"/>
            </w:r>
            <w:r w:rsidR="00BB6DE3">
              <w:rPr>
                <w:noProof/>
                <w:webHidden/>
              </w:rPr>
              <w:instrText xml:space="preserve"> PAGEREF _Toc10202243 \h </w:instrText>
            </w:r>
            <w:r w:rsidR="00BB6DE3">
              <w:rPr>
                <w:noProof/>
                <w:webHidden/>
              </w:rPr>
            </w:r>
            <w:r w:rsidR="00BB6DE3">
              <w:rPr>
                <w:noProof/>
                <w:webHidden/>
              </w:rPr>
              <w:fldChar w:fldCharType="separate"/>
            </w:r>
            <w:r w:rsidR="00BB6DE3">
              <w:rPr>
                <w:noProof/>
                <w:webHidden/>
              </w:rPr>
              <w:t>9</w:t>
            </w:r>
            <w:r w:rsidR="00BB6DE3">
              <w:rPr>
                <w:noProof/>
                <w:webHidden/>
              </w:rPr>
              <w:fldChar w:fldCharType="end"/>
            </w:r>
          </w:hyperlink>
        </w:p>
        <w:p w14:paraId="33CAF8FD" w14:textId="77777777" w:rsidR="00BB6DE3" w:rsidRDefault="0057494E">
          <w:pPr>
            <w:pStyle w:val="TOC2"/>
            <w:tabs>
              <w:tab w:val="left" w:pos="1276"/>
            </w:tabs>
            <w:rPr>
              <w:rFonts w:asciiTheme="minorHAnsi" w:eastAsiaTheme="minorEastAsia" w:hAnsiTheme="minorHAnsi" w:cstheme="minorBidi"/>
              <w:b w:val="0"/>
              <w:noProof/>
              <w:sz w:val="22"/>
              <w:szCs w:val="22"/>
              <w:lang w:eastAsia="en-AU"/>
            </w:rPr>
          </w:pPr>
          <w:hyperlink w:anchor="_Toc10202244" w:history="1">
            <w:r w:rsidR="00BB6DE3" w:rsidRPr="00E91865">
              <w:rPr>
                <w:rStyle w:val="Hyperlink"/>
                <w:noProof/>
              </w:rPr>
              <w:t>1.4</w:t>
            </w:r>
            <w:r w:rsidR="00BB6DE3">
              <w:rPr>
                <w:rFonts w:asciiTheme="minorHAnsi" w:eastAsiaTheme="minorEastAsia" w:hAnsiTheme="minorHAnsi" w:cstheme="minorBidi"/>
                <w:b w:val="0"/>
                <w:noProof/>
                <w:sz w:val="22"/>
                <w:szCs w:val="22"/>
                <w:lang w:eastAsia="en-AU"/>
              </w:rPr>
              <w:tab/>
            </w:r>
            <w:r w:rsidR="00BB6DE3" w:rsidRPr="00E91865">
              <w:rPr>
                <w:rStyle w:val="Hyperlink"/>
                <w:noProof/>
              </w:rPr>
              <w:t>Statutory timeframes</w:t>
            </w:r>
            <w:r w:rsidR="00BB6DE3">
              <w:rPr>
                <w:noProof/>
                <w:webHidden/>
              </w:rPr>
              <w:tab/>
            </w:r>
            <w:r w:rsidR="00BB6DE3">
              <w:rPr>
                <w:noProof/>
                <w:webHidden/>
              </w:rPr>
              <w:fldChar w:fldCharType="begin"/>
            </w:r>
            <w:r w:rsidR="00BB6DE3">
              <w:rPr>
                <w:noProof/>
                <w:webHidden/>
              </w:rPr>
              <w:instrText xml:space="preserve"> PAGEREF _Toc10202244 \h </w:instrText>
            </w:r>
            <w:r w:rsidR="00BB6DE3">
              <w:rPr>
                <w:noProof/>
                <w:webHidden/>
              </w:rPr>
            </w:r>
            <w:r w:rsidR="00BB6DE3">
              <w:rPr>
                <w:noProof/>
                <w:webHidden/>
              </w:rPr>
              <w:fldChar w:fldCharType="separate"/>
            </w:r>
            <w:r w:rsidR="00BB6DE3">
              <w:rPr>
                <w:noProof/>
                <w:webHidden/>
              </w:rPr>
              <w:t>10</w:t>
            </w:r>
            <w:r w:rsidR="00BB6DE3">
              <w:rPr>
                <w:noProof/>
                <w:webHidden/>
              </w:rPr>
              <w:fldChar w:fldCharType="end"/>
            </w:r>
          </w:hyperlink>
        </w:p>
        <w:p w14:paraId="0CBED35C" w14:textId="77777777" w:rsidR="00BB6DE3" w:rsidRDefault="0057494E">
          <w:pPr>
            <w:pStyle w:val="TOC2"/>
            <w:tabs>
              <w:tab w:val="left" w:pos="1276"/>
            </w:tabs>
            <w:rPr>
              <w:rFonts w:asciiTheme="minorHAnsi" w:eastAsiaTheme="minorEastAsia" w:hAnsiTheme="minorHAnsi" w:cstheme="minorBidi"/>
              <w:b w:val="0"/>
              <w:noProof/>
              <w:sz w:val="22"/>
              <w:szCs w:val="22"/>
              <w:lang w:eastAsia="en-AU"/>
            </w:rPr>
          </w:pPr>
          <w:hyperlink w:anchor="_Toc10202245" w:history="1">
            <w:r w:rsidR="00BB6DE3" w:rsidRPr="00E91865">
              <w:rPr>
                <w:rStyle w:val="Hyperlink"/>
                <w:noProof/>
              </w:rPr>
              <w:t>1.5</w:t>
            </w:r>
            <w:r w:rsidR="00BB6DE3">
              <w:rPr>
                <w:rFonts w:asciiTheme="minorHAnsi" w:eastAsiaTheme="minorEastAsia" w:hAnsiTheme="minorHAnsi" w:cstheme="minorBidi"/>
                <w:b w:val="0"/>
                <w:noProof/>
                <w:sz w:val="22"/>
                <w:szCs w:val="22"/>
                <w:lang w:eastAsia="en-AU"/>
              </w:rPr>
              <w:tab/>
            </w:r>
            <w:r w:rsidR="00BB6DE3" w:rsidRPr="00E91865">
              <w:rPr>
                <w:rStyle w:val="Hyperlink"/>
                <w:noProof/>
              </w:rPr>
              <w:t>TGA requests for further information</w:t>
            </w:r>
            <w:r w:rsidR="00BB6DE3">
              <w:rPr>
                <w:noProof/>
                <w:webHidden/>
              </w:rPr>
              <w:tab/>
            </w:r>
            <w:r w:rsidR="00BB6DE3">
              <w:rPr>
                <w:noProof/>
                <w:webHidden/>
              </w:rPr>
              <w:fldChar w:fldCharType="begin"/>
            </w:r>
            <w:r w:rsidR="00BB6DE3">
              <w:rPr>
                <w:noProof/>
                <w:webHidden/>
              </w:rPr>
              <w:instrText xml:space="preserve"> PAGEREF _Toc10202245 \h </w:instrText>
            </w:r>
            <w:r w:rsidR="00BB6DE3">
              <w:rPr>
                <w:noProof/>
                <w:webHidden/>
              </w:rPr>
            </w:r>
            <w:r w:rsidR="00BB6DE3">
              <w:rPr>
                <w:noProof/>
                <w:webHidden/>
              </w:rPr>
              <w:fldChar w:fldCharType="separate"/>
            </w:r>
            <w:r w:rsidR="00BB6DE3">
              <w:rPr>
                <w:noProof/>
                <w:webHidden/>
              </w:rPr>
              <w:t>10</w:t>
            </w:r>
            <w:r w:rsidR="00BB6DE3">
              <w:rPr>
                <w:noProof/>
                <w:webHidden/>
              </w:rPr>
              <w:fldChar w:fldCharType="end"/>
            </w:r>
          </w:hyperlink>
        </w:p>
        <w:p w14:paraId="0FBF34E9" w14:textId="77777777" w:rsidR="00BB6DE3" w:rsidRDefault="0057494E">
          <w:pPr>
            <w:pStyle w:val="TOC3"/>
            <w:tabs>
              <w:tab w:val="left" w:pos="1701"/>
            </w:tabs>
            <w:rPr>
              <w:rFonts w:asciiTheme="minorHAnsi" w:eastAsiaTheme="minorEastAsia" w:hAnsiTheme="minorHAnsi" w:cstheme="minorBidi"/>
              <w:b w:val="0"/>
              <w:noProof/>
              <w:szCs w:val="22"/>
              <w:lang w:eastAsia="en-AU"/>
            </w:rPr>
          </w:pPr>
          <w:hyperlink w:anchor="_Toc10202246" w:history="1">
            <w:r w:rsidR="00BB6DE3" w:rsidRPr="00E91865">
              <w:rPr>
                <w:rStyle w:val="Hyperlink"/>
                <w:noProof/>
              </w:rPr>
              <w:t>1.5.1</w:t>
            </w:r>
            <w:r w:rsidR="00BB6DE3">
              <w:rPr>
                <w:rFonts w:asciiTheme="minorHAnsi" w:eastAsiaTheme="minorEastAsia" w:hAnsiTheme="minorHAnsi" w:cstheme="minorBidi"/>
                <w:b w:val="0"/>
                <w:noProof/>
                <w:szCs w:val="22"/>
                <w:lang w:eastAsia="en-AU"/>
              </w:rPr>
              <w:tab/>
            </w:r>
            <w:r w:rsidR="00BB6DE3" w:rsidRPr="00E91865">
              <w:rPr>
                <w:rStyle w:val="Hyperlink"/>
                <w:noProof/>
              </w:rPr>
              <w:t>Section 31 requests</w:t>
            </w:r>
            <w:r w:rsidR="00BB6DE3">
              <w:rPr>
                <w:noProof/>
                <w:webHidden/>
              </w:rPr>
              <w:tab/>
            </w:r>
            <w:r w:rsidR="00BB6DE3">
              <w:rPr>
                <w:noProof/>
                <w:webHidden/>
              </w:rPr>
              <w:fldChar w:fldCharType="begin"/>
            </w:r>
            <w:r w:rsidR="00BB6DE3">
              <w:rPr>
                <w:noProof/>
                <w:webHidden/>
              </w:rPr>
              <w:instrText xml:space="preserve"> PAGEREF _Toc10202246 \h </w:instrText>
            </w:r>
            <w:r w:rsidR="00BB6DE3">
              <w:rPr>
                <w:noProof/>
                <w:webHidden/>
              </w:rPr>
            </w:r>
            <w:r w:rsidR="00BB6DE3">
              <w:rPr>
                <w:noProof/>
                <w:webHidden/>
              </w:rPr>
              <w:fldChar w:fldCharType="separate"/>
            </w:r>
            <w:r w:rsidR="00BB6DE3">
              <w:rPr>
                <w:noProof/>
                <w:webHidden/>
              </w:rPr>
              <w:t>10</w:t>
            </w:r>
            <w:r w:rsidR="00BB6DE3">
              <w:rPr>
                <w:noProof/>
                <w:webHidden/>
              </w:rPr>
              <w:fldChar w:fldCharType="end"/>
            </w:r>
          </w:hyperlink>
        </w:p>
        <w:p w14:paraId="355D82DF" w14:textId="77777777" w:rsidR="00BB6DE3" w:rsidRDefault="0057494E">
          <w:pPr>
            <w:pStyle w:val="TOC3"/>
            <w:tabs>
              <w:tab w:val="left" w:pos="1701"/>
            </w:tabs>
            <w:rPr>
              <w:rFonts w:asciiTheme="minorHAnsi" w:eastAsiaTheme="minorEastAsia" w:hAnsiTheme="minorHAnsi" w:cstheme="minorBidi"/>
              <w:b w:val="0"/>
              <w:noProof/>
              <w:szCs w:val="22"/>
              <w:lang w:eastAsia="en-AU"/>
            </w:rPr>
          </w:pPr>
          <w:hyperlink w:anchor="_Toc10202247" w:history="1">
            <w:r w:rsidR="00BB6DE3" w:rsidRPr="00E91865">
              <w:rPr>
                <w:rStyle w:val="Hyperlink"/>
                <w:noProof/>
              </w:rPr>
              <w:t>1.5.2</w:t>
            </w:r>
            <w:r w:rsidR="00BB6DE3">
              <w:rPr>
                <w:rFonts w:asciiTheme="minorHAnsi" w:eastAsiaTheme="minorEastAsia" w:hAnsiTheme="minorHAnsi" w:cstheme="minorBidi"/>
                <w:b w:val="0"/>
                <w:noProof/>
                <w:szCs w:val="22"/>
                <w:lang w:eastAsia="en-AU"/>
              </w:rPr>
              <w:tab/>
            </w:r>
            <w:r w:rsidR="00BB6DE3" w:rsidRPr="00E91865">
              <w:rPr>
                <w:rStyle w:val="Hyperlink"/>
                <w:noProof/>
              </w:rPr>
              <w:t>Objections</w:t>
            </w:r>
            <w:r w:rsidR="00BB6DE3">
              <w:rPr>
                <w:noProof/>
                <w:webHidden/>
              </w:rPr>
              <w:tab/>
            </w:r>
            <w:r w:rsidR="00BB6DE3">
              <w:rPr>
                <w:noProof/>
                <w:webHidden/>
              </w:rPr>
              <w:fldChar w:fldCharType="begin"/>
            </w:r>
            <w:r w:rsidR="00BB6DE3">
              <w:rPr>
                <w:noProof/>
                <w:webHidden/>
              </w:rPr>
              <w:instrText xml:space="preserve"> PAGEREF _Toc10202247 \h </w:instrText>
            </w:r>
            <w:r w:rsidR="00BB6DE3">
              <w:rPr>
                <w:noProof/>
                <w:webHidden/>
              </w:rPr>
            </w:r>
            <w:r w:rsidR="00BB6DE3">
              <w:rPr>
                <w:noProof/>
                <w:webHidden/>
              </w:rPr>
              <w:fldChar w:fldCharType="separate"/>
            </w:r>
            <w:r w:rsidR="00BB6DE3">
              <w:rPr>
                <w:noProof/>
                <w:webHidden/>
              </w:rPr>
              <w:t>11</w:t>
            </w:r>
            <w:r w:rsidR="00BB6DE3">
              <w:rPr>
                <w:noProof/>
                <w:webHidden/>
              </w:rPr>
              <w:fldChar w:fldCharType="end"/>
            </w:r>
          </w:hyperlink>
        </w:p>
        <w:p w14:paraId="5F726FA4" w14:textId="77777777" w:rsidR="00BB6DE3" w:rsidRDefault="0057494E">
          <w:pPr>
            <w:pStyle w:val="TOC2"/>
            <w:tabs>
              <w:tab w:val="left" w:pos="1276"/>
            </w:tabs>
            <w:rPr>
              <w:rFonts w:asciiTheme="minorHAnsi" w:eastAsiaTheme="minorEastAsia" w:hAnsiTheme="minorHAnsi" w:cstheme="minorBidi"/>
              <w:b w:val="0"/>
              <w:noProof/>
              <w:sz w:val="22"/>
              <w:szCs w:val="22"/>
              <w:lang w:eastAsia="en-AU"/>
            </w:rPr>
          </w:pPr>
          <w:hyperlink w:anchor="_Toc10202248" w:history="1">
            <w:r w:rsidR="00BB6DE3" w:rsidRPr="00E91865">
              <w:rPr>
                <w:rStyle w:val="Hyperlink"/>
                <w:noProof/>
              </w:rPr>
              <w:t>1.6</w:t>
            </w:r>
            <w:r w:rsidR="00BB6DE3">
              <w:rPr>
                <w:rFonts w:asciiTheme="minorHAnsi" w:eastAsiaTheme="minorEastAsia" w:hAnsiTheme="minorHAnsi" w:cstheme="minorBidi"/>
                <w:b w:val="0"/>
                <w:noProof/>
                <w:sz w:val="22"/>
                <w:szCs w:val="22"/>
                <w:lang w:eastAsia="en-AU"/>
              </w:rPr>
              <w:tab/>
            </w:r>
            <w:r w:rsidR="00BB6DE3" w:rsidRPr="00E91865">
              <w:rPr>
                <w:rStyle w:val="Hyperlink"/>
                <w:noProof/>
              </w:rPr>
              <w:t>Making an appeal</w:t>
            </w:r>
            <w:r w:rsidR="00BB6DE3">
              <w:rPr>
                <w:noProof/>
                <w:webHidden/>
              </w:rPr>
              <w:tab/>
            </w:r>
            <w:r w:rsidR="00BB6DE3">
              <w:rPr>
                <w:noProof/>
                <w:webHidden/>
              </w:rPr>
              <w:fldChar w:fldCharType="begin"/>
            </w:r>
            <w:r w:rsidR="00BB6DE3">
              <w:rPr>
                <w:noProof/>
                <w:webHidden/>
              </w:rPr>
              <w:instrText xml:space="preserve"> PAGEREF _Toc10202248 \h </w:instrText>
            </w:r>
            <w:r w:rsidR="00BB6DE3">
              <w:rPr>
                <w:noProof/>
                <w:webHidden/>
              </w:rPr>
            </w:r>
            <w:r w:rsidR="00BB6DE3">
              <w:rPr>
                <w:noProof/>
                <w:webHidden/>
              </w:rPr>
              <w:fldChar w:fldCharType="separate"/>
            </w:r>
            <w:r w:rsidR="00BB6DE3">
              <w:rPr>
                <w:noProof/>
                <w:webHidden/>
              </w:rPr>
              <w:t>11</w:t>
            </w:r>
            <w:r w:rsidR="00BB6DE3">
              <w:rPr>
                <w:noProof/>
                <w:webHidden/>
              </w:rPr>
              <w:fldChar w:fldCharType="end"/>
            </w:r>
          </w:hyperlink>
        </w:p>
        <w:p w14:paraId="4431BD1F" w14:textId="77777777" w:rsidR="00BB6DE3" w:rsidRDefault="0057494E">
          <w:pPr>
            <w:pStyle w:val="TOC1"/>
            <w:tabs>
              <w:tab w:val="left" w:pos="851"/>
            </w:tabs>
            <w:rPr>
              <w:rFonts w:asciiTheme="minorHAnsi" w:eastAsiaTheme="minorEastAsia" w:hAnsiTheme="minorHAnsi" w:cstheme="minorBidi"/>
              <w:b w:val="0"/>
              <w:noProof/>
              <w:sz w:val="22"/>
              <w:szCs w:val="22"/>
              <w:lang w:eastAsia="en-AU"/>
            </w:rPr>
          </w:pPr>
          <w:hyperlink w:anchor="_Toc10202249" w:history="1">
            <w:r w:rsidR="00BB6DE3" w:rsidRPr="00E91865">
              <w:rPr>
                <w:rStyle w:val="Hyperlink"/>
                <w:noProof/>
              </w:rPr>
              <w:t>2.</w:t>
            </w:r>
            <w:r w:rsidR="00BB6DE3">
              <w:rPr>
                <w:rFonts w:asciiTheme="minorHAnsi" w:eastAsiaTheme="minorEastAsia" w:hAnsiTheme="minorHAnsi" w:cstheme="minorBidi"/>
                <w:b w:val="0"/>
                <w:noProof/>
                <w:sz w:val="22"/>
                <w:szCs w:val="22"/>
                <w:lang w:eastAsia="en-AU"/>
              </w:rPr>
              <w:tab/>
            </w:r>
            <w:r w:rsidR="00BB6DE3" w:rsidRPr="00E91865">
              <w:rPr>
                <w:rStyle w:val="Hyperlink"/>
                <w:noProof/>
              </w:rPr>
              <w:t>Variation category groups and categories</w:t>
            </w:r>
            <w:r w:rsidR="00BB6DE3">
              <w:rPr>
                <w:noProof/>
                <w:webHidden/>
              </w:rPr>
              <w:tab/>
            </w:r>
            <w:r w:rsidR="00BB6DE3">
              <w:rPr>
                <w:noProof/>
                <w:webHidden/>
              </w:rPr>
              <w:fldChar w:fldCharType="begin"/>
            </w:r>
            <w:r w:rsidR="00BB6DE3">
              <w:rPr>
                <w:noProof/>
                <w:webHidden/>
              </w:rPr>
              <w:instrText xml:space="preserve"> PAGEREF _Toc10202249 \h </w:instrText>
            </w:r>
            <w:r w:rsidR="00BB6DE3">
              <w:rPr>
                <w:noProof/>
                <w:webHidden/>
              </w:rPr>
            </w:r>
            <w:r w:rsidR="00BB6DE3">
              <w:rPr>
                <w:noProof/>
                <w:webHidden/>
              </w:rPr>
              <w:fldChar w:fldCharType="separate"/>
            </w:r>
            <w:r w:rsidR="00BB6DE3">
              <w:rPr>
                <w:noProof/>
                <w:webHidden/>
              </w:rPr>
              <w:t>12</w:t>
            </w:r>
            <w:r w:rsidR="00BB6DE3">
              <w:rPr>
                <w:noProof/>
                <w:webHidden/>
              </w:rPr>
              <w:fldChar w:fldCharType="end"/>
            </w:r>
          </w:hyperlink>
        </w:p>
        <w:p w14:paraId="4331203C" w14:textId="77777777" w:rsidR="00BB6DE3" w:rsidRDefault="0057494E">
          <w:pPr>
            <w:pStyle w:val="TOC2"/>
            <w:tabs>
              <w:tab w:val="left" w:pos="1276"/>
            </w:tabs>
            <w:rPr>
              <w:rFonts w:asciiTheme="minorHAnsi" w:eastAsiaTheme="minorEastAsia" w:hAnsiTheme="minorHAnsi" w:cstheme="minorBidi"/>
              <w:b w:val="0"/>
              <w:noProof/>
              <w:sz w:val="22"/>
              <w:szCs w:val="22"/>
              <w:lang w:eastAsia="en-AU"/>
            </w:rPr>
          </w:pPr>
          <w:hyperlink w:anchor="_Toc10202250" w:history="1">
            <w:r w:rsidR="00BB6DE3" w:rsidRPr="00E91865">
              <w:rPr>
                <w:rStyle w:val="Hyperlink"/>
                <w:noProof/>
              </w:rPr>
              <w:t>2.1</w:t>
            </w:r>
            <w:r w:rsidR="00BB6DE3">
              <w:rPr>
                <w:rFonts w:asciiTheme="minorHAnsi" w:eastAsiaTheme="minorEastAsia" w:hAnsiTheme="minorHAnsi" w:cstheme="minorBidi"/>
                <w:b w:val="0"/>
                <w:noProof/>
                <w:sz w:val="22"/>
                <w:szCs w:val="22"/>
                <w:lang w:eastAsia="en-AU"/>
              </w:rPr>
              <w:tab/>
            </w:r>
            <w:r w:rsidR="00BB6DE3" w:rsidRPr="00E91865">
              <w:rPr>
                <w:rStyle w:val="Hyperlink"/>
                <w:noProof/>
              </w:rPr>
              <w:t>Corrections to an ARTG entry</w:t>
            </w:r>
            <w:r w:rsidR="00BB6DE3">
              <w:rPr>
                <w:noProof/>
                <w:webHidden/>
              </w:rPr>
              <w:tab/>
            </w:r>
            <w:r w:rsidR="00BB6DE3">
              <w:rPr>
                <w:noProof/>
                <w:webHidden/>
              </w:rPr>
              <w:fldChar w:fldCharType="begin"/>
            </w:r>
            <w:r w:rsidR="00BB6DE3">
              <w:rPr>
                <w:noProof/>
                <w:webHidden/>
              </w:rPr>
              <w:instrText xml:space="preserve"> PAGEREF _Toc10202250 \h </w:instrText>
            </w:r>
            <w:r w:rsidR="00BB6DE3">
              <w:rPr>
                <w:noProof/>
                <w:webHidden/>
              </w:rPr>
            </w:r>
            <w:r w:rsidR="00BB6DE3">
              <w:rPr>
                <w:noProof/>
                <w:webHidden/>
              </w:rPr>
              <w:fldChar w:fldCharType="separate"/>
            </w:r>
            <w:r w:rsidR="00BB6DE3">
              <w:rPr>
                <w:noProof/>
                <w:webHidden/>
              </w:rPr>
              <w:t>12</w:t>
            </w:r>
            <w:r w:rsidR="00BB6DE3">
              <w:rPr>
                <w:noProof/>
                <w:webHidden/>
              </w:rPr>
              <w:fldChar w:fldCharType="end"/>
            </w:r>
          </w:hyperlink>
        </w:p>
        <w:p w14:paraId="4EAE6CB2" w14:textId="77777777" w:rsidR="00BB6DE3" w:rsidRDefault="0057494E">
          <w:pPr>
            <w:pStyle w:val="TOC3"/>
            <w:tabs>
              <w:tab w:val="left" w:pos="1701"/>
            </w:tabs>
            <w:rPr>
              <w:rFonts w:asciiTheme="minorHAnsi" w:eastAsiaTheme="minorEastAsia" w:hAnsiTheme="minorHAnsi" w:cstheme="minorBidi"/>
              <w:b w:val="0"/>
              <w:noProof/>
              <w:szCs w:val="22"/>
              <w:lang w:eastAsia="en-AU"/>
            </w:rPr>
          </w:pPr>
          <w:hyperlink w:anchor="_Toc10202251" w:history="1">
            <w:r w:rsidR="00BB6DE3" w:rsidRPr="00E91865">
              <w:rPr>
                <w:rStyle w:val="Hyperlink"/>
                <w:noProof/>
              </w:rPr>
              <w:t>2.1.1</w:t>
            </w:r>
            <w:r w:rsidR="00BB6DE3">
              <w:rPr>
                <w:rFonts w:asciiTheme="minorHAnsi" w:eastAsiaTheme="minorEastAsia" w:hAnsiTheme="minorHAnsi" w:cstheme="minorBidi"/>
                <w:b w:val="0"/>
                <w:noProof/>
                <w:szCs w:val="22"/>
                <w:lang w:eastAsia="en-AU"/>
              </w:rPr>
              <w:tab/>
            </w:r>
            <w:r w:rsidR="00BB6DE3" w:rsidRPr="00E91865">
              <w:rPr>
                <w:rStyle w:val="Hyperlink"/>
                <w:noProof/>
              </w:rPr>
              <w:t>Changes to the product information for corrections to ARTG entries</w:t>
            </w:r>
            <w:r w:rsidR="00BB6DE3">
              <w:rPr>
                <w:noProof/>
                <w:webHidden/>
              </w:rPr>
              <w:tab/>
            </w:r>
            <w:r w:rsidR="00BB6DE3">
              <w:rPr>
                <w:noProof/>
                <w:webHidden/>
              </w:rPr>
              <w:fldChar w:fldCharType="begin"/>
            </w:r>
            <w:r w:rsidR="00BB6DE3">
              <w:rPr>
                <w:noProof/>
                <w:webHidden/>
              </w:rPr>
              <w:instrText xml:space="preserve"> PAGEREF _Toc10202251 \h </w:instrText>
            </w:r>
            <w:r w:rsidR="00BB6DE3">
              <w:rPr>
                <w:noProof/>
                <w:webHidden/>
              </w:rPr>
            </w:r>
            <w:r w:rsidR="00BB6DE3">
              <w:rPr>
                <w:noProof/>
                <w:webHidden/>
              </w:rPr>
              <w:fldChar w:fldCharType="separate"/>
            </w:r>
            <w:r w:rsidR="00BB6DE3">
              <w:rPr>
                <w:noProof/>
                <w:webHidden/>
              </w:rPr>
              <w:t>13</w:t>
            </w:r>
            <w:r w:rsidR="00BB6DE3">
              <w:rPr>
                <w:noProof/>
                <w:webHidden/>
              </w:rPr>
              <w:fldChar w:fldCharType="end"/>
            </w:r>
          </w:hyperlink>
        </w:p>
        <w:p w14:paraId="148CCCC5" w14:textId="77777777" w:rsidR="00BB6DE3" w:rsidRDefault="0057494E">
          <w:pPr>
            <w:pStyle w:val="TOC2"/>
            <w:tabs>
              <w:tab w:val="left" w:pos="1276"/>
            </w:tabs>
            <w:rPr>
              <w:rFonts w:asciiTheme="minorHAnsi" w:eastAsiaTheme="minorEastAsia" w:hAnsiTheme="minorHAnsi" w:cstheme="minorBidi"/>
              <w:b w:val="0"/>
              <w:noProof/>
              <w:sz w:val="22"/>
              <w:szCs w:val="22"/>
              <w:lang w:eastAsia="en-AU"/>
            </w:rPr>
          </w:pPr>
          <w:hyperlink w:anchor="_Toc10202252" w:history="1">
            <w:r w:rsidR="00BB6DE3" w:rsidRPr="00E91865">
              <w:rPr>
                <w:rStyle w:val="Hyperlink"/>
                <w:noProof/>
              </w:rPr>
              <w:t>2.2</w:t>
            </w:r>
            <w:r w:rsidR="00BB6DE3">
              <w:rPr>
                <w:rFonts w:asciiTheme="minorHAnsi" w:eastAsiaTheme="minorEastAsia" w:hAnsiTheme="minorHAnsi" w:cstheme="minorBidi"/>
                <w:b w:val="0"/>
                <w:noProof/>
                <w:sz w:val="22"/>
                <w:szCs w:val="22"/>
                <w:lang w:eastAsia="en-AU"/>
              </w:rPr>
              <w:tab/>
            </w:r>
            <w:r w:rsidR="00BB6DE3" w:rsidRPr="00E91865">
              <w:rPr>
                <w:rStyle w:val="Hyperlink"/>
                <w:noProof/>
              </w:rPr>
              <w:t>Notifications</w:t>
            </w:r>
            <w:r w:rsidR="00BB6DE3">
              <w:rPr>
                <w:noProof/>
                <w:webHidden/>
              </w:rPr>
              <w:tab/>
            </w:r>
            <w:r w:rsidR="00BB6DE3">
              <w:rPr>
                <w:noProof/>
                <w:webHidden/>
              </w:rPr>
              <w:fldChar w:fldCharType="begin"/>
            </w:r>
            <w:r w:rsidR="00BB6DE3">
              <w:rPr>
                <w:noProof/>
                <w:webHidden/>
              </w:rPr>
              <w:instrText xml:space="preserve"> PAGEREF _Toc10202252 \h </w:instrText>
            </w:r>
            <w:r w:rsidR="00BB6DE3">
              <w:rPr>
                <w:noProof/>
                <w:webHidden/>
              </w:rPr>
            </w:r>
            <w:r w:rsidR="00BB6DE3">
              <w:rPr>
                <w:noProof/>
                <w:webHidden/>
              </w:rPr>
              <w:fldChar w:fldCharType="separate"/>
            </w:r>
            <w:r w:rsidR="00BB6DE3">
              <w:rPr>
                <w:noProof/>
                <w:webHidden/>
              </w:rPr>
              <w:t>13</w:t>
            </w:r>
            <w:r w:rsidR="00BB6DE3">
              <w:rPr>
                <w:noProof/>
                <w:webHidden/>
              </w:rPr>
              <w:fldChar w:fldCharType="end"/>
            </w:r>
          </w:hyperlink>
        </w:p>
        <w:p w14:paraId="78986ED0" w14:textId="77777777" w:rsidR="00BB6DE3" w:rsidRDefault="0057494E">
          <w:pPr>
            <w:pStyle w:val="TOC3"/>
            <w:tabs>
              <w:tab w:val="left" w:pos="1701"/>
            </w:tabs>
            <w:rPr>
              <w:rFonts w:asciiTheme="minorHAnsi" w:eastAsiaTheme="minorEastAsia" w:hAnsiTheme="minorHAnsi" w:cstheme="minorBidi"/>
              <w:b w:val="0"/>
              <w:noProof/>
              <w:szCs w:val="22"/>
              <w:lang w:eastAsia="en-AU"/>
            </w:rPr>
          </w:pPr>
          <w:hyperlink w:anchor="_Toc10202253" w:history="1">
            <w:r w:rsidR="00BB6DE3" w:rsidRPr="00E91865">
              <w:rPr>
                <w:rStyle w:val="Hyperlink"/>
                <w:noProof/>
              </w:rPr>
              <w:t>2.2.1</w:t>
            </w:r>
            <w:r w:rsidR="00BB6DE3">
              <w:rPr>
                <w:rFonts w:asciiTheme="minorHAnsi" w:eastAsiaTheme="minorEastAsia" w:hAnsiTheme="minorHAnsi" w:cstheme="minorBidi"/>
                <w:b w:val="0"/>
                <w:noProof/>
                <w:szCs w:val="22"/>
                <w:lang w:eastAsia="en-AU"/>
              </w:rPr>
              <w:tab/>
            </w:r>
            <w:r w:rsidR="00BB6DE3" w:rsidRPr="00E91865">
              <w:rPr>
                <w:rStyle w:val="Hyperlink"/>
                <w:noProof/>
              </w:rPr>
              <w:t>Conditions</w:t>
            </w:r>
            <w:r w:rsidR="00BB6DE3">
              <w:rPr>
                <w:noProof/>
                <w:webHidden/>
              </w:rPr>
              <w:tab/>
            </w:r>
            <w:r w:rsidR="00BB6DE3">
              <w:rPr>
                <w:noProof/>
                <w:webHidden/>
              </w:rPr>
              <w:fldChar w:fldCharType="begin"/>
            </w:r>
            <w:r w:rsidR="00BB6DE3">
              <w:rPr>
                <w:noProof/>
                <w:webHidden/>
              </w:rPr>
              <w:instrText xml:space="preserve"> PAGEREF _Toc10202253 \h </w:instrText>
            </w:r>
            <w:r w:rsidR="00BB6DE3">
              <w:rPr>
                <w:noProof/>
                <w:webHidden/>
              </w:rPr>
            </w:r>
            <w:r w:rsidR="00BB6DE3">
              <w:rPr>
                <w:noProof/>
                <w:webHidden/>
              </w:rPr>
              <w:fldChar w:fldCharType="separate"/>
            </w:r>
            <w:r w:rsidR="00BB6DE3">
              <w:rPr>
                <w:noProof/>
                <w:webHidden/>
              </w:rPr>
              <w:t>13</w:t>
            </w:r>
            <w:r w:rsidR="00BB6DE3">
              <w:rPr>
                <w:noProof/>
                <w:webHidden/>
              </w:rPr>
              <w:fldChar w:fldCharType="end"/>
            </w:r>
          </w:hyperlink>
        </w:p>
        <w:p w14:paraId="0AE02C2F" w14:textId="77777777" w:rsidR="00BB6DE3" w:rsidRDefault="0057494E">
          <w:pPr>
            <w:pStyle w:val="TOC3"/>
            <w:tabs>
              <w:tab w:val="left" w:pos="1701"/>
            </w:tabs>
            <w:rPr>
              <w:rFonts w:asciiTheme="minorHAnsi" w:eastAsiaTheme="minorEastAsia" w:hAnsiTheme="minorHAnsi" w:cstheme="minorBidi"/>
              <w:b w:val="0"/>
              <w:noProof/>
              <w:szCs w:val="22"/>
              <w:lang w:eastAsia="en-AU"/>
            </w:rPr>
          </w:pPr>
          <w:hyperlink w:anchor="_Toc10202254" w:history="1">
            <w:r w:rsidR="00BB6DE3" w:rsidRPr="00E91865">
              <w:rPr>
                <w:rStyle w:val="Hyperlink"/>
                <w:noProof/>
              </w:rPr>
              <w:t>2.2.2</w:t>
            </w:r>
            <w:r w:rsidR="00BB6DE3">
              <w:rPr>
                <w:rFonts w:asciiTheme="minorHAnsi" w:eastAsiaTheme="minorEastAsia" w:hAnsiTheme="minorHAnsi" w:cstheme="minorBidi"/>
                <w:b w:val="0"/>
                <w:noProof/>
                <w:szCs w:val="22"/>
                <w:lang w:eastAsia="en-AU"/>
              </w:rPr>
              <w:tab/>
            </w:r>
            <w:r w:rsidR="00BB6DE3" w:rsidRPr="00E91865">
              <w:rPr>
                <w:rStyle w:val="Hyperlink"/>
                <w:noProof/>
              </w:rPr>
              <w:t>Approval</w:t>
            </w:r>
            <w:r w:rsidR="00BB6DE3">
              <w:rPr>
                <w:noProof/>
                <w:webHidden/>
              </w:rPr>
              <w:tab/>
            </w:r>
            <w:r w:rsidR="00BB6DE3">
              <w:rPr>
                <w:noProof/>
                <w:webHidden/>
              </w:rPr>
              <w:fldChar w:fldCharType="begin"/>
            </w:r>
            <w:r w:rsidR="00BB6DE3">
              <w:rPr>
                <w:noProof/>
                <w:webHidden/>
              </w:rPr>
              <w:instrText xml:space="preserve"> PAGEREF _Toc10202254 \h </w:instrText>
            </w:r>
            <w:r w:rsidR="00BB6DE3">
              <w:rPr>
                <w:noProof/>
                <w:webHidden/>
              </w:rPr>
            </w:r>
            <w:r w:rsidR="00BB6DE3">
              <w:rPr>
                <w:noProof/>
                <w:webHidden/>
              </w:rPr>
              <w:fldChar w:fldCharType="separate"/>
            </w:r>
            <w:r w:rsidR="00BB6DE3">
              <w:rPr>
                <w:noProof/>
                <w:webHidden/>
              </w:rPr>
              <w:t>13</w:t>
            </w:r>
            <w:r w:rsidR="00BB6DE3">
              <w:rPr>
                <w:noProof/>
                <w:webHidden/>
              </w:rPr>
              <w:fldChar w:fldCharType="end"/>
            </w:r>
          </w:hyperlink>
        </w:p>
        <w:p w14:paraId="550BBC0C" w14:textId="77777777" w:rsidR="00BB6DE3" w:rsidRDefault="0057494E">
          <w:pPr>
            <w:pStyle w:val="TOC2"/>
            <w:tabs>
              <w:tab w:val="left" w:pos="1276"/>
            </w:tabs>
            <w:rPr>
              <w:rFonts w:asciiTheme="minorHAnsi" w:eastAsiaTheme="minorEastAsia" w:hAnsiTheme="minorHAnsi" w:cstheme="minorBidi"/>
              <w:b w:val="0"/>
              <w:noProof/>
              <w:sz w:val="22"/>
              <w:szCs w:val="22"/>
              <w:lang w:eastAsia="en-AU"/>
            </w:rPr>
          </w:pPr>
          <w:hyperlink w:anchor="_Toc10202255" w:history="1">
            <w:r w:rsidR="00BB6DE3" w:rsidRPr="00E91865">
              <w:rPr>
                <w:rStyle w:val="Hyperlink"/>
                <w:noProof/>
              </w:rPr>
              <w:t>2.3</w:t>
            </w:r>
            <w:r w:rsidR="00BB6DE3">
              <w:rPr>
                <w:rFonts w:asciiTheme="minorHAnsi" w:eastAsiaTheme="minorEastAsia" w:hAnsiTheme="minorHAnsi" w:cstheme="minorBidi"/>
                <w:b w:val="0"/>
                <w:noProof/>
                <w:sz w:val="22"/>
                <w:szCs w:val="22"/>
                <w:lang w:eastAsia="en-AU"/>
              </w:rPr>
              <w:tab/>
            </w:r>
            <w:r w:rsidR="00BB6DE3" w:rsidRPr="00E91865">
              <w:rPr>
                <w:rStyle w:val="Hyperlink"/>
                <w:noProof/>
              </w:rPr>
              <w:t>Quality information</w:t>
            </w:r>
            <w:r w:rsidR="00BB6DE3">
              <w:rPr>
                <w:noProof/>
                <w:webHidden/>
              </w:rPr>
              <w:tab/>
            </w:r>
            <w:r w:rsidR="00BB6DE3">
              <w:rPr>
                <w:noProof/>
                <w:webHidden/>
              </w:rPr>
              <w:fldChar w:fldCharType="begin"/>
            </w:r>
            <w:r w:rsidR="00BB6DE3">
              <w:rPr>
                <w:noProof/>
                <w:webHidden/>
              </w:rPr>
              <w:instrText xml:space="preserve"> PAGEREF _Toc10202255 \h </w:instrText>
            </w:r>
            <w:r w:rsidR="00BB6DE3">
              <w:rPr>
                <w:noProof/>
                <w:webHidden/>
              </w:rPr>
            </w:r>
            <w:r w:rsidR="00BB6DE3">
              <w:rPr>
                <w:noProof/>
                <w:webHidden/>
              </w:rPr>
              <w:fldChar w:fldCharType="separate"/>
            </w:r>
            <w:r w:rsidR="00BB6DE3">
              <w:rPr>
                <w:noProof/>
                <w:webHidden/>
              </w:rPr>
              <w:t>14</w:t>
            </w:r>
            <w:r w:rsidR="00BB6DE3">
              <w:rPr>
                <w:noProof/>
                <w:webHidden/>
              </w:rPr>
              <w:fldChar w:fldCharType="end"/>
            </w:r>
          </w:hyperlink>
        </w:p>
        <w:p w14:paraId="3E3A024F" w14:textId="77777777" w:rsidR="00BB6DE3" w:rsidRDefault="0057494E">
          <w:pPr>
            <w:pStyle w:val="TOC3"/>
            <w:tabs>
              <w:tab w:val="left" w:pos="1701"/>
            </w:tabs>
            <w:rPr>
              <w:rFonts w:asciiTheme="minorHAnsi" w:eastAsiaTheme="minorEastAsia" w:hAnsiTheme="minorHAnsi" w:cstheme="minorBidi"/>
              <w:b w:val="0"/>
              <w:noProof/>
              <w:szCs w:val="22"/>
              <w:lang w:eastAsia="en-AU"/>
            </w:rPr>
          </w:pPr>
          <w:hyperlink w:anchor="_Toc10202256" w:history="1">
            <w:r w:rsidR="00BB6DE3" w:rsidRPr="00E91865">
              <w:rPr>
                <w:rStyle w:val="Hyperlink"/>
                <w:noProof/>
              </w:rPr>
              <w:t>2.3.1</w:t>
            </w:r>
            <w:r w:rsidR="00BB6DE3">
              <w:rPr>
                <w:rFonts w:asciiTheme="minorHAnsi" w:eastAsiaTheme="minorEastAsia" w:hAnsiTheme="minorHAnsi" w:cstheme="minorBidi"/>
                <w:b w:val="0"/>
                <w:noProof/>
                <w:szCs w:val="22"/>
                <w:lang w:eastAsia="en-AU"/>
              </w:rPr>
              <w:tab/>
            </w:r>
            <w:r w:rsidR="00BB6DE3" w:rsidRPr="00E91865">
              <w:rPr>
                <w:rStyle w:val="Hyperlink"/>
                <w:noProof/>
              </w:rPr>
              <w:t>Self-assessable requests (SARs)</w:t>
            </w:r>
            <w:r w:rsidR="00BB6DE3">
              <w:rPr>
                <w:noProof/>
                <w:webHidden/>
              </w:rPr>
              <w:tab/>
            </w:r>
            <w:r w:rsidR="00BB6DE3">
              <w:rPr>
                <w:noProof/>
                <w:webHidden/>
              </w:rPr>
              <w:fldChar w:fldCharType="begin"/>
            </w:r>
            <w:r w:rsidR="00BB6DE3">
              <w:rPr>
                <w:noProof/>
                <w:webHidden/>
              </w:rPr>
              <w:instrText xml:space="preserve"> PAGEREF _Toc10202256 \h </w:instrText>
            </w:r>
            <w:r w:rsidR="00BB6DE3">
              <w:rPr>
                <w:noProof/>
                <w:webHidden/>
              </w:rPr>
            </w:r>
            <w:r w:rsidR="00BB6DE3">
              <w:rPr>
                <w:noProof/>
                <w:webHidden/>
              </w:rPr>
              <w:fldChar w:fldCharType="separate"/>
            </w:r>
            <w:r w:rsidR="00BB6DE3">
              <w:rPr>
                <w:noProof/>
                <w:webHidden/>
              </w:rPr>
              <w:t>14</w:t>
            </w:r>
            <w:r w:rsidR="00BB6DE3">
              <w:rPr>
                <w:noProof/>
                <w:webHidden/>
              </w:rPr>
              <w:fldChar w:fldCharType="end"/>
            </w:r>
          </w:hyperlink>
        </w:p>
        <w:p w14:paraId="52776465" w14:textId="77777777" w:rsidR="00BB6DE3" w:rsidRDefault="0057494E">
          <w:pPr>
            <w:pStyle w:val="TOC3"/>
            <w:tabs>
              <w:tab w:val="left" w:pos="1701"/>
            </w:tabs>
            <w:rPr>
              <w:rFonts w:asciiTheme="minorHAnsi" w:eastAsiaTheme="minorEastAsia" w:hAnsiTheme="minorHAnsi" w:cstheme="minorBidi"/>
              <w:b w:val="0"/>
              <w:noProof/>
              <w:szCs w:val="22"/>
              <w:lang w:eastAsia="en-AU"/>
            </w:rPr>
          </w:pPr>
          <w:hyperlink w:anchor="_Toc10202257" w:history="1">
            <w:r w:rsidR="00BB6DE3" w:rsidRPr="00E91865">
              <w:rPr>
                <w:rStyle w:val="Hyperlink"/>
                <w:noProof/>
              </w:rPr>
              <w:t>2.3.2</w:t>
            </w:r>
            <w:r w:rsidR="00BB6DE3">
              <w:rPr>
                <w:rFonts w:asciiTheme="minorHAnsi" w:eastAsiaTheme="minorEastAsia" w:hAnsiTheme="minorHAnsi" w:cstheme="minorBidi"/>
                <w:b w:val="0"/>
                <w:noProof/>
                <w:szCs w:val="22"/>
                <w:lang w:eastAsia="en-AU"/>
              </w:rPr>
              <w:tab/>
            </w:r>
            <w:r w:rsidR="00BB6DE3" w:rsidRPr="00E91865">
              <w:rPr>
                <w:rStyle w:val="Hyperlink"/>
                <w:noProof/>
              </w:rPr>
              <w:t>Category 3 requests</w:t>
            </w:r>
            <w:r w:rsidR="00BB6DE3">
              <w:rPr>
                <w:noProof/>
                <w:webHidden/>
              </w:rPr>
              <w:tab/>
            </w:r>
            <w:r w:rsidR="00BB6DE3">
              <w:rPr>
                <w:noProof/>
                <w:webHidden/>
              </w:rPr>
              <w:fldChar w:fldCharType="begin"/>
            </w:r>
            <w:r w:rsidR="00BB6DE3">
              <w:rPr>
                <w:noProof/>
                <w:webHidden/>
              </w:rPr>
              <w:instrText xml:space="preserve"> PAGEREF _Toc10202257 \h </w:instrText>
            </w:r>
            <w:r w:rsidR="00BB6DE3">
              <w:rPr>
                <w:noProof/>
                <w:webHidden/>
              </w:rPr>
            </w:r>
            <w:r w:rsidR="00BB6DE3">
              <w:rPr>
                <w:noProof/>
                <w:webHidden/>
              </w:rPr>
              <w:fldChar w:fldCharType="separate"/>
            </w:r>
            <w:r w:rsidR="00BB6DE3">
              <w:rPr>
                <w:noProof/>
                <w:webHidden/>
              </w:rPr>
              <w:t>15</w:t>
            </w:r>
            <w:r w:rsidR="00BB6DE3">
              <w:rPr>
                <w:noProof/>
                <w:webHidden/>
              </w:rPr>
              <w:fldChar w:fldCharType="end"/>
            </w:r>
          </w:hyperlink>
        </w:p>
        <w:p w14:paraId="49534C69" w14:textId="77777777" w:rsidR="00BB6DE3" w:rsidRDefault="0057494E">
          <w:pPr>
            <w:pStyle w:val="TOC2"/>
            <w:tabs>
              <w:tab w:val="left" w:pos="1276"/>
            </w:tabs>
            <w:rPr>
              <w:rFonts w:asciiTheme="minorHAnsi" w:eastAsiaTheme="minorEastAsia" w:hAnsiTheme="minorHAnsi" w:cstheme="minorBidi"/>
              <w:b w:val="0"/>
              <w:noProof/>
              <w:sz w:val="22"/>
              <w:szCs w:val="22"/>
              <w:lang w:eastAsia="en-AU"/>
            </w:rPr>
          </w:pPr>
          <w:hyperlink w:anchor="_Toc10202258" w:history="1">
            <w:r w:rsidR="00BB6DE3" w:rsidRPr="00E91865">
              <w:rPr>
                <w:rStyle w:val="Hyperlink"/>
                <w:noProof/>
              </w:rPr>
              <w:t>2.4</w:t>
            </w:r>
            <w:r w:rsidR="00BB6DE3">
              <w:rPr>
                <w:rFonts w:asciiTheme="minorHAnsi" w:eastAsiaTheme="minorEastAsia" w:hAnsiTheme="minorHAnsi" w:cstheme="minorBidi"/>
                <w:b w:val="0"/>
                <w:noProof/>
                <w:sz w:val="22"/>
                <w:szCs w:val="22"/>
                <w:lang w:eastAsia="en-AU"/>
              </w:rPr>
              <w:tab/>
            </w:r>
            <w:r w:rsidR="00BB6DE3" w:rsidRPr="00E91865">
              <w:rPr>
                <w:rStyle w:val="Hyperlink"/>
                <w:noProof/>
              </w:rPr>
              <w:t>Product information</w:t>
            </w:r>
            <w:r w:rsidR="00BB6DE3">
              <w:rPr>
                <w:noProof/>
                <w:webHidden/>
              </w:rPr>
              <w:tab/>
            </w:r>
            <w:r w:rsidR="00BB6DE3">
              <w:rPr>
                <w:noProof/>
                <w:webHidden/>
              </w:rPr>
              <w:fldChar w:fldCharType="begin"/>
            </w:r>
            <w:r w:rsidR="00BB6DE3">
              <w:rPr>
                <w:noProof/>
                <w:webHidden/>
              </w:rPr>
              <w:instrText xml:space="preserve"> PAGEREF _Toc10202258 \h </w:instrText>
            </w:r>
            <w:r w:rsidR="00BB6DE3">
              <w:rPr>
                <w:noProof/>
                <w:webHidden/>
              </w:rPr>
            </w:r>
            <w:r w:rsidR="00BB6DE3">
              <w:rPr>
                <w:noProof/>
                <w:webHidden/>
              </w:rPr>
              <w:fldChar w:fldCharType="separate"/>
            </w:r>
            <w:r w:rsidR="00BB6DE3">
              <w:rPr>
                <w:noProof/>
                <w:webHidden/>
              </w:rPr>
              <w:t>16</w:t>
            </w:r>
            <w:r w:rsidR="00BB6DE3">
              <w:rPr>
                <w:noProof/>
                <w:webHidden/>
              </w:rPr>
              <w:fldChar w:fldCharType="end"/>
            </w:r>
          </w:hyperlink>
        </w:p>
        <w:p w14:paraId="1BA72A32" w14:textId="77777777" w:rsidR="00BB6DE3" w:rsidRDefault="0057494E">
          <w:pPr>
            <w:pStyle w:val="TOC3"/>
            <w:tabs>
              <w:tab w:val="left" w:pos="1701"/>
            </w:tabs>
            <w:rPr>
              <w:rFonts w:asciiTheme="minorHAnsi" w:eastAsiaTheme="minorEastAsia" w:hAnsiTheme="minorHAnsi" w:cstheme="minorBidi"/>
              <w:b w:val="0"/>
              <w:noProof/>
              <w:szCs w:val="22"/>
              <w:lang w:eastAsia="en-AU"/>
            </w:rPr>
          </w:pPr>
          <w:hyperlink w:anchor="_Toc10202259" w:history="1">
            <w:r w:rsidR="00BB6DE3" w:rsidRPr="00E91865">
              <w:rPr>
                <w:rStyle w:val="Hyperlink"/>
                <w:noProof/>
              </w:rPr>
              <w:t>2.4.1</w:t>
            </w:r>
            <w:r w:rsidR="00BB6DE3">
              <w:rPr>
                <w:rFonts w:asciiTheme="minorHAnsi" w:eastAsiaTheme="minorEastAsia" w:hAnsiTheme="minorHAnsi" w:cstheme="minorBidi"/>
                <w:b w:val="0"/>
                <w:noProof/>
                <w:szCs w:val="22"/>
                <w:lang w:eastAsia="en-AU"/>
              </w:rPr>
              <w:tab/>
            </w:r>
            <w:r w:rsidR="00BB6DE3" w:rsidRPr="00E91865">
              <w:rPr>
                <w:rStyle w:val="Hyperlink"/>
                <w:noProof/>
              </w:rPr>
              <w:t>Minor editorial changes</w:t>
            </w:r>
            <w:r w:rsidR="00BB6DE3">
              <w:rPr>
                <w:noProof/>
                <w:webHidden/>
              </w:rPr>
              <w:tab/>
            </w:r>
            <w:r w:rsidR="00BB6DE3">
              <w:rPr>
                <w:noProof/>
                <w:webHidden/>
              </w:rPr>
              <w:fldChar w:fldCharType="begin"/>
            </w:r>
            <w:r w:rsidR="00BB6DE3">
              <w:rPr>
                <w:noProof/>
                <w:webHidden/>
              </w:rPr>
              <w:instrText xml:space="preserve"> PAGEREF _Toc10202259 \h </w:instrText>
            </w:r>
            <w:r w:rsidR="00BB6DE3">
              <w:rPr>
                <w:noProof/>
                <w:webHidden/>
              </w:rPr>
            </w:r>
            <w:r w:rsidR="00BB6DE3">
              <w:rPr>
                <w:noProof/>
                <w:webHidden/>
              </w:rPr>
              <w:fldChar w:fldCharType="separate"/>
            </w:r>
            <w:r w:rsidR="00BB6DE3">
              <w:rPr>
                <w:noProof/>
                <w:webHidden/>
              </w:rPr>
              <w:t>16</w:t>
            </w:r>
            <w:r w:rsidR="00BB6DE3">
              <w:rPr>
                <w:noProof/>
                <w:webHidden/>
              </w:rPr>
              <w:fldChar w:fldCharType="end"/>
            </w:r>
          </w:hyperlink>
        </w:p>
        <w:p w14:paraId="770A6FAA" w14:textId="77777777" w:rsidR="00BB6DE3" w:rsidRDefault="0057494E">
          <w:pPr>
            <w:pStyle w:val="TOC3"/>
            <w:tabs>
              <w:tab w:val="left" w:pos="1701"/>
            </w:tabs>
            <w:rPr>
              <w:rFonts w:asciiTheme="minorHAnsi" w:eastAsiaTheme="minorEastAsia" w:hAnsiTheme="minorHAnsi" w:cstheme="minorBidi"/>
              <w:b w:val="0"/>
              <w:noProof/>
              <w:szCs w:val="22"/>
              <w:lang w:eastAsia="en-AU"/>
            </w:rPr>
          </w:pPr>
          <w:hyperlink w:anchor="_Toc10202260" w:history="1">
            <w:r w:rsidR="00BB6DE3" w:rsidRPr="00E91865">
              <w:rPr>
                <w:rStyle w:val="Hyperlink"/>
                <w:noProof/>
              </w:rPr>
              <w:t>2.4.2</w:t>
            </w:r>
            <w:r w:rsidR="00BB6DE3">
              <w:rPr>
                <w:rFonts w:asciiTheme="minorHAnsi" w:eastAsiaTheme="minorEastAsia" w:hAnsiTheme="minorHAnsi" w:cstheme="minorBidi"/>
                <w:b w:val="0"/>
                <w:noProof/>
                <w:szCs w:val="22"/>
                <w:lang w:eastAsia="en-AU"/>
              </w:rPr>
              <w:tab/>
            </w:r>
            <w:r w:rsidR="00BB6DE3" w:rsidRPr="00E91865">
              <w:rPr>
                <w:rStyle w:val="Hyperlink"/>
                <w:noProof/>
              </w:rPr>
              <w:t>Safety-related requests (SRR)</w:t>
            </w:r>
            <w:r w:rsidR="00BB6DE3">
              <w:rPr>
                <w:noProof/>
                <w:webHidden/>
              </w:rPr>
              <w:tab/>
            </w:r>
            <w:r w:rsidR="00BB6DE3">
              <w:rPr>
                <w:noProof/>
                <w:webHidden/>
              </w:rPr>
              <w:fldChar w:fldCharType="begin"/>
            </w:r>
            <w:r w:rsidR="00BB6DE3">
              <w:rPr>
                <w:noProof/>
                <w:webHidden/>
              </w:rPr>
              <w:instrText xml:space="preserve"> PAGEREF _Toc10202260 \h </w:instrText>
            </w:r>
            <w:r w:rsidR="00BB6DE3">
              <w:rPr>
                <w:noProof/>
                <w:webHidden/>
              </w:rPr>
            </w:r>
            <w:r w:rsidR="00BB6DE3">
              <w:rPr>
                <w:noProof/>
                <w:webHidden/>
              </w:rPr>
              <w:fldChar w:fldCharType="separate"/>
            </w:r>
            <w:r w:rsidR="00BB6DE3">
              <w:rPr>
                <w:noProof/>
                <w:webHidden/>
              </w:rPr>
              <w:t>17</w:t>
            </w:r>
            <w:r w:rsidR="00BB6DE3">
              <w:rPr>
                <w:noProof/>
                <w:webHidden/>
              </w:rPr>
              <w:fldChar w:fldCharType="end"/>
            </w:r>
          </w:hyperlink>
        </w:p>
        <w:p w14:paraId="666AD31A" w14:textId="77777777" w:rsidR="00BB6DE3" w:rsidRDefault="0057494E">
          <w:pPr>
            <w:pStyle w:val="TOC3"/>
            <w:tabs>
              <w:tab w:val="left" w:pos="1701"/>
            </w:tabs>
            <w:rPr>
              <w:rFonts w:asciiTheme="minorHAnsi" w:eastAsiaTheme="minorEastAsia" w:hAnsiTheme="minorHAnsi" w:cstheme="minorBidi"/>
              <w:b w:val="0"/>
              <w:noProof/>
              <w:szCs w:val="22"/>
              <w:lang w:eastAsia="en-AU"/>
            </w:rPr>
          </w:pPr>
          <w:hyperlink w:anchor="_Toc10202261" w:history="1">
            <w:r w:rsidR="00BB6DE3" w:rsidRPr="00E91865">
              <w:rPr>
                <w:rStyle w:val="Hyperlink"/>
                <w:noProof/>
              </w:rPr>
              <w:t>2.4.3</w:t>
            </w:r>
            <w:r w:rsidR="00BB6DE3">
              <w:rPr>
                <w:rFonts w:asciiTheme="minorHAnsi" w:eastAsiaTheme="minorEastAsia" w:hAnsiTheme="minorHAnsi" w:cstheme="minorBidi"/>
                <w:b w:val="0"/>
                <w:noProof/>
                <w:szCs w:val="22"/>
                <w:lang w:eastAsia="en-AU"/>
              </w:rPr>
              <w:tab/>
            </w:r>
            <w:r w:rsidR="00BB6DE3" w:rsidRPr="00E91865">
              <w:rPr>
                <w:rStyle w:val="Hyperlink"/>
                <w:noProof/>
              </w:rPr>
              <w:t>Extension of indications to align with a reference product</w:t>
            </w:r>
            <w:r w:rsidR="00BB6DE3">
              <w:rPr>
                <w:noProof/>
                <w:webHidden/>
              </w:rPr>
              <w:tab/>
            </w:r>
            <w:r w:rsidR="00BB6DE3">
              <w:rPr>
                <w:noProof/>
                <w:webHidden/>
              </w:rPr>
              <w:fldChar w:fldCharType="begin"/>
            </w:r>
            <w:r w:rsidR="00BB6DE3">
              <w:rPr>
                <w:noProof/>
                <w:webHidden/>
              </w:rPr>
              <w:instrText xml:space="preserve"> PAGEREF _Toc10202261 \h </w:instrText>
            </w:r>
            <w:r w:rsidR="00BB6DE3">
              <w:rPr>
                <w:noProof/>
                <w:webHidden/>
              </w:rPr>
            </w:r>
            <w:r w:rsidR="00BB6DE3">
              <w:rPr>
                <w:noProof/>
                <w:webHidden/>
              </w:rPr>
              <w:fldChar w:fldCharType="separate"/>
            </w:r>
            <w:r w:rsidR="00BB6DE3">
              <w:rPr>
                <w:noProof/>
                <w:webHidden/>
              </w:rPr>
              <w:t>20</w:t>
            </w:r>
            <w:r w:rsidR="00BB6DE3">
              <w:rPr>
                <w:noProof/>
                <w:webHidden/>
              </w:rPr>
              <w:fldChar w:fldCharType="end"/>
            </w:r>
          </w:hyperlink>
        </w:p>
        <w:p w14:paraId="2B318083" w14:textId="77777777" w:rsidR="00BB6DE3" w:rsidRDefault="0057494E">
          <w:pPr>
            <w:pStyle w:val="TOC3"/>
            <w:tabs>
              <w:tab w:val="left" w:pos="1701"/>
            </w:tabs>
            <w:rPr>
              <w:rFonts w:asciiTheme="minorHAnsi" w:eastAsiaTheme="minorEastAsia" w:hAnsiTheme="minorHAnsi" w:cstheme="minorBidi"/>
              <w:b w:val="0"/>
              <w:noProof/>
              <w:szCs w:val="22"/>
              <w:lang w:eastAsia="en-AU"/>
            </w:rPr>
          </w:pPr>
          <w:hyperlink w:anchor="_Toc10202262" w:history="1">
            <w:r w:rsidR="00BB6DE3" w:rsidRPr="00E91865">
              <w:rPr>
                <w:rStyle w:val="Hyperlink"/>
                <w:noProof/>
              </w:rPr>
              <w:t>2.4.4</w:t>
            </w:r>
            <w:r w:rsidR="00BB6DE3">
              <w:rPr>
                <w:rFonts w:asciiTheme="minorHAnsi" w:eastAsiaTheme="minorEastAsia" w:hAnsiTheme="minorHAnsi" w:cstheme="minorBidi"/>
                <w:b w:val="0"/>
                <w:noProof/>
                <w:szCs w:val="22"/>
                <w:lang w:eastAsia="en-AU"/>
              </w:rPr>
              <w:tab/>
            </w:r>
            <w:r w:rsidR="00BB6DE3" w:rsidRPr="00E91865">
              <w:rPr>
                <w:rStyle w:val="Hyperlink"/>
                <w:noProof/>
              </w:rPr>
              <w:t>Changes to the product information</w:t>
            </w:r>
            <w:r w:rsidR="00BB6DE3">
              <w:rPr>
                <w:noProof/>
                <w:webHidden/>
              </w:rPr>
              <w:tab/>
            </w:r>
            <w:r w:rsidR="00BB6DE3">
              <w:rPr>
                <w:noProof/>
                <w:webHidden/>
              </w:rPr>
              <w:fldChar w:fldCharType="begin"/>
            </w:r>
            <w:r w:rsidR="00BB6DE3">
              <w:rPr>
                <w:noProof/>
                <w:webHidden/>
              </w:rPr>
              <w:instrText xml:space="preserve"> PAGEREF _Toc10202262 \h </w:instrText>
            </w:r>
            <w:r w:rsidR="00BB6DE3">
              <w:rPr>
                <w:noProof/>
                <w:webHidden/>
              </w:rPr>
            </w:r>
            <w:r w:rsidR="00BB6DE3">
              <w:rPr>
                <w:noProof/>
                <w:webHidden/>
              </w:rPr>
              <w:fldChar w:fldCharType="separate"/>
            </w:r>
            <w:r w:rsidR="00BB6DE3">
              <w:rPr>
                <w:noProof/>
                <w:webHidden/>
              </w:rPr>
              <w:t>20</w:t>
            </w:r>
            <w:r w:rsidR="00BB6DE3">
              <w:rPr>
                <w:noProof/>
                <w:webHidden/>
              </w:rPr>
              <w:fldChar w:fldCharType="end"/>
            </w:r>
          </w:hyperlink>
        </w:p>
        <w:p w14:paraId="251BE2EE" w14:textId="77777777" w:rsidR="00BB6DE3" w:rsidRDefault="0057494E">
          <w:pPr>
            <w:pStyle w:val="TOC1"/>
            <w:tabs>
              <w:tab w:val="left" w:pos="851"/>
            </w:tabs>
            <w:rPr>
              <w:rFonts w:asciiTheme="minorHAnsi" w:eastAsiaTheme="minorEastAsia" w:hAnsiTheme="minorHAnsi" w:cstheme="minorBidi"/>
              <w:b w:val="0"/>
              <w:noProof/>
              <w:sz w:val="22"/>
              <w:szCs w:val="22"/>
              <w:lang w:eastAsia="en-AU"/>
            </w:rPr>
          </w:pPr>
          <w:hyperlink w:anchor="_Toc10202263" w:history="1">
            <w:r w:rsidR="00BB6DE3" w:rsidRPr="00E91865">
              <w:rPr>
                <w:rStyle w:val="Hyperlink"/>
                <w:noProof/>
              </w:rPr>
              <w:t>3.</w:t>
            </w:r>
            <w:r w:rsidR="00BB6DE3">
              <w:rPr>
                <w:rFonts w:asciiTheme="minorHAnsi" w:eastAsiaTheme="minorEastAsia" w:hAnsiTheme="minorHAnsi" w:cstheme="minorBidi"/>
                <w:b w:val="0"/>
                <w:noProof/>
                <w:sz w:val="22"/>
                <w:szCs w:val="22"/>
                <w:lang w:eastAsia="en-AU"/>
              </w:rPr>
              <w:tab/>
            </w:r>
            <w:r w:rsidR="00BB6DE3" w:rsidRPr="00E91865">
              <w:rPr>
                <w:rStyle w:val="Hyperlink"/>
                <w:noProof/>
              </w:rPr>
              <w:t>How to apply for a variation</w:t>
            </w:r>
            <w:r w:rsidR="00BB6DE3">
              <w:rPr>
                <w:noProof/>
                <w:webHidden/>
              </w:rPr>
              <w:tab/>
            </w:r>
            <w:r w:rsidR="00BB6DE3">
              <w:rPr>
                <w:noProof/>
                <w:webHidden/>
              </w:rPr>
              <w:fldChar w:fldCharType="begin"/>
            </w:r>
            <w:r w:rsidR="00BB6DE3">
              <w:rPr>
                <w:noProof/>
                <w:webHidden/>
              </w:rPr>
              <w:instrText xml:space="preserve"> PAGEREF _Toc10202263 \h </w:instrText>
            </w:r>
            <w:r w:rsidR="00BB6DE3">
              <w:rPr>
                <w:noProof/>
                <w:webHidden/>
              </w:rPr>
            </w:r>
            <w:r w:rsidR="00BB6DE3">
              <w:rPr>
                <w:noProof/>
                <w:webHidden/>
              </w:rPr>
              <w:fldChar w:fldCharType="separate"/>
            </w:r>
            <w:r w:rsidR="00BB6DE3">
              <w:rPr>
                <w:noProof/>
                <w:webHidden/>
              </w:rPr>
              <w:t>24</w:t>
            </w:r>
            <w:r w:rsidR="00BB6DE3">
              <w:rPr>
                <w:noProof/>
                <w:webHidden/>
              </w:rPr>
              <w:fldChar w:fldCharType="end"/>
            </w:r>
          </w:hyperlink>
        </w:p>
        <w:p w14:paraId="39DD86EC" w14:textId="77777777" w:rsidR="00BB6DE3" w:rsidRDefault="0057494E">
          <w:pPr>
            <w:pStyle w:val="TOC2"/>
            <w:tabs>
              <w:tab w:val="left" w:pos="1276"/>
            </w:tabs>
            <w:rPr>
              <w:rFonts w:asciiTheme="minorHAnsi" w:eastAsiaTheme="minorEastAsia" w:hAnsiTheme="minorHAnsi" w:cstheme="minorBidi"/>
              <w:b w:val="0"/>
              <w:noProof/>
              <w:sz w:val="22"/>
              <w:szCs w:val="22"/>
              <w:lang w:eastAsia="en-AU"/>
            </w:rPr>
          </w:pPr>
          <w:hyperlink w:anchor="_Toc10202264" w:history="1">
            <w:r w:rsidR="00BB6DE3" w:rsidRPr="00E91865">
              <w:rPr>
                <w:rStyle w:val="Hyperlink"/>
                <w:noProof/>
              </w:rPr>
              <w:t>3.1</w:t>
            </w:r>
            <w:r w:rsidR="00BB6DE3">
              <w:rPr>
                <w:rFonts w:asciiTheme="minorHAnsi" w:eastAsiaTheme="minorEastAsia" w:hAnsiTheme="minorHAnsi" w:cstheme="minorBidi"/>
                <w:b w:val="0"/>
                <w:noProof/>
                <w:sz w:val="22"/>
                <w:szCs w:val="22"/>
                <w:lang w:eastAsia="en-AU"/>
              </w:rPr>
              <w:tab/>
            </w:r>
            <w:r w:rsidR="00BB6DE3" w:rsidRPr="00E91865">
              <w:rPr>
                <w:rStyle w:val="Hyperlink"/>
                <w:noProof/>
              </w:rPr>
              <w:t>Variation types</w:t>
            </w:r>
            <w:r w:rsidR="00BB6DE3">
              <w:rPr>
                <w:noProof/>
                <w:webHidden/>
              </w:rPr>
              <w:tab/>
            </w:r>
            <w:r w:rsidR="00BB6DE3">
              <w:rPr>
                <w:noProof/>
                <w:webHidden/>
              </w:rPr>
              <w:fldChar w:fldCharType="begin"/>
            </w:r>
            <w:r w:rsidR="00BB6DE3">
              <w:rPr>
                <w:noProof/>
                <w:webHidden/>
              </w:rPr>
              <w:instrText xml:space="preserve"> PAGEREF _Toc10202264 \h </w:instrText>
            </w:r>
            <w:r w:rsidR="00BB6DE3">
              <w:rPr>
                <w:noProof/>
                <w:webHidden/>
              </w:rPr>
            </w:r>
            <w:r w:rsidR="00BB6DE3">
              <w:rPr>
                <w:noProof/>
                <w:webHidden/>
              </w:rPr>
              <w:fldChar w:fldCharType="separate"/>
            </w:r>
            <w:r w:rsidR="00BB6DE3">
              <w:rPr>
                <w:noProof/>
                <w:webHidden/>
              </w:rPr>
              <w:t>24</w:t>
            </w:r>
            <w:r w:rsidR="00BB6DE3">
              <w:rPr>
                <w:noProof/>
                <w:webHidden/>
              </w:rPr>
              <w:fldChar w:fldCharType="end"/>
            </w:r>
          </w:hyperlink>
        </w:p>
        <w:p w14:paraId="028DEA00" w14:textId="77777777" w:rsidR="00BB6DE3" w:rsidRDefault="0057494E">
          <w:pPr>
            <w:pStyle w:val="TOC3"/>
            <w:tabs>
              <w:tab w:val="left" w:pos="1701"/>
            </w:tabs>
            <w:rPr>
              <w:rFonts w:asciiTheme="minorHAnsi" w:eastAsiaTheme="minorEastAsia" w:hAnsiTheme="minorHAnsi" w:cstheme="minorBidi"/>
              <w:b w:val="0"/>
              <w:noProof/>
              <w:szCs w:val="22"/>
              <w:lang w:eastAsia="en-AU"/>
            </w:rPr>
          </w:pPr>
          <w:hyperlink w:anchor="_Toc10202265" w:history="1">
            <w:r w:rsidR="00BB6DE3" w:rsidRPr="00E91865">
              <w:rPr>
                <w:rStyle w:val="Hyperlink"/>
                <w:noProof/>
              </w:rPr>
              <w:t>3.1.1</w:t>
            </w:r>
            <w:r w:rsidR="00BB6DE3">
              <w:rPr>
                <w:rFonts w:asciiTheme="minorHAnsi" w:eastAsiaTheme="minorEastAsia" w:hAnsiTheme="minorHAnsi" w:cstheme="minorBidi"/>
                <w:b w:val="0"/>
                <w:noProof/>
                <w:szCs w:val="22"/>
                <w:lang w:eastAsia="en-AU"/>
              </w:rPr>
              <w:tab/>
            </w:r>
            <w:r w:rsidR="00BB6DE3" w:rsidRPr="00E91865">
              <w:rPr>
                <w:rStyle w:val="Hyperlink"/>
                <w:noProof/>
              </w:rPr>
              <w:t>Multiple related changes</w:t>
            </w:r>
            <w:r w:rsidR="00BB6DE3">
              <w:rPr>
                <w:noProof/>
                <w:webHidden/>
              </w:rPr>
              <w:tab/>
            </w:r>
            <w:r w:rsidR="00BB6DE3">
              <w:rPr>
                <w:noProof/>
                <w:webHidden/>
              </w:rPr>
              <w:fldChar w:fldCharType="begin"/>
            </w:r>
            <w:r w:rsidR="00BB6DE3">
              <w:rPr>
                <w:noProof/>
                <w:webHidden/>
              </w:rPr>
              <w:instrText xml:space="preserve"> PAGEREF _Toc10202265 \h </w:instrText>
            </w:r>
            <w:r w:rsidR="00BB6DE3">
              <w:rPr>
                <w:noProof/>
                <w:webHidden/>
              </w:rPr>
            </w:r>
            <w:r w:rsidR="00BB6DE3">
              <w:rPr>
                <w:noProof/>
                <w:webHidden/>
              </w:rPr>
              <w:fldChar w:fldCharType="separate"/>
            </w:r>
            <w:r w:rsidR="00BB6DE3">
              <w:rPr>
                <w:noProof/>
                <w:webHidden/>
              </w:rPr>
              <w:t>24</w:t>
            </w:r>
            <w:r w:rsidR="00BB6DE3">
              <w:rPr>
                <w:noProof/>
                <w:webHidden/>
              </w:rPr>
              <w:fldChar w:fldCharType="end"/>
            </w:r>
          </w:hyperlink>
        </w:p>
        <w:p w14:paraId="1956A272" w14:textId="77777777" w:rsidR="00BB6DE3" w:rsidRDefault="0057494E">
          <w:pPr>
            <w:pStyle w:val="TOC3"/>
            <w:tabs>
              <w:tab w:val="left" w:pos="1701"/>
            </w:tabs>
            <w:rPr>
              <w:rFonts w:asciiTheme="minorHAnsi" w:eastAsiaTheme="minorEastAsia" w:hAnsiTheme="minorHAnsi" w:cstheme="minorBidi"/>
              <w:b w:val="0"/>
              <w:noProof/>
              <w:szCs w:val="22"/>
              <w:lang w:eastAsia="en-AU"/>
            </w:rPr>
          </w:pPr>
          <w:hyperlink w:anchor="_Toc10202266" w:history="1">
            <w:r w:rsidR="00BB6DE3" w:rsidRPr="00E91865">
              <w:rPr>
                <w:rStyle w:val="Hyperlink"/>
                <w:noProof/>
              </w:rPr>
              <w:t>3.1.2</w:t>
            </w:r>
            <w:r w:rsidR="00BB6DE3">
              <w:rPr>
                <w:rFonts w:asciiTheme="minorHAnsi" w:eastAsiaTheme="minorEastAsia" w:hAnsiTheme="minorHAnsi" w:cstheme="minorBidi"/>
                <w:b w:val="0"/>
                <w:noProof/>
                <w:szCs w:val="22"/>
                <w:lang w:eastAsia="en-AU"/>
              </w:rPr>
              <w:tab/>
            </w:r>
            <w:r w:rsidR="00BB6DE3" w:rsidRPr="00E91865">
              <w:rPr>
                <w:rStyle w:val="Hyperlink"/>
                <w:noProof/>
              </w:rPr>
              <w:t>Multiple unrelated changes</w:t>
            </w:r>
            <w:r w:rsidR="00BB6DE3">
              <w:rPr>
                <w:noProof/>
                <w:webHidden/>
              </w:rPr>
              <w:tab/>
            </w:r>
            <w:r w:rsidR="00BB6DE3">
              <w:rPr>
                <w:noProof/>
                <w:webHidden/>
              </w:rPr>
              <w:fldChar w:fldCharType="begin"/>
            </w:r>
            <w:r w:rsidR="00BB6DE3">
              <w:rPr>
                <w:noProof/>
                <w:webHidden/>
              </w:rPr>
              <w:instrText xml:space="preserve"> PAGEREF _Toc10202266 \h </w:instrText>
            </w:r>
            <w:r w:rsidR="00BB6DE3">
              <w:rPr>
                <w:noProof/>
                <w:webHidden/>
              </w:rPr>
            </w:r>
            <w:r w:rsidR="00BB6DE3">
              <w:rPr>
                <w:noProof/>
                <w:webHidden/>
              </w:rPr>
              <w:fldChar w:fldCharType="separate"/>
            </w:r>
            <w:r w:rsidR="00BB6DE3">
              <w:rPr>
                <w:noProof/>
                <w:webHidden/>
              </w:rPr>
              <w:t>25</w:t>
            </w:r>
            <w:r w:rsidR="00BB6DE3">
              <w:rPr>
                <w:noProof/>
                <w:webHidden/>
              </w:rPr>
              <w:fldChar w:fldCharType="end"/>
            </w:r>
          </w:hyperlink>
        </w:p>
        <w:p w14:paraId="2BA2BBD8" w14:textId="77777777" w:rsidR="00BB6DE3" w:rsidRDefault="0057494E">
          <w:pPr>
            <w:pStyle w:val="TOC3"/>
            <w:tabs>
              <w:tab w:val="left" w:pos="1701"/>
            </w:tabs>
            <w:rPr>
              <w:rFonts w:asciiTheme="minorHAnsi" w:eastAsiaTheme="minorEastAsia" w:hAnsiTheme="minorHAnsi" w:cstheme="minorBidi"/>
              <w:b w:val="0"/>
              <w:noProof/>
              <w:szCs w:val="22"/>
              <w:lang w:eastAsia="en-AU"/>
            </w:rPr>
          </w:pPr>
          <w:hyperlink w:anchor="_Toc10202267" w:history="1">
            <w:r w:rsidR="00BB6DE3" w:rsidRPr="00E91865">
              <w:rPr>
                <w:rStyle w:val="Hyperlink"/>
                <w:noProof/>
              </w:rPr>
              <w:t>3.1.3</w:t>
            </w:r>
            <w:r w:rsidR="00BB6DE3">
              <w:rPr>
                <w:rFonts w:asciiTheme="minorHAnsi" w:eastAsiaTheme="minorEastAsia" w:hAnsiTheme="minorHAnsi" w:cstheme="minorBidi"/>
                <w:b w:val="0"/>
                <w:noProof/>
                <w:szCs w:val="22"/>
                <w:lang w:eastAsia="en-AU"/>
              </w:rPr>
              <w:tab/>
            </w:r>
            <w:r w:rsidR="00BB6DE3" w:rsidRPr="00E91865">
              <w:rPr>
                <w:rStyle w:val="Hyperlink"/>
                <w:noProof/>
              </w:rPr>
              <w:t>Associated changes for separate and distinct goods</w:t>
            </w:r>
            <w:r w:rsidR="00BB6DE3">
              <w:rPr>
                <w:noProof/>
                <w:webHidden/>
              </w:rPr>
              <w:tab/>
            </w:r>
            <w:r w:rsidR="00BB6DE3">
              <w:rPr>
                <w:noProof/>
                <w:webHidden/>
              </w:rPr>
              <w:fldChar w:fldCharType="begin"/>
            </w:r>
            <w:r w:rsidR="00BB6DE3">
              <w:rPr>
                <w:noProof/>
                <w:webHidden/>
              </w:rPr>
              <w:instrText xml:space="preserve"> PAGEREF _Toc10202267 \h </w:instrText>
            </w:r>
            <w:r w:rsidR="00BB6DE3">
              <w:rPr>
                <w:noProof/>
                <w:webHidden/>
              </w:rPr>
            </w:r>
            <w:r w:rsidR="00BB6DE3">
              <w:rPr>
                <w:noProof/>
                <w:webHidden/>
              </w:rPr>
              <w:fldChar w:fldCharType="separate"/>
            </w:r>
            <w:r w:rsidR="00BB6DE3">
              <w:rPr>
                <w:noProof/>
                <w:webHidden/>
              </w:rPr>
              <w:t>26</w:t>
            </w:r>
            <w:r w:rsidR="00BB6DE3">
              <w:rPr>
                <w:noProof/>
                <w:webHidden/>
              </w:rPr>
              <w:fldChar w:fldCharType="end"/>
            </w:r>
          </w:hyperlink>
        </w:p>
        <w:p w14:paraId="1D0D2271" w14:textId="77777777" w:rsidR="00BB6DE3" w:rsidRDefault="0057494E">
          <w:pPr>
            <w:pStyle w:val="TOC2"/>
            <w:tabs>
              <w:tab w:val="left" w:pos="1276"/>
            </w:tabs>
            <w:rPr>
              <w:rFonts w:asciiTheme="minorHAnsi" w:eastAsiaTheme="minorEastAsia" w:hAnsiTheme="minorHAnsi" w:cstheme="minorBidi"/>
              <w:b w:val="0"/>
              <w:noProof/>
              <w:sz w:val="22"/>
              <w:szCs w:val="22"/>
              <w:lang w:eastAsia="en-AU"/>
            </w:rPr>
          </w:pPr>
          <w:hyperlink w:anchor="_Toc10202268" w:history="1">
            <w:r w:rsidR="00BB6DE3" w:rsidRPr="00E91865">
              <w:rPr>
                <w:rStyle w:val="Hyperlink"/>
                <w:noProof/>
              </w:rPr>
              <w:t>3.2</w:t>
            </w:r>
            <w:r w:rsidR="00BB6DE3">
              <w:rPr>
                <w:rFonts w:asciiTheme="minorHAnsi" w:eastAsiaTheme="minorEastAsia" w:hAnsiTheme="minorHAnsi" w:cstheme="minorBidi"/>
                <w:b w:val="0"/>
                <w:noProof/>
                <w:sz w:val="22"/>
                <w:szCs w:val="22"/>
                <w:lang w:eastAsia="en-AU"/>
              </w:rPr>
              <w:tab/>
            </w:r>
            <w:r w:rsidR="00BB6DE3" w:rsidRPr="00E91865">
              <w:rPr>
                <w:rStyle w:val="Hyperlink"/>
                <w:noProof/>
              </w:rPr>
              <w:t>Prior to application submission</w:t>
            </w:r>
            <w:r w:rsidR="00BB6DE3">
              <w:rPr>
                <w:noProof/>
                <w:webHidden/>
              </w:rPr>
              <w:tab/>
            </w:r>
            <w:r w:rsidR="00BB6DE3">
              <w:rPr>
                <w:noProof/>
                <w:webHidden/>
              </w:rPr>
              <w:fldChar w:fldCharType="begin"/>
            </w:r>
            <w:r w:rsidR="00BB6DE3">
              <w:rPr>
                <w:noProof/>
                <w:webHidden/>
              </w:rPr>
              <w:instrText xml:space="preserve"> PAGEREF _Toc10202268 \h </w:instrText>
            </w:r>
            <w:r w:rsidR="00BB6DE3">
              <w:rPr>
                <w:noProof/>
                <w:webHidden/>
              </w:rPr>
            </w:r>
            <w:r w:rsidR="00BB6DE3">
              <w:rPr>
                <w:noProof/>
                <w:webHidden/>
              </w:rPr>
              <w:fldChar w:fldCharType="separate"/>
            </w:r>
            <w:r w:rsidR="00BB6DE3">
              <w:rPr>
                <w:noProof/>
                <w:webHidden/>
              </w:rPr>
              <w:t>27</w:t>
            </w:r>
            <w:r w:rsidR="00BB6DE3">
              <w:rPr>
                <w:noProof/>
                <w:webHidden/>
              </w:rPr>
              <w:fldChar w:fldCharType="end"/>
            </w:r>
          </w:hyperlink>
        </w:p>
        <w:p w14:paraId="1BEEFBC8" w14:textId="77777777" w:rsidR="00BB6DE3" w:rsidRDefault="0057494E">
          <w:pPr>
            <w:pStyle w:val="TOC2"/>
            <w:tabs>
              <w:tab w:val="left" w:pos="1276"/>
            </w:tabs>
            <w:rPr>
              <w:rFonts w:asciiTheme="minorHAnsi" w:eastAsiaTheme="minorEastAsia" w:hAnsiTheme="minorHAnsi" w:cstheme="minorBidi"/>
              <w:b w:val="0"/>
              <w:noProof/>
              <w:sz w:val="22"/>
              <w:szCs w:val="22"/>
              <w:lang w:eastAsia="en-AU"/>
            </w:rPr>
          </w:pPr>
          <w:hyperlink w:anchor="_Toc10202269" w:history="1">
            <w:r w:rsidR="00BB6DE3" w:rsidRPr="00E91865">
              <w:rPr>
                <w:rStyle w:val="Hyperlink"/>
                <w:noProof/>
              </w:rPr>
              <w:t>3.3</w:t>
            </w:r>
            <w:r w:rsidR="00BB6DE3">
              <w:rPr>
                <w:rFonts w:asciiTheme="minorHAnsi" w:eastAsiaTheme="minorEastAsia" w:hAnsiTheme="minorHAnsi" w:cstheme="minorBidi"/>
                <w:b w:val="0"/>
                <w:noProof/>
                <w:sz w:val="22"/>
                <w:szCs w:val="22"/>
                <w:lang w:eastAsia="en-AU"/>
              </w:rPr>
              <w:tab/>
            </w:r>
            <w:r w:rsidR="00BB6DE3" w:rsidRPr="00E91865">
              <w:rPr>
                <w:rStyle w:val="Hyperlink"/>
                <w:noProof/>
              </w:rPr>
              <w:t>Variation e-form</w:t>
            </w:r>
            <w:r w:rsidR="00BB6DE3">
              <w:rPr>
                <w:noProof/>
                <w:webHidden/>
              </w:rPr>
              <w:tab/>
            </w:r>
            <w:r w:rsidR="00BB6DE3">
              <w:rPr>
                <w:noProof/>
                <w:webHidden/>
              </w:rPr>
              <w:fldChar w:fldCharType="begin"/>
            </w:r>
            <w:r w:rsidR="00BB6DE3">
              <w:rPr>
                <w:noProof/>
                <w:webHidden/>
              </w:rPr>
              <w:instrText xml:space="preserve"> PAGEREF _Toc10202269 \h </w:instrText>
            </w:r>
            <w:r w:rsidR="00BB6DE3">
              <w:rPr>
                <w:noProof/>
                <w:webHidden/>
              </w:rPr>
            </w:r>
            <w:r w:rsidR="00BB6DE3">
              <w:rPr>
                <w:noProof/>
                <w:webHidden/>
              </w:rPr>
              <w:fldChar w:fldCharType="separate"/>
            </w:r>
            <w:r w:rsidR="00BB6DE3">
              <w:rPr>
                <w:noProof/>
                <w:webHidden/>
              </w:rPr>
              <w:t>27</w:t>
            </w:r>
            <w:r w:rsidR="00BB6DE3">
              <w:rPr>
                <w:noProof/>
                <w:webHidden/>
              </w:rPr>
              <w:fldChar w:fldCharType="end"/>
            </w:r>
          </w:hyperlink>
        </w:p>
        <w:p w14:paraId="3A3DDA02" w14:textId="77777777" w:rsidR="00BB6DE3" w:rsidRDefault="0057494E">
          <w:pPr>
            <w:pStyle w:val="TOC3"/>
            <w:tabs>
              <w:tab w:val="left" w:pos="1701"/>
            </w:tabs>
            <w:rPr>
              <w:rFonts w:asciiTheme="minorHAnsi" w:eastAsiaTheme="minorEastAsia" w:hAnsiTheme="minorHAnsi" w:cstheme="minorBidi"/>
              <w:b w:val="0"/>
              <w:noProof/>
              <w:szCs w:val="22"/>
              <w:lang w:eastAsia="en-AU"/>
            </w:rPr>
          </w:pPr>
          <w:hyperlink w:anchor="_Toc10202270" w:history="1">
            <w:r w:rsidR="00BB6DE3" w:rsidRPr="00E91865">
              <w:rPr>
                <w:rStyle w:val="Hyperlink"/>
                <w:noProof/>
              </w:rPr>
              <w:t>3.3.1</w:t>
            </w:r>
            <w:r w:rsidR="00BB6DE3">
              <w:rPr>
                <w:rFonts w:asciiTheme="minorHAnsi" w:eastAsiaTheme="minorEastAsia" w:hAnsiTheme="minorHAnsi" w:cstheme="minorBidi"/>
                <w:b w:val="0"/>
                <w:noProof/>
                <w:szCs w:val="22"/>
                <w:lang w:eastAsia="en-AU"/>
              </w:rPr>
              <w:tab/>
            </w:r>
            <w:r w:rsidR="00BB6DE3" w:rsidRPr="00E91865">
              <w:rPr>
                <w:rStyle w:val="Hyperlink"/>
                <w:noProof/>
              </w:rPr>
              <w:t>Varying multiple ARTG entries</w:t>
            </w:r>
            <w:r w:rsidR="00BB6DE3">
              <w:rPr>
                <w:noProof/>
                <w:webHidden/>
              </w:rPr>
              <w:tab/>
            </w:r>
            <w:r w:rsidR="00BB6DE3">
              <w:rPr>
                <w:noProof/>
                <w:webHidden/>
              </w:rPr>
              <w:fldChar w:fldCharType="begin"/>
            </w:r>
            <w:r w:rsidR="00BB6DE3">
              <w:rPr>
                <w:noProof/>
                <w:webHidden/>
              </w:rPr>
              <w:instrText xml:space="preserve"> PAGEREF _Toc10202270 \h </w:instrText>
            </w:r>
            <w:r w:rsidR="00BB6DE3">
              <w:rPr>
                <w:noProof/>
                <w:webHidden/>
              </w:rPr>
            </w:r>
            <w:r w:rsidR="00BB6DE3">
              <w:rPr>
                <w:noProof/>
                <w:webHidden/>
              </w:rPr>
              <w:fldChar w:fldCharType="separate"/>
            </w:r>
            <w:r w:rsidR="00BB6DE3">
              <w:rPr>
                <w:noProof/>
                <w:webHidden/>
              </w:rPr>
              <w:t>28</w:t>
            </w:r>
            <w:r w:rsidR="00BB6DE3">
              <w:rPr>
                <w:noProof/>
                <w:webHidden/>
              </w:rPr>
              <w:fldChar w:fldCharType="end"/>
            </w:r>
          </w:hyperlink>
        </w:p>
        <w:p w14:paraId="71E15AF6" w14:textId="77777777" w:rsidR="00BB6DE3" w:rsidRDefault="0057494E">
          <w:pPr>
            <w:pStyle w:val="TOC2"/>
            <w:tabs>
              <w:tab w:val="left" w:pos="1276"/>
            </w:tabs>
            <w:rPr>
              <w:rFonts w:asciiTheme="minorHAnsi" w:eastAsiaTheme="minorEastAsia" w:hAnsiTheme="minorHAnsi" w:cstheme="minorBidi"/>
              <w:b w:val="0"/>
              <w:noProof/>
              <w:sz w:val="22"/>
              <w:szCs w:val="22"/>
              <w:lang w:eastAsia="en-AU"/>
            </w:rPr>
          </w:pPr>
          <w:hyperlink w:anchor="_Toc10202271" w:history="1">
            <w:r w:rsidR="00BB6DE3" w:rsidRPr="00E91865">
              <w:rPr>
                <w:rStyle w:val="Hyperlink"/>
                <w:noProof/>
              </w:rPr>
              <w:t>3.4</w:t>
            </w:r>
            <w:r w:rsidR="00BB6DE3">
              <w:rPr>
                <w:rFonts w:asciiTheme="minorHAnsi" w:eastAsiaTheme="minorEastAsia" w:hAnsiTheme="minorHAnsi" w:cstheme="minorBidi"/>
                <w:b w:val="0"/>
                <w:noProof/>
                <w:sz w:val="22"/>
                <w:szCs w:val="22"/>
                <w:lang w:eastAsia="en-AU"/>
              </w:rPr>
              <w:tab/>
            </w:r>
            <w:r w:rsidR="00BB6DE3" w:rsidRPr="00E91865">
              <w:rPr>
                <w:rStyle w:val="Hyperlink"/>
                <w:noProof/>
              </w:rPr>
              <w:t>Submitting data</w:t>
            </w:r>
            <w:r w:rsidR="00BB6DE3">
              <w:rPr>
                <w:noProof/>
                <w:webHidden/>
              </w:rPr>
              <w:tab/>
            </w:r>
            <w:r w:rsidR="00BB6DE3">
              <w:rPr>
                <w:noProof/>
                <w:webHidden/>
              </w:rPr>
              <w:fldChar w:fldCharType="begin"/>
            </w:r>
            <w:r w:rsidR="00BB6DE3">
              <w:rPr>
                <w:noProof/>
                <w:webHidden/>
              </w:rPr>
              <w:instrText xml:space="preserve"> PAGEREF _Toc10202271 \h </w:instrText>
            </w:r>
            <w:r w:rsidR="00BB6DE3">
              <w:rPr>
                <w:noProof/>
                <w:webHidden/>
              </w:rPr>
            </w:r>
            <w:r w:rsidR="00BB6DE3">
              <w:rPr>
                <w:noProof/>
                <w:webHidden/>
              </w:rPr>
              <w:fldChar w:fldCharType="separate"/>
            </w:r>
            <w:r w:rsidR="00BB6DE3">
              <w:rPr>
                <w:noProof/>
                <w:webHidden/>
              </w:rPr>
              <w:t>29</w:t>
            </w:r>
            <w:r w:rsidR="00BB6DE3">
              <w:rPr>
                <w:noProof/>
                <w:webHidden/>
              </w:rPr>
              <w:fldChar w:fldCharType="end"/>
            </w:r>
          </w:hyperlink>
        </w:p>
        <w:p w14:paraId="6D6B8035" w14:textId="77777777" w:rsidR="00BB6DE3" w:rsidRDefault="0057494E">
          <w:pPr>
            <w:pStyle w:val="TOC2"/>
            <w:tabs>
              <w:tab w:val="left" w:pos="1276"/>
            </w:tabs>
            <w:rPr>
              <w:rFonts w:asciiTheme="minorHAnsi" w:eastAsiaTheme="minorEastAsia" w:hAnsiTheme="minorHAnsi" w:cstheme="minorBidi"/>
              <w:b w:val="0"/>
              <w:noProof/>
              <w:sz w:val="22"/>
              <w:szCs w:val="22"/>
              <w:lang w:eastAsia="en-AU"/>
            </w:rPr>
          </w:pPr>
          <w:hyperlink w:anchor="_Toc10202272" w:history="1">
            <w:r w:rsidR="00BB6DE3" w:rsidRPr="00E91865">
              <w:rPr>
                <w:rStyle w:val="Hyperlink"/>
                <w:rFonts w:eastAsia="Calibri"/>
                <w:noProof/>
              </w:rPr>
              <w:t>3.5</w:t>
            </w:r>
            <w:r w:rsidR="00BB6DE3">
              <w:rPr>
                <w:rFonts w:asciiTheme="minorHAnsi" w:eastAsiaTheme="minorEastAsia" w:hAnsiTheme="minorHAnsi" w:cstheme="minorBidi"/>
                <w:b w:val="0"/>
                <w:noProof/>
                <w:sz w:val="22"/>
                <w:szCs w:val="22"/>
                <w:lang w:eastAsia="en-AU"/>
              </w:rPr>
              <w:tab/>
            </w:r>
            <w:r w:rsidR="00BB6DE3" w:rsidRPr="00E91865">
              <w:rPr>
                <w:rStyle w:val="Hyperlink"/>
                <w:rFonts w:eastAsia="Calibri"/>
                <w:noProof/>
              </w:rPr>
              <w:t>Conditions and data requirements</w:t>
            </w:r>
            <w:r w:rsidR="00BB6DE3">
              <w:rPr>
                <w:noProof/>
                <w:webHidden/>
              </w:rPr>
              <w:tab/>
            </w:r>
            <w:r w:rsidR="00BB6DE3">
              <w:rPr>
                <w:noProof/>
                <w:webHidden/>
              </w:rPr>
              <w:fldChar w:fldCharType="begin"/>
            </w:r>
            <w:r w:rsidR="00BB6DE3">
              <w:rPr>
                <w:noProof/>
                <w:webHidden/>
              </w:rPr>
              <w:instrText xml:space="preserve"> PAGEREF _Toc10202272 \h </w:instrText>
            </w:r>
            <w:r w:rsidR="00BB6DE3">
              <w:rPr>
                <w:noProof/>
                <w:webHidden/>
              </w:rPr>
            </w:r>
            <w:r w:rsidR="00BB6DE3">
              <w:rPr>
                <w:noProof/>
                <w:webHidden/>
              </w:rPr>
              <w:fldChar w:fldCharType="separate"/>
            </w:r>
            <w:r w:rsidR="00BB6DE3">
              <w:rPr>
                <w:noProof/>
                <w:webHidden/>
              </w:rPr>
              <w:t>29</w:t>
            </w:r>
            <w:r w:rsidR="00BB6DE3">
              <w:rPr>
                <w:noProof/>
                <w:webHidden/>
              </w:rPr>
              <w:fldChar w:fldCharType="end"/>
            </w:r>
          </w:hyperlink>
        </w:p>
        <w:p w14:paraId="5022605F" w14:textId="77777777" w:rsidR="00BB6DE3" w:rsidRDefault="0057494E">
          <w:pPr>
            <w:pStyle w:val="TOC3"/>
            <w:tabs>
              <w:tab w:val="left" w:pos="1701"/>
            </w:tabs>
            <w:rPr>
              <w:rFonts w:asciiTheme="minorHAnsi" w:eastAsiaTheme="minorEastAsia" w:hAnsiTheme="minorHAnsi" w:cstheme="minorBidi"/>
              <w:b w:val="0"/>
              <w:noProof/>
              <w:szCs w:val="22"/>
              <w:lang w:eastAsia="en-AU"/>
            </w:rPr>
          </w:pPr>
          <w:hyperlink w:anchor="_Toc10202273" w:history="1">
            <w:r w:rsidR="00BB6DE3" w:rsidRPr="00E91865">
              <w:rPr>
                <w:rStyle w:val="Hyperlink"/>
                <w:noProof/>
              </w:rPr>
              <w:t>3.5.1</w:t>
            </w:r>
            <w:r w:rsidR="00BB6DE3">
              <w:rPr>
                <w:rFonts w:asciiTheme="minorHAnsi" w:eastAsiaTheme="minorEastAsia" w:hAnsiTheme="minorHAnsi" w:cstheme="minorBidi"/>
                <w:b w:val="0"/>
                <w:noProof/>
                <w:szCs w:val="22"/>
                <w:lang w:eastAsia="en-AU"/>
              </w:rPr>
              <w:tab/>
            </w:r>
            <w:r w:rsidR="00BB6DE3" w:rsidRPr="00E91865">
              <w:rPr>
                <w:rStyle w:val="Hyperlink"/>
                <w:noProof/>
              </w:rPr>
              <w:t>Validation data</w:t>
            </w:r>
            <w:r w:rsidR="00BB6DE3">
              <w:rPr>
                <w:noProof/>
                <w:webHidden/>
              </w:rPr>
              <w:tab/>
            </w:r>
            <w:r w:rsidR="00BB6DE3">
              <w:rPr>
                <w:noProof/>
                <w:webHidden/>
              </w:rPr>
              <w:fldChar w:fldCharType="begin"/>
            </w:r>
            <w:r w:rsidR="00BB6DE3">
              <w:rPr>
                <w:noProof/>
                <w:webHidden/>
              </w:rPr>
              <w:instrText xml:space="preserve"> PAGEREF _Toc10202273 \h </w:instrText>
            </w:r>
            <w:r w:rsidR="00BB6DE3">
              <w:rPr>
                <w:noProof/>
                <w:webHidden/>
              </w:rPr>
            </w:r>
            <w:r w:rsidR="00BB6DE3">
              <w:rPr>
                <w:noProof/>
                <w:webHidden/>
              </w:rPr>
              <w:fldChar w:fldCharType="separate"/>
            </w:r>
            <w:r w:rsidR="00BB6DE3">
              <w:rPr>
                <w:noProof/>
                <w:webHidden/>
              </w:rPr>
              <w:t>30</w:t>
            </w:r>
            <w:r w:rsidR="00BB6DE3">
              <w:rPr>
                <w:noProof/>
                <w:webHidden/>
              </w:rPr>
              <w:fldChar w:fldCharType="end"/>
            </w:r>
          </w:hyperlink>
        </w:p>
        <w:p w14:paraId="51D804BC" w14:textId="77777777" w:rsidR="00BB6DE3" w:rsidRDefault="0057494E">
          <w:pPr>
            <w:pStyle w:val="TOC3"/>
            <w:tabs>
              <w:tab w:val="left" w:pos="1701"/>
            </w:tabs>
            <w:rPr>
              <w:rFonts w:asciiTheme="minorHAnsi" w:eastAsiaTheme="minorEastAsia" w:hAnsiTheme="minorHAnsi" w:cstheme="minorBidi"/>
              <w:b w:val="0"/>
              <w:noProof/>
              <w:szCs w:val="22"/>
              <w:lang w:eastAsia="en-AU"/>
            </w:rPr>
          </w:pPr>
          <w:hyperlink w:anchor="_Toc10202274" w:history="1">
            <w:r w:rsidR="00BB6DE3" w:rsidRPr="00E91865">
              <w:rPr>
                <w:rStyle w:val="Hyperlink"/>
                <w:noProof/>
              </w:rPr>
              <w:t>3.5.2</w:t>
            </w:r>
            <w:r w:rsidR="00BB6DE3">
              <w:rPr>
                <w:rFonts w:asciiTheme="minorHAnsi" w:eastAsiaTheme="minorEastAsia" w:hAnsiTheme="minorHAnsi" w:cstheme="minorBidi"/>
                <w:b w:val="0"/>
                <w:noProof/>
                <w:szCs w:val="22"/>
                <w:lang w:eastAsia="en-AU"/>
              </w:rPr>
              <w:tab/>
            </w:r>
            <w:r w:rsidR="00BB6DE3" w:rsidRPr="00E91865">
              <w:rPr>
                <w:rStyle w:val="Hyperlink"/>
                <w:noProof/>
              </w:rPr>
              <w:t>Comparative batch data - active pharmaceutical ingredient and drug product</w:t>
            </w:r>
            <w:r w:rsidR="00BB6DE3">
              <w:rPr>
                <w:noProof/>
                <w:webHidden/>
              </w:rPr>
              <w:tab/>
            </w:r>
            <w:r w:rsidR="00BB6DE3">
              <w:rPr>
                <w:noProof/>
                <w:webHidden/>
              </w:rPr>
              <w:fldChar w:fldCharType="begin"/>
            </w:r>
            <w:r w:rsidR="00BB6DE3">
              <w:rPr>
                <w:noProof/>
                <w:webHidden/>
              </w:rPr>
              <w:instrText xml:space="preserve"> PAGEREF _Toc10202274 \h </w:instrText>
            </w:r>
            <w:r w:rsidR="00BB6DE3">
              <w:rPr>
                <w:noProof/>
                <w:webHidden/>
              </w:rPr>
            </w:r>
            <w:r w:rsidR="00BB6DE3">
              <w:rPr>
                <w:noProof/>
                <w:webHidden/>
              </w:rPr>
              <w:fldChar w:fldCharType="separate"/>
            </w:r>
            <w:r w:rsidR="00BB6DE3">
              <w:rPr>
                <w:noProof/>
                <w:webHidden/>
              </w:rPr>
              <w:t>30</w:t>
            </w:r>
            <w:r w:rsidR="00BB6DE3">
              <w:rPr>
                <w:noProof/>
                <w:webHidden/>
              </w:rPr>
              <w:fldChar w:fldCharType="end"/>
            </w:r>
          </w:hyperlink>
        </w:p>
        <w:p w14:paraId="673A9389" w14:textId="77777777" w:rsidR="00BB6DE3" w:rsidRDefault="0057494E">
          <w:pPr>
            <w:pStyle w:val="TOC3"/>
            <w:tabs>
              <w:tab w:val="left" w:pos="1701"/>
            </w:tabs>
            <w:rPr>
              <w:rFonts w:asciiTheme="minorHAnsi" w:eastAsiaTheme="minorEastAsia" w:hAnsiTheme="minorHAnsi" w:cstheme="minorBidi"/>
              <w:b w:val="0"/>
              <w:noProof/>
              <w:szCs w:val="22"/>
              <w:lang w:eastAsia="en-AU"/>
            </w:rPr>
          </w:pPr>
          <w:hyperlink w:anchor="_Toc10202275" w:history="1">
            <w:r w:rsidR="00BB6DE3" w:rsidRPr="00E91865">
              <w:rPr>
                <w:rStyle w:val="Hyperlink"/>
                <w:noProof/>
              </w:rPr>
              <w:t>3.5.3</w:t>
            </w:r>
            <w:r w:rsidR="00BB6DE3">
              <w:rPr>
                <w:rFonts w:asciiTheme="minorHAnsi" w:eastAsiaTheme="minorEastAsia" w:hAnsiTheme="minorHAnsi" w:cstheme="minorBidi"/>
                <w:b w:val="0"/>
                <w:noProof/>
                <w:szCs w:val="22"/>
                <w:lang w:eastAsia="en-AU"/>
              </w:rPr>
              <w:tab/>
            </w:r>
            <w:r w:rsidR="00BB6DE3" w:rsidRPr="00E91865">
              <w:rPr>
                <w:rStyle w:val="Hyperlink"/>
                <w:noProof/>
              </w:rPr>
              <w:t>Comparative dissolution profiles</w:t>
            </w:r>
            <w:r w:rsidR="00BB6DE3">
              <w:rPr>
                <w:noProof/>
                <w:webHidden/>
              </w:rPr>
              <w:tab/>
            </w:r>
            <w:r w:rsidR="00BB6DE3">
              <w:rPr>
                <w:noProof/>
                <w:webHidden/>
              </w:rPr>
              <w:fldChar w:fldCharType="begin"/>
            </w:r>
            <w:r w:rsidR="00BB6DE3">
              <w:rPr>
                <w:noProof/>
                <w:webHidden/>
              </w:rPr>
              <w:instrText xml:space="preserve"> PAGEREF _Toc10202275 \h </w:instrText>
            </w:r>
            <w:r w:rsidR="00BB6DE3">
              <w:rPr>
                <w:noProof/>
                <w:webHidden/>
              </w:rPr>
            </w:r>
            <w:r w:rsidR="00BB6DE3">
              <w:rPr>
                <w:noProof/>
                <w:webHidden/>
              </w:rPr>
              <w:fldChar w:fldCharType="separate"/>
            </w:r>
            <w:r w:rsidR="00BB6DE3">
              <w:rPr>
                <w:noProof/>
                <w:webHidden/>
              </w:rPr>
              <w:t>30</w:t>
            </w:r>
            <w:r w:rsidR="00BB6DE3">
              <w:rPr>
                <w:noProof/>
                <w:webHidden/>
              </w:rPr>
              <w:fldChar w:fldCharType="end"/>
            </w:r>
          </w:hyperlink>
        </w:p>
        <w:p w14:paraId="4D3AD68B" w14:textId="77777777" w:rsidR="00BB6DE3" w:rsidRDefault="0057494E">
          <w:pPr>
            <w:pStyle w:val="TOC2"/>
            <w:tabs>
              <w:tab w:val="left" w:pos="1276"/>
            </w:tabs>
            <w:rPr>
              <w:rFonts w:asciiTheme="minorHAnsi" w:eastAsiaTheme="minorEastAsia" w:hAnsiTheme="minorHAnsi" w:cstheme="minorBidi"/>
              <w:b w:val="0"/>
              <w:noProof/>
              <w:sz w:val="22"/>
              <w:szCs w:val="22"/>
              <w:lang w:eastAsia="en-AU"/>
            </w:rPr>
          </w:pPr>
          <w:hyperlink w:anchor="_Toc10202276" w:history="1">
            <w:r w:rsidR="00BB6DE3" w:rsidRPr="00E91865">
              <w:rPr>
                <w:rStyle w:val="Hyperlink"/>
                <w:noProof/>
              </w:rPr>
              <w:t>3.6</w:t>
            </w:r>
            <w:r w:rsidR="00BB6DE3">
              <w:rPr>
                <w:rFonts w:asciiTheme="minorHAnsi" w:eastAsiaTheme="minorEastAsia" w:hAnsiTheme="minorHAnsi" w:cstheme="minorBidi"/>
                <w:b w:val="0"/>
                <w:noProof/>
                <w:sz w:val="22"/>
                <w:szCs w:val="22"/>
                <w:lang w:eastAsia="en-AU"/>
              </w:rPr>
              <w:tab/>
            </w:r>
            <w:r w:rsidR="00BB6DE3" w:rsidRPr="00E91865">
              <w:rPr>
                <w:rStyle w:val="Hyperlink"/>
                <w:noProof/>
              </w:rPr>
              <w:t>Variations to multi-component products</w:t>
            </w:r>
            <w:r w:rsidR="00BB6DE3">
              <w:rPr>
                <w:noProof/>
                <w:webHidden/>
              </w:rPr>
              <w:tab/>
            </w:r>
            <w:r w:rsidR="00BB6DE3">
              <w:rPr>
                <w:noProof/>
                <w:webHidden/>
              </w:rPr>
              <w:fldChar w:fldCharType="begin"/>
            </w:r>
            <w:r w:rsidR="00BB6DE3">
              <w:rPr>
                <w:noProof/>
                <w:webHidden/>
              </w:rPr>
              <w:instrText xml:space="preserve"> PAGEREF _Toc10202276 \h </w:instrText>
            </w:r>
            <w:r w:rsidR="00BB6DE3">
              <w:rPr>
                <w:noProof/>
                <w:webHidden/>
              </w:rPr>
            </w:r>
            <w:r w:rsidR="00BB6DE3">
              <w:rPr>
                <w:noProof/>
                <w:webHidden/>
              </w:rPr>
              <w:fldChar w:fldCharType="separate"/>
            </w:r>
            <w:r w:rsidR="00BB6DE3">
              <w:rPr>
                <w:noProof/>
                <w:webHidden/>
              </w:rPr>
              <w:t>31</w:t>
            </w:r>
            <w:r w:rsidR="00BB6DE3">
              <w:rPr>
                <w:noProof/>
                <w:webHidden/>
              </w:rPr>
              <w:fldChar w:fldCharType="end"/>
            </w:r>
          </w:hyperlink>
        </w:p>
        <w:p w14:paraId="6545824A" w14:textId="77777777" w:rsidR="00BB6DE3" w:rsidRDefault="0057494E">
          <w:pPr>
            <w:pStyle w:val="TOC2"/>
            <w:tabs>
              <w:tab w:val="left" w:pos="1276"/>
            </w:tabs>
            <w:rPr>
              <w:rFonts w:asciiTheme="minorHAnsi" w:eastAsiaTheme="minorEastAsia" w:hAnsiTheme="minorHAnsi" w:cstheme="minorBidi"/>
              <w:b w:val="0"/>
              <w:noProof/>
              <w:sz w:val="22"/>
              <w:szCs w:val="22"/>
              <w:lang w:eastAsia="en-AU"/>
            </w:rPr>
          </w:pPr>
          <w:hyperlink w:anchor="_Toc10202277" w:history="1">
            <w:r w:rsidR="00BB6DE3" w:rsidRPr="00E91865">
              <w:rPr>
                <w:rStyle w:val="Hyperlink"/>
                <w:noProof/>
              </w:rPr>
              <w:t>3.7</w:t>
            </w:r>
            <w:r w:rsidR="00BB6DE3">
              <w:rPr>
                <w:rFonts w:asciiTheme="minorHAnsi" w:eastAsiaTheme="minorEastAsia" w:hAnsiTheme="minorHAnsi" w:cstheme="minorBidi"/>
                <w:b w:val="0"/>
                <w:noProof/>
                <w:sz w:val="22"/>
                <w:szCs w:val="22"/>
                <w:lang w:eastAsia="en-AU"/>
              </w:rPr>
              <w:tab/>
            </w:r>
            <w:r w:rsidR="00BB6DE3" w:rsidRPr="00E91865">
              <w:rPr>
                <w:rStyle w:val="Hyperlink"/>
                <w:noProof/>
              </w:rPr>
              <w:t>Further information</w:t>
            </w:r>
            <w:r w:rsidR="00BB6DE3">
              <w:rPr>
                <w:noProof/>
                <w:webHidden/>
              </w:rPr>
              <w:tab/>
            </w:r>
            <w:r w:rsidR="00BB6DE3">
              <w:rPr>
                <w:noProof/>
                <w:webHidden/>
              </w:rPr>
              <w:fldChar w:fldCharType="begin"/>
            </w:r>
            <w:r w:rsidR="00BB6DE3">
              <w:rPr>
                <w:noProof/>
                <w:webHidden/>
              </w:rPr>
              <w:instrText xml:space="preserve"> PAGEREF _Toc10202277 \h </w:instrText>
            </w:r>
            <w:r w:rsidR="00BB6DE3">
              <w:rPr>
                <w:noProof/>
                <w:webHidden/>
              </w:rPr>
            </w:r>
            <w:r w:rsidR="00BB6DE3">
              <w:rPr>
                <w:noProof/>
                <w:webHidden/>
              </w:rPr>
              <w:fldChar w:fldCharType="separate"/>
            </w:r>
            <w:r w:rsidR="00BB6DE3">
              <w:rPr>
                <w:noProof/>
                <w:webHidden/>
              </w:rPr>
              <w:t>32</w:t>
            </w:r>
            <w:r w:rsidR="00BB6DE3">
              <w:rPr>
                <w:noProof/>
                <w:webHidden/>
              </w:rPr>
              <w:fldChar w:fldCharType="end"/>
            </w:r>
          </w:hyperlink>
        </w:p>
        <w:p w14:paraId="36A42B06" w14:textId="77777777" w:rsidR="00BB6DE3" w:rsidRDefault="0057494E">
          <w:pPr>
            <w:pStyle w:val="TOC1"/>
            <w:tabs>
              <w:tab w:val="left" w:pos="851"/>
            </w:tabs>
            <w:rPr>
              <w:rFonts w:asciiTheme="minorHAnsi" w:eastAsiaTheme="minorEastAsia" w:hAnsiTheme="minorHAnsi" w:cstheme="minorBidi"/>
              <w:b w:val="0"/>
              <w:noProof/>
              <w:sz w:val="22"/>
              <w:szCs w:val="22"/>
              <w:lang w:eastAsia="en-AU"/>
            </w:rPr>
          </w:pPr>
          <w:hyperlink w:anchor="_Toc10202278" w:history="1">
            <w:r w:rsidR="00BB6DE3" w:rsidRPr="00E91865">
              <w:rPr>
                <w:rStyle w:val="Hyperlink"/>
                <w:noProof/>
              </w:rPr>
              <w:t>4.</w:t>
            </w:r>
            <w:r w:rsidR="00BB6DE3">
              <w:rPr>
                <w:rFonts w:asciiTheme="minorHAnsi" w:eastAsiaTheme="minorEastAsia" w:hAnsiTheme="minorHAnsi" w:cstheme="minorBidi"/>
                <w:b w:val="0"/>
                <w:noProof/>
                <w:sz w:val="22"/>
                <w:szCs w:val="22"/>
                <w:lang w:eastAsia="en-AU"/>
              </w:rPr>
              <w:tab/>
            </w:r>
            <w:r w:rsidR="00BB6DE3" w:rsidRPr="00E91865">
              <w:rPr>
                <w:rStyle w:val="Hyperlink"/>
                <w:noProof/>
              </w:rPr>
              <w:t>Changes not submitted via the Variation e-form</w:t>
            </w:r>
            <w:r w:rsidR="00BB6DE3">
              <w:rPr>
                <w:noProof/>
                <w:webHidden/>
              </w:rPr>
              <w:tab/>
            </w:r>
            <w:r w:rsidR="00BB6DE3">
              <w:rPr>
                <w:noProof/>
                <w:webHidden/>
              </w:rPr>
              <w:fldChar w:fldCharType="begin"/>
            </w:r>
            <w:r w:rsidR="00BB6DE3">
              <w:rPr>
                <w:noProof/>
                <w:webHidden/>
              </w:rPr>
              <w:instrText xml:space="preserve"> PAGEREF _Toc10202278 \h </w:instrText>
            </w:r>
            <w:r w:rsidR="00BB6DE3">
              <w:rPr>
                <w:noProof/>
                <w:webHidden/>
              </w:rPr>
            </w:r>
            <w:r w:rsidR="00BB6DE3">
              <w:rPr>
                <w:noProof/>
                <w:webHidden/>
              </w:rPr>
              <w:fldChar w:fldCharType="separate"/>
            </w:r>
            <w:r w:rsidR="00BB6DE3">
              <w:rPr>
                <w:noProof/>
                <w:webHidden/>
              </w:rPr>
              <w:t>33</w:t>
            </w:r>
            <w:r w:rsidR="00BB6DE3">
              <w:rPr>
                <w:noProof/>
                <w:webHidden/>
              </w:rPr>
              <w:fldChar w:fldCharType="end"/>
            </w:r>
          </w:hyperlink>
        </w:p>
        <w:p w14:paraId="53134C5C" w14:textId="77777777" w:rsidR="00BB6DE3" w:rsidRDefault="0057494E">
          <w:pPr>
            <w:pStyle w:val="TOC2"/>
            <w:tabs>
              <w:tab w:val="left" w:pos="1276"/>
            </w:tabs>
            <w:rPr>
              <w:rFonts w:asciiTheme="minorHAnsi" w:eastAsiaTheme="minorEastAsia" w:hAnsiTheme="minorHAnsi" w:cstheme="minorBidi"/>
              <w:b w:val="0"/>
              <w:noProof/>
              <w:sz w:val="22"/>
              <w:szCs w:val="22"/>
              <w:lang w:eastAsia="en-AU"/>
            </w:rPr>
          </w:pPr>
          <w:hyperlink w:anchor="_Toc10202279" w:history="1">
            <w:r w:rsidR="00BB6DE3" w:rsidRPr="00E91865">
              <w:rPr>
                <w:rStyle w:val="Hyperlink"/>
                <w:noProof/>
              </w:rPr>
              <w:t>4.1</w:t>
            </w:r>
            <w:r w:rsidR="00BB6DE3">
              <w:rPr>
                <w:rFonts w:asciiTheme="minorHAnsi" w:eastAsiaTheme="minorEastAsia" w:hAnsiTheme="minorHAnsi" w:cstheme="minorBidi"/>
                <w:b w:val="0"/>
                <w:noProof/>
                <w:sz w:val="22"/>
                <w:szCs w:val="22"/>
                <w:lang w:eastAsia="en-AU"/>
              </w:rPr>
              <w:tab/>
            </w:r>
            <w:r w:rsidR="00BB6DE3" w:rsidRPr="00E91865">
              <w:rPr>
                <w:rStyle w:val="Hyperlink"/>
                <w:noProof/>
              </w:rPr>
              <w:t>Changes that do not require reporting to the TGA</w:t>
            </w:r>
            <w:r w:rsidR="00BB6DE3">
              <w:rPr>
                <w:noProof/>
                <w:webHidden/>
              </w:rPr>
              <w:tab/>
            </w:r>
            <w:r w:rsidR="00BB6DE3">
              <w:rPr>
                <w:noProof/>
                <w:webHidden/>
              </w:rPr>
              <w:fldChar w:fldCharType="begin"/>
            </w:r>
            <w:r w:rsidR="00BB6DE3">
              <w:rPr>
                <w:noProof/>
                <w:webHidden/>
              </w:rPr>
              <w:instrText xml:space="preserve"> PAGEREF _Toc10202279 \h </w:instrText>
            </w:r>
            <w:r w:rsidR="00BB6DE3">
              <w:rPr>
                <w:noProof/>
                <w:webHidden/>
              </w:rPr>
            </w:r>
            <w:r w:rsidR="00BB6DE3">
              <w:rPr>
                <w:noProof/>
                <w:webHidden/>
              </w:rPr>
              <w:fldChar w:fldCharType="separate"/>
            </w:r>
            <w:r w:rsidR="00BB6DE3">
              <w:rPr>
                <w:noProof/>
                <w:webHidden/>
              </w:rPr>
              <w:t>33</w:t>
            </w:r>
            <w:r w:rsidR="00BB6DE3">
              <w:rPr>
                <w:noProof/>
                <w:webHidden/>
              </w:rPr>
              <w:fldChar w:fldCharType="end"/>
            </w:r>
          </w:hyperlink>
        </w:p>
        <w:p w14:paraId="266554B1" w14:textId="77777777" w:rsidR="00BB6DE3" w:rsidRDefault="0057494E">
          <w:pPr>
            <w:pStyle w:val="TOC2"/>
            <w:tabs>
              <w:tab w:val="left" w:pos="1276"/>
            </w:tabs>
            <w:rPr>
              <w:rFonts w:asciiTheme="minorHAnsi" w:eastAsiaTheme="minorEastAsia" w:hAnsiTheme="minorHAnsi" w:cstheme="minorBidi"/>
              <w:b w:val="0"/>
              <w:noProof/>
              <w:sz w:val="22"/>
              <w:szCs w:val="22"/>
              <w:lang w:eastAsia="en-AU"/>
            </w:rPr>
          </w:pPr>
          <w:hyperlink w:anchor="_Toc10202280" w:history="1">
            <w:r w:rsidR="00BB6DE3" w:rsidRPr="00E91865">
              <w:rPr>
                <w:rStyle w:val="Hyperlink"/>
                <w:noProof/>
              </w:rPr>
              <w:t>4.2</w:t>
            </w:r>
            <w:r w:rsidR="00BB6DE3">
              <w:rPr>
                <w:rFonts w:asciiTheme="minorHAnsi" w:eastAsiaTheme="minorEastAsia" w:hAnsiTheme="minorHAnsi" w:cstheme="minorBidi"/>
                <w:b w:val="0"/>
                <w:noProof/>
                <w:sz w:val="22"/>
                <w:szCs w:val="22"/>
                <w:lang w:eastAsia="en-AU"/>
              </w:rPr>
              <w:tab/>
            </w:r>
            <w:r w:rsidR="00BB6DE3" w:rsidRPr="00E91865">
              <w:rPr>
                <w:rStyle w:val="Hyperlink"/>
                <w:noProof/>
              </w:rPr>
              <w:t>Changes that do not require prior approval</w:t>
            </w:r>
            <w:r w:rsidR="00BB6DE3">
              <w:rPr>
                <w:noProof/>
                <w:webHidden/>
              </w:rPr>
              <w:tab/>
            </w:r>
            <w:r w:rsidR="00BB6DE3">
              <w:rPr>
                <w:noProof/>
                <w:webHidden/>
              </w:rPr>
              <w:fldChar w:fldCharType="begin"/>
            </w:r>
            <w:r w:rsidR="00BB6DE3">
              <w:rPr>
                <w:noProof/>
                <w:webHidden/>
              </w:rPr>
              <w:instrText xml:space="preserve"> PAGEREF _Toc10202280 \h </w:instrText>
            </w:r>
            <w:r w:rsidR="00BB6DE3">
              <w:rPr>
                <w:noProof/>
                <w:webHidden/>
              </w:rPr>
            </w:r>
            <w:r w:rsidR="00BB6DE3">
              <w:rPr>
                <w:noProof/>
                <w:webHidden/>
              </w:rPr>
              <w:fldChar w:fldCharType="separate"/>
            </w:r>
            <w:r w:rsidR="00BB6DE3">
              <w:rPr>
                <w:noProof/>
                <w:webHidden/>
              </w:rPr>
              <w:t>33</w:t>
            </w:r>
            <w:r w:rsidR="00BB6DE3">
              <w:rPr>
                <w:noProof/>
                <w:webHidden/>
              </w:rPr>
              <w:fldChar w:fldCharType="end"/>
            </w:r>
          </w:hyperlink>
        </w:p>
        <w:p w14:paraId="186EDA07" w14:textId="77777777" w:rsidR="00BB6DE3" w:rsidRDefault="0057494E">
          <w:pPr>
            <w:pStyle w:val="TOC2"/>
            <w:tabs>
              <w:tab w:val="left" w:pos="1276"/>
            </w:tabs>
            <w:rPr>
              <w:rFonts w:asciiTheme="minorHAnsi" w:eastAsiaTheme="minorEastAsia" w:hAnsiTheme="minorHAnsi" w:cstheme="minorBidi"/>
              <w:b w:val="0"/>
              <w:noProof/>
              <w:sz w:val="22"/>
              <w:szCs w:val="22"/>
              <w:lang w:eastAsia="en-AU"/>
            </w:rPr>
          </w:pPr>
          <w:hyperlink w:anchor="_Toc10202281" w:history="1">
            <w:r w:rsidR="00BB6DE3" w:rsidRPr="00E91865">
              <w:rPr>
                <w:rStyle w:val="Hyperlink"/>
                <w:noProof/>
              </w:rPr>
              <w:t>4.3</w:t>
            </w:r>
            <w:r w:rsidR="00BB6DE3">
              <w:rPr>
                <w:rFonts w:asciiTheme="minorHAnsi" w:eastAsiaTheme="minorEastAsia" w:hAnsiTheme="minorHAnsi" w:cstheme="minorBidi"/>
                <w:b w:val="0"/>
                <w:noProof/>
                <w:sz w:val="22"/>
                <w:szCs w:val="22"/>
                <w:lang w:eastAsia="en-AU"/>
              </w:rPr>
              <w:tab/>
            </w:r>
            <w:r w:rsidR="00BB6DE3" w:rsidRPr="00E91865">
              <w:rPr>
                <w:rStyle w:val="Hyperlink"/>
                <w:noProof/>
              </w:rPr>
              <w:t>Changes to manufacturer names and addresses</w:t>
            </w:r>
            <w:r w:rsidR="00BB6DE3">
              <w:rPr>
                <w:noProof/>
                <w:webHidden/>
              </w:rPr>
              <w:tab/>
            </w:r>
            <w:r w:rsidR="00BB6DE3">
              <w:rPr>
                <w:noProof/>
                <w:webHidden/>
              </w:rPr>
              <w:fldChar w:fldCharType="begin"/>
            </w:r>
            <w:r w:rsidR="00BB6DE3">
              <w:rPr>
                <w:noProof/>
                <w:webHidden/>
              </w:rPr>
              <w:instrText xml:space="preserve"> PAGEREF _Toc10202281 \h </w:instrText>
            </w:r>
            <w:r w:rsidR="00BB6DE3">
              <w:rPr>
                <w:noProof/>
                <w:webHidden/>
              </w:rPr>
            </w:r>
            <w:r w:rsidR="00BB6DE3">
              <w:rPr>
                <w:noProof/>
                <w:webHidden/>
              </w:rPr>
              <w:fldChar w:fldCharType="separate"/>
            </w:r>
            <w:r w:rsidR="00BB6DE3">
              <w:rPr>
                <w:noProof/>
                <w:webHidden/>
              </w:rPr>
              <w:t>33</w:t>
            </w:r>
            <w:r w:rsidR="00BB6DE3">
              <w:rPr>
                <w:noProof/>
                <w:webHidden/>
              </w:rPr>
              <w:fldChar w:fldCharType="end"/>
            </w:r>
          </w:hyperlink>
        </w:p>
        <w:p w14:paraId="6FAEFC35" w14:textId="77777777" w:rsidR="00BB6DE3" w:rsidRDefault="0057494E">
          <w:pPr>
            <w:pStyle w:val="TOC2"/>
            <w:tabs>
              <w:tab w:val="left" w:pos="1276"/>
            </w:tabs>
            <w:rPr>
              <w:rFonts w:asciiTheme="minorHAnsi" w:eastAsiaTheme="minorEastAsia" w:hAnsiTheme="minorHAnsi" w:cstheme="minorBidi"/>
              <w:b w:val="0"/>
              <w:noProof/>
              <w:sz w:val="22"/>
              <w:szCs w:val="22"/>
              <w:lang w:eastAsia="en-AU"/>
            </w:rPr>
          </w:pPr>
          <w:hyperlink w:anchor="_Toc10202282" w:history="1">
            <w:r w:rsidR="00BB6DE3" w:rsidRPr="00E91865">
              <w:rPr>
                <w:rStyle w:val="Hyperlink"/>
                <w:noProof/>
              </w:rPr>
              <w:t>4.4</w:t>
            </w:r>
            <w:r w:rsidR="00BB6DE3">
              <w:rPr>
                <w:rFonts w:asciiTheme="minorHAnsi" w:eastAsiaTheme="minorEastAsia" w:hAnsiTheme="minorHAnsi" w:cstheme="minorBidi"/>
                <w:b w:val="0"/>
                <w:noProof/>
                <w:sz w:val="22"/>
                <w:szCs w:val="22"/>
                <w:lang w:eastAsia="en-AU"/>
              </w:rPr>
              <w:tab/>
            </w:r>
            <w:r w:rsidR="00BB6DE3" w:rsidRPr="00E91865">
              <w:rPr>
                <w:rStyle w:val="Hyperlink"/>
                <w:noProof/>
              </w:rPr>
              <w:t>Mechanism to approve one-off changes to medicines</w:t>
            </w:r>
            <w:r w:rsidR="00BB6DE3">
              <w:rPr>
                <w:noProof/>
                <w:webHidden/>
              </w:rPr>
              <w:tab/>
            </w:r>
            <w:r w:rsidR="00BB6DE3">
              <w:rPr>
                <w:noProof/>
                <w:webHidden/>
              </w:rPr>
              <w:fldChar w:fldCharType="begin"/>
            </w:r>
            <w:r w:rsidR="00BB6DE3">
              <w:rPr>
                <w:noProof/>
                <w:webHidden/>
              </w:rPr>
              <w:instrText xml:space="preserve"> PAGEREF _Toc10202282 \h </w:instrText>
            </w:r>
            <w:r w:rsidR="00BB6DE3">
              <w:rPr>
                <w:noProof/>
                <w:webHidden/>
              </w:rPr>
            </w:r>
            <w:r w:rsidR="00BB6DE3">
              <w:rPr>
                <w:noProof/>
                <w:webHidden/>
              </w:rPr>
              <w:fldChar w:fldCharType="separate"/>
            </w:r>
            <w:r w:rsidR="00BB6DE3">
              <w:rPr>
                <w:noProof/>
                <w:webHidden/>
              </w:rPr>
              <w:t>34</w:t>
            </w:r>
            <w:r w:rsidR="00BB6DE3">
              <w:rPr>
                <w:noProof/>
                <w:webHidden/>
              </w:rPr>
              <w:fldChar w:fldCharType="end"/>
            </w:r>
          </w:hyperlink>
        </w:p>
        <w:p w14:paraId="270E69E7" w14:textId="77777777" w:rsidR="00BB6DE3" w:rsidRDefault="0057494E">
          <w:pPr>
            <w:pStyle w:val="TOC1"/>
            <w:tabs>
              <w:tab w:val="left" w:pos="851"/>
            </w:tabs>
            <w:rPr>
              <w:rFonts w:asciiTheme="minorHAnsi" w:eastAsiaTheme="minorEastAsia" w:hAnsiTheme="minorHAnsi" w:cstheme="minorBidi"/>
              <w:b w:val="0"/>
              <w:noProof/>
              <w:sz w:val="22"/>
              <w:szCs w:val="22"/>
              <w:lang w:eastAsia="en-AU"/>
            </w:rPr>
          </w:pPr>
          <w:hyperlink w:anchor="_Toc10202283" w:history="1">
            <w:r w:rsidR="00BB6DE3" w:rsidRPr="00E91865">
              <w:rPr>
                <w:rStyle w:val="Hyperlink"/>
                <w:noProof/>
              </w:rPr>
              <w:t>5.</w:t>
            </w:r>
            <w:r w:rsidR="00BB6DE3">
              <w:rPr>
                <w:rFonts w:asciiTheme="minorHAnsi" w:eastAsiaTheme="minorEastAsia" w:hAnsiTheme="minorHAnsi" w:cstheme="minorBidi"/>
                <w:b w:val="0"/>
                <w:noProof/>
                <w:sz w:val="22"/>
                <w:szCs w:val="22"/>
                <w:lang w:eastAsia="en-AU"/>
              </w:rPr>
              <w:tab/>
            </w:r>
            <w:r w:rsidR="00BB6DE3" w:rsidRPr="00E91865">
              <w:rPr>
                <w:rStyle w:val="Hyperlink"/>
                <w:noProof/>
              </w:rPr>
              <w:t>Fees for variations</w:t>
            </w:r>
            <w:r w:rsidR="00BB6DE3">
              <w:rPr>
                <w:noProof/>
                <w:webHidden/>
              </w:rPr>
              <w:tab/>
            </w:r>
            <w:r w:rsidR="00BB6DE3">
              <w:rPr>
                <w:noProof/>
                <w:webHidden/>
              </w:rPr>
              <w:fldChar w:fldCharType="begin"/>
            </w:r>
            <w:r w:rsidR="00BB6DE3">
              <w:rPr>
                <w:noProof/>
                <w:webHidden/>
              </w:rPr>
              <w:instrText xml:space="preserve"> PAGEREF _Toc10202283 \h </w:instrText>
            </w:r>
            <w:r w:rsidR="00BB6DE3">
              <w:rPr>
                <w:noProof/>
                <w:webHidden/>
              </w:rPr>
            </w:r>
            <w:r w:rsidR="00BB6DE3">
              <w:rPr>
                <w:noProof/>
                <w:webHidden/>
              </w:rPr>
              <w:fldChar w:fldCharType="separate"/>
            </w:r>
            <w:r w:rsidR="00BB6DE3">
              <w:rPr>
                <w:noProof/>
                <w:webHidden/>
              </w:rPr>
              <w:t>35</w:t>
            </w:r>
            <w:r w:rsidR="00BB6DE3">
              <w:rPr>
                <w:noProof/>
                <w:webHidden/>
              </w:rPr>
              <w:fldChar w:fldCharType="end"/>
            </w:r>
          </w:hyperlink>
        </w:p>
        <w:p w14:paraId="6F018514" w14:textId="77777777" w:rsidR="00BB6DE3" w:rsidRDefault="0057494E">
          <w:pPr>
            <w:pStyle w:val="TOC1"/>
            <w:tabs>
              <w:tab w:val="left" w:pos="851"/>
            </w:tabs>
            <w:rPr>
              <w:rFonts w:asciiTheme="minorHAnsi" w:eastAsiaTheme="minorEastAsia" w:hAnsiTheme="minorHAnsi" w:cstheme="minorBidi"/>
              <w:b w:val="0"/>
              <w:noProof/>
              <w:sz w:val="22"/>
              <w:szCs w:val="22"/>
              <w:lang w:eastAsia="en-AU"/>
            </w:rPr>
          </w:pPr>
          <w:hyperlink w:anchor="_Toc10202284" w:history="1">
            <w:r w:rsidR="00BB6DE3" w:rsidRPr="00E91865">
              <w:rPr>
                <w:rStyle w:val="Hyperlink"/>
                <w:noProof/>
              </w:rPr>
              <w:t>6.</w:t>
            </w:r>
            <w:r w:rsidR="00BB6DE3">
              <w:rPr>
                <w:rFonts w:asciiTheme="minorHAnsi" w:eastAsiaTheme="minorEastAsia" w:hAnsiTheme="minorHAnsi" w:cstheme="minorBidi"/>
                <w:b w:val="0"/>
                <w:noProof/>
                <w:sz w:val="22"/>
                <w:szCs w:val="22"/>
                <w:lang w:eastAsia="en-AU"/>
              </w:rPr>
              <w:tab/>
            </w:r>
            <w:r w:rsidR="00BB6DE3" w:rsidRPr="00E91865">
              <w:rPr>
                <w:rStyle w:val="Hyperlink"/>
                <w:noProof/>
              </w:rPr>
              <w:t>Processing and approvals</w:t>
            </w:r>
            <w:r w:rsidR="00BB6DE3">
              <w:rPr>
                <w:noProof/>
                <w:webHidden/>
              </w:rPr>
              <w:tab/>
            </w:r>
            <w:r w:rsidR="00BB6DE3">
              <w:rPr>
                <w:noProof/>
                <w:webHidden/>
              </w:rPr>
              <w:fldChar w:fldCharType="begin"/>
            </w:r>
            <w:r w:rsidR="00BB6DE3">
              <w:rPr>
                <w:noProof/>
                <w:webHidden/>
              </w:rPr>
              <w:instrText xml:space="preserve"> PAGEREF _Toc10202284 \h </w:instrText>
            </w:r>
            <w:r w:rsidR="00BB6DE3">
              <w:rPr>
                <w:noProof/>
                <w:webHidden/>
              </w:rPr>
            </w:r>
            <w:r w:rsidR="00BB6DE3">
              <w:rPr>
                <w:noProof/>
                <w:webHidden/>
              </w:rPr>
              <w:fldChar w:fldCharType="separate"/>
            </w:r>
            <w:r w:rsidR="00BB6DE3">
              <w:rPr>
                <w:noProof/>
                <w:webHidden/>
              </w:rPr>
              <w:t>37</w:t>
            </w:r>
            <w:r w:rsidR="00BB6DE3">
              <w:rPr>
                <w:noProof/>
                <w:webHidden/>
              </w:rPr>
              <w:fldChar w:fldCharType="end"/>
            </w:r>
          </w:hyperlink>
        </w:p>
        <w:p w14:paraId="285B3904" w14:textId="77777777" w:rsidR="00BB6DE3" w:rsidRDefault="0057494E">
          <w:pPr>
            <w:pStyle w:val="TOC2"/>
            <w:tabs>
              <w:tab w:val="left" w:pos="1276"/>
            </w:tabs>
            <w:rPr>
              <w:rFonts w:asciiTheme="minorHAnsi" w:eastAsiaTheme="minorEastAsia" w:hAnsiTheme="minorHAnsi" w:cstheme="minorBidi"/>
              <w:b w:val="0"/>
              <w:noProof/>
              <w:sz w:val="22"/>
              <w:szCs w:val="22"/>
              <w:lang w:eastAsia="en-AU"/>
            </w:rPr>
          </w:pPr>
          <w:hyperlink w:anchor="_Toc10202285" w:history="1">
            <w:r w:rsidR="00BB6DE3" w:rsidRPr="00E91865">
              <w:rPr>
                <w:rStyle w:val="Hyperlink"/>
                <w:noProof/>
              </w:rPr>
              <w:t>6.1</w:t>
            </w:r>
            <w:r w:rsidR="00BB6DE3">
              <w:rPr>
                <w:rFonts w:asciiTheme="minorHAnsi" w:eastAsiaTheme="minorEastAsia" w:hAnsiTheme="minorHAnsi" w:cstheme="minorBidi"/>
                <w:b w:val="0"/>
                <w:noProof/>
                <w:sz w:val="22"/>
                <w:szCs w:val="22"/>
                <w:lang w:eastAsia="en-AU"/>
              </w:rPr>
              <w:tab/>
            </w:r>
            <w:r w:rsidR="00BB6DE3" w:rsidRPr="00E91865">
              <w:rPr>
                <w:rStyle w:val="Hyperlink"/>
                <w:noProof/>
              </w:rPr>
              <w:t>Variations with a statutory timeframe</w:t>
            </w:r>
            <w:r w:rsidR="00BB6DE3">
              <w:rPr>
                <w:noProof/>
                <w:webHidden/>
              </w:rPr>
              <w:tab/>
            </w:r>
            <w:r w:rsidR="00BB6DE3">
              <w:rPr>
                <w:noProof/>
                <w:webHidden/>
              </w:rPr>
              <w:fldChar w:fldCharType="begin"/>
            </w:r>
            <w:r w:rsidR="00BB6DE3">
              <w:rPr>
                <w:noProof/>
                <w:webHidden/>
              </w:rPr>
              <w:instrText xml:space="preserve"> PAGEREF _Toc10202285 \h </w:instrText>
            </w:r>
            <w:r w:rsidR="00BB6DE3">
              <w:rPr>
                <w:noProof/>
                <w:webHidden/>
              </w:rPr>
            </w:r>
            <w:r w:rsidR="00BB6DE3">
              <w:rPr>
                <w:noProof/>
                <w:webHidden/>
              </w:rPr>
              <w:fldChar w:fldCharType="separate"/>
            </w:r>
            <w:r w:rsidR="00BB6DE3">
              <w:rPr>
                <w:noProof/>
                <w:webHidden/>
              </w:rPr>
              <w:t>37</w:t>
            </w:r>
            <w:r w:rsidR="00BB6DE3">
              <w:rPr>
                <w:noProof/>
                <w:webHidden/>
              </w:rPr>
              <w:fldChar w:fldCharType="end"/>
            </w:r>
          </w:hyperlink>
        </w:p>
        <w:p w14:paraId="4EA725E5" w14:textId="77777777" w:rsidR="00BB6DE3" w:rsidRDefault="0057494E">
          <w:pPr>
            <w:pStyle w:val="TOC2"/>
            <w:tabs>
              <w:tab w:val="left" w:pos="1276"/>
            </w:tabs>
            <w:rPr>
              <w:rFonts w:asciiTheme="minorHAnsi" w:eastAsiaTheme="minorEastAsia" w:hAnsiTheme="minorHAnsi" w:cstheme="minorBidi"/>
              <w:b w:val="0"/>
              <w:noProof/>
              <w:sz w:val="22"/>
              <w:szCs w:val="22"/>
              <w:lang w:eastAsia="en-AU"/>
            </w:rPr>
          </w:pPr>
          <w:hyperlink w:anchor="_Toc10202286" w:history="1">
            <w:r w:rsidR="00BB6DE3" w:rsidRPr="00E91865">
              <w:rPr>
                <w:rStyle w:val="Hyperlink"/>
                <w:noProof/>
              </w:rPr>
              <w:t>6.2</w:t>
            </w:r>
            <w:r w:rsidR="00BB6DE3">
              <w:rPr>
                <w:rFonts w:asciiTheme="minorHAnsi" w:eastAsiaTheme="minorEastAsia" w:hAnsiTheme="minorHAnsi" w:cstheme="minorBidi"/>
                <w:b w:val="0"/>
                <w:noProof/>
                <w:sz w:val="22"/>
                <w:szCs w:val="22"/>
                <w:lang w:eastAsia="en-AU"/>
              </w:rPr>
              <w:tab/>
            </w:r>
            <w:r w:rsidR="00BB6DE3" w:rsidRPr="00E91865">
              <w:rPr>
                <w:rStyle w:val="Hyperlink"/>
                <w:noProof/>
              </w:rPr>
              <w:t>Approvals</w:t>
            </w:r>
            <w:r w:rsidR="00BB6DE3">
              <w:rPr>
                <w:noProof/>
                <w:webHidden/>
              </w:rPr>
              <w:tab/>
            </w:r>
            <w:r w:rsidR="00BB6DE3">
              <w:rPr>
                <w:noProof/>
                <w:webHidden/>
              </w:rPr>
              <w:fldChar w:fldCharType="begin"/>
            </w:r>
            <w:r w:rsidR="00BB6DE3">
              <w:rPr>
                <w:noProof/>
                <w:webHidden/>
              </w:rPr>
              <w:instrText xml:space="preserve"> PAGEREF _Toc10202286 \h </w:instrText>
            </w:r>
            <w:r w:rsidR="00BB6DE3">
              <w:rPr>
                <w:noProof/>
                <w:webHidden/>
              </w:rPr>
            </w:r>
            <w:r w:rsidR="00BB6DE3">
              <w:rPr>
                <w:noProof/>
                <w:webHidden/>
              </w:rPr>
              <w:fldChar w:fldCharType="separate"/>
            </w:r>
            <w:r w:rsidR="00BB6DE3">
              <w:rPr>
                <w:noProof/>
                <w:webHidden/>
              </w:rPr>
              <w:t>37</w:t>
            </w:r>
            <w:r w:rsidR="00BB6DE3">
              <w:rPr>
                <w:noProof/>
                <w:webHidden/>
              </w:rPr>
              <w:fldChar w:fldCharType="end"/>
            </w:r>
          </w:hyperlink>
        </w:p>
        <w:p w14:paraId="7D659B0E" w14:textId="77777777" w:rsidR="00BB6DE3" w:rsidRDefault="0057494E">
          <w:pPr>
            <w:pStyle w:val="TOC3"/>
            <w:tabs>
              <w:tab w:val="left" w:pos="1701"/>
            </w:tabs>
            <w:rPr>
              <w:rFonts w:asciiTheme="minorHAnsi" w:eastAsiaTheme="minorEastAsia" w:hAnsiTheme="minorHAnsi" w:cstheme="minorBidi"/>
              <w:b w:val="0"/>
              <w:noProof/>
              <w:szCs w:val="22"/>
              <w:lang w:eastAsia="en-AU"/>
            </w:rPr>
          </w:pPr>
          <w:hyperlink w:anchor="_Toc10202287" w:history="1">
            <w:r w:rsidR="00BB6DE3" w:rsidRPr="00E91865">
              <w:rPr>
                <w:rStyle w:val="Hyperlink"/>
                <w:noProof/>
              </w:rPr>
              <w:t>6.2.1</w:t>
            </w:r>
            <w:r w:rsidR="00BB6DE3">
              <w:rPr>
                <w:rFonts w:asciiTheme="minorHAnsi" w:eastAsiaTheme="minorEastAsia" w:hAnsiTheme="minorHAnsi" w:cstheme="minorBidi"/>
                <w:b w:val="0"/>
                <w:noProof/>
                <w:szCs w:val="22"/>
                <w:lang w:eastAsia="en-AU"/>
              </w:rPr>
              <w:tab/>
            </w:r>
            <w:r w:rsidR="00BB6DE3" w:rsidRPr="00E91865">
              <w:rPr>
                <w:rStyle w:val="Hyperlink"/>
                <w:noProof/>
              </w:rPr>
              <w:t>Safety-related requests</w:t>
            </w:r>
            <w:r w:rsidR="00BB6DE3">
              <w:rPr>
                <w:noProof/>
                <w:webHidden/>
              </w:rPr>
              <w:tab/>
            </w:r>
            <w:r w:rsidR="00BB6DE3">
              <w:rPr>
                <w:noProof/>
                <w:webHidden/>
              </w:rPr>
              <w:fldChar w:fldCharType="begin"/>
            </w:r>
            <w:r w:rsidR="00BB6DE3">
              <w:rPr>
                <w:noProof/>
                <w:webHidden/>
              </w:rPr>
              <w:instrText xml:space="preserve"> PAGEREF _Toc10202287 \h </w:instrText>
            </w:r>
            <w:r w:rsidR="00BB6DE3">
              <w:rPr>
                <w:noProof/>
                <w:webHidden/>
              </w:rPr>
            </w:r>
            <w:r w:rsidR="00BB6DE3">
              <w:rPr>
                <w:noProof/>
                <w:webHidden/>
              </w:rPr>
              <w:fldChar w:fldCharType="separate"/>
            </w:r>
            <w:r w:rsidR="00BB6DE3">
              <w:rPr>
                <w:noProof/>
                <w:webHidden/>
              </w:rPr>
              <w:t>37</w:t>
            </w:r>
            <w:r w:rsidR="00BB6DE3">
              <w:rPr>
                <w:noProof/>
                <w:webHidden/>
              </w:rPr>
              <w:fldChar w:fldCharType="end"/>
            </w:r>
          </w:hyperlink>
        </w:p>
        <w:p w14:paraId="3DFA5243" w14:textId="77777777" w:rsidR="00BB6DE3" w:rsidRDefault="0057494E">
          <w:pPr>
            <w:pStyle w:val="TOC2"/>
            <w:tabs>
              <w:tab w:val="left" w:pos="1276"/>
            </w:tabs>
            <w:rPr>
              <w:rFonts w:asciiTheme="minorHAnsi" w:eastAsiaTheme="minorEastAsia" w:hAnsiTheme="minorHAnsi" w:cstheme="minorBidi"/>
              <w:b w:val="0"/>
              <w:noProof/>
              <w:sz w:val="22"/>
              <w:szCs w:val="22"/>
              <w:lang w:eastAsia="en-AU"/>
            </w:rPr>
          </w:pPr>
          <w:hyperlink w:anchor="_Toc10202288" w:history="1">
            <w:r w:rsidR="00BB6DE3" w:rsidRPr="00E91865">
              <w:rPr>
                <w:rStyle w:val="Hyperlink"/>
                <w:noProof/>
              </w:rPr>
              <w:t>6.3</w:t>
            </w:r>
            <w:r w:rsidR="00BB6DE3">
              <w:rPr>
                <w:rFonts w:asciiTheme="minorHAnsi" w:eastAsiaTheme="minorEastAsia" w:hAnsiTheme="minorHAnsi" w:cstheme="minorBidi"/>
                <w:b w:val="0"/>
                <w:noProof/>
                <w:sz w:val="22"/>
                <w:szCs w:val="22"/>
                <w:lang w:eastAsia="en-AU"/>
              </w:rPr>
              <w:tab/>
            </w:r>
            <w:r w:rsidR="00BB6DE3" w:rsidRPr="00E91865">
              <w:rPr>
                <w:rStyle w:val="Hyperlink"/>
                <w:noProof/>
              </w:rPr>
              <w:t>Implementing approved variations</w:t>
            </w:r>
            <w:r w:rsidR="00BB6DE3">
              <w:rPr>
                <w:noProof/>
                <w:webHidden/>
              </w:rPr>
              <w:tab/>
            </w:r>
            <w:r w:rsidR="00BB6DE3">
              <w:rPr>
                <w:noProof/>
                <w:webHidden/>
              </w:rPr>
              <w:fldChar w:fldCharType="begin"/>
            </w:r>
            <w:r w:rsidR="00BB6DE3">
              <w:rPr>
                <w:noProof/>
                <w:webHidden/>
              </w:rPr>
              <w:instrText xml:space="preserve"> PAGEREF _Toc10202288 \h </w:instrText>
            </w:r>
            <w:r w:rsidR="00BB6DE3">
              <w:rPr>
                <w:noProof/>
                <w:webHidden/>
              </w:rPr>
            </w:r>
            <w:r w:rsidR="00BB6DE3">
              <w:rPr>
                <w:noProof/>
                <w:webHidden/>
              </w:rPr>
              <w:fldChar w:fldCharType="separate"/>
            </w:r>
            <w:r w:rsidR="00BB6DE3">
              <w:rPr>
                <w:noProof/>
                <w:webHidden/>
              </w:rPr>
              <w:t>38</w:t>
            </w:r>
            <w:r w:rsidR="00BB6DE3">
              <w:rPr>
                <w:noProof/>
                <w:webHidden/>
              </w:rPr>
              <w:fldChar w:fldCharType="end"/>
            </w:r>
          </w:hyperlink>
        </w:p>
        <w:p w14:paraId="473296A7" w14:textId="77777777" w:rsidR="00F401EF" w:rsidRPr="00215D48" w:rsidRDefault="00F859D2" w:rsidP="00F401EF">
          <w:r w:rsidRPr="00215D48">
            <w:fldChar w:fldCharType="end"/>
          </w:r>
        </w:p>
      </w:sdtContent>
    </w:sdt>
    <w:p w14:paraId="7ACA54FD" w14:textId="77777777" w:rsidR="001525B4" w:rsidRPr="00215D48" w:rsidRDefault="00BB4F3E" w:rsidP="00042B40">
      <w:pPr>
        <w:pStyle w:val="Heading2"/>
        <w:spacing w:before="0"/>
      </w:pPr>
      <w:bookmarkStart w:id="0" w:name="_Toc323739589"/>
      <w:bookmarkStart w:id="1" w:name="_Toc356305216"/>
      <w:bookmarkStart w:id="2" w:name="_Toc10202234"/>
      <w:r w:rsidRPr="00042B40">
        <w:lastRenderedPageBreak/>
        <w:t>Introductio</w:t>
      </w:r>
      <w:bookmarkEnd w:id="0"/>
      <w:bookmarkEnd w:id="1"/>
      <w:r w:rsidRPr="00042B40">
        <w:t>n</w:t>
      </w:r>
      <w:bookmarkEnd w:id="2"/>
    </w:p>
    <w:p w14:paraId="3F2B6353" w14:textId="77777777" w:rsidR="00BB4F3E" w:rsidRPr="00BB4F3E" w:rsidRDefault="00BB4F3E" w:rsidP="00042B40">
      <w:bookmarkStart w:id="3" w:name="_Toc323739590"/>
      <w:bookmarkStart w:id="4" w:name="_Toc356305217"/>
      <w:r w:rsidRPr="00BB4F3E">
        <w:t xml:space="preserve">This guidance describes how to make variations to existing entries for </w:t>
      </w:r>
      <w:hyperlink r:id="rId13" w:anchor="id_7750" w:history="1">
        <w:r w:rsidRPr="00BB4F3E">
          <w:rPr>
            <w:rStyle w:val="Hyperlink"/>
          </w:rPr>
          <w:t>prescription medicines</w:t>
        </w:r>
      </w:hyperlink>
      <w:r w:rsidR="00134F66" w:rsidRPr="00134F66">
        <w:t xml:space="preserve"> </w:t>
      </w:r>
      <w:r w:rsidRPr="00BB4F3E">
        <w:t xml:space="preserve">in the </w:t>
      </w:r>
      <w:hyperlink r:id="rId14" w:history="1">
        <w:r w:rsidRPr="00BB4F3E">
          <w:rPr>
            <w:rStyle w:val="Hyperlink"/>
          </w:rPr>
          <w:t>Australian Register of Therapeutic Goods (ARTG)</w:t>
        </w:r>
      </w:hyperlink>
      <w:r w:rsidRPr="00BB4F3E">
        <w:t xml:space="preserve">. The variations included in this guidance are quality and product information (PI) changes where evaluation of clinical and bio-equivalence data is not required. These applications are not lodged under the </w:t>
      </w:r>
      <w:hyperlink r:id="rId15" w:history="1">
        <w:r w:rsidRPr="00BB4F3E">
          <w:rPr>
            <w:rStyle w:val="Hyperlink"/>
          </w:rPr>
          <w:t>Prescription Medicines Registration Process</w:t>
        </w:r>
      </w:hyperlink>
      <w:r w:rsidRPr="00BB4F3E">
        <w:t>.</w:t>
      </w:r>
    </w:p>
    <w:p w14:paraId="7E8E32E7" w14:textId="77777777" w:rsidR="00BB4F3E" w:rsidRPr="00BB4F3E" w:rsidRDefault="00BB4F3E" w:rsidP="007B278E">
      <w:r w:rsidRPr="00BB4F3E">
        <w:t>This guidance is split into sections:</w:t>
      </w:r>
    </w:p>
    <w:p w14:paraId="3043BA43" w14:textId="77777777" w:rsidR="00BB4F3E" w:rsidRPr="00BB4F3E" w:rsidRDefault="0057494E" w:rsidP="007B278E">
      <w:pPr>
        <w:pStyle w:val="ListBullet"/>
      </w:pPr>
      <w:hyperlink w:anchor="_Legislative_basis_for" w:history="1">
        <w:r w:rsidR="00BB4F3E" w:rsidRPr="00BB4F3E">
          <w:rPr>
            <w:rStyle w:val="Hyperlink"/>
          </w:rPr>
          <w:t>Legislative basis</w:t>
        </w:r>
      </w:hyperlink>
      <w:r w:rsidR="007B278E">
        <w:t xml:space="preserve"> for</w:t>
      </w:r>
      <w:r w:rsidR="00BB4F3E" w:rsidRPr="00BB4F3E">
        <w:t xml:space="preserve"> </w:t>
      </w:r>
      <w:r w:rsidR="00BB4F3E" w:rsidRPr="007B278E">
        <w:t>variations</w:t>
      </w:r>
    </w:p>
    <w:p w14:paraId="314D5703" w14:textId="77777777" w:rsidR="00BB4F3E" w:rsidRPr="00BB4F3E" w:rsidRDefault="00C11AD0" w:rsidP="007B278E">
      <w:pPr>
        <w:pStyle w:val="ListBullet2"/>
      </w:pPr>
      <w:r>
        <w:t>i</w:t>
      </w:r>
      <w:r w:rsidR="00BB4F3E" w:rsidRPr="00BB4F3E">
        <w:t xml:space="preserve">ncluding </w:t>
      </w:r>
      <w:r w:rsidR="00BB4F3E" w:rsidRPr="007B278E">
        <w:t>information</w:t>
      </w:r>
      <w:r w:rsidR="00BB4F3E" w:rsidRPr="00BB4F3E">
        <w:t xml:space="preserve"> about </w:t>
      </w:r>
      <w:hyperlink w:anchor="_Statutory_timeframes" w:history="1">
        <w:r w:rsidR="00BB4F3E" w:rsidRPr="00BB4F3E">
          <w:rPr>
            <w:rStyle w:val="Hyperlink"/>
          </w:rPr>
          <w:t>statutory timeframes</w:t>
        </w:r>
      </w:hyperlink>
      <w:r w:rsidR="00BB4F3E" w:rsidRPr="00BB4F3E">
        <w:t xml:space="preserve"> and </w:t>
      </w:r>
      <w:hyperlink w:anchor="_Making_an_appeal" w:history="1">
        <w:r w:rsidR="00BB4F3E" w:rsidRPr="00BB4F3E">
          <w:rPr>
            <w:rStyle w:val="Hyperlink"/>
          </w:rPr>
          <w:t>making an appeal</w:t>
        </w:r>
      </w:hyperlink>
    </w:p>
    <w:p w14:paraId="7F0FCA2E" w14:textId="77777777" w:rsidR="00BB4F3E" w:rsidRPr="00BB4F3E" w:rsidRDefault="0057494E" w:rsidP="00BB4F3E">
      <w:pPr>
        <w:pStyle w:val="ListBullet"/>
      </w:pPr>
      <w:hyperlink w:anchor="_Variation_category_groups" w:history="1">
        <w:r w:rsidR="00BB4F3E" w:rsidRPr="00BB4F3E">
          <w:rPr>
            <w:rStyle w:val="Hyperlink"/>
          </w:rPr>
          <w:t>Variation category groups and categories</w:t>
        </w:r>
      </w:hyperlink>
    </w:p>
    <w:p w14:paraId="1BCC3A7A" w14:textId="77777777" w:rsidR="00BB4F3E" w:rsidRPr="00BB4F3E" w:rsidRDefault="0057494E" w:rsidP="00BB4F3E">
      <w:pPr>
        <w:pStyle w:val="ListBullet2"/>
      </w:pPr>
      <w:hyperlink w:anchor="_Corrections_to_an_1" w:history="1">
        <w:r w:rsidR="00BB4F3E" w:rsidRPr="00BB4F3E">
          <w:rPr>
            <w:rStyle w:val="Hyperlink"/>
          </w:rPr>
          <w:t>Corrections</w:t>
        </w:r>
      </w:hyperlink>
    </w:p>
    <w:p w14:paraId="04EC263A" w14:textId="77777777" w:rsidR="00BB4F3E" w:rsidRPr="00BB4F3E" w:rsidRDefault="0057494E" w:rsidP="00BB4F3E">
      <w:pPr>
        <w:pStyle w:val="ListBullet2"/>
      </w:pPr>
      <w:hyperlink w:anchor="_Notifications" w:history="1">
        <w:r w:rsidR="00BB4F3E" w:rsidRPr="00BB4F3E">
          <w:rPr>
            <w:rStyle w:val="Hyperlink"/>
          </w:rPr>
          <w:t>Notifications</w:t>
        </w:r>
      </w:hyperlink>
    </w:p>
    <w:p w14:paraId="7283329E" w14:textId="77777777" w:rsidR="00BB4F3E" w:rsidRPr="00BB4F3E" w:rsidRDefault="0057494E" w:rsidP="00BB4F3E">
      <w:pPr>
        <w:pStyle w:val="ListBullet2"/>
      </w:pPr>
      <w:hyperlink w:anchor="_Quality_information" w:history="1">
        <w:r w:rsidR="00BB4F3E" w:rsidRPr="00BB4F3E">
          <w:rPr>
            <w:rStyle w:val="Hyperlink"/>
          </w:rPr>
          <w:t>Quality information</w:t>
        </w:r>
      </w:hyperlink>
    </w:p>
    <w:p w14:paraId="2E39D667" w14:textId="77777777" w:rsidR="00BB4F3E" w:rsidRPr="00BB4F3E" w:rsidRDefault="0057494E" w:rsidP="00BB4F3E">
      <w:pPr>
        <w:pStyle w:val="ListBullet3"/>
      </w:pPr>
      <w:hyperlink w:anchor="_Self-assessable_requests_(SARs)" w:history="1">
        <w:r w:rsidR="00BB4F3E" w:rsidRPr="00BB4F3E">
          <w:rPr>
            <w:rStyle w:val="Hyperlink"/>
          </w:rPr>
          <w:t>Self-assessable requests (SARs)</w:t>
        </w:r>
      </w:hyperlink>
    </w:p>
    <w:p w14:paraId="7BE302C2" w14:textId="77777777" w:rsidR="00BB4F3E" w:rsidRPr="00BB4F3E" w:rsidRDefault="0057494E" w:rsidP="007B278E">
      <w:pPr>
        <w:pStyle w:val="ListBullet3"/>
      </w:pPr>
      <w:hyperlink w:anchor="_Category_3_requests" w:history="1">
        <w:r w:rsidR="00BB4F3E" w:rsidRPr="00BB4F3E">
          <w:rPr>
            <w:rStyle w:val="Hyperlink"/>
          </w:rPr>
          <w:t>Category 3 requests</w:t>
        </w:r>
      </w:hyperlink>
      <w:r w:rsidR="00BB4F3E" w:rsidRPr="00BB4F3E">
        <w:t xml:space="preserve"> including </w:t>
      </w:r>
      <w:r w:rsidR="00BB4F3E" w:rsidRPr="007B278E">
        <w:t>information</w:t>
      </w:r>
      <w:r w:rsidR="00BB4F3E" w:rsidRPr="00BB4F3E">
        <w:t xml:space="preserve"> on </w:t>
      </w:r>
      <w:hyperlink w:anchor="_Category_3_requests_1" w:history="1">
        <w:r w:rsidR="00BB4F3E" w:rsidRPr="00BB4F3E">
          <w:rPr>
            <w:rStyle w:val="Hyperlink"/>
          </w:rPr>
          <w:t>Category 3 requests  that create a separate and distinct good</w:t>
        </w:r>
      </w:hyperlink>
    </w:p>
    <w:p w14:paraId="4EEDC868" w14:textId="77777777" w:rsidR="00BB4F3E" w:rsidRPr="00BB4F3E" w:rsidRDefault="0057494E" w:rsidP="00BB4F3E">
      <w:pPr>
        <w:pStyle w:val="ListBullet2"/>
      </w:pPr>
      <w:hyperlink w:anchor="_Product_information" w:history="1">
        <w:r w:rsidR="00BB4F3E" w:rsidRPr="00BB4F3E">
          <w:rPr>
            <w:rStyle w:val="Hyperlink"/>
          </w:rPr>
          <w:t>Product information</w:t>
        </w:r>
      </w:hyperlink>
    </w:p>
    <w:p w14:paraId="132E2868" w14:textId="77777777" w:rsidR="00BB4F3E" w:rsidRPr="00BB4F3E" w:rsidRDefault="0057494E" w:rsidP="00BB4F3E">
      <w:pPr>
        <w:pStyle w:val="ListBullet3"/>
      </w:pPr>
      <w:hyperlink w:anchor="_Minor_editorial_changes" w:history="1">
        <w:r w:rsidR="00BB4F3E" w:rsidRPr="00BB4F3E">
          <w:rPr>
            <w:rStyle w:val="Hyperlink"/>
          </w:rPr>
          <w:t>Minor editorial changes</w:t>
        </w:r>
      </w:hyperlink>
    </w:p>
    <w:p w14:paraId="6CD0E376" w14:textId="77777777" w:rsidR="00BB4F3E" w:rsidRPr="00BB4F3E" w:rsidRDefault="0057494E" w:rsidP="00BB4F3E">
      <w:pPr>
        <w:pStyle w:val="ListBullet3"/>
      </w:pPr>
      <w:hyperlink w:anchor="_Safety-related_requests_(SRR)" w:history="1">
        <w:r w:rsidR="00BB4F3E" w:rsidRPr="00BB4F3E">
          <w:rPr>
            <w:rStyle w:val="Hyperlink"/>
          </w:rPr>
          <w:t>Safety-related requests (SRR)</w:t>
        </w:r>
      </w:hyperlink>
    </w:p>
    <w:p w14:paraId="24B32339" w14:textId="77777777" w:rsidR="00BB4F3E" w:rsidRPr="00BB4F3E" w:rsidRDefault="0057494E" w:rsidP="00BB4F3E">
      <w:pPr>
        <w:pStyle w:val="ListBullet3"/>
      </w:pPr>
      <w:hyperlink w:anchor="_Extension_of_indications" w:history="1">
        <w:r w:rsidR="00BB4F3E" w:rsidRPr="00BB4F3E">
          <w:rPr>
            <w:rStyle w:val="Hyperlink"/>
          </w:rPr>
          <w:t>Extension of indications to align with a reference product</w:t>
        </w:r>
      </w:hyperlink>
    </w:p>
    <w:p w14:paraId="075B1734" w14:textId="77777777" w:rsidR="00BB4F3E" w:rsidRPr="00BB4F3E" w:rsidRDefault="00C11AD0" w:rsidP="00BB4F3E">
      <w:pPr>
        <w:pStyle w:val="ListBullet3"/>
      </w:pPr>
      <w:r>
        <w:t>o</w:t>
      </w:r>
      <w:r w:rsidR="00BB4F3E" w:rsidRPr="00BB4F3E">
        <w:t xml:space="preserve">ther information on </w:t>
      </w:r>
      <w:hyperlink w:anchor="_Changes_to_the" w:history="1">
        <w:r w:rsidR="00BB4F3E" w:rsidRPr="00BB4F3E">
          <w:rPr>
            <w:rStyle w:val="Hyperlink"/>
          </w:rPr>
          <w:t>changes to the product information</w:t>
        </w:r>
      </w:hyperlink>
    </w:p>
    <w:p w14:paraId="4C95E308" w14:textId="77777777" w:rsidR="00BB4F3E" w:rsidRPr="00BB4F3E" w:rsidRDefault="0057494E" w:rsidP="00BB4F3E">
      <w:pPr>
        <w:pStyle w:val="ListBullet"/>
        <w:rPr>
          <w:u w:val="single"/>
        </w:rPr>
      </w:pPr>
      <w:hyperlink w:anchor="_How_to_apply" w:history="1">
        <w:r w:rsidR="00BB4F3E" w:rsidRPr="00BB4F3E">
          <w:rPr>
            <w:rStyle w:val="Hyperlink"/>
          </w:rPr>
          <w:t>How to apply for a variation</w:t>
        </w:r>
      </w:hyperlink>
    </w:p>
    <w:p w14:paraId="2D338C24" w14:textId="77777777" w:rsidR="00BB4F3E" w:rsidRPr="00BB4F3E" w:rsidRDefault="0057494E" w:rsidP="00BB4F3E">
      <w:pPr>
        <w:pStyle w:val="ListBullet"/>
      </w:pPr>
      <w:hyperlink w:anchor="_Changes_not_submitted" w:history="1">
        <w:r w:rsidR="00831331">
          <w:rPr>
            <w:rStyle w:val="Hyperlink"/>
          </w:rPr>
          <w:t>Changes not submitted via the Variation e-form</w:t>
        </w:r>
      </w:hyperlink>
    </w:p>
    <w:p w14:paraId="2D93F993" w14:textId="77777777" w:rsidR="00BB4F3E" w:rsidRPr="00BB4F3E" w:rsidRDefault="0057494E" w:rsidP="00BB4F3E">
      <w:pPr>
        <w:numPr>
          <w:ilvl w:val="0"/>
          <w:numId w:val="20"/>
        </w:numPr>
      </w:pPr>
      <w:hyperlink w:anchor="_Fees_for_variations" w:history="1">
        <w:r w:rsidR="00135BF3">
          <w:rPr>
            <w:rStyle w:val="Hyperlink"/>
          </w:rPr>
          <w:t>Fees for variations</w:t>
        </w:r>
      </w:hyperlink>
    </w:p>
    <w:p w14:paraId="20DA5498" w14:textId="77777777" w:rsidR="00BB4F3E" w:rsidRPr="00BB4F3E" w:rsidRDefault="0057494E" w:rsidP="00BB4F3E">
      <w:pPr>
        <w:numPr>
          <w:ilvl w:val="0"/>
          <w:numId w:val="20"/>
        </w:numPr>
      </w:pPr>
      <w:hyperlink w:anchor="_Processing_and_approvals" w:history="1">
        <w:r w:rsidR="00BB4F3E" w:rsidRPr="00BB4F3E">
          <w:rPr>
            <w:rStyle w:val="Hyperlink"/>
          </w:rPr>
          <w:t>Processing and approvals</w:t>
        </w:r>
      </w:hyperlink>
      <w:r w:rsidR="00C11AD0">
        <w:rPr>
          <w:rStyle w:val="Hyperlink"/>
        </w:rPr>
        <w:t>.</w:t>
      </w:r>
    </w:p>
    <w:p w14:paraId="72EC1D0A" w14:textId="77777777" w:rsidR="00BB4F3E" w:rsidRPr="00BB4F3E" w:rsidRDefault="00BB4F3E" w:rsidP="007B278E">
      <w:r w:rsidRPr="00BB4F3E">
        <w:t>See also:</w:t>
      </w:r>
    </w:p>
    <w:p w14:paraId="6722EFF5" w14:textId="77777777" w:rsidR="00BB4F3E" w:rsidRPr="00BB4F3E" w:rsidRDefault="00BB4F3E" w:rsidP="00042B40">
      <w:pPr>
        <w:pStyle w:val="ListBullet"/>
      </w:pPr>
      <w:r w:rsidRPr="00BB4F3E">
        <w:t xml:space="preserve">Separate guidance that sets </w:t>
      </w:r>
      <w:r w:rsidRPr="007B278E">
        <w:t>out</w:t>
      </w:r>
      <w:r w:rsidRPr="00BB4F3E">
        <w:t xml:space="preserve"> the individual variation types for prescription medicines:</w:t>
      </w:r>
    </w:p>
    <w:p w14:paraId="425C766D" w14:textId="77777777" w:rsidR="00BB4F3E" w:rsidRPr="00BB4F3E" w:rsidRDefault="0057494E" w:rsidP="00BB4F3E">
      <w:pPr>
        <w:pStyle w:val="ListBullet2"/>
      </w:pPr>
      <w:hyperlink r:id="rId16" w:history="1">
        <w:r w:rsidR="00BB4F3E" w:rsidRPr="00042B40">
          <w:rPr>
            <w:rStyle w:val="Hyperlink"/>
          </w:rPr>
          <w:t>Variations to prescription medicines - excluding variations requiring evaluation of clinical or bioequivalence data - Appendix 1: Variation types – chemical entities</w:t>
        </w:r>
      </w:hyperlink>
    </w:p>
    <w:p w14:paraId="70380711" w14:textId="77777777" w:rsidR="00BB4F3E" w:rsidRPr="00BB4F3E" w:rsidRDefault="0057494E" w:rsidP="00BB4F3E">
      <w:pPr>
        <w:pStyle w:val="ListBullet2"/>
        <w:rPr>
          <w:b/>
          <w:bCs/>
        </w:rPr>
      </w:pPr>
      <w:hyperlink r:id="rId17" w:history="1">
        <w:r w:rsidR="00BB4F3E" w:rsidRPr="00042B40">
          <w:rPr>
            <w:rStyle w:val="Hyperlink"/>
          </w:rPr>
          <w:t>Variations to prescription medicines - excluding variations requiring evaluation of clinical or bioequivalence data -Appendix 2: Variation types – biological medicines</w:t>
        </w:r>
      </w:hyperlink>
    </w:p>
    <w:p w14:paraId="3073FE5A" w14:textId="77777777" w:rsidR="00BB4F3E" w:rsidRPr="00BB4F3E" w:rsidRDefault="0057494E" w:rsidP="00B81564">
      <w:pPr>
        <w:pStyle w:val="ListBullet"/>
      </w:pPr>
      <w:hyperlink r:id="rId18" w:history="1">
        <w:r w:rsidR="00BB4F3E" w:rsidRPr="00BB4F3E">
          <w:rPr>
            <w:rStyle w:val="Hyperlink"/>
          </w:rPr>
          <w:t>Information on dossier requirements</w:t>
        </w:r>
      </w:hyperlink>
      <w:r w:rsidR="00BB4F3E" w:rsidRPr="00BB4F3E">
        <w:t xml:space="preserve"> and how to submit your dossier to the TGA.</w:t>
      </w:r>
    </w:p>
    <w:p w14:paraId="6CF1A12D" w14:textId="77777777" w:rsidR="001525B4" w:rsidRDefault="00B81564" w:rsidP="003D1186">
      <w:pPr>
        <w:pStyle w:val="Heading3"/>
        <w:numPr>
          <w:ilvl w:val="0"/>
          <w:numId w:val="0"/>
        </w:numPr>
      </w:pPr>
      <w:bookmarkStart w:id="5" w:name="_Toc10202235"/>
      <w:r w:rsidRPr="00B81564">
        <w:lastRenderedPageBreak/>
        <w:t>Other types of variations</w:t>
      </w:r>
      <w:bookmarkEnd w:id="3"/>
      <w:bookmarkEnd w:id="4"/>
      <w:bookmarkEnd w:id="5"/>
    </w:p>
    <w:p w14:paraId="0CC13D6D" w14:textId="77777777" w:rsidR="00B81564" w:rsidRPr="00B81564" w:rsidRDefault="00B81564" w:rsidP="00BE4F54">
      <w:r w:rsidRPr="00B81564">
        <w:t xml:space="preserve">Information about other types of variations to prescription medicines that require evaluation of clinical </w:t>
      </w:r>
      <w:r w:rsidR="00B955B2">
        <w:t xml:space="preserve">or bioequivalence </w:t>
      </w:r>
      <w:r w:rsidRPr="00B81564">
        <w:t xml:space="preserve">data are outlined in the </w:t>
      </w:r>
      <w:hyperlink r:id="rId19" w:history="1">
        <w:r w:rsidRPr="00B81564">
          <w:rPr>
            <w:rStyle w:val="Hyperlink"/>
          </w:rPr>
          <w:t>Prescription Medicines Registration Process</w:t>
        </w:r>
      </w:hyperlink>
      <w:r w:rsidRPr="00B81564">
        <w:t xml:space="preserve"> guidance.</w:t>
      </w:r>
    </w:p>
    <w:p w14:paraId="6C5E3EA9" w14:textId="77777777" w:rsidR="00B81564" w:rsidRDefault="00B81564" w:rsidP="003D1186">
      <w:pPr>
        <w:pStyle w:val="Heading3"/>
        <w:numPr>
          <w:ilvl w:val="0"/>
          <w:numId w:val="0"/>
        </w:numPr>
      </w:pPr>
      <w:bookmarkStart w:id="6" w:name="_Toc10202236"/>
      <w:bookmarkStart w:id="7" w:name="_Toc323739591"/>
      <w:bookmarkStart w:id="8" w:name="_Toc356305218"/>
      <w:r w:rsidRPr="00B81564">
        <w:t>Contact the TGA</w:t>
      </w:r>
      <w:bookmarkEnd w:id="6"/>
    </w:p>
    <w:p w14:paraId="7696BED8" w14:textId="77777777" w:rsidR="00B81564" w:rsidRPr="00B81564" w:rsidRDefault="00B81564" w:rsidP="007B278E">
      <w:r w:rsidRPr="00B81564">
        <w:t xml:space="preserve">Any questions regarding variations to prescription medicines should be directed to </w:t>
      </w:r>
      <w:hyperlink r:id="rId20" w:history="1">
        <w:r w:rsidRPr="00B81564">
          <w:rPr>
            <w:rStyle w:val="Hyperlink"/>
          </w:rPr>
          <w:t>AET.application.entry.team@health.gov.au</w:t>
        </w:r>
      </w:hyperlink>
      <w:r w:rsidRPr="00B81564">
        <w:t>.</w:t>
      </w:r>
    </w:p>
    <w:p w14:paraId="10246294" w14:textId="77777777" w:rsidR="00B81564" w:rsidRDefault="002F134E" w:rsidP="00B53F88">
      <w:pPr>
        <w:pStyle w:val="Heading2"/>
        <w:spacing w:before="0"/>
      </w:pPr>
      <w:bookmarkStart w:id="9" w:name="_Legislative_basis_for"/>
      <w:bookmarkStart w:id="10" w:name="_Toc5089257"/>
      <w:bookmarkStart w:id="11" w:name="_Toc10202237"/>
      <w:bookmarkEnd w:id="9"/>
      <w:r w:rsidRPr="002F134E">
        <w:lastRenderedPageBreak/>
        <w:t>Legislative basis for varying products</w:t>
      </w:r>
      <w:bookmarkEnd w:id="10"/>
      <w:bookmarkEnd w:id="11"/>
    </w:p>
    <w:p w14:paraId="5EE66FDA" w14:textId="77777777" w:rsidR="002F134E" w:rsidRPr="002F134E" w:rsidRDefault="002F134E" w:rsidP="00B53F88">
      <w:r w:rsidRPr="002F134E">
        <w:t xml:space="preserve">The </w:t>
      </w:r>
      <w:hyperlink r:id="rId21" w:history="1">
        <w:r w:rsidRPr="002F134E">
          <w:rPr>
            <w:rStyle w:val="Hyperlink"/>
          </w:rPr>
          <w:t>standard conditions of registration</w:t>
        </w:r>
      </w:hyperlink>
      <w:r w:rsidRPr="002F134E">
        <w:t>, which apply to all registered prescription medicines, state that:</w:t>
      </w:r>
    </w:p>
    <w:p w14:paraId="495DDEDA" w14:textId="77777777" w:rsidR="002F134E" w:rsidRPr="002F134E" w:rsidRDefault="002F134E" w:rsidP="002F134E">
      <w:pPr>
        <w:ind w:left="720"/>
      </w:pPr>
      <w:r w:rsidRPr="002F134E">
        <w:t xml:space="preserve">Changes or variations in respect of any information concerning the registered or listed therapeutic goods, being information that would have been relevant to a decision to register/list the goods in the ARTG, including information on the formulation of the registered/listed goods or other aspects of their manufacture, and the labelling of the goods, shall forthwith be notified to the Secretary, or the Secretary's delegate appointed for the purposes of section 28 of the </w:t>
      </w:r>
      <w:r w:rsidRPr="002F134E">
        <w:rPr>
          <w:i/>
        </w:rPr>
        <w:t>Therapeutic Goods Act 1989</w:t>
      </w:r>
      <w:r w:rsidRPr="002F134E">
        <w:t xml:space="preserve"> and where necessary, the change or variation shall not be implemented until approved by the Secretary.</w:t>
      </w:r>
    </w:p>
    <w:p w14:paraId="313B372D" w14:textId="77777777" w:rsidR="002F134E" w:rsidRDefault="002F134E" w:rsidP="00BE4F54">
      <w:r w:rsidRPr="002F134E">
        <w:t xml:space="preserve">This means that once a medicine is entered in the ARTG, the information cannot be changed (apart from </w:t>
      </w:r>
      <w:hyperlink w:anchor="_Reporting_on_changes" w:history="1">
        <w:r w:rsidRPr="002F134E">
          <w:rPr>
            <w:rStyle w:val="Hyperlink"/>
          </w:rPr>
          <w:t>limited exceptions</w:t>
        </w:r>
      </w:hyperlink>
      <w:r w:rsidRPr="002F134E">
        <w:t xml:space="preserve">) without the approval of the </w:t>
      </w:r>
      <w:hyperlink r:id="rId22" w:anchor="id_1268" w:history="1">
        <w:r w:rsidRPr="002F134E">
          <w:rPr>
            <w:rStyle w:val="Hyperlink"/>
          </w:rPr>
          <w:t>Secretary</w:t>
        </w:r>
      </w:hyperlink>
      <w:r w:rsidRPr="002F134E">
        <w:t>. Penalties may apply, including suspension or cancellation of registration. It is therefore important that sponsors follow the correct procedure when varying registered medicines to avoid breaching the provisions of the Act.</w:t>
      </w:r>
    </w:p>
    <w:tbl>
      <w:tblPr>
        <w:tblW w:w="9038" w:type="dxa"/>
        <w:tblLayout w:type="fixed"/>
        <w:tblCellMar>
          <w:left w:w="0" w:type="dxa"/>
          <w:right w:w="0" w:type="dxa"/>
        </w:tblCellMar>
        <w:tblLook w:val="04A0" w:firstRow="1" w:lastRow="0" w:firstColumn="1" w:lastColumn="0" w:noHBand="0" w:noVBand="1"/>
      </w:tblPr>
      <w:tblGrid>
        <w:gridCol w:w="1276"/>
        <w:gridCol w:w="7762"/>
      </w:tblGrid>
      <w:tr w:rsidR="0085661C" w:rsidRPr="0085661C" w14:paraId="0F5B59D3" w14:textId="77777777" w:rsidTr="00F048E4">
        <w:tc>
          <w:tcPr>
            <w:tcW w:w="1276" w:type="dxa"/>
            <w:vAlign w:val="center"/>
          </w:tcPr>
          <w:p w14:paraId="47C074FE" w14:textId="77777777" w:rsidR="0085661C" w:rsidRPr="0085661C" w:rsidRDefault="0085661C" w:rsidP="0085661C">
            <w:r w:rsidRPr="0085661C">
              <w:rPr>
                <w:noProof/>
                <w:lang w:eastAsia="en-AU"/>
              </w:rPr>
              <w:drawing>
                <wp:inline distT="0" distB="0" distL="0" distR="0" wp14:anchorId="221A997A" wp14:editId="717E973D">
                  <wp:extent cx="487681" cy="487681"/>
                  <wp:effectExtent l="19050" t="0" r="7619" b="0"/>
                  <wp:docPr id="6" name="Picture 0" descr="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fo.png"/>
                          <pic:cNvPicPr/>
                        </pic:nvPicPr>
                        <pic:blipFill>
                          <a:blip r:embed="rId23" cstate="print"/>
                          <a:stretch>
                            <a:fillRect/>
                          </a:stretch>
                        </pic:blipFill>
                        <pic:spPr>
                          <a:xfrm>
                            <a:off x="0" y="0"/>
                            <a:ext cx="487681" cy="487681"/>
                          </a:xfrm>
                          <a:prstGeom prst="rect">
                            <a:avLst/>
                          </a:prstGeom>
                        </pic:spPr>
                      </pic:pic>
                    </a:graphicData>
                  </a:graphic>
                </wp:inline>
              </w:drawing>
            </w:r>
          </w:p>
        </w:tc>
        <w:tc>
          <w:tcPr>
            <w:tcW w:w="7762" w:type="dxa"/>
            <w:shd w:val="clear" w:color="auto" w:fill="EAEAEA"/>
            <w:tcMar>
              <w:top w:w="170" w:type="dxa"/>
              <w:left w:w="170" w:type="dxa"/>
              <w:bottom w:w="170" w:type="dxa"/>
              <w:right w:w="170" w:type="dxa"/>
            </w:tcMar>
            <w:vAlign w:val="center"/>
          </w:tcPr>
          <w:p w14:paraId="3D54FE3A" w14:textId="77777777" w:rsidR="0085661C" w:rsidRPr="0085661C" w:rsidRDefault="0085661C" w:rsidP="00BE4F54">
            <w:r w:rsidRPr="0085661C">
              <w:t xml:space="preserve">If a sponsor becomes aware that changes have been made to a medicine without the Secretary’s approval, they must contact the TGA to determine how the ARTG </w:t>
            </w:r>
            <w:r w:rsidR="00B53F88">
              <w:t>entry can be updated.</w:t>
            </w:r>
          </w:p>
          <w:p w14:paraId="00A9DBA1" w14:textId="77777777" w:rsidR="0085661C" w:rsidRPr="0085661C" w:rsidRDefault="0085661C" w:rsidP="0085661C">
            <w:r w:rsidRPr="0085661C">
              <w:t xml:space="preserve">Please email </w:t>
            </w:r>
            <w:hyperlink r:id="rId24" w:history="1">
              <w:r w:rsidRPr="0085661C">
                <w:rPr>
                  <w:rStyle w:val="Hyperlink"/>
                </w:rPr>
                <w:t>AET.application.entry.team@health.gov.au</w:t>
              </w:r>
            </w:hyperlink>
            <w:r w:rsidR="00B53F88" w:rsidRPr="00B53F88">
              <w:rPr>
                <w:rStyle w:val="Hyperlink"/>
                <w:color w:val="auto"/>
                <w:u w:val="none"/>
              </w:rPr>
              <w:t>.</w:t>
            </w:r>
          </w:p>
        </w:tc>
      </w:tr>
    </w:tbl>
    <w:p w14:paraId="3E91BF2F" w14:textId="77777777" w:rsidR="002F134E" w:rsidRDefault="00C95D15" w:rsidP="00BE4F54">
      <w:pPr>
        <w:pStyle w:val="Heading3"/>
      </w:pPr>
      <w:bookmarkStart w:id="12" w:name="_Toc10202238"/>
      <w:r w:rsidRPr="00BE4F54">
        <w:t>Variations</w:t>
      </w:r>
      <w:r w:rsidR="000B2FA2">
        <w:t xml:space="preserve"> under s.9D</w:t>
      </w:r>
      <w:r w:rsidR="003C0D83">
        <w:t xml:space="preserve"> of the Act</w:t>
      </w:r>
      <w:bookmarkEnd w:id="12"/>
    </w:p>
    <w:p w14:paraId="786030A5" w14:textId="77777777" w:rsidR="00C95D15" w:rsidRDefault="00C95D15" w:rsidP="00BE4F54">
      <w:r w:rsidRPr="00C95D15">
        <w:t xml:space="preserve">To seek the Secretary’s approval of a proposed change to a prescription medicine, sponsors must make a request under the provisions of s. 9D of the </w:t>
      </w:r>
      <w:hyperlink r:id="rId25" w:history="1">
        <w:r w:rsidRPr="003C0D83">
          <w:rPr>
            <w:rStyle w:val="Hyperlink"/>
          </w:rPr>
          <w:t>Act</w:t>
        </w:r>
      </w:hyperlink>
      <w:r w:rsidRPr="00C95D15">
        <w:t>. Four different types of requests can be made under s. 9D. Under each of these subsections, there are several application categories, outlined in the table below.</w:t>
      </w:r>
    </w:p>
    <w:tbl>
      <w:tblPr>
        <w:tblStyle w:val="TableTGAblue"/>
        <w:tblW w:w="0" w:type="auto"/>
        <w:tblLook w:val="04A0" w:firstRow="1" w:lastRow="0" w:firstColumn="1" w:lastColumn="0" w:noHBand="0" w:noVBand="1"/>
      </w:tblPr>
      <w:tblGrid>
        <w:gridCol w:w="6303"/>
        <w:gridCol w:w="2747"/>
      </w:tblGrid>
      <w:tr w:rsidR="00C95D15" w14:paraId="1D3520E7" w14:textId="77777777" w:rsidTr="00C95D1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87" w:type="dxa"/>
          </w:tcPr>
          <w:p w14:paraId="1D3725E0" w14:textId="77777777" w:rsidR="00C95D15" w:rsidRDefault="00C95D15" w:rsidP="00C95D15">
            <w:r>
              <w:t>Legislative basis</w:t>
            </w:r>
          </w:p>
        </w:tc>
        <w:tc>
          <w:tcPr>
            <w:tcW w:w="2799" w:type="dxa"/>
          </w:tcPr>
          <w:p w14:paraId="67B4C6A2" w14:textId="77777777" w:rsidR="00C95D15" w:rsidRDefault="00C95D15" w:rsidP="00C95D15">
            <w:pPr>
              <w:cnfStyle w:val="100000000000" w:firstRow="1" w:lastRow="0" w:firstColumn="0" w:lastColumn="0" w:oddVBand="0" w:evenVBand="0" w:oddHBand="0" w:evenHBand="0" w:firstRowFirstColumn="0" w:firstRowLastColumn="0" w:lastRowFirstColumn="0" w:lastRowLastColumn="0"/>
            </w:pPr>
            <w:r>
              <w:t>Category</w:t>
            </w:r>
          </w:p>
        </w:tc>
      </w:tr>
      <w:tr w:rsidR="00C95D15" w14:paraId="62DAF2DE" w14:textId="77777777" w:rsidTr="00C95D15">
        <w:tc>
          <w:tcPr>
            <w:cnfStyle w:val="001000000000" w:firstRow="0" w:lastRow="0" w:firstColumn="1" w:lastColumn="0" w:oddVBand="0" w:evenVBand="0" w:oddHBand="0" w:evenHBand="0" w:firstRowFirstColumn="0" w:firstRowLastColumn="0" w:lastRowFirstColumn="0" w:lastRowLastColumn="0"/>
            <w:tcW w:w="6487" w:type="dxa"/>
          </w:tcPr>
          <w:p w14:paraId="1A3BEE8D" w14:textId="77777777" w:rsidR="00C95D15" w:rsidRPr="00C95D15" w:rsidRDefault="00C95D15" w:rsidP="00C95D15">
            <w:r w:rsidRPr="00C95D15">
              <w:rPr>
                <w:b/>
              </w:rPr>
              <w:t xml:space="preserve">Subsection 9D(1) </w:t>
            </w:r>
            <w:r w:rsidRPr="00C95D15">
              <w:t>allows sponsors to request an update to an ARTG entry that is incomplete or incorrect.</w:t>
            </w:r>
          </w:p>
          <w:p w14:paraId="083B4648" w14:textId="77777777" w:rsidR="00C95D15" w:rsidRDefault="00C95D15" w:rsidP="00C95D15">
            <w:r w:rsidRPr="00C95D15">
              <w:t>The Secretary can also make corrections under ss. 9D(1), if necessary, without the sponsor needing to make a request.</w:t>
            </w:r>
          </w:p>
        </w:tc>
        <w:tc>
          <w:tcPr>
            <w:tcW w:w="2799" w:type="dxa"/>
          </w:tcPr>
          <w:p w14:paraId="6503EE54" w14:textId="77777777" w:rsidR="00C95D15" w:rsidRPr="00C95D15" w:rsidRDefault="0057494E" w:rsidP="00C95D15">
            <w:pPr>
              <w:cnfStyle w:val="000000000000" w:firstRow="0" w:lastRow="0" w:firstColumn="0" w:lastColumn="0" w:oddVBand="0" w:evenVBand="0" w:oddHBand="0" w:evenHBand="0" w:firstRowFirstColumn="0" w:firstRowLastColumn="0" w:lastRowFirstColumn="0" w:lastRowLastColumn="0"/>
            </w:pPr>
            <w:hyperlink w:anchor="_Corrections_to_an_1" w:history="1">
              <w:r w:rsidR="00C95D15" w:rsidRPr="00C95D15">
                <w:rPr>
                  <w:rStyle w:val="Hyperlink"/>
                </w:rPr>
                <w:t>Corrections to an ARTG entry</w:t>
              </w:r>
            </w:hyperlink>
          </w:p>
        </w:tc>
      </w:tr>
      <w:tr w:rsidR="00C95D15" w14:paraId="2A2DD0EE" w14:textId="77777777" w:rsidTr="00C95D15">
        <w:tc>
          <w:tcPr>
            <w:cnfStyle w:val="001000000000" w:firstRow="0" w:lastRow="0" w:firstColumn="1" w:lastColumn="0" w:oddVBand="0" w:evenVBand="0" w:oddHBand="0" w:evenHBand="0" w:firstRowFirstColumn="0" w:firstRowLastColumn="0" w:lastRowFirstColumn="0" w:lastRowLastColumn="0"/>
            <w:tcW w:w="6487" w:type="dxa"/>
          </w:tcPr>
          <w:p w14:paraId="04A40D23" w14:textId="77777777" w:rsidR="00C95D15" w:rsidRPr="00C95D15" w:rsidRDefault="00C95D15" w:rsidP="00C95D15">
            <w:r w:rsidRPr="00C95D15">
              <w:rPr>
                <w:b/>
              </w:rPr>
              <w:t>Subsection 9D(2)</w:t>
            </w:r>
            <w:r w:rsidRPr="00C95D15">
              <w:t xml:space="preserve"> allows sponsors to request safety-related variations to an ARTG entry (and consequential changes to the product information).</w:t>
            </w:r>
          </w:p>
          <w:p w14:paraId="2498AD11" w14:textId="77777777" w:rsidR="00C95D15" w:rsidRPr="00C95D15" w:rsidRDefault="00C95D15" w:rsidP="00C95D15">
            <w:r w:rsidRPr="00C95D15">
              <w:t>A variation is safety-related if it reduces the patient population (e.g. by removing an indication), or has the effect of adding a warning or precaution (e.g. for an adverse effect or interaction).</w:t>
            </w:r>
          </w:p>
          <w:p w14:paraId="1034253E" w14:textId="77777777" w:rsidR="00C95D15" w:rsidRDefault="00C95D15" w:rsidP="00BE4F54">
            <w:r w:rsidRPr="00C95D15">
              <w:t>Under s. 9D(2A) of the Act, changes to indications made under s. 9D(2) do not create a separate and distinct good and do not require an application to be made under s. 23 of the Act.</w:t>
            </w:r>
          </w:p>
        </w:tc>
        <w:tc>
          <w:tcPr>
            <w:tcW w:w="2799" w:type="dxa"/>
          </w:tcPr>
          <w:p w14:paraId="3B857A9D" w14:textId="77777777" w:rsidR="00C95D15" w:rsidRPr="00C95D15" w:rsidRDefault="0057494E" w:rsidP="00C95D15">
            <w:pPr>
              <w:cnfStyle w:val="000000000000" w:firstRow="0" w:lastRow="0" w:firstColumn="0" w:lastColumn="0" w:oddVBand="0" w:evenVBand="0" w:oddHBand="0" w:evenHBand="0" w:firstRowFirstColumn="0" w:firstRowLastColumn="0" w:lastRowFirstColumn="0" w:lastRowLastColumn="0"/>
              <w:rPr>
                <w:u w:val="single"/>
              </w:rPr>
            </w:pPr>
            <w:hyperlink w:anchor="_Safety-related_requests_(SRR)" w:history="1">
              <w:r w:rsidR="00C95D15" w:rsidRPr="00C95D15">
                <w:rPr>
                  <w:rStyle w:val="Hyperlink"/>
                </w:rPr>
                <w:t>Safety-related requests (SRRs)</w:t>
              </w:r>
            </w:hyperlink>
          </w:p>
          <w:p w14:paraId="0ABDB0A1" w14:textId="77777777" w:rsidR="00C95D15" w:rsidRPr="00C95D15" w:rsidRDefault="0057494E" w:rsidP="00C95D15">
            <w:pPr>
              <w:cnfStyle w:val="000000000000" w:firstRow="0" w:lastRow="0" w:firstColumn="0" w:lastColumn="0" w:oddVBand="0" w:evenVBand="0" w:oddHBand="0" w:evenHBand="0" w:firstRowFirstColumn="0" w:firstRowLastColumn="0" w:lastRowFirstColumn="0" w:lastRowLastColumn="0"/>
            </w:pPr>
            <w:hyperlink w:anchor="_SRRs_requiring_evaluation" w:history="1">
              <w:r w:rsidR="00C95D15" w:rsidRPr="00C95D15">
                <w:rPr>
                  <w:rStyle w:val="Hyperlink"/>
                </w:rPr>
                <w:t>SRR requiring evaluation of data</w:t>
              </w:r>
            </w:hyperlink>
          </w:p>
        </w:tc>
      </w:tr>
      <w:tr w:rsidR="00C95D15" w14:paraId="3D523A81" w14:textId="77777777" w:rsidTr="00C95D15">
        <w:tc>
          <w:tcPr>
            <w:cnfStyle w:val="001000000000" w:firstRow="0" w:lastRow="0" w:firstColumn="1" w:lastColumn="0" w:oddVBand="0" w:evenVBand="0" w:oddHBand="0" w:evenHBand="0" w:firstRowFirstColumn="0" w:firstRowLastColumn="0" w:lastRowFirstColumn="0" w:lastRowLastColumn="0"/>
            <w:tcW w:w="6487" w:type="dxa"/>
          </w:tcPr>
          <w:p w14:paraId="3AB4F608" w14:textId="77777777" w:rsidR="00C95D15" w:rsidRDefault="00C95D15" w:rsidP="00C95D15">
            <w:r w:rsidRPr="00C95D15">
              <w:rPr>
                <w:b/>
              </w:rPr>
              <w:lastRenderedPageBreak/>
              <w:t>Subsection 9D(2C)</w:t>
            </w:r>
            <w:r w:rsidRPr="00C95D15">
              <w:t xml:space="preserve"> allows sponsors to request certain specified variations to an ARTG entry, that do not affect the established quality, safety and efficacy of the medicine, which under certain conditions must then be approved by the TGA.</w:t>
            </w:r>
          </w:p>
        </w:tc>
        <w:tc>
          <w:tcPr>
            <w:tcW w:w="2799" w:type="dxa"/>
          </w:tcPr>
          <w:p w14:paraId="4B4F53E4" w14:textId="77777777" w:rsidR="00C95D15" w:rsidRDefault="0057494E" w:rsidP="00C95D15">
            <w:pPr>
              <w:cnfStyle w:val="000000000000" w:firstRow="0" w:lastRow="0" w:firstColumn="0" w:lastColumn="0" w:oddVBand="0" w:evenVBand="0" w:oddHBand="0" w:evenHBand="0" w:firstRowFirstColumn="0" w:firstRowLastColumn="0" w:lastRowFirstColumn="0" w:lastRowLastColumn="0"/>
            </w:pPr>
            <w:hyperlink w:anchor="_Notifications" w:history="1">
              <w:r w:rsidR="00C95D15" w:rsidRPr="00C95D15">
                <w:rPr>
                  <w:rStyle w:val="Hyperlink"/>
                  <w:bCs/>
                </w:rPr>
                <w:t>Notifications</w:t>
              </w:r>
            </w:hyperlink>
          </w:p>
        </w:tc>
      </w:tr>
      <w:tr w:rsidR="00C95D15" w14:paraId="03C74636" w14:textId="77777777" w:rsidTr="00C95D15">
        <w:tc>
          <w:tcPr>
            <w:cnfStyle w:val="001000000000" w:firstRow="0" w:lastRow="0" w:firstColumn="1" w:lastColumn="0" w:oddVBand="0" w:evenVBand="0" w:oddHBand="0" w:evenHBand="0" w:firstRowFirstColumn="0" w:firstRowLastColumn="0" w:lastRowFirstColumn="0" w:lastRowLastColumn="0"/>
            <w:tcW w:w="6487" w:type="dxa"/>
          </w:tcPr>
          <w:p w14:paraId="169B3730" w14:textId="77777777" w:rsidR="00C95D15" w:rsidRPr="00C95D15" w:rsidRDefault="00C95D15" w:rsidP="00C95D15">
            <w:r w:rsidRPr="00C95D15">
              <w:rPr>
                <w:b/>
              </w:rPr>
              <w:t>Subsection 9D(3)</w:t>
            </w:r>
            <w:r w:rsidRPr="00C95D15">
              <w:t xml:space="preserve"> allows sponsors to request other variations to an ARTG entry that do not have the effect of creating a separate and distinct good under s. 16(1) of the Act, provided that the change does not reduce the quality, safety or efficacy of the medicine.</w:t>
            </w:r>
          </w:p>
          <w:p w14:paraId="5BA0FB7C" w14:textId="77777777" w:rsidR="00C95D15" w:rsidRPr="00C95D15" w:rsidRDefault="00C95D15" w:rsidP="00C95D15">
            <w:r w:rsidRPr="00C95D15">
              <w:t>Most variations made under s. 9D(3) relate to the quality of registered prescription medicines. Some requests under s. 9D(3) also involve making consequential changes to the Product Information (PI).</w:t>
            </w:r>
          </w:p>
          <w:p w14:paraId="49DCB616" w14:textId="77777777" w:rsidR="00C95D15" w:rsidRDefault="00C95D15" w:rsidP="00C95D15">
            <w:r w:rsidRPr="00C95D15">
              <w:rPr>
                <w:i/>
              </w:rPr>
              <w:t xml:space="preserve">Some PI changes may require evaluation of nonclinical, clinical or bioequivalence data as a Category 1 or 2 application under the </w:t>
            </w:r>
            <w:hyperlink r:id="rId26" w:history="1">
              <w:r w:rsidRPr="00C95D15">
                <w:rPr>
                  <w:rStyle w:val="Hyperlink"/>
                  <w:i/>
                </w:rPr>
                <w:t>Prescription Medicines Registration Process</w:t>
              </w:r>
            </w:hyperlink>
            <w:r w:rsidRPr="00C95D15">
              <w:t>.</w:t>
            </w:r>
          </w:p>
        </w:tc>
        <w:tc>
          <w:tcPr>
            <w:tcW w:w="2799" w:type="dxa"/>
          </w:tcPr>
          <w:p w14:paraId="3342555E" w14:textId="77777777" w:rsidR="00C95D15" w:rsidRPr="00C95D15" w:rsidRDefault="0057494E" w:rsidP="00C95D15">
            <w:pPr>
              <w:cnfStyle w:val="000000000000" w:firstRow="0" w:lastRow="0" w:firstColumn="0" w:lastColumn="0" w:oddVBand="0" w:evenVBand="0" w:oddHBand="0" w:evenHBand="0" w:firstRowFirstColumn="0" w:firstRowLastColumn="0" w:lastRowFirstColumn="0" w:lastRowLastColumn="0"/>
            </w:pPr>
            <w:hyperlink w:anchor="_Minor_editorial_changes" w:history="1">
              <w:r w:rsidR="00C95D15" w:rsidRPr="00C95D15">
                <w:rPr>
                  <w:rStyle w:val="Hyperlink"/>
                </w:rPr>
                <w:t>Minor editorial changes (MECs)</w:t>
              </w:r>
            </w:hyperlink>
          </w:p>
          <w:p w14:paraId="12D1B5CB" w14:textId="77777777" w:rsidR="00C95D15" w:rsidRPr="00C95D15" w:rsidRDefault="0057494E" w:rsidP="00C95D15">
            <w:pPr>
              <w:cnfStyle w:val="000000000000" w:firstRow="0" w:lastRow="0" w:firstColumn="0" w:lastColumn="0" w:oddVBand="0" w:evenVBand="0" w:oddHBand="0" w:evenHBand="0" w:firstRowFirstColumn="0" w:firstRowLastColumn="0" w:lastRowFirstColumn="0" w:lastRowLastColumn="0"/>
            </w:pPr>
            <w:hyperlink w:anchor="_Self-assessable_requests_(SARs)" w:history="1">
              <w:r w:rsidR="00C95D15" w:rsidRPr="00C95D15">
                <w:rPr>
                  <w:rStyle w:val="Hyperlink"/>
                </w:rPr>
                <w:t>Self-assessable requests (SARs)</w:t>
              </w:r>
            </w:hyperlink>
          </w:p>
          <w:p w14:paraId="1237DA88" w14:textId="77777777" w:rsidR="00C95D15" w:rsidRDefault="0057494E" w:rsidP="00C95D15">
            <w:pPr>
              <w:cnfStyle w:val="000000000000" w:firstRow="0" w:lastRow="0" w:firstColumn="0" w:lastColumn="0" w:oddVBand="0" w:evenVBand="0" w:oddHBand="0" w:evenHBand="0" w:firstRowFirstColumn="0" w:firstRowLastColumn="0" w:lastRowFirstColumn="0" w:lastRowLastColumn="0"/>
            </w:pPr>
            <w:hyperlink w:anchor="_Category_3_requests" w:history="1">
              <w:r w:rsidR="00C95D15" w:rsidRPr="00C95D15">
                <w:rPr>
                  <w:rStyle w:val="Hyperlink"/>
                </w:rPr>
                <w:t>Category 3 requests</w:t>
              </w:r>
            </w:hyperlink>
          </w:p>
        </w:tc>
      </w:tr>
    </w:tbl>
    <w:p w14:paraId="0EDD3EF1" w14:textId="77777777" w:rsidR="00C95D15" w:rsidRDefault="009F717C" w:rsidP="00B53F88">
      <w:pPr>
        <w:pStyle w:val="Heading3"/>
      </w:pPr>
      <w:bookmarkStart w:id="13" w:name="_Toc5089259"/>
      <w:bookmarkStart w:id="14" w:name="_Toc10202239"/>
      <w:r w:rsidRPr="00B53F88">
        <w:t>Changes</w:t>
      </w:r>
      <w:r w:rsidRPr="009F717C">
        <w:t xml:space="preserve"> that do not require prior approval</w:t>
      </w:r>
      <w:bookmarkEnd w:id="13"/>
      <w:bookmarkEnd w:id="14"/>
    </w:p>
    <w:p w14:paraId="58C4554D" w14:textId="77777777" w:rsidR="009F717C" w:rsidRDefault="009F717C" w:rsidP="00B53F88">
      <w:r w:rsidRPr="009F717C">
        <w:t>These are types of changes that either:</w:t>
      </w:r>
    </w:p>
    <w:p w14:paraId="7F095C30" w14:textId="77777777" w:rsidR="009F717C" w:rsidRPr="00B53F88" w:rsidRDefault="009F717C" w:rsidP="00BE4F54">
      <w:pPr>
        <w:pStyle w:val="ListBullet"/>
      </w:pPr>
      <w:r w:rsidRPr="009F717C">
        <w:t xml:space="preserve">do not require </w:t>
      </w:r>
      <w:r w:rsidRPr="00BE4F54">
        <w:t>reporting</w:t>
      </w:r>
      <w:r w:rsidRPr="009F717C">
        <w:t xml:space="preserve"> to the </w:t>
      </w:r>
      <w:r w:rsidRPr="00B53F88">
        <w:t>TGA or</w:t>
      </w:r>
    </w:p>
    <w:p w14:paraId="252288E3" w14:textId="77777777" w:rsidR="009F717C" w:rsidRPr="009F717C" w:rsidRDefault="009F717C" w:rsidP="00B53F88">
      <w:pPr>
        <w:pStyle w:val="ListBullet"/>
      </w:pPr>
      <w:r w:rsidRPr="00B53F88">
        <w:t>require reporting, but do not have to be approved</w:t>
      </w:r>
      <w:r w:rsidRPr="009F717C">
        <w:t xml:space="preserve"> by the TGA.</w:t>
      </w:r>
    </w:p>
    <w:p w14:paraId="38EA3239" w14:textId="77777777" w:rsidR="009F717C" w:rsidRPr="009F717C" w:rsidRDefault="009F717C" w:rsidP="00B53F88">
      <w:r w:rsidRPr="009F717C">
        <w:t>If the proposed changes require a consequential change to the approved product information of the medicine, these must be approved by the TGA before they can be implemented.</w:t>
      </w:r>
    </w:p>
    <w:p w14:paraId="0B9592AC" w14:textId="77777777" w:rsidR="001525B4" w:rsidRDefault="009F717C" w:rsidP="00B53F88">
      <w:pPr>
        <w:pStyle w:val="Heading4"/>
      </w:pPr>
      <w:bookmarkStart w:id="15" w:name="_Toc10202240"/>
      <w:bookmarkEnd w:id="7"/>
      <w:bookmarkEnd w:id="8"/>
      <w:r w:rsidRPr="00B53F88">
        <w:t>Examples</w:t>
      </w:r>
      <w:bookmarkEnd w:id="15"/>
    </w:p>
    <w:p w14:paraId="04287B6C" w14:textId="77777777" w:rsidR="009F717C" w:rsidRPr="00B53F88" w:rsidRDefault="009F717C" w:rsidP="00B53F88">
      <w:pPr>
        <w:pStyle w:val="Heading5"/>
      </w:pPr>
      <w:r w:rsidRPr="009F717C">
        <w:t>Changes that do not require reporting</w:t>
      </w:r>
    </w:p>
    <w:p w14:paraId="201394C9" w14:textId="77777777" w:rsidR="009F717C" w:rsidRPr="009F717C" w:rsidRDefault="009F717C" w:rsidP="00B53F88">
      <w:pPr>
        <w:pStyle w:val="ListBullet"/>
      </w:pPr>
      <w:r w:rsidRPr="009F717C">
        <w:t xml:space="preserve">Certain minor changes to </w:t>
      </w:r>
      <w:r w:rsidRPr="00B53F88">
        <w:t>labels</w:t>
      </w:r>
      <w:r w:rsidRPr="009F717C">
        <w:t xml:space="preserve"> (e.g. change of typeface and increase in font size of print only)</w:t>
      </w:r>
    </w:p>
    <w:p w14:paraId="2A3F9F7D" w14:textId="77777777" w:rsidR="009F717C" w:rsidRPr="009F717C" w:rsidRDefault="009F717C" w:rsidP="009F717C">
      <w:pPr>
        <w:pStyle w:val="ListBullet"/>
      </w:pPr>
      <w:r w:rsidRPr="009F717C">
        <w:t>Changes to the local handling agent of the active pharmaceutical agent and excipient, including material of biological origin.</w:t>
      </w:r>
    </w:p>
    <w:p w14:paraId="65D6484A" w14:textId="77777777" w:rsidR="009F717C" w:rsidRPr="009F717C" w:rsidRDefault="009F717C" w:rsidP="009F717C">
      <w:pPr>
        <w:pStyle w:val="Heading5"/>
      </w:pPr>
      <w:r w:rsidRPr="009F717C">
        <w:t>Changes that must be reported but do not have to be approved</w:t>
      </w:r>
    </w:p>
    <w:p w14:paraId="68A01C77" w14:textId="77777777" w:rsidR="00CF7F95" w:rsidRPr="00CF7F95" w:rsidRDefault="00CF7F95" w:rsidP="00CF7F95">
      <w:pPr>
        <w:pStyle w:val="ListBullet"/>
      </w:pPr>
      <w:r w:rsidRPr="00CF7F95">
        <w:t>Certain changes to manufacturers (change in manufacturer’s name, or the manufacturing address, provided the actual site location does not change).</w:t>
      </w:r>
    </w:p>
    <w:p w14:paraId="6170FC69" w14:textId="77777777" w:rsidR="00CF7F95" w:rsidRPr="00FB469A" w:rsidRDefault="00CF7F95" w:rsidP="00B53F88">
      <w:r w:rsidRPr="00FB469A">
        <w:t xml:space="preserve">See details of </w:t>
      </w:r>
      <w:r>
        <w:t>variation</w:t>
      </w:r>
      <w:r w:rsidRPr="00FB469A">
        <w:t xml:space="preserve"> types in:</w:t>
      </w:r>
    </w:p>
    <w:p w14:paraId="469039A9" w14:textId="77777777" w:rsidR="00CF7F95" w:rsidRPr="00CF7F95" w:rsidRDefault="0057494E" w:rsidP="00CF7F95">
      <w:pPr>
        <w:numPr>
          <w:ilvl w:val="0"/>
          <w:numId w:val="20"/>
        </w:numPr>
      </w:pPr>
      <w:hyperlink r:id="rId27" w:history="1">
        <w:r w:rsidR="00CF7F95" w:rsidRPr="00BE4F54">
          <w:rPr>
            <w:rStyle w:val="Hyperlink"/>
          </w:rPr>
          <w:t>Variations to prescription medicines</w:t>
        </w:r>
        <w:r w:rsidR="00F753A7" w:rsidRPr="00BE4F54">
          <w:rPr>
            <w:rStyle w:val="Hyperlink"/>
          </w:rPr>
          <w:t xml:space="preserve"> - </w:t>
        </w:r>
        <w:r w:rsidR="00CF7F95" w:rsidRPr="00BE4F54">
          <w:rPr>
            <w:rStyle w:val="Hyperlink"/>
          </w:rPr>
          <w:t>excluding variations requiring evaluation of clinical or bioequivalence data - Appendix 1: Variation types – chemical entities</w:t>
        </w:r>
      </w:hyperlink>
    </w:p>
    <w:p w14:paraId="2600E95B" w14:textId="77777777" w:rsidR="00230FEF" w:rsidRDefault="0057494E" w:rsidP="00230FEF">
      <w:pPr>
        <w:pStyle w:val="ListBullet"/>
        <w:rPr>
          <w:b/>
          <w:bCs/>
        </w:rPr>
      </w:pPr>
      <w:hyperlink r:id="rId28" w:history="1">
        <w:r w:rsidR="00230FEF" w:rsidRPr="00BE4F54">
          <w:rPr>
            <w:rStyle w:val="Hyperlink"/>
          </w:rPr>
          <w:t>Variations to prescription medicines - excluding variations requiring evaluation of clinical or bioequivalence data – biological medicines</w:t>
        </w:r>
      </w:hyperlink>
    </w:p>
    <w:p w14:paraId="0C04FD30" w14:textId="77777777" w:rsidR="009F717C" w:rsidRDefault="00F753A7" w:rsidP="00F753A7">
      <w:pPr>
        <w:pStyle w:val="Heading3"/>
      </w:pPr>
      <w:bookmarkStart w:id="16" w:name="_Separate_and_distinct"/>
      <w:bookmarkStart w:id="17" w:name="_Toc10202241"/>
      <w:bookmarkEnd w:id="16"/>
      <w:r w:rsidRPr="00F753A7">
        <w:lastRenderedPageBreak/>
        <w:t>Separate and distinct goods</w:t>
      </w:r>
      <w:bookmarkEnd w:id="17"/>
    </w:p>
    <w:p w14:paraId="3671C599" w14:textId="77777777" w:rsidR="0085661C" w:rsidRDefault="0085661C" w:rsidP="004A4F23">
      <w:r>
        <w:t>If the variation creates a separate and distinct good, sponsors must apply to the TGA under s. 23 of the Act for approval of a new r</w:t>
      </w:r>
      <w:r w:rsidR="00B53F88">
        <w:t>egistered medicine under s. 25.</w:t>
      </w:r>
    </w:p>
    <w:tbl>
      <w:tblPr>
        <w:tblW w:w="9038" w:type="dxa"/>
        <w:tblLayout w:type="fixed"/>
        <w:tblCellMar>
          <w:left w:w="0" w:type="dxa"/>
          <w:right w:w="0" w:type="dxa"/>
        </w:tblCellMar>
        <w:tblLook w:val="04A0" w:firstRow="1" w:lastRow="0" w:firstColumn="1" w:lastColumn="0" w:noHBand="0" w:noVBand="1"/>
      </w:tblPr>
      <w:tblGrid>
        <w:gridCol w:w="1276"/>
        <w:gridCol w:w="7762"/>
      </w:tblGrid>
      <w:tr w:rsidR="0085661C" w:rsidRPr="00215D48" w14:paraId="1913DA12" w14:textId="77777777" w:rsidTr="00F048E4">
        <w:tc>
          <w:tcPr>
            <w:tcW w:w="1276" w:type="dxa"/>
            <w:vAlign w:val="center"/>
          </w:tcPr>
          <w:p w14:paraId="45B64A09" w14:textId="77777777" w:rsidR="0085661C" w:rsidRPr="00215D48" w:rsidRDefault="0085661C" w:rsidP="00F048E4">
            <w:pPr>
              <w:spacing w:before="0"/>
              <w:rPr>
                <w:sz w:val="20"/>
              </w:rPr>
            </w:pPr>
            <w:r w:rsidRPr="00215D48">
              <w:rPr>
                <w:noProof/>
                <w:sz w:val="20"/>
                <w:lang w:eastAsia="en-AU"/>
              </w:rPr>
              <w:drawing>
                <wp:inline distT="0" distB="0" distL="0" distR="0" wp14:anchorId="207CE8A9" wp14:editId="72F66BA4">
                  <wp:extent cx="487681" cy="487681"/>
                  <wp:effectExtent l="19050" t="0" r="7619" b="0"/>
                  <wp:docPr id="2" name="Picture 0" descr="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fo.png"/>
                          <pic:cNvPicPr/>
                        </pic:nvPicPr>
                        <pic:blipFill>
                          <a:blip r:embed="rId23" cstate="print"/>
                          <a:stretch>
                            <a:fillRect/>
                          </a:stretch>
                        </pic:blipFill>
                        <pic:spPr>
                          <a:xfrm>
                            <a:off x="0" y="0"/>
                            <a:ext cx="487681" cy="487681"/>
                          </a:xfrm>
                          <a:prstGeom prst="rect">
                            <a:avLst/>
                          </a:prstGeom>
                        </pic:spPr>
                      </pic:pic>
                    </a:graphicData>
                  </a:graphic>
                </wp:inline>
              </w:drawing>
            </w:r>
          </w:p>
        </w:tc>
        <w:tc>
          <w:tcPr>
            <w:tcW w:w="7762" w:type="dxa"/>
            <w:shd w:val="clear" w:color="auto" w:fill="EAEAEA"/>
            <w:tcMar>
              <w:top w:w="170" w:type="dxa"/>
              <w:left w:w="170" w:type="dxa"/>
              <w:bottom w:w="170" w:type="dxa"/>
              <w:right w:w="170" w:type="dxa"/>
            </w:tcMar>
            <w:vAlign w:val="center"/>
          </w:tcPr>
          <w:p w14:paraId="7D4311BC" w14:textId="77777777" w:rsidR="0085661C" w:rsidRPr="0085661C" w:rsidRDefault="0085661C" w:rsidP="004A4F23">
            <w:r w:rsidRPr="0085661C">
              <w:t xml:space="preserve">Under s. 16(1) of the </w:t>
            </w:r>
            <w:hyperlink r:id="rId29" w:history="1">
              <w:r w:rsidRPr="0085661C">
                <w:rPr>
                  <w:rStyle w:val="Hyperlink"/>
                  <w:i/>
                </w:rPr>
                <w:t>Therapeutic Goods Act 1989</w:t>
              </w:r>
            </w:hyperlink>
            <w:r w:rsidRPr="0085661C">
              <w:t>, a medicine is a separate and distinct good from a registered medicine if it has:</w:t>
            </w:r>
          </w:p>
          <w:p w14:paraId="110C4AAB" w14:textId="77777777" w:rsidR="0085661C" w:rsidRPr="0085661C" w:rsidRDefault="0085661C" w:rsidP="004A4F23">
            <w:pPr>
              <w:pStyle w:val="ListBullet"/>
            </w:pPr>
            <w:r w:rsidRPr="0085661C">
              <w:t xml:space="preserve">a </w:t>
            </w:r>
            <w:r w:rsidRPr="004A4F23">
              <w:t>different</w:t>
            </w:r>
            <w:r w:rsidRPr="0085661C">
              <w:t xml:space="preserve"> formulation, composition or design specification; or</w:t>
            </w:r>
          </w:p>
          <w:p w14:paraId="1F992EDB" w14:textId="77777777" w:rsidR="0085661C" w:rsidRPr="0085661C" w:rsidRDefault="0085661C" w:rsidP="00B53F88">
            <w:pPr>
              <w:pStyle w:val="ListBullet"/>
            </w:pPr>
            <w:r w:rsidRPr="0085661C">
              <w:t>a different strength or size (disregarding pack size); or</w:t>
            </w:r>
          </w:p>
          <w:p w14:paraId="52A74BE4" w14:textId="77777777" w:rsidR="0085661C" w:rsidRPr="0085661C" w:rsidRDefault="0085661C" w:rsidP="00B53F88">
            <w:pPr>
              <w:pStyle w:val="ListBullet"/>
            </w:pPr>
            <w:r w:rsidRPr="0085661C">
              <w:t>a different dosage form or model; or</w:t>
            </w:r>
          </w:p>
          <w:p w14:paraId="77175CD7" w14:textId="77777777" w:rsidR="0085661C" w:rsidRPr="0085661C" w:rsidRDefault="0085661C" w:rsidP="00B53F88">
            <w:pPr>
              <w:pStyle w:val="ListBullet"/>
            </w:pPr>
            <w:r w:rsidRPr="0085661C">
              <w:t>a different name; or</w:t>
            </w:r>
          </w:p>
          <w:p w14:paraId="56519D57" w14:textId="77777777" w:rsidR="0085661C" w:rsidRPr="0085661C" w:rsidRDefault="0085661C" w:rsidP="00B53F88">
            <w:pPr>
              <w:pStyle w:val="ListBullet"/>
            </w:pPr>
            <w:r w:rsidRPr="0085661C">
              <w:t>different indications;</w:t>
            </w:r>
            <w:r w:rsidRPr="0085661C">
              <w:rPr>
                <w:vertAlign w:val="superscript"/>
              </w:rPr>
              <w:footnoteReference w:id="1"/>
            </w:r>
            <w:r w:rsidRPr="0085661C">
              <w:t xml:space="preserve"> or</w:t>
            </w:r>
          </w:p>
          <w:p w14:paraId="140DE88D" w14:textId="77777777" w:rsidR="0016534B" w:rsidRDefault="0085661C" w:rsidP="00B53F88">
            <w:pPr>
              <w:pStyle w:val="ListBullet"/>
            </w:pPr>
            <w:r w:rsidRPr="0085661C">
              <w:t>different directions for use; or</w:t>
            </w:r>
          </w:p>
          <w:p w14:paraId="749F29CF" w14:textId="77777777" w:rsidR="0085661C" w:rsidRPr="00215D48" w:rsidRDefault="0085661C" w:rsidP="00B53F88">
            <w:pPr>
              <w:pStyle w:val="ListBullet"/>
            </w:pPr>
            <w:r w:rsidRPr="0085661C">
              <w:t>a different type of container (disregarding container size).</w:t>
            </w:r>
          </w:p>
        </w:tc>
      </w:tr>
    </w:tbl>
    <w:p w14:paraId="29A19F5C" w14:textId="77777777" w:rsidR="00B54A42" w:rsidRPr="00B54A42" w:rsidRDefault="00B54A42" w:rsidP="004A4F23">
      <w:r w:rsidRPr="00B54A42">
        <w:t xml:space="preserve">If a variation creates a separate and distinct good, the ‘new’ good must be separately entered in the ARTG. A new AUST R number will be provided upon approval, where the </w:t>
      </w:r>
      <w:hyperlink r:id="rId30" w:history="1">
        <w:r w:rsidRPr="00B54A42">
          <w:rPr>
            <w:rStyle w:val="Hyperlink"/>
          </w:rPr>
          <w:t>Therapeutic Goods (Groups) Order No. 1 of 2001</w:t>
        </w:r>
      </w:hyperlink>
      <w:r w:rsidRPr="00B54A42">
        <w:t xml:space="preserve"> does not apply.</w:t>
      </w:r>
    </w:p>
    <w:p w14:paraId="386B5674" w14:textId="77777777" w:rsidR="00B54A42" w:rsidRPr="00B54A42" w:rsidRDefault="00B54A42" w:rsidP="004A4F23">
      <w:r w:rsidRPr="00B54A42">
        <w:t>Variations resulting in separate and distinct prescription medicines cannot be implemented without prior approval by the TGA. Doing so constitutes supply of an unregistered product. It is an offence under s.19B of the Act to supply unregistered prescription medicines.</w:t>
      </w:r>
    </w:p>
    <w:p w14:paraId="08E0654E" w14:textId="77777777" w:rsidR="009F717C" w:rsidRDefault="00375C5C" w:rsidP="00375C5C">
      <w:pPr>
        <w:pStyle w:val="Heading4"/>
      </w:pPr>
      <w:bookmarkStart w:id="18" w:name="_Toc10202242"/>
      <w:r w:rsidRPr="00375C5C">
        <w:t>Retaining an existing AUST R number</w:t>
      </w:r>
      <w:bookmarkEnd w:id="18"/>
    </w:p>
    <w:p w14:paraId="239B078D" w14:textId="77777777" w:rsidR="00375C5C" w:rsidRPr="00D72764" w:rsidRDefault="00375C5C" w:rsidP="00B53F88">
      <w:r w:rsidRPr="00D72764">
        <w:t xml:space="preserve">Depending on the nature of the variation, the provisions of the </w:t>
      </w:r>
      <w:hyperlink r:id="rId31" w:history="1">
        <w:r w:rsidRPr="00FF18BF">
          <w:rPr>
            <w:color w:val="0000FF"/>
            <w:u w:val="single"/>
          </w:rPr>
          <w:t xml:space="preserve">Therapeutic </w:t>
        </w:r>
        <w:r>
          <w:rPr>
            <w:color w:val="0000FF"/>
            <w:u w:val="single"/>
          </w:rPr>
          <w:t>G</w:t>
        </w:r>
        <w:r w:rsidRPr="00FF18BF">
          <w:rPr>
            <w:color w:val="0000FF"/>
            <w:u w:val="single"/>
          </w:rPr>
          <w:t>oods (Groups) Order No. 1 of 2001</w:t>
        </w:r>
      </w:hyperlink>
      <w:r>
        <w:t xml:space="preserve"> </w:t>
      </w:r>
      <w:r w:rsidRPr="00D72764">
        <w:t>may mean that the old AUST R number can be retained for the new product.</w:t>
      </w:r>
    </w:p>
    <w:p w14:paraId="0D7D7821" w14:textId="77777777" w:rsidR="00375C5C" w:rsidRDefault="00375C5C" w:rsidP="00375C5C">
      <w:r w:rsidRPr="00D72764">
        <w:t>If the new product keeps the old AUST R number because the Groups Order applies, the sponsor should advise the TGA when supply of the new product commences, by email to</w:t>
      </w:r>
      <w:r w:rsidR="00B53F88">
        <w:t xml:space="preserve"> </w:t>
      </w:r>
      <w:hyperlink r:id="rId32" w:history="1">
        <w:r w:rsidRPr="00864316">
          <w:rPr>
            <w:rStyle w:val="Hyperlink"/>
          </w:rPr>
          <w:t>A</w:t>
        </w:r>
        <w:r w:rsidRPr="004A4F6F">
          <w:rPr>
            <w:rStyle w:val="Hyperlink"/>
          </w:rPr>
          <w:t>pplication.support.team@health.gov.au</w:t>
        </w:r>
      </w:hyperlink>
      <w:r>
        <w:t>.</w:t>
      </w:r>
    </w:p>
    <w:p w14:paraId="21763D8B" w14:textId="77777777" w:rsidR="00375C5C" w:rsidRPr="00D72764" w:rsidRDefault="00375C5C" w:rsidP="00B53F88">
      <w:r>
        <w:t>Once supply of the new product begins, supply of the old product must cease.</w:t>
      </w:r>
    </w:p>
    <w:p w14:paraId="5023AFC6" w14:textId="77777777" w:rsidR="00375C5C" w:rsidRDefault="00375C5C" w:rsidP="00375C5C">
      <w:pPr>
        <w:pStyle w:val="Heading4"/>
      </w:pPr>
      <w:bookmarkStart w:id="19" w:name="_Toc10202243"/>
      <w:r w:rsidRPr="00375C5C">
        <w:t>New AUST R number</w:t>
      </w:r>
      <w:bookmarkEnd w:id="19"/>
    </w:p>
    <w:p w14:paraId="041B1434" w14:textId="77777777" w:rsidR="00375C5C" w:rsidRPr="00D72764" w:rsidRDefault="00375C5C" w:rsidP="00B53F88">
      <w:r w:rsidRPr="00D72764">
        <w:t xml:space="preserve">For variations for which the provisions of the Groups Order </w:t>
      </w:r>
      <w:r w:rsidRPr="00D72764">
        <w:rPr>
          <w:b/>
        </w:rPr>
        <w:t>do not</w:t>
      </w:r>
      <w:r w:rsidRPr="00D72764">
        <w:t xml:space="preserve"> apply, the sponsor should cancel the registration of the old product if they no longer intend to supply it. Sponsors should </w:t>
      </w:r>
      <w:r>
        <w:t>discuss with the TGA</w:t>
      </w:r>
      <w:r w:rsidRPr="00D72764">
        <w:t xml:space="preserve"> if they </w:t>
      </w:r>
      <w:r>
        <w:t>intend</w:t>
      </w:r>
      <w:r w:rsidRPr="00D72764">
        <w:t xml:space="preserve"> to supply the old product and the new product concurrently. If the sponsor decides not to supply the new product, they should notify the TGA.</w:t>
      </w:r>
    </w:p>
    <w:p w14:paraId="1DE2B721" w14:textId="77777777" w:rsidR="00375C5C" w:rsidRDefault="00497580" w:rsidP="00497580">
      <w:pPr>
        <w:pStyle w:val="Heading3"/>
      </w:pPr>
      <w:bookmarkStart w:id="20" w:name="_Statutory_timeframes"/>
      <w:bookmarkStart w:id="21" w:name="_Toc5089261"/>
      <w:bookmarkStart w:id="22" w:name="_Toc10202244"/>
      <w:bookmarkEnd w:id="20"/>
      <w:r w:rsidRPr="00497580">
        <w:t>Statutory timeframes</w:t>
      </w:r>
      <w:bookmarkEnd w:id="21"/>
      <w:bookmarkEnd w:id="22"/>
    </w:p>
    <w:p w14:paraId="1D983539" w14:textId="77777777" w:rsidR="003D4265" w:rsidRDefault="003D4265" w:rsidP="004A4F23">
      <w:r w:rsidRPr="00AD3E70">
        <w:t xml:space="preserve">The </w:t>
      </w:r>
      <w:hyperlink r:id="rId33" w:history="1">
        <w:r w:rsidRPr="00B53F88">
          <w:rPr>
            <w:rStyle w:val="Hyperlink"/>
            <w:i/>
          </w:rPr>
          <w:t>Therapeutic Goods Regulations 1990</w:t>
        </w:r>
      </w:hyperlink>
      <w:r w:rsidRPr="00AD3E70">
        <w:t xml:space="preserve"> specify statutory processing times for requests and applications relating to prescription medicines. The specified timeframe is known as ‘the clock’.</w:t>
      </w:r>
    </w:p>
    <w:p w14:paraId="733E8314" w14:textId="77777777" w:rsidR="003D4265" w:rsidRDefault="003D4265" w:rsidP="004A4F23">
      <w:r w:rsidRPr="00AD3E70">
        <w:lastRenderedPageBreak/>
        <w:t>The length of time depends on the level of assessment required—for example, evaluation of clinical, nonclinical, bioequivalence and quality data has a longer timeframe than an assessment of quality data only or verificatio</w:t>
      </w:r>
      <w:r w:rsidR="00B53F88">
        <w:t>n of a self-assessable request.</w:t>
      </w:r>
    </w:p>
    <w:tbl>
      <w:tblPr>
        <w:tblStyle w:val="TableTGAblue1"/>
        <w:tblW w:w="0" w:type="auto"/>
        <w:tblLook w:val="04A0" w:firstRow="1" w:lastRow="0" w:firstColumn="1" w:lastColumn="0" w:noHBand="0" w:noVBand="1"/>
        <w:tblDescription w:val="This table sets out the statutory timeframes. It contains 3 heading columns: Application category, level of assessment and timeframe (working days). "/>
      </w:tblPr>
      <w:tblGrid>
        <w:gridCol w:w="3017"/>
        <w:gridCol w:w="3022"/>
        <w:gridCol w:w="3011"/>
      </w:tblGrid>
      <w:tr w:rsidR="00D10AF3" w:rsidRPr="00D10AF3" w14:paraId="761EA009" w14:textId="77777777" w:rsidTr="00F048E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5" w:type="dxa"/>
          </w:tcPr>
          <w:p w14:paraId="40377905" w14:textId="77777777" w:rsidR="00D10AF3" w:rsidRPr="00D10AF3" w:rsidRDefault="00D10AF3" w:rsidP="00D10AF3">
            <w:r w:rsidRPr="00D10AF3">
              <w:t>Application category</w:t>
            </w:r>
          </w:p>
        </w:tc>
        <w:tc>
          <w:tcPr>
            <w:tcW w:w="3095" w:type="dxa"/>
          </w:tcPr>
          <w:p w14:paraId="2B2A9E3E" w14:textId="77777777" w:rsidR="00D10AF3" w:rsidRPr="00D10AF3" w:rsidRDefault="00D10AF3" w:rsidP="00D10AF3">
            <w:pPr>
              <w:cnfStyle w:val="100000000000" w:firstRow="1" w:lastRow="0" w:firstColumn="0" w:lastColumn="0" w:oddVBand="0" w:evenVBand="0" w:oddHBand="0" w:evenHBand="0" w:firstRowFirstColumn="0" w:firstRowLastColumn="0" w:lastRowFirstColumn="0" w:lastRowLastColumn="0"/>
            </w:pPr>
            <w:r w:rsidRPr="00D10AF3">
              <w:t>Level of assessment</w:t>
            </w:r>
          </w:p>
        </w:tc>
        <w:tc>
          <w:tcPr>
            <w:tcW w:w="3096" w:type="dxa"/>
          </w:tcPr>
          <w:p w14:paraId="1D0579CE" w14:textId="77777777" w:rsidR="00D10AF3" w:rsidRPr="00D10AF3" w:rsidRDefault="00D10AF3" w:rsidP="00D10AF3">
            <w:pPr>
              <w:cnfStyle w:val="100000000000" w:firstRow="1" w:lastRow="0" w:firstColumn="0" w:lastColumn="0" w:oddVBand="0" w:evenVBand="0" w:oddHBand="0" w:evenHBand="0" w:firstRowFirstColumn="0" w:firstRowLastColumn="0" w:lastRowFirstColumn="0" w:lastRowLastColumn="0"/>
            </w:pPr>
            <w:r w:rsidRPr="00D10AF3">
              <w:t>Timeframe (working days)</w:t>
            </w:r>
            <w:r w:rsidR="00865656">
              <w:rPr>
                <w:rStyle w:val="FootnoteReference"/>
              </w:rPr>
              <w:footnoteReference w:id="2"/>
            </w:r>
          </w:p>
        </w:tc>
      </w:tr>
      <w:tr w:rsidR="00D10AF3" w:rsidRPr="00D10AF3" w14:paraId="750796C7" w14:textId="77777777" w:rsidTr="00F048E4">
        <w:tc>
          <w:tcPr>
            <w:cnfStyle w:val="001000000000" w:firstRow="0" w:lastRow="0" w:firstColumn="1" w:lastColumn="0" w:oddVBand="0" w:evenVBand="0" w:oddHBand="0" w:evenHBand="0" w:firstRowFirstColumn="0" w:firstRowLastColumn="0" w:lastRowFirstColumn="0" w:lastRowLastColumn="0"/>
            <w:tcW w:w="3095" w:type="dxa"/>
          </w:tcPr>
          <w:p w14:paraId="0FEE6F0F" w14:textId="77777777" w:rsidR="00D10AF3" w:rsidRPr="00D10AF3" w:rsidRDefault="0057494E" w:rsidP="00D10AF3">
            <w:hyperlink w:anchor="_Corrections_to_an_1" w:history="1">
              <w:r w:rsidR="00D10AF3" w:rsidRPr="00D10AF3">
                <w:rPr>
                  <w:color w:val="0000FF"/>
                  <w:u w:val="single"/>
                </w:rPr>
                <w:t>Correction to, or completion of, an ARTG entry</w:t>
              </w:r>
            </w:hyperlink>
          </w:p>
        </w:tc>
        <w:tc>
          <w:tcPr>
            <w:tcW w:w="3095" w:type="dxa"/>
          </w:tcPr>
          <w:p w14:paraId="49275A9B" w14:textId="77777777" w:rsidR="00D10AF3" w:rsidRPr="00D10AF3" w:rsidRDefault="00D10AF3" w:rsidP="00D10AF3">
            <w:pPr>
              <w:cnfStyle w:val="000000000000" w:firstRow="0" w:lastRow="0" w:firstColumn="0" w:lastColumn="0" w:oddVBand="0" w:evenVBand="0" w:oddHBand="0" w:evenHBand="0" w:firstRowFirstColumn="0" w:firstRowLastColumn="0" w:lastRowFirstColumn="0" w:lastRowLastColumn="0"/>
            </w:pPr>
            <w:r w:rsidRPr="00D10AF3">
              <w:t>Verification of details provided by the sponsor</w:t>
            </w:r>
          </w:p>
        </w:tc>
        <w:tc>
          <w:tcPr>
            <w:tcW w:w="3096" w:type="dxa"/>
          </w:tcPr>
          <w:p w14:paraId="05CBC314" w14:textId="77777777" w:rsidR="00D10AF3" w:rsidRPr="00D10AF3" w:rsidRDefault="00D10AF3" w:rsidP="00D10AF3">
            <w:pPr>
              <w:cnfStyle w:val="000000000000" w:firstRow="0" w:lastRow="0" w:firstColumn="0" w:lastColumn="0" w:oddVBand="0" w:evenVBand="0" w:oddHBand="0" w:evenHBand="0" w:firstRowFirstColumn="0" w:firstRowLastColumn="0" w:lastRowFirstColumn="0" w:lastRowLastColumn="0"/>
            </w:pPr>
            <w:r w:rsidRPr="00D10AF3">
              <w:t>No statutory timeframe (TGA processes as soon as possible)</w:t>
            </w:r>
          </w:p>
        </w:tc>
      </w:tr>
      <w:tr w:rsidR="00D10AF3" w:rsidRPr="00D10AF3" w14:paraId="1BF99706" w14:textId="77777777" w:rsidTr="00F048E4">
        <w:tc>
          <w:tcPr>
            <w:cnfStyle w:val="001000000000" w:firstRow="0" w:lastRow="0" w:firstColumn="1" w:lastColumn="0" w:oddVBand="0" w:evenVBand="0" w:oddHBand="0" w:evenHBand="0" w:firstRowFirstColumn="0" w:firstRowLastColumn="0" w:lastRowFirstColumn="0" w:lastRowLastColumn="0"/>
            <w:tcW w:w="3095" w:type="dxa"/>
          </w:tcPr>
          <w:p w14:paraId="3F303931" w14:textId="77777777" w:rsidR="00D10AF3" w:rsidRPr="00D10AF3" w:rsidRDefault="0057494E" w:rsidP="00D10AF3">
            <w:hyperlink w:anchor="_Notifications" w:history="1">
              <w:r w:rsidR="00D10AF3" w:rsidRPr="00B15F4D">
                <w:rPr>
                  <w:rStyle w:val="Hyperlink"/>
                </w:rPr>
                <w:t>Notification</w:t>
              </w:r>
            </w:hyperlink>
            <w:r w:rsidR="00D10AF3" w:rsidRPr="00D10AF3">
              <w:t xml:space="preserve"> request to vary an ARTG entry</w:t>
            </w:r>
          </w:p>
        </w:tc>
        <w:tc>
          <w:tcPr>
            <w:tcW w:w="3095" w:type="dxa"/>
          </w:tcPr>
          <w:p w14:paraId="380EF208" w14:textId="77777777" w:rsidR="00D10AF3" w:rsidRPr="00D10AF3" w:rsidRDefault="00D10AF3" w:rsidP="00D10AF3">
            <w:pPr>
              <w:cnfStyle w:val="000000000000" w:firstRow="0" w:lastRow="0" w:firstColumn="0" w:lastColumn="0" w:oddVBand="0" w:evenVBand="0" w:oddHBand="0" w:evenHBand="0" w:firstRowFirstColumn="0" w:firstRowLastColumn="0" w:lastRowFirstColumn="0" w:lastRowLastColumn="0"/>
            </w:pPr>
            <w:r w:rsidRPr="00D10AF3">
              <w:t>No assessment</w:t>
            </w:r>
          </w:p>
        </w:tc>
        <w:tc>
          <w:tcPr>
            <w:tcW w:w="3096" w:type="dxa"/>
          </w:tcPr>
          <w:p w14:paraId="3067DF98" w14:textId="77777777" w:rsidR="00D10AF3" w:rsidRPr="00D10AF3" w:rsidRDefault="00D10AF3" w:rsidP="00D10AF3">
            <w:pPr>
              <w:cnfStyle w:val="000000000000" w:firstRow="0" w:lastRow="0" w:firstColumn="0" w:lastColumn="0" w:oddVBand="0" w:evenVBand="0" w:oddHBand="0" w:evenHBand="0" w:firstRowFirstColumn="0" w:firstRowLastColumn="0" w:lastRowFirstColumn="0" w:lastRowLastColumn="0"/>
            </w:pPr>
            <w:r w:rsidRPr="00D10AF3">
              <w:t>No statutory timeframe (automatic approval on submission of e-form and full payment of fee)</w:t>
            </w:r>
          </w:p>
        </w:tc>
      </w:tr>
      <w:tr w:rsidR="00D10AF3" w:rsidRPr="00D10AF3" w14:paraId="5832E5BD" w14:textId="77777777" w:rsidTr="00F048E4">
        <w:tc>
          <w:tcPr>
            <w:cnfStyle w:val="001000000000" w:firstRow="0" w:lastRow="0" w:firstColumn="1" w:lastColumn="0" w:oddVBand="0" w:evenVBand="0" w:oddHBand="0" w:evenHBand="0" w:firstRowFirstColumn="0" w:firstRowLastColumn="0" w:lastRowFirstColumn="0" w:lastRowLastColumn="0"/>
            <w:tcW w:w="3095" w:type="dxa"/>
          </w:tcPr>
          <w:p w14:paraId="51237B9F" w14:textId="77777777" w:rsidR="00D10AF3" w:rsidRPr="00D10AF3" w:rsidRDefault="0057494E" w:rsidP="00D10AF3">
            <w:pPr>
              <w:rPr>
                <w:highlight w:val="yellow"/>
              </w:rPr>
            </w:pPr>
            <w:hyperlink w:anchor="_Self-assessable_requests_(SARs)" w:history="1">
              <w:r w:rsidR="00D10AF3" w:rsidRPr="00D10AF3">
                <w:rPr>
                  <w:color w:val="0000FF"/>
                  <w:u w:val="single"/>
                </w:rPr>
                <w:t>Self-assessable request</w:t>
              </w:r>
            </w:hyperlink>
            <w:r w:rsidR="00D10AF3" w:rsidRPr="00D10AF3">
              <w:t xml:space="preserve"> to vary an ARTG entry</w:t>
            </w:r>
          </w:p>
        </w:tc>
        <w:tc>
          <w:tcPr>
            <w:tcW w:w="3095" w:type="dxa"/>
          </w:tcPr>
          <w:p w14:paraId="594A76AD" w14:textId="77777777" w:rsidR="00D10AF3" w:rsidRPr="00D10AF3" w:rsidRDefault="00D10AF3" w:rsidP="00D10AF3">
            <w:pPr>
              <w:cnfStyle w:val="000000000000" w:firstRow="0" w:lastRow="0" w:firstColumn="0" w:lastColumn="0" w:oddVBand="0" w:evenVBand="0" w:oddHBand="0" w:evenHBand="0" w:firstRowFirstColumn="0" w:firstRowLastColumn="0" w:lastRowFirstColumn="0" w:lastRowLastColumn="0"/>
              <w:rPr>
                <w:highlight w:val="yellow"/>
              </w:rPr>
            </w:pPr>
            <w:r w:rsidRPr="00D10AF3">
              <w:t>Verification of details provided by the sponsor</w:t>
            </w:r>
          </w:p>
        </w:tc>
        <w:tc>
          <w:tcPr>
            <w:tcW w:w="3096" w:type="dxa"/>
          </w:tcPr>
          <w:p w14:paraId="18B7A49D" w14:textId="77777777" w:rsidR="00D10AF3" w:rsidRPr="00D10AF3" w:rsidRDefault="00D10AF3" w:rsidP="00D10AF3">
            <w:pPr>
              <w:cnfStyle w:val="000000000000" w:firstRow="0" w:lastRow="0" w:firstColumn="0" w:lastColumn="0" w:oddVBand="0" w:evenVBand="0" w:oddHBand="0" w:evenHBand="0" w:firstRowFirstColumn="0" w:firstRowLastColumn="0" w:lastRowFirstColumn="0" w:lastRowLastColumn="0"/>
              <w:rPr>
                <w:highlight w:val="yellow"/>
              </w:rPr>
            </w:pPr>
            <w:r w:rsidRPr="00D10AF3">
              <w:t>45 working days</w:t>
            </w:r>
          </w:p>
        </w:tc>
      </w:tr>
      <w:tr w:rsidR="00D10AF3" w:rsidRPr="00D10AF3" w14:paraId="738A6908" w14:textId="77777777" w:rsidTr="00F048E4">
        <w:tc>
          <w:tcPr>
            <w:cnfStyle w:val="001000000000" w:firstRow="0" w:lastRow="0" w:firstColumn="1" w:lastColumn="0" w:oddVBand="0" w:evenVBand="0" w:oddHBand="0" w:evenHBand="0" w:firstRowFirstColumn="0" w:firstRowLastColumn="0" w:lastRowFirstColumn="0" w:lastRowLastColumn="0"/>
            <w:tcW w:w="3095" w:type="dxa"/>
          </w:tcPr>
          <w:p w14:paraId="33A4612C" w14:textId="77777777" w:rsidR="00D10AF3" w:rsidRPr="00D10AF3" w:rsidRDefault="0057494E" w:rsidP="00D10AF3">
            <w:pPr>
              <w:rPr>
                <w:highlight w:val="yellow"/>
              </w:rPr>
            </w:pPr>
            <w:hyperlink w:anchor="_Safety-related_requests_(SRR)" w:history="1">
              <w:r w:rsidR="00D10AF3" w:rsidRPr="00D10AF3">
                <w:rPr>
                  <w:color w:val="0000FF"/>
                  <w:u w:val="single"/>
                </w:rPr>
                <w:t>Safety-related request</w:t>
              </w:r>
            </w:hyperlink>
          </w:p>
        </w:tc>
        <w:tc>
          <w:tcPr>
            <w:tcW w:w="3095" w:type="dxa"/>
          </w:tcPr>
          <w:p w14:paraId="4430A2D6" w14:textId="77777777" w:rsidR="00D10AF3" w:rsidRPr="00D10AF3" w:rsidRDefault="00D10AF3" w:rsidP="00D10AF3">
            <w:pPr>
              <w:cnfStyle w:val="000000000000" w:firstRow="0" w:lastRow="0" w:firstColumn="0" w:lastColumn="0" w:oddVBand="0" w:evenVBand="0" w:oddHBand="0" w:evenHBand="0" w:firstRowFirstColumn="0" w:firstRowLastColumn="0" w:lastRowFirstColumn="0" w:lastRowLastColumn="0"/>
              <w:rPr>
                <w:highlight w:val="yellow"/>
              </w:rPr>
            </w:pPr>
            <w:r w:rsidRPr="00D10AF3">
              <w:t>Verification of details provided by the sponsor</w:t>
            </w:r>
          </w:p>
        </w:tc>
        <w:tc>
          <w:tcPr>
            <w:tcW w:w="3096" w:type="dxa"/>
          </w:tcPr>
          <w:p w14:paraId="18E3BB05" w14:textId="77777777" w:rsidR="00D10AF3" w:rsidRPr="00D10AF3" w:rsidRDefault="00D10AF3" w:rsidP="00D10AF3">
            <w:pPr>
              <w:cnfStyle w:val="000000000000" w:firstRow="0" w:lastRow="0" w:firstColumn="0" w:lastColumn="0" w:oddVBand="0" w:evenVBand="0" w:oddHBand="0" w:evenHBand="0" w:firstRowFirstColumn="0" w:firstRowLastColumn="0" w:lastRowFirstColumn="0" w:lastRowLastColumn="0"/>
              <w:rPr>
                <w:highlight w:val="yellow"/>
              </w:rPr>
            </w:pPr>
            <w:r w:rsidRPr="00D10AF3">
              <w:t>No statutory timeframe (TGA processes as soon as possible)</w:t>
            </w:r>
          </w:p>
        </w:tc>
      </w:tr>
      <w:tr w:rsidR="00D10AF3" w:rsidRPr="00D10AF3" w14:paraId="6D467223" w14:textId="77777777" w:rsidTr="00F048E4">
        <w:tc>
          <w:tcPr>
            <w:cnfStyle w:val="001000000000" w:firstRow="0" w:lastRow="0" w:firstColumn="1" w:lastColumn="0" w:oddVBand="0" w:evenVBand="0" w:oddHBand="0" w:evenHBand="0" w:firstRowFirstColumn="0" w:firstRowLastColumn="0" w:lastRowFirstColumn="0" w:lastRowLastColumn="0"/>
            <w:tcW w:w="3095" w:type="dxa"/>
          </w:tcPr>
          <w:p w14:paraId="1FEC5D48" w14:textId="77777777" w:rsidR="00D10AF3" w:rsidRPr="00D10AF3" w:rsidRDefault="00D10AF3" w:rsidP="00D10AF3">
            <w:pPr>
              <w:rPr>
                <w:highlight w:val="yellow"/>
              </w:rPr>
            </w:pPr>
            <w:r w:rsidRPr="00D10AF3">
              <w:rPr>
                <w:color w:val="0000FF"/>
                <w:u w:val="single"/>
              </w:rPr>
              <w:t xml:space="preserve">Category 3 </w:t>
            </w:r>
            <w:r w:rsidR="001F0E98">
              <w:rPr>
                <w:color w:val="0000FF"/>
                <w:u w:val="single"/>
              </w:rPr>
              <w:t>request</w:t>
            </w:r>
            <w:r w:rsidRPr="00D10AF3">
              <w:t>: variation to ARTG entry</w:t>
            </w:r>
          </w:p>
        </w:tc>
        <w:tc>
          <w:tcPr>
            <w:tcW w:w="3095" w:type="dxa"/>
          </w:tcPr>
          <w:p w14:paraId="49C352EC" w14:textId="77777777" w:rsidR="00D10AF3" w:rsidRPr="00D10AF3" w:rsidRDefault="00D10AF3" w:rsidP="00D10AF3">
            <w:pPr>
              <w:cnfStyle w:val="000000000000" w:firstRow="0" w:lastRow="0" w:firstColumn="0" w:lastColumn="0" w:oddVBand="0" w:evenVBand="0" w:oddHBand="0" w:evenHBand="0" w:firstRowFirstColumn="0" w:firstRowLastColumn="0" w:lastRowFirstColumn="0" w:lastRowLastColumn="0"/>
              <w:rPr>
                <w:highlight w:val="yellow"/>
              </w:rPr>
            </w:pPr>
            <w:r w:rsidRPr="00D10AF3">
              <w:t>Evaluation of quality data only</w:t>
            </w:r>
          </w:p>
        </w:tc>
        <w:tc>
          <w:tcPr>
            <w:tcW w:w="3096" w:type="dxa"/>
          </w:tcPr>
          <w:p w14:paraId="6550F150" w14:textId="77777777" w:rsidR="00D10AF3" w:rsidRPr="00D10AF3" w:rsidRDefault="00D10AF3" w:rsidP="00D10AF3">
            <w:pPr>
              <w:cnfStyle w:val="000000000000" w:firstRow="0" w:lastRow="0" w:firstColumn="0" w:lastColumn="0" w:oddVBand="0" w:evenVBand="0" w:oddHBand="0" w:evenHBand="0" w:firstRowFirstColumn="0" w:firstRowLastColumn="0" w:lastRowFirstColumn="0" w:lastRowLastColumn="0"/>
              <w:rPr>
                <w:highlight w:val="yellow"/>
              </w:rPr>
            </w:pPr>
            <w:r w:rsidRPr="00D10AF3">
              <w:t>45 working days</w:t>
            </w:r>
          </w:p>
        </w:tc>
      </w:tr>
      <w:tr w:rsidR="00D10AF3" w:rsidRPr="00D10AF3" w14:paraId="2CBDA78C" w14:textId="77777777" w:rsidTr="00F048E4">
        <w:tc>
          <w:tcPr>
            <w:cnfStyle w:val="001000000000" w:firstRow="0" w:lastRow="0" w:firstColumn="1" w:lastColumn="0" w:oddVBand="0" w:evenVBand="0" w:oddHBand="0" w:evenHBand="0" w:firstRowFirstColumn="0" w:firstRowLastColumn="0" w:lastRowFirstColumn="0" w:lastRowLastColumn="0"/>
            <w:tcW w:w="3095" w:type="dxa"/>
          </w:tcPr>
          <w:p w14:paraId="42958E05" w14:textId="77777777" w:rsidR="00D10AF3" w:rsidRPr="00D10AF3" w:rsidRDefault="0057494E" w:rsidP="00D10AF3">
            <w:pPr>
              <w:rPr>
                <w:highlight w:val="yellow"/>
              </w:rPr>
            </w:pPr>
            <w:hyperlink w:anchor="_SRRs_requiring_evaluation" w:history="1">
              <w:r w:rsidR="00D10AF3" w:rsidRPr="00D10AF3">
                <w:rPr>
                  <w:color w:val="0000FF"/>
                  <w:u w:val="single"/>
                </w:rPr>
                <w:t>Safety-related request with data</w:t>
              </w:r>
            </w:hyperlink>
          </w:p>
        </w:tc>
        <w:tc>
          <w:tcPr>
            <w:tcW w:w="3095" w:type="dxa"/>
          </w:tcPr>
          <w:p w14:paraId="7E761F78" w14:textId="77777777" w:rsidR="00D10AF3" w:rsidRPr="00D10AF3" w:rsidRDefault="00D10AF3" w:rsidP="00D10AF3">
            <w:pPr>
              <w:cnfStyle w:val="000000000000" w:firstRow="0" w:lastRow="0" w:firstColumn="0" w:lastColumn="0" w:oddVBand="0" w:evenVBand="0" w:oddHBand="0" w:evenHBand="0" w:firstRowFirstColumn="0" w:firstRowLastColumn="0" w:lastRowFirstColumn="0" w:lastRowLastColumn="0"/>
              <w:rPr>
                <w:highlight w:val="yellow"/>
              </w:rPr>
            </w:pPr>
            <w:r w:rsidRPr="00D10AF3">
              <w:t>Evaluation of data submitted to the TGA</w:t>
            </w:r>
          </w:p>
        </w:tc>
        <w:tc>
          <w:tcPr>
            <w:tcW w:w="3096" w:type="dxa"/>
          </w:tcPr>
          <w:p w14:paraId="14A22DA4" w14:textId="77777777" w:rsidR="00D10AF3" w:rsidRPr="00D10AF3" w:rsidRDefault="00D10AF3" w:rsidP="00D10AF3">
            <w:pPr>
              <w:cnfStyle w:val="000000000000" w:firstRow="0" w:lastRow="0" w:firstColumn="0" w:lastColumn="0" w:oddVBand="0" w:evenVBand="0" w:oddHBand="0" w:evenHBand="0" w:firstRowFirstColumn="0" w:firstRowLastColumn="0" w:lastRowFirstColumn="0" w:lastRowLastColumn="0"/>
              <w:rPr>
                <w:highlight w:val="yellow"/>
              </w:rPr>
            </w:pPr>
            <w:r w:rsidRPr="00D10AF3">
              <w:t>No statutory timeframe (TGA processes as soon as possible)</w:t>
            </w:r>
          </w:p>
        </w:tc>
      </w:tr>
      <w:tr w:rsidR="00D10AF3" w:rsidRPr="00D10AF3" w14:paraId="621DD407" w14:textId="77777777" w:rsidTr="00F048E4">
        <w:tc>
          <w:tcPr>
            <w:cnfStyle w:val="001000000000" w:firstRow="0" w:lastRow="0" w:firstColumn="1" w:lastColumn="0" w:oddVBand="0" w:evenVBand="0" w:oddHBand="0" w:evenHBand="0" w:firstRowFirstColumn="0" w:firstRowLastColumn="0" w:lastRowFirstColumn="0" w:lastRowLastColumn="0"/>
            <w:tcW w:w="3095" w:type="dxa"/>
          </w:tcPr>
          <w:p w14:paraId="02D17DD4" w14:textId="77777777" w:rsidR="00D10AF3" w:rsidRPr="00D10AF3" w:rsidRDefault="00D10AF3" w:rsidP="00D10AF3">
            <w:pPr>
              <w:rPr>
                <w:highlight w:val="yellow"/>
              </w:rPr>
            </w:pPr>
            <w:r w:rsidRPr="00D10AF3">
              <w:t xml:space="preserve">Category 1 application: variation to ARTG entry with consequential PI change. </w:t>
            </w:r>
          </w:p>
        </w:tc>
        <w:tc>
          <w:tcPr>
            <w:tcW w:w="3095" w:type="dxa"/>
          </w:tcPr>
          <w:p w14:paraId="39D4EAEF" w14:textId="77777777" w:rsidR="00D10AF3" w:rsidRPr="00D10AF3" w:rsidRDefault="00D10AF3" w:rsidP="004A4F23">
            <w:pPr>
              <w:cnfStyle w:val="000000000000" w:firstRow="0" w:lastRow="0" w:firstColumn="0" w:lastColumn="0" w:oddVBand="0" w:evenVBand="0" w:oddHBand="0" w:evenHBand="0" w:firstRowFirstColumn="0" w:firstRowLastColumn="0" w:lastRowFirstColumn="0" w:lastRowLastColumn="0"/>
            </w:pPr>
            <w:r w:rsidRPr="00D10AF3">
              <w:t>Full evaluation (combination of clinical, nonclinical, bioequivalence and quality data)</w:t>
            </w:r>
          </w:p>
        </w:tc>
        <w:tc>
          <w:tcPr>
            <w:tcW w:w="3096" w:type="dxa"/>
          </w:tcPr>
          <w:p w14:paraId="3845A027" w14:textId="77777777" w:rsidR="00D10AF3" w:rsidRPr="00D10AF3" w:rsidRDefault="00D10AF3" w:rsidP="00D10AF3">
            <w:pPr>
              <w:cnfStyle w:val="000000000000" w:firstRow="0" w:lastRow="0" w:firstColumn="0" w:lastColumn="0" w:oddVBand="0" w:evenVBand="0" w:oddHBand="0" w:evenHBand="0" w:firstRowFirstColumn="0" w:firstRowLastColumn="0" w:lastRowFirstColumn="0" w:lastRowLastColumn="0"/>
            </w:pPr>
            <w:r w:rsidRPr="00D10AF3">
              <w:t xml:space="preserve">See the </w:t>
            </w:r>
            <w:hyperlink r:id="rId34" w:history="1">
              <w:r w:rsidRPr="00D10AF3">
                <w:rPr>
                  <w:color w:val="0000FF"/>
                  <w:u w:val="single"/>
                </w:rPr>
                <w:t>Prescription Medicines Registration process</w:t>
              </w:r>
            </w:hyperlink>
          </w:p>
        </w:tc>
      </w:tr>
    </w:tbl>
    <w:p w14:paraId="2D5C04E8" w14:textId="77777777" w:rsidR="00D10AF3" w:rsidRDefault="00A75CCD" w:rsidP="004A4F23">
      <w:pPr>
        <w:pStyle w:val="Heading3"/>
      </w:pPr>
      <w:bookmarkStart w:id="23" w:name="_Toc5089262"/>
      <w:bookmarkStart w:id="24" w:name="_Toc10202245"/>
      <w:r w:rsidRPr="00A75CCD">
        <w:t xml:space="preserve">TGA </w:t>
      </w:r>
      <w:r w:rsidRPr="004A4F23">
        <w:t>requests</w:t>
      </w:r>
      <w:r w:rsidRPr="00A75CCD">
        <w:t xml:space="preserve"> for further information</w:t>
      </w:r>
      <w:bookmarkEnd w:id="23"/>
      <w:bookmarkEnd w:id="24"/>
    </w:p>
    <w:p w14:paraId="3E35157E" w14:textId="77777777" w:rsidR="00D10AF3" w:rsidRDefault="00A75CCD" w:rsidP="00A75CCD">
      <w:pPr>
        <w:pStyle w:val="Heading4"/>
      </w:pPr>
      <w:bookmarkStart w:id="25" w:name="_Toc10202246"/>
      <w:r w:rsidRPr="00A75CCD">
        <w:t>Section 31 requests</w:t>
      </w:r>
      <w:bookmarkEnd w:id="25"/>
    </w:p>
    <w:p w14:paraId="15865B1E" w14:textId="77777777" w:rsidR="00A75CCD" w:rsidRDefault="00A75CCD" w:rsidP="00A75CCD">
      <w:r>
        <w:t>The TGA may request additional information under s. 31 of the Act, about a proposed variation or to clarify information provided.</w:t>
      </w:r>
    </w:p>
    <w:p w14:paraId="5E62474B" w14:textId="77777777" w:rsidR="00A75CCD" w:rsidRDefault="00A75CCD" w:rsidP="00B53F88">
      <w:r>
        <w:t>Requests made under s. 31 are usually requests for existing information or documents relating to specific aspects of the product, the quality, presentation or safety or efficacy for their intended use.</w:t>
      </w:r>
      <w:r w:rsidRPr="00693748">
        <w:t xml:space="preserve"> </w:t>
      </w:r>
      <w:r>
        <w:t>The clock stops at any time the Secretary is</w:t>
      </w:r>
      <w:r w:rsidR="00B53F88">
        <w:t xml:space="preserve"> waiting for a response to a s. </w:t>
      </w:r>
      <w:r>
        <w:t>31 request for information.</w:t>
      </w:r>
      <w:r w:rsidR="00910570" w:rsidRPr="00910570">
        <w:t xml:space="preserve"> </w:t>
      </w:r>
      <w:r w:rsidR="00910570" w:rsidRPr="00DA7595">
        <w:t xml:space="preserve">There is no limit </w:t>
      </w:r>
      <w:r w:rsidR="00910570">
        <w:t>on</w:t>
      </w:r>
      <w:r w:rsidR="00910570" w:rsidRPr="00DA7595">
        <w:t xml:space="preserve"> the number of clock stops</w:t>
      </w:r>
      <w:r w:rsidR="00910570">
        <w:t xml:space="preserve"> under s. 31.</w:t>
      </w:r>
    </w:p>
    <w:p w14:paraId="7B55E754" w14:textId="77777777" w:rsidR="00A75CCD" w:rsidRDefault="00A75CCD" w:rsidP="00A75CCD">
      <w:pPr>
        <w:pStyle w:val="Heading4"/>
      </w:pPr>
      <w:bookmarkStart w:id="26" w:name="_Toc10202247"/>
      <w:r w:rsidRPr="00A75CCD">
        <w:t>Objections</w:t>
      </w:r>
      <w:bookmarkEnd w:id="26"/>
    </w:p>
    <w:p w14:paraId="29986E9D" w14:textId="77777777" w:rsidR="00A75CCD" w:rsidRDefault="00A75CCD" w:rsidP="00B53F88">
      <w:r>
        <w:t xml:space="preserve">Alternatively, the TGA may raise an objection to a request or application under Regulation 16F. An objection usually means that the Secretary will ask the sponsor questions about the product </w:t>
      </w:r>
      <w:r>
        <w:lastRenderedPageBreak/>
        <w:t>or the proposed variation (to which the sponsor must respond) that are necessary for a decision to be made about the request.</w:t>
      </w:r>
    </w:p>
    <w:p w14:paraId="57D8427E" w14:textId="77777777" w:rsidR="00A75CCD" w:rsidRDefault="00A75CCD" w:rsidP="00A75CCD">
      <w:r>
        <w:t>If the Secretary raises an objection, the clock will stop from the time the Secretary raises the objection until the TGA receives the response from the sponsor. The Secretary then has 30 working days from the day on which the response to the objection is received, to noti</w:t>
      </w:r>
      <w:r w:rsidR="00B53F88">
        <w:t>fy the sponsor of the decision.</w:t>
      </w:r>
    </w:p>
    <w:p w14:paraId="1E7BC43A" w14:textId="77777777" w:rsidR="00A75CCD" w:rsidRDefault="00A75CCD" w:rsidP="00A75CCD">
      <w:pPr>
        <w:pStyle w:val="Heading3"/>
      </w:pPr>
      <w:bookmarkStart w:id="27" w:name="_Making_an_appeal"/>
      <w:bookmarkStart w:id="28" w:name="_Toc5089263"/>
      <w:bookmarkStart w:id="29" w:name="_Toc10202248"/>
      <w:bookmarkEnd w:id="27"/>
      <w:r w:rsidRPr="00A75CCD">
        <w:t>Making an appeal</w:t>
      </w:r>
      <w:bookmarkEnd w:id="28"/>
      <w:bookmarkEnd w:id="29"/>
    </w:p>
    <w:p w14:paraId="0D23A07E" w14:textId="77777777" w:rsidR="00A75CCD" w:rsidRDefault="00A75CCD" w:rsidP="00B53F88">
      <w:r w:rsidRPr="00E922C1">
        <w:t>Decisions made under s. 9D</w:t>
      </w:r>
      <w:r>
        <w:t xml:space="preserve"> and s. 25</w:t>
      </w:r>
      <w:r w:rsidRPr="00E922C1">
        <w:t xml:space="preserve"> are ‘initial decisions’ within the meaning of s.</w:t>
      </w:r>
      <w:r>
        <w:t> </w:t>
      </w:r>
      <w:r w:rsidRPr="00E922C1">
        <w:t xml:space="preserve">60 of the Act. This means that a person whose interests are affected by the decision can request a review by the </w:t>
      </w:r>
      <w:r>
        <w:t>Minister</w:t>
      </w:r>
      <w:r w:rsidRPr="00E922C1">
        <w:t xml:space="preserve"> for Health.</w:t>
      </w:r>
    </w:p>
    <w:p w14:paraId="2AD0B6D3" w14:textId="77777777" w:rsidR="00A75CCD" w:rsidRPr="002C463B" w:rsidRDefault="00A75CCD" w:rsidP="00A75CCD">
      <w:r w:rsidRPr="00E922C1">
        <w:t>A request must be made in writing within 90</w:t>
      </w:r>
      <w:r>
        <w:t> </w:t>
      </w:r>
      <w:r w:rsidRPr="00E922C1">
        <w:t xml:space="preserve">days of when </w:t>
      </w:r>
      <w:r>
        <w:t>notice is given of</w:t>
      </w:r>
      <w:r w:rsidRPr="00E922C1">
        <w:t xml:space="preserve"> the decision</w:t>
      </w:r>
      <w:r>
        <w:t xml:space="preserve">. </w:t>
      </w:r>
      <w:r w:rsidRPr="002C463B">
        <w:t>All requests for reconsideration should be given to the Minister by email:</w:t>
      </w:r>
    </w:p>
    <w:p w14:paraId="24028735" w14:textId="77777777" w:rsidR="00A75CCD" w:rsidRPr="002C463B" w:rsidRDefault="00A75CCD" w:rsidP="00A75CCD">
      <w:r w:rsidRPr="002C463B">
        <w:t>Email:</w:t>
      </w:r>
      <w:r w:rsidRPr="002C463B">
        <w:tab/>
      </w:r>
      <w:hyperlink r:id="rId35" w:history="1">
        <w:r w:rsidRPr="004A4F23">
          <w:rPr>
            <w:rStyle w:val="Hyperlink"/>
            <w:b/>
          </w:rPr>
          <w:t>minister.hunt.DLO@health.gov.au</w:t>
        </w:r>
      </w:hyperlink>
      <w:r w:rsidRPr="004A4F23">
        <w:rPr>
          <w:rStyle w:val="Hyperlink"/>
          <w:color w:val="auto"/>
          <w:u w:val="none"/>
        </w:rPr>
        <w:t xml:space="preserve"> and copied to </w:t>
      </w:r>
      <w:hyperlink r:id="rId36" w:history="1">
        <w:r w:rsidRPr="006C1A33">
          <w:rPr>
            <w:rStyle w:val="Hyperlink"/>
            <w:b/>
          </w:rPr>
          <w:t>decision.review@health.gov.au</w:t>
        </w:r>
      </w:hyperlink>
      <w:r w:rsidRPr="002C463B">
        <w:t>’</w:t>
      </w:r>
    </w:p>
    <w:p w14:paraId="1009CBD5" w14:textId="77777777" w:rsidR="00A75CCD" w:rsidRPr="002C463B" w:rsidRDefault="00A75CCD" w:rsidP="006C1A33">
      <w:r w:rsidRPr="002C463B">
        <w:t xml:space="preserve">Where a request for reconsideration includes dossiers (or similar bulk material) that cannot easily be attached </w:t>
      </w:r>
      <w:r w:rsidRPr="00B53F88">
        <w:t>to a</w:t>
      </w:r>
      <w:r w:rsidRPr="002C463B">
        <w:t xml:space="preserve"> request </w:t>
      </w:r>
      <w:r>
        <w:t>made</w:t>
      </w:r>
      <w:r w:rsidRPr="002C463B">
        <w:t xml:space="preserve"> by email, the supporting documentation and original (signed) request for reconsideration can then be sent by express post or registered mail to:</w:t>
      </w:r>
    </w:p>
    <w:p w14:paraId="62DD5A1B" w14:textId="77777777" w:rsidR="00A75CCD" w:rsidRPr="002C463B" w:rsidRDefault="00A75CCD" w:rsidP="00A75CCD">
      <w:pPr>
        <w:tabs>
          <w:tab w:val="left" w:pos="851"/>
        </w:tabs>
        <w:spacing w:before="100" w:beforeAutospacing="1" w:after="0" w:line="240" w:lineRule="auto"/>
        <w:ind w:left="851" w:hanging="851"/>
        <w:rPr>
          <w:rFonts w:eastAsia="Calibri"/>
          <w:b/>
          <w:szCs w:val="22"/>
        </w:rPr>
      </w:pPr>
      <w:r>
        <w:t xml:space="preserve">Mail: </w:t>
      </w:r>
      <w:r>
        <w:tab/>
      </w:r>
      <w:r w:rsidRPr="002C463B">
        <w:rPr>
          <w:rFonts w:eastAsia="Calibri"/>
          <w:b/>
          <w:szCs w:val="22"/>
        </w:rPr>
        <w:t>Minister for Health</w:t>
      </w:r>
      <w:r>
        <w:rPr>
          <w:rFonts w:eastAsia="Calibri"/>
          <w:b/>
          <w:szCs w:val="22"/>
        </w:rPr>
        <w:br/>
      </w:r>
      <w:r w:rsidRPr="002C463B">
        <w:rPr>
          <w:rFonts w:eastAsia="Calibri"/>
          <w:b/>
          <w:szCs w:val="22"/>
        </w:rPr>
        <w:t>Suite M1 41</w:t>
      </w:r>
      <w:r>
        <w:rPr>
          <w:rFonts w:eastAsia="Calibri"/>
          <w:b/>
          <w:szCs w:val="22"/>
        </w:rPr>
        <w:br/>
      </w:r>
      <w:r w:rsidRPr="002C463B">
        <w:rPr>
          <w:rFonts w:eastAsia="Calibri"/>
          <w:b/>
          <w:szCs w:val="22"/>
        </w:rPr>
        <w:t>c/- Parliament House</w:t>
      </w:r>
      <w:r>
        <w:rPr>
          <w:rFonts w:eastAsia="Calibri"/>
          <w:b/>
          <w:szCs w:val="22"/>
        </w:rPr>
        <w:br/>
      </w:r>
      <w:r w:rsidRPr="002C463B">
        <w:rPr>
          <w:rFonts w:eastAsia="Calibri"/>
          <w:b/>
          <w:szCs w:val="22"/>
        </w:rPr>
        <w:t>CANBERRA</w:t>
      </w:r>
      <w:r>
        <w:rPr>
          <w:rFonts w:eastAsia="Calibri"/>
          <w:b/>
          <w:szCs w:val="22"/>
        </w:rPr>
        <w:t xml:space="preserve"> </w:t>
      </w:r>
      <w:r w:rsidRPr="002C463B">
        <w:rPr>
          <w:rFonts w:eastAsia="Calibri"/>
          <w:b/>
          <w:szCs w:val="22"/>
        </w:rPr>
        <w:t>ACT</w:t>
      </w:r>
      <w:r>
        <w:rPr>
          <w:rFonts w:eastAsia="Calibri"/>
          <w:b/>
          <w:szCs w:val="22"/>
        </w:rPr>
        <w:t xml:space="preserve"> </w:t>
      </w:r>
      <w:r w:rsidRPr="002C463B">
        <w:rPr>
          <w:rFonts w:eastAsia="Calibri"/>
          <w:b/>
          <w:szCs w:val="22"/>
        </w:rPr>
        <w:t>2600</w:t>
      </w:r>
    </w:p>
    <w:p w14:paraId="60D6B2B2" w14:textId="77777777" w:rsidR="00A75CCD" w:rsidRPr="00E922C1" w:rsidRDefault="00A75CCD" w:rsidP="006C1A33">
      <w:r w:rsidRPr="00E922C1">
        <w:t xml:space="preserve">The </w:t>
      </w:r>
      <w:r>
        <w:t>request</w:t>
      </w:r>
      <w:r w:rsidRPr="00E922C1">
        <w:t xml:space="preserve"> </w:t>
      </w:r>
      <w:r w:rsidRPr="002C463B">
        <w:t xml:space="preserve">should be titled </w:t>
      </w:r>
      <w:r>
        <w:t>‘</w:t>
      </w:r>
      <w:r w:rsidRPr="006C1A33">
        <w:rPr>
          <w:b/>
        </w:rPr>
        <w:t xml:space="preserve">Request for Reconsideration Under Section 60 of the </w:t>
      </w:r>
      <w:r w:rsidRPr="006C1A33">
        <w:rPr>
          <w:b/>
          <w:i/>
        </w:rPr>
        <w:t>Therapeutic Goods Act 1989</w:t>
      </w:r>
      <w:r>
        <w:t>’.</w:t>
      </w:r>
    </w:p>
    <w:p w14:paraId="27923E4B" w14:textId="77777777" w:rsidR="00A75CCD" w:rsidRDefault="00A75CCD" w:rsidP="006C1A33">
      <w:r>
        <w:t>A</w:t>
      </w:r>
      <w:r w:rsidRPr="003931A8">
        <w:t>ny request for internal review should contain a clear description of what is wrong with the initial decision and give the reasons</w:t>
      </w:r>
      <w:r>
        <w:t xml:space="preserve">. </w:t>
      </w:r>
      <w:r w:rsidRPr="00E922C1">
        <w:t xml:space="preserve">The person making the request should include all the information that they would like the </w:t>
      </w:r>
      <w:r>
        <w:t xml:space="preserve">Minister’s delegate undertaking the review </w:t>
      </w:r>
      <w:r w:rsidRPr="00E922C1">
        <w:t>to consider.</w:t>
      </w:r>
    </w:p>
    <w:p w14:paraId="306C7EBE" w14:textId="77777777" w:rsidR="00A75CCD" w:rsidRDefault="00A75CCD" w:rsidP="00A75CCD">
      <w:r w:rsidRPr="00E922C1">
        <w:t>Under s</w:t>
      </w:r>
      <w:r>
        <w:t>. </w:t>
      </w:r>
      <w:r w:rsidRPr="00E922C1">
        <w:t xml:space="preserve">60(3A) of the Act, the </w:t>
      </w:r>
      <w:r>
        <w:t xml:space="preserve">Minister’s delegate </w:t>
      </w:r>
      <w:r w:rsidRPr="00E922C1">
        <w:t xml:space="preserve">cannot consider any other information </w:t>
      </w:r>
      <w:r>
        <w:t>provided</w:t>
      </w:r>
      <w:r w:rsidRPr="00E922C1">
        <w:t xml:space="preserve"> after the request </w:t>
      </w:r>
      <w:r>
        <w:t xml:space="preserve">is made, </w:t>
      </w:r>
      <w:r w:rsidRPr="00E922C1">
        <w:t xml:space="preserve">unless the </w:t>
      </w:r>
      <w:r>
        <w:t>delegate</w:t>
      </w:r>
      <w:r w:rsidRPr="00E922C1">
        <w:t xml:space="preserve"> has asked for the additional information, or the additional information indicates that the safety, quality or efficacy of the product is unacceptable. The appeal will </w:t>
      </w:r>
      <w:r>
        <w:t xml:space="preserve">normally </w:t>
      </w:r>
      <w:r w:rsidRPr="00E922C1">
        <w:t xml:space="preserve">be handled by the </w:t>
      </w:r>
      <w:r>
        <w:t>one of the Minister’s delegates within the Australian Government Department of Health (that is, at the TGA)</w:t>
      </w:r>
      <w:r w:rsidRPr="00E922C1">
        <w:t>.</w:t>
      </w:r>
    </w:p>
    <w:p w14:paraId="4D46FB0A" w14:textId="77777777" w:rsidR="00A75CCD" w:rsidRPr="00E922C1" w:rsidRDefault="00A75CCD" w:rsidP="00A75CCD">
      <w:r>
        <w:t>The delegate can</w:t>
      </w:r>
      <w:r w:rsidRPr="00E922C1">
        <w:t xml:space="preserve"> confirm or revoke the initial decision, or </w:t>
      </w:r>
      <w:r>
        <w:t xml:space="preserve">revoke the initial decision and </w:t>
      </w:r>
      <w:r w:rsidRPr="00E922C1">
        <w:t xml:space="preserve">substitute a new decision. If a </w:t>
      </w:r>
      <w:r>
        <w:t>person</w:t>
      </w:r>
      <w:r w:rsidRPr="00E922C1">
        <w:t xml:space="preserve"> has not received a response within 60</w:t>
      </w:r>
      <w:r>
        <w:t> </w:t>
      </w:r>
      <w:r w:rsidRPr="00E922C1">
        <w:t xml:space="preserve">calendar days of </w:t>
      </w:r>
      <w:r>
        <w:t>making the request</w:t>
      </w:r>
      <w:r w:rsidRPr="00E922C1">
        <w:t xml:space="preserve">, the initial decision is </w:t>
      </w:r>
      <w:r>
        <w:t>taken</w:t>
      </w:r>
      <w:r w:rsidRPr="00E922C1">
        <w:t xml:space="preserve"> to be </w:t>
      </w:r>
      <w:r>
        <w:t>confirmed</w:t>
      </w:r>
      <w:r w:rsidRPr="00E922C1">
        <w:t>.</w:t>
      </w:r>
    </w:p>
    <w:p w14:paraId="37199B6E" w14:textId="77777777" w:rsidR="00A75CCD" w:rsidRDefault="00A75CCD" w:rsidP="00B53F88">
      <w:r w:rsidRPr="00E922C1">
        <w:t xml:space="preserve">If the person is not satisfied with the decision, they can appeal to the Administrative Appeals Tribunal (AAT; subject to the </w:t>
      </w:r>
      <w:hyperlink r:id="rId37" w:history="1">
        <w:r w:rsidRPr="004955A9">
          <w:rPr>
            <w:rStyle w:val="Hyperlink"/>
            <w:i/>
          </w:rPr>
          <w:t>Administrative Appeals Tribunal Act 1975</w:t>
        </w:r>
      </w:hyperlink>
      <w:r w:rsidRPr="00E922C1">
        <w:t>). Applications to the AAT must be made within 28</w:t>
      </w:r>
      <w:r>
        <w:t> </w:t>
      </w:r>
      <w:r w:rsidRPr="00E922C1">
        <w:t xml:space="preserve">calendar days of the </w:t>
      </w:r>
      <w:r>
        <w:t>M</w:t>
      </w:r>
      <w:r w:rsidRPr="00E922C1">
        <w:t xml:space="preserve">inister’s decision following an appeal. The AAT may affirm the decision, vary it, set it aside, substitute a new decision or refer the decision back </w:t>
      </w:r>
      <w:r>
        <w:t>to the original decision maker.</w:t>
      </w:r>
    </w:p>
    <w:p w14:paraId="6C6C9AE8" w14:textId="77777777" w:rsidR="00A56847" w:rsidRDefault="00A56847" w:rsidP="00B53F88">
      <w:pPr>
        <w:pStyle w:val="Heading2"/>
        <w:spacing w:before="0"/>
      </w:pPr>
      <w:bookmarkStart w:id="30" w:name="_Variation_category_groups"/>
      <w:bookmarkStart w:id="31" w:name="_Toc5089264"/>
      <w:bookmarkStart w:id="32" w:name="_Toc10202249"/>
      <w:bookmarkEnd w:id="30"/>
      <w:r>
        <w:lastRenderedPageBreak/>
        <w:t>Variation category groups and categories</w:t>
      </w:r>
      <w:bookmarkEnd w:id="31"/>
      <w:bookmarkEnd w:id="32"/>
    </w:p>
    <w:p w14:paraId="1D7FAF38" w14:textId="77777777" w:rsidR="00A56847" w:rsidRDefault="00A56847" w:rsidP="00B53F88">
      <w:r>
        <w:t>The TGA takes a risk-based approach to assessing variations to prescription medicines. This means that the higher the risk associated with the variation, the greater the level of assessment required by the TGA for a decision to be made.</w:t>
      </w:r>
    </w:p>
    <w:p w14:paraId="4671B16A" w14:textId="77777777" w:rsidR="00A56847" w:rsidRDefault="00A56847" w:rsidP="00B53F88">
      <w:r>
        <w:t>A description of the different category groups and categories of variations is provided below:</w:t>
      </w:r>
    </w:p>
    <w:p w14:paraId="12B00095" w14:textId="77777777" w:rsidR="00A56847" w:rsidRPr="00A56847" w:rsidRDefault="0057494E" w:rsidP="00A56847">
      <w:pPr>
        <w:pStyle w:val="ListBullet"/>
        <w:rPr>
          <w:bCs/>
        </w:rPr>
      </w:pPr>
      <w:hyperlink w:anchor="_Corrections_to_an_1" w:history="1">
        <w:r w:rsidR="00A56847" w:rsidRPr="00A56847">
          <w:rPr>
            <w:rStyle w:val="Hyperlink"/>
            <w:bCs/>
          </w:rPr>
          <w:t>Corrections to an ARTG entry</w:t>
        </w:r>
      </w:hyperlink>
    </w:p>
    <w:p w14:paraId="05131C24" w14:textId="77777777" w:rsidR="00A56847" w:rsidRPr="00A56847" w:rsidRDefault="0057494E" w:rsidP="00A56847">
      <w:pPr>
        <w:pStyle w:val="ListBullet"/>
        <w:rPr>
          <w:bCs/>
        </w:rPr>
      </w:pPr>
      <w:hyperlink w:anchor="_Notifications" w:history="1">
        <w:r w:rsidR="00A56847" w:rsidRPr="00A56847">
          <w:rPr>
            <w:rStyle w:val="Hyperlink"/>
            <w:bCs/>
          </w:rPr>
          <w:t>Notifications</w:t>
        </w:r>
      </w:hyperlink>
    </w:p>
    <w:p w14:paraId="492B338B" w14:textId="77777777" w:rsidR="00A56847" w:rsidRPr="00A56847" w:rsidRDefault="0057494E" w:rsidP="00A56847">
      <w:pPr>
        <w:pStyle w:val="ListBullet"/>
        <w:rPr>
          <w:bCs/>
        </w:rPr>
      </w:pPr>
      <w:hyperlink w:anchor="_Quality_information" w:history="1">
        <w:r w:rsidR="00A56847" w:rsidRPr="0078185D">
          <w:rPr>
            <w:rStyle w:val="Hyperlink"/>
            <w:bCs/>
          </w:rPr>
          <w:t>Quality information</w:t>
        </w:r>
      </w:hyperlink>
    </w:p>
    <w:p w14:paraId="19654A9E" w14:textId="77777777" w:rsidR="00A56847" w:rsidRPr="00EA6FBE" w:rsidRDefault="0057494E" w:rsidP="00A56847">
      <w:pPr>
        <w:pStyle w:val="ListBullet2"/>
        <w:rPr>
          <w:rStyle w:val="Hyperlink"/>
          <w:bCs/>
          <w:color w:val="auto"/>
          <w:u w:val="none"/>
        </w:rPr>
      </w:pPr>
      <w:hyperlink w:anchor="_Self-assessable_requests_(SARs)" w:history="1">
        <w:r w:rsidR="00A56847" w:rsidRPr="00A56847">
          <w:rPr>
            <w:rStyle w:val="Hyperlink"/>
            <w:bCs/>
          </w:rPr>
          <w:t>Self-assessable requests (SARs)</w:t>
        </w:r>
      </w:hyperlink>
    </w:p>
    <w:p w14:paraId="5DEC512F" w14:textId="77777777" w:rsidR="00A56847" w:rsidRPr="00EA6FBE" w:rsidRDefault="0057494E" w:rsidP="00EA6FBE">
      <w:pPr>
        <w:pStyle w:val="ListBullet2"/>
        <w:rPr>
          <w:bCs/>
        </w:rPr>
      </w:pPr>
      <w:hyperlink w:anchor="_Category_3_requests" w:history="1">
        <w:r w:rsidR="00EA6FBE" w:rsidRPr="00EA6FBE">
          <w:rPr>
            <w:rStyle w:val="Hyperlink"/>
            <w:bCs/>
          </w:rPr>
          <w:t>Category 3 requests</w:t>
        </w:r>
      </w:hyperlink>
    </w:p>
    <w:p w14:paraId="4DF36458" w14:textId="77777777" w:rsidR="00A56847" w:rsidRPr="00A56847" w:rsidRDefault="0057494E" w:rsidP="00A56847">
      <w:pPr>
        <w:pStyle w:val="ListBullet3"/>
      </w:pPr>
      <w:hyperlink w:anchor="_Category_3_requests_1" w:history="1">
        <w:r w:rsidR="00A56847" w:rsidRPr="00A56847">
          <w:rPr>
            <w:rStyle w:val="Hyperlink"/>
          </w:rPr>
          <w:t>Category 3 requests  that create a separate and distinct good</w:t>
        </w:r>
      </w:hyperlink>
    </w:p>
    <w:p w14:paraId="0D5D6FDE" w14:textId="77777777" w:rsidR="00A56847" w:rsidRPr="00A56847" w:rsidRDefault="0057494E" w:rsidP="00A56847">
      <w:pPr>
        <w:pStyle w:val="ListBullet"/>
      </w:pPr>
      <w:hyperlink w:anchor="_Product_information" w:history="1">
        <w:r w:rsidR="00A56847" w:rsidRPr="00A56847">
          <w:rPr>
            <w:rStyle w:val="Hyperlink"/>
          </w:rPr>
          <w:t>Product information</w:t>
        </w:r>
      </w:hyperlink>
    </w:p>
    <w:p w14:paraId="549960B4" w14:textId="77777777" w:rsidR="00A56847" w:rsidRPr="00A56847" w:rsidRDefault="0057494E" w:rsidP="00A56847">
      <w:pPr>
        <w:pStyle w:val="ListBullet2"/>
        <w:rPr>
          <w:bCs/>
        </w:rPr>
      </w:pPr>
      <w:hyperlink w:anchor="_Minor_editorial_changes" w:history="1">
        <w:r w:rsidR="00060C0A">
          <w:rPr>
            <w:rStyle w:val="Hyperlink"/>
            <w:bCs/>
          </w:rPr>
          <w:t>Minor editorial changes (MEC)</w:t>
        </w:r>
      </w:hyperlink>
    </w:p>
    <w:p w14:paraId="1B1FB70E" w14:textId="77777777" w:rsidR="00A56847" w:rsidRPr="00A56847" w:rsidRDefault="0057494E" w:rsidP="00A56847">
      <w:pPr>
        <w:pStyle w:val="ListBullet2"/>
        <w:rPr>
          <w:bCs/>
        </w:rPr>
      </w:pPr>
      <w:hyperlink w:anchor="_Safety-related_requests_(SRR)" w:history="1">
        <w:r w:rsidR="00A56847" w:rsidRPr="00A56847">
          <w:rPr>
            <w:rStyle w:val="Hyperlink"/>
            <w:bCs/>
          </w:rPr>
          <w:t>Safety-related requests (SRRs)</w:t>
        </w:r>
      </w:hyperlink>
    </w:p>
    <w:p w14:paraId="2ABE4983" w14:textId="77777777" w:rsidR="00A56847" w:rsidRDefault="0057494E" w:rsidP="00A56847">
      <w:pPr>
        <w:pStyle w:val="ListBullet2"/>
      </w:pPr>
      <w:hyperlink w:anchor="_Extension_of_indications" w:history="1">
        <w:r w:rsidR="00A56847" w:rsidRPr="00A56847">
          <w:rPr>
            <w:rStyle w:val="Hyperlink"/>
            <w:bCs/>
          </w:rPr>
          <w:t>Extension of indications to align with a reference product</w:t>
        </w:r>
      </w:hyperlink>
      <w:r w:rsidR="00A56847" w:rsidRPr="00A56847">
        <w:t>.</w:t>
      </w:r>
    </w:p>
    <w:p w14:paraId="6116ED9F" w14:textId="77777777" w:rsidR="00F048E4" w:rsidRPr="009A0F3B" w:rsidRDefault="00F048E4" w:rsidP="00F048E4">
      <w:r w:rsidRPr="009A0F3B">
        <w:t>See also</w:t>
      </w:r>
      <w:r>
        <w:t>:</w:t>
      </w:r>
    </w:p>
    <w:p w14:paraId="47A6CE18" w14:textId="77777777" w:rsidR="00F048E4" w:rsidRDefault="00F048E4" w:rsidP="00F048E4">
      <w:pPr>
        <w:pStyle w:val="ListBullet"/>
      </w:pPr>
      <w:r>
        <w:t xml:space="preserve">The </w:t>
      </w:r>
      <w:hyperlink w:anchor="_Legislative_basis_for" w:history="1">
        <w:r>
          <w:rPr>
            <w:rStyle w:val="Hyperlink"/>
          </w:rPr>
          <w:t>legislative basis for variations</w:t>
        </w:r>
      </w:hyperlink>
      <w:r>
        <w:t xml:space="preserve"> for information about the statutory timeframes for each variation category.</w:t>
      </w:r>
    </w:p>
    <w:p w14:paraId="653D46AF" w14:textId="77777777" w:rsidR="00672A4C" w:rsidRPr="00221B0A" w:rsidRDefault="00672A4C" w:rsidP="00672A4C">
      <w:pPr>
        <w:pStyle w:val="ListBullet"/>
      </w:pPr>
      <w:r w:rsidRPr="00221B0A">
        <w:t>The individual variation types</w:t>
      </w:r>
      <w:r>
        <w:t>, with relevant data requirements and conditions</w:t>
      </w:r>
      <w:r w:rsidRPr="00221B0A">
        <w:t>:</w:t>
      </w:r>
    </w:p>
    <w:bookmarkStart w:id="33" w:name="_Changes_that_do_1"/>
    <w:bookmarkStart w:id="34" w:name="_Correction_to_an"/>
    <w:bookmarkStart w:id="35" w:name="_Corrections_to_an"/>
    <w:bookmarkEnd w:id="33"/>
    <w:bookmarkEnd w:id="34"/>
    <w:bookmarkEnd w:id="35"/>
    <w:p w14:paraId="7ACD8ADA" w14:textId="77777777" w:rsidR="00672A4C" w:rsidRDefault="00DE1D99" w:rsidP="00672A4C">
      <w:pPr>
        <w:pStyle w:val="ListBullet2"/>
      </w:pPr>
      <w:r>
        <w:fldChar w:fldCharType="begin"/>
      </w:r>
      <w:r>
        <w:instrText xml:space="preserve"> HYPERLINK "https://www.tga.gov.au/publication/variations-prescription-medicines-excluding-variations-requiring-evaluation-clinical-bioequivalence-data-appendix-1-variation-types-chemical-entities" </w:instrText>
      </w:r>
      <w:r>
        <w:fldChar w:fldCharType="separate"/>
      </w:r>
      <w:r w:rsidR="00672A4C" w:rsidRPr="00DE1D99">
        <w:rPr>
          <w:rStyle w:val="Hyperlink"/>
        </w:rPr>
        <w:t>Variations to prescription medicines</w:t>
      </w:r>
      <w:r w:rsidR="00383CE3" w:rsidRPr="00DE1D99">
        <w:rPr>
          <w:rStyle w:val="Hyperlink"/>
        </w:rPr>
        <w:t xml:space="preserve"> - excluding variations requiring evaluation of clinical or bioequivalence data</w:t>
      </w:r>
      <w:r w:rsidR="00672A4C" w:rsidRPr="00DE1D99">
        <w:rPr>
          <w:rStyle w:val="Hyperlink"/>
        </w:rPr>
        <w:t xml:space="preserve"> </w:t>
      </w:r>
      <w:r w:rsidR="002433FF" w:rsidRPr="00DE1D99">
        <w:rPr>
          <w:rStyle w:val="Hyperlink"/>
        </w:rPr>
        <w:t xml:space="preserve">- Appendix 1: Variation types - </w:t>
      </w:r>
      <w:r w:rsidR="00672A4C" w:rsidRPr="00DE1D99">
        <w:rPr>
          <w:rStyle w:val="Hyperlink"/>
        </w:rPr>
        <w:t>chemical entities</w:t>
      </w:r>
      <w:r>
        <w:fldChar w:fldCharType="end"/>
      </w:r>
    </w:p>
    <w:p w14:paraId="3A54C0E3" w14:textId="77777777" w:rsidR="00672A4C" w:rsidRPr="00672A4C" w:rsidRDefault="0057494E" w:rsidP="00383CE3">
      <w:pPr>
        <w:pStyle w:val="ListBullet2"/>
        <w:rPr>
          <w:rStyle w:val="Hyperlink"/>
          <w:b/>
          <w:bCs/>
          <w:color w:val="auto"/>
          <w:u w:val="none"/>
        </w:rPr>
      </w:pPr>
      <w:hyperlink r:id="rId38" w:history="1">
        <w:r w:rsidR="00672A4C" w:rsidRPr="00DE1D99">
          <w:rPr>
            <w:rStyle w:val="Hyperlink"/>
          </w:rPr>
          <w:t xml:space="preserve">Variations to prescription medicines - </w:t>
        </w:r>
        <w:r w:rsidR="00383CE3" w:rsidRPr="00DE1D99">
          <w:rPr>
            <w:rStyle w:val="Hyperlink"/>
          </w:rPr>
          <w:t xml:space="preserve">excluding variations requiring evaluation of clinical or bioequivalence data </w:t>
        </w:r>
        <w:r w:rsidR="002433FF" w:rsidRPr="00DE1D99">
          <w:rPr>
            <w:rStyle w:val="Hyperlink"/>
          </w:rPr>
          <w:t xml:space="preserve">- Appendix 2: Variation types - </w:t>
        </w:r>
        <w:r w:rsidR="00672A4C" w:rsidRPr="00DE1D99">
          <w:rPr>
            <w:rStyle w:val="Hyperlink"/>
          </w:rPr>
          <w:t>biological medicines</w:t>
        </w:r>
      </w:hyperlink>
      <w:r w:rsidR="00672A4C" w:rsidRPr="00DE1D99">
        <w:rPr>
          <w:rStyle w:val="Hyperlink"/>
          <w:u w:val="none"/>
        </w:rPr>
        <w:t>.</w:t>
      </w:r>
    </w:p>
    <w:p w14:paraId="60788953" w14:textId="77777777" w:rsidR="00672A4C" w:rsidRPr="00672A4C" w:rsidRDefault="0057494E" w:rsidP="00672A4C">
      <w:pPr>
        <w:pStyle w:val="ListBullet"/>
        <w:rPr>
          <w:rStyle w:val="Hyperlink"/>
          <w:color w:val="auto"/>
          <w:u w:val="none"/>
        </w:rPr>
      </w:pPr>
      <w:hyperlink w:anchor="_How_to_apply" w:history="1">
        <w:r w:rsidR="00672A4C" w:rsidRPr="00714B25">
          <w:rPr>
            <w:rStyle w:val="Hyperlink"/>
          </w:rPr>
          <w:t>How to apply for a variation</w:t>
        </w:r>
      </w:hyperlink>
    </w:p>
    <w:p w14:paraId="0B390C39" w14:textId="77777777" w:rsidR="00F048E4" w:rsidRPr="007A3624" w:rsidRDefault="00F048E4" w:rsidP="00F048E4">
      <w:pPr>
        <w:pStyle w:val="ListBullet2"/>
        <w:rPr>
          <w:rStyle w:val="Hyperlink"/>
          <w:bCs/>
          <w:color w:val="auto"/>
          <w:u w:val="none"/>
        </w:rPr>
      </w:pPr>
      <w:r w:rsidRPr="004D18D2">
        <w:t>Including information about</w:t>
      </w:r>
      <w:r>
        <w:rPr>
          <w:rStyle w:val="Hyperlink"/>
          <w:bCs/>
          <w:color w:val="auto"/>
          <w:u w:val="none"/>
        </w:rPr>
        <w:t xml:space="preserve"> </w:t>
      </w:r>
      <w:hyperlink w:anchor="_Variation_types" w:history="1">
        <w:r w:rsidRPr="007F67CC">
          <w:rPr>
            <w:rStyle w:val="Hyperlink"/>
            <w:bCs/>
          </w:rPr>
          <w:t>variation types</w:t>
        </w:r>
      </w:hyperlink>
      <w:r>
        <w:rPr>
          <w:rStyle w:val="Hyperlink"/>
          <w:bCs/>
          <w:color w:val="auto"/>
          <w:u w:val="none"/>
        </w:rPr>
        <w:t xml:space="preserve"> and </w:t>
      </w:r>
      <w:hyperlink w:anchor="_Associated_changes_for" w:history="1">
        <w:r w:rsidRPr="007F67CC">
          <w:rPr>
            <w:rStyle w:val="Hyperlink"/>
            <w:bCs/>
          </w:rPr>
          <w:t>associated changes</w:t>
        </w:r>
      </w:hyperlink>
      <w:r>
        <w:rPr>
          <w:rStyle w:val="Hyperlink"/>
          <w:bCs/>
          <w:color w:val="auto"/>
          <w:u w:val="none"/>
        </w:rPr>
        <w:t>.</w:t>
      </w:r>
    </w:p>
    <w:p w14:paraId="26969CBB" w14:textId="77777777" w:rsidR="00F048E4" w:rsidRDefault="00383CE3" w:rsidP="00383CE3">
      <w:pPr>
        <w:pStyle w:val="Heading3"/>
      </w:pPr>
      <w:bookmarkStart w:id="36" w:name="_Corrections_to_an_1"/>
      <w:bookmarkStart w:id="37" w:name="_Toc5089265"/>
      <w:bookmarkStart w:id="38" w:name="_Toc10202250"/>
      <w:bookmarkEnd w:id="36"/>
      <w:r>
        <w:t>C</w:t>
      </w:r>
      <w:r w:rsidRPr="00FE3F2E">
        <w:t>orrection</w:t>
      </w:r>
      <w:r>
        <w:t>s</w:t>
      </w:r>
      <w:r w:rsidRPr="00FE3F2E">
        <w:t xml:space="preserve"> to an ARTG entry</w:t>
      </w:r>
      <w:bookmarkEnd w:id="37"/>
      <w:bookmarkEnd w:id="38"/>
    </w:p>
    <w:p w14:paraId="7B078A58" w14:textId="77777777" w:rsidR="00383CE3" w:rsidRDefault="00894002" w:rsidP="00B53F88">
      <w:r w:rsidRPr="00894002">
        <w:t xml:space="preserve">A correction to an entry in the </w:t>
      </w:r>
      <w:hyperlink r:id="rId39" w:history="1">
        <w:r w:rsidRPr="00894002">
          <w:rPr>
            <w:rStyle w:val="Hyperlink"/>
          </w:rPr>
          <w:t>Australian Register of Therapeutic Goods (ARTG)</w:t>
        </w:r>
      </w:hyperlink>
      <w:r w:rsidRPr="00894002">
        <w:t xml:space="preserve"> is generally a minor change to correct or complete information that was inadvertently recorded incorrectly or omitted from the ARTG entry, including the product information (PI). In some cases, errors in quality-related documentation may need to be corrected.</w:t>
      </w:r>
    </w:p>
    <w:p w14:paraId="6B535F0E" w14:textId="77777777" w:rsidR="00894002" w:rsidRDefault="00894002" w:rsidP="00894002">
      <w:r w:rsidRPr="00894002">
        <w:t xml:space="preserve">Sponsors can request corrections to ARTG entries under ss. 9D(1) of the </w:t>
      </w:r>
      <w:hyperlink r:id="rId40">
        <w:r w:rsidRPr="00894002">
          <w:rPr>
            <w:rStyle w:val="Hyperlink"/>
            <w:i/>
          </w:rPr>
          <w:t>Therapeutic Goods Act</w:t>
        </w:r>
      </w:hyperlink>
      <w:r w:rsidRPr="00894002">
        <w:rPr>
          <w:i/>
          <w:u w:val="single"/>
        </w:rPr>
        <w:t xml:space="preserve"> </w:t>
      </w:r>
      <w:hyperlink r:id="rId41">
        <w:r w:rsidRPr="00894002">
          <w:rPr>
            <w:rStyle w:val="Hyperlink"/>
            <w:i/>
          </w:rPr>
          <w:t>1989</w:t>
        </w:r>
      </w:hyperlink>
      <w:r w:rsidRPr="00894002">
        <w:t>. Alternatively, the Secretary can make corrections to ARTG entries under ss. 9D(1), at his or her initiative.</w:t>
      </w:r>
    </w:p>
    <w:p w14:paraId="78729D7C" w14:textId="77777777" w:rsidR="00894002" w:rsidRPr="00894002" w:rsidRDefault="00894002" w:rsidP="00894002">
      <w:r w:rsidRPr="00894002">
        <w:rPr>
          <w:b/>
        </w:rPr>
        <w:t>Examples</w:t>
      </w:r>
    </w:p>
    <w:p w14:paraId="6010928F" w14:textId="77777777" w:rsidR="00894002" w:rsidRPr="00894002" w:rsidRDefault="00894002" w:rsidP="00894002">
      <w:pPr>
        <w:pStyle w:val="ListBullet"/>
      </w:pPr>
      <w:r w:rsidRPr="00894002">
        <w:t>Correcting typographical errors in quantities of excipients</w:t>
      </w:r>
    </w:p>
    <w:p w14:paraId="76D3632B" w14:textId="77777777" w:rsidR="00894002" w:rsidRPr="00894002" w:rsidRDefault="00894002" w:rsidP="00894002">
      <w:pPr>
        <w:pStyle w:val="ListBullet"/>
      </w:pPr>
      <w:r w:rsidRPr="00894002">
        <w:lastRenderedPageBreak/>
        <w:t>Correcting grammatical errors in the records held about a product</w:t>
      </w:r>
    </w:p>
    <w:p w14:paraId="2690660E" w14:textId="77777777" w:rsidR="00894002" w:rsidRPr="00894002" w:rsidRDefault="00894002" w:rsidP="00894002">
      <w:pPr>
        <w:pStyle w:val="ListBullet"/>
      </w:pPr>
      <w:r w:rsidRPr="00894002">
        <w:t>Adding a manufacturing step for a licensed manufacturer that was inadvertently omitted.</w:t>
      </w:r>
    </w:p>
    <w:p w14:paraId="0CA7DD43" w14:textId="77777777" w:rsidR="00894002" w:rsidRDefault="008045A7" w:rsidP="008045A7">
      <w:pPr>
        <w:pStyle w:val="Heading4"/>
      </w:pPr>
      <w:bookmarkStart w:id="39" w:name="_Toc10202251"/>
      <w:r w:rsidRPr="008045A7">
        <w:t>Changes to the product information for corrections to ARTG entries</w:t>
      </w:r>
      <w:bookmarkEnd w:id="39"/>
    </w:p>
    <w:p w14:paraId="1EE01355" w14:textId="77777777" w:rsidR="008045A7" w:rsidRDefault="008045A7" w:rsidP="008045A7">
      <w:r>
        <w:t>Variations under s. 9D(1) can generally include only minimal changes to the PI, for example:</w:t>
      </w:r>
    </w:p>
    <w:p w14:paraId="15525C01" w14:textId="77777777" w:rsidR="008045A7" w:rsidRDefault="008045A7" w:rsidP="008045A7">
      <w:pPr>
        <w:pStyle w:val="ListBullet"/>
        <w:numPr>
          <w:ilvl w:val="0"/>
          <w:numId w:val="20"/>
        </w:numPr>
      </w:pPr>
      <w:r>
        <w:t>correcting a typographic error in the street name of the sponsor’s address</w:t>
      </w:r>
    </w:p>
    <w:p w14:paraId="13A047B7" w14:textId="77777777" w:rsidR="008045A7" w:rsidRDefault="008045A7" w:rsidP="008045A7">
      <w:pPr>
        <w:pStyle w:val="ListBullet"/>
        <w:numPr>
          <w:ilvl w:val="0"/>
          <w:numId w:val="20"/>
        </w:numPr>
      </w:pPr>
      <w:r>
        <w:t>adding previously approved text that was inadvertently omitted from the PI—with suitable evidence.</w:t>
      </w:r>
    </w:p>
    <w:p w14:paraId="06EBF78C" w14:textId="77777777" w:rsidR="008045A7" w:rsidRDefault="008045A7" w:rsidP="008045A7">
      <w:r w:rsidRPr="00B27D57">
        <w:t xml:space="preserve">Any other requested </w:t>
      </w:r>
      <w:r>
        <w:t>variation that also requires a change to the PI</w:t>
      </w:r>
      <w:r w:rsidRPr="00B27D57">
        <w:t xml:space="preserve"> </w:t>
      </w:r>
      <w:r>
        <w:t>(</w:t>
      </w:r>
      <w:r w:rsidRPr="00B27D57">
        <w:t>such as moving text from o</w:t>
      </w:r>
      <w:r>
        <w:t>ne section of the PI to another) does not meet the criteria for correcting or completing an ARTG entry and cannot be made under s. 9D(1).</w:t>
      </w:r>
    </w:p>
    <w:p w14:paraId="258474F3" w14:textId="77777777" w:rsidR="008045A7" w:rsidRDefault="008045A7" w:rsidP="00B53F88">
      <w:r>
        <w:t xml:space="preserve">Similarly, updates to the PI to reflect changes made to equivalent documents in other countries cannot be made under s. 9D(1); depending on their nature, these types of changes should be made as </w:t>
      </w:r>
      <w:hyperlink w:anchor="_Safety-related_requests_(SRR)" w:history="1">
        <w:r w:rsidRPr="00034C30">
          <w:rPr>
            <w:rStyle w:val="Hyperlink"/>
          </w:rPr>
          <w:t>safety-related requests</w:t>
        </w:r>
      </w:hyperlink>
      <w:r>
        <w:rPr>
          <w:rStyle w:val="Hyperlink"/>
        </w:rPr>
        <w:t>,</w:t>
      </w:r>
      <w:r>
        <w:t xml:space="preserve"> </w:t>
      </w:r>
      <w:hyperlink w:anchor="_Minor_editorial_changes" w:history="1">
        <w:r>
          <w:rPr>
            <w:rStyle w:val="Hyperlink"/>
          </w:rPr>
          <w:t>m</w:t>
        </w:r>
        <w:r w:rsidRPr="0020294F">
          <w:rPr>
            <w:rStyle w:val="Hyperlink"/>
          </w:rPr>
          <w:t>inor editorial changes</w:t>
        </w:r>
      </w:hyperlink>
      <w:r>
        <w:t xml:space="preserve">, </w:t>
      </w:r>
      <w:hyperlink w:anchor="_Self-assessable_requests_(SARs)" w:history="1">
        <w:r>
          <w:rPr>
            <w:rStyle w:val="Hyperlink"/>
          </w:rPr>
          <w:t>s</w:t>
        </w:r>
        <w:r w:rsidRPr="0020294F">
          <w:rPr>
            <w:rStyle w:val="Hyperlink"/>
          </w:rPr>
          <w:t>elf-</w:t>
        </w:r>
        <w:r>
          <w:rPr>
            <w:rStyle w:val="Hyperlink"/>
          </w:rPr>
          <w:t>assessable r</w:t>
        </w:r>
        <w:r w:rsidRPr="0020294F">
          <w:rPr>
            <w:rStyle w:val="Hyperlink"/>
          </w:rPr>
          <w:t>equests</w:t>
        </w:r>
      </w:hyperlink>
      <w:r>
        <w:t xml:space="preserve"> , </w:t>
      </w:r>
      <w:hyperlink w:anchor="_Category_3_requests" w:history="1">
        <w:r w:rsidR="00166F96" w:rsidRPr="0020294F">
          <w:rPr>
            <w:rStyle w:val="Hyperlink"/>
          </w:rPr>
          <w:t>Category 3</w:t>
        </w:r>
        <w:r w:rsidR="00166F96">
          <w:rPr>
            <w:rStyle w:val="Hyperlink"/>
          </w:rPr>
          <w:t xml:space="preserve"> </w:t>
        </w:r>
        <w:r w:rsidR="00166F96" w:rsidRPr="0020294F">
          <w:rPr>
            <w:rStyle w:val="Hyperlink"/>
          </w:rPr>
          <w:t>requests</w:t>
        </w:r>
      </w:hyperlink>
      <w:r w:rsidR="00166F96">
        <w:t xml:space="preserve"> or </w:t>
      </w:r>
      <w:r>
        <w:t xml:space="preserve">Category 1 </w:t>
      </w:r>
      <w:r w:rsidR="00166F96">
        <w:t>applications.</w:t>
      </w:r>
    </w:p>
    <w:p w14:paraId="658765DE" w14:textId="77777777" w:rsidR="005E22F8" w:rsidRDefault="00834742" w:rsidP="005E22F8">
      <w:pPr>
        <w:pStyle w:val="Heading3"/>
      </w:pPr>
      <w:bookmarkStart w:id="40" w:name="_Notifications"/>
      <w:bookmarkStart w:id="41" w:name="_Toc5089266"/>
      <w:bookmarkStart w:id="42" w:name="_Toc10202252"/>
      <w:bookmarkEnd w:id="40"/>
      <w:r w:rsidRPr="00834742">
        <w:t>Notifications</w:t>
      </w:r>
      <w:bookmarkEnd w:id="41"/>
      <w:bookmarkEnd w:id="42"/>
    </w:p>
    <w:p w14:paraId="165BDC74" w14:textId="77777777" w:rsidR="00834742" w:rsidRDefault="00834742" w:rsidP="00834742">
      <w:r>
        <w:t xml:space="preserve">Notifications are types of variations that have been </w:t>
      </w:r>
      <w:r w:rsidRPr="00D36806">
        <w:t xml:space="preserve">determined to </w:t>
      </w:r>
      <w:r w:rsidRPr="004840F4">
        <w:t>pose a</w:t>
      </w:r>
      <w:r w:rsidRPr="00D36806">
        <w:t xml:space="preserve"> very low risk.</w:t>
      </w:r>
      <w:r>
        <w:t xml:space="preserve"> The TGA has concluded that their implementation would not affect the established quality, safety and efficacy of a registered medicine. This conclusion relies on all conditions being met and generation of the appropriate data</w:t>
      </w:r>
      <w:r w:rsidRPr="00B27D57">
        <w:t>.</w:t>
      </w:r>
      <w:r w:rsidRPr="00B6216E">
        <w:t xml:space="preserve"> </w:t>
      </w:r>
      <w:r>
        <w:t xml:space="preserve">If these conditions are not met, the sponsor must make a Category 3 request to the TGA for evaluation of the proposed variation. See further information about </w:t>
      </w:r>
      <w:hyperlink w:anchor="_Conditions" w:history="1">
        <w:r w:rsidRPr="00A2618D">
          <w:rPr>
            <w:rStyle w:val="Hyperlink"/>
          </w:rPr>
          <w:t>conditions</w:t>
        </w:r>
      </w:hyperlink>
      <w:r>
        <w:t xml:space="preserve"> below.</w:t>
      </w:r>
    </w:p>
    <w:p w14:paraId="5D2509B5" w14:textId="77777777" w:rsidR="00834742" w:rsidRDefault="00834742" w:rsidP="00834742">
      <w:r>
        <w:t>V</w:t>
      </w:r>
      <w:r w:rsidRPr="007B6C3E">
        <w:t xml:space="preserve">ariations </w:t>
      </w:r>
      <w:r>
        <w:t>to prescription medicines</w:t>
      </w:r>
      <w:r w:rsidRPr="007B6C3E">
        <w:t xml:space="preserve"> </w:t>
      </w:r>
      <w:r>
        <w:t xml:space="preserve">submitted as a notification </w:t>
      </w:r>
      <w:r w:rsidRPr="007B6C3E">
        <w:t xml:space="preserve">are </w:t>
      </w:r>
      <w:r>
        <w:t>requests made under the provisions of subsection 9D(2C</w:t>
      </w:r>
      <w:r w:rsidRPr="007B6C3E">
        <w:t xml:space="preserve">) of the </w:t>
      </w:r>
      <w:hyperlink r:id="rId42" w:history="1">
        <w:r w:rsidRPr="009F6A32">
          <w:rPr>
            <w:rStyle w:val="Hyperlink"/>
            <w:i/>
          </w:rPr>
          <w:t>Therapeutic Goods Act 1989</w:t>
        </w:r>
      </w:hyperlink>
      <w:r>
        <w:t xml:space="preserve">. The variation types that can be submitted as ‘notifications’ are specified in regulations 10AAB and 10AAC of the </w:t>
      </w:r>
      <w:hyperlink r:id="rId43" w:history="1">
        <w:r w:rsidR="00ED0602" w:rsidRPr="00B53F88">
          <w:rPr>
            <w:rStyle w:val="Hyperlink"/>
            <w:i/>
          </w:rPr>
          <w:t>Therapeutic Goods Regulations 1990</w:t>
        </w:r>
      </w:hyperlink>
      <w:r w:rsidR="00ED0602">
        <w:rPr>
          <w:i/>
        </w:rPr>
        <w:t xml:space="preserve"> </w:t>
      </w:r>
      <w:r>
        <w:t>(the Regulations). Regulation 10AAB lists variation types for prescription medicines other than biological medicines and Regulation 10AAC lists those for biological medicines.</w:t>
      </w:r>
    </w:p>
    <w:p w14:paraId="70F24E1A" w14:textId="77777777" w:rsidR="00503131" w:rsidRDefault="00503131" w:rsidP="00503131">
      <w:pPr>
        <w:pStyle w:val="Heading4"/>
      </w:pPr>
      <w:bookmarkStart w:id="43" w:name="_Conditions"/>
      <w:bookmarkStart w:id="44" w:name="_Toc10202253"/>
      <w:bookmarkEnd w:id="43"/>
      <w:r w:rsidRPr="00503131">
        <w:t>Conditions</w:t>
      </w:r>
      <w:bookmarkEnd w:id="44"/>
    </w:p>
    <w:p w14:paraId="1AAB241F" w14:textId="77777777" w:rsidR="006468DB" w:rsidRDefault="006468DB" w:rsidP="00095503">
      <w:r>
        <w:t xml:space="preserve">Regulations 10AAB and 10AAC in the </w:t>
      </w:r>
      <w:hyperlink r:id="rId44" w:history="1">
        <w:r w:rsidR="00FD0092" w:rsidRPr="00095503">
          <w:rPr>
            <w:rStyle w:val="Hyperlink"/>
            <w:i/>
          </w:rPr>
          <w:t>Therapeutic Goods Regulations 1990</w:t>
        </w:r>
      </w:hyperlink>
      <w:r w:rsidR="00FD0092">
        <w:t xml:space="preserve"> </w:t>
      </w:r>
      <w:r w:rsidR="00ED0602">
        <w:t xml:space="preserve">refer to the TGA guidance </w:t>
      </w:r>
      <w:hyperlink r:id="rId45" w:history="1">
        <w:r w:rsidR="00ED0602">
          <w:rPr>
            <w:rStyle w:val="Hyperlink"/>
            <w:i/>
          </w:rPr>
          <w:t>Notifications process: requests to vary biologicals and registered medicines where quality, safety and efficacy are not affected</w:t>
        </w:r>
      </w:hyperlink>
      <w:r>
        <w:t>. This guidance describes each variation type and the relevant conditions that must be met to allow the request to be processed as a notification.</w:t>
      </w:r>
    </w:p>
    <w:p w14:paraId="329589A9" w14:textId="77777777" w:rsidR="00FE4CE3" w:rsidRPr="00FE4CE3" w:rsidRDefault="006468DB" w:rsidP="006468DB">
      <w:r>
        <w:t>The electronic application form that must be used to request a ‘notifiable’ variation will not validate unless the applicant provides assurances that each of the conditions associated with each variation type have been met.</w:t>
      </w:r>
    </w:p>
    <w:p w14:paraId="2DCEEE6A" w14:textId="77777777" w:rsidR="00503131" w:rsidRPr="00503131" w:rsidRDefault="006468DB" w:rsidP="006468DB">
      <w:pPr>
        <w:pStyle w:val="Heading4"/>
      </w:pPr>
      <w:bookmarkStart w:id="45" w:name="_Toc10202254"/>
      <w:r w:rsidRPr="006468DB">
        <w:t>Approval</w:t>
      </w:r>
      <w:bookmarkEnd w:id="45"/>
    </w:p>
    <w:p w14:paraId="769D2010" w14:textId="77777777" w:rsidR="006468DB" w:rsidRDefault="006468DB" w:rsidP="00095503">
      <w:pPr>
        <w:rPr>
          <w:shd w:val="clear" w:color="auto" w:fill="FFFFFF"/>
        </w:rPr>
      </w:pPr>
      <w:r>
        <w:t>Requests</w:t>
      </w:r>
      <w:r w:rsidRPr="003D3D52">
        <w:t xml:space="preserve"> </w:t>
      </w:r>
      <w:r>
        <w:t xml:space="preserve">made under ss. 9D(2C) </w:t>
      </w:r>
      <w:r w:rsidRPr="003D3D52">
        <w:t>still require an application to the TGA</w:t>
      </w:r>
      <w:r>
        <w:t xml:space="preserve"> and approval by the Secretary </w:t>
      </w:r>
      <w:r>
        <w:rPr>
          <w:shd w:val="clear" w:color="auto" w:fill="FFFFFF"/>
        </w:rPr>
        <w:t>before implementation by the sponsor. However, due to their very low risk, the specified changes do not require evaluation or assessment by the TGA.</w:t>
      </w:r>
    </w:p>
    <w:p w14:paraId="04E3F190" w14:textId="77777777" w:rsidR="006468DB" w:rsidRDefault="006468DB" w:rsidP="006468DB">
      <w:pPr>
        <w:rPr>
          <w:shd w:val="clear" w:color="auto" w:fill="FFFFFF"/>
        </w:rPr>
      </w:pPr>
      <w:r>
        <w:lastRenderedPageBreak/>
        <w:t>Once an application</w:t>
      </w:r>
      <w:r w:rsidRPr="0000062A">
        <w:t xml:space="preserve"> </w:t>
      </w:r>
      <w:r>
        <w:t xml:space="preserve">is successfully submitted using the electronic form and the fee paid, the sponsor will be sent an email notifying them that the request has been approved and the relevant ARTG entry will be automatically updated. </w:t>
      </w:r>
      <w:r>
        <w:rPr>
          <w:shd w:val="clear" w:color="auto" w:fill="FFFFFF"/>
        </w:rPr>
        <w:t xml:space="preserve">The Secretary’s approval of the variation is made automatically using the TGA Business Services system </w:t>
      </w:r>
      <w:r w:rsidRPr="003D3D52">
        <w:t xml:space="preserve">under the provisions of </w:t>
      </w:r>
      <w:r>
        <w:t xml:space="preserve">s. 7C of </w:t>
      </w:r>
      <w:r w:rsidRPr="003D3D52">
        <w:t xml:space="preserve">the </w:t>
      </w:r>
      <w:r w:rsidRPr="003D3D52">
        <w:rPr>
          <w:i/>
        </w:rPr>
        <w:t>Therapeutic Goods Act 1989</w:t>
      </w:r>
      <w:r w:rsidRPr="00294C10">
        <w:rPr>
          <w:shd w:val="clear" w:color="auto" w:fill="FFFFFF"/>
        </w:rPr>
        <w:t>.</w:t>
      </w:r>
    </w:p>
    <w:p w14:paraId="37B6DC95" w14:textId="77777777" w:rsidR="00834742" w:rsidRDefault="002D5975" w:rsidP="00D61DE7">
      <w:pPr>
        <w:pStyle w:val="Heading3"/>
      </w:pPr>
      <w:bookmarkStart w:id="46" w:name="_Quality_information"/>
      <w:bookmarkStart w:id="47" w:name="_Toc10202255"/>
      <w:bookmarkEnd w:id="46"/>
      <w:r w:rsidRPr="002D5975">
        <w:t xml:space="preserve">Quality </w:t>
      </w:r>
      <w:r w:rsidRPr="00D61DE7">
        <w:t>information</w:t>
      </w:r>
      <w:bookmarkEnd w:id="47"/>
    </w:p>
    <w:p w14:paraId="7D390D9A" w14:textId="77777777" w:rsidR="002D5975" w:rsidRDefault="002D5975" w:rsidP="002D5975">
      <w:r w:rsidRPr="002D5975">
        <w:t xml:space="preserve">The categories included within the </w:t>
      </w:r>
      <w:r w:rsidR="009D0683">
        <w:t>q</w:t>
      </w:r>
      <w:r w:rsidRPr="002D5975">
        <w:t>uality information category group are:</w:t>
      </w:r>
    </w:p>
    <w:p w14:paraId="10CBC61C" w14:textId="77777777" w:rsidR="002D5975" w:rsidRDefault="0057494E" w:rsidP="002D5975">
      <w:pPr>
        <w:pStyle w:val="ListBullet"/>
      </w:pPr>
      <w:hyperlink w:anchor="_Self-assessable_requests_(SARs)" w:history="1">
        <w:r w:rsidR="002D5975" w:rsidRPr="002D5975">
          <w:rPr>
            <w:rStyle w:val="Hyperlink"/>
          </w:rPr>
          <w:t>Self-assessable requests (SARs)</w:t>
        </w:r>
      </w:hyperlink>
    </w:p>
    <w:p w14:paraId="747BC8B5" w14:textId="77777777" w:rsidR="002D5975" w:rsidRDefault="0057494E" w:rsidP="002D5975">
      <w:pPr>
        <w:pStyle w:val="ListBullet"/>
      </w:pPr>
      <w:hyperlink w:anchor="_Category_3_requests" w:history="1">
        <w:r w:rsidR="002D5975" w:rsidRPr="005B6FA3">
          <w:rPr>
            <w:rStyle w:val="Hyperlink"/>
          </w:rPr>
          <w:t>Category 3 requests</w:t>
        </w:r>
      </w:hyperlink>
      <w:r w:rsidR="002D5975">
        <w:t>.</w:t>
      </w:r>
    </w:p>
    <w:p w14:paraId="4BCFABDC" w14:textId="77777777" w:rsidR="002D5975" w:rsidRDefault="002D5975" w:rsidP="002D5975">
      <w:pPr>
        <w:pStyle w:val="Heading4"/>
      </w:pPr>
      <w:bookmarkStart w:id="48" w:name="_Self-assessable_requests_(SARs)"/>
      <w:bookmarkStart w:id="49" w:name="_Toc10202256"/>
      <w:bookmarkEnd w:id="48"/>
      <w:r w:rsidRPr="002D5975">
        <w:t>Self-assessable requests (SARs)</w:t>
      </w:r>
      <w:bookmarkEnd w:id="49"/>
    </w:p>
    <w:p w14:paraId="7900E42B" w14:textId="77777777" w:rsidR="002D5975" w:rsidRDefault="002D5975" w:rsidP="002D5975">
      <w:r>
        <w:t>Some variations are considered by the TGA to pose a lower risk and do not require TGA evaluation of data. These include variations where no data are necessary or where the data can be self-assessed by the sponsor.</w:t>
      </w:r>
    </w:p>
    <w:p w14:paraId="323E503D" w14:textId="77777777" w:rsidR="002D5975" w:rsidRDefault="002D5975" w:rsidP="002D5975">
      <w:r>
        <w:t xml:space="preserve">Where the proposed variation must be validated to demonstrate that </w:t>
      </w:r>
      <w:r w:rsidRPr="000F3EBD">
        <w:t xml:space="preserve">safety, quality </w:t>
      </w:r>
      <w:r>
        <w:t>and</w:t>
      </w:r>
      <w:r w:rsidRPr="000F3EBD">
        <w:t xml:space="preserve"> efficacy</w:t>
      </w:r>
      <w:r>
        <w:t xml:space="preserve"> of the medicine have not been reduced, s</w:t>
      </w:r>
      <w:r w:rsidRPr="000F3EBD">
        <w:t>ponsors can assess the supporting data themselves and then make a request to the TGA based on this self-assessment</w:t>
      </w:r>
      <w:r>
        <w:t xml:space="preserve">. </w:t>
      </w:r>
      <w:r w:rsidRPr="005D6FB2">
        <w:t>The TGA reserves the right to request copies of the experimental (validation) data at its discretion, and to follow up the validation during an inspection of the manufacturing site.</w:t>
      </w:r>
    </w:p>
    <w:p w14:paraId="1B990F80" w14:textId="77777777" w:rsidR="002D5975" w:rsidRDefault="002D5975" w:rsidP="002D5975">
      <w:r>
        <w:t>It is not mandatory for s</w:t>
      </w:r>
      <w:r w:rsidRPr="00B27D57">
        <w:t xml:space="preserve">ponsors </w:t>
      </w:r>
      <w:r>
        <w:t>to</w:t>
      </w:r>
      <w:r w:rsidRPr="00B27D57">
        <w:t xml:space="preserve"> use the self-assessment procedure. Any proposed </w:t>
      </w:r>
      <w:r>
        <w:t>self-assessable variations</w:t>
      </w:r>
      <w:r w:rsidRPr="00B27D57">
        <w:t xml:space="preserve"> to registered medicines may be submitted </w:t>
      </w:r>
      <w:r>
        <w:t>within a</w:t>
      </w:r>
      <w:r w:rsidRPr="00B27D57">
        <w:t xml:space="preserve"> </w:t>
      </w:r>
      <w:hyperlink w:anchor="_Category_3_requests" w:history="1">
        <w:r w:rsidRPr="00F4017B">
          <w:rPr>
            <w:rStyle w:val="Hyperlink"/>
          </w:rPr>
          <w:t>Category 3 application</w:t>
        </w:r>
      </w:hyperlink>
      <w:r w:rsidRPr="00B27D57">
        <w:t xml:space="preserve"> for evaluation</w:t>
      </w:r>
      <w:r>
        <w:t>. In this situation,</w:t>
      </w:r>
      <w:r w:rsidRPr="00B27D57">
        <w:t xml:space="preserve"> </w:t>
      </w:r>
      <w:r>
        <w:t xml:space="preserve">full details should be included in the cover letter and submitted along with </w:t>
      </w:r>
      <w:r w:rsidRPr="00B27D57">
        <w:t xml:space="preserve">the </w:t>
      </w:r>
      <w:r>
        <w:t xml:space="preserve">required Category 3 </w:t>
      </w:r>
      <w:r w:rsidRPr="00B27D57">
        <w:t>data and evaluation fee.</w:t>
      </w:r>
      <w:r>
        <w:t xml:space="preserve"> The relevant Category 3 variation type should be selected. The ‘Other’ Category 3 variation types should only be selected if there is not a relevant Category 3 variation type available. See:</w:t>
      </w:r>
    </w:p>
    <w:p w14:paraId="59F46516" w14:textId="77777777" w:rsidR="00B72E7E" w:rsidRPr="002D5975" w:rsidRDefault="0057494E" w:rsidP="00B72E7E">
      <w:pPr>
        <w:pStyle w:val="ListBullet"/>
      </w:pPr>
      <w:hyperlink r:id="rId46" w:history="1">
        <w:r w:rsidR="00B72E7E" w:rsidRPr="00D61DE7">
          <w:rPr>
            <w:rStyle w:val="Hyperlink"/>
          </w:rPr>
          <w:t>Variations to prescription medicines - excluding variations not requiring evaluation of clinical or bioequivalence data - Appendix 1: Variation types - chemical entities</w:t>
        </w:r>
      </w:hyperlink>
    </w:p>
    <w:p w14:paraId="0FD6D0B1" w14:textId="77777777" w:rsidR="00834742" w:rsidRDefault="0057494E" w:rsidP="00B72E7E">
      <w:pPr>
        <w:pStyle w:val="ListBullet"/>
      </w:pPr>
      <w:hyperlink r:id="rId47" w:history="1">
        <w:r w:rsidR="00B72E7E" w:rsidRPr="00D61DE7">
          <w:rPr>
            <w:rStyle w:val="Hyperlink"/>
          </w:rPr>
          <w:t>Variations to prescription medicines - excluding variations not requiring evaluation of clinical or bioequivalence data - Appendix 2: Variation types -biological medicines</w:t>
        </w:r>
      </w:hyperlink>
      <w:r w:rsidR="00B72E7E">
        <w:t>.</w:t>
      </w:r>
    </w:p>
    <w:p w14:paraId="3F10C5A8" w14:textId="77777777" w:rsidR="004113DA" w:rsidRDefault="004113DA" w:rsidP="004113DA">
      <w:r w:rsidRPr="004113DA">
        <w:t>Requests must meet specific conditions outlined in the Appendix guidance documents to be considered self-assessable. If these conditions are not met, the data must be evaluated by the TGA before the change can be implemented. This means that the sponsor must make a Category 3 request.</w:t>
      </w:r>
    </w:p>
    <w:p w14:paraId="017B9015" w14:textId="77777777" w:rsidR="004113DA" w:rsidRPr="004113DA" w:rsidRDefault="004113DA" w:rsidP="004113DA">
      <w:r w:rsidRPr="004113DA">
        <w:t xml:space="preserve">Depending on the nature of the variation and the significance of the differences in results, additional data—such as information on bioavailability, clinical safety or efficacy—may be needed. If evaluation of clinical, nonclinical or bioequivalence data is needed, the application will then become a Category 1 and sponsors will need to resubmit the application in the </w:t>
      </w:r>
      <w:hyperlink r:id="rId48" w:history="1">
        <w:r w:rsidRPr="004113DA">
          <w:rPr>
            <w:rStyle w:val="Hyperlink"/>
          </w:rPr>
          <w:t>Prescription Medicines Registration Process</w:t>
        </w:r>
      </w:hyperlink>
      <w:r w:rsidRPr="004113DA">
        <w:t>.</w:t>
      </w:r>
    </w:p>
    <w:p w14:paraId="7C532521" w14:textId="77777777" w:rsidR="004113DA" w:rsidRDefault="008F2DD2" w:rsidP="008F2DD2">
      <w:pPr>
        <w:pStyle w:val="Heading5"/>
      </w:pPr>
      <w:r w:rsidRPr="008F2DD2">
        <w:t>Changes to the PI resulting from an SAR</w:t>
      </w:r>
    </w:p>
    <w:p w14:paraId="1CC46957" w14:textId="77777777" w:rsidR="008F2DD2" w:rsidRPr="008F2DD2" w:rsidRDefault="008F2DD2" w:rsidP="008F2DD2">
      <w:r w:rsidRPr="008F2DD2">
        <w:t>Some quality-related variations made under ss. 9D(3) will result in a consequential change to the wording in the PI. These will be processed as part of the SARs.</w:t>
      </w:r>
    </w:p>
    <w:p w14:paraId="3609E17C" w14:textId="77777777" w:rsidR="008F2DD2" w:rsidRDefault="008F2DD2" w:rsidP="00095503">
      <w:pPr>
        <w:keepNext/>
      </w:pPr>
      <w:r w:rsidRPr="008F2DD2">
        <w:lastRenderedPageBreak/>
        <w:t>See also:</w:t>
      </w:r>
    </w:p>
    <w:p w14:paraId="341C1256" w14:textId="77777777" w:rsidR="0001302D" w:rsidRDefault="0057494E" w:rsidP="0001302D">
      <w:pPr>
        <w:pStyle w:val="ListBullet"/>
        <w:numPr>
          <w:ilvl w:val="0"/>
          <w:numId w:val="20"/>
        </w:numPr>
      </w:pPr>
      <w:hyperlink w:anchor="_Changes_to_the" w:history="1">
        <w:r w:rsidR="0001302D" w:rsidRPr="004C47AF">
          <w:rPr>
            <w:rStyle w:val="Hyperlink"/>
          </w:rPr>
          <w:t>General requirements for changes to the product information</w:t>
        </w:r>
      </w:hyperlink>
    </w:p>
    <w:p w14:paraId="33F8413D" w14:textId="77777777" w:rsidR="0001302D" w:rsidRDefault="0001302D" w:rsidP="0001302D">
      <w:pPr>
        <w:pStyle w:val="Heading5"/>
      </w:pPr>
      <w:bookmarkStart w:id="50" w:name="_Self-assessable_requests_(SARs)_1"/>
      <w:bookmarkEnd w:id="50"/>
      <w:r w:rsidRPr="0001302D">
        <w:t>Self-assessable requests (SARs) that create a separate and distinct good under s. 23</w:t>
      </w:r>
    </w:p>
    <w:p w14:paraId="55EB8C63" w14:textId="77777777" w:rsidR="00E80A10" w:rsidRPr="00E80A10" w:rsidRDefault="00E80A10" w:rsidP="00E80A10">
      <w:r w:rsidRPr="00E80A10">
        <w:t>Some variations that are considered self-assessable requests result in a separate and distinct good. All s. 23/s. 25 self-assessable variations that are approved by the TGA will be documented as new ARTG entries under the provisions of s. 25 of the Act.</w:t>
      </w:r>
    </w:p>
    <w:p w14:paraId="487599E4" w14:textId="77777777" w:rsidR="00E80A10" w:rsidRPr="00E80A10" w:rsidRDefault="00E80A10" w:rsidP="00E80A10">
      <w:r w:rsidRPr="00E80A10">
        <w:t xml:space="preserve">See information about separate and distinct goods under the </w:t>
      </w:r>
      <w:hyperlink w:anchor="_Legislative_basis_for" w:history="1">
        <w:r w:rsidRPr="00E80A10">
          <w:rPr>
            <w:rStyle w:val="Hyperlink"/>
          </w:rPr>
          <w:t>legislative basis for varying products</w:t>
        </w:r>
      </w:hyperlink>
      <w:r w:rsidRPr="00E80A10">
        <w:t>.</w:t>
      </w:r>
    </w:p>
    <w:p w14:paraId="629D9731" w14:textId="77777777" w:rsidR="00E80A10" w:rsidRPr="00E80A10" w:rsidRDefault="0059610F" w:rsidP="0022190A">
      <w:pPr>
        <w:pStyle w:val="Heading4"/>
      </w:pPr>
      <w:bookmarkStart w:id="51" w:name="_Category_3_requests"/>
      <w:bookmarkStart w:id="52" w:name="_Toc10202257"/>
      <w:bookmarkEnd w:id="51"/>
      <w:r w:rsidRPr="0059610F">
        <w:t>Category 3 requests</w:t>
      </w:r>
      <w:bookmarkEnd w:id="52"/>
    </w:p>
    <w:p w14:paraId="52BE2B0F" w14:textId="77777777" w:rsidR="0059610F" w:rsidRDefault="0059610F" w:rsidP="0059610F">
      <w:r w:rsidRPr="000D39B0">
        <w:t>Most s</w:t>
      </w:r>
      <w:r>
        <w:t>. </w:t>
      </w:r>
      <w:r w:rsidRPr="000D39B0">
        <w:t>9D(3) requests are quality related</w:t>
      </w:r>
      <w:r>
        <w:t>,</w:t>
      </w:r>
      <w:r w:rsidRPr="000D39B0">
        <w:t xml:space="preserve"> </w:t>
      </w:r>
      <w:r>
        <w:t xml:space="preserve">and </w:t>
      </w:r>
      <w:r w:rsidRPr="000D39B0">
        <w:t>require a Category</w:t>
      </w:r>
      <w:r>
        <w:t> </w:t>
      </w:r>
      <w:r w:rsidRPr="000D39B0">
        <w:t xml:space="preserve">3 application and evaluation of relevant </w:t>
      </w:r>
      <w:r>
        <w:t>quality data by the TGA.</w:t>
      </w:r>
    </w:p>
    <w:p w14:paraId="6486CCBE" w14:textId="77777777" w:rsidR="0059610F" w:rsidRDefault="0059610F" w:rsidP="0059610F">
      <w:pPr>
        <w:ind w:right="380"/>
      </w:pPr>
      <w:r w:rsidRPr="00681F89">
        <w:t xml:space="preserve">The </w:t>
      </w:r>
      <w:r>
        <w:t>Category 3 variation types</w:t>
      </w:r>
      <w:r w:rsidRPr="00681F89">
        <w:t xml:space="preserve"> listed are representative and are not intended to be an exhaustive list of all quality-related changes requiring evaluation of data by the TGA.</w:t>
      </w:r>
      <w:r>
        <w:t xml:space="preserve"> They are generally less specific than the notification and SAR variation types; this means that any change that meets the general description can be submitted as a Category 3 request. This includes:</w:t>
      </w:r>
    </w:p>
    <w:p w14:paraId="22697D40" w14:textId="77777777" w:rsidR="0059610F" w:rsidRDefault="0059610F" w:rsidP="0059610F">
      <w:pPr>
        <w:pStyle w:val="ListBullet"/>
      </w:pPr>
      <w:r>
        <w:t>situations where the conditions and data requirements associated with the lower level request (noti</w:t>
      </w:r>
      <w:r w:rsidR="00095503">
        <w:t>fication or SAR) cannot be met</w:t>
      </w:r>
    </w:p>
    <w:p w14:paraId="43F6CD20" w14:textId="77777777" w:rsidR="0059610F" w:rsidRDefault="0059610F" w:rsidP="0059610F">
      <w:pPr>
        <w:pStyle w:val="ListBullet"/>
      </w:pPr>
      <w:r>
        <w:t>when the sponsor chooses to request that the TGA evaluates the change rather than selecting a SAR or notification when either of those options are applicable</w:t>
      </w:r>
    </w:p>
    <w:p w14:paraId="6E282C66" w14:textId="77777777" w:rsidR="0059610F" w:rsidRDefault="0059610F" w:rsidP="0059610F">
      <w:pPr>
        <w:pStyle w:val="ListBullet"/>
      </w:pPr>
      <w:r>
        <w:t xml:space="preserve">changes that result in multiple, flow-on amendments to other aspects of the goods – only the single Category 3 variation type is needed, not multiple, individual types. See </w:t>
      </w:r>
      <w:hyperlink w:anchor="_How_to_apply" w:history="1">
        <w:r>
          <w:rPr>
            <w:rStyle w:val="Hyperlink"/>
          </w:rPr>
          <w:t>h</w:t>
        </w:r>
        <w:r w:rsidRPr="00642B35">
          <w:rPr>
            <w:rStyle w:val="Hyperlink"/>
          </w:rPr>
          <w:t>ow to apply for a variation</w:t>
        </w:r>
      </w:hyperlink>
      <w:r>
        <w:t xml:space="preserve"> for an example.</w:t>
      </w:r>
    </w:p>
    <w:p w14:paraId="163C34DA" w14:textId="77777777" w:rsidR="0059610F" w:rsidRDefault="0059610F" w:rsidP="0059610F">
      <w:pPr>
        <w:ind w:right="380"/>
      </w:pPr>
      <w:r>
        <w:t>In these situations, a summary of the exact changes</w:t>
      </w:r>
      <w:r w:rsidRPr="00940739">
        <w:t xml:space="preserve"> being requested</w:t>
      </w:r>
      <w:r>
        <w:t xml:space="preserve"> should be</w:t>
      </w:r>
      <w:r w:rsidRPr="00940739">
        <w:t xml:space="preserve"> </w:t>
      </w:r>
      <w:r>
        <w:t>included</w:t>
      </w:r>
      <w:r w:rsidRPr="00940739">
        <w:t xml:space="preserve"> </w:t>
      </w:r>
      <w:r>
        <w:t xml:space="preserve">in the comments field of </w:t>
      </w:r>
      <w:r w:rsidRPr="00940739">
        <w:t xml:space="preserve">the </w:t>
      </w:r>
      <w:r>
        <w:t xml:space="preserve">Variation e-form application and the </w:t>
      </w:r>
      <w:r w:rsidRPr="00940739">
        <w:t>cover letter</w:t>
      </w:r>
      <w:r>
        <w:t>.</w:t>
      </w:r>
    </w:p>
    <w:p w14:paraId="1EC442F9" w14:textId="77777777" w:rsidR="0059610F" w:rsidRDefault="0059610F" w:rsidP="0059610F">
      <w:pPr>
        <w:ind w:right="380"/>
      </w:pPr>
      <w:r w:rsidRPr="00681F89">
        <w:t>The requirements are essentially the same as for the corresponding section of an</w:t>
      </w:r>
      <w:r>
        <w:t xml:space="preserve"> </w:t>
      </w:r>
      <w:r w:rsidRPr="00202FF5">
        <w:t xml:space="preserve">application to register a new </w:t>
      </w:r>
      <w:r>
        <w:t xml:space="preserve">prescription </w:t>
      </w:r>
      <w:r w:rsidRPr="00202FF5">
        <w:t xml:space="preserve">medicine. The requirements of the </w:t>
      </w:r>
      <w:hyperlink r:id="rId49" w:history="1">
        <w:r w:rsidRPr="00857C22">
          <w:rPr>
            <w:rStyle w:val="Hyperlink"/>
          </w:rPr>
          <w:t>Australian Regulatory Guidelines for Prescription Medicines (ARGPM)</w:t>
        </w:r>
      </w:hyperlink>
      <w:r>
        <w:t xml:space="preserve"> and </w:t>
      </w:r>
      <w:r w:rsidRPr="00202FF5">
        <w:t xml:space="preserve">relevant </w:t>
      </w:r>
      <w:hyperlink r:id="rId50" w:history="1">
        <w:r w:rsidRPr="00F7272D">
          <w:rPr>
            <w:rStyle w:val="Hyperlink"/>
          </w:rPr>
          <w:t>European Medicines Agency (EMA)/International Conference on Harmonisation (ICH) guidelines adopted by the TGA</w:t>
        </w:r>
      </w:hyperlink>
      <w:r w:rsidRPr="00DE7BE8">
        <w:t xml:space="preserve"> </w:t>
      </w:r>
      <w:r>
        <w:t>should be met, as appropriate.</w:t>
      </w:r>
    </w:p>
    <w:p w14:paraId="6A4A11A3" w14:textId="77777777" w:rsidR="0059610F" w:rsidRDefault="0059610F" w:rsidP="0059610F">
      <w:r>
        <w:t xml:space="preserve">Requests for variations that require evaluation of clinical or </w:t>
      </w:r>
      <w:r w:rsidRPr="00681F89">
        <w:t>bioequivalence data will require a Category</w:t>
      </w:r>
      <w:r>
        <w:t> </w:t>
      </w:r>
      <w:r w:rsidRPr="00681F89">
        <w:t>1 application</w:t>
      </w:r>
      <w:r>
        <w:t xml:space="preserve"> via the </w:t>
      </w:r>
      <w:hyperlink r:id="rId51" w:history="1">
        <w:r w:rsidRPr="00314485">
          <w:rPr>
            <w:rStyle w:val="Hyperlink"/>
          </w:rPr>
          <w:t>Prescription</w:t>
        </w:r>
        <w:r>
          <w:rPr>
            <w:rStyle w:val="Hyperlink"/>
          </w:rPr>
          <w:t xml:space="preserve"> Medicines Registration P</w:t>
        </w:r>
        <w:r w:rsidRPr="00314485">
          <w:rPr>
            <w:rStyle w:val="Hyperlink"/>
          </w:rPr>
          <w:t>rocess</w:t>
        </w:r>
      </w:hyperlink>
      <w:r w:rsidRPr="00681F89">
        <w:t xml:space="preserve">. </w:t>
      </w:r>
      <w:r>
        <w:t>If a Category </w:t>
      </w:r>
      <w:r w:rsidRPr="00681F89">
        <w:t>3 application is submitted, but the TGA determines that evaluation of clinical</w:t>
      </w:r>
      <w:r>
        <w:t xml:space="preserve"> </w:t>
      </w:r>
      <w:r w:rsidRPr="00681F89">
        <w:t>or bioequivalence data is required,</w:t>
      </w:r>
      <w:r>
        <w:t xml:space="preserve"> sponsors will be informed that the request should be made as a Category 1 application with relevant supporting data.</w:t>
      </w:r>
    </w:p>
    <w:p w14:paraId="3693897C" w14:textId="77777777" w:rsidR="008F2DD2" w:rsidRDefault="0059610F" w:rsidP="0022190A">
      <w:pPr>
        <w:pStyle w:val="Heading5"/>
      </w:pPr>
      <w:bookmarkStart w:id="53" w:name="_Category_3_requests_1"/>
      <w:bookmarkEnd w:id="53"/>
      <w:r w:rsidRPr="0059610F">
        <w:t>Category 3 requests that create a separate and distinct good under s. 23</w:t>
      </w:r>
    </w:p>
    <w:p w14:paraId="550E29C5" w14:textId="77777777" w:rsidR="0059610F" w:rsidRDefault="0059610F" w:rsidP="0059610F">
      <w:r>
        <w:t xml:space="preserve">Some Category 3 requests result in a separate and distinct good. </w:t>
      </w:r>
      <w:r w:rsidRPr="00B27D57">
        <w:t xml:space="preserve">All </w:t>
      </w:r>
      <w:r>
        <w:t>s. 23/s. 25 Category 3</w:t>
      </w:r>
      <w:r w:rsidRPr="00B27D57">
        <w:t xml:space="preserve"> </w:t>
      </w:r>
      <w:r>
        <w:t>submissions/applications</w:t>
      </w:r>
      <w:r w:rsidRPr="00B27D57">
        <w:t xml:space="preserve"> that are approved </w:t>
      </w:r>
      <w:r>
        <w:t xml:space="preserve">by the TGA </w:t>
      </w:r>
      <w:r w:rsidRPr="00B27D57">
        <w:t xml:space="preserve">will be </w:t>
      </w:r>
      <w:r>
        <w:t>documented</w:t>
      </w:r>
      <w:r w:rsidRPr="00B27D57">
        <w:t xml:space="preserve"> as </w:t>
      </w:r>
      <w:r>
        <w:t>new ARTG</w:t>
      </w:r>
      <w:r w:rsidRPr="00B27D57">
        <w:t xml:space="preserve"> entr</w:t>
      </w:r>
      <w:r>
        <w:t>ies</w:t>
      </w:r>
      <w:r w:rsidRPr="00B27D57">
        <w:t xml:space="preserve"> under the provisions of </w:t>
      </w:r>
      <w:r>
        <w:t>s. 25</w:t>
      </w:r>
      <w:r w:rsidRPr="00B27D57">
        <w:t xml:space="preserve"> of the Act.</w:t>
      </w:r>
    </w:p>
    <w:p w14:paraId="1B654E99" w14:textId="77777777" w:rsidR="0059610F" w:rsidRPr="0059610F" w:rsidRDefault="0059610F" w:rsidP="0059610F">
      <w:r w:rsidRPr="0089181B">
        <w:t xml:space="preserve">See </w:t>
      </w:r>
      <w:r>
        <w:t xml:space="preserve">information about separate and distinct goods under </w:t>
      </w:r>
      <w:r w:rsidRPr="0089181B">
        <w:t xml:space="preserve">the </w:t>
      </w:r>
      <w:hyperlink w:anchor="_Legislative_basis_for" w:history="1">
        <w:r w:rsidRPr="0089181B">
          <w:rPr>
            <w:rStyle w:val="Hyperlink"/>
          </w:rPr>
          <w:t>legislative basis for varying products</w:t>
        </w:r>
      </w:hyperlink>
      <w:r w:rsidRPr="00C22C7C">
        <w:rPr>
          <w:rStyle w:val="Hyperlink"/>
          <w:color w:val="auto"/>
          <w:u w:val="none"/>
        </w:rPr>
        <w:t>.</w:t>
      </w:r>
    </w:p>
    <w:p w14:paraId="188509DE" w14:textId="77777777" w:rsidR="00A75CCD" w:rsidRDefault="0022190A" w:rsidP="0022190A">
      <w:pPr>
        <w:pStyle w:val="Heading3"/>
      </w:pPr>
      <w:bookmarkStart w:id="54" w:name="_Product_information"/>
      <w:bookmarkStart w:id="55" w:name="_Toc5089268"/>
      <w:bookmarkStart w:id="56" w:name="_Toc10202258"/>
      <w:bookmarkEnd w:id="54"/>
      <w:r w:rsidRPr="0022190A">
        <w:lastRenderedPageBreak/>
        <w:t>Product information</w:t>
      </w:r>
      <w:bookmarkEnd w:id="55"/>
      <w:bookmarkEnd w:id="56"/>
    </w:p>
    <w:p w14:paraId="42D84BA9" w14:textId="77777777" w:rsidR="00BC45AD" w:rsidRDefault="00BC45AD" w:rsidP="00BC45AD">
      <w:pPr>
        <w:pStyle w:val="ListBullet"/>
        <w:numPr>
          <w:ilvl w:val="0"/>
          <w:numId w:val="0"/>
        </w:numPr>
      </w:pPr>
      <w:r>
        <w:t xml:space="preserve">Product information variations are where the only change is to the product information (PI) document. The categories </w:t>
      </w:r>
      <w:r w:rsidR="009D0683">
        <w:t>included within the p</w:t>
      </w:r>
      <w:r>
        <w:t>roduct information category group include:</w:t>
      </w:r>
    </w:p>
    <w:p w14:paraId="7EDB6D34" w14:textId="77777777" w:rsidR="00BC45AD" w:rsidRPr="00D24FF3" w:rsidRDefault="0057494E" w:rsidP="00BC45AD">
      <w:pPr>
        <w:pStyle w:val="ListBullet"/>
        <w:rPr>
          <w:bCs/>
        </w:rPr>
      </w:pPr>
      <w:hyperlink w:anchor="_Minor_editorial_changes" w:history="1">
        <w:r w:rsidR="00BC45AD" w:rsidRPr="001C0075">
          <w:rPr>
            <w:rStyle w:val="Hyperlink"/>
            <w:bCs/>
          </w:rPr>
          <w:t>Minor editorial changes</w:t>
        </w:r>
      </w:hyperlink>
      <w:r w:rsidR="00BC45AD">
        <w:rPr>
          <w:rStyle w:val="Hyperlink"/>
          <w:bCs/>
        </w:rPr>
        <w:t xml:space="preserve"> (MEC)</w:t>
      </w:r>
    </w:p>
    <w:p w14:paraId="42F969CA" w14:textId="77777777" w:rsidR="00BC45AD" w:rsidRDefault="0057494E" w:rsidP="00BC45AD">
      <w:pPr>
        <w:pStyle w:val="ListBullet"/>
        <w:rPr>
          <w:bCs/>
        </w:rPr>
      </w:pPr>
      <w:hyperlink w:anchor="_Safety-related_requests_(SRR)" w:history="1">
        <w:r w:rsidR="00BC45AD">
          <w:rPr>
            <w:rStyle w:val="Hyperlink"/>
            <w:bCs/>
          </w:rPr>
          <w:t>Safety-related requests (SRRs)</w:t>
        </w:r>
      </w:hyperlink>
    </w:p>
    <w:p w14:paraId="755C34A2" w14:textId="77777777" w:rsidR="002A2D3F" w:rsidRDefault="0057494E" w:rsidP="002A2D3F">
      <w:pPr>
        <w:pStyle w:val="ListBullet"/>
      </w:pPr>
      <w:hyperlink w:anchor="_Extension_of_indications" w:history="1">
        <w:r w:rsidR="00BC45AD" w:rsidRPr="00345F4D">
          <w:rPr>
            <w:rStyle w:val="Hyperlink"/>
          </w:rPr>
          <w:t>Extension of indications to align with a reference product</w:t>
        </w:r>
      </w:hyperlink>
      <w:r w:rsidR="002A2D3F">
        <w:t>.</w:t>
      </w:r>
    </w:p>
    <w:tbl>
      <w:tblPr>
        <w:tblW w:w="9038" w:type="dxa"/>
        <w:tblLayout w:type="fixed"/>
        <w:tblCellMar>
          <w:left w:w="0" w:type="dxa"/>
          <w:right w:w="0" w:type="dxa"/>
        </w:tblCellMar>
        <w:tblLook w:val="04A0" w:firstRow="1" w:lastRow="0" w:firstColumn="1" w:lastColumn="0" w:noHBand="0" w:noVBand="1"/>
      </w:tblPr>
      <w:tblGrid>
        <w:gridCol w:w="1276"/>
        <w:gridCol w:w="7762"/>
      </w:tblGrid>
      <w:tr w:rsidR="002A2D3F" w:rsidRPr="002A2D3F" w14:paraId="059BA723" w14:textId="77777777" w:rsidTr="00134F66">
        <w:tc>
          <w:tcPr>
            <w:tcW w:w="1276" w:type="dxa"/>
            <w:vAlign w:val="center"/>
          </w:tcPr>
          <w:p w14:paraId="6D5C2B47" w14:textId="77777777" w:rsidR="002A2D3F" w:rsidRPr="002A2D3F" w:rsidRDefault="002A2D3F" w:rsidP="002A2D3F">
            <w:r w:rsidRPr="002A2D3F">
              <w:rPr>
                <w:noProof/>
                <w:lang w:eastAsia="en-AU"/>
              </w:rPr>
              <w:drawing>
                <wp:inline distT="0" distB="0" distL="0" distR="0" wp14:anchorId="728C6105" wp14:editId="0E72F322">
                  <wp:extent cx="487681" cy="487681"/>
                  <wp:effectExtent l="19050" t="0" r="7619" b="0"/>
                  <wp:docPr id="1" name="Picture 0" descr="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fo.png"/>
                          <pic:cNvPicPr/>
                        </pic:nvPicPr>
                        <pic:blipFill>
                          <a:blip r:embed="rId23" cstate="print"/>
                          <a:stretch>
                            <a:fillRect/>
                          </a:stretch>
                        </pic:blipFill>
                        <pic:spPr>
                          <a:xfrm>
                            <a:off x="0" y="0"/>
                            <a:ext cx="487681" cy="487681"/>
                          </a:xfrm>
                          <a:prstGeom prst="rect">
                            <a:avLst/>
                          </a:prstGeom>
                        </pic:spPr>
                      </pic:pic>
                    </a:graphicData>
                  </a:graphic>
                </wp:inline>
              </w:drawing>
            </w:r>
          </w:p>
        </w:tc>
        <w:tc>
          <w:tcPr>
            <w:tcW w:w="7762" w:type="dxa"/>
            <w:shd w:val="clear" w:color="auto" w:fill="EAEAEA"/>
            <w:tcMar>
              <w:top w:w="170" w:type="dxa"/>
              <w:left w:w="170" w:type="dxa"/>
              <w:bottom w:w="170" w:type="dxa"/>
              <w:right w:w="170" w:type="dxa"/>
            </w:tcMar>
            <w:vAlign w:val="center"/>
          </w:tcPr>
          <w:p w14:paraId="03F52986" w14:textId="77777777" w:rsidR="002A2D3F" w:rsidRDefault="002A2D3F" w:rsidP="00322718">
            <w:r>
              <w:t>All ARTG entries included in the PI document (and therefore will be affected by a change to the PI) should be selected in the Variation e-form when requesting the variation. If an ARTG entry included in the PI document is not selected, a subsequent variation request wi</w:t>
            </w:r>
            <w:r w:rsidR="00C22C7C">
              <w:t>ll be required to be submitted.</w:t>
            </w:r>
          </w:p>
          <w:p w14:paraId="6F46AE5A" w14:textId="77777777" w:rsidR="002A2D3F" w:rsidRPr="002A2D3F" w:rsidRDefault="002A2D3F" w:rsidP="002A2D3F">
            <w:r>
              <w:t xml:space="preserve">For information about selection of ARTG entries for </w:t>
            </w:r>
            <w:r w:rsidR="00E759B5">
              <w:t xml:space="preserve">variations that are a consequence of a quality change </w:t>
            </w:r>
            <w:r>
              <w:t xml:space="preserve">see </w:t>
            </w:r>
            <w:hyperlink w:anchor="_Consequential_changes_to" w:history="1">
              <w:r w:rsidRPr="002A2D3F">
                <w:rPr>
                  <w:rStyle w:val="Hyperlink"/>
                </w:rPr>
                <w:t>Consequential changes to the product information</w:t>
              </w:r>
            </w:hyperlink>
            <w:r>
              <w:t>.</w:t>
            </w:r>
            <w:r w:rsidR="00495A47">
              <w:t xml:space="preserve"> Note: c</w:t>
            </w:r>
            <w:r w:rsidR="00495A47" w:rsidRPr="00495A47">
              <w:t>hanges to the PI that are a consequence of a quality change do not require a separate variation type to be selected in the Variation e-form. These PI changes should be submitted with the quality change request</w:t>
            </w:r>
            <w:r w:rsidR="00495A47">
              <w:t>.</w:t>
            </w:r>
          </w:p>
        </w:tc>
      </w:tr>
    </w:tbl>
    <w:p w14:paraId="3F67A7AE" w14:textId="77777777" w:rsidR="0022190A" w:rsidRPr="007B3B86" w:rsidRDefault="007B3B86" w:rsidP="00D13C13">
      <w:r w:rsidRPr="007B3B86">
        <w:t>See also:</w:t>
      </w:r>
    </w:p>
    <w:p w14:paraId="0698A05F" w14:textId="77777777" w:rsidR="00FA5663" w:rsidRDefault="0057494E" w:rsidP="00FA5663">
      <w:pPr>
        <w:pStyle w:val="ListBullet"/>
      </w:pPr>
      <w:hyperlink w:anchor="_Changes_to_the" w:history="1">
        <w:r w:rsidR="00BC45AD" w:rsidRPr="00FA5B8F">
          <w:rPr>
            <w:rStyle w:val="Hyperlink"/>
          </w:rPr>
          <w:t>Changes to the product information</w:t>
        </w:r>
      </w:hyperlink>
    </w:p>
    <w:p w14:paraId="284D0E0B" w14:textId="77777777" w:rsidR="003D4265" w:rsidRDefault="00DE1E02" w:rsidP="00DE1E02">
      <w:pPr>
        <w:pStyle w:val="Heading4"/>
      </w:pPr>
      <w:bookmarkStart w:id="57" w:name="_Minor_editorial_changes"/>
      <w:bookmarkStart w:id="58" w:name="_Toc10202259"/>
      <w:bookmarkEnd w:id="57"/>
      <w:r w:rsidRPr="00DE1E02">
        <w:t>Minor editorial changes</w:t>
      </w:r>
      <w:bookmarkEnd w:id="58"/>
    </w:p>
    <w:p w14:paraId="2F2071F2" w14:textId="77777777" w:rsidR="00DE1E02" w:rsidRDefault="00DE1E02" w:rsidP="00DE1E02">
      <w:r w:rsidRPr="001C5B6D">
        <w:t xml:space="preserve">Minor editorial changes are intended to improve the quality and readability of the PI, and cannot alter the context or meaning of the information provided. All PIs must comply with the specified </w:t>
      </w:r>
      <w:hyperlink r:id="rId52" w:history="1">
        <w:r w:rsidRPr="001C5B6D">
          <w:rPr>
            <w:rStyle w:val="Hyperlink"/>
          </w:rPr>
          <w:t>form for providing product information</w:t>
        </w:r>
      </w:hyperlink>
      <w:r w:rsidRPr="001C5B6D">
        <w:t xml:space="preserve"> for a restricted medicine.</w:t>
      </w:r>
    </w:p>
    <w:p w14:paraId="0AC0225D" w14:textId="77777777" w:rsidR="00DE1E02" w:rsidRPr="001C5B6D" w:rsidRDefault="00DE1E02" w:rsidP="00DE1E02">
      <w:r>
        <w:t xml:space="preserve">Sponsors can request minor editorial changes under s. 9D(3) of the </w:t>
      </w:r>
      <w:hyperlink r:id="rId53">
        <w:r>
          <w:rPr>
            <w:i/>
            <w:color w:val="0000FF"/>
            <w:u w:val="single" w:color="0000FF"/>
          </w:rPr>
          <w:t>Therapeutic Goods Act</w:t>
        </w:r>
      </w:hyperlink>
      <w:r>
        <w:rPr>
          <w:i/>
          <w:color w:val="0000FF"/>
          <w:u w:val="single" w:color="0000FF"/>
        </w:rPr>
        <w:t xml:space="preserve"> </w:t>
      </w:r>
      <w:hyperlink r:id="rId54">
        <w:r>
          <w:rPr>
            <w:i/>
            <w:color w:val="0000FF"/>
            <w:u w:val="single" w:color="0000FF"/>
          </w:rPr>
          <w:t>1989</w:t>
        </w:r>
      </w:hyperlink>
      <w:r>
        <w:t>.</w:t>
      </w:r>
    </w:p>
    <w:p w14:paraId="07F30E46" w14:textId="77777777" w:rsidR="00DE1E02" w:rsidRPr="00DE1E02" w:rsidRDefault="00DE1E02" w:rsidP="00DE1E02">
      <w:pPr>
        <w:rPr>
          <w:b/>
        </w:rPr>
      </w:pPr>
      <w:r w:rsidRPr="00DE1E02">
        <w:rPr>
          <w:b/>
        </w:rPr>
        <w:t>Examples</w:t>
      </w:r>
    </w:p>
    <w:p w14:paraId="127747A8" w14:textId="77777777" w:rsidR="00DE1E02" w:rsidRPr="00DE1E02" w:rsidRDefault="00DE1E02" w:rsidP="00DE1E02">
      <w:pPr>
        <w:pStyle w:val="ListBullet"/>
      </w:pPr>
      <w:r w:rsidRPr="00DE1E02">
        <w:t>Changing the sentence structure to improve clarity (for example, changing ‘The pharmacokinetics of multiple doses of product X showed that no accumulation of drug occurred after multiple dosing’ to ‘No accumulation of product X occurred after multiple doses in pharmacokinetics studies’).</w:t>
      </w:r>
    </w:p>
    <w:p w14:paraId="0504C2AA" w14:textId="77777777" w:rsidR="00DE1E02" w:rsidRPr="00DE1E02" w:rsidRDefault="00DE1E02" w:rsidP="00DE1E02">
      <w:pPr>
        <w:pStyle w:val="ListBullet"/>
      </w:pPr>
      <w:r w:rsidRPr="00DE1E02">
        <w:t>Some cases of moving text within the same section of the PI, without changing any text.</w:t>
      </w:r>
    </w:p>
    <w:p w14:paraId="22ACA3F0" w14:textId="77777777" w:rsidR="00DE1E02" w:rsidRPr="00DE1E02" w:rsidRDefault="00DE1E02" w:rsidP="00DE1E02">
      <w:pPr>
        <w:pStyle w:val="ListBullet"/>
      </w:pPr>
      <w:r w:rsidRPr="00DE1E02">
        <w:t>Changing the text about whether or not a particular presentation is marketed.</w:t>
      </w:r>
    </w:p>
    <w:p w14:paraId="541A0028" w14:textId="77777777" w:rsidR="00DE1E02" w:rsidRPr="00DE1E02" w:rsidRDefault="00DE1E02" w:rsidP="00DE1E02">
      <w:pPr>
        <w:pStyle w:val="ListBullet"/>
      </w:pPr>
      <w:r w:rsidRPr="00DE1E02">
        <w:t>Amending headings to comply with the latest approved form for the PI.</w:t>
      </w:r>
    </w:p>
    <w:p w14:paraId="0484F3CC" w14:textId="77777777" w:rsidR="00DE1E02" w:rsidRDefault="00DE1E02" w:rsidP="00DE1E02">
      <w:r w:rsidRPr="001C5B6D">
        <w:t>No new or amended information relating to the quality, safety or efficacy of the product should be proposed as a minor editorial change</w:t>
      </w:r>
      <w:r>
        <w:t xml:space="preserve"> (see </w:t>
      </w:r>
      <w:hyperlink w:anchor="_Safety-related_requests_(SRR)" w:history="1">
        <w:r w:rsidRPr="004B02F6">
          <w:rPr>
            <w:rStyle w:val="Hyperlink"/>
          </w:rPr>
          <w:t>safety-related requests</w:t>
        </w:r>
      </w:hyperlink>
      <w:r>
        <w:t xml:space="preserve">, </w:t>
      </w:r>
      <w:hyperlink w:anchor="_Self-assessable_requests_(SARs)" w:history="1">
        <w:r>
          <w:rPr>
            <w:rStyle w:val="Hyperlink"/>
          </w:rPr>
          <w:t>s</w:t>
        </w:r>
        <w:r w:rsidRPr="0020294F">
          <w:rPr>
            <w:rStyle w:val="Hyperlink"/>
          </w:rPr>
          <w:t>elf-</w:t>
        </w:r>
        <w:r>
          <w:rPr>
            <w:rStyle w:val="Hyperlink"/>
          </w:rPr>
          <w:t>assessable r</w:t>
        </w:r>
        <w:r w:rsidRPr="0020294F">
          <w:rPr>
            <w:rStyle w:val="Hyperlink"/>
          </w:rPr>
          <w:t>equests</w:t>
        </w:r>
      </w:hyperlink>
      <w:r>
        <w:t xml:space="preserve"> or </w:t>
      </w:r>
      <w:hyperlink w:anchor="_Category_3_requests" w:history="1">
        <w:r w:rsidRPr="0020294F">
          <w:rPr>
            <w:rStyle w:val="Hyperlink"/>
          </w:rPr>
          <w:t>Category 3 requests</w:t>
        </w:r>
      </w:hyperlink>
      <w:r>
        <w:t>).</w:t>
      </w:r>
    </w:p>
    <w:p w14:paraId="7B8996D9" w14:textId="77777777" w:rsidR="00DE1E02" w:rsidRPr="00DE1E02" w:rsidRDefault="00DE1E02" w:rsidP="00DE1E02">
      <w:pPr>
        <w:rPr>
          <w:b/>
        </w:rPr>
      </w:pPr>
      <w:r w:rsidRPr="00DE1E02">
        <w:rPr>
          <w:b/>
        </w:rPr>
        <w:t>Related information</w:t>
      </w:r>
      <w:r w:rsidR="00C37CA4">
        <w:rPr>
          <w:b/>
        </w:rPr>
        <w:t>:</w:t>
      </w:r>
    </w:p>
    <w:p w14:paraId="686CF672" w14:textId="77777777" w:rsidR="00DE1E02" w:rsidRDefault="0057494E" w:rsidP="00DE1E02">
      <w:pPr>
        <w:pStyle w:val="ListBullet"/>
        <w:numPr>
          <w:ilvl w:val="0"/>
          <w:numId w:val="20"/>
        </w:numPr>
      </w:pPr>
      <w:hyperlink w:anchor="_Changes_to_the" w:history="1">
        <w:r w:rsidR="00DE1E02" w:rsidRPr="004C47AF">
          <w:rPr>
            <w:rStyle w:val="Hyperlink"/>
          </w:rPr>
          <w:t>General requirements for changes to the product information</w:t>
        </w:r>
      </w:hyperlink>
      <w:r w:rsidR="00C37CA4" w:rsidRPr="00C22C7C">
        <w:rPr>
          <w:rStyle w:val="Hyperlink"/>
          <w:color w:val="auto"/>
          <w:u w:val="none"/>
        </w:rPr>
        <w:t>.</w:t>
      </w:r>
    </w:p>
    <w:p w14:paraId="373757BE" w14:textId="77777777" w:rsidR="00DE1E02" w:rsidRDefault="00DE1E02" w:rsidP="00DE1E02">
      <w:pPr>
        <w:pStyle w:val="Heading4"/>
      </w:pPr>
      <w:bookmarkStart w:id="59" w:name="_Safety-related_requests_(SRR)"/>
      <w:bookmarkStart w:id="60" w:name="_Toc10202260"/>
      <w:bookmarkEnd w:id="59"/>
      <w:r w:rsidRPr="00DE1E02">
        <w:lastRenderedPageBreak/>
        <w:t>Safety-related requests (SRR)</w:t>
      </w:r>
      <w:bookmarkEnd w:id="60"/>
    </w:p>
    <w:p w14:paraId="612DF62E" w14:textId="77777777" w:rsidR="00E54354" w:rsidRDefault="00E54354" w:rsidP="00E54354">
      <w:pPr>
        <w:keepNext/>
        <w:tabs>
          <w:tab w:val="left" w:pos="7901"/>
        </w:tabs>
      </w:pPr>
      <w:r>
        <w:t xml:space="preserve">A safety-related request (SRR) is used to vary an entry in the </w:t>
      </w:r>
      <w:r w:rsidRPr="00CE246F">
        <w:t>ARTG</w:t>
      </w:r>
      <w:r w:rsidR="00C22C7C">
        <w:t xml:space="preserve"> to either:</w:t>
      </w:r>
    </w:p>
    <w:p w14:paraId="3B4A1A9A" w14:textId="77777777" w:rsidR="00E54354" w:rsidRDefault="00E54354" w:rsidP="00E54354">
      <w:pPr>
        <w:pStyle w:val="ListBullet"/>
        <w:numPr>
          <w:ilvl w:val="0"/>
          <w:numId w:val="20"/>
        </w:numPr>
      </w:pPr>
      <w:r>
        <w:t>reduce</w:t>
      </w:r>
      <w:r w:rsidRPr="00E149C3">
        <w:t xml:space="preserve"> the patient population that can receive the medicine</w:t>
      </w:r>
      <w:r>
        <w:t xml:space="preserve"> or</w:t>
      </w:r>
    </w:p>
    <w:p w14:paraId="24EB6242" w14:textId="77777777" w:rsidR="00E54354" w:rsidRDefault="00E54354" w:rsidP="00E54354">
      <w:pPr>
        <w:pStyle w:val="ListBullet"/>
        <w:numPr>
          <w:ilvl w:val="0"/>
          <w:numId w:val="20"/>
        </w:numPr>
      </w:pPr>
      <w:r>
        <w:t>a</w:t>
      </w:r>
      <w:r w:rsidRPr="00834FEB">
        <w:t>dd a warning or precaution</w:t>
      </w:r>
      <w:r>
        <w:t>.</w:t>
      </w:r>
    </w:p>
    <w:p w14:paraId="75254F6C" w14:textId="77777777" w:rsidR="00E54354" w:rsidRDefault="00E54354" w:rsidP="00E54354">
      <w:r w:rsidRPr="00A77D74">
        <w:t>If</w:t>
      </w:r>
      <w:r>
        <w:t>,</w:t>
      </w:r>
      <w:r w:rsidRPr="00A77D74">
        <w:t xml:space="preserve"> </w:t>
      </w:r>
      <w:r w:rsidRPr="00B27D57">
        <w:t xml:space="preserve">during </w:t>
      </w:r>
      <w:r w:rsidRPr="007347DB">
        <w:t>evaluation of a Category</w:t>
      </w:r>
      <w:r>
        <w:t> </w:t>
      </w:r>
      <w:r w:rsidRPr="007347DB">
        <w:t>1 application</w:t>
      </w:r>
      <w:r>
        <w:t xml:space="preserve"> (</w:t>
      </w:r>
      <w:hyperlink r:id="rId55" w:history="1">
        <w:r w:rsidRPr="00314485">
          <w:rPr>
            <w:rStyle w:val="Hyperlink"/>
          </w:rPr>
          <w:t>Prescription</w:t>
        </w:r>
        <w:r>
          <w:rPr>
            <w:rStyle w:val="Hyperlink"/>
          </w:rPr>
          <w:t xml:space="preserve"> Medicines Registration P</w:t>
        </w:r>
        <w:r w:rsidRPr="00314485">
          <w:rPr>
            <w:rStyle w:val="Hyperlink"/>
          </w:rPr>
          <w:t>rocess</w:t>
        </w:r>
      </w:hyperlink>
      <w:r>
        <w:t>)</w:t>
      </w:r>
      <w:r w:rsidRPr="00B27D57">
        <w:t xml:space="preserve">, </w:t>
      </w:r>
      <w:r>
        <w:t>proposed</w:t>
      </w:r>
      <w:r w:rsidRPr="00A77D74">
        <w:t xml:space="preserve"> changes to the PI</w:t>
      </w:r>
      <w:r>
        <w:t xml:space="preserve"> </w:t>
      </w:r>
      <w:r w:rsidRPr="00B27D57">
        <w:t>are identified</w:t>
      </w:r>
      <w:r>
        <w:t xml:space="preserve"> as being safety-related, </w:t>
      </w:r>
      <w:r w:rsidRPr="00B27D57">
        <w:t xml:space="preserve">the sponsor </w:t>
      </w:r>
      <w:r>
        <w:t>may</w:t>
      </w:r>
      <w:r w:rsidRPr="00B27D57">
        <w:t xml:space="preserve"> be asked to submit a separate </w:t>
      </w:r>
      <w:r>
        <w:t xml:space="preserve">safety-related </w:t>
      </w:r>
      <w:r w:rsidRPr="00B27D57">
        <w:t>reque</w:t>
      </w:r>
      <w:r>
        <w:t>s</w:t>
      </w:r>
      <w:r w:rsidRPr="00B27D57">
        <w:t xml:space="preserve">t under </w:t>
      </w:r>
      <w:r>
        <w:t>s. 9</w:t>
      </w:r>
      <w:r w:rsidRPr="00B27D57">
        <w:t>D(2).</w:t>
      </w:r>
      <w:r w:rsidRPr="00880C0A">
        <w:t xml:space="preserve"> </w:t>
      </w:r>
      <w:r w:rsidRPr="00B27D57">
        <w:t xml:space="preserve">Following </w:t>
      </w:r>
      <w:r>
        <w:t>the incorrect</w:t>
      </w:r>
      <w:r w:rsidRPr="00B27D57">
        <w:t xml:space="preserve"> process is likely to </w:t>
      </w:r>
      <w:r>
        <w:t>cause</w:t>
      </w:r>
      <w:r w:rsidRPr="00B27D57">
        <w:t xml:space="preserve"> delays in approval of important safety-related changes to the product.</w:t>
      </w:r>
    </w:p>
    <w:p w14:paraId="3364CD15" w14:textId="77777777" w:rsidR="00E54354" w:rsidRDefault="00E54354" w:rsidP="00E54354">
      <w:r>
        <w:t xml:space="preserve">SRRs are made under s. 9D(2) of the </w:t>
      </w:r>
      <w:hyperlink r:id="rId56">
        <w:r>
          <w:rPr>
            <w:i/>
            <w:color w:val="0000FF"/>
            <w:u w:val="single" w:color="0000FF"/>
          </w:rPr>
          <w:t>Therapeutic Goods Act</w:t>
        </w:r>
      </w:hyperlink>
      <w:r>
        <w:rPr>
          <w:i/>
          <w:color w:val="0000FF"/>
          <w:u w:val="single" w:color="0000FF"/>
        </w:rPr>
        <w:t xml:space="preserve"> </w:t>
      </w:r>
      <w:hyperlink r:id="rId57">
        <w:r>
          <w:rPr>
            <w:i/>
            <w:color w:val="0000FF"/>
            <w:u w:val="single" w:color="0000FF"/>
          </w:rPr>
          <w:t>1989</w:t>
        </w:r>
      </w:hyperlink>
      <w:r>
        <w:t>. These changes always require changes to the PI.</w:t>
      </w:r>
    </w:p>
    <w:p w14:paraId="3D1C795E" w14:textId="77777777" w:rsidR="001C254B" w:rsidRPr="001C5B6D" w:rsidRDefault="001C254B" w:rsidP="001C254B">
      <w:pPr>
        <w:pStyle w:val="Heading5"/>
      </w:pPr>
      <w:bookmarkStart w:id="61" w:name="_Toc334539745"/>
      <w:bookmarkStart w:id="62" w:name="_Toc337632488"/>
      <w:bookmarkStart w:id="63" w:name="_Toc483236673"/>
      <w:r w:rsidRPr="001C254B">
        <w:t>Variations that reduce the patient population</w:t>
      </w:r>
      <w:bookmarkEnd w:id="61"/>
      <w:bookmarkEnd w:id="62"/>
      <w:bookmarkEnd w:id="63"/>
    </w:p>
    <w:p w14:paraId="0868E3B8" w14:textId="77777777" w:rsidR="001C254B" w:rsidRPr="001C254B" w:rsidRDefault="001C254B" w:rsidP="001C254B">
      <w:r w:rsidRPr="001C254B">
        <w:t>These types of safety-related variations reduce the population of people who can take the medicine. In most cases, the TGA only needs to verify the details of the request.</w:t>
      </w:r>
    </w:p>
    <w:p w14:paraId="3AF4B1C8" w14:textId="77777777" w:rsidR="001C254B" w:rsidRPr="001C254B" w:rsidRDefault="001C254B" w:rsidP="001C254B">
      <w:pPr>
        <w:rPr>
          <w:b/>
        </w:rPr>
      </w:pPr>
      <w:r w:rsidRPr="001C254B">
        <w:rPr>
          <w:b/>
        </w:rPr>
        <w:t>Examples</w:t>
      </w:r>
    </w:p>
    <w:p w14:paraId="58551860" w14:textId="77777777" w:rsidR="001C254B" w:rsidRPr="001C254B" w:rsidRDefault="001C254B" w:rsidP="001C254B">
      <w:pPr>
        <w:pStyle w:val="ListBullet"/>
        <w:numPr>
          <w:ilvl w:val="0"/>
          <w:numId w:val="3"/>
        </w:numPr>
      </w:pPr>
      <w:r w:rsidRPr="001C254B">
        <w:t>Removing an indication</w:t>
      </w:r>
    </w:p>
    <w:p w14:paraId="53950918" w14:textId="77777777" w:rsidR="001C254B" w:rsidRPr="001C254B" w:rsidRDefault="001C254B" w:rsidP="001C254B">
      <w:pPr>
        <w:pStyle w:val="ListBullet"/>
        <w:numPr>
          <w:ilvl w:val="0"/>
          <w:numId w:val="3"/>
        </w:numPr>
      </w:pPr>
      <w:r w:rsidRPr="001C254B">
        <w:t>Restricting use of the medicine to certain patient groups (for example, patients within a particular age range)</w:t>
      </w:r>
    </w:p>
    <w:p w14:paraId="178ABEFA" w14:textId="77777777" w:rsidR="001C254B" w:rsidRPr="001C254B" w:rsidRDefault="001C254B" w:rsidP="001C254B">
      <w:pPr>
        <w:pStyle w:val="ListBullet"/>
        <w:numPr>
          <w:ilvl w:val="0"/>
          <w:numId w:val="3"/>
        </w:numPr>
      </w:pPr>
      <w:r w:rsidRPr="001C254B">
        <w:t>Adding certain contraindications (for example, contraindicated in patients with renal impairment)</w:t>
      </w:r>
    </w:p>
    <w:p w14:paraId="40CD4DD1" w14:textId="77777777" w:rsidR="001C254B" w:rsidRPr="001C254B" w:rsidRDefault="001C254B" w:rsidP="001C254B">
      <w:r w:rsidRPr="001C254B">
        <w:t>Updates to the PI that provide further information from clinical trials relating to the patient population (including quantitative information), but not linked to a warning or a request to reduce the number of people taking the medicine, cannot be approved as a safety-related request.</w:t>
      </w:r>
    </w:p>
    <w:p w14:paraId="1F2F3254" w14:textId="77777777" w:rsidR="00DE1E02" w:rsidRDefault="001C254B" w:rsidP="001C254B">
      <w:pPr>
        <w:pStyle w:val="Heading5"/>
      </w:pPr>
      <w:r w:rsidRPr="001C254B">
        <w:t>Variations that add a warning or precaution</w:t>
      </w:r>
    </w:p>
    <w:tbl>
      <w:tblPr>
        <w:tblW w:w="9038" w:type="dxa"/>
        <w:tblLayout w:type="fixed"/>
        <w:tblCellMar>
          <w:left w:w="0" w:type="dxa"/>
          <w:right w:w="0" w:type="dxa"/>
        </w:tblCellMar>
        <w:tblLook w:val="04A0" w:firstRow="1" w:lastRow="0" w:firstColumn="1" w:lastColumn="0" w:noHBand="0" w:noVBand="1"/>
      </w:tblPr>
      <w:tblGrid>
        <w:gridCol w:w="1276"/>
        <w:gridCol w:w="7762"/>
      </w:tblGrid>
      <w:tr w:rsidR="00B91650" w:rsidRPr="00215D48" w14:paraId="17DA343F" w14:textId="77777777" w:rsidTr="00312CE2">
        <w:tc>
          <w:tcPr>
            <w:tcW w:w="1276" w:type="dxa"/>
            <w:vAlign w:val="center"/>
          </w:tcPr>
          <w:p w14:paraId="70AA8D77" w14:textId="77777777" w:rsidR="00B91650" w:rsidRPr="00215D48" w:rsidRDefault="00B91650" w:rsidP="00312CE2">
            <w:pPr>
              <w:spacing w:before="0"/>
              <w:rPr>
                <w:sz w:val="20"/>
              </w:rPr>
            </w:pPr>
            <w:r w:rsidRPr="00215D48">
              <w:rPr>
                <w:noProof/>
                <w:sz w:val="20"/>
                <w:lang w:eastAsia="en-AU"/>
              </w:rPr>
              <w:drawing>
                <wp:inline distT="0" distB="0" distL="0" distR="0" wp14:anchorId="6AE60BA2" wp14:editId="16592D1B">
                  <wp:extent cx="487681" cy="487681"/>
                  <wp:effectExtent l="19050" t="0" r="7619" b="0"/>
                  <wp:docPr id="8" name="Picture 0" descr="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fo.png"/>
                          <pic:cNvPicPr/>
                        </pic:nvPicPr>
                        <pic:blipFill>
                          <a:blip r:embed="rId23" cstate="print"/>
                          <a:stretch>
                            <a:fillRect/>
                          </a:stretch>
                        </pic:blipFill>
                        <pic:spPr>
                          <a:xfrm>
                            <a:off x="0" y="0"/>
                            <a:ext cx="487681" cy="487681"/>
                          </a:xfrm>
                          <a:prstGeom prst="rect">
                            <a:avLst/>
                          </a:prstGeom>
                        </pic:spPr>
                      </pic:pic>
                    </a:graphicData>
                  </a:graphic>
                </wp:inline>
              </w:drawing>
            </w:r>
          </w:p>
        </w:tc>
        <w:tc>
          <w:tcPr>
            <w:tcW w:w="7762" w:type="dxa"/>
            <w:shd w:val="clear" w:color="auto" w:fill="EAEAEA"/>
            <w:tcMar>
              <w:top w:w="170" w:type="dxa"/>
              <w:left w:w="170" w:type="dxa"/>
              <w:bottom w:w="170" w:type="dxa"/>
              <w:right w:w="170" w:type="dxa"/>
            </w:tcMar>
            <w:vAlign w:val="center"/>
          </w:tcPr>
          <w:p w14:paraId="5A01FCF9" w14:textId="77777777" w:rsidR="00B91650" w:rsidRPr="00B91650" w:rsidRDefault="00B91650" w:rsidP="00B91650">
            <w:pPr>
              <w:rPr>
                <w:b/>
              </w:rPr>
            </w:pPr>
            <w:r w:rsidRPr="00B91650">
              <w:rPr>
                <w:b/>
              </w:rPr>
              <w:t>Warnings and precautions</w:t>
            </w:r>
          </w:p>
          <w:p w14:paraId="1952C848" w14:textId="77777777" w:rsidR="00B91650" w:rsidRPr="00215D48" w:rsidRDefault="00B91650" w:rsidP="00322718">
            <w:r>
              <w:t>Proposed changes to an ARTG entry (and/or the approved PI for a product) can have the effect of adding a warning or precaution without actually using the words ‘warning’ or ‘precaution’. For example, adding ‘oedema’ or ‘dizziness’ to a list of adverse effects in the PI will have the effect of warning prescribers about a risk associated with the product. These types of changes meet the criteria of s. 9</w:t>
            </w:r>
            <w:proofErr w:type="gramStart"/>
            <w:r>
              <w:t>D(</w:t>
            </w:r>
            <w:proofErr w:type="gramEnd"/>
            <w:r>
              <w:t>2) and are considered to be ‘safety-related’.</w:t>
            </w:r>
          </w:p>
        </w:tc>
      </w:tr>
    </w:tbl>
    <w:p w14:paraId="2913104E" w14:textId="77777777" w:rsidR="00DE1E02" w:rsidRPr="00D52CA4" w:rsidRDefault="00D52CA4" w:rsidP="00D52CA4">
      <w:pPr>
        <w:rPr>
          <w:b/>
        </w:rPr>
      </w:pPr>
      <w:r w:rsidRPr="00D52CA4">
        <w:rPr>
          <w:b/>
        </w:rPr>
        <w:t>Examples</w:t>
      </w:r>
    </w:p>
    <w:p w14:paraId="5B655BBF" w14:textId="77777777" w:rsidR="00D52CA4" w:rsidRPr="002C204B" w:rsidRDefault="00D52CA4" w:rsidP="00D52CA4">
      <w:pPr>
        <w:pStyle w:val="ListBullet"/>
      </w:pPr>
      <w:r>
        <w:t>Adding</w:t>
      </w:r>
      <w:r w:rsidRPr="002C204B">
        <w:t xml:space="preserve"> a </w:t>
      </w:r>
      <w:r>
        <w:t xml:space="preserve">clearly identified </w:t>
      </w:r>
      <w:r w:rsidRPr="002C204B">
        <w:t>warning</w:t>
      </w:r>
      <w:r>
        <w:t xml:space="preserve"> or precaution</w:t>
      </w:r>
    </w:p>
    <w:p w14:paraId="5A7D9F4D" w14:textId="77777777" w:rsidR="00D52CA4" w:rsidRPr="002C204B" w:rsidRDefault="00D52CA4" w:rsidP="00D52CA4">
      <w:pPr>
        <w:pStyle w:val="ListBullet"/>
      </w:pPr>
      <w:r>
        <w:t>Adding</w:t>
      </w:r>
      <w:r w:rsidRPr="002C204B">
        <w:t xml:space="preserve"> an adverse effect</w:t>
      </w:r>
    </w:p>
    <w:p w14:paraId="205542E9" w14:textId="77777777" w:rsidR="00D52CA4" w:rsidRPr="002C204B" w:rsidRDefault="00D52CA4" w:rsidP="00D52CA4">
      <w:pPr>
        <w:pStyle w:val="ListBullet"/>
      </w:pPr>
      <w:r>
        <w:t>Adding</w:t>
      </w:r>
      <w:r w:rsidRPr="002C204B">
        <w:t xml:space="preserve"> an interaction</w:t>
      </w:r>
    </w:p>
    <w:p w14:paraId="01F4BABE" w14:textId="77777777" w:rsidR="00D52CA4" w:rsidRPr="002C204B" w:rsidRDefault="00D52CA4" w:rsidP="00D52CA4">
      <w:pPr>
        <w:pStyle w:val="ListBullet"/>
      </w:pPr>
      <w:r>
        <w:t>Adding</w:t>
      </w:r>
      <w:r w:rsidRPr="002C204B">
        <w:t xml:space="preserve"> a contraindication</w:t>
      </w:r>
    </w:p>
    <w:p w14:paraId="24ACB330" w14:textId="77777777" w:rsidR="00D52CA4" w:rsidRDefault="00D52CA4" w:rsidP="00322718">
      <w:pPr>
        <w:pStyle w:val="ListBullet"/>
      </w:pPr>
      <w:r>
        <w:t xml:space="preserve">Changing </w:t>
      </w:r>
      <w:r w:rsidRPr="00322718">
        <w:t>the</w:t>
      </w:r>
      <w:r w:rsidRPr="002C204B">
        <w:t xml:space="preserve"> ‘Use in </w:t>
      </w:r>
      <w:r>
        <w:t>p</w:t>
      </w:r>
      <w:r w:rsidRPr="002C204B">
        <w:t>regnancy’ category to a more restrictive classification</w:t>
      </w:r>
    </w:p>
    <w:p w14:paraId="1062F9B5" w14:textId="77777777" w:rsidR="00D52CA4" w:rsidRDefault="00D52CA4" w:rsidP="00D52CA4">
      <w:pPr>
        <w:pStyle w:val="ListBullet"/>
      </w:pPr>
      <w:r>
        <w:lastRenderedPageBreak/>
        <w:t>Increasing the frequency of a known adverse effect (for example, changing from ‘common’ to ‘very common’) or upgrading its severity (for example, moving it from the ‘Adverse effects’ to the ‘Precautions’ sections of the PI)</w:t>
      </w:r>
    </w:p>
    <w:p w14:paraId="401240E3" w14:textId="77777777" w:rsidR="00D52CA4" w:rsidRDefault="00D52CA4" w:rsidP="00D52CA4">
      <w:pPr>
        <w:pStyle w:val="ListBullet"/>
      </w:pPr>
      <w:r>
        <w:t>Specific warnings about handling, storage or disposal of a product</w:t>
      </w:r>
    </w:p>
    <w:p w14:paraId="17501DC8" w14:textId="77777777" w:rsidR="00D52CA4" w:rsidRDefault="00D52CA4" w:rsidP="00D52CA4">
      <w:pPr>
        <w:pStyle w:val="ListBullet"/>
        <w:numPr>
          <w:ilvl w:val="0"/>
          <w:numId w:val="0"/>
        </w:numPr>
        <w:spacing w:before="180"/>
      </w:pPr>
      <w:r>
        <w:t>I</w:t>
      </w:r>
      <w:r w:rsidRPr="002C204B">
        <w:t xml:space="preserve">f the proposed </w:t>
      </w:r>
      <w:r>
        <w:t>change is</w:t>
      </w:r>
      <w:r w:rsidRPr="002C204B">
        <w:t xml:space="preserve"> a simple addition of a short, qualitative word or phrase </w:t>
      </w:r>
      <w:r>
        <w:t xml:space="preserve">(for example, adding </w:t>
      </w:r>
      <w:r w:rsidRPr="002C204B">
        <w:t>an adverse effect such as ‘headache’</w:t>
      </w:r>
      <w:r>
        <w:t>), verification of the details by the TGA is sufficient for approval. However, sponsors must be able to provide the TGA with data to support the proposed change if the TGA requests it.</w:t>
      </w:r>
    </w:p>
    <w:tbl>
      <w:tblPr>
        <w:tblW w:w="9038" w:type="dxa"/>
        <w:tblLayout w:type="fixed"/>
        <w:tblCellMar>
          <w:left w:w="0" w:type="dxa"/>
          <w:right w:w="0" w:type="dxa"/>
        </w:tblCellMar>
        <w:tblLook w:val="04A0" w:firstRow="1" w:lastRow="0" w:firstColumn="1" w:lastColumn="0" w:noHBand="0" w:noVBand="1"/>
      </w:tblPr>
      <w:tblGrid>
        <w:gridCol w:w="1276"/>
        <w:gridCol w:w="7762"/>
      </w:tblGrid>
      <w:tr w:rsidR="00D52CA4" w:rsidRPr="00D52CA4" w14:paraId="1FBAC62E" w14:textId="77777777" w:rsidTr="00312CE2">
        <w:tc>
          <w:tcPr>
            <w:tcW w:w="1276" w:type="dxa"/>
            <w:vAlign w:val="center"/>
          </w:tcPr>
          <w:p w14:paraId="779348E9" w14:textId="77777777" w:rsidR="00D52CA4" w:rsidRPr="00D52CA4" w:rsidRDefault="00D52CA4" w:rsidP="00D52CA4">
            <w:pPr>
              <w:spacing w:before="0"/>
              <w:rPr>
                <w:sz w:val="20"/>
              </w:rPr>
            </w:pPr>
            <w:r w:rsidRPr="00D52CA4">
              <w:rPr>
                <w:noProof/>
                <w:sz w:val="20"/>
                <w:lang w:eastAsia="en-AU"/>
              </w:rPr>
              <w:drawing>
                <wp:inline distT="0" distB="0" distL="0" distR="0" wp14:anchorId="762423F8" wp14:editId="6384E604">
                  <wp:extent cx="487681" cy="487681"/>
                  <wp:effectExtent l="19050" t="0" r="7619" b="0"/>
                  <wp:docPr id="9" name="Picture 0" descr="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fo.png"/>
                          <pic:cNvPicPr/>
                        </pic:nvPicPr>
                        <pic:blipFill>
                          <a:blip r:embed="rId23" cstate="print"/>
                          <a:stretch>
                            <a:fillRect/>
                          </a:stretch>
                        </pic:blipFill>
                        <pic:spPr>
                          <a:xfrm>
                            <a:off x="0" y="0"/>
                            <a:ext cx="487681" cy="487681"/>
                          </a:xfrm>
                          <a:prstGeom prst="rect">
                            <a:avLst/>
                          </a:prstGeom>
                        </pic:spPr>
                      </pic:pic>
                    </a:graphicData>
                  </a:graphic>
                </wp:inline>
              </w:drawing>
            </w:r>
          </w:p>
        </w:tc>
        <w:tc>
          <w:tcPr>
            <w:tcW w:w="7762" w:type="dxa"/>
            <w:shd w:val="clear" w:color="auto" w:fill="EAEAEA"/>
            <w:tcMar>
              <w:top w:w="170" w:type="dxa"/>
              <w:left w:w="170" w:type="dxa"/>
              <w:bottom w:w="170" w:type="dxa"/>
              <w:right w:w="170" w:type="dxa"/>
            </w:tcMar>
            <w:vAlign w:val="center"/>
          </w:tcPr>
          <w:p w14:paraId="686108E1" w14:textId="77777777" w:rsidR="00D52CA4" w:rsidRPr="00D52CA4" w:rsidRDefault="00D52CA4" w:rsidP="00D52CA4">
            <w:r w:rsidRPr="00D52CA4">
              <w:rPr>
                <w:b/>
              </w:rPr>
              <w:t>Variations that don’t add a warning or precaution</w:t>
            </w:r>
          </w:p>
          <w:p w14:paraId="6D9E91DA" w14:textId="77777777" w:rsidR="00D52CA4" w:rsidRPr="00D52CA4" w:rsidRDefault="00D52CA4" w:rsidP="00D52CA4">
            <w:r w:rsidRPr="00D52CA4">
              <w:t xml:space="preserve">Not all adverse effects, contraindications and so on will meet the criteria of being a safety-related change. All proposed variations in a safety-related request are assessed to determine whether they are </w:t>
            </w:r>
            <w:r w:rsidR="00C22C7C">
              <w:t>within the meaning of s. 9</w:t>
            </w:r>
            <w:proofErr w:type="gramStart"/>
            <w:r w:rsidR="00C22C7C">
              <w:t>D(</w:t>
            </w:r>
            <w:proofErr w:type="gramEnd"/>
            <w:r w:rsidR="00C22C7C">
              <w:t>2).</w:t>
            </w:r>
          </w:p>
          <w:p w14:paraId="774E4A88" w14:textId="77777777" w:rsidR="00D52CA4" w:rsidRPr="00D52CA4" w:rsidRDefault="00D52CA4" w:rsidP="00D52CA4">
            <w:r w:rsidRPr="00D52CA4">
              <w:t>Examples of changes to the PI that are not within the meaning of s. 9D(2):</w:t>
            </w:r>
          </w:p>
          <w:p w14:paraId="118E4ACE" w14:textId="77777777" w:rsidR="00D52CA4" w:rsidRPr="00D52CA4" w:rsidRDefault="00D52CA4" w:rsidP="000144B6">
            <w:pPr>
              <w:pStyle w:val="ListBullet"/>
            </w:pPr>
            <w:r w:rsidRPr="00D52CA4">
              <w:t>a change that may unintentionally broaden the use of the product (for example, a statement that patients with impaired liver function should not take the medicine for an unapproved indication may imply that people with healthy livers can use the medicine to treat the unapproved indication)</w:t>
            </w:r>
          </w:p>
          <w:p w14:paraId="1AD87D02" w14:textId="77777777" w:rsidR="00D52CA4" w:rsidRPr="00D52CA4" w:rsidRDefault="00D52CA4" w:rsidP="000144B6">
            <w:pPr>
              <w:pStyle w:val="ListBullet"/>
            </w:pPr>
            <w:r w:rsidRPr="00D52CA4">
              <w:t>adding a warning, precaution or claim that compares the medicine with another medicine of the same class (for example, product A is less toxic than product B)</w:t>
            </w:r>
          </w:p>
          <w:p w14:paraId="7E4063BB" w14:textId="77777777" w:rsidR="00D52CA4" w:rsidRPr="00D52CA4" w:rsidRDefault="00D52CA4" w:rsidP="000144B6">
            <w:pPr>
              <w:pStyle w:val="ListBullet2"/>
            </w:pPr>
            <w:r w:rsidRPr="00D52CA4">
              <w:t>Section 9D(2) expressly excludes warnings or precautions that includes a comparison of the goods with any other goods by reference to quality, safety or efficacy—see s. 9D(2)(b)(ii).</w:t>
            </w:r>
          </w:p>
          <w:p w14:paraId="073EEB02" w14:textId="77777777" w:rsidR="00D52CA4" w:rsidRPr="00D52CA4" w:rsidRDefault="00D52CA4" w:rsidP="000144B6">
            <w:pPr>
              <w:pStyle w:val="ListBullet"/>
            </w:pPr>
            <w:r w:rsidRPr="00D52CA4">
              <w:t xml:space="preserve">adding information on appropriate medical treatment of overdose, unless recommended by the TGA or </w:t>
            </w:r>
            <w:hyperlink r:id="rId58" w:history="1">
              <w:r w:rsidRPr="00D52CA4">
                <w:rPr>
                  <w:rStyle w:val="Hyperlink"/>
                </w:rPr>
                <w:t>Therapeutic Guidelines</w:t>
              </w:r>
            </w:hyperlink>
          </w:p>
          <w:p w14:paraId="13CA58C3" w14:textId="77777777" w:rsidR="00D52CA4" w:rsidRPr="00D52CA4" w:rsidRDefault="00D52CA4" w:rsidP="000144B6">
            <w:pPr>
              <w:pStyle w:val="ListBullet"/>
            </w:pPr>
            <w:r w:rsidRPr="00D52CA4">
              <w:t>adding modifying phrases which reduce the impact of a warning (for example, adding a statement such as ‘no causal relationship has been established’)</w:t>
            </w:r>
          </w:p>
          <w:p w14:paraId="54BBEAAF" w14:textId="77777777" w:rsidR="00D52CA4" w:rsidRPr="00D52CA4" w:rsidRDefault="00D52CA4" w:rsidP="000144B6">
            <w:pPr>
              <w:pStyle w:val="ListBullet"/>
            </w:pPr>
            <w:r w:rsidRPr="00D52CA4">
              <w:t>adding a statement relating to the efficacy of the medicine.</w:t>
            </w:r>
          </w:p>
          <w:p w14:paraId="48271E1B" w14:textId="77777777" w:rsidR="00D52CA4" w:rsidRPr="00D52CA4" w:rsidRDefault="00D52CA4" w:rsidP="00D52CA4">
            <w:r w:rsidRPr="00D52CA4">
              <w:t>These types of requests must be made under s. 9D(3) of the Act.</w:t>
            </w:r>
          </w:p>
        </w:tc>
      </w:tr>
    </w:tbl>
    <w:p w14:paraId="5B519A6A" w14:textId="77777777" w:rsidR="000144B6" w:rsidRPr="000144B6" w:rsidRDefault="000144B6" w:rsidP="000144B6">
      <w:pPr>
        <w:pStyle w:val="Heading5"/>
      </w:pPr>
      <w:bookmarkStart w:id="64" w:name="_SRRs_requiring_evaluation"/>
      <w:bookmarkStart w:id="65" w:name="_Toc483236676"/>
      <w:bookmarkEnd w:id="64"/>
      <w:r w:rsidRPr="000144B6">
        <w:t>SRRs requiring evaluation of data</w:t>
      </w:r>
      <w:bookmarkEnd w:id="65"/>
    </w:p>
    <w:p w14:paraId="649DCE30" w14:textId="77777777" w:rsidR="000144B6" w:rsidRPr="000144B6" w:rsidRDefault="000144B6" w:rsidP="00322718">
      <w:r w:rsidRPr="000144B6">
        <w:t>If the proposed change is more than adding a simple word or phrase to the approved PI, or is intended to reflect findings from a clinical trial or other type of study, the TGA may need to evaluate supporting data. The requirement of supporting data will depend on the proposed changes in the safety related request. The request will be processed as a safety-related request with data for evaluation provided it meets the criteria of s. 9</w:t>
      </w:r>
      <w:proofErr w:type="gramStart"/>
      <w:r w:rsidRPr="000144B6">
        <w:t>D(</w:t>
      </w:r>
      <w:proofErr w:type="gramEnd"/>
      <w:r w:rsidRPr="000144B6">
        <w:t>2).</w:t>
      </w:r>
    </w:p>
    <w:p w14:paraId="14FC070B" w14:textId="77777777" w:rsidR="000144B6" w:rsidRPr="000144B6" w:rsidRDefault="000144B6" w:rsidP="000144B6">
      <w:r w:rsidRPr="000144B6">
        <w:t>If the sponsor is unsure if the proposed changes require supporting data, please contact AET prior to submission.</w:t>
      </w:r>
    </w:p>
    <w:p w14:paraId="23A6F149" w14:textId="77777777" w:rsidR="000144B6" w:rsidRPr="000144B6" w:rsidRDefault="000144B6" w:rsidP="00B2538C">
      <w:pPr>
        <w:keepNext/>
      </w:pPr>
      <w:bookmarkStart w:id="66" w:name="_Examples_of_safety"/>
      <w:bookmarkEnd w:id="66"/>
      <w:r w:rsidRPr="000144B6">
        <w:rPr>
          <w:b/>
        </w:rPr>
        <w:lastRenderedPageBreak/>
        <w:t>Examples of safety related changes to PI that may require data for evaluation</w:t>
      </w:r>
    </w:p>
    <w:p w14:paraId="56835183" w14:textId="77777777" w:rsidR="000144B6" w:rsidRPr="00B2538C" w:rsidRDefault="000144B6" w:rsidP="00B2538C">
      <w:pPr>
        <w:pStyle w:val="ListBullet"/>
      </w:pPr>
      <w:r w:rsidRPr="00B2538C">
        <w:t>Includes quantitative data (describing values or incidence of certain findings e.g. incidence of an adverse effect)</w:t>
      </w:r>
    </w:p>
    <w:p w14:paraId="06DB002F" w14:textId="77777777" w:rsidR="000144B6" w:rsidRPr="00B2538C" w:rsidRDefault="000144B6" w:rsidP="00B2538C">
      <w:pPr>
        <w:pStyle w:val="ListBullet"/>
      </w:pPr>
      <w:r w:rsidRPr="00B2538C">
        <w:t>Describes a detailed causal relationship, including clinical significance</w:t>
      </w:r>
    </w:p>
    <w:p w14:paraId="1AA2CCA4" w14:textId="77777777" w:rsidR="000144B6" w:rsidRPr="00B2538C" w:rsidRDefault="000144B6" w:rsidP="00B2538C">
      <w:pPr>
        <w:pStyle w:val="ListBullet"/>
      </w:pPr>
      <w:r w:rsidRPr="00B2538C">
        <w:t xml:space="preserve">Adds detailed information on interactions with other medicines (e.g. describing quantitative changes to AUC or </w:t>
      </w:r>
      <w:proofErr w:type="spellStart"/>
      <w:r w:rsidRPr="00B2538C">
        <w:t>Cmax</w:t>
      </w:r>
      <w:proofErr w:type="spellEnd"/>
      <w:r w:rsidRPr="00B2538C">
        <w:t xml:space="preserve"> when drug A is taken with drug B).</w:t>
      </w:r>
    </w:p>
    <w:p w14:paraId="72916094" w14:textId="77777777" w:rsidR="000144B6" w:rsidRPr="000144B6" w:rsidRDefault="000144B6" w:rsidP="00B2538C">
      <w:pPr>
        <w:pStyle w:val="ListBullet"/>
      </w:pPr>
      <w:r w:rsidRPr="00B2538C">
        <w:t>Description of clinical</w:t>
      </w:r>
      <w:r w:rsidRPr="000144B6">
        <w:t xml:space="preserve"> trial or study that adds to a warning or precaution</w:t>
      </w:r>
    </w:p>
    <w:p w14:paraId="4E330606" w14:textId="77777777" w:rsidR="000144B6" w:rsidRPr="000144B6" w:rsidRDefault="000144B6" w:rsidP="000144B6">
      <w:r w:rsidRPr="000144B6">
        <w:t xml:space="preserve">Requests that involve amendments to the PI and require evaluation of clinical, nonclinical or bioequivalence data will require a Category 1 application in the </w:t>
      </w:r>
      <w:hyperlink r:id="rId59" w:history="1">
        <w:r w:rsidRPr="000144B6">
          <w:rPr>
            <w:rStyle w:val="Hyperlink"/>
          </w:rPr>
          <w:t>Prescription Medicines Registration Process</w:t>
        </w:r>
      </w:hyperlink>
      <w:r w:rsidRPr="000144B6">
        <w:t xml:space="preserve">. </w:t>
      </w:r>
      <w:r w:rsidR="00730DE7">
        <w:t>E</w:t>
      </w:r>
      <w:r w:rsidRPr="000144B6">
        <w:t>xample</w:t>
      </w:r>
      <w:r w:rsidR="00730DE7">
        <w:t xml:space="preserve">s </w:t>
      </w:r>
      <w:r w:rsidR="00DB6F4D">
        <w:t>include</w:t>
      </w:r>
      <w:r w:rsidR="00DB6F4D" w:rsidRPr="000144B6">
        <w:t xml:space="preserve"> adding</w:t>
      </w:r>
      <w:r w:rsidRPr="000144B6">
        <w:t xml:space="preserve"> clinical trial information relating </w:t>
      </w:r>
      <w:r w:rsidR="00DB6F4D">
        <w:t>to efficacy rather than safety (</w:t>
      </w:r>
      <w:r w:rsidRPr="000144B6">
        <w:t>such as meta-analysis from clinical trials without accompanying safety statements</w:t>
      </w:r>
      <w:r w:rsidR="00DB6F4D">
        <w:t>)</w:t>
      </w:r>
      <w:r w:rsidR="00730DE7">
        <w:t xml:space="preserve"> and updating or adding new dosage directions for patients with renal impairment or due to interactions with other medicines.</w:t>
      </w:r>
    </w:p>
    <w:p w14:paraId="167B028D" w14:textId="77777777" w:rsidR="000144B6" w:rsidRPr="000144B6" w:rsidRDefault="000144B6" w:rsidP="000144B6">
      <w:pPr>
        <w:pStyle w:val="Heading5"/>
      </w:pPr>
      <w:r w:rsidRPr="000144B6">
        <w:t>Safety-related variations identified by the TGA</w:t>
      </w:r>
    </w:p>
    <w:tbl>
      <w:tblPr>
        <w:tblW w:w="9038" w:type="dxa"/>
        <w:tblLayout w:type="fixed"/>
        <w:tblCellMar>
          <w:left w:w="0" w:type="dxa"/>
          <w:right w:w="0" w:type="dxa"/>
        </w:tblCellMar>
        <w:tblLook w:val="04A0" w:firstRow="1" w:lastRow="0" w:firstColumn="1" w:lastColumn="0" w:noHBand="0" w:noVBand="1"/>
      </w:tblPr>
      <w:tblGrid>
        <w:gridCol w:w="1276"/>
        <w:gridCol w:w="7762"/>
      </w:tblGrid>
      <w:tr w:rsidR="003B2A99" w:rsidRPr="00215D48" w14:paraId="43BB2709" w14:textId="77777777" w:rsidTr="00312CE2">
        <w:tc>
          <w:tcPr>
            <w:tcW w:w="1276" w:type="dxa"/>
            <w:vAlign w:val="center"/>
          </w:tcPr>
          <w:p w14:paraId="081DA40F" w14:textId="77777777" w:rsidR="003B2A99" w:rsidRPr="00215D48" w:rsidRDefault="003B2A99" w:rsidP="00312CE2">
            <w:pPr>
              <w:spacing w:before="0"/>
              <w:rPr>
                <w:sz w:val="20"/>
              </w:rPr>
            </w:pPr>
            <w:r w:rsidRPr="00215D48">
              <w:rPr>
                <w:noProof/>
                <w:sz w:val="20"/>
                <w:lang w:eastAsia="en-AU"/>
              </w:rPr>
              <w:drawing>
                <wp:inline distT="0" distB="0" distL="0" distR="0" wp14:anchorId="7C790A48" wp14:editId="4A8C5C66">
                  <wp:extent cx="487681" cy="487681"/>
                  <wp:effectExtent l="19050" t="0" r="7619" b="0"/>
                  <wp:docPr id="10" name="Picture 0" descr="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fo.png"/>
                          <pic:cNvPicPr/>
                        </pic:nvPicPr>
                        <pic:blipFill>
                          <a:blip r:embed="rId23" cstate="print"/>
                          <a:stretch>
                            <a:fillRect/>
                          </a:stretch>
                        </pic:blipFill>
                        <pic:spPr>
                          <a:xfrm>
                            <a:off x="0" y="0"/>
                            <a:ext cx="487681" cy="487681"/>
                          </a:xfrm>
                          <a:prstGeom prst="rect">
                            <a:avLst/>
                          </a:prstGeom>
                        </pic:spPr>
                      </pic:pic>
                    </a:graphicData>
                  </a:graphic>
                </wp:inline>
              </w:drawing>
            </w:r>
          </w:p>
        </w:tc>
        <w:tc>
          <w:tcPr>
            <w:tcW w:w="7762" w:type="dxa"/>
            <w:shd w:val="clear" w:color="auto" w:fill="EAEAEA"/>
            <w:tcMar>
              <w:top w:w="170" w:type="dxa"/>
              <w:left w:w="170" w:type="dxa"/>
              <w:bottom w:w="170" w:type="dxa"/>
              <w:right w:w="170" w:type="dxa"/>
            </w:tcMar>
            <w:vAlign w:val="center"/>
          </w:tcPr>
          <w:p w14:paraId="742B75D7" w14:textId="77777777" w:rsidR="003B2A99" w:rsidRPr="003B2A99" w:rsidRDefault="003B2A99" w:rsidP="00322718">
            <w:r w:rsidRPr="003B2A99">
              <w:t>If the TGA identifies the need for a safety-related variation to a sponsor’s product, and a consequential change to the approved PI, it can initiate discussions with the sponsor about safety-related requests. This may be to align the approved PI with other PIs for products that contain the same active ingredient, or because a signal has been identified during post-market monitoring of the medicine.</w:t>
            </w:r>
          </w:p>
          <w:p w14:paraId="4254A142" w14:textId="77777777" w:rsidR="003B2A99" w:rsidRPr="00215D48" w:rsidRDefault="003B2A99" w:rsidP="003B2A99">
            <w:r w:rsidRPr="003B2A99">
              <w:t xml:space="preserve">The processes and requirements for SRRs, including </w:t>
            </w:r>
            <w:hyperlink w:anchor="_Fees_for_minor" w:history="1">
              <w:r w:rsidRPr="003B2A99">
                <w:rPr>
                  <w:rStyle w:val="Hyperlink"/>
                </w:rPr>
                <w:t>fees</w:t>
              </w:r>
            </w:hyperlink>
            <w:r w:rsidRPr="003B2A99">
              <w:t>, also apply to safety-related variations identified by the TGA.</w:t>
            </w:r>
          </w:p>
        </w:tc>
      </w:tr>
    </w:tbl>
    <w:p w14:paraId="7DD557BC" w14:textId="77777777" w:rsidR="003B2A99" w:rsidRPr="003B2A99" w:rsidRDefault="003B2A99" w:rsidP="003B2A99">
      <w:pPr>
        <w:pStyle w:val="Heading6"/>
      </w:pPr>
      <w:bookmarkStart w:id="67" w:name="_Toc324338063"/>
      <w:bookmarkStart w:id="68" w:name="_Toc330812680"/>
      <w:bookmarkStart w:id="69" w:name="_Toc334539755"/>
      <w:bookmarkStart w:id="70" w:name="_Toc337632498"/>
      <w:bookmarkStart w:id="71" w:name="_Toc483236678"/>
      <w:r w:rsidRPr="003B2A99">
        <w:t>Alignment of product information approved for the same active ingredient</w:t>
      </w:r>
      <w:bookmarkEnd w:id="67"/>
      <w:bookmarkEnd w:id="68"/>
      <w:bookmarkEnd w:id="69"/>
      <w:bookmarkEnd w:id="70"/>
      <w:bookmarkEnd w:id="71"/>
    </w:p>
    <w:p w14:paraId="7C93D4D5" w14:textId="77777777" w:rsidR="003B2A99" w:rsidRPr="003B2A99" w:rsidRDefault="003B2A99" w:rsidP="003B2A99">
      <w:bookmarkStart w:id="72" w:name="_Toc324338064"/>
      <w:bookmarkStart w:id="73" w:name="_Toc330812681"/>
      <w:r w:rsidRPr="003B2A99">
        <w:t>To ensure that the information that is available to healthcare professionals and the public is consistent, all approved PIs for registered prescription medicines containing the same active ingredient should be comparable in terms of the safety information provided.</w:t>
      </w:r>
    </w:p>
    <w:p w14:paraId="4E58F43A" w14:textId="77777777" w:rsidR="003B2A99" w:rsidRPr="003B2A99" w:rsidRDefault="003B2A99" w:rsidP="003B2A99">
      <w:r w:rsidRPr="003B2A99">
        <w:t>If a safety related change to a PI is approved, the TGA encourages sponsors to ensure that the approved PIs of all other related products are similarly updated by the same process.</w:t>
      </w:r>
    </w:p>
    <w:p w14:paraId="459E30DC" w14:textId="77777777" w:rsidR="003B2A99" w:rsidRPr="003B2A99" w:rsidRDefault="003B2A99" w:rsidP="003B2A99">
      <w:r w:rsidRPr="003B2A99">
        <w:t>It is a specific condition of registration that the product information for generic products be updated within one month of safety-related changes made by the reference product.</w:t>
      </w:r>
    </w:p>
    <w:p w14:paraId="60C52EF4" w14:textId="77777777" w:rsidR="003B2A99" w:rsidRPr="003B2A99" w:rsidRDefault="003B2A99" w:rsidP="003B2A99">
      <w:pPr>
        <w:pStyle w:val="Heading6"/>
      </w:pPr>
      <w:bookmarkStart w:id="74" w:name="_Toc334539756"/>
      <w:bookmarkStart w:id="75" w:name="_Toc337632499"/>
      <w:bookmarkStart w:id="76" w:name="_Toc483236679"/>
      <w:r w:rsidRPr="003B2A99">
        <w:t>Changes to the product information based on postmarket monitoring</w:t>
      </w:r>
      <w:bookmarkEnd w:id="72"/>
      <w:bookmarkEnd w:id="73"/>
      <w:bookmarkEnd w:id="74"/>
      <w:bookmarkEnd w:id="75"/>
      <w:bookmarkEnd w:id="76"/>
    </w:p>
    <w:p w14:paraId="07A727FA" w14:textId="77777777" w:rsidR="003B2A99" w:rsidRPr="003B2A99" w:rsidRDefault="003B2A99" w:rsidP="003B2A99">
      <w:r w:rsidRPr="003B2A99">
        <w:t>Additional safety information about a product often becomes available after the product has entered the marketplace. The TGA may identify a signal during post-market monitoring and decide that a safety-related variation is appropriate. In this case, the TGA usually contacts the sponsor directly to discuss the requirements, and the specific statements that should be added or removed from the approved PI.</w:t>
      </w:r>
    </w:p>
    <w:p w14:paraId="32B5536D" w14:textId="77777777" w:rsidR="003B2A99" w:rsidRPr="003B2A99" w:rsidRDefault="003B2A99" w:rsidP="003B2A99">
      <w:r w:rsidRPr="003B2A99">
        <w:t>In some instances, the TGA may evaluate data provided by the sponsor to be satisfied that the appropriate warning will be added to the PI. Once this is finalised, the TGA will ask the sponsor to submit a safety-related request, with the appropriate fee, depending on whether or not data were evaluated. The variation to the ARTG entry will then be approved, along with the consequential change to the PI.</w:t>
      </w:r>
    </w:p>
    <w:p w14:paraId="714E3983" w14:textId="77777777" w:rsidR="00D52CA4" w:rsidRDefault="0005692C" w:rsidP="0005692C">
      <w:pPr>
        <w:pStyle w:val="Heading4"/>
      </w:pPr>
      <w:bookmarkStart w:id="77" w:name="_Extension_of_indications"/>
      <w:bookmarkStart w:id="78" w:name="_Toc10202261"/>
      <w:bookmarkEnd w:id="77"/>
      <w:r w:rsidRPr="0005692C">
        <w:lastRenderedPageBreak/>
        <w:t>Extension of indications to align with a reference product</w:t>
      </w:r>
      <w:bookmarkEnd w:id="78"/>
    </w:p>
    <w:p w14:paraId="61014A47" w14:textId="77777777" w:rsidR="00803732" w:rsidRDefault="00803732" w:rsidP="00803732">
      <w:r>
        <w:t>Extension of indications to align with a reference product is a variation to indications where:</w:t>
      </w:r>
    </w:p>
    <w:p w14:paraId="098B7105" w14:textId="77777777" w:rsidR="00803732" w:rsidRDefault="00803732" w:rsidP="00803732">
      <w:pPr>
        <w:pStyle w:val="ListBullet"/>
      </w:pPr>
      <w:r>
        <w:t>the proposed indication is identical to one already approved for a prescription medicine where bioequivalence has previously been demonstrated</w:t>
      </w:r>
    </w:p>
    <w:p w14:paraId="457B7D85" w14:textId="77777777" w:rsidR="00803732" w:rsidRDefault="00803732" w:rsidP="00803732">
      <w:pPr>
        <w:pStyle w:val="ListBullet"/>
      </w:pPr>
      <w:r>
        <w:t xml:space="preserve">regulation 16G of the </w:t>
      </w:r>
      <w:hyperlink r:id="rId60" w:history="1">
        <w:r w:rsidRPr="00AD3E70">
          <w:rPr>
            <w:rStyle w:val="Hyperlink"/>
          </w:rPr>
          <w:t>Therapeutic Goods Regulations 1990</w:t>
        </w:r>
      </w:hyperlink>
      <w:r>
        <w:t xml:space="preserve"> applies and does not require the evaluation of clinical, pre-clinical or bio-equivalence data</w:t>
      </w:r>
    </w:p>
    <w:p w14:paraId="2D8B33B4" w14:textId="77777777" w:rsidR="00803732" w:rsidRDefault="00803732" w:rsidP="00803732">
      <w:pPr>
        <w:pStyle w:val="ListBullet"/>
      </w:pPr>
      <w:r>
        <w:t xml:space="preserve">the applicant proposes to group the new medicine (this variation results in a </w:t>
      </w:r>
      <w:hyperlink w:anchor="_Separate_and_distinct" w:history="1">
        <w:r w:rsidRPr="008D2674">
          <w:rPr>
            <w:rStyle w:val="Hyperlink"/>
          </w:rPr>
          <w:t>separate and distinct good</w:t>
        </w:r>
      </w:hyperlink>
      <w:r>
        <w:t>) with the existing medicine.</w:t>
      </w:r>
    </w:p>
    <w:p w14:paraId="504B58CE" w14:textId="77777777" w:rsidR="00803732" w:rsidRDefault="00803732" w:rsidP="00803732">
      <w:r>
        <w:t xml:space="preserve">If the variation requires evaluation of clinical, pre-clinical or bio-equivalence data, see </w:t>
      </w:r>
      <w:hyperlink r:id="rId61" w:history="1">
        <w:r w:rsidRPr="00314485">
          <w:rPr>
            <w:rStyle w:val="Hyperlink"/>
          </w:rPr>
          <w:t>Prescription</w:t>
        </w:r>
        <w:r>
          <w:rPr>
            <w:rStyle w:val="Hyperlink"/>
          </w:rPr>
          <w:t xml:space="preserve"> Medicines Registration P</w:t>
        </w:r>
        <w:r w:rsidRPr="00314485">
          <w:rPr>
            <w:rStyle w:val="Hyperlink"/>
          </w:rPr>
          <w:t>rocess</w:t>
        </w:r>
      </w:hyperlink>
      <w:r>
        <w:rPr>
          <w:rStyle w:val="Hyperlink"/>
        </w:rPr>
        <w:t>.</w:t>
      </w:r>
    </w:p>
    <w:p w14:paraId="759ABD8F" w14:textId="77777777" w:rsidR="00D52CA4" w:rsidRPr="00803732" w:rsidRDefault="00803732" w:rsidP="00803732">
      <w:pPr>
        <w:rPr>
          <w:b/>
        </w:rPr>
      </w:pPr>
      <w:r w:rsidRPr="00803732">
        <w:rPr>
          <w:b/>
        </w:rPr>
        <w:t>Related information</w:t>
      </w:r>
      <w:r w:rsidR="00C37CA4">
        <w:rPr>
          <w:b/>
        </w:rPr>
        <w:t>:</w:t>
      </w:r>
    </w:p>
    <w:p w14:paraId="4C671846" w14:textId="77777777" w:rsidR="00803732" w:rsidRDefault="00803732" w:rsidP="00803732">
      <w:pPr>
        <w:pStyle w:val="ListBullet"/>
      </w:pPr>
      <w:r>
        <w:t xml:space="preserve">Extension of indications to align with a reference product in </w:t>
      </w:r>
      <w:hyperlink r:id="rId62" w:history="1">
        <w:r w:rsidRPr="00322718">
          <w:rPr>
            <w:rStyle w:val="Hyperlink"/>
          </w:rPr>
          <w:t>Variations to prescription medicines</w:t>
        </w:r>
        <w:r w:rsidR="00530E5B" w:rsidRPr="00322718">
          <w:rPr>
            <w:rStyle w:val="Hyperlink"/>
          </w:rPr>
          <w:t xml:space="preserve"> - excluding variations requiring evaluation of clinical or bioequivalence data</w:t>
        </w:r>
        <w:r w:rsidRPr="00322718">
          <w:rPr>
            <w:rStyle w:val="Hyperlink"/>
          </w:rPr>
          <w:t xml:space="preserve"> - Appendix 1: Variation types – chemical entities</w:t>
        </w:r>
      </w:hyperlink>
      <w:r w:rsidR="00C37CA4" w:rsidRPr="00322718">
        <w:rPr>
          <w:rStyle w:val="Hyperlink"/>
          <w:u w:val="none"/>
        </w:rPr>
        <w:t>.</w:t>
      </w:r>
    </w:p>
    <w:p w14:paraId="2A1B230D" w14:textId="77777777" w:rsidR="00803732" w:rsidRDefault="00530E5B" w:rsidP="00530E5B">
      <w:pPr>
        <w:pStyle w:val="Heading4"/>
      </w:pPr>
      <w:bookmarkStart w:id="79" w:name="_Changes_to_the"/>
      <w:bookmarkStart w:id="80" w:name="_Toc10202262"/>
      <w:bookmarkEnd w:id="79"/>
      <w:r w:rsidRPr="00530E5B">
        <w:t>Changes to the product information</w:t>
      </w:r>
      <w:bookmarkEnd w:id="80"/>
    </w:p>
    <w:p w14:paraId="6E1C7998" w14:textId="77777777" w:rsidR="00530E5B" w:rsidRDefault="00530E5B" w:rsidP="00530E5B">
      <w:pPr>
        <w:rPr>
          <w:lang w:val="en-US"/>
        </w:rPr>
      </w:pPr>
      <w:r w:rsidRPr="00CC5289">
        <w:rPr>
          <w:lang w:val="en-US"/>
        </w:rPr>
        <w:t xml:space="preserve">As described in </w:t>
      </w:r>
      <w:hyperlink r:id="rId63" w:history="1">
        <w:r w:rsidRPr="00BE0EC5">
          <w:rPr>
            <w:rStyle w:val="Hyperlink"/>
            <w:lang w:val="en-US"/>
          </w:rPr>
          <w:t>Guidance 8: Product Information</w:t>
        </w:r>
      </w:hyperlink>
      <w:r w:rsidRPr="00CC5289">
        <w:rPr>
          <w:lang w:val="en-US"/>
        </w:rPr>
        <w:t>, a draft PI must be lodged, in a form approved by the Secretary under s. 7D of the Act, as part of an application under s. 23 to enter a ‘restricted</w:t>
      </w:r>
      <w:r>
        <w:rPr>
          <w:lang w:val="en-US"/>
        </w:rPr>
        <w:t xml:space="preserve"> </w:t>
      </w:r>
      <w:r w:rsidRPr="00CC5289">
        <w:rPr>
          <w:lang w:val="en-US"/>
        </w:rPr>
        <w:t>medicine’ (for exam</w:t>
      </w:r>
      <w:r>
        <w:rPr>
          <w:lang w:val="en-US"/>
        </w:rPr>
        <w:t>pl</w:t>
      </w:r>
      <w:r w:rsidRPr="00CC5289">
        <w:rPr>
          <w:lang w:val="en-US"/>
        </w:rPr>
        <w:t>e, a registered prescription medicine) in the ARTG.</w:t>
      </w:r>
    </w:p>
    <w:p w14:paraId="5571AE2F" w14:textId="77777777" w:rsidR="00530E5B" w:rsidRPr="00CC5289" w:rsidRDefault="00530E5B" w:rsidP="00530E5B">
      <w:pPr>
        <w:rPr>
          <w:lang w:val="en-US"/>
        </w:rPr>
      </w:pPr>
      <w:r w:rsidRPr="00CC5289">
        <w:rPr>
          <w:lang w:val="en-US"/>
        </w:rPr>
        <w:t xml:space="preserve">The </w:t>
      </w:r>
      <w:hyperlink r:id="rId64" w:history="1">
        <w:r w:rsidRPr="00922ED3">
          <w:rPr>
            <w:rStyle w:val="Hyperlink"/>
            <w:lang w:val="en-US"/>
          </w:rPr>
          <w:t>form for providing product information</w:t>
        </w:r>
      </w:hyperlink>
      <w:r w:rsidRPr="00CC5289">
        <w:rPr>
          <w:lang w:val="en-US"/>
        </w:rPr>
        <w:t xml:space="preserve"> is available on the TGA website. All PI documents must be approved by the TGA before a me</w:t>
      </w:r>
      <w:r w:rsidRPr="00BE0EC5">
        <w:rPr>
          <w:lang w:val="en-US"/>
        </w:rPr>
        <w:t>di</w:t>
      </w:r>
      <w:r w:rsidRPr="00CC5289">
        <w:rPr>
          <w:lang w:val="en-US"/>
        </w:rPr>
        <w:t>cine can be registered. Sponsors will be advised in the decision letter from the TGA about when changes to the PI will come into effect.</w:t>
      </w:r>
    </w:p>
    <w:p w14:paraId="0534258F" w14:textId="77777777" w:rsidR="00530E5B" w:rsidRDefault="00530E5B" w:rsidP="00530E5B">
      <w:pPr>
        <w:rPr>
          <w:lang w:val="en-US"/>
        </w:rPr>
      </w:pPr>
      <w:r w:rsidRPr="00CC5289">
        <w:rPr>
          <w:lang w:val="en-US"/>
        </w:rPr>
        <w:t>The PI may need to be changed as a result of a variation to an ARTG entry, as described below, or a change to the PI may be the only variation to an ARTG entry that is requested.</w:t>
      </w:r>
    </w:p>
    <w:p w14:paraId="3C918251" w14:textId="77777777" w:rsidR="00530E5B" w:rsidRDefault="00530E5B" w:rsidP="00530E5B">
      <w:pPr>
        <w:rPr>
          <w:lang w:val="en-US"/>
        </w:rPr>
      </w:pPr>
      <w:r w:rsidRPr="00B339AD">
        <w:rPr>
          <w:lang w:val="en-US"/>
        </w:rPr>
        <w:t>See also</w:t>
      </w:r>
      <w:r>
        <w:rPr>
          <w:lang w:val="en-US"/>
        </w:rPr>
        <w:t>:</w:t>
      </w:r>
    </w:p>
    <w:p w14:paraId="35412D13" w14:textId="77777777" w:rsidR="007517B3" w:rsidRPr="007517B3" w:rsidRDefault="0057494E" w:rsidP="007517B3">
      <w:pPr>
        <w:pStyle w:val="ListBullet"/>
        <w:rPr>
          <w:lang w:val="en-US"/>
        </w:rPr>
      </w:pPr>
      <w:hyperlink r:id="rId65" w:history="1">
        <w:r w:rsidR="00A237D5" w:rsidRPr="00B96BE8">
          <w:rPr>
            <w:rStyle w:val="Hyperlink"/>
            <w:lang w:val="en-US"/>
          </w:rPr>
          <w:t>FAQs on reformatting the Product Information document</w:t>
        </w:r>
      </w:hyperlink>
    </w:p>
    <w:p w14:paraId="206B0EF7" w14:textId="77777777" w:rsidR="007517B3" w:rsidRPr="007517B3" w:rsidRDefault="007517B3" w:rsidP="007517B3">
      <w:pPr>
        <w:pStyle w:val="Heading5"/>
        <w:rPr>
          <w:lang w:val="en-US"/>
        </w:rPr>
      </w:pPr>
      <w:bookmarkStart w:id="81" w:name="_Consequential_changes_to"/>
      <w:bookmarkEnd w:id="81"/>
      <w:r w:rsidRPr="007517B3">
        <w:rPr>
          <w:lang w:val="en-US"/>
        </w:rPr>
        <w:t>Consequential changes to the product information that result from variations to an ARTG entry</w:t>
      </w:r>
    </w:p>
    <w:p w14:paraId="4629E422" w14:textId="77777777" w:rsidR="007517B3" w:rsidRDefault="007517B3" w:rsidP="007517B3">
      <w:pPr>
        <w:rPr>
          <w:lang w:val="en-US"/>
        </w:rPr>
      </w:pPr>
      <w:r w:rsidRPr="007517B3">
        <w:rPr>
          <w:lang w:val="en-US"/>
        </w:rPr>
        <w:t>Some variations to ARTG entries will require the PI to be updated. For example, changing the product description will require Section 3 Pharmaceutical form of the PI to be updated accordingly.</w:t>
      </w:r>
    </w:p>
    <w:tbl>
      <w:tblPr>
        <w:tblW w:w="9038" w:type="dxa"/>
        <w:tblLayout w:type="fixed"/>
        <w:tblCellMar>
          <w:left w:w="0" w:type="dxa"/>
          <w:right w:w="0" w:type="dxa"/>
        </w:tblCellMar>
        <w:tblLook w:val="04A0" w:firstRow="1" w:lastRow="0" w:firstColumn="1" w:lastColumn="0" w:noHBand="0" w:noVBand="1"/>
      </w:tblPr>
      <w:tblGrid>
        <w:gridCol w:w="1276"/>
        <w:gridCol w:w="7762"/>
      </w:tblGrid>
      <w:tr w:rsidR="00841A8A" w:rsidRPr="002A2D3F" w14:paraId="5F6698E1" w14:textId="77777777" w:rsidTr="004A4F23">
        <w:tc>
          <w:tcPr>
            <w:tcW w:w="1276" w:type="dxa"/>
            <w:vAlign w:val="center"/>
          </w:tcPr>
          <w:p w14:paraId="5021D45A" w14:textId="77777777" w:rsidR="00841A8A" w:rsidRPr="002A2D3F" w:rsidRDefault="00841A8A" w:rsidP="004A4F23">
            <w:r w:rsidRPr="002A2D3F">
              <w:rPr>
                <w:noProof/>
                <w:lang w:eastAsia="en-AU"/>
              </w:rPr>
              <w:drawing>
                <wp:inline distT="0" distB="0" distL="0" distR="0" wp14:anchorId="05C192CB" wp14:editId="6E293223">
                  <wp:extent cx="487681" cy="487681"/>
                  <wp:effectExtent l="19050" t="0" r="7619" b="0"/>
                  <wp:docPr id="21" name="Picture 0" descr="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fo.png"/>
                          <pic:cNvPicPr/>
                        </pic:nvPicPr>
                        <pic:blipFill>
                          <a:blip r:embed="rId23" cstate="print"/>
                          <a:stretch>
                            <a:fillRect/>
                          </a:stretch>
                        </pic:blipFill>
                        <pic:spPr>
                          <a:xfrm>
                            <a:off x="0" y="0"/>
                            <a:ext cx="487681" cy="487681"/>
                          </a:xfrm>
                          <a:prstGeom prst="rect">
                            <a:avLst/>
                          </a:prstGeom>
                        </pic:spPr>
                      </pic:pic>
                    </a:graphicData>
                  </a:graphic>
                </wp:inline>
              </w:drawing>
            </w:r>
          </w:p>
        </w:tc>
        <w:tc>
          <w:tcPr>
            <w:tcW w:w="7762" w:type="dxa"/>
            <w:shd w:val="clear" w:color="auto" w:fill="EAEAEA"/>
            <w:tcMar>
              <w:top w:w="170" w:type="dxa"/>
              <w:left w:w="170" w:type="dxa"/>
              <w:bottom w:w="170" w:type="dxa"/>
              <w:right w:w="170" w:type="dxa"/>
            </w:tcMar>
            <w:vAlign w:val="center"/>
          </w:tcPr>
          <w:p w14:paraId="3CDC5F08" w14:textId="77777777" w:rsidR="00841A8A" w:rsidRDefault="00841A8A" w:rsidP="008B48F7">
            <w:pPr>
              <w:rPr>
                <w:lang w:val="en-US"/>
              </w:rPr>
            </w:pPr>
            <w:r w:rsidRPr="00F64E7C">
              <w:rPr>
                <w:lang w:val="en-US"/>
              </w:rPr>
              <w:t xml:space="preserve">Changes to the PI that are a consequence of a quality change </w:t>
            </w:r>
            <w:r w:rsidRPr="00F64E7C">
              <w:rPr>
                <w:b/>
                <w:lang w:val="en-US"/>
              </w:rPr>
              <w:t>do not</w:t>
            </w:r>
            <w:r w:rsidRPr="00F64E7C">
              <w:rPr>
                <w:lang w:val="en-US"/>
              </w:rPr>
              <w:t xml:space="preserve"> require a separate variation type to be selected in the Variation e-form. These PI changes should be submitted with the quality change request</w:t>
            </w:r>
            <w:r>
              <w:rPr>
                <w:lang w:val="en-US"/>
              </w:rPr>
              <w:t>.</w:t>
            </w:r>
          </w:p>
          <w:p w14:paraId="6D3683AE" w14:textId="77777777" w:rsidR="00841A8A" w:rsidRPr="002A2D3F" w:rsidRDefault="00841A8A" w:rsidP="004A4F23">
            <w:pPr>
              <w:rPr>
                <w:lang w:val="en-US"/>
              </w:rPr>
            </w:pPr>
            <w:r w:rsidRPr="00466026">
              <w:rPr>
                <w:lang w:val="en-US"/>
              </w:rPr>
              <w:t xml:space="preserve">A single PI often refers to multiple </w:t>
            </w:r>
            <w:r>
              <w:rPr>
                <w:lang w:val="en-US"/>
              </w:rPr>
              <w:t xml:space="preserve">ARTG entries (products). If </w:t>
            </w:r>
            <w:r w:rsidRPr="00466026">
              <w:rPr>
                <w:lang w:val="en-US"/>
              </w:rPr>
              <w:t>the affected PI refer</w:t>
            </w:r>
            <w:r>
              <w:rPr>
                <w:lang w:val="en-US"/>
              </w:rPr>
              <w:t>s</w:t>
            </w:r>
            <w:r w:rsidRPr="00466026">
              <w:rPr>
                <w:lang w:val="en-US"/>
              </w:rPr>
              <w:t xml:space="preserve"> to additional </w:t>
            </w:r>
            <w:r>
              <w:rPr>
                <w:lang w:val="en-US"/>
              </w:rPr>
              <w:t xml:space="preserve">ARTG entries that are not selected in Variation e-form then these additional </w:t>
            </w:r>
            <w:r w:rsidRPr="00466026">
              <w:rPr>
                <w:lang w:val="en-US"/>
              </w:rPr>
              <w:t xml:space="preserve">ARTG entries should be listed in the application cover letter and comments field of the Variation e-form. </w:t>
            </w:r>
            <w:r>
              <w:rPr>
                <w:lang w:val="en-US"/>
              </w:rPr>
              <w:t>A statement should be included requesting that the</w:t>
            </w:r>
            <w:r w:rsidRPr="00466026">
              <w:rPr>
                <w:lang w:val="en-US"/>
              </w:rPr>
              <w:t xml:space="preserve"> PI fo</w:t>
            </w:r>
            <w:r>
              <w:rPr>
                <w:lang w:val="en-US"/>
              </w:rPr>
              <w:t xml:space="preserve">r these additional products is also </w:t>
            </w:r>
            <w:r w:rsidR="00E90382">
              <w:rPr>
                <w:lang w:val="en-US"/>
              </w:rPr>
              <w:t>varied.</w:t>
            </w:r>
          </w:p>
        </w:tc>
      </w:tr>
    </w:tbl>
    <w:p w14:paraId="7E03D483" w14:textId="77777777" w:rsidR="00F64E7C" w:rsidRPr="007517B3" w:rsidRDefault="007517B3" w:rsidP="00F64E7C">
      <w:pPr>
        <w:rPr>
          <w:lang w:val="en-US"/>
        </w:rPr>
      </w:pPr>
      <w:r w:rsidRPr="007517B3">
        <w:rPr>
          <w:lang w:val="en-US"/>
        </w:rPr>
        <w:lastRenderedPageBreak/>
        <w:t xml:space="preserve">Changes to the PI are considered at the same time as the rest of the request or application. </w:t>
      </w:r>
      <w:r w:rsidR="00F64E7C" w:rsidRPr="007517B3">
        <w:rPr>
          <w:lang w:val="en-US"/>
        </w:rPr>
        <w:t>If the variation to the ARTG entry is approved, the necessary changes to the PI will also be approved.</w:t>
      </w:r>
    </w:p>
    <w:p w14:paraId="73FCB18E" w14:textId="77777777" w:rsidR="00F64E7C" w:rsidRPr="007517B3" w:rsidRDefault="00F64E7C" w:rsidP="00F64E7C">
      <w:pPr>
        <w:pStyle w:val="ListBullet"/>
        <w:rPr>
          <w:lang w:val="en-US"/>
        </w:rPr>
      </w:pPr>
      <w:r w:rsidRPr="007517B3">
        <w:rPr>
          <w:lang w:val="en-US"/>
        </w:rPr>
        <w:t>For variations requested under s. 9D - including 9D(1), 9D(2) and 9D(3) approval of a change to the PI is made under s. 25AA(4).</w:t>
      </w:r>
    </w:p>
    <w:p w14:paraId="40347A1D" w14:textId="77777777" w:rsidR="002A2D3F" w:rsidRPr="00841A8A" w:rsidRDefault="00F64E7C" w:rsidP="00466026">
      <w:pPr>
        <w:pStyle w:val="ListBullet"/>
        <w:rPr>
          <w:lang w:val="en-US"/>
        </w:rPr>
      </w:pPr>
      <w:r w:rsidRPr="007517B3">
        <w:rPr>
          <w:lang w:val="en-US"/>
        </w:rPr>
        <w:t>For variations applied for under s. 23 (variations that create separate and distinct goods), approval of a new PI is made</w:t>
      </w:r>
      <w:r>
        <w:rPr>
          <w:lang w:val="en-US"/>
        </w:rPr>
        <w:t xml:space="preserve"> under s. 25(4) and s. 25</w:t>
      </w:r>
      <w:proofErr w:type="gramStart"/>
      <w:r>
        <w:rPr>
          <w:lang w:val="en-US"/>
        </w:rPr>
        <w:t>AA(</w:t>
      </w:r>
      <w:proofErr w:type="gramEnd"/>
      <w:r>
        <w:rPr>
          <w:lang w:val="en-US"/>
        </w:rPr>
        <w:t>1).</w:t>
      </w:r>
    </w:p>
    <w:p w14:paraId="383D892C" w14:textId="77777777" w:rsidR="007517B3" w:rsidRPr="007517B3" w:rsidRDefault="007517B3" w:rsidP="007517B3">
      <w:pPr>
        <w:rPr>
          <w:lang w:val="en-US"/>
        </w:rPr>
      </w:pPr>
      <w:r w:rsidRPr="007517B3">
        <w:rPr>
          <w:lang w:val="en-US"/>
        </w:rPr>
        <w:t>If a variation to an ARTG entry means that the PI must be altered, the request or application for the variation should include:</w:t>
      </w:r>
    </w:p>
    <w:p w14:paraId="2BC42046" w14:textId="77777777" w:rsidR="007517B3" w:rsidRPr="007517B3" w:rsidRDefault="007517B3" w:rsidP="007517B3">
      <w:pPr>
        <w:pStyle w:val="ListBullet"/>
        <w:rPr>
          <w:lang w:val="en-US"/>
        </w:rPr>
      </w:pPr>
      <w:r w:rsidRPr="007517B3">
        <w:rPr>
          <w:lang w:val="en-US"/>
        </w:rPr>
        <w:t>a clean copy (not marked-up) of the currently approved PI for the relevant registered medicine containing the proposed changes</w:t>
      </w:r>
    </w:p>
    <w:p w14:paraId="1E16D541" w14:textId="77777777" w:rsidR="007517B3" w:rsidRPr="007517B3" w:rsidRDefault="007517B3" w:rsidP="007517B3">
      <w:pPr>
        <w:pStyle w:val="ListBullet"/>
        <w:rPr>
          <w:lang w:val="en-US"/>
        </w:rPr>
      </w:pPr>
      <w:r w:rsidRPr="007517B3">
        <w:rPr>
          <w:lang w:val="en-US"/>
        </w:rPr>
        <w:t>a copy of the currently approved PI for the relevant registered medicine, with changes clearly marked</w:t>
      </w:r>
    </w:p>
    <w:p w14:paraId="6CFFDE73" w14:textId="77777777" w:rsidR="007517B3" w:rsidRPr="007517B3" w:rsidRDefault="007517B3" w:rsidP="007517B3">
      <w:pPr>
        <w:pStyle w:val="ListBullet"/>
        <w:rPr>
          <w:lang w:val="en-US"/>
        </w:rPr>
      </w:pPr>
      <w:r w:rsidRPr="007517B3">
        <w:rPr>
          <w:lang w:val="en-US"/>
        </w:rPr>
        <w:t>a table explaining how each of the changes relates to the request, preferably including references to any data submitted in support of each change.</w:t>
      </w:r>
    </w:p>
    <w:p w14:paraId="2F05D8B1" w14:textId="77777777" w:rsidR="007517B3" w:rsidRDefault="007517B3" w:rsidP="007517B3">
      <w:pPr>
        <w:rPr>
          <w:lang w:val="en-US"/>
        </w:rPr>
      </w:pPr>
      <w:r w:rsidRPr="007517B3">
        <w:rPr>
          <w:lang w:val="en-US"/>
        </w:rPr>
        <w:t>For products with more than one registered trade name, only one representative marked-up copy of the complete PI is required, but sponsors should still submit one clean copy of the PI for each registered trade name. These requests should also include an assurance that all PI documents for all trade names will be changed in the same way, and at the same time, once the changes have been approved by the TGA.</w:t>
      </w:r>
    </w:p>
    <w:p w14:paraId="0E56BBF8" w14:textId="77777777" w:rsidR="00402A26" w:rsidRDefault="00402A26" w:rsidP="007517B3">
      <w:pPr>
        <w:rPr>
          <w:lang w:val="en-US"/>
        </w:rPr>
      </w:pPr>
      <w:r>
        <w:rPr>
          <w:lang w:val="en-US"/>
        </w:rPr>
        <w:t>See also:</w:t>
      </w:r>
    </w:p>
    <w:p w14:paraId="3075DF61" w14:textId="77777777" w:rsidR="00402A26" w:rsidRPr="007517B3" w:rsidRDefault="0057494E" w:rsidP="00402A26">
      <w:pPr>
        <w:pStyle w:val="ListBullet"/>
        <w:rPr>
          <w:lang w:val="en-US"/>
        </w:rPr>
      </w:pPr>
      <w:hyperlink w:anchor="_Multiple_related_changes" w:history="1">
        <w:r w:rsidR="00402A26" w:rsidRPr="00402A26">
          <w:rPr>
            <w:rStyle w:val="Hyperlink"/>
            <w:lang w:val="en-US"/>
          </w:rPr>
          <w:t>Multiple related changes</w:t>
        </w:r>
      </w:hyperlink>
      <w:r w:rsidR="00402A26">
        <w:rPr>
          <w:lang w:val="en-US"/>
        </w:rPr>
        <w:t xml:space="preserve"> in </w:t>
      </w:r>
      <w:hyperlink w:anchor="_How_to_apply" w:history="1">
        <w:r w:rsidR="00402A26" w:rsidRPr="00402A26">
          <w:rPr>
            <w:rStyle w:val="Hyperlink"/>
            <w:lang w:val="en-US"/>
          </w:rPr>
          <w:t>How to apply for a variation</w:t>
        </w:r>
      </w:hyperlink>
      <w:r w:rsidR="00402A26">
        <w:rPr>
          <w:lang w:val="en-US"/>
        </w:rPr>
        <w:t xml:space="preserve"> for an example of </w:t>
      </w:r>
      <w:r w:rsidR="00402A26" w:rsidRPr="00402A26">
        <w:rPr>
          <w:lang w:val="en-US"/>
        </w:rPr>
        <w:t>submitting changes that result in consequential updates to other aspects of the medicine</w:t>
      </w:r>
      <w:r w:rsidR="00402A26">
        <w:rPr>
          <w:lang w:val="en-US"/>
        </w:rPr>
        <w:t>.</w:t>
      </w:r>
    </w:p>
    <w:p w14:paraId="35074E40" w14:textId="77777777" w:rsidR="007517B3" w:rsidRPr="007517B3" w:rsidRDefault="007517B3" w:rsidP="007517B3">
      <w:pPr>
        <w:pStyle w:val="Heading5"/>
        <w:rPr>
          <w:lang w:val="en-US"/>
        </w:rPr>
      </w:pPr>
      <w:r w:rsidRPr="007517B3">
        <w:rPr>
          <w:lang w:val="en-US"/>
        </w:rPr>
        <w:t>Format for marked-up product information</w:t>
      </w:r>
    </w:p>
    <w:p w14:paraId="7451C80F" w14:textId="77777777" w:rsidR="007517B3" w:rsidRPr="007517B3" w:rsidRDefault="007517B3" w:rsidP="007517B3">
      <w:pPr>
        <w:rPr>
          <w:lang w:val="en-US"/>
        </w:rPr>
      </w:pPr>
      <w:r w:rsidRPr="007517B3">
        <w:rPr>
          <w:lang w:val="en-US"/>
        </w:rPr>
        <w:t>This section provides guidance on how PI documents can be marked up to identify proposed changes. This is not a mandatory requirement, but following this guidance will assist decision-making by the TGA.</w:t>
      </w:r>
    </w:p>
    <w:p w14:paraId="0074ED5A" w14:textId="77777777" w:rsidR="007517B3" w:rsidRPr="007517B3" w:rsidRDefault="007517B3" w:rsidP="007517B3">
      <w:pPr>
        <w:rPr>
          <w:lang w:val="en-US"/>
        </w:rPr>
      </w:pPr>
      <w:r w:rsidRPr="007517B3">
        <w:rPr>
          <w:lang w:val="en-US"/>
        </w:rPr>
        <w:t>Sponsors should ensure that the information in the entire PI is consistent with the proposed changes. All marked-up text should be in a different colour(s) from the currently approved, unchanged PI text. Proposed changes in the text of the PI relating to different changes, requests or applications can be clearly identified by using different</w:t>
      </w:r>
      <w:r w:rsidRPr="00393686">
        <w:t xml:space="preserve"> coloured</w:t>
      </w:r>
      <w:r w:rsidRPr="007517B3">
        <w:rPr>
          <w:lang w:val="en-US"/>
        </w:rPr>
        <w:t xml:space="preserve"> fonts. Where applicable, reasons for specific proposed changes can also be provided in comment boxes in the margins.  Any changes made to the currently approved PI should be clearly marked in all tracked versions of the PI.</w:t>
      </w:r>
    </w:p>
    <w:p w14:paraId="20C23997" w14:textId="77777777" w:rsidR="007517B3" w:rsidRPr="007517B3" w:rsidRDefault="007517B3" w:rsidP="008B48F7">
      <w:pPr>
        <w:rPr>
          <w:lang w:val="en-US"/>
        </w:rPr>
      </w:pPr>
      <w:r w:rsidRPr="007517B3">
        <w:rPr>
          <w:lang w:val="en-US"/>
        </w:rPr>
        <w:t>The table below provides details of the suggested types of marking up.</w:t>
      </w:r>
    </w:p>
    <w:p w14:paraId="5628098E" w14:textId="77777777" w:rsidR="007517B3" w:rsidRPr="00215D48" w:rsidRDefault="007517B3" w:rsidP="007517B3">
      <w:pPr>
        <w:pStyle w:val="Tabletitle"/>
      </w:pPr>
      <w:r w:rsidRPr="007517B3">
        <w:rPr>
          <w:lang w:val="en-US"/>
        </w:rPr>
        <w:lastRenderedPageBreak/>
        <w:t>Table: Guidance for preparing marked-up product information</w:t>
      </w:r>
    </w:p>
    <w:tbl>
      <w:tblPr>
        <w:tblStyle w:val="TableTGAblue"/>
        <w:tblW w:w="0" w:type="auto"/>
        <w:tblLook w:val="04A0" w:firstRow="1" w:lastRow="0" w:firstColumn="1" w:lastColumn="0" w:noHBand="0" w:noVBand="1"/>
      </w:tblPr>
      <w:tblGrid>
        <w:gridCol w:w="3298"/>
        <w:gridCol w:w="5752"/>
      </w:tblGrid>
      <w:tr w:rsidR="007517B3" w14:paraId="226DB106" w14:textId="77777777" w:rsidTr="007517B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tcPr>
          <w:p w14:paraId="59037EAA" w14:textId="77777777" w:rsidR="007517B3" w:rsidRDefault="007517B3" w:rsidP="00803732">
            <w:r>
              <w:t>Change to product information</w:t>
            </w:r>
          </w:p>
        </w:tc>
        <w:tc>
          <w:tcPr>
            <w:tcW w:w="5917" w:type="dxa"/>
          </w:tcPr>
          <w:p w14:paraId="761F1B78" w14:textId="77777777" w:rsidR="007517B3" w:rsidRDefault="007517B3" w:rsidP="00803732">
            <w:pPr>
              <w:cnfStyle w:val="100000000000" w:firstRow="1" w:lastRow="0" w:firstColumn="0" w:lastColumn="0" w:oddVBand="0" w:evenVBand="0" w:oddHBand="0" w:evenHBand="0" w:firstRowFirstColumn="0" w:firstRowLastColumn="0" w:lastRowFirstColumn="0" w:lastRowLastColumn="0"/>
            </w:pPr>
            <w:r>
              <w:t>Mark up</w:t>
            </w:r>
          </w:p>
        </w:tc>
      </w:tr>
      <w:tr w:rsidR="007517B3" w14:paraId="3DCD736B" w14:textId="77777777" w:rsidTr="007517B3">
        <w:tc>
          <w:tcPr>
            <w:cnfStyle w:val="001000000000" w:firstRow="0" w:lastRow="0" w:firstColumn="1" w:lastColumn="0" w:oddVBand="0" w:evenVBand="0" w:oddHBand="0" w:evenHBand="0" w:firstRowFirstColumn="0" w:firstRowLastColumn="0" w:lastRowFirstColumn="0" w:lastRowLastColumn="0"/>
            <w:tcW w:w="3369" w:type="dxa"/>
          </w:tcPr>
          <w:p w14:paraId="652CF258" w14:textId="77777777" w:rsidR="007517B3" w:rsidRDefault="007517B3" w:rsidP="00312CE2">
            <w:pPr>
              <w:rPr>
                <w:lang w:val="en-US"/>
              </w:rPr>
            </w:pPr>
            <w:r w:rsidRPr="00F41D31">
              <w:rPr>
                <w:lang w:val="en-US"/>
              </w:rPr>
              <w:t>Text to be deleted</w:t>
            </w:r>
          </w:p>
        </w:tc>
        <w:tc>
          <w:tcPr>
            <w:tcW w:w="5917" w:type="dxa"/>
          </w:tcPr>
          <w:p w14:paraId="0859F888" w14:textId="77777777" w:rsidR="007517B3" w:rsidRPr="00F41D31" w:rsidRDefault="007517B3" w:rsidP="00312CE2">
            <w:pPr>
              <w:cnfStyle w:val="000000000000" w:firstRow="0" w:lastRow="0" w:firstColumn="0" w:lastColumn="0" w:oddVBand="0" w:evenVBand="0" w:oddHBand="0" w:evenHBand="0" w:firstRowFirstColumn="0" w:firstRowLastColumn="0" w:lastRowFirstColumn="0" w:lastRowLastColumn="0"/>
              <w:rPr>
                <w:lang w:val="en-US"/>
              </w:rPr>
            </w:pPr>
            <w:r w:rsidRPr="00F41D31">
              <w:rPr>
                <w:lang w:val="en-US"/>
              </w:rPr>
              <w:t>Use strikethrough font.</w:t>
            </w:r>
          </w:p>
          <w:p w14:paraId="7EA035B8" w14:textId="77777777" w:rsidR="007517B3" w:rsidRPr="00F41D31" w:rsidRDefault="007517B3" w:rsidP="00312CE2">
            <w:pPr>
              <w:cnfStyle w:val="000000000000" w:firstRow="0" w:lastRow="0" w:firstColumn="0" w:lastColumn="0" w:oddVBand="0" w:evenVBand="0" w:oddHBand="0" w:evenHBand="0" w:firstRowFirstColumn="0" w:firstRowLastColumn="0" w:lastRowFirstColumn="0" w:lastRowLastColumn="0"/>
              <w:rPr>
                <w:lang w:val="en-US"/>
              </w:rPr>
            </w:pPr>
            <w:r w:rsidRPr="00F41D31">
              <w:rPr>
                <w:lang w:val="en-US"/>
              </w:rPr>
              <w:t>Text that is proposed to be deleted should be shown in its current position, not in comment boxes in the margins.</w:t>
            </w:r>
          </w:p>
          <w:p w14:paraId="6339DC83" w14:textId="77777777" w:rsidR="007517B3" w:rsidRDefault="007517B3" w:rsidP="00312CE2">
            <w:pPr>
              <w:cnfStyle w:val="000000000000" w:firstRow="0" w:lastRow="0" w:firstColumn="0" w:lastColumn="0" w:oddVBand="0" w:evenVBand="0" w:oddHBand="0" w:evenHBand="0" w:firstRowFirstColumn="0" w:firstRowLastColumn="0" w:lastRowFirstColumn="0" w:lastRowLastColumn="0"/>
              <w:rPr>
                <w:lang w:val="en-US"/>
              </w:rPr>
            </w:pPr>
            <w:r w:rsidRPr="00F41D31">
              <w:rPr>
                <w:lang w:val="en-US"/>
              </w:rPr>
              <w:t>However, explanatory comments added in the margins may be useful.</w:t>
            </w:r>
          </w:p>
        </w:tc>
      </w:tr>
      <w:tr w:rsidR="007517B3" w14:paraId="7B5A5130" w14:textId="77777777" w:rsidTr="007517B3">
        <w:tc>
          <w:tcPr>
            <w:cnfStyle w:val="001000000000" w:firstRow="0" w:lastRow="0" w:firstColumn="1" w:lastColumn="0" w:oddVBand="0" w:evenVBand="0" w:oddHBand="0" w:evenHBand="0" w:firstRowFirstColumn="0" w:firstRowLastColumn="0" w:lastRowFirstColumn="0" w:lastRowLastColumn="0"/>
            <w:tcW w:w="3369" w:type="dxa"/>
          </w:tcPr>
          <w:p w14:paraId="0DD1A3F2" w14:textId="77777777" w:rsidR="007517B3" w:rsidRDefault="007517B3" w:rsidP="00312CE2">
            <w:pPr>
              <w:rPr>
                <w:lang w:val="en-US"/>
              </w:rPr>
            </w:pPr>
            <w:r w:rsidRPr="00F41D31">
              <w:rPr>
                <w:lang w:val="en-US"/>
              </w:rPr>
              <w:t>Text to be inserted</w:t>
            </w:r>
          </w:p>
        </w:tc>
        <w:tc>
          <w:tcPr>
            <w:tcW w:w="5917" w:type="dxa"/>
          </w:tcPr>
          <w:p w14:paraId="3E8B26BF" w14:textId="77777777" w:rsidR="007517B3" w:rsidRDefault="007517B3" w:rsidP="00312CE2">
            <w:pPr>
              <w:cnfStyle w:val="000000000000" w:firstRow="0" w:lastRow="0" w:firstColumn="0" w:lastColumn="0" w:oddVBand="0" w:evenVBand="0" w:oddHBand="0" w:evenHBand="0" w:firstRowFirstColumn="0" w:firstRowLastColumn="0" w:lastRowFirstColumn="0" w:lastRowLastColumn="0"/>
              <w:rPr>
                <w:lang w:val="en-US"/>
              </w:rPr>
            </w:pPr>
            <w:r w:rsidRPr="00F41D31">
              <w:rPr>
                <w:lang w:val="en-US"/>
              </w:rPr>
              <w:t>Use underlined font.</w:t>
            </w:r>
          </w:p>
        </w:tc>
      </w:tr>
      <w:tr w:rsidR="007517B3" w14:paraId="7BC71903" w14:textId="77777777" w:rsidTr="007517B3">
        <w:tc>
          <w:tcPr>
            <w:cnfStyle w:val="001000000000" w:firstRow="0" w:lastRow="0" w:firstColumn="1" w:lastColumn="0" w:oddVBand="0" w:evenVBand="0" w:oddHBand="0" w:evenHBand="0" w:firstRowFirstColumn="0" w:firstRowLastColumn="0" w:lastRowFirstColumn="0" w:lastRowLastColumn="0"/>
            <w:tcW w:w="3369" w:type="dxa"/>
          </w:tcPr>
          <w:p w14:paraId="52E99C8A" w14:textId="77777777" w:rsidR="007517B3" w:rsidRDefault="007517B3" w:rsidP="00312CE2">
            <w:pPr>
              <w:rPr>
                <w:lang w:val="en-US"/>
              </w:rPr>
            </w:pPr>
            <w:r w:rsidRPr="00F41D31">
              <w:rPr>
                <w:lang w:val="en-US"/>
              </w:rPr>
              <w:t>Text to be moved</w:t>
            </w:r>
          </w:p>
        </w:tc>
        <w:tc>
          <w:tcPr>
            <w:tcW w:w="5917" w:type="dxa"/>
          </w:tcPr>
          <w:p w14:paraId="67274EF2" w14:textId="77777777" w:rsidR="007517B3" w:rsidRPr="00F41D31" w:rsidRDefault="007517B3" w:rsidP="00312CE2">
            <w:pPr>
              <w:cnfStyle w:val="000000000000" w:firstRow="0" w:lastRow="0" w:firstColumn="0" w:lastColumn="0" w:oddVBand="0" w:evenVBand="0" w:oddHBand="0" w:evenHBand="0" w:firstRowFirstColumn="0" w:firstRowLastColumn="0" w:lastRowFirstColumn="0" w:lastRowLastColumn="0"/>
              <w:rPr>
                <w:lang w:val="en-US"/>
              </w:rPr>
            </w:pPr>
            <w:r w:rsidRPr="00F41D31">
              <w:rPr>
                <w:lang w:val="en-US"/>
              </w:rPr>
              <w:t>Use strikethrough font to show where the text is being moved from, and underlined font to show where it is being moved to.</w:t>
            </w:r>
          </w:p>
          <w:p w14:paraId="6A0C7A92" w14:textId="77777777" w:rsidR="007517B3" w:rsidRDefault="007517B3" w:rsidP="008B48F7">
            <w:pPr>
              <w:cnfStyle w:val="000000000000" w:firstRow="0" w:lastRow="0" w:firstColumn="0" w:lastColumn="0" w:oddVBand="0" w:evenVBand="0" w:oddHBand="0" w:evenHBand="0" w:firstRowFirstColumn="0" w:firstRowLastColumn="0" w:lastRowFirstColumn="0" w:lastRowLastColumn="0"/>
              <w:rPr>
                <w:lang w:val="en-US"/>
              </w:rPr>
            </w:pPr>
            <w:r w:rsidRPr="00F41D31">
              <w:rPr>
                <w:lang w:val="en-US"/>
              </w:rPr>
              <w:t>Comment boxes in the margin may be useful at both the current and proposed locations to indicate that the text is to be moved, and to specify the section it is being moved to. Including page numbers in comment boxes to cross- reference between the current and proposed locations is encouraged, particularly for long PIs.</w:t>
            </w:r>
          </w:p>
        </w:tc>
      </w:tr>
      <w:tr w:rsidR="007517B3" w14:paraId="1A6CA32B" w14:textId="77777777" w:rsidTr="007517B3">
        <w:tc>
          <w:tcPr>
            <w:cnfStyle w:val="001000000000" w:firstRow="0" w:lastRow="0" w:firstColumn="1" w:lastColumn="0" w:oddVBand="0" w:evenVBand="0" w:oddHBand="0" w:evenHBand="0" w:firstRowFirstColumn="0" w:firstRowLastColumn="0" w:lastRowFirstColumn="0" w:lastRowLastColumn="0"/>
            <w:tcW w:w="3369" w:type="dxa"/>
          </w:tcPr>
          <w:p w14:paraId="20179076" w14:textId="77777777" w:rsidR="007517B3" w:rsidRDefault="007517B3" w:rsidP="00312CE2">
            <w:pPr>
              <w:rPr>
                <w:lang w:val="en-US"/>
              </w:rPr>
            </w:pPr>
            <w:r w:rsidRPr="00F41D31">
              <w:rPr>
                <w:lang w:val="en-US"/>
              </w:rPr>
              <w:t>Multiple requests in one submission (for example, several changes under the same part of the Act)</w:t>
            </w:r>
          </w:p>
        </w:tc>
        <w:tc>
          <w:tcPr>
            <w:tcW w:w="5917" w:type="dxa"/>
          </w:tcPr>
          <w:p w14:paraId="430DC8D2" w14:textId="77777777" w:rsidR="007517B3" w:rsidRPr="00F41D31" w:rsidRDefault="007517B3" w:rsidP="00312CE2">
            <w:pPr>
              <w:cnfStyle w:val="000000000000" w:firstRow="0" w:lastRow="0" w:firstColumn="0" w:lastColumn="0" w:oddVBand="0" w:evenVBand="0" w:oddHBand="0" w:evenHBand="0" w:firstRowFirstColumn="0" w:firstRowLastColumn="0" w:lastRowFirstColumn="0" w:lastRowLastColumn="0"/>
              <w:rPr>
                <w:lang w:val="en-US"/>
              </w:rPr>
            </w:pPr>
            <w:r w:rsidRPr="00F41D31">
              <w:rPr>
                <w:lang w:val="en-US"/>
              </w:rPr>
              <w:t>Proposed changes in the text of the PI relating to different changes, requests or applications can be clearly identified by using different coloured ‘track changes’ fonts or by identifying them in comment boxes.</w:t>
            </w:r>
          </w:p>
          <w:p w14:paraId="02DE04D9" w14:textId="77777777" w:rsidR="007517B3" w:rsidRDefault="007517B3" w:rsidP="00312CE2">
            <w:pPr>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The </w:t>
            </w:r>
            <w:r w:rsidRPr="00F41D31">
              <w:rPr>
                <w:lang w:val="en-US"/>
              </w:rPr>
              <w:t xml:space="preserve">Figure </w:t>
            </w:r>
            <w:r>
              <w:rPr>
                <w:lang w:val="en-US"/>
              </w:rPr>
              <w:t>below</w:t>
            </w:r>
            <w:r w:rsidRPr="00F41D31">
              <w:rPr>
                <w:lang w:val="en-US"/>
              </w:rPr>
              <w:t xml:space="preserve"> provides an example of two different kinds of changes proposed under s 9D(3), marked up in different colours and with explanatory comments in the margin.</w:t>
            </w:r>
          </w:p>
        </w:tc>
      </w:tr>
      <w:tr w:rsidR="007517B3" w14:paraId="6B1B90B3" w14:textId="77777777" w:rsidTr="007517B3">
        <w:tc>
          <w:tcPr>
            <w:cnfStyle w:val="001000000000" w:firstRow="0" w:lastRow="0" w:firstColumn="1" w:lastColumn="0" w:oddVBand="0" w:evenVBand="0" w:oddHBand="0" w:evenHBand="0" w:firstRowFirstColumn="0" w:firstRowLastColumn="0" w:lastRowFirstColumn="0" w:lastRowLastColumn="0"/>
            <w:tcW w:w="3369" w:type="dxa"/>
          </w:tcPr>
          <w:p w14:paraId="54BC7426" w14:textId="77777777" w:rsidR="007517B3" w:rsidRPr="00F41D31" w:rsidRDefault="007517B3" w:rsidP="00312CE2">
            <w:pPr>
              <w:rPr>
                <w:lang w:val="en-US"/>
              </w:rPr>
            </w:pPr>
            <w:r>
              <w:rPr>
                <w:lang w:val="en-US"/>
              </w:rPr>
              <w:t>Reformatting</w:t>
            </w:r>
          </w:p>
        </w:tc>
        <w:tc>
          <w:tcPr>
            <w:tcW w:w="5917" w:type="dxa"/>
          </w:tcPr>
          <w:p w14:paraId="5CC0CA3E" w14:textId="77777777" w:rsidR="007517B3" w:rsidRPr="00F41D31" w:rsidRDefault="007517B3" w:rsidP="00312CE2">
            <w:pPr>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See </w:t>
            </w:r>
            <w:hyperlink r:id="rId66" w:history="1">
              <w:r w:rsidRPr="00B96BE8">
                <w:rPr>
                  <w:rStyle w:val="Hyperlink"/>
                  <w:lang w:val="en-US"/>
                </w:rPr>
                <w:t>FAQs</w:t>
              </w:r>
            </w:hyperlink>
            <w:r>
              <w:rPr>
                <w:lang w:val="en-US"/>
              </w:rPr>
              <w:t xml:space="preserve"> on how to reformat the PI in accordance with the new form.</w:t>
            </w:r>
          </w:p>
        </w:tc>
      </w:tr>
    </w:tbl>
    <w:p w14:paraId="1B8B1D9D" w14:textId="77777777" w:rsidR="00A17E54" w:rsidRPr="00A17E54" w:rsidRDefault="00A17E54" w:rsidP="00A17E54">
      <w:pPr>
        <w:rPr>
          <w:lang w:val="en-US"/>
        </w:rPr>
      </w:pPr>
      <w:r w:rsidRPr="00A17E54">
        <w:rPr>
          <w:lang w:val="en-US"/>
        </w:rPr>
        <w:t>Clearly distinguishing between PI changes corresponding to different types of variations that have been submitted simultaneously to the TGA will aid decision-making, as different types of changes may be assessed by different TGA delegates.</w:t>
      </w:r>
    </w:p>
    <w:p w14:paraId="42FBC9CE" w14:textId="77777777" w:rsidR="00A17E54" w:rsidRPr="00A17E54" w:rsidRDefault="00A17E54" w:rsidP="00A17E54">
      <w:pPr>
        <w:rPr>
          <w:b/>
          <w:lang w:val="en-US"/>
        </w:rPr>
      </w:pPr>
      <w:r w:rsidRPr="00A17E54">
        <w:rPr>
          <w:lang w:val="en-US"/>
        </w:rPr>
        <w:t>The figure below shows an example of a marked-up PI.</w:t>
      </w:r>
    </w:p>
    <w:p w14:paraId="5079BF66" w14:textId="77777777" w:rsidR="00803732" w:rsidRDefault="006D663B" w:rsidP="00E90382">
      <w:pPr>
        <w:pStyle w:val="Figuretitle"/>
        <w:keepNext/>
      </w:pPr>
      <w:r w:rsidRPr="006D663B">
        <w:lastRenderedPageBreak/>
        <w:t>Figure: Example of marked-up product information</w:t>
      </w:r>
    </w:p>
    <w:p w14:paraId="69B0848B" w14:textId="77777777" w:rsidR="007517B3" w:rsidRDefault="006D663B" w:rsidP="00803732">
      <w:r>
        <w:rPr>
          <w:noProof/>
          <w:lang w:eastAsia="en-AU"/>
        </w:rPr>
        <w:drawing>
          <wp:inline distT="0" distB="0" distL="0" distR="0" wp14:anchorId="3D7551FD" wp14:editId="58D738B1">
            <wp:extent cx="5735320" cy="3823970"/>
            <wp:effectExtent l="0" t="0" r="0" b="5080"/>
            <wp:docPr id="11" name="Picture 10" descr="This figure shows representative sections of a product information document, and how proposed changes may be marked 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0" descr="This figure shows representative sections of a product information document, and how proposed changes may be marked up."/>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5735320" cy="3823970"/>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14:paraId="33D9B631" w14:textId="77777777" w:rsidR="007517B3" w:rsidRDefault="006D663B" w:rsidP="006D663B">
      <w:pPr>
        <w:pStyle w:val="Heading5"/>
      </w:pPr>
      <w:r>
        <w:t>Other</w:t>
      </w:r>
      <w:r w:rsidRPr="006D663B">
        <w:rPr>
          <w:rFonts w:eastAsia="Cambria"/>
          <w:b w:val="0"/>
          <w:bCs w:val="0"/>
          <w:color w:val="auto"/>
          <w:sz w:val="22"/>
          <w:szCs w:val="20"/>
          <w:lang w:val="en-US"/>
        </w:rPr>
        <w:t xml:space="preserve"> </w:t>
      </w:r>
      <w:r w:rsidRPr="006D663B">
        <w:rPr>
          <w:lang w:val="en-US"/>
        </w:rPr>
        <w:t>changes to the product information</w:t>
      </w:r>
    </w:p>
    <w:p w14:paraId="422F4CA5" w14:textId="77777777" w:rsidR="009B392B" w:rsidRPr="009B392B" w:rsidRDefault="009B392B" w:rsidP="009B392B">
      <w:pPr>
        <w:rPr>
          <w:lang w:val="en-US"/>
        </w:rPr>
      </w:pPr>
      <w:r w:rsidRPr="009B392B">
        <w:rPr>
          <w:lang w:val="en-US"/>
        </w:rPr>
        <w:t xml:space="preserve">In some cases, the only proposed variation to an ARTG entry is a change to the PI. </w:t>
      </w:r>
      <w:r w:rsidR="00230C81" w:rsidRPr="009B392B">
        <w:rPr>
          <w:lang w:val="en-US"/>
        </w:rPr>
        <w:t>Some of</w:t>
      </w:r>
      <w:r w:rsidRPr="009B392B">
        <w:rPr>
          <w:lang w:val="en-US"/>
        </w:rPr>
        <w:t xml:space="preserve"> these changes do not meet the criteria of a </w:t>
      </w:r>
      <w:hyperlink w:anchor="_Safety-related_requests_(SRR)" w:history="1">
        <w:r w:rsidRPr="009B392B">
          <w:rPr>
            <w:rStyle w:val="Hyperlink"/>
            <w:lang w:val="en-US"/>
          </w:rPr>
          <w:t>safety-related request</w:t>
        </w:r>
      </w:hyperlink>
      <w:r w:rsidRPr="009B392B">
        <w:rPr>
          <w:lang w:val="en-US"/>
        </w:rPr>
        <w:t xml:space="preserve"> and are requested under s. 9D(3).</w:t>
      </w:r>
    </w:p>
    <w:p w14:paraId="2B9C1D6D" w14:textId="77777777" w:rsidR="000819A7" w:rsidRDefault="009B392B" w:rsidP="009B392B">
      <w:r w:rsidRPr="009B392B">
        <w:rPr>
          <w:lang w:val="en-US"/>
        </w:rPr>
        <w:t xml:space="preserve">The type of request depends on the level of assessment required by the TGA to make a decision. One example of this is a </w:t>
      </w:r>
      <w:hyperlink w:anchor="_Minor_editorial_changes" w:history="1">
        <w:r w:rsidRPr="009B392B">
          <w:rPr>
            <w:rStyle w:val="Hyperlink"/>
            <w:lang w:val="en-US"/>
          </w:rPr>
          <w:t>minor editorial change</w:t>
        </w:r>
      </w:hyperlink>
      <w:r w:rsidRPr="009B392B">
        <w:rPr>
          <w:lang w:val="en-US"/>
        </w:rPr>
        <w:t xml:space="preserve"> to the PI.</w:t>
      </w:r>
    </w:p>
    <w:p w14:paraId="1F219D04" w14:textId="77777777" w:rsidR="009B392B" w:rsidRDefault="009B392B" w:rsidP="009B392B">
      <w:pPr>
        <w:rPr>
          <w:lang w:val="en-US"/>
        </w:rPr>
      </w:pPr>
      <w:r w:rsidRPr="009B392B">
        <w:rPr>
          <w:lang w:val="en-US"/>
        </w:rPr>
        <w:t xml:space="preserve">Most other examples of where the only variation to an ARTG entry is a change to the PI require supporting clinical, nonclinical or bioequivalence data, and should be submitted as a Category 1 request </w:t>
      </w:r>
      <w:r w:rsidRPr="009B392B">
        <w:t xml:space="preserve">in the </w:t>
      </w:r>
      <w:hyperlink r:id="rId68" w:history="1">
        <w:r w:rsidRPr="009B392B">
          <w:rPr>
            <w:rStyle w:val="Hyperlink"/>
          </w:rPr>
          <w:t>Prescription Medicines Registration Process</w:t>
        </w:r>
      </w:hyperlink>
      <w:r w:rsidRPr="009B392B">
        <w:rPr>
          <w:lang w:val="en-US"/>
        </w:rPr>
        <w:t>.</w:t>
      </w:r>
    </w:p>
    <w:p w14:paraId="679161B1" w14:textId="77777777" w:rsidR="000819A7" w:rsidRPr="002F097F" w:rsidRDefault="000819A7" w:rsidP="000819A7">
      <w:r>
        <w:rPr>
          <w:lang w:val="en-US"/>
        </w:rPr>
        <w:t xml:space="preserve">Note: </w:t>
      </w:r>
      <w:r>
        <w:t>all ARTG entries included in the PI document (and therefore will be affected by a change to the PI) should be selected in the Variation e-form when requesting the variation. If an ARTG entry included in the PI document is not selected, a subsequent variation request will be required to be submitted.</w:t>
      </w:r>
    </w:p>
    <w:p w14:paraId="4F5DA8D4" w14:textId="77777777" w:rsidR="00803732" w:rsidRDefault="00060C0A" w:rsidP="00E90382">
      <w:pPr>
        <w:pStyle w:val="Heading2"/>
        <w:spacing w:before="0"/>
      </w:pPr>
      <w:bookmarkStart w:id="82" w:name="_How_to_apply"/>
      <w:bookmarkStart w:id="83" w:name="_Toc5089269"/>
      <w:bookmarkStart w:id="84" w:name="_Toc10202263"/>
      <w:bookmarkEnd w:id="82"/>
      <w:r w:rsidRPr="00060C0A">
        <w:lastRenderedPageBreak/>
        <w:t>How to apply for a variation</w:t>
      </w:r>
      <w:bookmarkEnd w:id="83"/>
      <w:bookmarkEnd w:id="84"/>
    </w:p>
    <w:p w14:paraId="5722AB93" w14:textId="77777777" w:rsidR="00060C0A" w:rsidRDefault="00060C0A" w:rsidP="00060C0A">
      <w:r>
        <w:t>The information below outlines what you need to consider prior to and whilst applying for a variation. This includes:</w:t>
      </w:r>
    </w:p>
    <w:p w14:paraId="681D0915" w14:textId="77777777" w:rsidR="00060C0A" w:rsidRDefault="0057494E" w:rsidP="00060C0A">
      <w:pPr>
        <w:pStyle w:val="ListBullet"/>
      </w:pPr>
      <w:hyperlink w:anchor="_Variation_types" w:history="1">
        <w:r w:rsidR="00060C0A" w:rsidRPr="00984743">
          <w:rPr>
            <w:rStyle w:val="Hyperlink"/>
          </w:rPr>
          <w:t>Variation types</w:t>
        </w:r>
      </w:hyperlink>
    </w:p>
    <w:p w14:paraId="3CF24CEF" w14:textId="77777777" w:rsidR="00060C0A" w:rsidRPr="00287354" w:rsidRDefault="00C32A9A" w:rsidP="00060C0A">
      <w:pPr>
        <w:pStyle w:val="ListBullet2"/>
      </w:pPr>
      <w:r>
        <w:t>i</w:t>
      </w:r>
      <w:r w:rsidR="00060C0A">
        <w:t xml:space="preserve">ncluding information on </w:t>
      </w:r>
      <w:hyperlink w:anchor="_Multiple_related_changes" w:history="1">
        <w:r w:rsidR="00060C0A">
          <w:rPr>
            <w:rStyle w:val="Hyperlink"/>
          </w:rPr>
          <w:t>multiple related changes</w:t>
        </w:r>
      </w:hyperlink>
      <w:r w:rsidR="00060C0A">
        <w:t xml:space="preserve">, </w:t>
      </w:r>
      <w:hyperlink w:anchor="_Multiple_unrelated_changes" w:history="1">
        <w:r w:rsidR="00811F89">
          <w:rPr>
            <w:rStyle w:val="Hyperlink"/>
          </w:rPr>
          <w:t>multiple unrelated changes</w:t>
        </w:r>
      </w:hyperlink>
      <w:r w:rsidR="00060C0A">
        <w:t xml:space="preserve"> and </w:t>
      </w:r>
      <w:hyperlink w:anchor="_Associated_changes_for" w:history="1">
        <w:r w:rsidR="00060C0A" w:rsidRPr="00215D70">
          <w:rPr>
            <w:rStyle w:val="Hyperlink"/>
          </w:rPr>
          <w:t>associated changes</w:t>
        </w:r>
      </w:hyperlink>
    </w:p>
    <w:p w14:paraId="367E52A7" w14:textId="77777777" w:rsidR="00060C0A" w:rsidRDefault="007D66F6" w:rsidP="00060C0A">
      <w:pPr>
        <w:pStyle w:val="ListBullet"/>
      </w:pPr>
      <w:r>
        <w:t>c</w:t>
      </w:r>
      <w:r w:rsidR="00060C0A">
        <w:t xml:space="preserve">onsiderations </w:t>
      </w:r>
      <w:hyperlink w:anchor="_Prior_to_application" w:history="1">
        <w:r w:rsidR="00060C0A">
          <w:rPr>
            <w:rStyle w:val="Hyperlink"/>
          </w:rPr>
          <w:t>prior to application submission</w:t>
        </w:r>
      </w:hyperlink>
    </w:p>
    <w:p w14:paraId="2735A4BD" w14:textId="77777777" w:rsidR="00060C0A" w:rsidRDefault="007D66F6" w:rsidP="00060C0A">
      <w:pPr>
        <w:pStyle w:val="ListBullet"/>
      </w:pPr>
      <w:r>
        <w:t>r</w:t>
      </w:r>
      <w:r w:rsidR="00060C0A">
        <w:t xml:space="preserve">equesting variations using the </w:t>
      </w:r>
      <w:hyperlink w:anchor="_Variation_e-form" w:history="1">
        <w:r w:rsidR="00C32A9A">
          <w:rPr>
            <w:rStyle w:val="Hyperlink"/>
          </w:rPr>
          <w:t>V</w:t>
        </w:r>
        <w:r w:rsidR="00060C0A">
          <w:rPr>
            <w:rStyle w:val="Hyperlink"/>
          </w:rPr>
          <w:t>ariation e-form</w:t>
        </w:r>
      </w:hyperlink>
    </w:p>
    <w:p w14:paraId="4FFDB8DB" w14:textId="77777777" w:rsidR="00060C0A" w:rsidRDefault="0057494E" w:rsidP="00060C0A">
      <w:pPr>
        <w:pStyle w:val="ListBullet"/>
      </w:pPr>
      <w:hyperlink w:anchor="_Submitting_data" w:history="1">
        <w:r w:rsidR="00060C0A" w:rsidRPr="00215D70">
          <w:rPr>
            <w:rStyle w:val="Hyperlink"/>
          </w:rPr>
          <w:t>Submitting data</w:t>
        </w:r>
      </w:hyperlink>
    </w:p>
    <w:p w14:paraId="53A98D5D" w14:textId="77777777" w:rsidR="00060C0A" w:rsidRDefault="0057494E" w:rsidP="00060C0A">
      <w:pPr>
        <w:pStyle w:val="ListBullet"/>
      </w:pPr>
      <w:hyperlink w:anchor="_Conditions_and_data" w:history="1">
        <w:r w:rsidR="00060C0A" w:rsidRPr="00215D70">
          <w:rPr>
            <w:rStyle w:val="Hyperlink"/>
          </w:rPr>
          <w:t>Conditions and data requirements</w:t>
        </w:r>
      </w:hyperlink>
    </w:p>
    <w:p w14:paraId="2AA10087" w14:textId="77777777" w:rsidR="00060C0A" w:rsidRPr="00C32A9A" w:rsidRDefault="00C32A9A" w:rsidP="00060C0A">
      <w:pPr>
        <w:pStyle w:val="ListBullet2"/>
      </w:pPr>
      <w:r>
        <w:t>i</w:t>
      </w:r>
      <w:r w:rsidR="00060C0A">
        <w:t xml:space="preserve">ncluding information on </w:t>
      </w:r>
      <w:hyperlink w:anchor="_Validation_data" w:history="1">
        <w:r w:rsidR="00060C0A">
          <w:rPr>
            <w:rStyle w:val="Hyperlink"/>
          </w:rPr>
          <w:t>v</w:t>
        </w:r>
        <w:r w:rsidR="00060C0A" w:rsidRPr="000D21FE">
          <w:rPr>
            <w:rStyle w:val="Hyperlink"/>
          </w:rPr>
          <w:t>alidation data</w:t>
        </w:r>
      </w:hyperlink>
      <w:r w:rsidR="00060C0A">
        <w:t xml:space="preserve">, </w:t>
      </w:r>
      <w:hyperlink w:anchor="_Comparative_batch_data" w:history="1">
        <w:r w:rsidR="00060C0A">
          <w:rPr>
            <w:rStyle w:val="Hyperlink"/>
          </w:rPr>
          <w:t>c</w:t>
        </w:r>
        <w:r w:rsidR="00060C0A" w:rsidRPr="000D21FE">
          <w:rPr>
            <w:rStyle w:val="Hyperlink"/>
          </w:rPr>
          <w:t>omparative batch data</w:t>
        </w:r>
      </w:hyperlink>
      <w:r w:rsidR="00060C0A">
        <w:t xml:space="preserve"> and </w:t>
      </w:r>
      <w:hyperlink w:anchor="_Comparative_dissolution_profiles" w:history="1">
        <w:r w:rsidR="00060C0A">
          <w:rPr>
            <w:rStyle w:val="Hyperlink"/>
          </w:rPr>
          <w:t>c</w:t>
        </w:r>
        <w:r w:rsidR="00060C0A" w:rsidRPr="000D21FE">
          <w:rPr>
            <w:rStyle w:val="Hyperlink"/>
          </w:rPr>
          <w:t>omparative dissolution profiles</w:t>
        </w:r>
      </w:hyperlink>
      <w:r w:rsidRPr="00C32A9A">
        <w:t>.</w:t>
      </w:r>
    </w:p>
    <w:p w14:paraId="7D9E096A" w14:textId="77777777" w:rsidR="00060C0A" w:rsidRPr="00060C0A" w:rsidRDefault="00060C0A" w:rsidP="00060C0A">
      <w:pPr>
        <w:pStyle w:val="Heading3"/>
      </w:pPr>
      <w:bookmarkStart w:id="85" w:name="_Variation_types"/>
      <w:bookmarkStart w:id="86" w:name="_Toc5089270"/>
      <w:bookmarkStart w:id="87" w:name="_Toc10202264"/>
      <w:bookmarkEnd w:id="85"/>
      <w:r>
        <w:t>Variation types</w:t>
      </w:r>
      <w:bookmarkEnd w:id="86"/>
      <w:bookmarkEnd w:id="87"/>
    </w:p>
    <w:p w14:paraId="32DC2790" w14:textId="77777777" w:rsidR="00E063C3" w:rsidRDefault="00E063C3" w:rsidP="00E063C3">
      <w:pPr>
        <w:pStyle w:val="ListBullet2"/>
        <w:numPr>
          <w:ilvl w:val="0"/>
          <w:numId w:val="0"/>
        </w:numPr>
        <w:rPr>
          <w:bCs/>
        </w:rPr>
      </w:pPr>
      <w:r>
        <w:rPr>
          <w:bCs/>
        </w:rPr>
        <w:t xml:space="preserve">There are specific variation types to describe many possible changes. These are four-letter acronyms with descriptions which are selected during the application process using the </w:t>
      </w:r>
      <w:hyperlink w:anchor="_Variation_e-form" w:history="1">
        <w:r w:rsidRPr="00F93F1A">
          <w:rPr>
            <w:rStyle w:val="Hyperlink"/>
            <w:bCs/>
          </w:rPr>
          <w:t>Variation e-form</w:t>
        </w:r>
      </w:hyperlink>
      <w:r>
        <w:rPr>
          <w:bCs/>
        </w:rPr>
        <w:t xml:space="preserve">. The variation types are listed under </w:t>
      </w:r>
      <w:r w:rsidRPr="004D18D2">
        <w:t>variation categories</w:t>
      </w:r>
      <w:r>
        <w:rPr>
          <w:bCs/>
        </w:rPr>
        <w:t xml:space="preserve"> outlined in: </w:t>
      </w:r>
    </w:p>
    <w:p w14:paraId="42E6831F" w14:textId="77777777" w:rsidR="00E063C3" w:rsidRDefault="0057494E" w:rsidP="00E063C3">
      <w:pPr>
        <w:pStyle w:val="ListBullet"/>
      </w:pPr>
      <w:hyperlink r:id="rId69" w:history="1">
        <w:r w:rsidR="00E063C3" w:rsidRPr="008B48F7">
          <w:rPr>
            <w:rStyle w:val="Hyperlink"/>
          </w:rPr>
          <w:t xml:space="preserve">Variations to prescription medicines - excluding variations requiring evaluation of clinical or bioequivalence data </w:t>
        </w:r>
        <w:r w:rsidR="004650C9" w:rsidRPr="008B48F7">
          <w:rPr>
            <w:rStyle w:val="Hyperlink"/>
          </w:rPr>
          <w:t xml:space="preserve">- Appendix 1: Variation types - </w:t>
        </w:r>
        <w:r w:rsidR="00E063C3" w:rsidRPr="008B48F7">
          <w:rPr>
            <w:rStyle w:val="Hyperlink"/>
          </w:rPr>
          <w:t>chemical entities</w:t>
        </w:r>
      </w:hyperlink>
    </w:p>
    <w:p w14:paraId="204124DD" w14:textId="77777777" w:rsidR="00C32A9A" w:rsidRPr="00C32A9A" w:rsidRDefault="0057494E" w:rsidP="0009694D">
      <w:pPr>
        <w:pStyle w:val="ListBullet"/>
      </w:pPr>
      <w:hyperlink r:id="rId70" w:history="1">
        <w:r w:rsidR="00E063C3" w:rsidRPr="008B48F7">
          <w:rPr>
            <w:rStyle w:val="Hyperlink"/>
          </w:rPr>
          <w:t xml:space="preserve">Variations to prescription medicines - excluding variations requiring evaluation of clinical or bioequivalence data </w:t>
        </w:r>
        <w:r w:rsidR="004650C9" w:rsidRPr="008B48F7">
          <w:rPr>
            <w:rStyle w:val="Hyperlink"/>
          </w:rPr>
          <w:t xml:space="preserve">- Appendix 2: Variation types - </w:t>
        </w:r>
        <w:r w:rsidR="00E063C3" w:rsidRPr="008B48F7">
          <w:rPr>
            <w:rStyle w:val="Hyperlink"/>
          </w:rPr>
          <w:t>biological medicines</w:t>
        </w:r>
      </w:hyperlink>
      <w:r w:rsidR="00E063C3">
        <w:t>.</w:t>
      </w:r>
    </w:p>
    <w:p w14:paraId="7E2FFBA3" w14:textId="77777777" w:rsidR="00E063C3" w:rsidRDefault="0009694D" w:rsidP="00124427">
      <w:r w:rsidRPr="0009694D">
        <w:t>Some variation types require an update to ARTG data. If these variation types are selected in the e-form, a single mandatory provisional ARTG record (PAR) field screen will be displayed. The guidance outlines the PAR fields that you will need to update for each variation type. When an update to ARTG data is required, a change must be made to each of the ARTG records you have selected for the variation type to be applied.</w:t>
      </w:r>
    </w:p>
    <w:p w14:paraId="11D595C0" w14:textId="77777777" w:rsidR="006536BD" w:rsidRDefault="006536BD" w:rsidP="006536BD">
      <w:pPr>
        <w:pStyle w:val="Heading4"/>
      </w:pPr>
      <w:bookmarkStart w:id="88" w:name="_Multiple_related_changes"/>
      <w:bookmarkStart w:id="89" w:name="_Toc10202265"/>
      <w:bookmarkEnd w:id="88"/>
      <w:r>
        <w:t>Multiple related changes</w:t>
      </w:r>
      <w:bookmarkEnd w:id="89"/>
    </w:p>
    <w:p w14:paraId="49DEB234" w14:textId="77777777" w:rsidR="00E063C3" w:rsidRDefault="006536BD" w:rsidP="00124427">
      <w:r>
        <w:t>In some instances, varying one aspect of a medicine can result in the need to update other information. For example, changing the pack size may involve changes to the label and the product information document. Selecting a separate variation type for each of these changes may result in multiple applications or submissions when, in fact, all the changes should be conside</w:t>
      </w:r>
      <w:r w:rsidR="003C1076">
        <w:t>red as a consolidated package.</w:t>
      </w:r>
    </w:p>
    <w:tbl>
      <w:tblPr>
        <w:tblW w:w="9038" w:type="dxa"/>
        <w:tblLayout w:type="fixed"/>
        <w:tblCellMar>
          <w:left w:w="0" w:type="dxa"/>
          <w:right w:w="0" w:type="dxa"/>
        </w:tblCellMar>
        <w:tblLook w:val="04A0" w:firstRow="1" w:lastRow="0" w:firstColumn="1" w:lastColumn="0" w:noHBand="0" w:noVBand="1"/>
      </w:tblPr>
      <w:tblGrid>
        <w:gridCol w:w="1276"/>
        <w:gridCol w:w="7762"/>
      </w:tblGrid>
      <w:tr w:rsidR="00082DAD" w:rsidRPr="00215D48" w14:paraId="1C6DA400" w14:textId="77777777" w:rsidTr="00312CE2">
        <w:tc>
          <w:tcPr>
            <w:tcW w:w="1276" w:type="dxa"/>
            <w:vAlign w:val="center"/>
          </w:tcPr>
          <w:p w14:paraId="7F674B5B" w14:textId="77777777" w:rsidR="00082DAD" w:rsidRPr="00215D48" w:rsidRDefault="00082DAD" w:rsidP="00312CE2">
            <w:pPr>
              <w:spacing w:before="0"/>
              <w:rPr>
                <w:sz w:val="20"/>
              </w:rPr>
            </w:pPr>
            <w:r w:rsidRPr="00215D48">
              <w:rPr>
                <w:noProof/>
                <w:sz w:val="20"/>
                <w:lang w:eastAsia="en-AU"/>
              </w:rPr>
              <w:drawing>
                <wp:inline distT="0" distB="0" distL="0" distR="0" wp14:anchorId="53A6B9B6" wp14:editId="3E2F6C09">
                  <wp:extent cx="487681" cy="487681"/>
                  <wp:effectExtent l="19050" t="0" r="7619" b="0"/>
                  <wp:docPr id="12" name="Picture 0" descr="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fo.png"/>
                          <pic:cNvPicPr/>
                        </pic:nvPicPr>
                        <pic:blipFill>
                          <a:blip r:embed="rId23" cstate="print"/>
                          <a:stretch>
                            <a:fillRect/>
                          </a:stretch>
                        </pic:blipFill>
                        <pic:spPr>
                          <a:xfrm>
                            <a:off x="0" y="0"/>
                            <a:ext cx="487681" cy="487681"/>
                          </a:xfrm>
                          <a:prstGeom prst="rect">
                            <a:avLst/>
                          </a:prstGeom>
                        </pic:spPr>
                      </pic:pic>
                    </a:graphicData>
                  </a:graphic>
                </wp:inline>
              </w:drawing>
            </w:r>
          </w:p>
        </w:tc>
        <w:tc>
          <w:tcPr>
            <w:tcW w:w="7762" w:type="dxa"/>
            <w:shd w:val="clear" w:color="auto" w:fill="EAEAEA"/>
            <w:tcMar>
              <w:top w:w="170" w:type="dxa"/>
              <w:left w:w="170" w:type="dxa"/>
              <w:bottom w:w="170" w:type="dxa"/>
              <w:right w:w="170" w:type="dxa"/>
            </w:tcMar>
            <w:vAlign w:val="center"/>
          </w:tcPr>
          <w:p w14:paraId="38C2D36D" w14:textId="77777777" w:rsidR="00082DAD" w:rsidRPr="00082DAD" w:rsidRDefault="00082DAD" w:rsidP="00082DAD">
            <w:pPr>
              <w:rPr>
                <w:b/>
              </w:rPr>
            </w:pPr>
            <w:r w:rsidRPr="00082DAD">
              <w:rPr>
                <w:b/>
              </w:rPr>
              <w:t>Multiple related variations</w:t>
            </w:r>
          </w:p>
          <w:p w14:paraId="2535CFB2" w14:textId="77777777" w:rsidR="00082DAD" w:rsidRPr="00215D48" w:rsidRDefault="00082DAD" w:rsidP="00124427">
            <w:r>
              <w:t>Read the conditions associated with each variation type to determine if a single variation type can be used. Details of individual changes should be included in the cover letter and in the comments field of the e-form. This ensures that all aspects of a proposed variation are considered at the same time.</w:t>
            </w:r>
          </w:p>
        </w:tc>
      </w:tr>
      <w:tr w:rsidR="00AA5BBD" w:rsidRPr="00AA5BBD" w14:paraId="0B63F106" w14:textId="77777777" w:rsidTr="00312CE2">
        <w:tc>
          <w:tcPr>
            <w:tcW w:w="1276" w:type="dxa"/>
            <w:vAlign w:val="center"/>
          </w:tcPr>
          <w:p w14:paraId="353960A7" w14:textId="77777777" w:rsidR="00AA5BBD" w:rsidRPr="00AA5BBD" w:rsidRDefault="00AA5BBD" w:rsidP="00AA5BBD">
            <w:pPr>
              <w:spacing w:before="0"/>
              <w:rPr>
                <w:sz w:val="20"/>
              </w:rPr>
            </w:pPr>
            <w:r w:rsidRPr="00AA5BBD">
              <w:rPr>
                <w:noProof/>
                <w:sz w:val="20"/>
                <w:lang w:eastAsia="en-AU"/>
              </w:rPr>
              <w:lastRenderedPageBreak/>
              <w:drawing>
                <wp:inline distT="0" distB="0" distL="0" distR="0" wp14:anchorId="3C5064D8" wp14:editId="7339888F">
                  <wp:extent cx="487681" cy="487681"/>
                  <wp:effectExtent l="19050" t="0" r="7619" b="0"/>
                  <wp:docPr id="13" name="Picture 0" descr="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fo.png"/>
                          <pic:cNvPicPr/>
                        </pic:nvPicPr>
                        <pic:blipFill>
                          <a:blip r:embed="rId23" cstate="print"/>
                          <a:stretch>
                            <a:fillRect/>
                          </a:stretch>
                        </pic:blipFill>
                        <pic:spPr>
                          <a:xfrm>
                            <a:off x="0" y="0"/>
                            <a:ext cx="487681" cy="487681"/>
                          </a:xfrm>
                          <a:prstGeom prst="rect">
                            <a:avLst/>
                          </a:prstGeom>
                        </pic:spPr>
                      </pic:pic>
                    </a:graphicData>
                  </a:graphic>
                </wp:inline>
              </w:drawing>
            </w:r>
          </w:p>
        </w:tc>
        <w:tc>
          <w:tcPr>
            <w:tcW w:w="7762" w:type="dxa"/>
            <w:shd w:val="clear" w:color="auto" w:fill="EAEAEA"/>
            <w:tcMar>
              <w:top w:w="170" w:type="dxa"/>
              <w:left w:w="170" w:type="dxa"/>
              <w:bottom w:w="170" w:type="dxa"/>
              <w:right w:w="170" w:type="dxa"/>
            </w:tcMar>
            <w:vAlign w:val="center"/>
          </w:tcPr>
          <w:p w14:paraId="753DB989" w14:textId="77777777" w:rsidR="00AA5BBD" w:rsidRPr="00AA5BBD" w:rsidRDefault="00AA5BBD" w:rsidP="00AA5BBD">
            <w:r w:rsidRPr="00AA5BBD">
              <w:rPr>
                <w:b/>
              </w:rPr>
              <w:t>Example – submitting changes that result in consequential updates to other aspects of the medicine</w:t>
            </w:r>
          </w:p>
          <w:p w14:paraId="5C03B8ED" w14:textId="77777777" w:rsidR="00AA5BBD" w:rsidRPr="00AA5BBD" w:rsidRDefault="00AA5BBD" w:rsidP="00AA5BBD">
            <w:r w:rsidRPr="00AA5BBD">
              <w:t>Company S wishes to update the storage conditions for their medicine due to stability concerns. The existing storage conditions are stated on both the medicine label as well as in the PI document. Consequentially, these will need to be updated to reflect the new storage conditions.</w:t>
            </w:r>
          </w:p>
          <w:p w14:paraId="15DA3531" w14:textId="77777777" w:rsidR="00AA5BBD" w:rsidRPr="00AA5BBD" w:rsidRDefault="00AA5BBD" w:rsidP="00AA5BBD">
            <w:r w:rsidRPr="00AA5BBD">
              <w:t>Although the change affects multiple aspects of the medicine, in the Variation e-form, Company S will only need to select one Category 3 variation type:</w:t>
            </w:r>
          </w:p>
          <w:p w14:paraId="6F374B26" w14:textId="77777777" w:rsidR="00AA5BBD" w:rsidRPr="00AA5BBD" w:rsidRDefault="00AA5BBD" w:rsidP="00AA5BBD">
            <w:pPr>
              <w:pStyle w:val="ListBullet"/>
            </w:pPr>
            <w:r w:rsidRPr="00AA5BBD">
              <w:t>DSLC: Shelf life - Changes to the shelf life or storage conditions of the drug product.</w:t>
            </w:r>
          </w:p>
          <w:p w14:paraId="374AF368" w14:textId="77777777" w:rsidR="006B4166" w:rsidRDefault="00AA5BBD" w:rsidP="00AA5BBD">
            <w:r w:rsidRPr="00AA5BBD">
              <w:t>If this is the only change being made to the label and PI document, Company S does not need to separately select a variation type for the label and PI changes. Company S refers to the Appendix guidance and can see that the conditions and data requirements for DSLC allow for changes to labels and PI.</w:t>
            </w:r>
          </w:p>
          <w:p w14:paraId="5168A756" w14:textId="77777777" w:rsidR="00805D2A" w:rsidRDefault="007C5016" w:rsidP="0060365C">
            <w:r>
              <w:t xml:space="preserve">Company S includes a summary </w:t>
            </w:r>
            <w:r w:rsidRPr="007C5016">
              <w:t xml:space="preserve">of the changes in the cover letter and the comments field in the Variation </w:t>
            </w:r>
            <w:r w:rsidR="003C1076">
              <w:t>e-form.</w:t>
            </w:r>
          </w:p>
          <w:p w14:paraId="36E85DD1" w14:textId="77777777" w:rsidR="00AA5BBD" w:rsidRPr="00AA5BBD" w:rsidRDefault="00805D2A" w:rsidP="0060365C">
            <w:r>
              <w:t xml:space="preserve">Company S </w:t>
            </w:r>
            <w:r w:rsidR="007C5016">
              <w:t>also check if the PI refers to any</w:t>
            </w:r>
            <w:r w:rsidR="007C5016" w:rsidRPr="007C5016">
              <w:t xml:space="preserve"> other products (AUS</w:t>
            </w:r>
            <w:r w:rsidR="007C5016">
              <w:t>T Rs) not selected</w:t>
            </w:r>
            <w:r w:rsidR="007C5016" w:rsidRPr="007C5016">
              <w:t xml:space="preserve"> in the Variation </w:t>
            </w:r>
            <w:r w:rsidR="007C5016">
              <w:t>e-</w:t>
            </w:r>
            <w:r w:rsidR="007C5016" w:rsidRPr="007C5016">
              <w:t xml:space="preserve">form (that is goods that are listed in the PI document but do not require the variation to </w:t>
            </w:r>
            <w:r w:rsidR="00342042">
              <w:t>storage conditions</w:t>
            </w:r>
            <w:r w:rsidR="007C5016">
              <w:t xml:space="preserve">). If the PI refers to additional </w:t>
            </w:r>
            <w:r w:rsidR="007C5016" w:rsidRPr="007C5016">
              <w:t>products</w:t>
            </w:r>
            <w:r w:rsidR="00C07FD0">
              <w:t xml:space="preserve"> then Company S also </w:t>
            </w:r>
            <w:r w:rsidR="007C5016" w:rsidRPr="007C5016">
              <w:t>provide a list of th</w:t>
            </w:r>
            <w:r w:rsidR="007C5016">
              <w:t xml:space="preserve">ese goods and a statement requesting </w:t>
            </w:r>
            <w:r w:rsidR="00C07FD0">
              <w:t xml:space="preserve">that </w:t>
            </w:r>
            <w:r w:rsidR="007C5016">
              <w:t xml:space="preserve">the PI </w:t>
            </w:r>
            <w:r w:rsidR="00C07FD0">
              <w:t xml:space="preserve">be </w:t>
            </w:r>
            <w:r w:rsidR="007C5016" w:rsidRPr="007C5016">
              <w:t>updated for the</w:t>
            </w:r>
            <w:r w:rsidR="00C07FD0">
              <w:t>se products</w:t>
            </w:r>
            <w:r w:rsidR="007C5016" w:rsidRPr="007C5016">
              <w:t>.</w:t>
            </w:r>
          </w:p>
        </w:tc>
      </w:tr>
    </w:tbl>
    <w:p w14:paraId="14221B58" w14:textId="77777777" w:rsidR="005002DD" w:rsidRPr="005002DD" w:rsidRDefault="005002DD" w:rsidP="00124427">
      <w:r w:rsidRPr="005002DD">
        <w:t xml:space="preserve">For multiple related changes that require multiple PAR fields to be updated consider if there are </w:t>
      </w:r>
      <w:hyperlink w:anchor="_Associated_changes_for" w:history="1">
        <w:r w:rsidRPr="005002DD">
          <w:rPr>
            <w:rStyle w:val="Hyperlink"/>
            <w:bCs/>
          </w:rPr>
          <w:t>associated changes</w:t>
        </w:r>
      </w:hyperlink>
      <w:r w:rsidRPr="005002DD">
        <w:t xml:space="preserve"> available for your variation. If there are no ‘Associated changes’ available, you may need to select separate variation types.</w:t>
      </w:r>
    </w:p>
    <w:p w14:paraId="7B7FC03A" w14:textId="77777777" w:rsidR="00781AD1" w:rsidRDefault="00781AD1" w:rsidP="00E6405E">
      <w:pPr>
        <w:pStyle w:val="Heading4"/>
        <w:spacing w:before="240" w:line="240" w:lineRule="auto"/>
      </w:pPr>
      <w:bookmarkStart w:id="90" w:name="_Multiple_unrelated_changes"/>
      <w:bookmarkStart w:id="91" w:name="_Toc10202266"/>
      <w:bookmarkEnd w:id="90"/>
      <w:r>
        <w:t>Multiple unrelated changes</w:t>
      </w:r>
      <w:bookmarkEnd w:id="91"/>
    </w:p>
    <w:p w14:paraId="6EFE794A" w14:textId="77777777" w:rsidR="00AA5BBD" w:rsidRDefault="00781AD1" w:rsidP="003C1076">
      <w:r>
        <w:t>Some multiple unrelated changes can be requested by selecting one variation type. For example, with medicine labels, some changes can be made to an approved label as notifications, while others require evaluation by the TGA. If a sponsor wishes to make multiple concurrent changes to a label, and at least one of these requires evaluation, a single Cat 3 request should be submitted. This avoids the automatic approval under ss. 9D(2C) being given for an amended label that includes additional cha</w:t>
      </w:r>
      <w:r w:rsidR="003C1076">
        <w:t>nges that require evaluation.</w:t>
      </w:r>
    </w:p>
    <w:tbl>
      <w:tblPr>
        <w:tblW w:w="9038" w:type="dxa"/>
        <w:tblLayout w:type="fixed"/>
        <w:tblCellMar>
          <w:left w:w="0" w:type="dxa"/>
          <w:right w:w="0" w:type="dxa"/>
        </w:tblCellMar>
        <w:tblLook w:val="04A0" w:firstRow="1" w:lastRow="0" w:firstColumn="1" w:lastColumn="0" w:noHBand="0" w:noVBand="1"/>
      </w:tblPr>
      <w:tblGrid>
        <w:gridCol w:w="1276"/>
        <w:gridCol w:w="7762"/>
      </w:tblGrid>
      <w:tr w:rsidR="00B82579" w:rsidRPr="00215D48" w14:paraId="5D65A9CB" w14:textId="77777777" w:rsidTr="00E6405E">
        <w:trPr>
          <w:trHeight w:val="2240"/>
        </w:trPr>
        <w:tc>
          <w:tcPr>
            <w:tcW w:w="1276" w:type="dxa"/>
            <w:vAlign w:val="center"/>
          </w:tcPr>
          <w:p w14:paraId="337FEE6A" w14:textId="77777777" w:rsidR="00B82579" w:rsidRPr="00215D48" w:rsidRDefault="00B82579" w:rsidP="00312CE2">
            <w:pPr>
              <w:spacing w:before="0"/>
              <w:rPr>
                <w:sz w:val="20"/>
              </w:rPr>
            </w:pPr>
            <w:r w:rsidRPr="00215D48">
              <w:rPr>
                <w:noProof/>
                <w:sz w:val="20"/>
                <w:lang w:eastAsia="en-AU"/>
              </w:rPr>
              <w:drawing>
                <wp:inline distT="0" distB="0" distL="0" distR="0" wp14:anchorId="0138CAD7" wp14:editId="7ACA5B5D">
                  <wp:extent cx="487681" cy="487681"/>
                  <wp:effectExtent l="19050" t="0" r="7619" b="0"/>
                  <wp:docPr id="14" name="Picture 0" descr="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fo.png"/>
                          <pic:cNvPicPr/>
                        </pic:nvPicPr>
                        <pic:blipFill>
                          <a:blip r:embed="rId23" cstate="print"/>
                          <a:stretch>
                            <a:fillRect/>
                          </a:stretch>
                        </pic:blipFill>
                        <pic:spPr>
                          <a:xfrm>
                            <a:off x="0" y="0"/>
                            <a:ext cx="487681" cy="487681"/>
                          </a:xfrm>
                          <a:prstGeom prst="rect">
                            <a:avLst/>
                          </a:prstGeom>
                        </pic:spPr>
                      </pic:pic>
                    </a:graphicData>
                  </a:graphic>
                </wp:inline>
              </w:drawing>
            </w:r>
          </w:p>
        </w:tc>
        <w:tc>
          <w:tcPr>
            <w:tcW w:w="7762" w:type="dxa"/>
            <w:shd w:val="clear" w:color="auto" w:fill="EAEAEA"/>
            <w:tcMar>
              <w:top w:w="170" w:type="dxa"/>
              <w:left w:w="170" w:type="dxa"/>
              <w:bottom w:w="170" w:type="dxa"/>
              <w:right w:w="170" w:type="dxa"/>
            </w:tcMar>
            <w:vAlign w:val="center"/>
          </w:tcPr>
          <w:p w14:paraId="4DEA2CF4" w14:textId="77777777" w:rsidR="00B82579" w:rsidRPr="00B82579" w:rsidRDefault="00B82579" w:rsidP="00B82579">
            <w:r w:rsidRPr="00B82579">
              <w:rPr>
                <w:b/>
              </w:rPr>
              <w:t>Example – submitting unrelated medicine label changes in a single submission</w:t>
            </w:r>
          </w:p>
          <w:p w14:paraId="2BCB5B51" w14:textId="77777777" w:rsidR="00B82579" w:rsidRPr="00B82579" w:rsidRDefault="00B82579" w:rsidP="00B82579">
            <w:r w:rsidRPr="00B82579">
              <w:t>Company T wishes to make the following quality changes to the labels of their prescription medicine, which is available in three strengths:</w:t>
            </w:r>
          </w:p>
          <w:p w14:paraId="337B01A0" w14:textId="77777777" w:rsidR="00B82579" w:rsidRDefault="00B82579" w:rsidP="00B82579">
            <w:pPr>
              <w:pStyle w:val="ListBullet"/>
            </w:pPr>
            <w:r>
              <w:t>alter some colours used in the artwork (Category 3 request)</w:t>
            </w:r>
          </w:p>
          <w:p w14:paraId="10FA30BE" w14:textId="77777777" w:rsidR="00B82579" w:rsidRDefault="00B82579" w:rsidP="00B82579">
            <w:pPr>
              <w:pStyle w:val="ListBullet"/>
            </w:pPr>
            <w:r>
              <w:t>change the distributor’s name and address (notification)</w:t>
            </w:r>
          </w:p>
          <w:p w14:paraId="692CA5CA" w14:textId="77777777" w:rsidR="00B82579" w:rsidRDefault="00B82579" w:rsidP="00B82579">
            <w:pPr>
              <w:pStyle w:val="ListBullet"/>
            </w:pPr>
            <w:r>
              <w:t>remove duplicated information from a side panel (consistent with the conditions that make this a notification)</w:t>
            </w:r>
          </w:p>
          <w:p w14:paraId="70E11C22" w14:textId="77777777" w:rsidR="00B82579" w:rsidRDefault="00B82579" w:rsidP="00B82579">
            <w:r>
              <w:t xml:space="preserve">Although these changes are not related to each other, Company T wants to </w:t>
            </w:r>
            <w:r>
              <w:lastRenderedPageBreak/>
              <w:t>submit only one amended label to the TGA. Company T should therefore request all of these changes within one Category 3 application.</w:t>
            </w:r>
          </w:p>
          <w:p w14:paraId="070137D2" w14:textId="77777777" w:rsidR="00B82579" w:rsidRDefault="00B82579" w:rsidP="00B82579">
            <w:r>
              <w:t>In the Variation e-form, Company T will need to select only</w:t>
            </w:r>
          </w:p>
          <w:p w14:paraId="54C72351" w14:textId="77777777" w:rsidR="00B82579" w:rsidRDefault="00B82579" w:rsidP="00B82579">
            <w:pPr>
              <w:pStyle w:val="ListBullet"/>
            </w:pPr>
            <w:r>
              <w:t>LCDE: Label changes – any changes requiring evaluation (a Category 3 variation type)</w:t>
            </w:r>
          </w:p>
          <w:p w14:paraId="76A2C4D2" w14:textId="77777777" w:rsidR="00B82579" w:rsidRPr="00215D48" w:rsidRDefault="00B82579" w:rsidP="00B82579">
            <w:r w:rsidRPr="00B82579">
              <w:t>and include a summary of the changes within their cover letter.</w:t>
            </w:r>
          </w:p>
        </w:tc>
      </w:tr>
    </w:tbl>
    <w:p w14:paraId="202FB42E" w14:textId="77777777" w:rsidR="00AA5BBD" w:rsidRDefault="001C6B48" w:rsidP="00E6405E">
      <w:pPr>
        <w:pStyle w:val="Heading4"/>
        <w:spacing w:before="240"/>
      </w:pPr>
      <w:bookmarkStart w:id="92" w:name="_Associated_changes_for"/>
      <w:bookmarkStart w:id="93" w:name="_Toc10202267"/>
      <w:bookmarkEnd w:id="92"/>
      <w:r w:rsidRPr="001C6B48">
        <w:lastRenderedPageBreak/>
        <w:t>Associated changes for separate and distinct goods</w:t>
      </w:r>
      <w:bookmarkEnd w:id="93"/>
    </w:p>
    <w:p w14:paraId="611FFD9C" w14:textId="77777777" w:rsidR="00AA5BBD" w:rsidRDefault="00811F89" w:rsidP="00B91650">
      <w:r w:rsidRPr="00811F89">
        <w:t>When requesting a change that will result in a new and distinct good, there may be situations where other variations (including changes to PAR fields) need to be included. To prevent unnecessary separate submissions you can select ‘Associated changes’ to access different PAR fields. If you select these variation types, the changes will only be applied to the new goods. The ‘Associated changes’ variation types are listed in:</w:t>
      </w:r>
    </w:p>
    <w:p w14:paraId="23512CA7" w14:textId="77777777" w:rsidR="00811F89" w:rsidRDefault="0057494E" w:rsidP="00811F89">
      <w:pPr>
        <w:pStyle w:val="ListBullet"/>
      </w:pPr>
      <w:hyperlink r:id="rId71" w:history="1">
        <w:r w:rsidR="00811F89" w:rsidRPr="00124427">
          <w:rPr>
            <w:rStyle w:val="Hyperlink"/>
          </w:rPr>
          <w:t>Variations to prescription medicines - excluding variations requiring evaluation of clinical or bioequivalence data - Appendix 1: Variation types – chemical entities</w:t>
        </w:r>
      </w:hyperlink>
    </w:p>
    <w:p w14:paraId="7C2ADA7B" w14:textId="77777777" w:rsidR="00811F89" w:rsidRDefault="0057494E" w:rsidP="00811F89">
      <w:pPr>
        <w:pStyle w:val="ListBullet"/>
      </w:pPr>
      <w:hyperlink r:id="rId72" w:history="1">
        <w:r w:rsidR="00811F89" w:rsidRPr="00124427">
          <w:rPr>
            <w:rStyle w:val="Hyperlink"/>
          </w:rPr>
          <w:t>Variations to prescription medicines - excluding variations requiring evaluation of clinical or bioequivalence data - Appendix 2: Variation types – biological medicines</w:t>
        </w:r>
      </w:hyperlink>
      <w:r w:rsidR="00811F89">
        <w:t>.</w:t>
      </w:r>
    </w:p>
    <w:tbl>
      <w:tblPr>
        <w:tblW w:w="9038" w:type="dxa"/>
        <w:tblLayout w:type="fixed"/>
        <w:tblCellMar>
          <w:left w:w="0" w:type="dxa"/>
          <w:right w:w="0" w:type="dxa"/>
        </w:tblCellMar>
        <w:tblLook w:val="04A0" w:firstRow="1" w:lastRow="0" w:firstColumn="1" w:lastColumn="0" w:noHBand="0" w:noVBand="1"/>
      </w:tblPr>
      <w:tblGrid>
        <w:gridCol w:w="1276"/>
        <w:gridCol w:w="7762"/>
      </w:tblGrid>
      <w:tr w:rsidR="004D3092" w:rsidRPr="00215D48" w14:paraId="194C0722" w14:textId="77777777" w:rsidTr="00312CE2">
        <w:tc>
          <w:tcPr>
            <w:tcW w:w="1276" w:type="dxa"/>
            <w:vAlign w:val="center"/>
          </w:tcPr>
          <w:p w14:paraId="130C9C65" w14:textId="77777777" w:rsidR="004D3092" w:rsidRPr="00215D48" w:rsidRDefault="004D3092" w:rsidP="00312CE2">
            <w:pPr>
              <w:spacing w:before="0"/>
              <w:rPr>
                <w:sz w:val="20"/>
              </w:rPr>
            </w:pPr>
            <w:r w:rsidRPr="00215D48">
              <w:rPr>
                <w:noProof/>
                <w:sz w:val="20"/>
                <w:lang w:eastAsia="en-AU"/>
              </w:rPr>
              <w:drawing>
                <wp:inline distT="0" distB="0" distL="0" distR="0" wp14:anchorId="40200702" wp14:editId="27B99F49">
                  <wp:extent cx="487681" cy="487681"/>
                  <wp:effectExtent l="19050" t="0" r="7619" b="0"/>
                  <wp:docPr id="15" name="Picture 0" descr="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fo.png"/>
                          <pic:cNvPicPr/>
                        </pic:nvPicPr>
                        <pic:blipFill>
                          <a:blip r:embed="rId23" cstate="print"/>
                          <a:stretch>
                            <a:fillRect/>
                          </a:stretch>
                        </pic:blipFill>
                        <pic:spPr>
                          <a:xfrm>
                            <a:off x="0" y="0"/>
                            <a:ext cx="487681" cy="487681"/>
                          </a:xfrm>
                          <a:prstGeom prst="rect">
                            <a:avLst/>
                          </a:prstGeom>
                        </pic:spPr>
                      </pic:pic>
                    </a:graphicData>
                  </a:graphic>
                </wp:inline>
              </w:drawing>
            </w:r>
          </w:p>
        </w:tc>
        <w:tc>
          <w:tcPr>
            <w:tcW w:w="7762" w:type="dxa"/>
            <w:shd w:val="clear" w:color="auto" w:fill="EAEAEA"/>
            <w:tcMar>
              <w:top w:w="170" w:type="dxa"/>
              <w:left w:w="170" w:type="dxa"/>
              <w:bottom w:w="170" w:type="dxa"/>
              <w:right w:w="170" w:type="dxa"/>
            </w:tcMar>
            <w:vAlign w:val="center"/>
          </w:tcPr>
          <w:p w14:paraId="65D87DF8" w14:textId="77777777" w:rsidR="004D3092" w:rsidRPr="004D3092" w:rsidRDefault="004D3092" w:rsidP="004D3092">
            <w:r w:rsidRPr="004D3092">
              <w:rPr>
                <w:b/>
              </w:rPr>
              <w:t>Example – submitting variations with associated changes to other aspects of the medicine for a separate and distinct good</w:t>
            </w:r>
          </w:p>
          <w:p w14:paraId="3D658489" w14:textId="77777777" w:rsidR="004D3092" w:rsidRPr="004D3092" w:rsidRDefault="004D3092" w:rsidP="003C1076">
            <w:r w:rsidRPr="004D3092">
              <w:t xml:space="preserve">Company U wishes to update the formulation of their medicine where </w:t>
            </w:r>
            <w:hyperlink r:id="rId73" w:history="1">
              <w:r w:rsidRPr="004D3092">
                <w:rPr>
                  <w:rStyle w:val="Hyperlink"/>
                </w:rPr>
                <w:t>Therapeutic Goods (Groups) Order No. 1 of 2001</w:t>
              </w:r>
            </w:hyperlink>
            <w:r w:rsidRPr="004D3092">
              <w:t xml:space="preserve"> does not apply and a new AUST R number is required. The proposed change to the formulation is due to a proposed change to manufacturer site and is therefore ‘associated.’ There is also a consequential change to visual identification and updates are required to the label and PI.</w:t>
            </w:r>
          </w:p>
          <w:p w14:paraId="7A9A55C1" w14:textId="77777777" w:rsidR="004D3092" w:rsidRPr="004D3092" w:rsidRDefault="004D3092" w:rsidP="004D3092">
            <w:r w:rsidRPr="004D3092">
              <w:t>Company U will select:</w:t>
            </w:r>
          </w:p>
          <w:p w14:paraId="0DD8D317" w14:textId="77777777" w:rsidR="004D3092" w:rsidRPr="004D3092" w:rsidRDefault="004D3092" w:rsidP="004D3092">
            <w:pPr>
              <w:pStyle w:val="ListBullet"/>
            </w:pPr>
            <w:r w:rsidRPr="004D3092">
              <w:t xml:space="preserve">DFNA: Formulation – changes (CE) – </w:t>
            </w:r>
            <w:r w:rsidR="0097520B">
              <w:t>N</w:t>
            </w:r>
            <w:r w:rsidRPr="004D3092">
              <w:t>ew AUST R number</w:t>
            </w:r>
          </w:p>
          <w:p w14:paraId="5226C424" w14:textId="77777777" w:rsidR="004D3092" w:rsidRPr="004D3092" w:rsidRDefault="004D3092" w:rsidP="004D3092">
            <w:r w:rsidRPr="004D3092">
              <w:t>followed by:</w:t>
            </w:r>
          </w:p>
          <w:p w14:paraId="343F680E" w14:textId="77777777" w:rsidR="004D3092" w:rsidRPr="004D3092" w:rsidRDefault="004D3092" w:rsidP="004D3092">
            <w:pPr>
              <w:pStyle w:val="ListBullet"/>
            </w:pPr>
            <w:r w:rsidRPr="004D3092">
              <w:t>ZFNM: ARTG data – Manufacturer changes associated with DFNA/PFNA or PCCT – For the new AUST R number</w:t>
            </w:r>
          </w:p>
          <w:p w14:paraId="7F87A5CB" w14:textId="77777777" w:rsidR="004D3092" w:rsidRPr="004D3092" w:rsidRDefault="004D3092" w:rsidP="004D3092">
            <w:pPr>
              <w:pStyle w:val="ListBullet"/>
            </w:pPr>
            <w:r w:rsidRPr="004D3092">
              <w:t>ZFNV: ARTG data – Visual identification changes associated with DFNA/ PFNA or PCCT – For the new AUST R number.</w:t>
            </w:r>
          </w:p>
          <w:p w14:paraId="11F04C3E" w14:textId="77777777" w:rsidR="004D3092" w:rsidRPr="004D3092" w:rsidRDefault="004D3092" w:rsidP="004D3092">
            <w:r w:rsidRPr="004D3092">
              <w:t>This ensures that the associated changes are applied to the new good with the new AUST R number (and not to the existing good).</w:t>
            </w:r>
          </w:p>
          <w:p w14:paraId="4AA9A4CA" w14:textId="77777777" w:rsidR="004D3092" w:rsidRPr="004D3092" w:rsidRDefault="004D3092" w:rsidP="004D3092">
            <w:r w:rsidRPr="004D3092">
              <w:t>Company U does not need to separately select a variation type for the label and PI changes. Company U can see that the conditions and data requirements for DFNA allow for changes to labels and PI.</w:t>
            </w:r>
          </w:p>
          <w:p w14:paraId="6923B10C" w14:textId="77777777" w:rsidR="004D3092" w:rsidRPr="00215D48" w:rsidRDefault="004D3092" w:rsidP="00312CE2">
            <w:r w:rsidRPr="004D3092">
              <w:t xml:space="preserve">If unrelated changes are required to the new good, Company U will wait until they have received a decision letter stating that their new product has been </w:t>
            </w:r>
            <w:r w:rsidRPr="004D3092">
              <w:lastRenderedPageBreak/>
              <w:t>approved before applying for a variation to the new good.</w:t>
            </w:r>
          </w:p>
        </w:tc>
      </w:tr>
    </w:tbl>
    <w:p w14:paraId="14BA5ACD" w14:textId="77777777" w:rsidR="00811F89" w:rsidRDefault="00C547E5" w:rsidP="00C547E5">
      <w:pPr>
        <w:pStyle w:val="Heading3"/>
      </w:pPr>
      <w:bookmarkStart w:id="94" w:name="_Prior_to_application"/>
      <w:bookmarkStart w:id="95" w:name="_Toc5089271"/>
      <w:bookmarkStart w:id="96" w:name="_Toc10202268"/>
      <w:bookmarkEnd w:id="94"/>
      <w:r w:rsidRPr="00C547E5">
        <w:lastRenderedPageBreak/>
        <w:t>Prior to application submission</w:t>
      </w:r>
      <w:bookmarkEnd w:id="95"/>
      <w:bookmarkEnd w:id="96"/>
    </w:p>
    <w:p w14:paraId="4C3A2DD5" w14:textId="77777777" w:rsidR="00811F89" w:rsidRDefault="00C547E5" w:rsidP="00B91650">
      <w:r w:rsidRPr="00C547E5">
        <w:t>Prior to submitting an application, gather the data and information that you will require. It is suggested to:</w:t>
      </w:r>
    </w:p>
    <w:p w14:paraId="6EFD2988" w14:textId="77777777" w:rsidR="00C547E5" w:rsidRDefault="00C547E5" w:rsidP="00C547E5">
      <w:pPr>
        <w:pStyle w:val="ListBullet"/>
      </w:pPr>
      <w:r>
        <w:t>list all changes</w:t>
      </w:r>
    </w:p>
    <w:p w14:paraId="012F287E" w14:textId="77777777" w:rsidR="00C547E5" w:rsidRDefault="00C547E5" w:rsidP="00C547E5">
      <w:pPr>
        <w:pStyle w:val="ListBullet"/>
      </w:pPr>
      <w:r>
        <w:t xml:space="preserve">consider if any of your changes result in a </w:t>
      </w:r>
      <w:hyperlink w:anchor="_Separate_and_distinct" w:history="1">
        <w:r w:rsidRPr="00760B35">
          <w:rPr>
            <w:rStyle w:val="Hyperlink"/>
          </w:rPr>
          <w:t>separate and distinct good</w:t>
        </w:r>
      </w:hyperlink>
    </w:p>
    <w:p w14:paraId="09311469" w14:textId="77777777" w:rsidR="00C547E5" w:rsidRDefault="00C547E5" w:rsidP="00C547E5">
      <w:pPr>
        <w:pStyle w:val="ListBullet2"/>
      </w:pPr>
      <w:r>
        <w:t>consider if the AUST R number can be retained or if a new AUST R number is required</w:t>
      </w:r>
    </w:p>
    <w:p w14:paraId="3AE8C12F" w14:textId="77777777" w:rsidR="00C547E5" w:rsidRDefault="00C547E5" w:rsidP="00C547E5">
      <w:pPr>
        <w:pStyle w:val="ListBullet"/>
      </w:pPr>
      <w:r>
        <w:t xml:space="preserve">look for </w:t>
      </w:r>
      <w:hyperlink w:anchor="_Multiple_related_changes" w:history="1">
        <w:r>
          <w:rPr>
            <w:rStyle w:val="Hyperlink"/>
          </w:rPr>
          <w:t>m</w:t>
        </w:r>
        <w:r w:rsidRPr="008540FA">
          <w:rPr>
            <w:rStyle w:val="Hyperlink"/>
          </w:rPr>
          <w:t>ultiple related changes</w:t>
        </w:r>
      </w:hyperlink>
      <w:r>
        <w:t xml:space="preserve"> and </w:t>
      </w:r>
      <w:hyperlink w:anchor="_Associated_changes_for" w:history="1">
        <w:r w:rsidRPr="008540FA">
          <w:rPr>
            <w:rStyle w:val="Hyperlink"/>
          </w:rPr>
          <w:t>associated changes</w:t>
        </w:r>
      </w:hyperlink>
    </w:p>
    <w:p w14:paraId="0E480088" w14:textId="77777777" w:rsidR="00C547E5" w:rsidRDefault="009D0683" w:rsidP="00C547E5">
      <w:pPr>
        <w:pStyle w:val="ListBullet"/>
      </w:pPr>
      <w:r>
        <w:t>look for C</w:t>
      </w:r>
      <w:r w:rsidR="00C547E5">
        <w:t xml:space="preserve">ategory 3 variations and bundling opportunities (for example </w:t>
      </w:r>
      <w:hyperlink w:anchor="_Multiple_unrelated_changes" w:history="1">
        <w:r w:rsidR="00C547E5">
          <w:rPr>
            <w:rStyle w:val="Hyperlink"/>
          </w:rPr>
          <w:t>multiple unrelated changes</w:t>
        </w:r>
      </w:hyperlink>
      <w:r w:rsidR="00C547E5">
        <w:t>)</w:t>
      </w:r>
    </w:p>
    <w:p w14:paraId="7B49121B" w14:textId="77777777" w:rsidR="00C547E5" w:rsidRDefault="00C547E5" w:rsidP="00C547E5">
      <w:pPr>
        <w:pStyle w:val="ListBullet"/>
      </w:pPr>
      <w:r>
        <w:t>lastly, look for unrelated remaining changes that will require separate submissions.</w:t>
      </w:r>
    </w:p>
    <w:p w14:paraId="3D48988F" w14:textId="77777777" w:rsidR="00D218D5" w:rsidRDefault="00D218D5" w:rsidP="00D218D5">
      <w:r>
        <w:t xml:space="preserve">Think about the overall variation outcome that you are trying to achieve. Consider if you are varying an existing good or creating a separate and distinct good. </w:t>
      </w:r>
      <w:r w:rsidRPr="004973A7">
        <w:t>If you are creating a separate and distinct good, consider if</w:t>
      </w:r>
      <w:r>
        <w:t xml:space="preserve"> a new AUST R number is created. When usin</w:t>
      </w:r>
      <w:r w:rsidR="00A43F41">
        <w:t>g the Variation e-form note</w:t>
      </w:r>
      <w:r w:rsidR="00393686">
        <w:t xml:space="preserve"> the following</w:t>
      </w:r>
      <w:r w:rsidR="00A43F41">
        <w:t xml:space="preserve"> information</w:t>
      </w:r>
      <w:r w:rsidR="00393686">
        <w:t>.</w:t>
      </w:r>
    </w:p>
    <w:p w14:paraId="25117E71" w14:textId="77777777" w:rsidR="00D218D5" w:rsidRDefault="00D218D5" w:rsidP="00D218D5">
      <w:pPr>
        <w:pStyle w:val="ListBullet"/>
      </w:pPr>
      <w:r>
        <w:t xml:space="preserve">If you select a </w:t>
      </w:r>
      <w:r w:rsidR="0097520B">
        <w:t>variation type that has ‘</w:t>
      </w:r>
      <w:r>
        <w:t>new AUST R number’ in the title, a provisional ARTG record is created with a new AUST R number. Your variation is applied to a copy of the existing product at the time that you submit your application. If approved, it will result in a new entry on the register.</w:t>
      </w:r>
    </w:p>
    <w:p w14:paraId="2B2C7C62" w14:textId="77777777" w:rsidR="00D218D5" w:rsidRDefault="00D218D5" w:rsidP="00D218D5">
      <w:pPr>
        <w:pStyle w:val="ListBullet2"/>
      </w:pPr>
      <w:r>
        <w:t>If you wish to request a further variation to the new product after your application has been submitted, you will need to wait until the good with the new AUST R number has been approved and added to the register.</w:t>
      </w:r>
    </w:p>
    <w:p w14:paraId="64AC9271" w14:textId="77777777" w:rsidR="00D218D5" w:rsidRDefault="00D218D5" w:rsidP="00D218D5">
      <w:pPr>
        <w:pStyle w:val="ListBullet"/>
      </w:pPr>
      <w:r>
        <w:t>If you select any other variation type including those with ‘Retaining AUST R number’ in the title, your variation will be applied to the existing product. If approved, it will result in an update to the existing entry on the register.</w:t>
      </w:r>
    </w:p>
    <w:p w14:paraId="4B7AE6E5" w14:textId="77777777" w:rsidR="00D218D5" w:rsidRDefault="00D218D5" w:rsidP="00D218D5">
      <w:r>
        <w:t>A variation type that requires a new AUST R number cannot be submitted with a variation type that creates a separate and distinct good but retains the AUST R number in the same transaction for the same ARTG record. These variations need to be submitted separately in separate transactions to ensure the ARTG data changes are applied to the correct AUST R number.</w:t>
      </w:r>
    </w:p>
    <w:p w14:paraId="44F8C3F8" w14:textId="77777777" w:rsidR="00E063C3" w:rsidRDefault="00A82E7F" w:rsidP="00A82E7F">
      <w:pPr>
        <w:pStyle w:val="Heading3"/>
      </w:pPr>
      <w:bookmarkStart w:id="97" w:name="_Variation_e-form"/>
      <w:bookmarkStart w:id="98" w:name="_Toc5089272"/>
      <w:bookmarkStart w:id="99" w:name="_Toc10202269"/>
      <w:bookmarkEnd w:id="97"/>
      <w:r>
        <w:t>Variation e-form</w:t>
      </w:r>
      <w:bookmarkEnd w:id="98"/>
      <w:bookmarkEnd w:id="99"/>
    </w:p>
    <w:p w14:paraId="1682E6B3" w14:textId="77777777" w:rsidR="00D218D5" w:rsidRDefault="00692E0F" w:rsidP="00E62C4C">
      <w:r w:rsidRPr="00692E0F">
        <w:t>To request variations to prescription medicine entries</w:t>
      </w:r>
      <w:r>
        <w:t>:</w:t>
      </w:r>
    </w:p>
    <w:p w14:paraId="36D92031" w14:textId="77777777" w:rsidR="00692E0F" w:rsidRPr="00DA14A8" w:rsidRDefault="00692E0F" w:rsidP="00692E0F">
      <w:pPr>
        <w:pStyle w:val="ListBullet"/>
        <w:rPr>
          <w:rStyle w:val="Hyperlink"/>
          <w:color w:val="auto"/>
          <w:u w:val="none"/>
        </w:rPr>
      </w:pPr>
      <w:r w:rsidRPr="00111EBC">
        <w:t xml:space="preserve">log onto </w:t>
      </w:r>
      <w:r>
        <w:t xml:space="preserve">the </w:t>
      </w:r>
      <w:hyperlink r:id="rId74" w:history="1">
        <w:r w:rsidRPr="009D3004">
          <w:rPr>
            <w:rStyle w:val="Hyperlink"/>
          </w:rPr>
          <w:t>TBS portal</w:t>
        </w:r>
      </w:hyperlink>
    </w:p>
    <w:p w14:paraId="42B4D65C" w14:textId="77777777" w:rsidR="00692E0F" w:rsidRDefault="00692E0F" w:rsidP="003C1076">
      <w:pPr>
        <w:pStyle w:val="ListBullet"/>
        <w:keepNext/>
        <w:ind w:left="357" w:hanging="357"/>
      </w:pPr>
      <w:r>
        <w:lastRenderedPageBreak/>
        <w:t xml:space="preserve">select </w:t>
      </w:r>
      <w:r w:rsidRPr="00111EBC">
        <w:rPr>
          <w:b/>
        </w:rPr>
        <w:t>Variation</w:t>
      </w:r>
      <w:r w:rsidRPr="00111EBC">
        <w:t xml:space="preserve"> under </w:t>
      </w:r>
      <w:r>
        <w:t>P</w:t>
      </w:r>
      <w:r w:rsidRPr="00111EBC">
        <w:t xml:space="preserve">rescription </w:t>
      </w:r>
      <w:r>
        <w:t>M</w:t>
      </w:r>
      <w:r w:rsidRPr="00111EBC">
        <w:t>edicine as per the screenshot</w:t>
      </w:r>
      <w:r>
        <w:t xml:space="preserve"> below</w:t>
      </w:r>
      <w:r w:rsidR="00DD3F8B">
        <w:t>:</w:t>
      </w:r>
    </w:p>
    <w:p w14:paraId="2E906A1B" w14:textId="77777777" w:rsidR="00692E0F" w:rsidRDefault="001F1D4C" w:rsidP="00692E0F">
      <w:r>
        <w:rPr>
          <w:noProof/>
          <w:lang w:eastAsia="en-AU"/>
        </w:rPr>
        <w:drawing>
          <wp:inline distT="0" distB="0" distL="0" distR="0" wp14:anchorId="172078E8" wp14:editId="53CB1766">
            <wp:extent cx="5759450" cy="2437130"/>
            <wp:effectExtent l="0" t="0" r="0" b="1270"/>
            <wp:docPr id="16" name="Picture 16" descr="Screenshot highlighting Variation under Prescription Medic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5"/>
                    <a:stretch>
                      <a:fillRect/>
                    </a:stretch>
                  </pic:blipFill>
                  <pic:spPr>
                    <a:xfrm>
                      <a:off x="0" y="0"/>
                      <a:ext cx="5759450" cy="2437130"/>
                    </a:xfrm>
                    <a:prstGeom prst="rect">
                      <a:avLst/>
                    </a:prstGeom>
                  </pic:spPr>
                </pic:pic>
              </a:graphicData>
            </a:graphic>
          </wp:inline>
        </w:drawing>
      </w:r>
    </w:p>
    <w:p w14:paraId="754349C0" w14:textId="77777777" w:rsidR="00D13C13" w:rsidRDefault="00646793" w:rsidP="00646793">
      <w:pPr>
        <w:pStyle w:val="ListBullet"/>
      </w:pPr>
      <w:bookmarkStart w:id="100" w:name="_Submitting_data"/>
      <w:bookmarkStart w:id="101" w:name="_Toc5089273"/>
      <w:bookmarkEnd w:id="100"/>
      <w:r>
        <w:t>follow the steps in the Variation e-form, including:</w:t>
      </w:r>
    </w:p>
    <w:p w14:paraId="31713094" w14:textId="77777777" w:rsidR="00BB767E" w:rsidRDefault="00BB767E" w:rsidP="00FE00EB">
      <w:pPr>
        <w:pStyle w:val="ListBullet2"/>
      </w:pPr>
      <w:r>
        <w:t xml:space="preserve">search and select </w:t>
      </w:r>
      <w:r w:rsidR="00FC383A">
        <w:t>ARTG entries</w:t>
      </w:r>
      <w:r>
        <w:t xml:space="preserve"> to vary</w:t>
      </w:r>
    </w:p>
    <w:p w14:paraId="5E6171E9" w14:textId="77777777" w:rsidR="00DD3F8B" w:rsidRDefault="00BB767E" w:rsidP="00FE00EB">
      <w:pPr>
        <w:pStyle w:val="ListBullet2"/>
      </w:pPr>
      <w:r>
        <w:t>select the variation category group, category and type</w:t>
      </w:r>
    </w:p>
    <w:p w14:paraId="5B5BD0CF" w14:textId="77777777" w:rsidR="006369B9" w:rsidRDefault="00DD3F8B" w:rsidP="00FE00EB">
      <w:pPr>
        <w:pStyle w:val="ListBullet2"/>
      </w:pPr>
      <w:r>
        <w:t>e</w:t>
      </w:r>
      <w:r w:rsidR="00BB767E">
        <w:t>n</w:t>
      </w:r>
      <w:r w:rsidR="006369B9">
        <w:t>sure the assurances are met</w:t>
      </w:r>
    </w:p>
    <w:p w14:paraId="6C6674E1" w14:textId="77777777" w:rsidR="00DD3F8B" w:rsidRDefault="00BB767E" w:rsidP="00FE00EB">
      <w:pPr>
        <w:pStyle w:val="ListBullet2"/>
      </w:pPr>
      <w:r>
        <w:t xml:space="preserve">include comments </w:t>
      </w:r>
      <w:r w:rsidR="006369B9">
        <w:t>(</w:t>
      </w:r>
      <w:r>
        <w:t>if relevant</w:t>
      </w:r>
      <w:r w:rsidR="006369B9">
        <w:t>)</w:t>
      </w:r>
    </w:p>
    <w:p w14:paraId="319EDA38" w14:textId="77777777" w:rsidR="00646793" w:rsidRDefault="00D87034" w:rsidP="00FE00EB">
      <w:pPr>
        <w:pStyle w:val="ListBullet2"/>
      </w:pPr>
      <w:r>
        <w:t xml:space="preserve">update ARTG data </w:t>
      </w:r>
      <w:r w:rsidR="00A23054">
        <w:t>(</w:t>
      </w:r>
      <w:r w:rsidR="006369B9">
        <w:t>if prompted</w:t>
      </w:r>
      <w:r w:rsidR="00A23054">
        <w:t>)</w:t>
      </w:r>
    </w:p>
    <w:p w14:paraId="36266133" w14:textId="77777777" w:rsidR="00C823FF" w:rsidRDefault="00DD3F8B" w:rsidP="00FE00EB">
      <w:pPr>
        <w:pStyle w:val="ListBullet2"/>
      </w:pPr>
      <w:r>
        <w:t xml:space="preserve">provide </w:t>
      </w:r>
      <w:r w:rsidR="00C823FF">
        <w:t>supporting information</w:t>
      </w:r>
    </w:p>
    <w:p w14:paraId="796BA69C" w14:textId="77777777" w:rsidR="00BB767E" w:rsidRDefault="006369B9" w:rsidP="00FE00EB">
      <w:pPr>
        <w:pStyle w:val="ListBullet2"/>
      </w:pPr>
      <w:r>
        <w:t xml:space="preserve">complete </w:t>
      </w:r>
      <w:r w:rsidR="007953F1">
        <w:t xml:space="preserve">the </w:t>
      </w:r>
      <w:r w:rsidR="00BB767E">
        <w:t>declaration.</w:t>
      </w:r>
    </w:p>
    <w:p w14:paraId="31E39AA5" w14:textId="77777777" w:rsidR="00D87034" w:rsidRDefault="00D87034" w:rsidP="00D87034">
      <w:r w:rsidRPr="00D13C13">
        <w:rPr>
          <w:b/>
        </w:rPr>
        <w:t>Related information</w:t>
      </w:r>
      <w:r w:rsidRPr="00692E0F">
        <w:t>:</w:t>
      </w:r>
    </w:p>
    <w:p w14:paraId="03B07C0B" w14:textId="77777777" w:rsidR="00D87034" w:rsidRDefault="0057494E" w:rsidP="0078323A">
      <w:pPr>
        <w:pStyle w:val="ListBullet"/>
      </w:pPr>
      <w:hyperlink r:id="rId76" w:history="1">
        <w:r w:rsidR="00D87034">
          <w:rPr>
            <w:rStyle w:val="Hyperlink"/>
          </w:rPr>
          <w:t>Guidance on setting up access onto the TBS portal</w:t>
        </w:r>
      </w:hyperlink>
      <w:r w:rsidR="00C37CA4">
        <w:rPr>
          <w:rStyle w:val="Hyperlink"/>
        </w:rPr>
        <w:t>.</w:t>
      </w:r>
    </w:p>
    <w:p w14:paraId="24936C24" w14:textId="77777777" w:rsidR="00D13C13" w:rsidRDefault="00D13C13" w:rsidP="00DD3F8B">
      <w:pPr>
        <w:pStyle w:val="Heading4"/>
      </w:pPr>
      <w:bookmarkStart w:id="102" w:name="_Toc10202270"/>
      <w:r>
        <w:t xml:space="preserve">Varying multiple </w:t>
      </w:r>
      <w:r w:rsidR="00DD3F8B">
        <w:t>ARTG entries</w:t>
      </w:r>
      <w:bookmarkEnd w:id="102"/>
    </w:p>
    <w:p w14:paraId="46A8791E" w14:textId="77777777" w:rsidR="00755170" w:rsidRDefault="00BB767E" w:rsidP="00755170">
      <w:r>
        <w:t>The Variation</w:t>
      </w:r>
      <w:r w:rsidR="00DD3F8B">
        <w:t xml:space="preserve"> e-form allows </w:t>
      </w:r>
      <w:r w:rsidR="00FC383A">
        <w:t xml:space="preserve">multiple ARTG entries with the same active ingredient and sponsor to be selected for a </w:t>
      </w:r>
      <w:r w:rsidR="00DD3F8B">
        <w:t>variation</w:t>
      </w:r>
      <w:r w:rsidR="00FC383A">
        <w:t xml:space="preserve"> request.</w:t>
      </w:r>
    </w:p>
    <w:tbl>
      <w:tblPr>
        <w:tblW w:w="9038" w:type="dxa"/>
        <w:tblLayout w:type="fixed"/>
        <w:tblCellMar>
          <w:left w:w="0" w:type="dxa"/>
          <w:right w:w="0" w:type="dxa"/>
        </w:tblCellMar>
        <w:tblLook w:val="04A0" w:firstRow="1" w:lastRow="0" w:firstColumn="1" w:lastColumn="0" w:noHBand="0" w:noVBand="1"/>
      </w:tblPr>
      <w:tblGrid>
        <w:gridCol w:w="1276"/>
        <w:gridCol w:w="7762"/>
      </w:tblGrid>
      <w:tr w:rsidR="00AF1C27" w:rsidRPr="00215D48" w14:paraId="6EBE0ECE" w14:textId="77777777" w:rsidTr="00134F66">
        <w:tc>
          <w:tcPr>
            <w:tcW w:w="1276" w:type="dxa"/>
            <w:vAlign w:val="center"/>
          </w:tcPr>
          <w:p w14:paraId="483B5E26" w14:textId="77777777" w:rsidR="00AF1C27" w:rsidRPr="00215D48" w:rsidRDefault="00AF1C27" w:rsidP="00134F66">
            <w:pPr>
              <w:spacing w:before="0"/>
              <w:rPr>
                <w:sz w:val="20"/>
              </w:rPr>
            </w:pPr>
            <w:r w:rsidRPr="00215D48">
              <w:rPr>
                <w:noProof/>
                <w:sz w:val="20"/>
                <w:lang w:eastAsia="en-AU"/>
              </w:rPr>
              <w:drawing>
                <wp:inline distT="0" distB="0" distL="0" distR="0" wp14:anchorId="314D89F5" wp14:editId="06B2570C">
                  <wp:extent cx="487681" cy="487681"/>
                  <wp:effectExtent l="19050" t="0" r="7619" b="0"/>
                  <wp:docPr id="20" name="Picture 0" descr="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fo.png"/>
                          <pic:cNvPicPr/>
                        </pic:nvPicPr>
                        <pic:blipFill>
                          <a:blip r:embed="rId23" cstate="print"/>
                          <a:stretch>
                            <a:fillRect/>
                          </a:stretch>
                        </pic:blipFill>
                        <pic:spPr>
                          <a:xfrm>
                            <a:off x="0" y="0"/>
                            <a:ext cx="487681" cy="487681"/>
                          </a:xfrm>
                          <a:prstGeom prst="rect">
                            <a:avLst/>
                          </a:prstGeom>
                        </pic:spPr>
                      </pic:pic>
                    </a:graphicData>
                  </a:graphic>
                </wp:inline>
              </w:drawing>
            </w:r>
          </w:p>
        </w:tc>
        <w:tc>
          <w:tcPr>
            <w:tcW w:w="7762" w:type="dxa"/>
            <w:shd w:val="clear" w:color="auto" w:fill="EAEAEA"/>
            <w:tcMar>
              <w:top w:w="170" w:type="dxa"/>
              <w:left w:w="170" w:type="dxa"/>
              <w:bottom w:w="170" w:type="dxa"/>
              <w:right w:w="170" w:type="dxa"/>
            </w:tcMar>
            <w:vAlign w:val="center"/>
          </w:tcPr>
          <w:p w14:paraId="2897A103" w14:textId="77777777" w:rsidR="00AF1C27" w:rsidRDefault="00AF1C27" w:rsidP="00AF1C27">
            <w:r>
              <w:t>All ARTG entries to which the variation applies should be selected when requesting the variation.</w:t>
            </w:r>
          </w:p>
          <w:p w14:paraId="5C08B552" w14:textId="77777777" w:rsidR="00AF1C27" w:rsidRDefault="00AF1C27" w:rsidP="00AF1C27">
            <w:r>
              <w:t>If an ARTG entry is not selected for variation and the variation applies to that good, a subsequent variation request will need to be submitted.</w:t>
            </w:r>
          </w:p>
          <w:p w14:paraId="552104B2" w14:textId="77777777" w:rsidR="00AF1C27" w:rsidRPr="00215D48" w:rsidRDefault="00AF1C27" w:rsidP="00AF1C27">
            <w:r>
              <w:t xml:space="preserve">For information about selection of ARTG entries for variations to the product information document that are a consequence of a quality change see </w:t>
            </w:r>
            <w:hyperlink w:anchor="_Consequential_changes_to" w:history="1">
              <w:r>
                <w:rPr>
                  <w:rStyle w:val="Hyperlink"/>
                </w:rPr>
                <w:t>Consequential changes to the product information</w:t>
              </w:r>
            </w:hyperlink>
            <w:r>
              <w:t xml:space="preserve"> and </w:t>
            </w:r>
            <w:hyperlink w:anchor="_Multiple_related_changes" w:history="1">
              <w:r w:rsidRPr="00E83276">
                <w:rPr>
                  <w:rStyle w:val="Hyperlink"/>
                </w:rPr>
                <w:t>Multiple related changes</w:t>
              </w:r>
            </w:hyperlink>
            <w:r>
              <w:t>.</w:t>
            </w:r>
          </w:p>
        </w:tc>
      </w:tr>
    </w:tbl>
    <w:p w14:paraId="0C4AF57E" w14:textId="77777777" w:rsidR="00692E0F" w:rsidRDefault="00E15276" w:rsidP="00E15276">
      <w:pPr>
        <w:pStyle w:val="Heading3"/>
      </w:pPr>
      <w:bookmarkStart w:id="103" w:name="_Toc10202271"/>
      <w:r>
        <w:lastRenderedPageBreak/>
        <w:t>Submitting data</w:t>
      </w:r>
      <w:bookmarkEnd w:id="101"/>
      <w:bookmarkEnd w:id="103"/>
    </w:p>
    <w:p w14:paraId="32B8919B" w14:textId="77777777" w:rsidR="00E15276" w:rsidRDefault="00E15276" w:rsidP="00E15276">
      <w:r>
        <w:t>Data can be submitted by attaching the supporting information to the e-form in either e</w:t>
      </w:r>
      <w:r>
        <w:noBreakHyphen/>
        <w:t>submission (eCTD and NeeS) or non-electronic data formats. Attached documents must be submitted as a single zipped file, which can be up to 100 Megabytes (MB) in size.</w:t>
      </w:r>
    </w:p>
    <w:p w14:paraId="6DB6AEF0" w14:textId="77777777" w:rsidR="00E15276" w:rsidRDefault="00E15276" w:rsidP="00E15276">
      <w:r>
        <w:t>The application</w:t>
      </w:r>
      <w:r w:rsidRPr="003526CA">
        <w:t xml:space="preserve"> must pass validation </w:t>
      </w:r>
      <w:r>
        <w:t xml:space="preserve">under the ‘Make variation(s)’ step </w:t>
      </w:r>
      <w:r w:rsidRPr="003526CA">
        <w:t>bef</w:t>
      </w:r>
      <w:r>
        <w:t xml:space="preserve">ore documents can be attached at the ‘Supporting information’ </w:t>
      </w:r>
      <w:r w:rsidRPr="003526CA">
        <w:t>step</w:t>
      </w:r>
      <w:r>
        <w:t>.</w:t>
      </w:r>
    </w:p>
    <w:p w14:paraId="14621FE8" w14:textId="77777777" w:rsidR="00E15276" w:rsidRDefault="00E15276" w:rsidP="00E15276">
      <w:r>
        <w:t xml:space="preserve">If the data are submitted as a sequence in an eCTD or NeeS dossier, sponsors will need to include the print preview at module 1.2.1 </w:t>
      </w:r>
      <w:r w:rsidR="00EE5CB4">
        <w:t xml:space="preserve">as the </w:t>
      </w:r>
      <w:r>
        <w:t>application form. TGA staff will upload this data into docuBridge. Sponsors do not need to send any information to the TGA e-Submissions address if data are attached to the e-form.</w:t>
      </w:r>
    </w:p>
    <w:p w14:paraId="136EBE5B" w14:textId="77777777" w:rsidR="00E15276" w:rsidRDefault="00E15276" w:rsidP="00E15276">
      <w:r>
        <w:t>Alternatively, data can be sent separately to the TGA</w:t>
      </w:r>
      <w:r w:rsidRPr="00AD1027">
        <w:t xml:space="preserve"> </w:t>
      </w:r>
      <w:r w:rsidRPr="00190FBA">
        <w:t xml:space="preserve">on </w:t>
      </w:r>
      <w:r>
        <w:t xml:space="preserve">digital storage media such as </w:t>
      </w:r>
      <w:r w:rsidRPr="00190FBA">
        <w:t>CD</w:t>
      </w:r>
      <w:r>
        <w:t>s</w:t>
      </w:r>
      <w:r w:rsidRPr="00190FBA">
        <w:t>/USB</w:t>
      </w:r>
      <w:r>
        <w:t>s</w:t>
      </w:r>
      <w:r w:rsidRPr="00190FBA">
        <w:t xml:space="preserve"> etc</w:t>
      </w:r>
      <w:r>
        <w:t>. If this option is selected</w:t>
      </w:r>
      <w:r w:rsidRPr="007534E5">
        <w:t xml:space="preserve">, </w:t>
      </w:r>
      <w:r>
        <w:t xml:space="preserve">the e-form will identify that </w:t>
      </w:r>
      <w:r w:rsidRPr="007534E5">
        <w:t>a cover letter</w:t>
      </w:r>
      <w:r>
        <w:t xml:space="preserve"> has been generated – this document should be downloaded and a paper copy sent to the TGA with the supporting information. The cover letter contains information which allows TGA staff to easily identify the application associated with the data.</w:t>
      </w:r>
    </w:p>
    <w:p w14:paraId="1A896FF2" w14:textId="77777777" w:rsidR="00E15276" w:rsidRPr="002C463B" w:rsidRDefault="00E15276" w:rsidP="00E15276">
      <w:r w:rsidRPr="00190FBA">
        <w:t xml:space="preserve">The </w:t>
      </w:r>
      <w:r>
        <w:t xml:space="preserve">printed </w:t>
      </w:r>
      <w:r w:rsidRPr="00190FBA">
        <w:t xml:space="preserve">cover letter together with the </w:t>
      </w:r>
      <w:r>
        <w:t xml:space="preserve">supporting </w:t>
      </w:r>
      <w:r w:rsidRPr="00190FBA">
        <w:t xml:space="preserve">data </w:t>
      </w:r>
      <w:r>
        <w:t xml:space="preserve">should be sent </w:t>
      </w:r>
      <w:r w:rsidRPr="002C463B">
        <w:t>by express post or registered mail to:</w:t>
      </w:r>
    </w:p>
    <w:p w14:paraId="259843F3" w14:textId="77777777" w:rsidR="00E15276" w:rsidRDefault="00E15276" w:rsidP="00E15276">
      <w:pPr>
        <w:tabs>
          <w:tab w:val="left" w:pos="851"/>
        </w:tabs>
        <w:spacing w:before="0" w:after="0" w:line="240" w:lineRule="auto"/>
        <w:ind w:left="851" w:hanging="851"/>
        <w:rPr>
          <w:rFonts w:eastAsia="Calibri"/>
          <w:b/>
          <w:szCs w:val="22"/>
        </w:rPr>
      </w:pPr>
      <w:r>
        <w:t xml:space="preserve">Mail: </w:t>
      </w:r>
      <w:r>
        <w:tab/>
      </w:r>
      <w:r>
        <w:rPr>
          <w:rFonts w:eastAsia="Calibri"/>
          <w:b/>
          <w:szCs w:val="22"/>
        </w:rPr>
        <w:t>Records Management</w:t>
      </w:r>
      <w:r>
        <w:rPr>
          <w:rFonts w:eastAsia="Calibri"/>
          <w:b/>
          <w:szCs w:val="22"/>
        </w:rPr>
        <w:br/>
        <w:t>Therapeutic Goods Administration</w:t>
      </w:r>
      <w:r>
        <w:rPr>
          <w:rFonts w:eastAsia="Calibri"/>
          <w:b/>
          <w:szCs w:val="22"/>
        </w:rPr>
        <w:br/>
        <w:t>PO Box 100</w:t>
      </w:r>
      <w:r>
        <w:rPr>
          <w:rFonts w:eastAsia="Calibri"/>
          <w:b/>
          <w:szCs w:val="22"/>
        </w:rPr>
        <w:br/>
        <w:t>Woden ACT 2606</w:t>
      </w:r>
    </w:p>
    <w:p w14:paraId="5D737B1F" w14:textId="77777777" w:rsidR="00B033B5" w:rsidRPr="0001458A" w:rsidRDefault="00B033B5" w:rsidP="00B033B5">
      <w:pPr>
        <w:pStyle w:val="Heading3"/>
        <w:rPr>
          <w:rFonts w:eastAsia="Calibri"/>
        </w:rPr>
      </w:pPr>
      <w:bookmarkStart w:id="104" w:name="_Conditions_and_data"/>
      <w:bookmarkStart w:id="105" w:name="_Toc5089274"/>
      <w:bookmarkStart w:id="106" w:name="_Toc10202272"/>
      <w:bookmarkEnd w:id="104"/>
      <w:r w:rsidRPr="00B033B5">
        <w:rPr>
          <w:rFonts w:eastAsia="Calibri"/>
        </w:rPr>
        <w:t>Conditions and data requirements</w:t>
      </w:r>
      <w:bookmarkEnd w:id="105"/>
      <w:bookmarkEnd w:id="106"/>
    </w:p>
    <w:p w14:paraId="324736CB" w14:textId="77777777" w:rsidR="00312CE2" w:rsidRDefault="00312CE2" w:rsidP="00312CE2">
      <w:r>
        <w:t xml:space="preserve">There are specific conditions and </w:t>
      </w:r>
      <w:r w:rsidRPr="00681F89">
        <w:t>data require</w:t>
      </w:r>
      <w:r>
        <w:t>ments</w:t>
      </w:r>
      <w:r w:rsidRPr="00681F89">
        <w:t xml:space="preserve"> </w:t>
      </w:r>
      <w:r>
        <w:t>needed to support variation</w:t>
      </w:r>
      <w:r w:rsidRPr="00681F89">
        <w:t xml:space="preserve"> </w:t>
      </w:r>
      <w:r>
        <w:t>requests. Different types of requests have different conditions and requirements.</w:t>
      </w:r>
    </w:p>
    <w:p w14:paraId="710DDE1D" w14:textId="77777777" w:rsidR="00312CE2" w:rsidRDefault="00312CE2" w:rsidP="00312CE2">
      <w:r>
        <w:t xml:space="preserve">Conditions and data requirements are outlined under individual </w:t>
      </w:r>
      <w:hyperlink w:anchor="_Variation_types" w:history="1">
        <w:r>
          <w:rPr>
            <w:rStyle w:val="Hyperlink"/>
          </w:rPr>
          <w:t>v</w:t>
        </w:r>
        <w:r w:rsidRPr="0076334C">
          <w:rPr>
            <w:rStyle w:val="Hyperlink"/>
          </w:rPr>
          <w:t>ariation types</w:t>
        </w:r>
      </w:hyperlink>
      <w:r>
        <w:t xml:space="preserve"> in:</w:t>
      </w:r>
    </w:p>
    <w:p w14:paraId="3C0EEC9B" w14:textId="77777777" w:rsidR="00080B21" w:rsidRDefault="0057494E" w:rsidP="00080B21">
      <w:pPr>
        <w:pStyle w:val="ListBullet"/>
      </w:pPr>
      <w:hyperlink r:id="rId77" w:history="1">
        <w:r w:rsidR="00080B21" w:rsidRPr="00491E61">
          <w:rPr>
            <w:rStyle w:val="Hyperlink"/>
          </w:rPr>
          <w:t>Variations to prescription medicines - excluding variations requiring evaluation of clinical or bioequivalence data - Appendix 1: Variation types – chemical entities</w:t>
        </w:r>
      </w:hyperlink>
    </w:p>
    <w:p w14:paraId="2397C9B5" w14:textId="77777777" w:rsidR="00080B21" w:rsidRDefault="0057494E" w:rsidP="00080B21">
      <w:pPr>
        <w:pStyle w:val="ListBullet"/>
      </w:pPr>
      <w:hyperlink r:id="rId78" w:history="1">
        <w:r w:rsidR="00080B21" w:rsidRPr="00491E61">
          <w:rPr>
            <w:rStyle w:val="Hyperlink"/>
          </w:rPr>
          <w:t>Variations to prescription medicines - excluding variations requiring evaluation of clinical or bioequivalence data - Appendix 2: Variation types – biological medicines</w:t>
        </w:r>
      </w:hyperlink>
      <w:r w:rsidR="00080B21">
        <w:t>.</w:t>
      </w:r>
    </w:p>
    <w:p w14:paraId="1121DE9A" w14:textId="77777777" w:rsidR="00F03BE7" w:rsidRPr="00356798" w:rsidRDefault="00F03BE7" w:rsidP="00F03BE7">
      <w:pPr>
        <w:rPr>
          <w:rFonts w:ascii="Symbol"/>
        </w:rPr>
      </w:pPr>
      <w:r>
        <w:t>If relevant to the variation request, also provide:</w:t>
      </w:r>
    </w:p>
    <w:p w14:paraId="5B65761D" w14:textId="77777777" w:rsidR="00F03BE7" w:rsidRDefault="00F03BE7" w:rsidP="00F03BE7">
      <w:pPr>
        <w:pStyle w:val="ListBullet"/>
      </w:pPr>
      <w:r>
        <w:t xml:space="preserve">a clean and </w:t>
      </w:r>
      <w:hyperlink w:anchor="_Changes_to_the" w:history="1">
        <w:r w:rsidRPr="00047546">
          <w:rPr>
            <w:rStyle w:val="Hyperlink"/>
          </w:rPr>
          <w:t>marked-up copy of the approved PI</w:t>
        </w:r>
      </w:hyperlink>
    </w:p>
    <w:p w14:paraId="5E710AE7" w14:textId="77777777" w:rsidR="00F03BE7" w:rsidRDefault="00F03BE7" w:rsidP="00F03BE7">
      <w:pPr>
        <w:pStyle w:val="ListBullet"/>
      </w:pPr>
      <w:r w:rsidRPr="00950CE9">
        <w:t>a table, provided as an attachment to the letter of request, outlining each of the proposed changes to the PI with brief explanatory text, including justifications</w:t>
      </w:r>
    </w:p>
    <w:p w14:paraId="31BC2DFD" w14:textId="77777777" w:rsidR="00F03BE7" w:rsidRPr="0007348D" w:rsidRDefault="00F03BE7" w:rsidP="00F03BE7">
      <w:pPr>
        <w:pStyle w:val="ListBullet"/>
        <w:rPr>
          <w:rFonts w:ascii="Symbol"/>
        </w:rPr>
      </w:pPr>
      <w:r>
        <w:t>evidence</w:t>
      </w:r>
      <w:r w:rsidRPr="0007348D">
        <w:rPr>
          <w:spacing w:val="-6"/>
        </w:rPr>
        <w:t xml:space="preserve"> </w:t>
      </w:r>
      <w:r>
        <w:t>of</w:t>
      </w:r>
      <w:r w:rsidRPr="0007348D">
        <w:rPr>
          <w:spacing w:val="-4"/>
        </w:rPr>
        <w:t xml:space="preserve"> </w:t>
      </w:r>
      <w:r>
        <w:t>GMP</w:t>
      </w:r>
      <w:r w:rsidRPr="0007348D">
        <w:rPr>
          <w:spacing w:val="-5"/>
        </w:rPr>
        <w:t xml:space="preserve"> </w:t>
      </w:r>
      <w:r>
        <w:t>(clearance</w:t>
      </w:r>
      <w:r w:rsidRPr="0007348D">
        <w:rPr>
          <w:spacing w:val="-1"/>
        </w:rPr>
        <w:t xml:space="preserve"> number </w:t>
      </w:r>
      <w:r>
        <w:t>if</w:t>
      </w:r>
      <w:r w:rsidRPr="0007348D">
        <w:rPr>
          <w:spacing w:val="-4"/>
        </w:rPr>
        <w:t xml:space="preserve"> </w:t>
      </w:r>
      <w:r>
        <w:t>an</w:t>
      </w:r>
      <w:r w:rsidRPr="0007348D">
        <w:rPr>
          <w:spacing w:val="-2"/>
        </w:rPr>
        <w:t xml:space="preserve"> </w:t>
      </w:r>
      <w:r>
        <w:t>overseas</w:t>
      </w:r>
      <w:r w:rsidRPr="0007348D">
        <w:rPr>
          <w:spacing w:val="-3"/>
        </w:rPr>
        <w:t xml:space="preserve"> </w:t>
      </w:r>
      <w:r>
        <w:t>site</w:t>
      </w:r>
      <w:r w:rsidRPr="0007348D">
        <w:rPr>
          <w:spacing w:val="-6"/>
        </w:rPr>
        <w:t xml:space="preserve"> </w:t>
      </w:r>
      <w:r>
        <w:t>of</w:t>
      </w:r>
      <w:r w:rsidRPr="0007348D">
        <w:rPr>
          <w:spacing w:val="-4"/>
        </w:rPr>
        <w:t xml:space="preserve"> </w:t>
      </w:r>
      <w:r>
        <w:t>manufacture</w:t>
      </w:r>
      <w:r w:rsidRPr="0007348D">
        <w:rPr>
          <w:spacing w:val="-6"/>
        </w:rPr>
        <w:t xml:space="preserve"> </w:t>
      </w:r>
      <w:r>
        <w:t>is</w:t>
      </w:r>
      <w:r w:rsidRPr="0007348D">
        <w:rPr>
          <w:spacing w:val="-3"/>
        </w:rPr>
        <w:t xml:space="preserve"> </w:t>
      </w:r>
      <w:r>
        <w:t>involved,</w:t>
      </w:r>
      <w:r w:rsidRPr="0007348D">
        <w:rPr>
          <w:spacing w:val="-6"/>
        </w:rPr>
        <w:t xml:space="preserve"> </w:t>
      </w:r>
      <w:r>
        <w:t>or Australian</w:t>
      </w:r>
      <w:r w:rsidRPr="0007348D">
        <w:rPr>
          <w:spacing w:val="-3"/>
        </w:rPr>
        <w:t xml:space="preserve"> </w:t>
      </w:r>
      <w:r>
        <w:t>manufacturing</w:t>
      </w:r>
      <w:r w:rsidRPr="0007348D">
        <w:rPr>
          <w:spacing w:val="-3"/>
        </w:rPr>
        <w:t xml:space="preserve"> </w:t>
      </w:r>
      <w:r>
        <w:t>licence)</w:t>
      </w:r>
    </w:p>
    <w:p w14:paraId="1B3D163C" w14:textId="77777777" w:rsidR="000F1B6C" w:rsidRDefault="00F03BE7" w:rsidP="000F1B6C">
      <w:pPr>
        <w:pStyle w:val="ListBullet"/>
      </w:pPr>
      <w:r>
        <w:t>for corrections to the ARTG, details of when the entry became incorrect or incomplete (if possible), preferably including a relevant file or submission</w:t>
      </w:r>
      <w:r w:rsidRPr="00387117">
        <w:rPr>
          <w:spacing w:val="-17"/>
        </w:rPr>
        <w:t xml:space="preserve"> </w:t>
      </w:r>
      <w:r>
        <w:t>number</w:t>
      </w:r>
    </w:p>
    <w:p w14:paraId="118AAEAD" w14:textId="77777777" w:rsidR="00F03BE7" w:rsidRDefault="000F1B6C" w:rsidP="009A6085">
      <w:pPr>
        <w:pStyle w:val="ListBullet"/>
      </w:pPr>
      <w:r>
        <w:t>a copy of relevant correspondence with the TGA</w:t>
      </w:r>
      <w:r w:rsidR="008B27E5">
        <w:t>.</w:t>
      </w:r>
    </w:p>
    <w:p w14:paraId="105BE324" w14:textId="77777777" w:rsidR="001F1D4C" w:rsidRDefault="00F03BE7" w:rsidP="00F03BE7">
      <w:pPr>
        <w:pStyle w:val="Heading4"/>
      </w:pPr>
      <w:bookmarkStart w:id="107" w:name="_Validation_data"/>
      <w:bookmarkStart w:id="108" w:name="_Toc10202273"/>
      <w:bookmarkEnd w:id="107"/>
      <w:r w:rsidRPr="00F03BE7">
        <w:lastRenderedPageBreak/>
        <w:t>Validation data</w:t>
      </w:r>
      <w:bookmarkEnd w:id="108"/>
    </w:p>
    <w:tbl>
      <w:tblPr>
        <w:tblW w:w="9038" w:type="dxa"/>
        <w:tblLayout w:type="fixed"/>
        <w:tblCellMar>
          <w:left w:w="0" w:type="dxa"/>
          <w:right w:w="0" w:type="dxa"/>
        </w:tblCellMar>
        <w:tblLook w:val="04A0" w:firstRow="1" w:lastRow="0" w:firstColumn="1" w:lastColumn="0" w:noHBand="0" w:noVBand="1"/>
      </w:tblPr>
      <w:tblGrid>
        <w:gridCol w:w="1276"/>
        <w:gridCol w:w="7762"/>
      </w:tblGrid>
      <w:tr w:rsidR="00ED66E5" w:rsidRPr="00215D48" w14:paraId="16E9C0C4" w14:textId="77777777" w:rsidTr="00831331">
        <w:tc>
          <w:tcPr>
            <w:tcW w:w="1276" w:type="dxa"/>
            <w:vAlign w:val="center"/>
          </w:tcPr>
          <w:p w14:paraId="302589B6" w14:textId="77777777" w:rsidR="00ED66E5" w:rsidRPr="00215D48" w:rsidRDefault="00ED66E5" w:rsidP="00831331">
            <w:pPr>
              <w:spacing w:before="0"/>
              <w:rPr>
                <w:sz w:val="20"/>
              </w:rPr>
            </w:pPr>
            <w:r w:rsidRPr="00215D48">
              <w:rPr>
                <w:noProof/>
                <w:sz w:val="20"/>
                <w:lang w:eastAsia="en-AU"/>
              </w:rPr>
              <w:drawing>
                <wp:inline distT="0" distB="0" distL="0" distR="0" wp14:anchorId="02C20F13" wp14:editId="69C909B7">
                  <wp:extent cx="487681" cy="487681"/>
                  <wp:effectExtent l="19050" t="0" r="7619" b="0"/>
                  <wp:docPr id="17" name="Picture 0" descr="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fo.png"/>
                          <pic:cNvPicPr/>
                        </pic:nvPicPr>
                        <pic:blipFill>
                          <a:blip r:embed="rId23" cstate="print"/>
                          <a:stretch>
                            <a:fillRect/>
                          </a:stretch>
                        </pic:blipFill>
                        <pic:spPr>
                          <a:xfrm>
                            <a:off x="0" y="0"/>
                            <a:ext cx="487681" cy="487681"/>
                          </a:xfrm>
                          <a:prstGeom prst="rect">
                            <a:avLst/>
                          </a:prstGeom>
                        </pic:spPr>
                      </pic:pic>
                    </a:graphicData>
                  </a:graphic>
                </wp:inline>
              </w:drawing>
            </w:r>
          </w:p>
        </w:tc>
        <w:tc>
          <w:tcPr>
            <w:tcW w:w="7762" w:type="dxa"/>
            <w:shd w:val="clear" w:color="auto" w:fill="EAEAEA"/>
            <w:tcMar>
              <w:top w:w="170" w:type="dxa"/>
              <w:left w:w="170" w:type="dxa"/>
              <w:bottom w:w="170" w:type="dxa"/>
              <w:right w:w="170" w:type="dxa"/>
            </w:tcMar>
            <w:vAlign w:val="center"/>
          </w:tcPr>
          <w:p w14:paraId="2B20D659" w14:textId="77777777" w:rsidR="00ED66E5" w:rsidRPr="00ED66E5" w:rsidRDefault="00ED66E5" w:rsidP="00ED66E5">
            <w:r w:rsidRPr="00ED66E5">
              <w:rPr>
                <w:b/>
              </w:rPr>
              <w:t>Validation data</w:t>
            </w:r>
          </w:p>
          <w:p w14:paraId="25CBD5E5" w14:textId="77777777" w:rsidR="00ED66E5" w:rsidRPr="00ED66E5" w:rsidRDefault="00ED66E5" w:rsidP="006C63E0">
            <w:r w:rsidRPr="00ED66E5">
              <w:t xml:space="preserve">The validation data specified for each individual variation type in the guidance documents are the minimum requirements. Additional validation may be necessary in some instances, for example, to comply with the Pharmaceutical Inspection Convention/Pharmaceutical Inspection Co-operation Scheme [PIC/S] </w:t>
            </w:r>
            <w:hyperlink r:id="rId79" w:history="1">
              <w:r w:rsidRPr="00ED66E5">
                <w:rPr>
                  <w:rStyle w:val="Hyperlink"/>
                </w:rPr>
                <w:t>Guide to Good Manufacturing Practice for Medicinal Products</w:t>
              </w:r>
            </w:hyperlink>
            <w:r w:rsidRPr="00ED66E5">
              <w:t>.</w:t>
            </w:r>
          </w:p>
          <w:p w14:paraId="17D98990" w14:textId="77777777" w:rsidR="00ED66E5" w:rsidRPr="00ED66E5" w:rsidRDefault="00ED66E5" w:rsidP="00ED66E5">
            <w:r w:rsidRPr="00ED66E5">
              <w:t>If validation data are needed to support a variation, these data may be generated using either pilot plant–scale or full-production batches of the product, except for variations to batch size, where the data should be generated from full production-scale batches.</w:t>
            </w:r>
          </w:p>
          <w:p w14:paraId="0F7F04D9" w14:textId="77777777" w:rsidR="00ED66E5" w:rsidRPr="00215D48" w:rsidRDefault="00ED66E5" w:rsidP="00ED66E5">
            <w:r w:rsidRPr="00ED66E5">
              <w:t>The role of pilot-scale batches is to provide data that are predictive of the production-scale product. Pilot-scale studies may be used in the process development phase to support formal stability studies, and to support nonclinical and clinical evaluation. For chemical entities the pilot-scale batch size should be at least 10% of the production-scale batch size. For biological medicines, the choice of pilot batch size should be justified.</w:t>
            </w:r>
          </w:p>
        </w:tc>
      </w:tr>
    </w:tbl>
    <w:p w14:paraId="2094E111" w14:textId="77777777" w:rsidR="001F1D4C" w:rsidRDefault="00ED66E5" w:rsidP="00ED66E5">
      <w:pPr>
        <w:pStyle w:val="Heading4"/>
      </w:pPr>
      <w:bookmarkStart w:id="109" w:name="_Comparative_batch_data"/>
      <w:bookmarkStart w:id="110" w:name="_Toc10202274"/>
      <w:bookmarkEnd w:id="109"/>
      <w:r w:rsidRPr="00ED66E5">
        <w:t>Comparative batch data - active pharmaceutical ingredient and drug product</w:t>
      </w:r>
      <w:bookmarkEnd w:id="110"/>
    </w:p>
    <w:p w14:paraId="0A8B160E" w14:textId="77777777" w:rsidR="001F1D4C" w:rsidRDefault="00116C9A" w:rsidP="00692E0F">
      <w:r w:rsidRPr="00116C9A">
        <w:t>Comparative batch data means a comparison of data between the pre-variation active pharmaceutical ingredient (API)/drug product and the proposed post-variation API/drug product.</w:t>
      </w:r>
    </w:p>
    <w:p w14:paraId="14D9D880" w14:textId="77777777" w:rsidR="00116C9A" w:rsidRPr="00FF18BF" w:rsidRDefault="00116C9A" w:rsidP="00116C9A">
      <w:pPr>
        <w:pStyle w:val="ListBullet"/>
      </w:pPr>
      <w:r w:rsidRPr="00FF18BF">
        <w:t xml:space="preserve">Unless otherwise specified in </w:t>
      </w:r>
      <w:r>
        <w:t>individual</w:t>
      </w:r>
      <w:r w:rsidRPr="00FF18BF">
        <w:t xml:space="preserve"> conditions, these data should compare at least the last three batches that were manufactured under existing conditions (using retention samples, if necessary) and the first batch made under the proposed new conditions, before the first batch is released. The second and third batches manufactured under the new conditions should be reviewed as soon as they become available, and the TGA should be promptly informed of any differences.</w:t>
      </w:r>
    </w:p>
    <w:p w14:paraId="04536FEF" w14:textId="77777777" w:rsidR="00116C9A" w:rsidRDefault="00116C9A" w:rsidP="00116C9A">
      <w:pPr>
        <w:pStyle w:val="ListBullet"/>
      </w:pPr>
      <w:r w:rsidRPr="00FF18BF">
        <w:t xml:space="preserve">For manufacturing changes where products </w:t>
      </w:r>
      <w:r>
        <w:t xml:space="preserve">with </w:t>
      </w:r>
      <w:r w:rsidRPr="00FF18BF">
        <w:t>multiple (three or more) strength</w:t>
      </w:r>
      <w:r>
        <w:t>s</w:t>
      </w:r>
      <w:r w:rsidRPr="00FF18BF">
        <w:t xml:space="preserve"> are involved and the various strengths are either direct scales (that is, the quantity of all excipients increases proportionally with the quantity of active ingredient) or have closely similar formulations, comparative data may be generated for the lowest and highest strengths only.</w:t>
      </w:r>
    </w:p>
    <w:p w14:paraId="0FF9D79A" w14:textId="77777777" w:rsidR="001F1D4C" w:rsidRDefault="00116C9A" w:rsidP="006C63E0">
      <w:pPr>
        <w:pStyle w:val="Heading4"/>
      </w:pPr>
      <w:bookmarkStart w:id="111" w:name="_Comparative_dissolution_profiles"/>
      <w:bookmarkStart w:id="112" w:name="_Toc486412475"/>
      <w:bookmarkStart w:id="113" w:name="_Toc10202275"/>
      <w:bookmarkEnd w:id="111"/>
      <w:r w:rsidRPr="00116C9A">
        <w:t>Comparative dissolution profiles</w:t>
      </w:r>
      <w:bookmarkEnd w:id="112"/>
      <w:bookmarkEnd w:id="113"/>
    </w:p>
    <w:p w14:paraId="7ED0F620" w14:textId="77777777" w:rsidR="00116C9A" w:rsidRPr="00653A33" w:rsidRDefault="00116C9A" w:rsidP="00116C9A">
      <w:r w:rsidRPr="00653A33">
        <w:t>‘Comparative dissolution profiles’ means that data should be generated on three recent pre-variation batches and at least one batch of post-variation product as follows:</w:t>
      </w:r>
    </w:p>
    <w:p w14:paraId="317F18E5" w14:textId="77777777" w:rsidR="00116C9A" w:rsidRDefault="00116C9A" w:rsidP="00116C9A">
      <w:pPr>
        <w:pStyle w:val="ListBullet"/>
      </w:pPr>
      <w:r w:rsidRPr="00653A33">
        <w:t>At least 12 dosage units (for example, tablets, capsules) of each batch must be tested individually, and mean and individual results reported.</w:t>
      </w:r>
    </w:p>
    <w:p w14:paraId="73EAD8FD" w14:textId="77777777" w:rsidR="00116C9A" w:rsidRDefault="00116C9A" w:rsidP="00116C9A">
      <w:pPr>
        <w:pStyle w:val="ListBullet2"/>
      </w:pPr>
      <w:r w:rsidRPr="00653A33">
        <w:t xml:space="preserve">The percentage of nominal content released should be measured at a minimum of three suitably spaced time points (excluding </w:t>
      </w:r>
      <w:r>
        <w:t xml:space="preserve">the </w:t>
      </w:r>
      <w:r w:rsidRPr="00653A33">
        <w:t>zero time point) to provide a profile for each batch (for example, at 5, 15, 30 and 45 minutes, or as appropriate to achieve virtually complete dissolution).</w:t>
      </w:r>
    </w:p>
    <w:p w14:paraId="13934CE9" w14:textId="77777777" w:rsidR="00116C9A" w:rsidRDefault="00116C9A" w:rsidP="00116C9A">
      <w:pPr>
        <w:pStyle w:val="ListBullet2"/>
      </w:pPr>
      <w:r w:rsidRPr="00653A33">
        <w:lastRenderedPageBreak/>
        <w:t>The batches should be tested using the same apparatus and, if possible, on the same day.</w:t>
      </w:r>
    </w:p>
    <w:p w14:paraId="14FA48CF" w14:textId="77777777" w:rsidR="00116C9A" w:rsidRPr="00653A33" w:rsidRDefault="00116C9A" w:rsidP="00116C9A">
      <w:pPr>
        <w:pStyle w:val="ListBullet2"/>
      </w:pPr>
      <w:r w:rsidRPr="00653A33">
        <w:t>Test conditions should be those used in routine quality control or, if dissolution is not part of routine quality control, any reasonable, validated method.</w:t>
      </w:r>
    </w:p>
    <w:p w14:paraId="60C7EF96" w14:textId="77777777" w:rsidR="00116C9A" w:rsidRDefault="00116C9A" w:rsidP="00116C9A">
      <w:pPr>
        <w:pStyle w:val="ListBullet"/>
      </w:pPr>
      <w:r w:rsidRPr="00653A33">
        <w:t xml:space="preserve">To demonstrate the similarity of two dissolution profiles, the similarity factor, </w:t>
      </w:r>
      <w:r w:rsidRPr="00653A33">
        <w:rPr>
          <w:i/>
        </w:rPr>
        <w:t>f</w:t>
      </w:r>
      <w:r w:rsidRPr="00653A33">
        <w:rPr>
          <w:i/>
          <w:vertAlign w:val="subscript"/>
        </w:rPr>
        <w:t>2</w:t>
      </w:r>
      <w:r w:rsidRPr="00653A33">
        <w:t xml:space="preserve">, should be calculated using the equation and conditions stated in Appendix I of the European Medicines Agency (EMA) </w:t>
      </w:r>
      <w:hyperlink r:id="rId80" w:history="1">
        <w:r w:rsidRPr="002861C9">
          <w:rPr>
            <w:rStyle w:val="Hyperlink"/>
          </w:rPr>
          <w:t>Guideline on the Investigation of Bioequivalence (CPMP/EWP/QWP/1401/98 Rev. 1/Corr)</w:t>
        </w:r>
      </w:hyperlink>
    </w:p>
    <w:p w14:paraId="713F24C8" w14:textId="77777777" w:rsidR="00116C9A" w:rsidRDefault="00116C9A" w:rsidP="00116C9A">
      <w:pPr>
        <w:pStyle w:val="ListBullet2"/>
      </w:pPr>
      <w:r w:rsidRPr="00653A33">
        <w:t xml:space="preserve">The </w:t>
      </w:r>
      <w:r w:rsidRPr="00653A33">
        <w:rPr>
          <w:i/>
        </w:rPr>
        <w:t>f</w:t>
      </w:r>
      <w:r w:rsidRPr="00653A33">
        <w:rPr>
          <w:i/>
          <w:vertAlign w:val="subscript"/>
        </w:rPr>
        <w:t>2</w:t>
      </w:r>
      <w:r w:rsidRPr="00653A33">
        <w:t xml:space="preserve"> value should be between 50 and 100.</w:t>
      </w:r>
    </w:p>
    <w:p w14:paraId="1E72FDF3" w14:textId="77777777" w:rsidR="00116C9A" w:rsidRPr="00653A33" w:rsidRDefault="00116C9A" w:rsidP="00116C9A">
      <w:pPr>
        <w:pStyle w:val="ListBullet2"/>
      </w:pPr>
      <w:r w:rsidRPr="00653A33">
        <w:t>In cases where more than 85% of the active substance is dissolved within 15 minutes in all tested batches, dissolution profiles are considered to be similar without the need to calculate the similarity factor.</w:t>
      </w:r>
    </w:p>
    <w:p w14:paraId="3C851F55" w14:textId="77777777" w:rsidR="00116C9A" w:rsidRDefault="00116C9A" w:rsidP="00116C9A">
      <w:pPr>
        <w:pStyle w:val="ListBullet"/>
      </w:pPr>
      <w:r>
        <w:t>S</w:t>
      </w:r>
      <w:r w:rsidRPr="00653A33">
        <w:t xml:space="preserve">ufficient quantities of recently manufactured batches may </w:t>
      </w:r>
      <w:r>
        <w:t xml:space="preserve">not </w:t>
      </w:r>
      <w:r w:rsidRPr="00653A33">
        <w:t>be available to meet this requirement. In these cases, it is acceptable to test retention batches, and to explain in the test report why this was done, stating the age and storage history of the samples.</w:t>
      </w:r>
    </w:p>
    <w:p w14:paraId="5A0FC15D" w14:textId="77777777" w:rsidR="00D57693" w:rsidRDefault="00D57693" w:rsidP="00D57693">
      <w:pPr>
        <w:pStyle w:val="Heading3"/>
      </w:pPr>
      <w:bookmarkStart w:id="114" w:name="_Toc5089275"/>
      <w:bookmarkStart w:id="115" w:name="_Toc10202276"/>
      <w:r w:rsidRPr="005238BE">
        <w:t>Variations to multi-component products</w:t>
      </w:r>
      <w:bookmarkEnd w:id="114"/>
      <w:bookmarkEnd w:id="115"/>
    </w:p>
    <w:p w14:paraId="297A038C" w14:textId="77777777" w:rsidR="00D57693" w:rsidRPr="00DA51ED" w:rsidRDefault="00D57693" w:rsidP="00D57693">
      <w:r w:rsidRPr="00DA51ED">
        <w:t>Most registered prescription medicines are presented as a product that contains a single component (</w:t>
      </w:r>
      <w:r>
        <w:t>for example,</w:t>
      </w:r>
      <w:r w:rsidRPr="00DA51ED">
        <w:t xml:space="preserve"> a blister pack that contains one type of tablet—although this tablet may contain more than one active ingredient), but some prescription medicines contain </w:t>
      </w:r>
      <w:r>
        <w:t>multi</w:t>
      </w:r>
      <w:r w:rsidRPr="00DA51ED">
        <w:t xml:space="preserve">ple components in the same pack. The regulatory requirements for these </w:t>
      </w:r>
      <w:r>
        <w:t>multi-</w:t>
      </w:r>
      <w:r w:rsidRPr="00DA51ED">
        <w:t>component products depend on the nature of the ind</w:t>
      </w:r>
      <w:r>
        <w:t>ividual components in the pack.</w:t>
      </w:r>
    </w:p>
    <w:p w14:paraId="48E6E7E0" w14:textId="77777777" w:rsidR="00D57693" w:rsidRDefault="00D57693" w:rsidP="00D57693">
      <w:r w:rsidRPr="00DA51ED">
        <w:t xml:space="preserve">The most common </w:t>
      </w:r>
      <w:r>
        <w:t>multi-</w:t>
      </w:r>
      <w:r w:rsidRPr="00DA51ED">
        <w:t>component packs are composite packs</w:t>
      </w:r>
      <w:r>
        <w:t>.</w:t>
      </w:r>
      <w:r w:rsidRPr="00DA51ED">
        <w:t xml:space="preserve"> </w:t>
      </w:r>
      <w:r>
        <w:t>C</w:t>
      </w:r>
      <w:r w:rsidRPr="00DA51ED">
        <w:t xml:space="preserve">omposite packs are defined in the legislation under s. 7B of the </w:t>
      </w:r>
      <w:hyperlink r:id="rId81" w:history="1">
        <w:r w:rsidRPr="004955A9">
          <w:rPr>
            <w:rStyle w:val="Hyperlink"/>
            <w:i/>
          </w:rPr>
          <w:t>Therapeutic Goods Act 1989</w:t>
        </w:r>
      </w:hyperlink>
      <w:r w:rsidRPr="00DA51ED">
        <w:t>.</w:t>
      </w:r>
    </w:p>
    <w:p w14:paraId="5D5A6A4B" w14:textId="77777777" w:rsidR="00D57693" w:rsidRDefault="00D57693" w:rsidP="00D57693">
      <w:r w:rsidRPr="00DA51ED">
        <w:t xml:space="preserve">System or procedure packs are defined in s. 41BF—these are regulated as medical devices (see the </w:t>
      </w:r>
      <w:hyperlink r:id="rId82" w:history="1">
        <w:r w:rsidRPr="005B2A20">
          <w:rPr>
            <w:rStyle w:val="Hyperlink"/>
          </w:rPr>
          <w:t>Australian Regulatory Guidelines For Medical Devices</w:t>
        </w:r>
      </w:hyperlink>
      <w:r w:rsidRPr="005B2A20">
        <w:t xml:space="preserve"> </w:t>
      </w:r>
      <w:r w:rsidRPr="00DA51ED">
        <w:t xml:space="preserve">on the </w:t>
      </w:r>
      <w:r>
        <w:t>TGA</w:t>
      </w:r>
      <w:r w:rsidRPr="00DA51ED">
        <w:t xml:space="preserve"> website</w:t>
      </w:r>
      <w:r>
        <w:t xml:space="preserve">). </w:t>
      </w:r>
      <w:r w:rsidRPr="00DA51ED">
        <w:t xml:space="preserve">Variations to </w:t>
      </w:r>
      <w:r>
        <w:t xml:space="preserve">the medicine components of </w:t>
      </w:r>
      <w:r w:rsidRPr="00DA51ED">
        <w:t>composite packs are regulated in a similar way to a</w:t>
      </w:r>
      <w:r>
        <w:t>ny other prescription medicine.</w:t>
      </w:r>
    </w:p>
    <w:tbl>
      <w:tblPr>
        <w:tblW w:w="9038" w:type="dxa"/>
        <w:tblLayout w:type="fixed"/>
        <w:tblCellMar>
          <w:left w:w="0" w:type="dxa"/>
          <w:right w:w="0" w:type="dxa"/>
        </w:tblCellMar>
        <w:tblLook w:val="04A0" w:firstRow="1" w:lastRow="0" w:firstColumn="1" w:lastColumn="0" w:noHBand="0" w:noVBand="1"/>
      </w:tblPr>
      <w:tblGrid>
        <w:gridCol w:w="1276"/>
        <w:gridCol w:w="7762"/>
      </w:tblGrid>
      <w:tr w:rsidR="00D57693" w:rsidRPr="00215D48" w14:paraId="2A89295D" w14:textId="77777777" w:rsidTr="004A4F23">
        <w:tc>
          <w:tcPr>
            <w:tcW w:w="1276" w:type="dxa"/>
            <w:vAlign w:val="center"/>
          </w:tcPr>
          <w:p w14:paraId="70ACAAFE" w14:textId="77777777" w:rsidR="00D57693" w:rsidRPr="00215D48" w:rsidRDefault="00D57693" w:rsidP="004A4F23">
            <w:pPr>
              <w:spacing w:before="0"/>
              <w:rPr>
                <w:sz w:val="20"/>
              </w:rPr>
            </w:pPr>
            <w:r w:rsidRPr="00215D48">
              <w:rPr>
                <w:noProof/>
                <w:sz w:val="20"/>
                <w:lang w:eastAsia="en-AU"/>
              </w:rPr>
              <w:drawing>
                <wp:inline distT="0" distB="0" distL="0" distR="0" wp14:anchorId="6086AC10" wp14:editId="2983D8F3">
                  <wp:extent cx="487681" cy="487681"/>
                  <wp:effectExtent l="19050" t="0" r="7619" b="0"/>
                  <wp:docPr id="18" name="Picture 0" descr="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fo.png"/>
                          <pic:cNvPicPr/>
                        </pic:nvPicPr>
                        <pic:blipFill>
                          <a:blip r:embed="rId23" cstate="print"/>
                          <a:stretch>
                            <a:fillRect/>
                          </a:stretch>
                        </pic:blipFill>
                        <pic:spPr>
                          <a:xfrm>
                            <a:off x="0" y="0"/>
                            <a:ext cx="487681" cy="487681"/>
                          </a:xfrm>
                          <a:prstGeom prst="rect">
                            <a:avLst/>
                          </a:prstGeom>
                        </pic:spPr>
                      </pic:pic>
                    </a:graphicData>
                  </a:graphic>
                </wp:inline>
              </w:drawing>
            </w:r>
          </w:p>
        </w:tc>
        <w:tc>
          <w:tcPr>
            <w:tcW w:w="7762" w:type="dxa"/>
            <w:shd w:val="clear" w:color="auto" w:fill="EAEAEA"/>
            <w:tcMar>
              <w:top w:w="170" w:type="dxa"/>
              <w:left w:w="170" w:type="dxa"/>
              <w:bottom w:w="170" w:type="dxa"/>
              <w:right w:w="170" w:type="dxa"/>
            </w:tcMar>
            <w:vAlign w:val="center"/>
          </w:tcPr>
          <w:p w14:paraId="2B28B3C2" w14:textId="77777777" w:rsidR="00D57693" w:rsidRDefault="00D57693" w:rsidP="004A4F23">
            <w:r w:rsidRPr="006A1000">
              <w:rPr>
                <w:b/>
              </w:rPr>
              <w:t>Composite packs</w:t>
            </w:r>
            <w:r>
              <w:t xml:space="preserve"> contain two or more therapeutic goods, but do not contain therapeutic devices or medical devices that are included in the ARTG. They are used for a single treatment or a single course of treatment, and the components are either combined before treatment or administered in a particular sequence. The composite pack itself is regulated as a separate and distinct good and must have its own unique AUST R number. Individual components within the pack may or may not have sepa</w:t>
            </w:r>
            <w:r w:rsidR="006C63E0">
              <w:t>rate registrations or listings.</w:t>
            </w:r>
          </w:p>
          <w:p w14:paraId="5384D917" w14:textId="77777777" w:rsidR="00D57693" w:rsidRPr="00215D48" w:rsidRDefault="00D57693" w:rsidP="004A4F23">
            <w:r>
              <w:t>Examples of composite packs are a blister pack that contains several different types of tablets, for example oral contraceptives, or a vial of medicine that is a lyophilised powder that is packaged with an ampoule or vial containing a diluent.</w:t>
            </w:r>
          </w:p>
        </w:tc>
      </w:tr>
    </w:tbl>
    <w:p w14:paraId="6B049EBD" w14:textId="77777777" w:rsidR="001F1D4C" w:rsidRDefault="00E06435" w:rsidP="00D57693">
      <w:pPr>
        <w:pStyle w:val="Heading3"/>
      </w:pPr>
      <w:bookmarkStart w:id="116" w:name="_Toc10202277"/>
      <w:r w:rsidRPr="00E06435">
        <w:lastRenderedPageBreak/>
        <w:t>Further information</w:t>
      </w:r>
      <w:bookmarkEnd w:id="116"/>
    </w:p>
    <w:p w14:paraId="2B4A9D37" w14:textId="77777777" w:rsidR="00BB6BD6" w:rsidRPr="00BB6BD6" w:rsidRDefault="00BB6BD6" w:rsidP="00BB6BD6">
      <w:r>
        <w:t>For further information related to applying for variations refer to:</w:t>
      </w:r>
    </w:p>
    <w:p w14:paraId="687E17D3" w14:textId="77777777" w:rsidR="00E06435" w:rsidRDefault="0057494E" w:rsidP="00E06435">
      <w:pPr>
        <w:pStyle w:val="ListBullet"/>
      </w:pPr>
      <w:hyperlink r:id="rId83" w:history="1">
        <w:r w:rsidR="00BB6BD6">
          <w:rPr>
            <w:rStyle w:val="Hyperlink"/>
          </w:rPr>
          <w:t>General dossier requirements</w:t>
        </w:r>
      </w:hyperlink>
      <w:r w:rsidR="00BB6BD6">
        <w:t xml:space="preserve"> including </w:t>
      </w:r>
      <w:r w:rsidR="00E06435" w:rsidRPr="00111EBC">
        <w:t>how to</w:t>
      </w:r>
      <w:r w:rsidR="00BB6BD6">
        <w:t xml:space="preserve"> submit your dossier to the TGA</w:t>
      </w:r>
    </w:p>
    <w:p w14:paraId="4864F97B" w14:textId="77777777" w:rsidR="00E06435" w:rsidRDefault="0057494E" w:rsidP="00E06435">
      <w:pPr>
        <w:pStyle w:val="ListBullet"/>
      </w:pPr>
      <w:hyperlink w:anchor="_Fees_for_minor" w:history="1">
        <w:r w:rsidR="00E06435" w:rsidRPr="00356798">
          <w:rPr>
            <w:rStyle w:val="Hyperlink"/>
          </w:rPr>
          <w:t>Fees for minor variations</w:t>
        </w:r>
      </w:hyperlink>
    </w:p>
    <w:p w14:paraId="64C3B8E0" w14:textId="77777777" w:rsidR="00E06435" w:rsidRDefault="0057494E" w:rsidP="00E06435">
      <w:pPr>
        <w:pStyle w:val="ListBullet"/>
      </w:pPr>
      <w:hyperlink w:anchor="_Statutory_timeframes" w:history="1">
        <w:r w:rsidR="00E06435" w:rsidRPr="00B7543F">
          <w:rPr>
            <w:rStyle w:val="Hyperlink"/>
          </w:rPr>
          <w:t>Statutory timeframes</w:t>
        </w:r>
      </w:hyperlink>
    </w:p>
    <w:p w14:paraId="4398575F" w14:textId="77777777" w:rsidR="00E06435" w:rsidRDefault="0057494E" w:rsidP="00E06435">
      <w:pPr>
        <w:pStyle w:val="ListBullet"/>
      </w:pPr>
      <w:hyperlink w:anchor="_Processing_and_approvals" w:history="1">
        <w:r w:rsidR="00E06435" w:rsidRPr="000E264A">
          <w:rPr>
            <w:rStyle w:val="Hyperlink"/>
          </w:rPr>
          <w:t>Processing and approvals</w:t>
        </w:r>
      </w:hyperlink>
      <w:r w:rsidR="00BB6BD6" w:rsidRPr="00A83EE4">
        <w:rPr>
          <w:rStyle w:val="Hyperlink"/>
          <w:color w:val="auto"/>
          <w:u w:val="none"/>
        </w:rPr>
        <w:t>.</w:t>
      </w:r>
    </w:p>
    <w:p w14:paraId="465CA3DD" w14:textId="77777777" w:rsidR="00E06435" w:rsidRPr="00E06435" w:rsidRDefault="00E06435" w:rsidP="00BB6BD6">
      <w:r w:rsidRPr="00D207BC">
        <w:t>Any questions regarding</w:t>
      </w:r>
      <w:r>
        <w:t xml:space="preserve"> variations to prescription medicines</w:t>
      </w:r>
      <w:r w:rsidRPr="00D207BC">
        <w:t xml:space="preserve"> should be directed to </w:t>
      </w:r>
      <w:hyperlink r:id="rId84" w:history="1">
        <w:r w:rsidRPr="00EF587F">
          <w:rPr>
            <w:rStyle w:val="Hyperlink"/>
          </w:rPr>
          <w:t>AET.</w:t>
        </w:r>
        <w:r w:rsidRPr="00B66197">
          <w:rPr>
            <w:rStyle w:val="Hyperlink"/>
          </w:rPr>
          <w:t>application</w:t>
        </w:r>
        <w:r w:rsidRPr="0091276D">
          <w:rPr>
            <w:rStyle w:val="Hyperlink"/>
          </w:rPr>
          <w:t>.entry.team@health.gov.au</w:t>
        </w:r>
      </w:hyperlink>
      <w:r>
        <w:t>.</w:t>
      </w:r>
    </w:p>
    <w:p w14:paraId="6B0732A5" w14:textId="77777777" w:rsidR="00C66236" w:rsidRDefault="00575454" w:rsidP="00A83EE4">
      <w:pPr>
        <w:pStyle w:val="Heading2"/>
        <w:spacing w:before="0"/>
      </w:pPr>
      <w:bookmarkStart w:id="117" w:name="_Changes_not_submitted"/>
      <w:bookmarkStart w:id="118" w:name="_Toc10202278"/>
      <w:bookmarkEnd w:id="117"/>
      <w:r w:rsidRPr="00575454">
        <w:lastRenderedPageBreak/>
        <w:t>Changes not submitted via the Variation e-form</w:t>
      </w:r>
      <w:bookmarkEnd w:id="118"/>
    </w:p>
    <w:p w14:paraId="0E2ECA39" w14:textId="77777777" w:rsidR="00575454" w:rsidRDefault="00575454" w:rsidP="00575454">
      <w:r w:rsidRPr="00575454">
        <w:t>There are some changes that do not require a Variation e-form submission.</w:t>
      </w:r>
    </w:p>
    <w:p w14:paraId="34109DF0" w14:textId="77777777" w:rsidR="00282C6B" w:rsidRPr="00575454" w:rsidRDefault="00282C6B" w:rsidP="00282C6B">
      <w:pPr>
        <w:pStyle w:val="Heading3"/>
      </w:pPr>
      <w:bookmarkStart w:id="119" w:name="_Toc10202279"/>
      <w:r>
        <w:t>Changes that do not require reporting to the TGA</w:t>
      </w:r>
      <w:bookmarkEnd w:id="119"/>
    </w:p>
    <w:p w14:paraId="7C87C09F" w14:textId="77777777" w:rsidR="00674BC6" w:rsidRDefault="00674BC6" w:rsidP="00674BC6">
      <w:bookmarkStart w:id="120" w:name="_Reporting_on_changes"/>
      <w:bookmarkEnd w:id="120"/>
      <w:r>
        <w:t>These changes can be implemented without reporting to the TGA. This does not include any proposed changes that require a consequential change to the approved product information of the registered medicine.</w:t>
      </w:r>
    </w:p>
    <w:p w14:paraId="7EF59C0E" w14:textId="77777777" w:rsidR="00674BC6" w:rsidRDefault="00674BC6" w:rsidP="00674BC6">
      <w:r>
        <w:t>Where these changes affect information within your dossier that had been previously submitted to the TGA, the relevant update can be submitted:</w:t>
      </w:r>
    </w:p>
    <w:p w14:paraId="2F70AE83" w14:textId="77777777" w:rsidR="00674BC6" w:rsidRDefault="00674BC6" w:rsidP="00282C6B">
      <w:pPr>
        <w:pStyle w:val="ListBullet"/>
      </w:pPr>
      <w:r>
        <w:t>as part of any subsequent SAR or Category 3 variation</w:t>
      </w:r>
      <w:r w:rsidR="00165327">
        <w:t>, or</w:t>
      </w:r>
    </w:p>
    <w:p w14:paraId="10E3A0F3" w14:textId="77777777" w:rsidR="00165327" w:rsidRPr="00674BC6" w:rsidRDefault="00165327" w:rsidP="00282C6B">
      <w:pPr>
        <w:pStyle w:val="ListBullet"/>
      </w:pPr>
      <w:r w:rsidRPr="00165327">
        <w:t>directly submitted to the TGA electronic submission team (following written advice from the TGA).</w:t>
      </w:r>
    </w:p>
    <w:p w14:paraId="07A23717" w14:textId="77777777" w:rsidR="00C66236" w:rsidRDefault="00C31533" w:rsidP="00282C6B">
      <w:pPr>
        <w:pStyle w:val="Heading3"/>
      </w:pPr>
      <w:bookmarkStart w:id="121" w:name="_Toc10202280"/>
      <w:r>
        <w:t>C</w:t>
      </w:r>
      <w:r w:rsidR="00575454" w:rsidRPr="00575454">
        <w:t xml:space="preserve">hanges that do not require </w:t>
      </w:r>
      <w:r>
        <w:t>prior</w:t>
      </w:r>
      <w:r w:rsidR="00575454" w:rsidRPr="00575454">
        <w:t xml:space="preserve"> approval</w:t>
      </w:r>
      <w:bookmarkEnd w:id="121"/>
    </w:p>
    <w:p w14:paraId="7528124B" w14:textId="77777777" w:rsidR="00BA3147" w:rsidRPr="00A83EE4" w:rsidRDefault="00575454" w:rsidP="00575454">
      <w:pPr>
        <w:rPr>
          <w:rStyle w:val="Hyperlink"/>
          <w:color w:val="auto"/>
        </w:rPr>
      </w:pPr>
      <w:r w:rsidRPr="00575454">
        <w:t>Certain changes require reporting, but do not have to be approved by the TGA.</w:t>
      </w:r>
      <w:r w:rsidR="00C31533">
        <w:t xml:space="preserve"> </w:t>
      </w:r>
      <w:r w:rsidR="00C31533" w:rsidRPr="00C31533">
        <w:t>These changes can be implemented before you inform the TGA of the change. Reporting to the TGA should be made in writing, together with any relevant documentary evidence required in support and the date of implementation advised. No specific form is required.</w:t>
      </w:r>
      <w:r w:rsidR="00FF5E94">
        <w:t xml:space="preserve"> Contact </w:t>
      </w:r>
      <w:hyperlink r:id="rId85" w:history="1">
        <w:r w:rsidR="00FF5E94" w:rsidRPr="00B81564">
          <w:rPr>
            <w:rStyle w:val="Hyperlink"/>
          </w:rPr>
          <w:t>AET.application.entry.team@health.gov.au</w:t>
        </w:r>
      </w:hyperlink>
      <w:r w:rsidR="00FF5E94" w:rsidRPr="00A83EE4">
        <w:rPr>
          <w:rStyle w:val="Hyperlink"/>
          <w:color w:val="auto"/>
          <w:u w:val="none"/>
        </w:rPr>
        <w:t>.</w:t>
      </w:r>
    </w:p>
    <w:p w14:paraId="1D52B624" w14:textId="77777777" w:rsidR="003C6095" w:rsidRPr="00575454" w:rsidRDefault="003C6095" w:rsidP="00575454">
      <w:r w:rsidRPr="00A83EE4">
        <w:t>T</w:t>
      </w:r>
      <w:r w:rsidRPr="003C6095">
        <w:t>his process cannot be used if the proposed changes require a consequential change to the approved product information of the registered medicine.</w:t>
      </w:r>
    </w:p>
    <w:p w14:paraId="09225654" w14:textId="77777777" w:rsidR="00575454" w:rsidRPr="00575454" w:rsidRDefault="00575454" w:rsidP="00575454">
      <w:r w:rsidRPr="00575454">
        <w:t>Where these changes affect information within your dossier that had been previously submitted to the TGA, the relevant update can be submitted:</w:t>
      </w:r>
    </w:p>
    <w:p w14:paraId="0556806D" w14:textId="77777777" w:rsidR="00575454" w:rsidRDefault="00575454" w:rsidP="00575454">
      <w:pPr>
        <w:pStyle w:val="ListBullet"/>
        <w:numPr>
          <w:ilvl w:val="0"/>
          <w:numId w:val="20"/>
        </w:numPr>
      </w:pPr>
      <w:r>
        <w:t>as part of any subsequent SAR or Category 3 variation, or</w:t>
      </w:r>
    </w:p>
    <w:p w14:paraId="62899A01" w14:textId="77777777" w:rsidR="00575454" w:rsidRDefault="00575454" w:rsidP="00575454">
      <w:pPr>
        <w:pStyle w:val="ListBullet"/>
        <w:numPr>
          <w:ilvl w:val="0"/>
          <w:numId w:val="20"/>
        </w:numPr>
      </w:pPr>
      <w:r>
        <w:t>directly s</w:t>
      </w:r>
      <w:r w:rsidRPr="00C76B72">
        <w:t>ubmitted to the</w:t>
      </w:r>
      <w:r>
        <w:t xml:space="preserve"> TGA electronic submission team (followi</w:t>
      </w:r>
      <w:r w:rsidR="00A83EE4">
        <w:t>ng written advice from the TGA).</w:t>
      </w:r>
    </w:p>
    <w:p w14:paraId="53E61258" w14:textId="77777777" w:rsidR="00575454" w:rsidRDefault="00575454" w:rsidP="00575454">
      <w:pPr>
        <w:pStyle w:val="Heading3"/>
      </w:pPr>
      <w:bookmarkStart w:id="122" w:name="_Toc10202281"/>
      <w:r w:rsidRPr="00575454">
        <w:t>Changes to manufacturer names and addresses</w:t>
      </w:r>
      <w:bookmarkEnd w:id="122"/>
    </w:p>
    <w:p w14:paraId="3C5AAF15" w14:textId="77777777" w:rsidR="009C35B2" w:rsidRDefault="009C35B2" w:rsidP="009C35B2">
      <w:r>
        <w:t xml:space="preserve">For </w:t>
      </w:r>
      <w:hyperlink r:id="rId86" w:anchor="admn" w:history="1">
        <w:r w:rsidRPr="00980966">
          <w:rPr>
            <w:rStyle w:val="Hyperlink"/>
          </w:rPr>
          <w:t>change</w:t>
        </w:r>
        <w:r>
          <w:rPr>
            <w:rStyle w:val="Hyperlink"/>
          </w:rPr>
          <w:t>s</w:t>
        </w:r>
        <w:r w:rsidRPr="00980966">
          <w:rPr>
            <w:rStyle w:val="Hyperlink"/>
          </w:rPr>
          <w:t xml:space="preserve"> to </w:t>
        </w:r>
        <w:r>
          <w:rPr>
            <w:rStyle w:val="Hyperlink"/>
          </w:rPr>
          <w:t xml:space="preserve">an overseas </w:t>
        </w:r>
        <w:r w:rsidRPr="00980966">
          <w:rPr>
            <w:rStyle w:val="Hyperlink"/>
          </w:rPr>
          <w:t>manufacturer’s name or the manufacturing address, provided the actual site location does not change</w:t>
        </w:r>
      </w:hyperlink>
      <w:r w:rsidRPr="00CD69D6">
        <w:rPr>
          <w:rStyle w:val="Hyperlink"/>
          <w:color w:val="auto"/>
          <w:u w:val="none"/>
        </w:rPr>
        <w:t xml:space="preserve">, the GMP clearance recording this information should be updated. Details for this process can be found in </w:t>
      </w:r>
      <w:hyperlink r:id="rId87" w:history="1">
        <w:r w:rsidRPr="00E74627">
          <w:rPr>
            <w:rStyle w:val="Hyperlink"/>
          </w:rPr>
          <w:t>GMP Clearance Guidance</w:t>
        </w:r>
      </w:hyperlink>
      <w:r w:rsidRPr="00A83EE4">
        <w:rPr>
          <w:rStyle w:val="Hyperlink"/>
          <w:color w:val="auto"/>
          <w:u w:val="none"/>
        </w:rPr>
        <w:t>.</w:t>
      </w:r>
    </w:p>
    <w:p w14:paraId="7DFB8ECB" w14:textId="77777777" w:rsidR="009C35B2" w:rsidRDefault="009C35B2" w:rsidP="009C35B2">
      <w:r>
        <w:t xml:space="preserve">Changes to licences to manufacture therapeutic goods (Australian sites only) are </w:t>
      </w:r>
      <w:r w:rsidR="00A83EE4">
        <w:t>arranged by the licence holder.</w:t>
      </w:r>
    </w:p>
    <w:p w14:paraId="36A1FD9A" w14:textId="77777777" w:rsidR="009C35B2" w:rsidRDefault="009C35B2" w:rsidP="009C35B2">
      <w:r>
        <w:t>Changes to GMP clearances and licences will be reflected in the ARTG entr</w:t>
      </w:r>
      <w:r w:rsidR="00A83EE4">
        <w:t>ies of products when approved.</w:t>
      </w:r>
    </w:p>
    <w:p w14:paraId="7F8AE085" w14:textId="77777777" w:rsidR="009C35B2" w:rsidRDefault="009C35B2" w:rsidP="009C35B2">
      <w:pPr>
        <w:ind w:left="360" w:hanging="360"/>
      </w:pPr>
      <w:r>
        <w:t>See also:</w:t>
      </w:r>
    </w:p>
    <w:p w14:paraId="0DD45DE2" w14:textId="77777777" w:rsidR="00575454" w:rsidRDefault="0057494E" w:rsidP="009C35B2">
      <w:pPr>
        <w:pStyle w:val="ListBullet"/>
        <w:numPr>
          <w:ilvl w:val="0"/>
          <w:numId w:val="20"/>
        </w:numPr>
      </w:pPr>
      <w:hyperlink r:id="rId88" w:history="1">
        <w:r w:rsidR="009C35B2">
          <w:rPr>
            <w:rStyle w:val="Hyperlink"/>
          </w:rPr>
          <w:t>Manufacturing medicines</w:t>
        </w:r>
      </w:hyperlink>
      <w:r w:rsidR="009C35B2">
        <w:t xml:space="preserve"> for more information.</w:t>
      </w:r>
    </w:p>
    <w:p w14:paraId="27225B7A" w14:textId="77777777" w:rsidR="00126299" w:rsidRDefault="00126299" w:rsidP="00126299">
      <w:pPr>
        <w:pStyle w:val="Heading3"/>
      </w:pPr>
      <w:bookmarkStart w:id="123" w:name="_Toc10202282"/>
      <w:r w:rsidRPr="000A24AF">
        <w:lastRenderedPageBreak/>
        <w:t>Mechanism to approve one-off changes to medicines</w:t>
      </w:r>
      <w:bookmarkEnd w:id="123"/>
    </w:p>
    <w:p w14:paraId="6C1C2FE2" w14:textId="77777777" w:rsidR="002C4068" w:rsidRDefault="002C4068" w:rsidP="002C4068">
      <w:r>
        <w:t>Supplying a medicine which does not comply with all relevant standards, or whose composition, specifications or presentation differs from that authorised by the TGA, is an offence under the Act. However circumstances may arise where the supply of a medicine is appropriate despite not fully complying with all relevant specifications.</w:t>
      </w:r>
    </w:p>
    <w:p w14:paraId="1065E5C5" w14:textId="77777777" w:rsidR="002C4068" w:rsidRDefault="002C4068" w:rsidP="002C4068">
      <w:r>
        <w:t>Where options such as reworking the batch is not possible and if the sponsor can demonstrate the quality, safety and efficacy of the product is not affected by the non-compliance, TGA may consider permitting the batch to be supplied.</w:t>
      </w:r>
    </w:p>
    <w:p w14:paraId="302C6300" w14:textId="77777777" w:rsidR="002C4068" w:rsidRDefault="002C4068" w:rsidP="002C4068">
      <w:r>
        <w:t xml:space="preserve">Where the non-compliance relates to a default standard (BP, EP or USP-NF), therapeutic goods order or other legislated standard, a sponsor may request </w:t>
      </w:r>
      <w:hyperlink r:id="rId89" w:history="1">
        <w:r w:rsidRPr="002C4068">
          <w:rPr>
            <w:rFonts w:eastAsia="Calibri" w:cs="Cambria"/>
            <w:color w:val="0000FF"/>
            <w:szCs w:val="22"/>
            <w:u w:val="single"/>
          </w:rPr>
          <w:t>consent to supply</w:t>
        </w:r>
      </w:hyperlink>
      <w:r>
        <w:t xml:space="preserve"> the non-conforming batch(es) from the TGA. This may include quality specifications imposed by the TGA where no specific monograph for the medicine exists, but a general monograph applies.</w:t>
      </w:r>
    </w:p>
    <w:p w14:paraId="31DEC5D3" w14:textId="77777777" w:rsidR="002C4068" w:rsidRDefault="002C4068" w:rsidP="002C4068">
      <w:r>
        <w:t xml:space="preserve">Where the non-compliance is not derived from a standard, but forms part of the medicine’s approval for supply, the sponsor should contact TGA via </w:t>
      </w:r>
      <w:hyperlink r:id="rId90" w:history="1">
        <w:r w:rsidRPr="002C4068">
          <w:rPr>
            <w:rFonts w:eastAsia="Calibri" w:cs="Cambria"/>
            <w:color w:val="0000FF"/>
            <w:szCs w:val="22"/>
            <w:u w:val="single"/>
          </w:rPr>
          <w:t>pcsinbox@health.gov.au</w:t>
        </w:r>
      </w:hyperlink>
      <w:r>
        <w:t xml:space="preserve"> to discuss an appropriate process and documentary requirements. The data required to be submitted will depend on the nature of the change, but will likely include evidence that the quality, safety and efficacy is not adversely affected and should include any relevant correspondence with TGA.</w:t>
      </w:r>
    </w:p>
    <w:p w14:paraId="4A580CCA" w14:textId="77777777" w:rsidR="00B95C3F" w:rsidRDefault="00135BF3" w:rsidP="00A83EE4">
      <w:pPr>
        <w:pStyle w:val="Heading2"/>
        <w:spacing w:before="0"/>
      </w:pPr>
      <w:bookmarkStart w:id="124" w:name="_Fees_for_minor"/>
      <w:bookmarkStart w:id="125" w:name="_Fees_for_variations"/>
      <w:bookmarkStart w:id="126" w:name="_Toc10202283"/>
      <w:bookmarkEnd w:id="124"/>
      <w:bookmarkEnd w:id="125"/>
      <w:r>
        <w:lastRenderedPageBreak/>
        <w:t xml:space="preserve">Fees for </w:t>
      </w:r>
      <w:r w:rsidR="00B95C3F" w:rsidRPr="00B95C3F">
        <w:t>variations</w:t>
      </w:r>
      <w:bookmarkEnd w:id="126"/>
    </w:p>
    <w:p w14:paraId="2EEF72C2" w14:textId="77777777" w:rsidR="00B95C3F" w:rsidRDefault="00B95C3F" w:rsidP="00B95C3F">
      <w:pPr>
        <w:spacing w:after="120"/>
      </w:pPr>
      <w:r>
        <w:t xml:space="preserve">Schedule 9 of the </w:t>
      </w:r>
      <w:r w:rsidRPr="001B30C0">
        <w:t>Therapeutic Goods Regulations 1990</w:t>
      </w:r>
      <w:r>
        <w:t xml:space="preserve"> (the ‘Regulations’) outlines the range of fees for services that the TGA provides, </w:t>
      </w:r>
      <w:r w:rsidR="00135BF3">
        <w:t xml:space="preserve">including fees for making </w:t>
      </w:r>
      <w:r>
        <w:t>variations to registered prescription medicines.</w:t>
      </w:r>
    </w:p>
    <w:p w14:paraId="331239FE" w14:textId="77777777" w:rsidR="00B95C3F" w:rsidRDefault="00B95C3F" w:rsidP="00B95C3F">
      <w:pPr>
        <w:spacing w:after="120"/>
      </w:pPr>
      <w:r>
        <w:t>These fees are subject to change from time to time. Refer to:</w:t>
      </w:r>
    </w:p>
    <w:p w14:paraId="5D47A3FB" w14:textId="77777777" w:rsidR="00B95C3F" w:rsidRDefault="0057494E" w:rsidP="00B95C3F">
      <w:pPr>
        <w:pStyle w:val="ListBullet"/>
      </w:pPr>
      <w:hyperlink r:id="rId91" w:history="1">
        <w:r w:rsidR="00B95C3F">
          <w:rPr>
            <w:rStyle w:val="Hyperlink"/>
          </w:rPr>
          <w:t>S</w:t>
        </w:r>
        <w:r w:rsidR="00B95C3F" w:rsidRPr="00656553">
          <w:rPr>
            <w:rStyle w:val="Hyperlink"/>
          </w:rPr>
          <w:t>chedule of fees and changes</w:t>
        </w:r>
      </w:hyperlink>
    </w:p>
    <w:p w14:paraId="206AC4CE" w14:textId="77777777" w:rsidR="00B95C3F" w:rsidRDefault="0057494E" w:rsidP="00B95C3F">
      <w:pPr>
        <w:pStyle w:val="ListBullet"/>
      </w:pPr>
      <w:hyperlink r:id="rId92" w:history="1">
        <w:r w:rsidR="00B95C3F" w:rsidRPr="00656553">
          <w:rPr>
            <w:rStyle w:val="Hyperlink"/>
          </w:rPr>
          <w:t>Payment options</w:t>
        </w:r>
      </w:hyperlink>
    </w:p>
    <w:p w14:paraId="3B0CC689" w14:textId="77777777" w:rsidR="00B95C3F" w:rsidRDefault="00B95C3F" w:rsidP="00B95C3F">
      <w:pPr>
        <w:spacing w:after="120"/>
      </w:pPr>
      <w:r w:rsidRPr="00656553">
        <w:t xml:space="preserve">The e-form will </w:t>
      </w:r>
      <w:r>
        <w:t xml:space="preserve">automatically </w:t>
      </w:r>
      <w:r w:rsidRPr="00656553">
        <w:t>generate an invoice when the variations are</w:t>
      </w:r>
      <w:r>
        <w:t xml:space="preserve"> submitted via the TBS portal. A single</w:t>
      </w:r>
      <w:r w:rsidRPr="00354802">
        <w:t xml:space="preserve"> invoice will be generated for </w:t>
      </w:r>
      <w:r>
        <w:t>all</w:t>
      </w:r>
      <w:r w:rsidRPr="00354802">
        <w:t xml:space="preserve"> variation types that fall under the same fee item.</w:t>
      </w:r>
    </w:p>
    <w:p w14:paraId="74295C58" w14:textId="77777777" w:rsidR="00B95C3F" w:rsidRDefault="00B95C3F" w:rsidP="00B95C3F">
      <w:pPr>
        <w:spacing w:after="120"/>
      </w:pPr>
      <w:r w:rsidRPr="00656553">
        <w:t>See table below for details.</w:t>
      </w:r>
    </w:p>
    <w:p w14:paraId="71C88F5B" w14:textId="77777777" w:rsidR="009C35B2" w:rsidRDefault="00501736" w:rsidP="00501736">
      <w:pPr>
        <w:pStyle w:val="Tabletitle"/>
      </w:pPr>
      <w:r w:rsidRPr="00501736">
        <w:t>Table: Rel</w:t>
      </w:r>
      <w:r w:rsidR="00135BF3">
        <w:t>evant submission types for</w:t>
      </w:r>
      <w:r w:rsidRPr="00501736">
        <w:t xml:space="preserve"> variations</w:t>
      </w:r>
    </w:p>
    <w:tbl>
      <w:tblPr>
        <w:tblStyle w:val="TableTGAblue"/>
        <w:tblW w:w="0" w:type="auto"/>
        <w:tblLook w:val="04A0" w:firstRow="1" w:lastRow="0" w:firstColumn="1" w:lastColumn="0" w:noHBand="0" w:noVBand="1"/>
      </w:tblPr>
      <w:tblGrid>
        <w:gridCol w:w="1522"/>
        <w:gridCol w:w="1265"/>
        <w:gridCol w:w="3014"/>
        <w:gridCol w:w="3249"/>
      </w:tblGrid>
      <w:tr w:rsidR="008A5FD9" w14:paraId="7FB038AE" w14:textId="77777777" w:rsidTr="008C331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14:paraId="36308BC6" w14:textId="77777777" w:rsidR="008A5FD9" w:rsidRDefault="008A5FD9" w:rsidP="00C66236">
            <w:r w:rsidRPr="008A5FD9">
              <w:t>Submission</w:t>
            </w:r>
            <w:r w:rsidRPr="008A5FD9">
              <w:rPr>
                <w:vertAlign w:val="superscript"/>
              </w:rPr>
              <w:t>1</w:t>
            </w:r>
          </w:p>
        </w:tc>
        <w:tc>
          <w:tcPr>
            <w:tcW w:w="1276" w:type="dxa"/>
          </w:tcPr>
          <w:p w14:paraId="7F6EEC30" w14:textId="77777777" w:rsidR="008A5FD9" w:rsidRDefault="008A5FD9" w:rsidP="00C66236">
            <w:pPr>
              <w:cnfStyle w:val="100000000000" w:firstRow="1" w:lastRow="0" w:firstColumn="0" w:lastColumn="0" w:oddVBand="0" w:evenVBand="0" w:oddHBand="0" w:evenHBand="0" w:firstRowFirstColumn="0" w:firstRowLastColumn="0" w:lastRowFirstColumn="0" w:lastRowLastColumn="0"/>
            </w:pPr>
            <w:r>
              <w:t>Part of Act</w:t>
            </w:r>
          </w:p>
        </w:tc>
        <w:tc>
          <w:tcPr>
            <w:tcW w:w="3118" w:type="dxa"/>
          </w:tcPr>
          <w:p w14:paraId="5D67F5A8" w14:textId="77777777" w:rsidR="008A5FD9" w:rsidRDefault="008A5FD9" w:rsidP="00C66236">
            <w:pPr>
              <w:cnfStyle w:val="100000000000" w:firstRow="1" w:lastRow="0" w:firstColumn="0" w:lastColumn="0" w:oddVBand="0" w:evenVBand="0" w:oddHBand="0" w:evenHBand="0" w:firstRowFirstColumn="0" w:firstRowLastColumn="0" w:lastRowFirstColumn="0" w:lastRowLastColumn="0"/>
            </w:pPr>
            <w:r>
              <w:t>Type of application</w:t>
            </w:r>
          </w:p>
        </w:tc>
        <w:tc>
          <w:tcPr>
            <w:tcW w:w="3366" w:type="dxa"/>
          </w:tcPr>
          <w:p w14:paraId="7848108F" w14:textId="77777777" w:rsidR="008A5FD9" w:rsidRDefault="008C3310" w:rsidP="00C66236">
            <w:pPr>
              <w:cnfStyle w:val="100000000000" w:firstRow="1" w:lastRow="0" w:firstColumn="0" w:lastColumn="0" w:oddVBand="0" w:evenVBand="0" w:oddHBand="0" w:evenHBand="0" w:firstRowFirstColumn="0" w:firstRowLastColumn="0" w:lastRowFirstColumn="0" w:lastRowLastColumn="0"/>
            </w:pPr>
            <w:r>
              <w:t>Level of TGA assessment</w:t>
            </w:r>
          </w:p>
        </w:tc>
      </w:tr>
      <w:tr w:rsidR="008C3310" w14:paraId="12110DF5" w14:textId="77777777" w:rsidTr="00831331">
        <w:tc>
          <w:tcPr>
            <w:cnfStyle w:val="001000000000" w:firstRow="0" w:lastRow="0" w:firstColumn="1" w:lastColumn="0" w:oddVBand="0" w:evenVBand="0" w:oddHBand="0" w:evenHBand="0" w:firstRowFirstColumn="0" w:firstRowLastColumn="0" w:lastRowFirstColumn="0" w:lastRowLastColumn="0"/>
            <w:tcW w:w="1526" w:type="dxa"/>
            <w:vMerge w:val="restart"/>
            <w:vAlign w:val="center"/>
          </w:tcPr>
          <w:p w14:paraId="267B596F" w14:textId="77777777" w:rsidR="008C3310" w:rsidRPr="008A5FD9" w:rsidRDefault="008C3310" w:rsidP="00831331">
            <w:r w:rsidRPr="008A5FD9">
              <w:t>2A(a)</w:t>
            </w:r>
          </w:p>
        </w:tc>
        <w:tc>
          <w:tcPr>
            <w:tcW w:w="1276" w:type="dxa"/>
            <w:vAlign w:val="center"/>
          </w:tcPr>
          <w:p w14:paraId="6522B24A" w14:textId="77777777" w:rsidR="008C3310" w:rsidRPr="008A5FD9" w:rsidRDefault="008C3310" w:rsidP="00831331">
            <w:pPr>
              <w:cnfStyle w:val="000000000000" w:firstRow="0" w:lastRow="0" w:firstColumn="0" w:lastColumn="0" w:oddVBand="0" w:evenVBand="0" w:oddHBand="0" w:evenHBand="0" w:firstRowFirstColumn="0" w:firstRowLastColumn="0" w:lastRowFirstColumn="0" w:lastRowLastColumn="0"/>
            </w:pPr>
            <w:r w:rsidRPr="008A5FD9">
              <w:t>s. 9D(1)</w:t>
            </w:r>
          </w:p>
        </w:tc>
        <w:tc>
          <w:tcPr>
            <w:tcW w:w="3118" w:type="dxa"/>
            <w:vAlign w:val="center"/>
          </w:tcPr>
          <w:p w14:paraId="7F1EBF35" w14:textId="77777777" w:rsidR="008C3310" w:rsidRPr="008A5FD9" w:rsidRDefault="0057494E" w:rsidP="00831331">
            <w:pPr>
              <w:cnfStyle w:val="000000000000" w:firstRow="0" w:lastRow="0" w:firstColumn="0" w:lastColumn="0" w:oddVBand="0" w:evenVBand="0" w:oddHBand="0" w:evenHBand="0" w:firstRowFirstColumn="0" w:firstRowLastColumn="0" w:lastRowFirstColumn="0" w:lastRowLastColumn="0"/>
            </w:pPr>
            <w:hyperlink w:anchor="_Corrections_to_an_1" w:history="1">
              <w:r w:rsidR="008C3310" w:rsidRPr="008A5FD9">
                <w:rPr>
                  <w:color w:val="0000FF"/>
                  <w:u w:val="single"/>
                </w:rPr>
                <w:t>Correction of an ARTG entry</w:t>
              </w:r>
            </w:hyperlink>
          </w:p>
        </w:tc>
        <w:tc>
          <w:tcPr>
            <w:tcW w:w="3366" w:type="dxa"/>
            <w:vMerge w:val="restart"/>
            <w:vAlign w:val="center"/>
          </w:tcPr>
          <w:p w14:paraId="599A5DE5" w14:textId="77777777" w:rsidR="008C3310" w:rsidRPr="008A5FD9" w:rsidRDefault="008C3310" w:rsidP="008C3310">
            <w:pPr>
              <w:cnfStyle w:val="000000000000" w:firstRow="0" w:lastRow="0" w:firstColumn="0" w:lastColumn="0" w:oddVBand="0" w:evenVBand="0" w:oddHBand="0" w:evenHBand="0" w:firstRowFirstColumn="0" w:firstRowLastColumn="0" w:lastRowFirstColumn="0" w:lastRowLastColumn="0"/>
            </w:pPr>
            <w:r w:rsidRPr="008A5FD9">
              <w:t>Verification of summary provided by sponsor</w:t>
            </w:r>
          </w:p>
        </w:tc>
      </w:tr>
      <w:tr w:rsidR="008C3310" w14:paraId="49EA2E0A" w14:textId="77777777" w:rsidTr="00831331">
        <w:tc>
          <w:tcPr>
            <w:cnfStyle w:val="001000000000" w:firstRow="0" w:lastRow="0" w:firstColumn="1" w:lastColumn="0" w:oddVBand="0" w:evenVBand="0" w:oddHBand="0" w:evenHBand="0" w:firstRowFirstColumn="0" w:firstRowLastColumn="0" w:lastRowFirstColumn="0" w:lastRowLastColumn="0"/>
            <w:tcW w:w="1526" w:type="dxa"/>
            <w:vMerge/>
            <w:vAlign w:val="center"/>
          </w:tcPr>
          <w:p w14:paraId="33513BD5" w14:textId="77777777" w:rsidR="008C3310" w:rsidRPr="008A5FD9" w:rsidRDefault="008C3310" w:rsidP="00831331"/>
        </w:tc>
        <w:tc>
          <w:tcPr>
            <w:tcW w:w="1276" w:type="dxa"/>
            <w:vAlign w:val="center"/>
          </w:tcPr>
          <w:p w14:paraId="4E712D53" w14:textId="77777777" w:rsidR="008C3310" w:rsidRPr="008A5FD9" w:rsidRDefault="008C3310" w:rsidP="00831331">
            <w:pPr>
              <w:cnfStyle w:val="000000000000" w:firstRow="0" w:lastRow="0" w:firstColumn="0" w:lastColumn="0" w:oddVBand="0" w:evenVBand="0" w:oddHBand="0" w:evenHBand="0" w:firstRowFirstColumn="0" w:firstRowLastColumn="0" w:lastRowFirstColumn="0" w:lastRowLastColumn="0"/>
              <w:rPr>
                <w:color w:val="auto"/>
              </w:rPr>
            </w:pPr>
            <w:r w:rsidRPr="008A5FD9">
              <w:t>s. 9D(2)</w:t>
            </w:r>
          </w:p>
        </w:tc>
        <w:tc>
          <w:tcPr>
            <w:tcW w:w="3118" w:type="dxa"/>
            <w:vAlign w:val="center"/>
          </w:tcPr>
          <w:p w14:paraId="66E4A5E9" w14:textId="77777777" w:rsidR="008C3310" w:rsidRPr="008A5FD9" w:rsidRDefault="0057494E" w:rsidP="00831331">
            <w:pPr>
              <w:cnfStyle w:val="000000000000" w:firstRow="0" w:lastRow="0" w:firstColumn="0" w:lastColumn="0" w:oddVBand="0" w:evenVBand="0" w:oddHBand="0" w:evenHBand="0" w:firstRowFirstColumn="0" w:firstRowLastColumn="0" w:lastRowFirstColumn="0" w:lastRowLastColumn="0"/>
            </w:pPr>
            <w:hyperlink w:anchor="_Safety-related_requests_(SRR)" w:history="1">
              <w:r w:rsidR="008C3310" w:rsidRPr="008A5FD9">
                <w:rPr>
                  <w:color w:val="0000FF"/>
                  <w:u w:val="single"/>
                </w:rPr>
                <w:t>Safety-related request (SRR)</w:t>
              </w:r>
            </w:hyperlink>
          </w:p>
        </w:tc>
        <w:tc>
          <w:tcPr>
            <w:tcW w:w="3366" w:type="dxa"/>
            <w:vMerge/>
            <w:vAlign w:val="center"/>
          </w:tcPr>
          <w:p w14:paraId="6CBDD6E6" w14:textId="77777777" w:rsidR="008C3310" w:rsidRPr="008A5FD9" w:rsidRDefault="008C3310" w:rsidP="00831331">
            <w:pPr>
              <w:cnfStyle w:val="000000000000" w:firstRow="0" w:lastRow="0" w:firstColumn="0" w:lastColumn="0" w:oddVBand="0" w:evenVBand="0" w:oddHBand="0" w:evenHBand="0" w:firstRowFirstColumn="0" w:firstRowLastColumn="0" w:lastRowFirstColumn="0" w:lastRowLastColumn="0"/>
            </w:pPr>
          </w:p>
        </w:tc>
      </w:tr>
      <w:tr w:rsidR="008C3310" w14:paraId="7561463D" w14:textId="77777777" w:rsidTr="00831331">
        <w:tc>
          <w:tcPr>
            <w:cnfStyle w:val="001000000000" w:firstRow="0" w:lastRow="0" w:firstColumn="1" w:lastColumn="0" w:oddVBand="0" w:evenVBand="0" w:oddHBand="0" w:evenHBand="0" w:firstRowFirstColumn="0" w:firstRowLastColumn="0" w:lastRowFirstColumn="0" w:lastRowLastColumn="0"/>
            <w:tcW w:w="1526" w:type="dxa"/>
            <w:vMerge/>
            <w:vAlign w:val="center"/>
          </w:tcPr>
          <w:p w14:paraId="37F51278" w14:textId="77777777" w:rsidR="008C3310" w:rsidRPr="008A5FD9" w:rsidRDefault="008C3310" w:rsidP="00831331"/>
        </w:tc>
        <w:tc>
          <w:tcPr>
            <w:tcW w:w="1276" w:type="dxa"/>
            <w:vAlign w:val="center"/>
          </w:tcPr>
          <w:p w14:paraId="4FD26175" w14:textId="77777777" w:rsidR="008C3310" w:rsidRPr="008A5FD9" w:rsidRDefault="008C3310" w:rsidP="00831331">
            <w:pPr>
              <w:cnfStyle w:val="000000000000" w:firstRow="0" w:lastRow="0" w:firstColumn="0" w:lastColumn="0" w:oddVBand="0" w:evenVBand="0" w:oddHBand="0" w:evenHBand="0" w:firstRowFirstColumn="0" w:firstRowLastColumn="0" w:lastRowFirstColumn="0" w:lastRowLastColumn="0"/>
            </w:pPr>
            <w:r w:rsidRPr="008A5FD9">
              <w:t>s. 9D(3)</w:t>
            </w:r>
          </w:p>
        </w:tc>
        <w:tc>
          <w:tcPr>
            <w:tcW w:w="3118" w:type="dxa"/>
            <w:vAlign w:val="center"/>
          </w:tcPr>
          <w:p w14:paraId="54F19381" w14:textId="77777777" w:rsidR="008C3310" w:rsidRPr="008A5FD9" w:rsidRDefault="0057494E" w:rsidP="00831331">
            <w:pPr>
              <w:cnfStyle w:val="000000000000" w:firstRow="0" w:lastRow="0" w:firstColumn="0" w:lastColumn="0" w:oddVBand="0" w:evenVBand="0" w:oddHBand="0" w:evenHBand="0" w:firstRowFirstColumn="0" w:firstRowLastColumn="0" w:lastRowFirstColumn="0" w:lastRowLastColumn="0"/>
            </w:pPr>
            <w:hyperlink w:anchor="_Self-assessable_requests_(SARs)" w:history="1">
              <w:r w:rsidR="008C3310" w:rsidRPr="008A5FD9">
                <w:rPr>
                  <w:color w:val="0000FF"/>
                  <w:u w:val="single"/>
                </w:rPr>
                <w:t>Self-assessable request (SAR)</w:t>
              </w:r>
            </w:hyperlink>
            <w:r w:rsidR="008C3310" w:rsidRPr="008A5FD9">
              <w:rPr>
                <w:color w:val="0000FF"/>
                <w:u w:val="single"/>
              </w:rPr>
              <w:t xml:space="preserve"> </w:t>
            </w:r>
            <w:r w:rsidR="008C3310" w:rsidRPr="00D269FC">
              <w:t xml:space="preserve">and </w:t>
            </w:r>
            <w:hyperlink w:anchor="_Minor_editorial_changes" w:history="1">
              <w:r w:rsidR="008C3310" w:rsidRPr="00D269FC">
                <w:rPr>
                  <w:rStyle w:val="Hyperlink"/>
                </w:rPr>
                <w:t>Minor editorial change (MEC)</w:t>
              </w:r>
            </w:hyperlink>
          </w:p>
        </w:tc>
        <w:tc>
          <w:tcPr>
            <w:tcW w:w="3366" w:type="dxa"/>
            <w:vMerge/>
            <w:vAlign w:val="center"/>
          </w:tcPr>
          <w:p w14:paraId="52B49913" w14:textId="77777777" w:rsidR="008C3310" w:rsidRPr="008A5FD9" w:rsidRDefault="008C3310" w:rsidP="00831331">
            <w:pPr>
              <w:cnfStyle w:val="000000000000" w:firstRow="0" w:lastRow="0" w:firstColumn="0" w:lastColumn="0" w:oddVBand="0" w:evenVBand="0" w:oddHBand="0" w:evenHBand="0" w:firstRowFirstColumn="0" w:firstRowLastColumn="0" w:lastRowFirstColumn="0" w:lastRowLastColumn="0"/>
            </w:pPr>
          </w:p>
        </w:tc>
      </w:tr>
      <w:tr w:rsidR="008C3310" w14:paraId="58E00DEC" w14:textId="77777777" w:rsidTr="00831331">
        <w:tc>
          <w:tcPr>
            <w:cnfStyle w:val="001000000000" w:firstRow="0" w:lastRow="0" w:firstColumn="1" w:lastColumn="0" w:oddVBand="0" w:evenVBand="0" w:oddHBand="0" w:evenHBand="0" w:firstRowFirstColumn="0" w:firstRowLastColumn="0" w:lastRowFirstColumn="0" w:lastRowLastColumn="0"/>
            <w:tcW w:w="1526" w:type="dxa"/>
            <w:vAlign w:val="center"/>
          </w:tcPr>
          <w:p w14:paraId="2FD09848" w14:textId="77777777" w:rsidR="008C3310" w:rsidRPr="008A5FD9" w:rsidRDefault="008C3310" w:rsidP="00831331">
            <w:r w:rsidRPr="008A5FD9">
              <w:t>2AD(a)</w:t>
            </w:r>
          </w:p>
        </w:tc>
        <w:tc>
          <w:tcPr>
            <w:tcW w:w="1276" w:type="dxa"/>
            <w:vAlign w:val="center"/>
          </w:tcPr>
          <w:p w14:paraId="706EE163" w14:textId="77777777" w:rsidR="008C3310" w:rsidRPr="008A5FD9" w:rsidRDefault="008C3310" w:rsidP="00831331">
            <w:pPr>
              <w:cnfStyle w:val="000000000000" w:firstRow="0" w:lastRow="0" w:firstColumn="0" w:lastColumn="0" w:oddVBand="0" w:evenVBand="0" w:oddHBand="0" w:evenHBand="0" w:firstRowFirstColumn="0" w:firstRowLastColumn="0" w:lastRowFirstColumn="0" w:lastRowLastColumn="0"/>
            </w:pPr>
            <w:r w:rsidRPr="008A5FD9">
              <w:t>s. 9D(2C)</w:t>
            </w:r>
          </w:p>
        </w:tc>
        <w:tc>
          <w:tcPr>
            <w:tcW w:w="3118" w:type="dxa"/>
            <w:vAlign w:val="center"/>
          </w:tcPr>
          <w:p w14:paraId="68C98DFF" w14:textId="77777777" w:rsidR="008C3310" w:rsidRPr="008A5FD9" w:rsidRDefault="0057494E" w:rsidP="00831331">
            <w:pPr>
              <w:cnfStyle w:val="000000000000" w:firstRow="0" w:lastRow="0" w:firstColumn="0" w:lastColumn="0" w:oddVBand="0" w:evenVBand="0" w:oddHBand="0" w:evenHBand="0" w:firstRowFirstColumn="0" w:firstRowLastColumn="0" w:lastRowFirstColumn="0" w:lastRowLastColumn="0"/>
            </w:pPr>
            <w:hyperlink w:anchor="_Notifications" w:history="1">
              <w:r w:rsidR="008C3310" w:rsidRPr="00072742">
                <w:rPr>
                  <w:rStyle w:val="Hyperlink"/>
                </w:rPr>
                <w:t>Notification</w:t>
              </w:r>
            </w:hyperlink>
          </w:p>
        </w:tc>
        <w:tc>
          <w:tcPr>
            <w:tcW w:w="3366" w:type="dxa"/>
            <w:vAlign w:val="center"/>
          </w:tcPr>
          <w:p w14:paraId="1759535E" w14:textId="77777777" w:rsidR="008C3310" w:rsidRPr="008A5FD9" w:rsidRDefault="008C3310" w:rsidP="008C3310">
            <w:pPr>
              <w:cnfStyle w:val="000000000000" w:firstRow="0" w:lastRow="0" w:firstColumn="0" w:lastColumn="0" w:oddVBand="0" w:evenVBand="0" w:oddHBand="0" w:evenHBand="0" w:firstRowFirstColumn="0" w:firstRowLastColumn="0" w:lastRowFirstColumn="0" w:lastRowLastColumn="0"/>
            </w:pPr>
            <w:r w:rsidRPr="008A5FD9">
              <w:t>No assessment</w:t>
            </w:r>
          </w:p>
        </w:tc>
      </w:tr>
      <w:tr w:rsidR="008C3310" w14:paraId="5A53698C" w14:textId="77777777" w:rsidTr="00831331">
        <w:tc>
          <w:tcPr>
            <w:cnfStyle w:val="001000000000" w:firstRow="0" w:lastRow="0" w:firstColumn="1" w:lastColumn="0" w:oddVBand="0" w:evenVBand="0" w:oddHBand="0" w:evenHBand="0" w:firstRowFirstColumn="0" w:firstRowLastColumn="0" w:lastRowFirstColumn="0" w:lastRowLastColumn="0"/>
            <w:tcW w:w="1526" w:type="dxa"/>
            <w:vAlign w:val="center"/>
          </w:tcPr>
          <w:p w14:paraId="2682E93B" w14:textId="77777777" w:rsidR="008C3310" w:rsidRPr="008A5FD9" w:rsidRDefault="008C3310" w:rsidP="00831331">
            <w:r w:rsidRPr="008A5FD9">
              <w:t>2CA</w:t>
            </w:r>
          </w:p>
        </w:tc>
        <w:tc>
          <w:tcPr>
            <w:tcW w:w="1276" w:type="dxa"/>
            <w:vAlign w:val="center"/>
          </w:tcPr>
          <w:p w14:paraId="073A55C0" w14:textId="77777777" w:rsidR="008C3310" w:rsidRPr="008A5FD9" w:rsidRDefault="008C3310" w:rsidP="00831331">
            <w:pPr>
              <w:cnfStyle w:val="000000000000" w:firstRow="0" w:lastRow="0" w:firstColumn="0" w:lastColumn="0" w:oddVBand="0" w:evenVBand="0" w:oddHBand="0" w:evenHBand="0" w:firstRowFirstColumn="0" w:firstRowLastColumn="0" w:lastRowFirstColumn="0" w:lastRowLastColumn="0"/>
            </w:pPr>
            <w:r w:rsidRPr="008A5FD9">
              <w:t>s. 9D(2)</w:t>
            </w:r>
          </w:p>
        </w:tc>
        <w:tc>
          <w:tcPr>
            <w:tcW w:w="3118" w:type="dxa"/>
            <w:vAlign w:val="center"/>
          </w:tcPr>
          <w:p w14:paraId="63F86E01" w14:textId="77777777" w:rsidR="008C3310" w:rsidRPr="008A5FD9" w:rsidRDefault="0057494E" w:rsidP="00831331">
            <w:pPr>
              <w:cnfStyle w:val="000000000000" w:firstRow="0" w:lastRow="0" w:firstColumn="0" w:lastColumn="0" w:oddVBand="0" w:evenVBand="0" w:oddHBand="0" w:evenHBand="0" w:firstRowFirstColumn="0" w:firstRowLastColumn="0" w:lastRowFirstColumn="0" w:lastRowLastColumn="0"/>
            </w:pPr>
            <w:hyperlink w:anchor="_SRRs_requiring_evaluation" w:history="1">
              <w:r w:rsidR="008C3310" w:rsidRPr="008A5FD9">
                <w:rPr>
                  <w:color w:val="0000FF"/>
                  <w:u w:val="single"/>
                </w:rPr>
                <w:t>Safety-related request (SRR) with data</w:t>
              </w:r>
            </w:hyperlink>
          </w:p>
        </w:tc>
        <w:tc>
          <w:tcPr>
            <w:tcW w:w="3366" w:type="dxa"/>
            <w:vAlign w:val="center"/>
          </w:tcPr>
          <w:p w14:paraId="4CA1129A" w14:textId="77777777" w:rsidR="008C3310" w:rsidRPr="008A5FD9" w:rsidRDefault="008C3310" w:rsidP="00831331">
            <w:pPr>
              <w:cnfStyle w:val="000000000000" w:firstRow="0" w:lastRow="0" w:firstColumn="0" w:lastColumn="0" w:oddVBand="0" w:evenVBand="0" w:oddHBand="0" w:evenHBand="0" w:firstRowFirstColumn="0" w:firstRowLastColumn="0" w:lastRowFirstColumn="0" w:lastRowLastColumn="0"/>
            </w:pPr>
            <w:r w:rsidRPr="008A5FD9">
              <w:t>Evaluation of (usually clinical) data</w:t>
            </w:r>
          </w:p>
        </w:tc>
      </w:tr>
      <w:tr w:rsidR="008C3310" w14:paraId="0051CDDE" w14:textId="77777777" w:rsidTr="00831331">
        <w:tc>
          <w:tcPr>
            <w:cnfStyle w:val="001000000000" w:firstRow="0" w:lastRow="0" w:firstColumn="1" w:lastColumn="0" w:oddVBand="0" w:evenVBand="0" w:oddHBand="0" w:evenHBand="0" w:firstRowFirstColumn="0" w:firstRowLastColumn="0" w:lastRowFirstColumn="0" w:lastRowLastColumn="0"/>
            <w:tcW w:w="1526" w:type="dxa"/>
            <w:vAlign w:val="center"/>
          </w:tcPr>
          <w:p w14:paraId="4D050443" w14:textId="77777777" w:rsidR="008C3310" w:rsidRPr="008A5FD9" w:rsidRDefault="008C3310" w:rsidP="00831331">
            <w:r w:rsidRPr="008A5FD9">
              <w:t>2B</w:t>
            </w:r>
          </w:p>
        </w:tc>
        <w:tc>
          <w:tcPr>
            <w:tcW w:w="1276" w:type="dxa"/>
            <w:vAlign w:val="center"/>
          </w:tcPr>
          <w:p w14:paraId="54816777" w14:textId="77777777" w:rsidR="008C3310" w:rsidRPr="008A5FD9" w:rsidRDefault="008C3310" w:rsidP="00831331">
            <w:pPr>
              <w:cnfStyle w:val="000000000000" w:firstRow="0" w:lastRow="0" w:firstColumn="0" w:lastColumn="0" w:oddVBand="0" w:evenVBand="0" w:oddHBand="0" w:evenHBand="0" w:firstRowFirstColumn="0" w:firstRowLastColumn="0" w:lastRowFirstColumn="0" w:lastRowLastColumn="0"/>
            </w:pPr>
            <w:r w:rsidRPr="008A5FD9">
              <w:t>s. 9D(3)</w:t>
            </w:r>
          </w:p>
        </w:tc>
        <w:tc>
          <w:tcPr>
            <w:tcW w:w="3118" w:type="dxa"/>
            <w:vAlign w:val="center"/>
          </w:tcPr>
          <w:p w14:paraId="036B1401" w14:textId="77777777" w:rsidR="008C3310" w:rsidRPr="008A5FD9" w:rsidRDefault="0057494E" w:rsidP="00831331">
            <w:pPr>
              <w:cnfStyle w:val="000000000000" w:firstRow="0" w:lastRow="0" w:firstColumn="0" w:lastColumn="0" w:oddVBand="0" w:evenVBand="0" w:oddHBand="0" w:evenHBand="0" w:firstRowFirstColumn="0" w:firstRowLastColumn="0" w:lastRowFirstColumn="0" w:lastRowLastColumn="0"/>
            </w:pPr>
            <w:hyperlink w:anchor="_Category_3_requests" w:history="1">
              <w:r w:rsidR="008C3310" w:rsidRPr="008A5FD9">
                <w:rPr>
                  <w:color w:val="0000FF"/>
                  <w:u w:val="single"/>
                </w:rPr>
                <w:t>Category 3 request</w:t>
              </w:r>
            </w:hyperlink>
          </w:p>
        </w:tc>
        <w:tc>
          <w:tcPr>
            <w:tcW w:w="3366" w:type="dxa"/>
            <w:vAlign w:val="center"/>
          </w:tcPr>
          <w:p w14:paraId="3DEB20B0" w14:textId="77777777" w:rsidR="008C3310" w:rsidRPr="008A5FD9" w:rsidRDefault="008C3310" w:rsidP="00831331">
            <w:pPr>
              <w:cnfStyle w:val="000000000000" w:firstRow="0" w:lastRow="0" w:firstColumn="0" w:lastColumn="0" w:oddVBand="0" w:evenVBand="0" w:oddHBand="0" w:evenHBand="0" w:firstRowFirstColumn="0" w:firstRowLastColumn="0" w:lastRowFirstColumn="0" w:lastRowLastColumn="0"/>
            </w:pPr>
            <w:r w:rsidRPr="008A5FD9">
              <w:t>Evaluation of quality data</w:t>
            </w:r>
          </w:p>
        </w:tc>
      </w:tr>
      <w:tr w:rsidR="008C3310" w14:paraId="0E9E931F" w14:textId="77777777" w:rsidTr="00831331">
        <w:tc>
          <w:tcPr>
            <w:cnfStyle w:val="001000000000" w:firstRow="0" w:lastRow="0" w:firstColumn="1" w:lastColumn="0" w:oddVBand="0" w:evenVBand="0" w:oddHBand="0" w:evenHBand="0" w:firstRowFirstColumn="0" w:firstRowLastColumn="0" w:lastRowFirstColumn="0" w:lastRowLastColumn="0"/>
            <w:tcW w:w="1526" w:type="dxa"/>
            <w:vAlign w:val="center"/>
          </w:tcPr>
          <w:p w14:paraId="5D536D87" w14:textId="77777777" w:rsidR="008C3310" w:rsidRPr="008A5FD9" w:rsidRDefault="008C3310" w:rsidP="00831331">
            <w:r w:rsidRPr="008A5FD9">
              <w:t>2(a)</w:t>
            </w:r>
            <w:r w:rsidRPr="008A5FD9">
              <w:rPr>
                <w:vertAlign w:val="superscript"/>
              </w:rPr>
              <w:t>2</w:t>
            </w:r>
          </w:p>
        </w:tc>
        <w:tc>
          <w:tcPr>
            <w:tcW w:w="1276" w:type="dxa"/>
            <w:vAlign w:val="center"/>
          </w:tcPr>
          <w:p w14:paraId="649DB081" w14:textId="77777777" w:rsidR="008C3310" w:rsidRPr="008A5FD9" w:rsidRDefault="008C3310" w:rsidP="00831331">
            <w:pPr>
              <w:cnfStyle w:val="000000000000" w:firstRow="0" w:lastRow="0" w:firstColumn="0" w:lastColumn="0" w:oddVBand="0" w:evenVBand="0" w:oddHBand="0" w:evenHBand="0" w:firstRowFirstColumn="0" w:firstRowLastColumn="0" w:lastRowFirstColumn="0" w:lastRowLastColumn="0"/>
            </w:pPr>
            <w:r w:rsidRPr="008A5FD9">
              <w:t>s. 23</w:t>
            </w:r>
          </w:p>
        </w:tc>
        <w:tc>
          <w:tcPr>
            <w:tcW w:w="3118" w:type="dxa"/>
            <w:vAlign w:val="center"/>
          </w:tcPr>
          <w:p w14:paraId="108932A3" w14:textId="77777777" w:rsidR="008C3310" w:rsidRPr="008A5FD9" w:rsidRDefault="0057494E" w:rsidP="00831331">
            <w:pPr>
              <w:cnfStyle w:val="000000000000" w:firstRow="0" w:lastRow="0" w:firstColumn="0" w:lastColumn="0" w:oddVBand="0" w:evenVBand="0" w:oddHBand="0" w:evenHBand="0" w:firstRowFirstColumn="0" w:firstRowLastColumn="0" w:lastRowFirstColumn="0" w:lastRowLastColumn="0"/>
              <w:rPr>
                <w:color w:val="auto"/>
              </w:rPr>
            </w:pPr>
            <w:hyperlink w:anchor="_Self-assessable_requests_(SARs)_1" w:history="1">
              <w:r w:rsidR="008C3310" w:rsidRPr="008A5FD9">
                <w:rPr>
                  <w:color w:val="0000FF"/>
                  <w:u w:val="single"/>
                </w:rPr>
                <w:t>SAR (that creates a separate and distinct good)</w:t>
              </w:r>
            </w:hyperlink>
          </w:p>
        </w:tc>
        <w:tc>
          <w:tcPr>
            <w:tcW w:w="3366" w:type="dxa"/>
            <w:vAlign w:val="center"/>
          </w:tcPr>
          <w:p w14:paraId="7A684EA9" w14:textId="77777777" w:rsidR="008C3310" w:rsidRPr="008A5FD9" w:rsidRDefault="008C3310" w:rsidP="00831331">
            <w:pPr>
              <w:cnfStyle w:val="000000000000" w:firstRow="0" w:lastRow="0" w:firstColumn="0" w:lastColumn="0" w:oddVBand="0" w:evenVBand="0" w:oddHBand="0" w:evenHBand="0" w:firstRowFirstColumn="0" w:firstRowLastColumn="0" w:lastRowFirstColumn="0" w:lastRowLastColumn="0"/>
            </w:pPr>
            <w:r w:rsidRPr="008A5FD9">
              <w:t>Verification of summary provided by sponsor</w:t>
            </w:r>
          </w:p>
        </w:tc>
      </w:tr>
      <w:tr w:rsidR="008C3310" w14:paraId="152096DF" w14:textId="77777777" w:rsidTr="00831331">
        <w:tc>
          <w:tcPr>
            <w:cnfStyle w:val="001000000000" w:firstRow="0" w:lastRow="0" w:firstColumn="1" w:lastColumn="0" w:oddVBand="0" w:evenVBand="0" w:oddHBand="0" w:evenHBand="0" w:firstRowFirstColumn="0" w:firstRowLastColumn="0" w:lastRowFirstColumn="0" w:lastRowLastColumn="0"/>
            <w:tcW w:w="1526" w:type="dxa"/>
            <w:vAlign w:val="center"/>
          </w:tcPr>
          <w:p w14:paraId="747ECB20" w14:textId="77777777" w:rsidR="008C3310" w:rsidRPr="008A5FD9" w:rsidRDefault="008C3310" w:rsidP="00831331">
            <w:r w:rsidRPr="008A5FD9">
              <w:t>2(bj) and 4(h)</w:t>
            </w:r>
          </w:p>
        </w:tc>
        <w:tc>
          <w:tcPr>
            <w:tcW w:w="1276" w:type="dxa"/>
            <w:vAlign w:val="center"/>
          </w:tcPr>
          <w:p w14:paraId="3F4373AD" w14:textId="77777777" w:rsidR="008C3310" w:rsidRPr="008A5FD9" w:rsidRDefault="008C3310" w:rsidP="00831331">
            <w:pPr>
              <w:cnfStyle w:val="000000000000" w:firstRow="0" w:lastRow="0" w:firstColumn="0" w:lastColumn="0" w:oddVBand="0" w:evenVBand="0" w:oddHBand="0" w:evenHBand="0" w:firstRowFirstColumn="0" w:firstRowLastColumn="0" w:lastRowFirstColumn="0" w:lastRowLastColumn="0"/>
            </w:pPr>
            <w:r w:rsidRPr="008A5FD9">
              <w:t>s. 23</w:t>
            </w:r>
          </w:p>
        </w:tc>
        <w:tc>
          <w:tcPr>
            <w:tcW w:w="3118" w:type="dxa"/>
            <w:vAlign w:val="center"/>
          </w:tcPr>
          <w:p w14:paraId="19B980CD" w14:textId="77777777" w:rsidR="008C3310" w:rsidRPr="008A5FD9" w:rsidRDefault="0057494E" w:rsidP="00831331">
            <w:pPr>
              <w:cnfStyle w:val="000000000000" w:firstRow="0" w:lastRow="0" w:firstColumn="0" w:lastColumn="0" w:oddVBand="0" w:evenVBand="0" w:oddHBand="0" w:evenHBand="0" w:firstRowFirstColumn="0" w:firstRowLastColumn="0" w:lastRowFirstColumn="0" w:lastRowLastColumn="0"/>
            </w:pPr>
            <w:hyperlink w:anchor="_Category_3_requests_1" w:history="1">
              <w:r w:rsidR="008C3310" w:rsidRPr="008A5FD9">
                <w:rPr>
                  <w:color w:val="0000FF"/>
                  <w:u w:val="single"/>
                </w:rPr>
                <w:t>Category 3 request (that creates a separate and distinct good)</w:t>
              </w:r>
            </w:hyperlink>
          </w:p>
        </w:tc>
        <w:tc>
          <w:tcPr>
            <w:tcW w:w="3366" w:type="dxa"/>
            <w:vAlign w:val="center"/>
          </w:tcPr>
          <w:p w14:paraId="7C8F00DA" w14:textId="77777777" w:rsidR="008C3310" w:rsidRPr="008A5FD9" w:rsidRDefault="008C3310" w:rsidP="00831331">
            <w:pPr>
              <w:cnfStyle w:val="000000000000" w:firstRow="0" w:lastRow="0" w:firstColumn="0" w:lastColumn="0" w:oddVBand="0" w:evenVBand="0" w:oddHBand="0" w:evenHBand="0" w:firstRowFirstColumn="0" w:firstRowLastColumn="0" w:lastRowFirstColumn="0" w:lastRowLastColumn="0"/>
            </w:pPr>
            <w:r w:rsidRPr="008A5FD9">
              <w:t>Evaluation of quality data</w:t>
            </w:r>
          </w:p>
        </w:tc>
      </w:tr>
    </w:tbl>
    <w:p w14:paraId="1E489D3D" w14:textId="77777777" w:rsidR="00A94571" w:rsidRPr="006B4049" w:rsidRDefault="00A94571" w:rsidP="00CF2D45">
      <w:pPr>
        <w:pStyle w:val="FootnoteText"/>
      </w:pPr>
      <w:r w:rsidRPr="006B4049">
        <w:rPr>
          <w:vertAlign w:val="superscript"/>
        </w:rPr>
        <w:t>1</w:t>
      </w:r>
      <w:r w:rsidRPr="006B4049">
        <w:t>The numbers listed correspond to the relevant item number in Schedule 9 of the Regulations.</w:t>
      </w:r>
    </w:p>
    <w:p w14:paraId="62C4F7C9" w14:textId="77777777" w:rsidR="00A94571" w:rsidRPr="006B4049" w:rsidRDefault="00A94571" w:rsidP="00CF2D45">
      <w:pPr>
        <w:pStyle w:val="FootnoteText"/>
      </w:pPr>
      <w:r w:rsidRPr="006B4049">
        <w:rPr>
          <w:vertAlign w:val="superscript"/>
        </w:rPr>
        <w:t>2</w:t>
      </w:r>
      <w:r w:rsidRPr="006B4049">
        <w:t>Included for completeness. This application type is not listed as a kind considered to be a submission in Part 1 of Schedule 9 of the Regulations.</w:t>
      </w:r>
    </w:p>
    <w:p w14:paraId="3962D6ED" w14:textId="77777777" w:rsidR="006B4049" w:rsidRPr="006B4049" w:rsidRDefault="006B4049" w:rsidP="006B4049">
      <w:r w:rsidRPr="006B4049">
        <w:t>The concept of a submission is only relevant for the purposes of calculating the fees payable, reflecting the fact that it is easier for the TGA to process more than one very similar type of application or request at the same time than if they were received separately.</w:t>
      </w:r>
    </w:p>
    <w:p w14:paraId="1FDC1412" w14:textId="77777777" w:rsidR="006B4049" w:rsidRPr="006B4049" w:rsidRDefault="006B4049" w:rsidP="006B4049">
      <w:r w:rsidRPr="006B4049">
        <w:t>As an example, a sponsor may wish to change the shelf life of a prescription medicine that is sold in three different strengths (and therefore has three separate ARTG entries). The TGA evaluation of these requests will be very similar, if not identical, for each ARTG entry. A sponsor can submit all three requests to the TGA as Category 3 applications at the same time, and will only pay one fee under item 2B of Schedule 9 of the Regulations.</w:t>
      </w:r>
    </w:p>
    <w:p w14:paraId="58FAC570" w14:textId="77777777" w:rsidR="006B4049" w:rsidRPr="006B4049" w:rsidRDefault="006B4049" w:rsidP="006B4049">
      <w:r w:rsidRPr="006B4049">
        <w:lastRenderedPageBreak/>
        <w:t>In cases where all entries contain the same active ingredient(s), corrections to ARTG entries, safety-related requests (SRRs) and self-assessable requests (SARs) that do not require TGA evaluation of data can be lodged as a single submission for the purposes of calculating fees payable.</w:t>
      </w:r>
    </w:p>
    <w:p w14:paraId="27753DCB" w14:textId="77777777" w:rsidR="008A5FD9" w:rsidRDefault="006B4049" w:rsidP="00614A46">
      <w:pPr>
        <w:pStyle w:val="Heading2"/>
        <w:spacing w:before="0"/>
      </w:pPr>
      <w:bookmarkStart w:id="127" w:name="_Processing_and_approvals"/>
      <w:bookmarkStart w:id="128" w:name="_Toc5089280"/>
      <w:bookmarkStart w:id="129" w:name="_Toc10202284"/>
      <w:bookmarkEnd w:id="127"/>
      <w:r w:rsidRPr="006B4049">
        <w:lastRenderedPageBreak/>
        <w:t>Processing and approvals</w:t>
      </w:r>
      <w:bookmarkEnd w:id="128"/>
      <w:bookmarkEnd w:id="129"/>
    </w:p>
    <w:p w14:paraId="57D061FF" w14:textId="77777777" w:rsidR="006B4049" w:rsidRDefault="006B4049" w:rsidP="006B4049">
      <w:r>
        <w:t>If all the requirements for the variation to an ARTG entry have been met, including payment of the appropriate fee, the request is referred to the relevant TGA evaluation area for assessment.</w:t>
      </w:r>
    </w:p>
    <w:p w14:paraId="704C57E3" w14:textId="77777777" w:rsidR="006B4049" w:rsidRDefault="006B4049" w:rsidP="006B4049">
      <w:r w:rsidRPr="00B27D57">
        <w:t xml:space="preserve">If a requirement </w:t>
      </w:r>
      <w:r>
        <w:t>has</w:t>
      </w:r>
      <w:r w:rsidRPr="00B27D57">
        <w:t xml:space="preserve"> not </w:t>
      </w:r>
      <w:r>
        <w:t xml:space="preserve">been </w:t>
      </w:r>
      <w:r w:rsidRPr="00B27D57">
        <w:t xml:space="preserve">met </w:t>
      </w:r>
      <w:r>
        <w:t>(for example,</w:t>
      </w:r>
      <w:r w:rsidRPr="00B27D57">
        <w:t xml:space="preserve"> </w:t>
      </w:r>
      <w:r>
        <w:t xml:space="preserve">the sponsor has not included </w:t>
      </w:r>
      <w:r w:rsidRPr="00B27D57">
        <w:t xml:space="preserve">a </w:t>
      </w:r>
      <w:hyperlink w:anchor="_Changes_to_the" w:history="1">
        <w:r w:rsidRPr="00C27F67">
          <w:rPr>
            <w:rStyle w:val="Hyperlink"/>
          </w:rPr>
          <w:t>correctly marked-up copy</w:t>
        </w:r>
      </w:hyperlink>
      <w:r w:rsidRPr="00B27D57">
        <w:t xml:space="preserve"> of the proposed new PI</w:t>
      </w:r>
      <w:r>
        <w:t>)</w:t>
      </w:r>
      <w:r w:rsidRPr="00B27D57">
        <w:t xml:space="preserve">, the sponsor will be asked to submit the required information </w:t>
      </w:r>
      <w:r>
        <w:t>before the request can be processed</w:t>
      </w:r>
      <w:r w:rsidRPr="00B27D57">
        <w:t>.</w:t>
      </w:r>
    </w:p>
    <w:p w14:paraId="3BD4A104" w14:textId="77777777" w:rsidR="006B4049" w:rsidRDefault="006B4049" w:rsidP="006B4049">
      <w:r w:rsidRPr="00D01044">
        <w:t>The TGA will only review those variations that are described in the application. Any new information will only be a</w:t>
      </w:r>
      <w:r>
        <w:t>ccepted if the TGA requests it</w:t>
      </w:r>
      <w:r w:rsidRPr="00D01044">
        <w:t xml:space="preserve"> as part of the review process, except under justifiable extenuating circumstances. Any other ongoing regulatory activity, such as a change in sponsorship, is usually considered independently of variations.</w:t>
      </w:r>
    </w:p>
    <w:p w14:paraId="6731F28A" w14:textId="77777777" w:rsidR="008A5FD9" w:rsidRDefault="006B4049" w:rsidP="006B4049">
      <w:pPr>
        <w:pStyle w:val="Heading3"/>
      </w:pPr>
      <w:bookmarkStart w:id="130" w:name="_Toc5089281"/>
      <w:bookmarkStart w:id="131" w:name="_Toc10202285"/>
      <w:r w:rsidRPr="006B4049">
        <w:t xml:space="preserve">Variations with a </w:t>
      </w:r>
      <w:hyperlink w:anchor="_Statutory_timeframes" w:history="1">
        <w:r w:rsidRPr="006B4049">
          <w:rPr>
            <w:rStyle w:val="Hyperlink"/>
          </w:rPr>
          <w:t>statutory timeframe</w:t>
        </w:r>
        <w:bookmarkEnd w:id="130"/>
        <w:bookmarkEnd w:id="131"/>
      </w:hyperlink>
    </w:p>
    <w:p w14:paraId="02327B0B" w14:textId="77777777" w:rsidR="006B4049" w:rsidRDefault="006B4049" w:rsidP="006B4049">
      <w:r>
        <w:t>When all the necessary information has been received by the TGA (including payment), the clock starts on the application. If the Secretary is not able to make a decision, the clock stops while the TGA asks for information under s. 31 of the Act or raises an objection.</w:t>
      </w:r>
      <w:r w:rsidRPr="00DA7595">
        <w:t xml:space="preserve"> The clock restarts on receipt of the complete response to the </w:t>
      </w:r>
      <w:r>
        <w:t>request for information</w:t>
      </w:r>
      <w:r w:rsidRPr="00DA7595">
        <w:t>.</w:t>
      </w:r>
    </w:p>
    <w:p w14:paraId="65A6FF7A" w14:textId="77777777" w:rsidR="008A5FD9" w:rsidRDefault="006B4049" w:rsidP="006B4049">
      <w:pPr>
        <w:pStyle w:val="Heading3"/>
      </w:pPr>
      <w:bookmarkStart w:id="132" w:name="_Toc10202286"/>
      <w:r w:rsidRPr="006B4049">
        <w:t>Approvals</w:t>
      </w:r>
      <w:bookmarkEnd w:id="132"/>
    </w:p>
    <w:p w14:paraId="52A3EB26" w14:textId="77777777" w:rsidR="006B4049" w:rsidRDefault="006B4049" w:rsidP="006B4049">
      <w:r>
        <w:t>If the variation to the ARTG entry is approved, the entry will be updated and any necessary changes to the PI will also be approved under s. 25AA(4) of the Act. Sponsors should lodge copies of the updat</w:t>
      </w:r>
      <w:hyperlink w:anchor="_bookmark73" w:history="1">
        <w:r>
          <w:t>e</w:t>
        </w:r>
      </w:hyperlink>
      <w:r>
        <w:t xml:space="preserve">d PI and Consumer Medicine Information with the TGA via the </w:t>
      </w:r>
      <w:hyperlink r:id="rId93">
        <w:r>
          <w:rPr>
            <w:color w:val="0000FF"/>
            <w:u w:val="single" w:color="0000FF"/>
          </w:rPr>
          <w:t>TGA</w:t>
        </w:r>
      </w:hyperlink>
      <w:r>
        <w:rPr>
          <w:color w:val="0000FF"/>
          <w:u w:val="single" w:color="0000FF"/>
        </w:rPr>
        <w:t xml:space="preserve"> </w:t>
      </w:r>
      <w:hyperlink r:id="rId94">
        <w:r>
          <w:rPr>
            <w:color w:val="0000FF"/>
            <w:u w:val="single" w:color="0000FF"/>
          </w:rPr>
          <w:t>Business Services</w:t>
        </w:r>
      </w:hyperlink>
      <w:r>
        <w:rPr>
          <w:position w:val="5"/>
          <w:sz w:val="14"/>
        </w:rPr>
        <w:t xml:space="preserve"> </w:t>
      </w:r>
      <w:r>
        <w:t>system within 2 weeks of the date of approval.</w:t>
      </w:r>
    </w:p>
    <w:p w14:paraId="7580FD00" w14:textId="77777777" w:rsidR="006B4049" w:rsidRDefault="006B4049" w:rsidP="006B4049">
      <w:r>
        <w:t>For injectable prescription medicines, the curr</w:t>
      </w:r>
      <w:hyperlink w:anchor="_bookmark73" w:history="1">
        <w:r>
          <w:t>e</w:t>
        </w:r>
      </w:hyperlink>
      <w:r>
        <w:t>nt approved PI must also be supplied in hard copy with the medicine (this is a condition of registration for injectable medicines only).</w:t>
      </w:r>
    </w:p>
    <w:p w14:paraId="7076CDED" w14:textId="77777777" w:rsidR="006B4049" w:rsidRDefault="006B4049" w:rsidP="006B4049">
      <w:r>
        <w:t>Sponsors can withdraw their request at any time during the process but fees are not refundable.</w:t>
      </w:r>
    </w:p>
    <w:p w14:paraId="18C6F0B7" w14:textId="77777777" w:rsidR="006B4049" w:rsidRDefault="006B4049" w:rsidP="006B4049">
      <w:r>
        <w:t>The sponsor will be notified of the initial decision in writing. Any notification of a rejection will include reasons. If the Secretary varies an ARTG entry on his or her initiative, a letter will be sent to the sponsor informing them of the decision.</w:t>
      </w:r>
    </w:p>
    <w:p w14:paraId="230D5A73" w14:textId="77777777" w:rsidR="006B4049" w:rsidRDefault="006B4049" w:rsidP="006B4049">
      <w:r>
        <w:t>Decisions made under s. 9D and s. 25 are subject to review under s. 60 of the Act.</w:t>
      </w:r>
    </w:p>
    <w:p w14:paraId="5253A992" w14:textId="77777777" w:rsidR="009C35B2" w:rsidRDefault="006B4049" w:rsidP="006B4049">
      <w:r w:rsidRPr="009812BA">
        <w:t xml:space="preserve">See </w:t>
      </w:r>
      <w:r w:rsidR="00614A46">
        <w:t>also:</w:t>
      </w:r>
    </w:p>
    <w:p w14:paraId="6E9D1DED" w14:textId="77777777" w:rsidR="006B4049" w:rsidRDefault="0057494E" w:rsidP="006B4049">
      <w:pPr>
        <w:pStyle w:val="ListBullet"/>
        <w:numPr>
          <w:ilvl w:val="0"/>
          <w:numId w:val="20"/>
        </w:numPr>
      </w:pPr>
      <w:hyperlink w:anchor="_Making_an_appeal" w:history="1">
        <w:r w:rsidR="006B4049">
          <w:rPr>
            <w:rStyle w:val="Hyperlink"/>
          </w:rPr>
          <w:t>M</w:t>
        </w:r>
        <w:r w:rsidR="006B4049" w:rsidRPr="009D3004">
          <w:rPr>
            <w:rStyle w:val="Hyperlink"/>
          </w:rPr>
          <w:t>aking an appeal</w:t>
        </w:r>
      </w:hyperlink>
    </w:p>
    <w:p w14:paraId="1C920FC6" w14:textId="77777777" w:rsidR="006B4049" w:rsidRDefault="006B4049" w:rsidP="006B4049">
      <w:pPr>
        <w:pStyle w:val="Heading4"/>
      </w:pPr>
      <w:bookmarkStart w:id="133" w:name="_Toc10202287"/>
      <w:r w:rsidRPr="006B4049">
        <w:t>Safety-related requests</w:t>
      </w:r>
      <w:bookmarkEnd w:id="133"/>
    </w:p>
    <w:p w14:paraId="2A73F061" w14:textId="77777777" w:rsidR="006B4049" w:rsidRDefault="006B4049" w:rsidP="006B4049">
      <w:r>
        <w:t>There is no statutory timeframe for safety-related requests. However, because approved safety- related requests are expected to improve the safety of a medicine, the TGA tries to process these requests as quickly as possible.</w:t>
      </w:r>
    </w:p>
    <w:p w14:paraId="3CD97DB9" w14:textId="77777777" w:rsidR="006B4049" w:rsidRDefault="006B4049" w:rsidP="006B4049">
      <w:r>
        <w:t>Processing time depends on the nature and urgency of the request: variations relating to major public health concerns are given the highest priority.</w:t>
      </w:r>
    </w:p>
    <w:p w14:paraId="7EB8FCCB" w14:textId="77777777" w:rsidR="006B4049" w:rsidRDefault="006B4049" w:rsidP="006B4049">
      <w:r>
        <w:t>Sponsors are also able to notify healthcare professionals about any safety concerns regarding a product; for example, during discussions about the request with the TGA during the approval process.</w:t>
      </w:r>
    </w:p>
    <w:p w14:paraId="19C6E8BE" w14:textId="77777777" w:rsidR="006B4049" w:rsidRDefault="006B4049" w:rsidP="006B4049">
      <w:r>
        <w:lastRenderedPageBreak/>
        <w:t>The TGA processes stand-alone safety-related requests as a priority over safety-related requests that are submitted with other requests (such as a request for ‘minor editorial changes’ under s. 9D(3)). Sponsors are therefore encouraged to submit safety-related requests separately from other types of requests.</w:t>
      </w:r>
    </w:p>
    <w:p w14:paraId="7EDB7133" w14:textId="77777777" w:rsidR="006B4049" w:rsidRDefault="006B4049" w:rsidP="006B4049">
      <w:r>
        <w:t>If the Secretary is sure that the proposed variation is safety-related (that is, will reduce the patient population that can take the medicine, or have the effect of adding a warning or precaution), it must be approved. In most cases, verification of the information provided in the sponsor’s self-assessment will be sufficient for a decision. Verification involves a brief review of the information provided, including any proposed changes to the PI, to confirm the nature of the proposed variation. It also usually includes discussions between the Secretary’s delegate and the sponsor to ensure that the most appropriate wording is used in any changes to the PI.</w:t>
      </w:r>
    </w:p>
    <w:p w14:paraId="4392A9DD" w14:textId="77777777" w:rsidR="006B4049" w:rsidRPr="006B4049" w:rsidRDefault="006B4049" w:rsidP="006B4049">
      <w:pPr>
        <w:pStyle w:val="Heading5"/>
      </w:pPr>
      <w:r w:rsidRPr="006B4049">
        <w:t>Request for further information supporting an SRR</w:t>
      </w:r>
    </w:p>
    <w:p w14:paraId="6C8B5255" w14:textId="77777777" w:rsidR="006B4049" w:rsidRPr="006B4049" w:rsidRDefault="006B4049" w:rsidP="006B4049">
      <w:r w:rsidRPr="006B4049">
        <w:t>In some cases, the Secretary needs more information to decide if a request meets the criteria of s. 9D(2), and is therefore considered to be ‘safety-related’.</w:t>
      </w:r>
    </w:p>
    <w:p w14:paraId="37E278EC" w14:textId="77777777" w:rsidR="006B4049" w:rsidRPr="006B4049" w:rsidRDefault="006B4049" w:rsidP="006B4049">
      <w:r w:rsidRPr="006B4049">
        <w:rPr>
          <w:b/>
        </w:rPr>
        <w:t>Example</w:t>
      </w:r>
      <w:r w:rsidRPr="006B4049">
        <w:t>: a sponsor may want to add a statement to the ‘Precautions’ section of the PI because a clinical trial showed that some patients are at higher risk of a particular adverse event. The Secretary may want to evaluate the sponsor’s supporting data to ensure that the proposed addition to the PI is accurate and appropriate, and may ask the sponso</w:t>
      </w:r>
      <w:r w:rsidR="00614A46">
        <w:t>r to provide this information.</w:t>
      </w:r>
    </w:p>
    <w:p w14:paraId="0645BAE6" w14:textId="77777777" w:rsidR="006B4049" w:rsidRPr="006B4049" w:rsidRDefault="006B4049" w:rsidP="006B4049">
      <w:r w:rsidRPr="006B4049">
        <w:t>If the sponsor has submitted a SRR without data and the Secretary need supporting data to ensure the proposed changes to the PI is accurate and appropriate, the sponsor will need to withdraw the SRR without data a</w:t>
      </w:r>
      <w:r w:rsidR="00614A46">
        <w:t>nd resubmit as SRR with data.</w:t>
      </w:r>
    </w:p>
    <w:p w14:paraId="3C1FAFC5" w14:textId="77777777" w:rsidR="006B4049" w:rsidRPr="006B4049" w:rsidRDefault="006B4049" w:rsidP="006B4049">
      <w:r w:rsidRPr="006B4049">
        <w:t xml:space="preserve">Any supporting information provided by the sponsor should meet the requirements of the relevant </w:t>
      </w:r>
      <w:hyperlink r:id="rId95" w:history="1">
        <w:r w:rsidRPr="006B4049">
          <w:rPr>
            <w:rStyle w:val="Hyperlink"/>
          </w:rPr>
          <w:t>European Medicines Agency (EMA)/International Conference on Harmonisation (ICH) guidelines that have been adopted by the TGA</w:t>
        </w:r>
      </w:hyperlink>
      <w:r w:rsidRPr="006B4049">
        <w:t>.</w:t>
      </w:r>
    </w:p>
    <w:p w14:paraId="26A6E478" w14:textId="77777777" w:rsidR="006B4049" w:rsidRPr="006B4049" w:rsidRDefault="006B4049" w:rsidP="006B4049">
      <w:r w:rsidRPr="006B4049">
        <w:t>The sponsor can also provide supporting information without being requested to do so by the Secretary. This is appropriate for complex issues such as adding a warning based on data from clinical trials, or adding quantitative information to describe an adverse effect.  In this case, the sponsor should submit an SRR with data.</w:t>
      </w:r>
    </w:p>
    <w:p w14:paraId="6B97A981" w14:textId="77777777" w:rsidR="006B4049" w:rsidRDefault="00DB1422" w:rsidP="00614A46">
      <w:pPr>
        <w:pStyle w:val="Heading3"/>
      </w:pPr>
      <w:bookmarkStart w:id="134" w:name="_Toc5089283"/>
      <w:bookmarkStart w:id="135" w:name="_Toc10202288"/>
      <w:r w:rsidRPr="00DB1422">
        <w:t xml:space="preserve">Implementing </w:t>
      </w:r>
      <w:r w:rsidRPr="00614A46">
        <w:t>approved</w:t>
      </w:r>
      <w:r w:rsidRPr="00DB1422">
        <w:t xml:space="preserve"> variations</w:t>
      </w:r>
      <w:bookmarkEnd w:id="134"/>
      <w:bookmarkEnd w:id="135"/>
    </w:p>
    <w:p w14:paraId="344EB8DE" w14:textId="77777777" w:rsidR="00DB1422" w:rsidRDefault="00DB1422" w:rsidP="00DB1422">
      <w:r>
        <w:t>Variations to registered prescription medicines cannot be made without approval by the Secretary.</w:t>
      </w:r>
    </w:p>
    <w:p w14:paraId="4B16F1FE" w14:textId="77777777" w:rsidR="00DB1422" w:rsidRDefault="00DB1422" w:rsidP="00DB1422">
      <w:r>
        <w:t>Sponsors are encouraged to advise the TGA of any unusual circumstances related to the planned approach for implementing a variation (particularly quality-related variations). Examples of this include any periods when the ARTG entry has been updated to reflect the approved change but product prepared under previous conditions is still on the market, or in certain cases, periods when ‘old’ and ‘new’ product are being supplied concurrently.</w:t>
      </w:r>
    </w:p>
    <w:p w14:paraId="4A4E72D7" w14:textId="77777777" w:rsidR="00DB1422" w:rsidRDefault="00DB1422" w:rsidP="00DB1422">
      <w:r>
        <w:t>Sponsors who no longer intend to implement an approved change should inform the TGA in writing as soon as possible to determine the requirements to request a new change to the ARTG entry under s. 9D(3).</w:t>
      </w:r>
    </w:p>
    <w:p w14:paraId="3E988C94" w14:textId="77777777" w:rsidR="008E3FF2" w:rsidRPr="008E3FF2" w:rsidRDefault="00DB1422" w:rsidP="008E3FF2">
      <w:r w:rsidRPr="00A351A7">
        <w:t>On rare occasions, some changes beyond the sponsor’s control may need to take place before the TGA can approve them (for example, a change to the name of an overseas supplier). In these cases, sponsors should submit a request to the TGA as soon as they become aware of the change, so that the ARTG entry can be updated appropriate</w:t>
      </w:r>
      <w:r>
        <w:t>ly</w:t>
      </w:r>
      <w:r w:rsidRPr="00A351A7">
        <w:t>.</w:t>
      </w:r>
    </w:p>
    <w:p w14:paraId="7D55E7DF" w14:textId="77777777" w:rsidR="001A3190" w:rsidRPr="00215D48" w:rsidRDefault="001A3190" w:rsidP="00BA0DFC">
      <w:pPr>
        <w:pStyle w:val="NonTOCheading2"/>
      </w:pPr>
      <w:r w:rsidRPr="00215D48">
        <w:lastRenderedPageBreak/>
        <w:t>Version history</w:t>
      </w:r>
    </w:p>
    <w:tbl>
      <w:tblPr>
        <w:tblStyle w:val="TableTGAblack"/>
        <w:tblW w:w="9038" w:type="dxa"/>
        <w:tblLayout w:type="fixed"/>
        <w:tblLook w:val="04A0" w:firstRow="1" w:lastRow="0" w:firstColumn="1" w:lastColumn="0" w:noHBand="0" w:noVBand="1"/>
      </w:tblPr>
      <w:tblGrid>
        <w:gridCol w:w="1276"/>
        <w:gridCol w:w="3242"/>
        <w:gridCol w:w="2712"/>
        <w:gridCol w:w="1808"/>
      </w:tblGrid>
      <w:tr w:rsidR="001A3190" w:rsidRPr="00215D48" w14:paraId="2970B572" w14:textId="77777777" w:rsidTr="00F048E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276" w:type="dxa"/>
          </w:tcPr>
          <w:p w14:paraId="63AD5B9B" w14:textId="77777777" w:rsidR="001A3190" w:rsidRPr="00215D48" w:rsidRDefault="001A3190" w:rsidP="00F048E4">
            <w:bookmarkStart w:id="136" w:name="ColumnTitle_4"/>
            <w:r w:rsidRPr="00215D48">
              <w:t>Version</w:t>
            </w:r>
          </w:p>
        </w:tc>
        <w:tc>
          <w:tcPr>
            <w:tcW w:w="3242" w:type="dxa"/>
          </w:tcPr>
          <w:p w14:paraId="0CA0446B" w14:textId="77777777" w:rsidR="001A3190" w:rsidRPr="00215D48" w:rsidRDefault="001A3190" w:rsidP="00F048E4">
            <w:pPr>
              <w:cnfStyle w:val="100000000000" w:firstRow="1" w:lastRow="0" w:firstColumn="0" w:lastColumn="0" w:oddVBand="0" w:evenVBand="0" w:oddHBand="0" w:evenHBand="0" w:firstRowFirstColumn="0" w:firstRowLastColumn="0" w:lastRowFirstColumn="0" w:lastRowLastColumn="0"/>
            </w:pPr>
            <w:r w:rsidRPr="00215D48">
              <w:t>Description of change</w:t>
            </w:r>
          </w:p>
        </w:tc>
        <w:tc>
          <w:tcPr>
            <w:tcW w:w="2712" w:type="dxa"/>
          </w:tcPr>
          <w:p w14:paraId="7B6D810D" w14:textId="77777777" w:rsidR="001A3190" w:rsidRPr="00215D48" w:rsidRDefault="001A3190" w:rsidP="00F048E4">
            <w:pPr>
              <w:cnfStyle w:val="100000000000" w:firstRow="1" w:lastRow="0" w:firstColumn="0" w:lastColumn="0" w:oddVBand="0" w:evenVBand="0" w:oddHBand="0" w:evenHBand="0" w:firstRowFirstColumn="0" w:firstRowLastColumn="0" w:lastRowFirstColumn="0" w:lastRowLastColumn="0"/>
            </w:pPr>
            <w:r w:rsidRPr="00215D48">
              <w:t>Author</w:t>
            </w:r>
          </w:p>
        </w:tc>
        <w:tc>
          <w:tcPr>
            <w:tcW w:w="1808" w:type="dxa"/>
          </w:tcPr>
          <w:p w14:paraId="32FCDB2A" w14:textId="77777777" w:rsidR="001A3190" w:rsidRPr="00215D48" w:rsidRDefault="001A3190" w:rsidP="00F048E4">
            <w:pPr>
              <w:cnfStyle w:val="100000000000" w:firstRow="1" w:lastRow="0" w:firstColumn="0" w:lastColumn="0" w:oddVBand="0" w:evenVBand="0" w:oddHBand="0" w:evenHBand="0" w:firstRowFirstColumn="0" w:firstRowLastColumn="0" w:lastRowFirstColumn="0" w:lastRowLastColumn="0"/>
            </w:pPr>
            <w:r w:rsidRPr="00215D48">
              <w:t>Effective date</w:t>
            </w:r>
          </w:p>
        </w:tc>
      </w:tr>
      <w:bookmarkEnd w:id="136"/>
      <w:tr w:rsidR="00EC065F" w:rsidRPr="00215D48" w14:paraId="5823C077" w14:textId="77777777" w:rsidTr="00EC065F">
        <w:trPr>
          <w:trHeight w:val="1418"/>
        </w:trPr>
        <w:tc>
          <w:tcPr>
            <w:cnfStyle w:val="001000000000" w:firstRow="0" w:lastRow="0" w:firstColumn="1" w:lastColumn="0" w:oddVBand="0" w:evenVBand="0" w:oddHBand="0" w:evenHBand="0" w:firstRowFirstColumn="0" w:firstRowLastColumn="0" w:lastRowFirstColumn="0" w:lastRowLastColumn="0"/>
            <w:tcW w:w="1276" w:type="dxa"/>
          </w:tcPr>
          <w:p w14:paraId="63EDB26D" w14:textId="77777777" w:rsidR="00EC065F" w:rsidRPr="00215D48" w:rsidRDefault="00EC065F" w:rsidP="00831331">
            <w:r w:rsidRPr="00215D48">
              <w:t>V1.0</w:t>
            </w:r>
          </w:p>
        </w:tc>
        <w:tc>
          <w:tcPr>
            <w:tcW w:w="3242" w:type="dxa"/>
          </w:tcPr>
          <w:p w14:paraId="30E2DB89" w14:textId="77777777" w:rsidR="00EC065F" w:rsidRPr="00215D48" w:rsidRDefault="00EC065F" w:rsidP="00831331">
            <w:pPr>
              <w:cnfStyle w:val="000000000000" w:firstRow="0" w:lastRow="0" w:firstColumn="0" w:lastColumn="0" w:oddVBand="0" w:evenVBand="0" w:oddHBand="0" w:evenHBand="0" w:firstRowFirstColumn="0" w:firstRowLastColumn="0" w:lastRowFirstColumn="0" w:lastRowLastColumn="0"/>
            </w:pPr>
            <w:r w:rsidRPr="00215D48">
              <w:t>Original publication</w:t>
            </w:r>
          </w:p>
        </w:tc>
        <w:tc>
          <w:tcPr>
            <w:tcW w:w="2712" w:type="dxa"/>
          </w:tcPr>
          <w:p w14:paraId="0A0CEBBE" w14:textId="77777777" w:rsidR="00EC065F" w:rsidRPr="00215D48" w:rsidRDefault="00EC065F" w:rsidP="00831331">
            <w:pPr>
              <w:cnfStyle w:val="000000000000" w:firstRow="0" w:lastRow="0" w:firstColumn="0" w:lastColumn="0" w:oddVBand="0" w:evenVBand="0" w:oddHBand="0" w:evenHBand="0" w:firstRowFirstColumn="0" w:firstRowLastColumn="0" w:lastRowFirstColumn="0" w:lastRowLastColumn="0"/>
            </w:pPr>
            <w:r>
              <w:t>Scientific Operations Management Section/Scientific Evaluation Branch</w:t>
            </w:r>
          </w:p>
        </w:tc>
        <w:tc>
          <w:tcPr>
            <w:tcW w:w="1808" w:type="dxa"/>
          </w:tcPr>
          <w:p w14:paraId="2CBC8AC0" w14:textId="77777777" w:rsidR="00EC065F" w:rsidRPr="00215D48" w:rsidRDefault="00EC065F" w:rsidP="00831331">
            <w:pPr>
              <w:cnfStyle w:val="000000000000" w:firstRow="0" w:lastRow="0" w:firstColumn="0" w:lastColumn="0" w:oddVBand="0" w:evenVBand="0" w:oddHBand="0" w:evenHBand="0" w:firstRowFirstColumn="0" w:firstRowLastColumn="0" w:lastRowFirstColumn="0" w:lastRowLastColumn="0"/>
            </w:pPr>
            <w:r>
              <w:t>June 2017</w:t>
            </w:r>
          </w:p>
        </w:tc>
      </w:tr>
      <w:tr w:rsidR="00EC065F" w14:paraId="42D1FA22" w14:textId="77777777" w:rsidTr="00EC065F">
        <w:trPr>
          <w:trHeight w:val="1418"/>
        </w:trPr>
        <w:tc>
          <w:tcPr>
            <w:cnfStyle w:val="001000000000" w:firstRow="0" w:lastRow="0" w:firstColumn="1" w:lastColumn="0" w:oddVBand="0" w:evenVBand="0" w:oddHBand="0" w:evenHBand="0" w:firstRowFirstColumn="0" w:firstRowLastColumn="0" w:lastRowFirstColumn="0" w:lastRowLastColumn="0"/>
            <w:tcW w:w="1276" w:type="dxa"/>
          </w:tcPr>
          <w:p w14:paraId="6E9B7177" w14:textId="77777777" w:rsidR="00EC065F" w:rsidRPr="00215D48" w:rsidRDefault="00EC065F" w:rsidP="00831331">
            <w:r>
              <w:t>V2.0</w:t>
            </w:r>
          </w:p>
        </w:tc>
        <w:tc>
          <w:tcPr>
            <w:tcW w:w="3242" w:type="dxa"/>
          </w:tcPr>
          <w:p w14:paraId="5C5CD312" w14:textId="77777777" w:rsidR="00EC065F" w:rsidRPr="00215D48" w:rsidRDefault="00EC065F" w:rsidP="00831331">
            <w:pPr>
              <w:cnfStyle w:val="000000000000" w:firstRow="0" w:lastRow="0" w:firstColumn="0" w:lastColumn="0" w:oddVBand="0" w:evenVBand="0" w:oddHBand="0" w:evenHBand="0" w:firstRowFirstColumn="0" w:firstRowLastColumn="0" w:lastRowFirstColumn="0" w:lastRowLastColumn="0"/>
            </w:pPr>
            <w:r>
              <w:t>Introduction of notifications process and minor amendments</w:t>
            </w:r>
          </w:p>
        </w:tc>
        <w:tc>
          <w:tcPr>
            <w:tcW w:w="2712" w:type="dxa"/>
          </w:tcPr>
          <w:p w14:paraId="701A48A8" w14:textId="77777777" w:rsidR="00EC065F" w:rsidRDefault="00EC065F" w:rsidP="00831331">
            <w:pPr>
              <w:cnfStyle w:val="000000000000" w:firstRow="0" w:lastRow="0" w:firstColumn="0" w:lastColumn="0" w:oddVBand="0" w:evenVBand="0" w:oddHBand="0" w:evenHBand="0" w:firstRowFirstColumn="0" w:firstRowLastColumn="0" w:lastRowFirstColumn="0" w:lastRowLastColumn="0"/>
            </w:pPr>
            <w:r>
              <w:t>Scientific Operations Management Section/Scientific Evaluation Branch</w:t>
            </w:r>
          </w:p>
        </w:tc>
        <w:tc>
          <w:tcPr>
            <w:tcW w:w="1808" w:type="dxa"/>
          </w:tcPr>
          <w:p w14:paraId="3B623D2F" w14:textId="77777777" w:rsidR="00EC065F" w:rsidRDefault="00EC065F" w:rsidP="00831331">
            <w:pPr>
              <w:cnfStyle w:val="000000000000" w:firstRow="0" w:lastRow="0" w:firstColumn="0" w:lastColumn="0" w:oddVBand="0" w:evenVBand="0" w:oddHBand="0" w:evenHBand="0" w:firstRowFirstColumn="0" w:firstRowLastColumn="0" w:lastRowFirstColumn="0" w:lastRowLastColumn="0"/>
            </w:pPr>
            <w:r>
              <w:t>December 2017</w:t>
            </w:r>
          </w:p>
        </w:tc>
      </w:tr>
      <w:tr w:rsidR="00EC065F" w14:paraId="513E02EE" w14:textId="77777777" w:rsidTr="00EC065F">
        <w:trPr>
          <w:trHeight w:val="1418"/>
        </w:trPr>
        <w:tc>
          <w:tcPr>
            <w:cnfStyle w:val="001000000000" w:firstRow="0" w:lastRow="0" w:firstColumn="1" w:lastColumn="0" w:oddVBand="0" w:evenVBand="0" w:oddHBand="0" w:evenHBand="0" w:firstRowFirstColumn="0" w:firstRowLastColumn="0" w:lastRowFirstColumn="0" w:lastRowLastColumn="0"/>
            <w:tcW w:w="1276" w:type="dxa"/>
          </w:tcPr>
          <w:p w14:paraId="0C75BDD3" w14:textId="77777777" w:rsidR="00EC065F" w:rsidRDefault="00EC065F" w:rsidP="00831331">
            <w:r>
              <w:t>V3.0</w:t>
            </w:r>
          </w:p>
        </w:tc>
        <w:tc>
          <w:tcPr>
            <w:tcW w:w="3242" w:type="dxa"/>
          </w:tcPr>
          <w:p w14:paraId="1C000878" w14:textId="77777777" w:rsidR="00EC065F" w:rsidRDefault="00EC065F" w:rsidP="00831331">
            <w:pPr>
              <w:cnfStyle w:val="000000000000" w:firstRow="0" w:lastRow="0" w:firstColumn="0" w:lastColumn="0" w:oddVBand="0" w:evenVBand="0" w:oddHBand="0" w:evenHBand="0" w:firstRowFirstColumn="0" w:firstRowLastColumn="0" w:lastRowFirstColumn="0" w:lastRowLastColumn="0"/>
            </w:pPr>
            <w:r>
              <w:t>Amended title</w:t>
            </w:r>
          </w:p>
          <w:p w14:paraId="48519BA4" w14:textId="77777777" w:rsidR="00EC065F" w:rsidRDefault="00EC065F" w:rsidP="00831331">
            <w:pPr>
              <w:cnfStyle w:val="000000000000" w:firstRow="0" w:lastRow="0" w:firstColumn="0" w:lastColumn="0" w:oddVBand="0" w:evenVBand="0" w:oddHBand="0" w:evenHBand="0" w:firstRowFirstColumn="0" w:firstRowLastColumn="0" w:lastRowFirstColumn="0" w:lastRowLastColumn="0"/>
            </w:pPr>
            <w:r>
              <w:t>Inclusion of Extension of indications to align with a reference product</w:t>
            </w:r>
          </w:p>
          <w:p w14:paraId="7DCCB752" w14:textId="77777777" w:rsidR="00EC065F" w:rsidRDefault="00166F96" w:rsidP="00831331">
            <w:pPr>
              <w:cnfStyle w:val="000000000000" w:firstRow="0" w:lastRow="0" w:firstColumn="0" w:lastColumn="0" w:oddVBand="0" w:evenVBand="0" w:oddHBand="0" w:evenHBand="0" w:firstRowFirstColumn="0" w:firstRowLastColumn="0" w:lastRowFirstColumn="0" w:lastRowLastColumn="0"/>
            </w:pPr>
            <w:r>
              <w:t>Clarification of process for Notifications, S</w:t>
            </w:r>
            <w:r w:rsidR="00EC065F">
              <w:t xml:space="preserve">elf-assessable </w:t>
            </w:r>
            <w:r>
              <w:t xml:space="preserve">requests </w:t>
            </w:r>
            <w:r w:rsidR="00EC065F">
              <w:t>and Category 3 requests where multiple variation types could be selected</w:t>
            </w:r>
          </w:p>
          <w:p w14:paraId="31A1AF57" w14:textId="77777777" w:rsidR="00EC065F" w:rsidRDefault="00EC065F" w:rsidP="00831331">
            <w:pPr>
              <w:cnfStyle w:val="000000000000" w:firstRow="0" w:lastRow="0" w:firstColumn="0" w:lastColumn="0" w:oddVBand="0" w:evenVBand="0" w:oddHBand="0" w:evenHBand="0" w:firstRowFirstColumn="0" w:firstRowLastColumn="0" w:lastRowFirstColumn="0" w:lastRowLastColumn="0"/>
            </w:pPr>
            <w:r>
              <w:t>Inclusion of advice regarding advising the TGA of changes made to medicine</w:t>
            </w:r>
            <w:r w:rsidR="00B93570">
              <w:t>s without the required approval</w:t>
            </w:r>
          </w:p>
          <w:p w14:paraId="22D05B79" w14:textId="77777777" w:rsidR="00EC065F" w:rsidRDefault="00EC065F" w:rsidP="00831331">
            <w:pPr>
              <w:cnfStyle w:val="000000000000" w:firstRow="0" w:lastRow="0" w:firstColumn="0" w:lastColumn="0" w:oddVBand="0" w:evenVBand="0" w:oddHBand="0" w:evenHBand="0" w:firstRowFirstColumn="0" w:firstRowLastColumn="0" w:lastRowFirstColumn="0" w:lastRowLastColumn="0"/>
            </w:pPr>
            <w:r>
              <w:t>M</w:t>
            </w:r>
            <w:r w:rsidRPr="003C781C">
              <w:t xml:space="preserve">inor </w:t>
            </w:r>
            <w:r>
              <w:t>clarifications and corrections</w:t>
            </w:r>
            <w:r w:rsidRPr="003C781C">
              <w:t xml:space="preserve"> to</w:t>
            </w:r>
            <w:r w:rsidR="00B93570">
              <w:t xml:space="preserve"> phrasing and layout</w:t>
            </w:r>
          </w:p>
          <w:p w14:paraId="2E51F3A5" w14:textId="77777777" w:rsidR="004C218E" w:rsidRDefault="004C218E" w:rsidP="00831331">
            <w:pPr>
              <w:cnfStyle w:val="000000000000" w:firstRow="0" w:lastRow="0" w:firstColumn="0" w:lastColumn="0" w:oddVBand="0" w:evenVBand="0" w:oddHBand="0" w:evenHBand="0" w:firstRowFirstColumn="0" w:firstRowLastColumn="0" w:lastRowFirstColumn="0" w:lastRowLastColumn="0"/>
            </w:pPr>
            <w:r>
              <w:t>Clarification of mechanism to approve one-off changes</w:t>
            </w:r>
            <w:r w:rsidR="00B93570">
              <w:t xml:space="preserve"> to medicines</w:t>
            </w:r>
          </w:p>
        </w:tc>
        <w:tc>
          <w:tcPr>
            <w:tcW w:w="2712" w:type="dxa"/>
          </w:tcPr>
          <w:p w14:paraId="18FCCDBF" w14:textId="77777777" w:rsidR="00EC065F" w:rsidRDefault="00EC065F" w:rsidP="00831331">
            <w:pPr>
              <w:cnfStyle w:val="000000000000" w:firstRow="0" w:lastRow="0" w:firstColumn="0" w:lastColumn="0" w:oddVBand="0" w:evenVBand="0" w:oddHBand="0" w:evenHBand="0" w:firstRowFirstColumn="0" w:firstRowLastColumn="0" w:lastRowFirstColumn="0" w:lastRowLastColumn="0"/>
            </w:pPr>
            <w:r>
              <w:rPr>
                <w:lang w:eastAsia="en-AU"/>
              </w:rPr>
              <w:t>Scientific Evaluation Branch</w:t>
            </w:r>
          </w:p>
        </w:tc>
        <w:tc>
          <w:tcPr>
            <w:tcW w:w="1808" w:type="dxa"/>
          </w:tcPr>
          <w:p w14:paraId="356DD2D5" w14:textId="77777777" w:rsidR="00EC065F" w:rsidRDefault="00B93570" w:rsidP="00F72396">
            <w:pPr>
              <w:cnfStyle w:val="000000000000" w:firstRow="0" w:lastRow="0" w:firstColumn="0" w:lastColumn="0" w:oddVBand="0" w:evenVBand="0" w:oddHBand="0" w:evenHBand="0" w:firstRowFirstColumn="0" w:firstRowLastColumn="0" w:lastRowFirstColumn="0" w:lastRowLastColumn="0"/>
            </w:pPr>
            <w:r>
              <w:t>Ju</w:t>
            </w:r>
            <w:r w:rsidR="00F72396">
              <w:t>ly</w:t>
            </w:r>
            <w:r>
              <w:t xml:space="preserve"> </w:t>
            </w:r>
            <w:r w:rsidR="00EC065F">
              <w:t>2019</w:t>
            </w:r>
          </w:p>
        </w:tc>
      </w:tr>
    </w:tbl>
    <w:p w14:paraId="53033E39" w14:textId="77777777" w:rsidR="00F401EF" w:rsidRPr="00215D48" w:rsidRDefault="00F401EF" w:rsidP="00706634">
      <w:pPr>
        <w:spacing w:before="0" w:after="0" w:line="240" w:lineRule="auto"/>
        <w:rPr>
          <w:sz w:val="20"/>
        </w:rPr>
        <w:sectPr w:rsidR="00F401EF" w:rsidRPr="00215D48" w:rsidSect="0029069E">
          <w:headerReference w:type="default" r:id="rId96"/>
          <w:footerReference w:type="default" r:id="rId97"/>
          <w:pgSz w:w="11906" w:h="16838" w:code="9"/>
          <w:pgMar w:top="1134" w:right="1418" w:bottom="1361" w:left="1418" w:header="573" w:footer="567" w:gutter="0"/>
          <w:cols w:space="708"/>
          <w:docGrid w:linePitch="360"/>
        </w:sectPr>
      </w:pPr>
    </w:p>
    <w:tbl>
      <w:tblPr>
        <w:tblW w:w="9145" w:type="dxa"/>
        <w:jc w:val="center"/>
        <w:tblLayout w:type="fixed"/>
        <w:tblCellMar>
          <w:left w:w="0" w:type="dxa"/>
          <w:right w:w="0" w:type="dxa"/>
        </w:tblCellMar>
        <w:tblLook w:val="04A0" w:firstRow="1" w:lastRow="0" w:firstColumn="1" w:lastColumn="0" w:noHBand="0" w:noVBand="1"/>
      </w:tblPr>
      <w:tblGrid>
        <w:gridCol w:w="9145"/>
      </w:tblGrid>
      <w:tr w:rsidR="00C50E5C" w:rsidRPr="00215D48" w14:paraId="768BE670" w14:textId="77777777" w:rsidTr="00F048E4">
        <w:trPr>
          <w:trHeight w:hRule="exact" w:val="565"/>
          <w:jc w:val="center"/>
        </w:trPr>
        <w:tc>
          <w:tcPr>
            <w:tcW w:w="9145" w:type="dxa"/>
          </w:tcPr>
          <w:p w14:paraId="3E7701C6" w14:textId="77777777" w:rsidR="00C50E5C" w:rsidRPr="00215D48" w:rsidRDefault="00C50E5C" w:rsidP="00F048E4">
            <w:pPr>
              <w:pStyle w:val="TGASignoff"/>
            </w:pPr>
            <w:r w:rsidRPr="00215D48">
              <w:lastRenderedPageBreak/>
              <w:t>Therapeutic Goods Administration</w:t>
            </w:r>
          </w:p>
        </w:tc>
      </w:tr>
      <w:tr w:rsidR="00C50E5C" w:rsidRPr="00215D48" w14:paraId="16F83760" w14:textId="77777777" w:rsidTr="00F048E4">
        <w:trPr>
          <w:trHeight w:val="963"/>
          <w:jc w:val="center"/>
        </w:trPr>
        <w:tc>
          <w:tcPr>
            <w:tcW w:w="9145" w:type="dxa"/>
            <w:tcMar>
              <w:top w:w="28" w:type="dxa"/>
            </w:tcMar>
          </w:tcPr>
          <w:p w14:paraId="70144AE6" w14:textId="77777777" w:rsidR="00C50E5C" w:rsidRPr="00215D48" w:rsidRDefault="00C50E5C" w:rsidP="00EB5622">
            <w:pPr>
              <w:pStyle w:val="Address"/>
              <w:jc w:val="center"/>
            </w:pPr>
            <w:r w:rsidRPr="00215D48">
              <w:t>PO Box 100 Woden ACT 2606 Australia</w:t>
            </w:r>
          </w:p>
          <w:p w14:paraId="558A4F44" w14:textId="77777777" w:rsidR="001A3190" w:rsidRDefault="00C50E5C">
            <w:pPr>
              <w:pStyle w:val="Address"/>
              <w:jc w:val="center"/>
              <w:rPr>
                <w:sz w:val="22"/>
                <w:szCs w:val="22"/>
              </w:rPr>
            </w:pPr>
            <w:r w:rsidRPr="00215D48">
              <w:t xml:space="preserve">Email: </w:t>
            </w:r>
            <w:hyperlink r:id="rId98" w:history="1">
              <w:r w:rsidRPr="00215D48">
                <w:rPr>
                  <w:rStyle w:val="Hyperlink"/>
                </w:rPr>
                <w:t>info@tga.gov.au</w:t>
              </w:r>
            </w:hyperlink>
            <w:r w:rsidRPr="00215D48">
              <w:t xml:space="preserve">  Phone: 1800 020 653  Fax: </w:t>
            </w:r>
            <w:r w:rsidR="001A3190" w:rsidRPr="00BA0DFC">
              <w:t>02 6203 1605</w:t>
            </w:r>
          </w:p>
          <w:p w14:paraId="360FCB54" w14:textId="77777777" w:rsidR="00C50E5C" w:rsidRPr="00215D48" w:rsidRDefault="0057494E">
            <w:pPr>
              <w:pStyle w:val="Address"/>
              <w:jc w:val="center"/>
              <w:rPr>
                <w:rStyle w:val="Hyperlink"/>
                <w:b/>
                <w:color w:val="auto"/>
                <w:sz w:val="22"/>
                <w:u w:val="none"/>
              </w:rPr>
            </w:pPr>
            <w:hyperlink r:id="rId99" w:history="1">
              <w:r w:rsidR="00215D48" w:rsidRPr="00C4721A">
                <w:rPr>
                  <w:rStyle w:val="Hyperlink"/>
                  <w:b/>
                </w:rPr>
                <w:t>https://www.tga.gov.au</w:t>
              </w:r>
            </w:hyperlink>
          </w:p>
        </w:tc>
      </w:tr>
      <w:tr w:rsidR="00C50E5C" w:rsidRPr="00215D48" w14:paraId="4CFB2CA0" w14:textId="77777777" w:rsidTr="00F048E4">
        <w:trPr>
          <w:trHeight w:val="251"/>
          <w:jc w:val="center"/>
        </w:trPr>
        <w:tc>
          <w:tcPr>
            <w:tcW w:w="9145" w:type="dxa"/>
            <w:tcMar>
              <w:top w:w="28" w:type="dxa"/>
            </w:tcMar>
          </w:tcPr>
          <w:p w14:paraId="4B7119E4" w14:textId="77777777" w:rsidR="00C50E5C" w:rsidRPr="00215D48" w:rsidRDefault="00C50E5C" w:rsidP="00EB5622">
            <w:pPr>
              <w:pStyle w:val="Address"/>
              <w:jc w:val="center"/>
            </w:pPr>
            <w:r w:rsidRPr="00215D48">
              <w:t>Reference/Publication #</w:t>
            </w:r>
            <w:r w:rsidR="00B67EBC" w:rsidRPr="00B67EBC">
              <w:t>D19-5366432</w:t>
            </w:r>
          </w:p>
        </w:tc>
      </w:tr>
    </w:tbl>
    <w:p w14:paraId="5AEBC612" w14:textId="77777777" w:rsidR="00706634" w:rsidRPr="00215D48" w:rsidRDefault="00706634" w:rsidP="004A3084">
      <w:pPr>
        <w:rPr>
          <w:sz w:val="20"/>
        </w:rPr>
      </w:pPr>
    </w:p>
    <w:sectPr w:rsidR="00706634" w:rsidRPr="00215D48" w:rsidSect="0029069E">
      <w:headerReference w:type="first" r:id="rId100"/>
      <w:footerReference w:type="first" r:id="rId101"/>
      <w:pgSz w:w="11906" w:h="16838" w:code="9"/>
      <w:pgMar w:top="13571" w:right="1701" w:bottom="567" w:left="1701" w:header="1134" w:footer="78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9C87F2" w14:textId="77777777" w:rsidR="004A4F23" w:rsidRDefault="004A4F23" w:rsidP="00C40A36">
      <w:pPr>
        <w:spacing w:after="0"/>
      </w:pPr>
      <w:r>
        <w:separator/>
      </w:r>
    </w:p>
  </w:endnote>
  <w:endnote w:type="continuationSeparator" w:id="0">
    <w:p w14:paraId="5C2AAB67" w14:textId="77777777" w:rsidR="004A4F23" w:rsidRDefault="004A4F23" w:rsidP="00C40A3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ingLiU">
    <w:altName w:val="細明體"/>
    <w:panose1 w:val="02010609000101010101"/>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0"/>
      <w:gridCol w:w="4360"/>
    </w:tblGrid>
    <w:tr w:rsidR="004A4F23" w:rsidRPr="00257138" w14:paraId="0F4EC3E7" w14:textId="77777777" w:rsidTr="000B30E5">
      <w:trPr>
        <w:trHeight w:val="423"/>
      </w:trPr>
      <w:tc>
        <w:tcPr>
          <w:tcW w:w="4360" w:type="dxa"/>
          <w:tcBorders>
            <w:top w:val="single" w:sz="4" w:space="0" w:color="auto"/>
          </w:tcBorders>
        </w:tcPr>
        <w:p w14:paraId="3752BC98" w14:textId="77777777" w:rsidR="004A4F23" w:rsidRDefault="004A4F23" w:rsidP="000B30E5">
          <w:pPr>
            <w:pStyle w:val="Footer"/>
          </w:pPr>
        </w:p>
        <w:p w14:paraId="7C19F299" w14:textId="77777777" w:rsidR="004A4F23" w:rsidRPr="00257138" w:rsidRDefault="004A4F23" w:rsidP="00406DB9">
          <w:pPr>
            <w:pStyle w:val="Footer"/>
          </w:pPr>
          <w:r w:rsidRPr="00257138">
            <w:t>Document title</w:t>
          </w:r>
        </w:p>
      </w:tc>
      <w:tc>
        <w:tcPr>
          <w:tcW w:w="4360" w:type="dxa"/>
          <w:tcBorders>
            <w:top w:val="single" w:sz="4" w:space="0" w:color="auto"/>
          </w:tcBorders>
        </w:tcPr>
        <w:sdt>
          <w:sdtPr>
            <w:id w:val="1087729233"/>
            <w:docPartObj>
              <w:docPartGallery w:val="Page Numbers (Top of Page)"/>
              <w:docPartUnique/>
            </w:docPartObj>
          </w:sdtPr>
          <w:sdtEndPr/>
          <w:sdtContent>
            <w:p w14:paraId="0A7CE08E" w14:textId="77777777" w:rsidR="004A4F23" w:rsidRDefault="004A4F23" w:rsidP="000B30E5">
              <w:pPr>
                <w:pStyle w:val="Footer"/>
                <w:jc w:val="right"/>
              </w:pPr>
            </w:p>
            <w:p w14:paraId="73BF5C8F" w14:textId="77777777" w:rsidR="004A4F23" w:rsidRPr="00257138" w:rsidRDefault="004A4F23" w:rsidP="000B30E5">
              <w:pPr>
                <w:pStyle w:val="Footer"/>
                <w:jc w:val="right"/>
              </w:pPr>
              <w:r w:rsidRPr="00257138">
                <w:t xml:space="preserve">Page </w:t>
              </w:r>
              <w:r>
                <w:fldChar w:fldCharType="begin"/>
              </w:r>
              <w:r>
                <w:instrText xml:space="preserve"> PAGE </w:instrText>
              </w:r>
              <w:r>
                <w:fldChar w:fldCharType="separate"/>
              </w:r>
              <w:r>
                <w:rPr>
                  <w:noProof/>
                </w:rPr>
                <w:t>2</w:t>
              </w:r>
              <w:r>
                <w:rPr>
                  <w:noProof/>
                </w:rPr>
                <w:fldChar w:fldCharType="end"/>
              </w:r>
              <w:r w:rsidRPr="00257138">
                <w:t xml:space="preserve"> of </w:t>
              </w:r>
              <w:r>
                <w:fldChar w:fldCharType="begin"/>
              </w:r>
              <w:r>
                <w:instrText xml:space="preserve"> NUMPAGES  </w:instrText>
              </w:r>
              <w:r>
                <w:fldChar w:fldCharType="separate"/>
              </w:r>
              <w:r>
                <w:rPr>
                  <w:noProof/>
                </w:rPr>
                <w:t>39</w:t>
              </w:r>
              <w:r>
                <w:rPr>
                  <w:noProof/>
                </w:rPr>
                <w:fldChar w:fldCharType="end"/>
              </w:r>
            </w:p>
          </w:sdtContent>
        </w:sdt>
      </w:tc>
    </w:tr>
    <w:tr w:rsidR="004A4F23" w:rsidRPr="00257138" w14:paraId="684EBDEB" w14:textId="77777777" w:rsidTr="000B30E5">
      <w:trPr>
        <w:trHeight w:val="263"/>
      </w:trPr>
      <w:tc>
        <w:tcPr>
          <w:tcW w:w="4360" w:type="dxa"/>
        </w:tcPr>
        <w:p w14:paraId="5BBE2266" w14:textId="77777777" w:rsidR="004A4F23" w:rsidRPr="00257138" w:rsidRDefault="004A4F23" w:rsidP="000B30E5">
          <w:pPr>
            <w:pStyle w:val="Footer"/>
          </w:pPr>
          <w:r w:rsidRPr="00257138">
            <w:t xml:space="preserve">V1.0 </w:t>
          </w:r>
          <w:r>
            <w:t>Month</w:t>
          </w:r>
          <w:r w:rsidRPr="00257138">
            <w:t xml:space="preserve"> 201</w:t>
          </w:r>
          <w:r>
            <w:t>2</w:t>
          </w:r>
        </w:p>
      </w:tc>
      <w:tc>
        <w:tcPr>
          <w:tcW w:w="4360" w:type="dxa"/>
        </w:tcPr>
        <w:p w14:paraId="283A86B6" w14:textId="77777777" w:rsidR="004A4F23" w:rsidRPr="00257138" w:rsidRDefault="004A4F23" w:rsidP="000B30E5">
          <w:pPr>
            <w:pStyle w:val="Footer"/>
            <w:jc w:val="right"/>
          </w:pPr>
        </w:p>
      </w:tc>
    </w:tr>
  </w:tbl>
  <w:p w14:paraId="2FD8DD5A" w14:textId="77777777" w:rsidR="004A4F23" w:rsidRPr="00826007" w:rsidRDefault="004A4F23" w:rsidP="000B30E5">
    <w:pPr>
      <w:pStyle w:val="Footer"/>
      <w:tabs>
        <w:tab w:val="left" w:pos="7620"/>
        <w:tab w:val="right" w:pos="8504"/>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A189DA" w14:textId="77777777" w:rsidR="004A4F23" w:rsidRDefault="004A4F23" w:rsidP="00816164">
    <w:pPr>
      <w:pStyle w:val="Footer"/>
      <w:ind w:left="-1701"/>
    </w:pPr>
    <w:r w:rsidRPr="002B29B2">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tblCellMar>
      <w:tblLook w:val="04A0" w:firstRow="1" w:lastRow="0" w:firstColumn="1" w:lastColumn="0" w:noHBand="0" w:noVBand="1"/>
    </w:tblPr>
    <w:tblGrid>
      <w:gridCol w:w="7338"/>
      <w:gridCol w:w="1382"/>
    </w:tblGrid>
    <w:tr w:rsidR="004A4F23" w:rsidRPr="004A3084" w14:paraId="7068E358" w14:textId="77777777" w:rsidTr="00231E8D">
      <w:trPr>
        <w:trHeight w:val="423"/>
      </w:trPr>
      <w:tc>
        <w:tcPr>
          <w:tcW w:w="7338" w:type="dxa"/>
          <w:tcBorders>
            <w:top w:val="single" w:sz="4" w:space="0" w:color="auto"/>
          </w:tcBorders>
        </w:tcPr>
        <w:p w14:paraId="2B829CE4" w14:textId="77777777" w:rsidR="004A4F23" w:rsidRPr="004A3084" w:rsidRDefault="004A4F23" w:rsidP="00EC1372">
          <w:pPr>
            <w:pStyle w:val="Footer"/>
          </w:pPr>
          <w:r w:rsidRPr="00F82DCA">
            <w:t>Variations to prescription medicines – excluding variations requiring evaluation of clinical or bioequivalence data; Process guidance</w:t>
          </w:r>
          <w:r>
            <w:br/>
            <w:t>V3.0 July 2019</w:t>
          </w:r>
        </w:p>
      </w:tc>
      <w:tc>
        <w:tcPr>
          <w:tcW w:w="1382" w:type="dxa"/>
          <w:tcBorders>
            <w:top w:val="single" w:sz="4" w:space="0" w:color="auto"/>
          </w:tcBorders>
        </w:tcPr>
        <w:sdt>
          <w:sdtPr>
            <w:id w:val="11571659"/>
            <w:docPartObj>
              <w:docPartGallery w:val="Page Numbers (Top of Page)"/>
              <w:docPartUnique/>
            </w:docPartObj>
          </w:sdtPr>
          <w:sdtEndPr/>
          <w:sdtContent>
            <w:p w14:paraId="4CC9AFC4" w14:textId="77777777" w:rsidR="004A4F23" w:rsidRPr="004A3084" w:rsidRDefault="004A4F23" w:rsidP="00231E8D">
              <w:pPr>
                <w:pStyle w:val="Footer"/>
                <w:jc w:val="right"/>
              </w:pPr>
              <w:r w:rsidRPr="004A3084">
                <w:t xml:space="preserve">Page </w:t>
              </w:r>
              <w:r>
                <w:fldChar w:fldCharType="begin"/>
              </w:r>
              <w:r>
                <w:instrText xml:space="preserve"> PAGE </w:instrText>
              </w:r>
              <w:r>
                <w:fldChar w:fldCharType="separate"/>
              </w:r>
              <w:r w:rsidR="00F72396">
                <w:rPr>
                  <w:noProof/>
                </w:rPr>
                <w:t>39</w:t>
              </w:r>
              <w:r>
                <w:rPr>
                  <w:noProof/>
                </w:rPr>
                <w:fldChar w:fldCharType="end"/>
              </w:r>
              <w:r w:rsidRPr="004A3084">
                <w:t xml:space="preserve"> of </w:t>
              </w:r>
              <w:r>
                <w:fldChar w:fldCharType="begin"/>
              </w:r>
              <w:r>
                <w:instrText xml:space="preserve"> NUMPAGES  </w:instrText>
              </w:r>
              <w:r>
                <w:fldChar w:fldCharType="separate"/>
              </w:r>
              <w:r w:rsidR="00F72396">
                <w:rPr>
                  <w:noProof/>
                </w:rPr>
                <w:t>40</w:t>
              </w:r>
              <w:r>
                <w:rPr>
                  <w:noProof/>
                </w:rPr>
                <w:fldChar w:fldCharType="end"/>
              </w:r>
            </w:p>
          </w:sdtContent>
        </w:sdt>
      </w:tc>
    </w:tr>
  </w:tbl>
  <w:p w14:paraId="02E68B74" w14:textId="77777777" w:rsidR="004A4F23" w:rsidRPr="00826007" w:rsidRDefault="004A4F23" w:rsidP="004A3084">
    <w:pPr>
      <w:pStyle w:val="Footer"/>
      <w:tabs>
        <w:tab w:val="left" w:pos="7620"/>
        <w:tab w:val="right" w:pos="8504"/>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ACFF97" w14:textId="77777777" w:rsidR="004A4F23" w:rsidRPr="008E3C43" w:rsidRDefault="004A4F23" w:rsidP="008E3C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F1E93E" w14:textId="77777777" w:rsidR="004A4F23" w:rsidRDefault="004A4F23" w:rsidP="00C40A36">
      <w:pPr>
        <w:spacing w:after="0"/>
      </w:pPr>
      <w:r>
        <w:separator/>
      </w:r>
    </w:p>
  </w:footnote>
  <w:footnote w:type="continuationSeparator" w:id="0">
    <w:p w14:paraId="1569A451" w14:textId="77777777" w:rsidR="004A4F23" w:rsidRDefault="004A4F23" w:rsidP="00C40A36">
      <w:pPr>
        <w:spacing w:after="0"/>
      </w:pPr>
      <w:r>
        <w:continuationSeparator/>
      </w:r>
    </w:p>
  </w:footnote>
  <w:footnote w:id="1">
    <w:p w14:paraId="40CFB954" w14:textId="77777777" w:rsidR="004A4F23" w:rsidRPr="002E09B6" w:rsidRDefault="004A4F23" w:rsidP="004A4F23">
      <w:pPr>
        <w:pStyle w:val="FootnoteText"/>
        <w:rPr>
          <w:lang w:val="en-US"/>
        </w:rPr>
      </w:pPr>
      <w:r>
        <w:rPr>
          <w:rStyle w:val="FootnoteReference"/>
        </w:rPr>
        <w:footnoteRef/>
      </w:r>
      <w:r>
        <w:t xml:space="preserve"> </w:t>
      </w:r>
      <w:r w:rsidRPr="002E09B6">
        <w:t xml:space="preserve">Except for variations to indications </w:t>
      </w:r>
      <w:r w:rsidRPr="004A4F23">
        <w:t>under</w:t>
      </w:r>
      <w:r w:rsidRPr="002E09B6">
        <w:t xml:space="preserve"> </w:t>
      </w:r>
      <w:r>
        <w:t xml:space="preserve">s. 9D(2) of the </w:t>
      </w:r>
      <w:r w:rsidRPr="004545D7">
        <w:rPr>
          <w:i/>
        </w:rPr>
        <w:t>Therapeutic Goods Act 1989</w:t>
      </w:r>
      <w:r w:rsidRPr="002E09B6">
        <w:t>, as described in s</w:t>
      </w:r>
      <w:r>
        <w:t>. </w:t>
      </w:r>
      <w:r w:rsidRPr="002E09B6">
        <w:t>9D(2A).</w:t>
      </w:r>
    </w:p>
  </w:footnote>
  <w:footnote w:id="2">
    <w:p w14:paraId="7C05A0C8" w14:textId="77777777" w:rsidR="004A4F23" w:rsidRDefault="004A4F23" w:rsidP="004A4F23">
      <w:pPr>
        <w:pStyle w:val="FootnoteText"/>
      </w:pPr>
      <w:r>
        <w:rPr>
          <w:rStyle w:val="FootnoteReference"/>
        </w:rPr>
        <w:footnoteRef/>
      </w:r>
      <w:r>
        <w:t xml:space="preserve"> ‘Working day’ refers to a day that is not any of the following: a</w:t>
      </w:r>
      <w:r w:rsidRPr="00865656">
        <w:t xml:space="preserve"> </w:t>
      </w:r>
      <w:r>
        <w:t>Saturday; a Sunday; a public holiday in the Australian Capital Territory; or a day between Boxing Day (26 December) and 1 January.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5FB8BD" w14:textId="77777777" w:rsidR="004A4F23" w:rsidRDefault="0057494E" w:rsidP="00C3408D">
    <w:pPr>
      <w:pStyle w:val="Header"/>
    </w:pPr>
    <w:sdt>
      <w:sdtPr>
        <w:id w:val="-203553135"/>
        <w:docPartObj>
          <w:docPartGallery w:val="Watermarks"/>
          <w:docPartUnique/>
        </w:docPartObj>
      </w:sdtPr>
      <w:sdtEndPr/>
      <w:sdtContent>
        <w:r>
          <w:rPr>
            <w:noProof/>
          </w:rPr>
          <w:pict w14:anchorId="57C190E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413303" o:spid="_x0000_s2063" type="#_x0000_t136" style="position:absolute;left:0;text-align:left;margin-left:0;margin-top:0;width:535.5pt;height:202.5pt;rotation:315;z-index:251657216;mso-position-horizontal:center;mso-position-horizontal-relative:margin;mso-position-vertical:center;mso-position-vertical-relative:margin" o:allowincell="f" fillcolor="#4a8485" stroked="f">
              <v:fill opacity=".5"/>
              <v:textpath style="font-family:&quot;Arial Black&quot;;font-size:2in" string="DRAFT"/>
              <w10:wrap anchorx="margin" anchory="margin"/>
            </v:shape>
          </w:pict>
        </w:r>
      </w:sdtContent>
    </w:sdt>
    <w:r w:rsidR="004A4F23" w:rsidRPr="000F5176">
      <w:t>Therapeutic Goods Administration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pPr w:leftFromText="181" w:rightFromText="181" w:vertAnchor="page" w:horzAnchor="page" w:tblpX="1" w:tblpY="8999"/>
      <w:tblOverlap w:val="never"/>
      <w:tblW w:w="119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964"/>
    </w:tblGrid>
    <w:tr w:rsidR="004A4F23" w:rsidRPr="002B29B2" w14:paraId="2433FDC1" w14:textId="77777777" w:rsidTr="00F71E1E">
      <w:trPr>
        <w:trHeight w:hRule="exact" w:val="8845"/>
      </w:trPr>
      <w:tc>
        <w:tcPr>
          <w:tcW w:w="11964" w:type="dxa"/>
          <w:vAlign w:val="center"/>
        </w:tcPr>
        <w:p w14:paraId="6BC29DFE" w14:textId="77777777" w:rsidR="004A4F23" w:rsidRPr="002B29B2" w:rsidRDefault="0057494E" w:rsidP="006A2426">
          <w:pPr>
            <w:ind w:left="-57"/>
            <w:rPr>
              <w:noProof/>
            </w:rPr>
          </w:pPr>
          <w:sdt>
            <w:sdtPr>
              <w:rPr>
                <w:noProof/>
              </w:rPr>
              <w:id w:val="1926993388"/>
              <w:picture/>
            </w:sdtPr>
            <w:sdtEndPr/>
            <w:sdtContent>
              <w:r w:rsidR="004A4F23" w:rsidRPr="00F71E1E">
                <w:rPr>
                  <w:noProof/>
                  <w:lang w:eastAsia="en-AU"/>
                </w:rPr>
                <w:drawing>
                  <wp:inline distT="0" distB="0" distL="0" distR="0" wp14:anchorId="37E0CF1A" wp14:editId="4675E279">
                    <wp:extent cx="7625301" cy="6867064"/>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630326" cy="6871589"/>
                            </a:xfrm>
                            <a:prstGeom prst="rect">
                              <a:avLst/>
                            </a:prstGeom>
                            <a:noFill/>
                            <a:ln w="9525">
                              <a:noFill/>
                              <a:miter lim="800000"/>
                              <a:headEnd/>
                              <a:tailEnd/>
                            </a:ln>
                          </pic:spPr>
                        </pic:pic>
                      </a:graphicData>
                    </a:graphic>
                  </wp:inline>
                </w:drawing>
              </w:r>
            </w:sdtContent>
          </w:sdt>
        </w:p>
      </w:tc>
    </w:tr>
  </w:tbl>
  <w:p w14:paraId="799A9EEA" w14:textId="77777777" w:rsidR="004A4F23" w:rsidRDefault="004A4F23" w:rsidP="006D03E5">
    <w:pPr>
      <w:rPr>
        <w:noProof/>
      </w:rPr>
    </w:pPr>
    <w:r>
      <w:rPr>
        <w:noProof/>
        <w:lang w:eastAsia="en-AU"/>
      </w:rPr>
      <w:drawing>
        <wp:anchor distT="0" distB="0" distL="114300" distR="114300" simplePos="0" relativeHeight="251664384" behindDoc="0" locked="0" layoutInCell="1" allowOverlap="1" wp14:anchorId="337E277B" wp14:editId="09BD6644">
          <wp:simplePos x="0" y="0"/>
          <wp:positionH relativeFrom="column">
            <wp:posOffset>-186055</wp:posOffset>
          </wp:positionH>
          <wp:positionV relativeFrom="paragraph">
            <wp:posOffset>-58420</wp:posOffset>
          </wp:positionV>
          <wp:extent cx="3524250" cy="1209675"/>
          <wp:effectExtent l="19050" t="0" r="0" b="0"/>
          <wp:wrapTopAndBottom/>
          <wp:docPr id="4" name="Picture 1" descr="Therapeutic Goods Administ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Work\_resources\TGA Vector Graphics\DH&amp;A\New crests Sept 2013\DH-TGA_inline_black-RGB-1200.gif"/>
                  <pic:cNvPicPr>
                    <a:picLocks noChangeAspect="1" noChangeArrowheads="1"/>
                  </pic:cNvPicPr>
                </pic:nvPicPr>
                <pic:blipFill>
                  <a:blip r:embed="rId2"/>
                  <a:srcRect/>
                  <a:stretch>
                    <a:fillRect/>
                  </a:stretch>
                </pic:blipFill>
                <pic:spPr bwMode="auto">
                  <a:xfrm>
                    <a:off x="0" y="0"/>
                    <a:ext cx="3524250" cy="1209675"/>
                  </a:xfrm>
                  <a:prstGeom prst="rect">
                    <a:avLst/>
                  </a:prstGeom>
                  <a:noFill/>
                  <a:ln w="9525">
                    <a:noFill/>
                    <a:miter lim="800000"/>
                    <a:headEnd/>
                    <a:tailEnd/>
                  </a:ln>
                </pic:spPr>
              </pic:pic>
            </a:graphicData>
          </a:graphic>
        </wp:anchor>
      </w:drawing>
    </w:r>
    <w:r w:rsidRPr="002B29B2">
      <w:rPr>
        <w:noProof/>
        <w:lang w:eastAsia="en-AU"/>
      </w:rPr>
      <w:drawing>
        <wp:anchor distT="0" distB="0" distL="114300" distR="114300" simplePos="0" relativeHeight="251662336" behindDoc="0" locked="0" layoutInCell="0" allowOverlap="1" wp14:anchorId="4208E43E" wp14:editId="6A28F86F">
          <wp:simplePos x="0" y="0"/>
          <wp:positionH relativeFrom="page">
            <wp:posOffset>0</wp:posOffset>
          </wp:positionH>
          <wp:positionV relativeFrom="page">
            <wp:posOffset>4152900</wp:posOffset>
          </wp:positionV>
          <wp:extent cx="7581900" cy="2447925"/>
          <wp:effectExtent l="19050" t="0" r="0" b="0"/>
          <wp:wrapNone/>
          <wp:docPr id="5" name="Picture 5" descr="TGA: Health, Safety, Regu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fletct\Desktop\TGA-Swoosh-w-Wordmark-CMYK.gif"/>
                  <pic:cNvPicPr>
                    <a:picLocks noChangeAspect="1" noChangeArrowheads="1"/>
                  </pic:cNvPicPr>
                </pic:nvPicPr>
                <pic:blipFill>
                  <a:blip r:embed="rId3" cstate="print"/>
                  <a:srcRect/>
                  <a:stretch>
                    <a:fillRect/>
                  </a:stretch>
                </pic:blipFill>
                <pic:spPr bwMode="auto">
                  <a:xfrm>
                    <a:off x="0" y="0"/>
                    <a:ext cx="7581900" cy="2447925"/>
                  </a:xfrm>
                  <a:prstGeom prst="rect">
                    <a:avLst/>
                  </a:prstGeom>
                  <a:noFill/>
                  <a:ln w="9525">
                    <a:noFill/>
                    <a:miter lim="800000"/>
                    <a:headEnd/>
                    <a:tailEnd/>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D46EF" w14:textId="77777777" w:rsidR="004A4F23" w:rsidRDefault="004A4F23" w:rsidP="00C3408D">
    <w:pPr>
      <w:pStyle w:val="Header"/>
    </w:pPr>
    <w:r w:rsidRPr="000F5176">
      <w:t>Therapeutic Goods Administration</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6B1EC0" w14:textId="77777777" w:rsidR="004A4F23" w:rsidRPr="00FE501F" w:rsidRDefault="004A4F23" w:rsidP="007F2054">
    <w:pPr>
      <w:pStyle w:val="Headernoli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42287F0C"/>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6CCC62E4"/>
    <w:lvl w:ilvl="0">
      <w:start w:val="1"/>
      <w:numFmt w:val="bullet"/>
      <w:lvlText w:val="–"/>
      <w:lvlJc w:val="left"/>
      <w:pPr>
        <w:ind w:left="643" w:hanging="360"/>
      </w:pPr>
      <w:rPr>
        <w:rFonts w:ascii="Arial" w:hAnsi="Arial" w:hint="default"/>
      </w:rPr>
    </w:lvl>
  </w:abstractNum>
  <w:abstractNum w:abstractNumId="2" w15:restartNumberingAfterBreak="0">
    <w:nsid w:val="FFFFFF89"/>
    <w:multiLevelType w:val="singleLevel"/>
    <w:tmpl w:val="4E7A15EC"/>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0053F11"/>
    <w:multiLevelType w:val="multilevel"/>
    <w:tmpl w:val="575CEDBE"/>
    <w:styleLink w:val="NumberBullet"/>
    <w:lvl w:ilvl="0">
      <w:start w:val="1"/>
      <w:numFmt w:val="decimal"/>
      <w:pStyle w:val="Numberbullet0"/>
      <w:lvlText w:val="%1."/>
      <w:lvlJc w:val="left"/>
      <w:pPr>
        <w:ind w:left="425" w:hanging="425"/>
      </w:pPr>
      <w:rPr>
        <w:rFonts w:ascii="Cambria" w:hAnsi="Cambria" w:hint="default"/>
      </w:rPr>
    </w:lvl>
    <w:lvl w:ilvl="1">
      <w:start w:val="1"/>
      <w:numFmt w:val="lowerLetter"/>
      <w:pStyle w:val="Numberbullet2"/>
      <w:lvlText w:val="%2."/>
      <w:lvlJc w:val="left"/>
      <w:pPr>
        <w:ind w:left="851" w:hanging="426"/>
      </w:pPr>
      <w:rPr>
        <w:rFonts w:hint="default"/>
      </w:rPr>
    </w:lvl>
    <w:lvl w:ilvl="2">
      <w:start w:val="1"/>
      <w:numFmt w:val="lowerRoman"/>
      <w:lvlText w:val="%3."/>
      <w:lvlJc w:val="left"/>
      <w:pPr>
        <w:ind w:left="1276" w:hanging="425"/>
      </w:pPr>
      <w:rPr>
        <w:rFonts w:hint="default"/>
      </w:rPr>
    </w:lvl>
    <w:lvl w:ilvl="3">
      <w:start w:val="1"/>
      <w:numFmt w:val="none"/>
      <w:lvlText w:val=""/>
      <w:lvlJc w:val="left"/>
      <w:pPr>
        <w:ind w:left="1276" w:hanging="425"/>
      </w:pPr>
      <w:rPr>
        <w:rFonts w:hint="default"/>
      </w:rPr>
    </w:lvl>
    <w:lvl w:ilvl="4">
      <w:start w:val="1"/>
      <w:numFmt w:val="none"/>
      <w:lvlText w:val=""/>
      <w:lvlJc w:val="left"/>
      <w:pPr>
        <w:ind w:left="1276" w:hanging="425"/>
      </w:pPr>
      <w:rPr>
        <w:rFonts w:hint="default"/>
      </w:rPr>
    </w:lvl>
    <w:lvl w:ilvl="5">
      <w:start w:val="1"/>
      <w:numFmt w:val="none"/>
      <w:lvlText w:val=""/>
      <w:lvlJc w:val="left"/>
      <w:pPr>
        <w:ind w:left="1276" w:hanging="425"/>
      </w:pPr>
      <w:rPr>
        <w:rFonts w:hint="default"/>
      </w:rPr>
    </w:lvl>
    <w:lvl w:ilvl="6">
      <w:start w:val="1"/>
      <w:numFmt w:val="none"/>
      <w:lvlText w:val="%7"/>
      <w:lvlJc w:val="left"/>
      <w:pPr>
        <w:ind w:left="1276" w:hanging="425"/>
      </w:pPr>
      <w:rPr>
        <w:rFonts w:hint="default"/>
      </w:rPr>
    </w:lvl>
    <w:lvl w:ilvl="7">
      <w:start w:val="1"/>
      <w:numFmt w:val="none"/>
      <w:lvlText w:val=""/>
      <w:lvlJc w:val="left"/>
      <w:pPr>
        <w:ind w:left="1276" w:hanging="425"/>
      </w:pPr>
      <w:rPr>
        <w:rFonts w:hint="default"/>
      </w:rPr>
    </w:lvl>
    <w:lvl w:ilvl="8">
      <w:start w:val="1"/>
      <w:numFmt w:val="none"/>
      <w:lvlText w:val=""/>
      <w:lvlJc w:val="left"/>
      <w:pPr>
        <w:ind w:left="1276" w:hanging="425"/>
      </w:pPr>
      <w:rPr>
        <w:rFonts w:hint="default"/>
      </w:rPr>
    </w:lvl>
  </w:abstractNum>
  <w:abstractNum w:abstractNumId="4" w15:restartNumberingAfterBreak="0">
    <w:nsid w:val="163F187C"/>
    <w:multiLevelType w:val="hybridMultilevel"/>
    <w:tmpl w:val="20409048"/>
    <w:lvl w:ilvl="0" w:tplc="669A989C">
      <w:start w:val="4"/>
      <w:numFmt w:val="bullet"/>
      <w:pStyle w:val="ListBullet3"/>
      <w:lvlText w:val="▪"/>
      <w:lvlJc w:val="left"/>
      <w:pPr>
        <w:ind w:left="1571" w:hanging="360"/>
      </w:pPr>
      <w:rPr>
        <w:rFonts w:ascii="Arial" w:eastAsia="Cambria" w:hAnsi="Aria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5" w15:restartNumberingAfterBreak="0">
    <w:nsid w:val="168F13E9"/>
    <w:multiLevelType w:val="multilevel"/>
    <w:tmpl w:val="F580D818"/>
    <w:styleLink w:val="ListBullets"/>
    <w:lvl w:ilvl="0">
      <w:start w:val="1"/>
      <w:numFmt w:val="bullet"/>
      <w:pStyle w:val="ListBullet"/>
      <w:lvlText w:val="•"/>
      <w:lvlJc w:val="left"/>
      <w:pPr>
        <w:ind w:left="360" w:hanging="360"/>
      </w:pPr>
      <w:rPr>
        <w:rFonts w:ascii="Arial" w:hAnsi="Arial" w:hint="default"/>
      </w:rPr>
    </w:lvl>
    <w:lvl w:ilvl="1">
      <w:start w:val="1"/>
      <w:numFmt w:val="bullet"/>
      <w:pStyle w:val="ListBullet2"/>
      <w:lvlText w:val="–"/>
      <w:lvlJc w:val="left"/>
      <w:pPr>
        <w:ind w:left="720" w:hanging="360"/>
      </w:pPr>
      <w:rPr>
        <w:rFonts w:ascii="Arial" w:hAnsi="Arial" w:hint="default"/>
      </w:rPr>
    </w:lvl>
    <w:lvl w:ilvl="2">
      <w:start w:val="1"/>
      <w:numFmt w:val="bullet"/>
      <w:lvlText w:val=""/>
      <w:lvlJc w:val="left"/>
      <w:pPr>
        <w:ind w:left="1080" w:hanging="360"/>
      </w:pPr>
      <w:rPr>
        <w:rFonts w:ascii="Wingdings" w:hAnsi="Wingding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6" w15:restartNumberingAfterBreak="0">
    <w:nsid w:val="25AE5033"/>
    <w:multiLevelType w:val="hybridMultilevel"/>
    <w:tmpl w:val="FE56EC2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43A71905"/>
    <w:multiLevelType w:val="hybridMultilevel"/>
    <w:tmpl w:val="37C289D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50336B0D"/>
    <w:multiLevelType w:val="hybridMultilevel"/>
    <w:tmpl w:val="5D54CD1A"/>
    <w:lvl w:ilvl="0" w:tplc="4EDE096A">
      <w:start w:val="1"/>
      <w:numFmt w:val="lowerRoman"/>
      <w:pStyle w:val="Numberbullet3"/>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51211CAB"/>
    <w:multiLevelType w:val="multilevel"/>
    <w:tmpl w:val="76F8762E"/>
    <w:lvl w:ilvl="0">
      <w:start w:val="1"/>
      <w:numFmt w:val="decimal"/>
      <w:pStyle w:val="Heading2"/>
      <w:lvlText w:val="%1."/>
      <w:lvlJc w:val="left"/>
      <w:pPr>
        <w:ind w:left="567" w:hanging="567"/>
      </w:pPr>
      <w:rPr>
        <w:rFonts w:hint="default"/>
      </w:rPr>
    </w:lvl>
    <w:lvl w:ilvl="1">
      <w:start w:val="1"/>
      <w:numFmt w:val="decimal"/>
      <w:pStyle w:val="Heading3"/>
      <w:lvlText w:val="%1.%2"/>
      <w:lvlJc w:val="left"/>
      <w:pPr>
        <w:ind w:left="720" w:hanging="720"/>
      </w:pPr>
      <w:rPr>
        <w:rFonts w:hint="default"/>
      </w:rPr>
    </w:lvl>
    <w:lvl w:ilvl="2">
      <w:start w:val="1"/>
      <w:numFmt w:val="decimal"/>
      <w:pStyle w:val="Heading4"/>
      <w:lvlText w:val="%1.%2.%3"/>
      <w:lvlJc w:val="left"/>
      <w:pPr>
        <w:ind w:left="851" w:hanging="851"/>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57E117B"/>
    <w:multiLevelType w:val="hybridMultilevel"/>
    <w:tmpl w:val="796CB31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6F2F23C1"/>
    <w:multiLevelType w:val="hybridMultilevel"/>
    <w:tmpl w:val="D0108766"/>
    <w:lvl w:ilvl="0" w:tplc="B40A9304">
      <w:numFmt w:val="bullet"/>
      <w:lvlText w:val="•"/>
      <w:lvlJc w:val="left"/>
      <w:pPr>
        <w:ind w:left="1080" w:hanging="720"/>
      </w:pPr>
      <w:rPr>
        <w:rFonts w:ascii="Cambria" w:eastAsia="Cambria" w:hAnsi="Cambri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8CE4C8E"/>
    <w:multiLevelType w:val="hybridMultilevel"/>
    <w:tmpl w:val="670491A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322663168">
    <w:abstractNumId w:val="2"/>
  </w:num>
  <w:num w:numId="2" w16cid:durableId="1671909751">
    <w:abstractNumId w:val="1"/>
  </w:num>
  <w:num w:numId="3" w16cid:durableId="1285306516">
    <w:abstractNumId w:val="5"/>
  </w:num>
  <w:num w:numId="4" w16cid:durableId="847252885">
    <w:abstractNumId w:val="5"/>
  </w:num>
  <w:num w:numId="5" w16cid:durableId="2143764098">
    <w:abstractNumId w:val="0"/>
  </w:num>
  <w:num w:numId="6" w16cid:durableId="1276673801">
    <w:abstractNumId w:val="5"/>
  </w:num>
  <w:num w:numId="7" w16cid:durableId="32048962">
    <w:abstractNumId w:val="5"/>
  </w:num>
  <w:num w:numId="8" w16cid:durableId="1281301026">
    <w:abstractNumId w:val="3"/>
  </w:num>
  <w:num w:numId="9" w16cid:durableId="656343997">
    <w:abstractNumId w:val="3"/>
  </w:num>
  <w:num w:numId="10" w16cid:durableId="2133590031">
    <w:abstractNumId w:val="3"/>
  </w:num>
  <w:num w:numId="11" w16cid:durableId="1455176437">
    <w:abstractNumId w:val="3"/>
  </w:num>
  <w:num w:numId="12" w16cid:durableId="1332096770">
    <w:abstractNumId w:val="5"/>
  </w:num>
  <w:num w:numId="13" w16cid:durableId="1175804601">
    <w:abstractNumId w:val="5"/>
  </w:num>
  <w:num w:numId="14" w16cid:durableId="1665544572">
    <w:abstractNumId w:val="5"/>
  </w:num>
  <w:num w:numId="15" w16cid:durableId="1919824394">
    <w:abstractNumId w:val="3"/>
  </w:num>
  <w:num w:numId="16" w16cid:durableId="941307180">
    <w:abstractNumId w:val="3"/>
  </w:num>
  <w:num w:numId="17" w16cid:durableId="111635318">
    <w:abstractNumId w:val="3"/>
  </w:num>
  <w:num w:numId="18" w16cid:durableId="469516622">
    <w:abstractNumId w:val="4"/>
  </w:num>
  <w:num w:numId="19" w16cid:durableId="2017146686">
    <w:abstractNumId w:val="8"/>
  </w:num>
  <w:num w:numId="20" w16cid:durableId="717781565">
    <w:abstractNumId w:val="5"/>
    <w:lvlOverride w:ilvl="1">
      <w:lvl w:ilvl="1">
        <w:start w:val="1"/>
        <w:numFmt w:val="bullet"/>
        <w:pStyle w:val="ListBullet2"/>
        <w:lvlText w:val="–"/>
        <w:lvlJc w:val="left"/>
        <w:pPr>
          <w:ind w:left="720"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21" w16cid:durableId="2095930431">
    <w:abstractNumId w:val="9"/>
  </w:num>
  <w:num w:numId="22" w16cid:durableId="642009951">
    <w:abstractNumId w:val="11"/>
  </w:num>
  <w:num w:numId="23" w16cid:durableId="279188002">
    <w:abstractNumId w:val="10"/>
  </w:num>
  <w:num w:numId="24" w16cid:durableId="1224173745">
    <w:abstractNumId w:val="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13208761">
    <w:abstractNumId w:val="12"/>
  </w:num>
  <w:num w:numId="26" w16cid:durableId="1080907286">
    <w:abstractNumId w:val="6"/>
  </w:num>
  <w:num w:numId="27" w16cid:durableId="131506866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64" fill="f" fillcolor="#c6d4e9" strokecolor="#002c47">
      <v:fill color="#c6d4e9" on="f"/>
      <v:stroke color="#002c47"/>
    </o:shapedefaults>
    <o:shapelayout v:ext="edit">
      <o:idmap v:ext="edit" data="2"/>
    </o:shapelayout>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DCA"/>
    <w:rsid w:val="00002031"/>
    <w:rsid w:val="000040BA"/>
    <w:rsid w:val="00004734"/>
    <w:rsid w:val="00006B22"/>
    <w:rsid w:val="00010E4D"/>
    <w:rsid w:val="0001276A"/>
    <w:rsid w:val="0001302D"/>
    <w:rsid w:val="000144B6"/>
    <w:rsid w:val="00016BEB"/>
    <w:rsid w:val="000246AE"/>
    <w:rsid w:val="00025C67"/>
    <w:rsid w:val="000277D1"/>
    <w:rsid w:val="00032FFB"/>
    <w:rsid w:val="00042B40"/>
    <w:rsid w:val="00047541"/>
    <w:rsid w:val="0005559E"/>
    <w:rsid w:val="0005692C"/>
    <w:rsid w:val="00060C0A"/>
    <w:rsid w:val="000703AB"/>
    <w:rsid w:val="00072742"/>
    <w:rsid w:val="00077775"/>
    <w:rsid w:val="00080B21"/>
    <w:rsid w:val="000819A7"/>
    <w:rsid w:val="00081D0A"/>
    <w:rsid w:val="00082DAD"/>
    <w:rsid w:val="00090471"/>
    <w:rsid w:val="000934A6"/>
    <w:rsid w:val="00095503"/>
    <w:rsid w:val="0009694D"/>
    <w:rsid w:val="000A18EA"/>
    <w:rsid w:val="000A24AF"/>
    <w:rsid w:val="000A3543"/>
    <w:rsid w:val="000A4371"/>
    <w:rsid w:val="000B2FA2"/>
    <w:rsid w:val="000B30E5"/>
    <w:rsid w:val="000B3532"/>
    <w:rsid w:val="000B3A75"/>
    <w:rsid w:val="000B574E"/>
    <w:rsid w:val="000B5E4E"/>
    <w:rsid w:val="000B6CAE"/>
    <w:rsid w:val="000B7084"/>
    <w:rsid w:val="000C2368"/>
    <w:rsid w:val="000D0851"/>
    <w:rsid w:val="000D157F"/>
    <w:rsid w:val="000D391B"/>
    <w:rsid w:val="000D3D6D"/>
    <w:rsid w:val="000D47F5"/>
    <w:rsid w:val="000D4FC7"/>
    <w:rsid w:val="000F0241"/>
    <w:rsid w:val="000F1B6C"/>
    <w:rsid w:val="000F1C73"/>
    <w:rsid w:val="000F1D3F"/>
    <w:rsid w:val="000F4869"/>
    <w:rsid w:val="000F5176"/>
    <w:rsid w:val="000F5978"/>
    <w:rsid w:val="000F5B42"/>
    <w:rsid w:val="000F60E1"/>
    <w:rsid w:val="000F6687"/>
    <w:rsid w:val="000F6E6F"/>
    <w:rsid w:val="001003F2"/>
    <w:rsid w:val="00102BDA"/>
    <w:rsid w:val="0010601F"/>
    <w:rsid w:val="00110EA5"/>
    <w:rsid w:val="00115240"/>
    <w:rsid w:val="00115508"/>
    <w:rsid w:val="00116C9A"/>
    <w:rsid w:val="001210F1"/>
    <w:rsid w:val="00124427"/>
    <w:rsid w:val="00125091"/>
    <w:rsid w:val="00125318"/>
    <w:rsid w:val="00126299"/>
    <w:rsid w:val="00126FE6"/>
    <w:rsid w:val="001305A2"/>
    <w:rsid w:val="00133238"/>
    <w:rsid w:val="00134F66"/>
    <w:rsid w:val="00135BF3"/>
    <w:rsid w:val="00140FE3"/>
    <w:rsid w:val="0014197B"/>
    <w:rsid w:val="0014247A"/>
    <w:rsid w:val="001447CD"/>
    <w:rsid w:val="00145980"/>
    <w:rsid w:val="001500F7"/>
    <w:rsid w:val="001515D5"/>
    <w:rsid w:val="001516B1"/>
    <w:rsid w:val="001525B4"/>
    <w:rsid w:val="00156316"/>
    <w:rsid w:val="001643D6"/>
    <w:rsid w:val="00165327"/>
    <w:rsid w:val="0016534B"/>
    <w:rsid w:val="00165389"/>
    <w:rsid w:val="00165DC3"/>
    <w:rsid w:val="00166F96"/>
    <w:rsid w:val="001713A3"/>
    <w:rsid w:val="00172A15"/>
    <w:rsid w:val="0017693F"/>
    <w:rsid w:val="0018110E"/>
    <w:rsid w:val="00181684"/>
    <w:rsid w:val="001843C6"/>
    <w:rsid w:val="001850E0"/>
    <w:rsid w:val="0018660B"/>
    <w:rsid w:val="00192AAA"/>
    <w:rsid w:val="001A3190"/>
    <w:rsid w:val="001A525F"/>
    <w:rsid w:val="001B09F9"/>
    <w:rsid w:val="001B6448"/>
    <w:rsid w:val="001C208C"/>
    <w:rsid w:val="001C254B"/>
    <w:rsid w:val="001C3A9E"/>
    <w:rsid w:val="001C5C8F"/>
    <w:rsid w:val="001C6B48"/>
    <w:rsid w:val="001D7224"/>
    <w:rsid w:val="001E07CF"/>
    <w:rsid w:val="001E275A"/>
    <w:rsid w:val="001E59F1"/>
    <w:rsid w:val="001F0E98"/>
    <w:rsid w:val="001F124F"/>
    <w:rsid w:val="001F14C0"/>
    <w:rsid w:val="001F1D4C"/>
    <w:rsid w:val="001F20F9"/>
    <w:rsid w:val="001F49EB"/>
    <w:rsid w:val="001F6CBA"/>
    <w:rsid w:val="00201AA4"/>
    <w:rsid w:val="00201D4E"/>
    <w:rsid w:val="00210E21"/>
    <w:rsid w:val="00215D48"/>
    <w:rsid w:val="00217091"/>
    <w:rsid w:val="00220B8A"/>
    <w:rsid w:val="0022190A"/>
    <w:rsid w:val="002257F3"/>
    <w:rsid w:val="00230445"/>
    <w:rsid w:val="00230C81"/>
    <w:rsid w:val="00230FEF"/>
    <w:rsid w:val="00231E8D"/>
    <w:rsid w:val="00233456"/>
    <w:rsid w:val="002339A5"/>
    <w:rsid w:val="002349FE"/>
    <w:rsid w:val="00237691"/>
    <w:rsid w:val="002429CE"/>
    <w:rsid w:val="002433FF"/>
    <w:rsid w:val="002436A3"/>
    <w:rsid w:val="00247FB9"/>
    <w:rsid w:val="002558CD"/>
    <w:rsid w:val="00257138"/>
    <w:rsid w:val="00257848"/>
    <w:rsid w:val="0027084A"/>
    <w:rsid w:val="0027699C"/>
    <w:rsid w:val="00282C6B"/>
    <w:rsid w:val="00286434"/>
    <w:rsid w:val="00286C59"/>
    <w:rsid w:val="0029069E"/>
    <w:rsid w:val="00290795"/>
    <w:rsid w:val="002942D1"/>
    <w:rsid w:val="002A0556"/>
    <w:rsid w:val="002A2D3F"/>
    <w:rsid w:val="002A592C"/>
    <w:rsid w:val="002A5B3A"/>
    <w:rsid w:val="002B1638"/>
    <w:rsid w:val="002B25CB"/>
    <w:rsid w:val="002B29B2"/>
    <w:rsid w:val="002C376C"/>
    <w:rsid w:val="002C4068"/>
    <w:rsid w:val="002C4CD0"/>
    <w:rsid w:val="002C6E9C"/>
    <w:rsid w:val="002D5975"/>
    <w:rsid w:val="002E193A"/>
    <w:rsid w:val="002E364F"/>
    <w:rsid w:val="002E4C9A"/>
    <w:rsid w:val="002F097F"/>
    <w:rsid w:val="002F11F8"/>
    <w:rsid w:val="002F134E"/>
    <w:rsid w:val="002F260A"/>
    <w:rsid w:val="002F3F56"/>
    <w:rsid w:val="002F44B5"/>
    <w:rsid w:val="00300350"/>
    <w:rsid w:val="00301FA3"/>
    <w:rsid w:val="00311AC0"/>
    <w:rsid w:val="00312CE2"/>
    <w:rsid w:val="00322718"/>
    <w:rsid w:val="00323F14"/>
    <w:rsid w:val="003252DE"/>
    <w:rsid w:val="00331DBB"/>
    <w:rsid w:val="00335C3B"/>
    <w:rsid w:val="003361D1"/>
    <w:rsid w:val="00342042"/>
    <w:rsid w:val="00350236"/>
    <w:rsid w:val="0035146C"/>
    <w:rsid w:val="003521E8"/>
    <w:rsid w:val="00355F45"/>
    <w:rsid w:val="00357700"/>
    <w:rsid w:val="0036361E"/>
    <w:rsid w:val="003664BF"/>
    <w:rsid w:val="003728F3"/>
    <w:rsid w:val="00375C5C"/>
    <w:rsid w:val="00376793"/>
    <w:rsid w:val="00377E75"/>
    <w:rsid w:val="00383CE3"/>
    <w:rsid w:val="003843F6"/>
    <w:rsid w:val="00390900"/>
    <w:rsid w:val="00393398"/>
    <w:rsid w:val="00393686"/>
    <w:rsid w:val="003A2C3B"/>
    <w:rsid w:val="003A2DDF"/>
    <w:rsid w:val="003B2A99"/>
    <w:rsid w:val="003B362C"/>
    <w:rsid w:val="003B57AB"/>
    <w:rsid w:val="003B7E39"/>
    <w:rsid w:val="003C0D83"/>
    <w:rsid w:val="003C1076"/>
    <w:rsid w:val="003C18B0"/>
    <w:rsid w:val="003C3C85"/>
    <w:rsid w:val="003C58DC"/>
    <w:rsid w:val="003C6095"/>
    <w:rsid w:val="003D1186"/>
    <w:rsid w:val="003D3236"/>
    <w:rsid w:val="003D3B63"/>
    <w:rsid w:val="003D4265"/>
    <w:rsid w:val="003D6B56"/>
    <w:rsid w:val="003E0A89"/>
    <w:rsid w:val="003E3208"/>
    <w:rsid w:val="003F0B04"/>
    <w:rsid w:val="003F2E95"/>
    <w:rsid w:val="0040134E"/>
    <w:rsid w:val="00402A26"/>
    <w:rsid w:val="00404B57"/>
    <w:rsid w:val="00406DB9"/>
    <w:rsid w:val="004113DA"/>
    <w:rsid w:val="00416BCB"/>
    <w:rsid w:val="004206BA"/>
    <w:rsid w:val="00440A2D"/>
    <w:rsid w:val="00442DA9"/>
    <w:rsid w:val="0045040C"/>
    <w:rsid w:val="00450E69"/>
    <w:rsid w:val="004564A7"/>
    <w:rsid w:val="004617BF"/>
    <w:rsid w:val="00463032"/>
    <w:rsid w:val="00464A57"/>
    <w:rsid w:val="004650C9"/>
    <w:rsid w:val="00466026"/>
    <w:rsid w:val="00473864"/>
    <w:rsid w:val="00483D37"/>
    <w:rsid w:val="00491E61"/>
    <w:rsid w:val="004923FF"/>
    <w:rsid w:val="004927EC"/>
    <w:rsid w:val="00494CA4"/>
    <w:rsid w:val="00494E60"/>
    <w:rsid w:val="00495A47"/>
    <w:rsid w:val="0049734C"/>
    <w:rsid w:val="00497580"/>
    <w:rsid w:val="004A3084"/>
    <w:rsid w:val="004A460A"/>
    <w:rsid w:val="004A4F23"/>
    <w:rsid w:val="004B7B76"/>
    <w:rsid w:val="004C0070"/>
    <w:rsid w:val="004C100A"/>
    <w:rsid w:val="004C218E"/>
    <w:rsid w:val="004C4096"/>
    <w:rsid w:val="004D3092"/>
    <w:rsid w:val="004D51A6"/>
    <w:rsid w:val="004E0AC7"/>
    <w:rsid w:val="004F0F38"/>
    <w:rsid w:val="004F1240"/>
    <w:rsid w:val="004F40D8"/>
    <w:rsid w:val="004F484B"/>
    <w:rsid w:val="00500025"/>
    <w:rsid w:val="00500277"/>
    <w:rsid w:val="005002DD"/>
    <w:rsid w:val="00501736"/>
    <w:rsid w:val="00501921"/>
    <w:rsid w:val="00503131"/>
    <w:rsid w:val="00503343"/>
    <w:rsid w:val="00517CC8"/>
    <w:rsid w:val="00523FB1"/>
    <w:rsid w:val="00530354"/>
    <w:rsid w:val="00530E5B"/>
    <w:rsid w:val="00535B23"/>
    <w:rsid w:val="00535D83"/>
    <w:rsid w:val="0054053C"/>
    <w:rsid w:val="00541FD8"/>
    <w:rsid w:val="005423EF"/>
    <w:rsid w:val="005434C6"/>
    <w:rsid w:val="00543B39"/>
    <w:rsid w:val="00550096"/>
    <w:rsid w:val="0055653F"/>
    <w:rsid w:val="00557FF9"/>
    <w:rsid w:val="00560037"/>
    <w:rsid w:val="00567A2E"/>
    <w:rsid w:val="0057494E"/>
    <w:rsid w:val="00575454"/>
    <w:rsid w:val="0057564C"/>
    <w:rsid w:val="00576378"/>
    <w:rsid w:val="00577E38"/>
    <w:rsid w:val="00584285"/>
    <w:rsid w:val="0058519E"/>
    <w:rsid w:val="00585322"/>
    <w:rsid w:val="00585471"/>
    <w:rsid w:val="0058768A"/>
    <w:rsid w:val="0059345B"/>
    <w:rsid w:val="00593AD1"/>
    <w:rsid w:val="0059610F"/>
    <w:rsid w:val="005A0CBA"/>
    <w:rsid w:val="005A1131"/>
    <w:rsid w:val="005C5570"/>
    <w:rsid w:val="005C5FD4"/>
    <w:rsid w:val="005C79A4"/>
    <w:rsid w:val="005D1689"/>
    <w:rsid w:val="005D248B"/>
    <w:rsid w:val="005D5442"/>
    <w:rsid w:val="005D549B"/>
    <w:rsid w:val="005D55A3"/>
    <w:rsid w:val="005E22F8"/>
    <w:rsid w:val="005E5568"/>
    <w:rsid w:val="005F458A"/>
    <w:rsid w:val="005F5830"/>
    <w:rsid w:val="0060365C"/>
    <w:rsid w:val="00610D73"/>
    <w:rsid w:val="00614A46"/>
    <w:rsid w:val="00617DB9"/>
    <w:rsid w:val="00625015"/>
    <w:rsid w:val="00625183"/>
    <w:rsid w:val="006369B9"/>
    <w:rsid w:val="00640FC3"/>
    <w:rsid w:val="00642020"/>
    <w:rsid w:val="00646793"/>
    <w:rsid w:val="006468DB"/>
    <w:rsid w:val="0065200D"/>
    <w:rsid w:val="0065337B"/>
    <w:rsid w:val="006536BD"/>
    <w:rsid w:val="0065419D"/>
    <w:rsid w:val="006604D8"/>
    <w:rsid w:val="00664A5B"/>
    <w:rsid w:val="00667942"/>
    <w:rsid w:val="00672A4C"/>
    <w:rsid w:val="00674BC6"/>
    <w:rsid w:val="00675AAB"/>
    <w:rsid w:val="00680C08"/>
    <w:rsid w:val="0068741A"/>
    <w:rsid w:val="00692E0F"/>
    <w:rsid w:val="006931B1"/>
    <w:rsid w:val="006A1000"/>
    <w:rsid w:val="006A15C0"/>
    <w:rsid w:val="006A2426"/>
    <w:rsid w:val="006A2A31"/>
    <w:rsid w:val="006A38E4"/>
    <w:rsid w:val="006B4049"/>
    <w:rsid w:val="006B4166"/>
    <w:rsid w:val="006C1A33"/>
    <w:rsid w:val="006C1F3B"/>
    <w:rsid w:val="006C3E2A"/>
    <w:rsid w:val="006C43B5"/>
    <w:rsid w:val="006C63E0"/>
    <w:rsid w:val="006C642F"/>
    <w:rsid w:val="006D03E5"/>
    <w:rsid w:val="006D558C"/>
    <w:rsid w:val="006D5D3E"/>
    <w:rsid w:val="006D663B"/>
    <w:rsid w:val="006E08B3"/>
    <w:rsid w:val="006E43E4"/>
    <w:rsid w:val="006E4E00"/>
    <w:rsid w:val="006F1604"/>
    <w:rsid w:val="006F3339"/>
    <w:rsid w:val="006F46EA"/>
    <w:rsid w:val="006F572E"/>
    <w:rsid w:val="006F6284"/>
    <w:rsid w:val="006F652C"/>
    <w:rsid w:val="006F6C81"/>
    <w:rsid w:val="007046D6"/>
    <w:rsid w:val="00705DB0"/>
    <w:rsid w:val="007060CD"/>
    <w:rsid w:val="00706634"/>
    <w:rsid w:val="00706AFE"/>
    <w:rsid w:val="00707AFA"/>
    <w:rsid w:val="00714B25"/>
    <w:rsid w:val="00723BF8"/>
    <w:rsid w:val="00724E0E"/>
    <w:rsid w:val="00730DE7"/>
    <w:rsid w:val="00732FEE"/>
    <w:rsid w:val="0074253D"/>
    <w:rsid w:val="0074429B"/>
    <w:rsid w:val="007477F8"/>
    <w:rsid w:val="007517B3"/>
    <w:rsid w:val="00751EBD"/>
    <w:rsid w:val="00753687"/>
    <w:rsid w:val="00753A56"/>
    <w:rsid w:val="00755170"/>
    <w:rsid w:val="0075524A"/>
    <w:rsid w:val="007615BC"/>
    <w:rsid w:val="007622D7"/>
    <w:rsid w:val="00762F05"/>
    <w:rsid w:val="00764FC4"/>
    <w:rsid w:val="007652FF"/>
    <w:rsid w:val="00771329"/>
    <w:rsid w:val="00773EF7"/>
    <w:rsid w:val="00774E1D"/>
    <w:rsid w:val="0077675A"/>
    <w:rsid w:val="00780355"/>
    <w:rsid w:val="0078185D"/>
    <w:rsid w:val="00781AD1"/>
    <w:rsid w:val="0078323A"/>
    <w:rsid w:val="00785721"/>
    <w:rsid w:val="00793A59"/>
    <w:rsid w:val="007953F1"/>
    <w:rsid w:val="00795DC5"/>
    <w:rsid w:val="007A2162"/>
    <w:rsid w:val="007B278E"/>
    <w:rsid w:val="007B3B86"/>
    <w:rsid w:val="007B3C16"/>
    <w:rsid w:val="007C0F3D"/>
    <w:rsid w:val="007C1AF7"/>
    <w:rsid w:val="007C5016"/>
    <w:rsid w:val="007C68BB"/>
    <w:rsid w:val="007D2AAF"/>
    <w:rsid w:val="007D66F6"/>
    <w:rsid w:val="007E175B"/>
    <w:rsid w:val="007F17AF"/>
    <w:rsid w:val="007F2054"/>
    <w:rsid w:val="00803732"/>
    <w:rsid w:val="008045A7"/>
    <w:rsid w:val="00805D2A"/>
    <w:rsid w:val="00811F89"/>
    <w:rsid w:val="0081594C"/>
    <w:rsid w:val="00816164"/>
    <w:rsid w:val="00821776"/>
    <w:rsid w:val="00824764"/>
    <w:rsid w:val="00826007"/>
    <w:rsid w:val="00831331"/>
    <w:rsid w:val="008320C3"/>
    <w:rsid w:val="008321F5"/>
    <w:rsid w:val="00832369"/>
    <w:rsid w:val="00834660"/>
    <w:rsid w:val="00834742"/>
    <w:rsid w:val="00836BC2"/>
    <w:rsid w:val="00841A8A"/>
    <w:rsid w:val="0085641B"/>
    <w:rsid w:val="0085661C"/>
    <w:rsid w:val="00856CA8"/>
    <w:rsid w:val="00857136"/>
    <w:rsid w:val="00861C52"/>
    <w:rsid w:val="00865656"/>
    <w:rsid w:val="00872E14"/>
    <w:rsid w:val="00885332"/>
    <w:rsid w:val="00891D60"/>
    <w:rsid w:val="00894002"/>
    <w:rsid w:val="00896018"/>
    <w:rsid w:val="008A2B9D"/>
    <w:rsid w:val="008A5E0B"/>
    <w:rsid w:val="008A5FD9"/>
    <w:rsid w:val="008A6D59"/>
    <w:rsid w:val="008A7095"/>
    <w:rsid w:val="008B1A25"/>
    <w:rsid w:val="008B27E5"/>
    <w:rsid w:val="008B48F7"/>
    <w:rsid w:val="008B4B03"/>
    <w:rsid w:val="008B553E"/>
    <w:rsid w:val="008B596F"/>
    <w:rsid w:val="008C0CEF"/>
    <w:rsid w:val="008C159F"/>
    <w:rsid w:val="008C1623"/>
    <w:rsid w:val="008C3310"/>
    <w:rsid w:val="008C51A9"/>
    <w:rsid w:val="008C63C5"/>
    <w:rsid w:val="008C74CE"/>
    <w:rsid w:val="008C7541"/>
    <w:rsid w:val="008E3C43"/>
    <w:rsid w:val="008E3FF2"/>
    <w:rsid w:val="008F1CCC"/>
    <w:rsid w:val="008F2967"/>
    <w:rsid w:val="008F2DD2"/>
    <w:rsid w:val="008F6EF7"/>
    <w:rsid w:val="008F7607"/>
    <w:rsid w:val="00910570"/>
    <w:rsid w:val="00920330"/>
    <w:rsid w:val="009203E6"/>
    <w:rsid w:val="00920FF4"/>
    <w:rsid w:val="009219D7"/>
    <w:rsid w:val="00922D53"/>
    <w:rsid w:val="00923B70"/>
    <w:rsid w:val="0092600B"/>
    <w:rsid w:val="009265D4"/>
    <w:rsid w:val="00926B0E"/>
    <w:rsid w:val="00930237"/>
    <w:rsid w:val="00932BBB"/>
    <w:rsid w:val="009446EA"/>
    <w:rsid w:val="0094782B"/>
    <w:rsid w:val="00947BE9"/>
    <w:rsid w:val="0096319D"/>
    <w:rsid w:val="00963C08"/>
    <w:rsid w:val="00963C31"/>
    <w:rsid w:val="00964F68"/>
    <w:rsid w:val="009707B8"/>
    <w:rsid w:val="00973FC2"/>
    <w:rsid w:val="00974DBB"/>
    <w:rsid w:val="0097520B"/>
    <w:rsid w:val="0099110E"/>
    <w:rsid w:val="00993568"/>
    <w:rsid w:val="00994189"/>
    <w:rsid w:val="009A4CED"/>
    <w:rsid w:val="009A5BC7"/>
    <w:rsid w:val="009A6085"/>
    <w:rsid w:val="009B1421"/>
    <w:rsid w:val="009B1D12"/>
    <w:rsid w:val="009B3475"/>
    <w:rsid w:val="009B392B"/>
    <w:rsid w:val="009B416B"/>
    <w:rsid w:val="009B68A6"/>
    <w:rsid w:val="009C35B2"/>
    <w:rsid w:val="009C4BD5"/>
    <w:rsid w:val="009D059A"/>
    <w:rsid w:val="009D0683"/>
    <w:rsid w:val="009D2E04"/>
    <w:rsid w:val="009D77AA"/>
    <w:rsid w:val="009D7B77"/>
    <w:rsid w:val="009E0BB0"/>
    <w:rsid w:val="009E3FBB"/>
    <w:rsid w:val="009E45E7"/>
    <w:rsid w:val="009E7541"/>
    <w:rsid w:val="009F018D"/>
    <w:rsid w:val="009F0B33"/>
    <w:rsid w:val="009F6D60"/>
    <w:rsid w:val="009F717C"/>
    <w:rsid w:val="00A01DEA"/>
    <w:rsid w:val="00A02671"/>
    <w:rsid w:val="00A1235B"/>
    <w:rsid w:val="00A14DF7"/>
    <w:rsid w:val="00A17E54"/>
    <w:rsid w:val="00A2274F"/>
    <w:rsid w:val="00A23054"/>
    <w:rsid w:val="00A237D5"/>
    <w:rsid w:val="00A26E24"/>
    <w:rsid w:val="00A31095"/>
    <w:rsid w:val="00A3246D"/>
    <w:rsid w:val="00A36FA7"/>
    <w:rsid w:val="00A4235C"/>
    <w:rsid w:val="00A43F41"/>
    <w:rsid w:val="00A475B7"/>
    <w:rsid w:val="00A47AF7"/>
    <w:rsid w:val="00A47C3E"/>
    <w:rsid w:val="00A50226"/>
    <w:rsid w:val="00A540EC"/>
    <w:rsid w:val="00A56847"/>
    <w:rsid w:val="00A60BAD"/>
    <w:rsid w:val="00A644D1"/>
    <w:rsid w:val="00A73A8D"/>
    <w:rsid w:val="00A75CCD"/>
    <w:rsid w:val="00A77452"/>
    <w:rsid w:val="00A81642"/>
    <w:rsid w:val="00A82E7F"/>
    <w:rsid w:val="00A83EE4"/>
    <w:rsid w:val="00A87334"/>
    <w:rsid w:val="00A94571"/>
    <w:rsid w:val="00AA3EB9"/>
    <w:rsid w:val="00AA5BBD"/>
    <w:rsid w:val="00AA74B4"/>
    <w:rsid w:val="00AC2B40"/>
    <w:rsid w:val="00AC2BB2"/>
    <w:rsid w:val="00AC2C3C"/>
    <w:rsid w:val="00AC3BD9"/>
    <w:rsid w:val="00AC3D45"/>
    <w:rsid w:val="00AD5831"/>
    <w:rsid w:val="00AE5AB2"/>
    <w:rsid w:val="00AE65EB"/>
    <w:rsid w:val="00AF1C27"/>
    <w:rsid w:val="00AF1D94"/>
    <w:rsid w:val="00AF60C5"/>
    <w:rsid w:val="00AF69CB"/>
    <w:rsid w:val="00B009C6"/>
    <w:rsid w:val="00B00ACB"/>
    <w:rsid w:val="00B01548"/>
    <w:rsid w:val="00B01551"/>
    <w:rsid w:val="00B033B5"/>
    <w:rsid w:val="00B06C4B"/>
    <w:rsid w:val="00B10C9D"/>
    <w:rsid w:val="00B147DA"/>
    <w:rsid w:val="00B15F4D"/>
    <w:rsid w:val="00B21D29"/>
    <w:rsid w:val="00B21FC5"/>
    <w:rsid w:val="00B23323"/>
    <w:rsid w:val="00B24FF5"/>
    <w:rsid w:val="00B25034"/>
    <w:rsid w:val="00B2538C"/>
    <w:rsid w:val="00B32351"/>
    <w:rsid w:val="00B33863"/>
    <w:rsid w:val="00B37D17"/>
    <w:rsid w:val="00B4175E"/>
    <w:rsid w:val="00B510E1"/>
    <w:rsid w:val="00B53F88"/>
    <w:rsid w:val="00B54A42"/>
    <w:rsid w:val="00B54C25"/>
    <w:rsid w:val="00B67EBC"/>
    <w:rsid w:val="00B72E7E"/>
    <w:rsid w:val="00B76B91"/>
    <w:rsid w:val="00B81564"/>
    <w:rsid w:val="00B82579"/>
    <w:rsid w:val="00B87BB7"/>
    <w:rsid w:val="00B91650"/>
    <w:rsid w:val="00B93570"/>
    <w:rsid w:val="00B946A9"/>
    <w:rsid w:val="00B9484C"/>
    <w:rsid w:val="00B94CFB"/>
    <w:rsid w:val="00B955B2"/>
    <w:rsid w:val="00B95C3F"/>
    <w:rsid w:val="00BA0DFC"/>
    <w:rsid w:val="00BA3147"/>
    <w:rsid w:val="00BB4F3E"/>
    <w:rsid w:val="00BB6BD6"/>
    <w:rsid w:val="00BB6DE3"/>
    <w:rsid w:val="00BB767E"/>
    <w:rsid w:val="00BC1CAB"/>
    <w:rsid w:val="00BC201B"/>
    <w:rsid w:val="00BC45AD"/>
    <w:rsid w:val="00BC622A"/>
    <w:rsid w:val="00BD0B28"/>
    <w:rsid w:val="00BE0A78"/>
    <w:rsid w:val="00BE243C"/>
    <w:rsid w:val="00BE4F54"/>
    <w:rsid w:val="00BE79F0"/>
    <w:rsid w:val="00BF046D"/>
    <w:rsid w:val="00BF3203"/>
    <w:rsid w:val="00BF43F2"/>
    <w:rsid w:val="00BF5D04"/>
    <w:rsid w:val="00C00EC7"/>
    <w:rsid w:val="00C0366A"/>
    <w:rsid w:val="00C07FD0"/>
    <w:rsid w:val="00C11AD0"/>
    <w:rsid w:val="00C13563"/>
    <w:rsid w:val="00C14835"/>
    <w:rsid w:val="00C1617C"/>
    <w:rsid w:val="00C22C7C"/>
    <w:rsid w:val="00C23477"/>
    <w:rsid w:val="00C24FC6"/>
    <w:rsid w:val="00C31533"/>
    <w:rsid w:val="00C32A9A"/>
    <w:rsid w:val="00C3408D"/>
    <w:rsid w:val="00C37CA4"/>
    <w:rsid w:val="00C404A6"/>
    <w:rsid w:val="00C40A36"/>
    <w:rsid w:val="00C44419"/>
    <w:rsid w:val="00C45E7B"/>
    <w:rsid w:val="00C471B1"/>
    <w:rsid w:val="00C4743E"/>
    <w:rsid w:val="00C50E5C"/>
    <w:rsid w:val="00C50EE8"/>
    <w:rsid w:val="00C547E5"/>
    <w:rsid w:val="00C62F38"/>
    <w:rsid w:val="00C6316B"/>
    <w:rsid w:val="00C634A9"/>
    <w:rsid w:val="00C64209"/>
    <w:rsid w:val="00C66236"/>
    <w:rsid w:val="00C67CCF"/>
    <w:rsid w:val="00C71313"/>
    <w:rsid w:val="00C7475B"/>
    <w:rsid w:val="00C76805"/>
    <w:rsid w:val="00C772FF"/>
    <w:rsid w:val="00C801AF"/>
    <w:rsid w:val="00C80256"/>
    <w:rsid w:val="00C823FF"/>
    <w:rsid w:val="00C85953"/>
    <w:rsid w:val="00C87DC4"/>
    <w:rsid w:val="00C95D15"/>
    <w:rsid w:val="00CA6D95"/>
    <w:rsid w:val="00CA7F9C"/>
    <w:rsid w:val="00CB6BC0"/>
    <w:rsid w:val="00CB73C5"/>
    <w:rsid w:val="00CC1B7C"/>
    <w:rsid w:val="00CC2E94"/>
    <w:rsid w:val="00CC727F"/>
    <w:rsid w:val="00CD1F02"/>
    <w:rsid w:val="00CD30CC"/>
    <w:rsid w:val="00CD53F7"/>
    <w:rsid w:val="00CD6FCC"/>
    <w:rsid w:val="00CE5067"/>
    <w:rsid w:val="00CE5BB0"/>
    <w:rsid w:val="00CF15C3"/>
    <w:rsid w:val="00CF2B6F"/>
    <w:rsid w:val="00CF2D45"/>
    <w:rsid w:val="00CF4791"/>
    <w:rsid w:val="00CF5A8B"/>
    <w:rsid w:val="00CF7F95"/>
    <w:rsid w:val="00D017ED"/>
    <w:rsid w:val="00D10AF3"/>
    <w:rsid w:val="00D11F5C"/>
    <w:rsid w:val="00D13C13"/>
    <w:rsid w:val="00D13CA5"/>
    <w:rsid w:val="00D153B1"/>
    <w:rsid w:val="00D20C54"/>
    <w:rsid w:val="00D218D5"/>
    <w:rsid w:val="00D21FAE"/>
    <w:rsid w:val="00D224FE"/>
    <w:rsid w:val="00D229BA"/>
    <w:rsid w:val="00D25F22"/>
    <w:rsid w:val="00D269FC"/>
    <w:rsid w:val="00D26F10"/>
    <w:rsid w:val="00D27857"/>
    <w:rsid w:val="00D30526"/>
    <w:rsid w:val="00D3646E"/>
    <w:rsid w:val="00D45111"/>
    <w:rsid w:val="00D47538"/>
    <w:rsid w:val="00D52CA4"/>
    <w:rsid w:val="00D55652"/>
    <w:rsid w:val="00D56AA4"/>
    <w:rsid w:val="00D57693"/>
    <w:rsid w:val="00D61DE7"/>
    <w:rsid w:val="00D64401"/>
    <w:rsid w:val="00D6493E"/>
    <w:rsid w:val="00D85417"/>
    <w:rsid w:val="00D87034"/>
    <w:rsid w:val="00D909F4"/>
    <w:rsid w:val="00D9141E"/>
    <w:rsid w:val="00D95E11"/>
    <w:rsid w:val="00DA1124"/>
    <w:rsid w:val="00DA24C7"/>
    <w:rsid w:val="00DA381C"/>
    <w:rsid w:val="00DA4CD9"/>
    <w:rsid w:val="00DB1422"/>
    <w:rsid w:val="00DB6F4D"/>
    <w:rsid w:val="00DC3D3D"/>
    <w:rsid w:val="00DD0741"/>
    <w:rsid w:val="00DD3F8B"/>
    <w:rsid w:val="00DD75A3"/>
    <w:rsid w:val="00DD76DE"/>
    <w:rsid w:val="00DE02AE"/>
    <w:rsid w:val="00DE1D99"/>
    <w:rsid w:val="00DE1E02"/>
    <w:rsid w:val="00DE6A0C"/>
    <w:rsid w:val="00DE6C04"/>
    <w:rsid w:val="00DF1D7F"/>
    <w:rsid w:val="00DF45B9"/>
    <w:rsid w:val="00DF6BE8"/>
    <w:rsid w:val="00E02FB4"/>
    <w:rsid w:val="00E063C3"/>
    <w:rsid w:val="00E06435"/>
    <w:rsid w:val="00E1198B"/>
    <w:rsid w:val="00E11E4D"/>
    <w:rsid w:val="00E1340C"/>
    <w:rsid w:val="00E15276"/>
    <w:rsid w:val="00E177F4"/>
    <w:rsid w:val="00E20571"/>
    <w:rsid w:val="00E21651"/>
    <w:rsid w:val="00E22953"/>
    <w:rsid w:val="00E23410"/>
    <w:rsid w:val="00E235F7"/>
    <w:rsid w:val="00E239D4"/>
    <w:rsid w:val="00E30C88"/>
    <w:rsid w:val="00E32A5C"/>
    <w:rsid w:val="00E40B22"/>
    <w:rsid w:val="00E41AEF"/>
    <w:rsid w:val="00E4588F"/>
    <w:rsid w:val="00E46634"/>
    <w:rsid w:val="00E46DA3"/>
    <w:rsid w:val="00E47660"/>
    <w:rsid w:val="00E54354"/>
    <w:rsid w:val="00E62C4C"/>
    <w:rsid w:val="00E6405E"/>
    <w:rsid w:val="00E67774"/>
    <w:rsid w:val="00E759B5"/>
    <w:rsid w:val="00E80A10"/>
    <w:rsid w:val="00E83276"/>
    <w:rsid w:val="00E855C9"/>
    <w:rsid w:val="00E864D4"/>
    <w:rsid w:val="00E90382"/>
    <w:rsid w:val="00EA16DE"/>
    <w:rsid w:val="00EA1F09"/>
    <w:rsid w:val="00EA406B"/>
    <w:rsid w:val="00EA6FBE"/>
    <w:rsid w:val="00EA7E1D"/>
    <w:rsid w:val="00EB0798"/>
    <w:rsid w:val="00EB40AD"/>
    <w:rsid w:val="00EB5622"/>
    <w:rsid w:val="00EB586E"/>
    <w:rsid w:val="00EB5FC8"/>
    <w:rsid w:val="00EC065F"/>
    <w:rsid w:val="00EC1372"/>
    <w:rsid w:val="00ED0602"/>
    <w:rsid w:val="00ED555A"/>
    <w:rsid w:val="00ED5A41"/>
    <w:rsid w:val="00ED66E5"/>
    <w:rsid w:val="00ED6A67"/>
    <w:rsid w:val="00ED6F05"/>
    <w:rsid w:val="00EE26C3"/>
    <w:rsid w:val="00EE4C7D"/>
    <w:rsid w:val="00EE5CB4"/>
    <w:rsid w:val="00EE61A9"/>
    <w:rsid w:val="00EF3F86"/>
    <w:rsid w:val="00EF578B"/>
    <w:rsid w:val="00EF6895"/>
    <w:rsid w:val="00F033EC"/>
    <w:rsid w:val="00F03BE7"/>
    <w:rsid w:val="00F04630"/>
    <w:rsid w:val="00F048E4"/>
    <w:rsid w:val="00F04F68"/>
    <w:rsid w:val="00F0622D"/>
    <w:rsid w:val="00F075EC"/>
    <w:rsid w:val="00F12670"/>
    <w:rsid w:val="00F14B27"/>
    <w:rsid w:val="00F2301F"/>
    <w:rsid w:val="00F27030"/>
    <w:rsid w:val="00F274A2"/>
    <w:rsid w:val="00F31011"/>
    <w:rsid w:val="00F3148D"/>
    <w:rsid w:val="00F35298"/>
    <w:rsid w:val="00F3529E"/>
    <w:rsid w:val="00F401EF"/>
    <w:rsid w:val="00F427F0"/>
    <w:rsid w:val="00F47E37"/>
    <w:rsid w:val="00F54545"/>
    <w:rsid w:val="00F54CA9"/>
    <w:rsid w:val="00F56B9D"/>
    <w:rsid w:val="00F57473"/>
    <w:rsid w:val="00F63495"/>
    <w:rsid w:val="00F640B6"/>
    <w:rsid w:val="00F64E7C"/>
    <w:rsid w:val="00F71E1E"/>
    <w:rsid w:val="00F72396"/>
    <w:rsid w:val="00F72699"/>
    <w:rsid w:val="00F753A7"/>
    <w:rsid w:val="00F80E40"/>
    <w:rsid w:val="00F81204"/>
    <w:rsid w:val="00F82DCA"/>
    <w:rsid w:val="00F859D2"/>
    <w:rsid w:val="00F8709D"/>
    <w:rsid w:val="00F9022D"/>
    <w:rsid w:val="00F97AFA"/>
    <w:rsid w:val="00FA2B8E"/>
    <w:rsid w:val="00FA43E5"/>
    <w:rsid w:val="00FA51FC"/>
    <w:rsid w:val="00FA5663"/>
    <w:rsid w:val="00FA5B82"/>
    <w:rsid w:val="00FA639E"/>
    <w:rsid w:val="00FC03C8"/>
    <w:rsid w:val="00FC1750"/>
    <w:rsid w:val="00FC25E4"/>
    <w:rsid w:val="00FC2CF6"/>
    <w:rsid w:val="00FC383A"/>
    <w:rsid w:val="00FC4EF7"/>
    <w:rsid w:val="00FD0092"/>
    <w:rsid w:val="00FD456B"/>
    <w:rsid w:val="00FD620C"/>
    <w:rsid w:val="00FE00EB"/>
    <w:rsid w:val="00FE1DEE"/>
    <w:rsid w:val="00FE206C"/>
    <w:rsid w:val="00FE2600"/>
    <w:rsid w:val="00FE3B9B"/>
    <w:rsid w:val="00FE4CE3"/>
    <w:rsid w:val="00FE501F"/>
    <w:rsid w:val="00FE6716"/>
    <w:rsid w:val="00FF0140"/>
    <w:rsid w:val="00FF2126"/>
    <w:rsid w:val="00FF2993"/>
    <w:rsid w:val="00FF5E94"/>
    <w:rsid w:val="00FF69BE"/>
    <w:rsid w:val="00FF7B93"/>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2064" fill="f" fillcolor="#c6d4e9" strokecolor="#002c47">
      <v:fill color="#c6d4e9" on="f"/>
      <v:stroke color="#002c47"/>
    </o:shapedefaults>
    <o:shapelayout v:ext="edit">
      <o:idmap v:ext="edit" data="1"/>
    </o:shapelayout>
  </w:shapeDefaults>
  <w:decimalSymbol w:val="."/>
  <w:listSeparator w:val=","/>
  <w14:docId w14:val="704D51F4"/>
  <w15:docId w15:val="{931A8320-7952-49CE-96DB-6765F1173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1" w:qFormat="1"/>
    <w:lsdException w:name="heading 1" w:uiPriority="0"/>
    <w:lsdException w:name="heading 2" w:uiPriority="0" w:qFormat="1"/>
    <w:lsdException w:name="heading 3" w:uiPriority="0" w:qFormat="1"/>
    <w:lsdException w:name="heading 4" w:uiPriority="0"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2A2D3F"/>
    <w:pPr>
      <w:spacing w:before="120" w:after="180" w:line="240" w:lineRule="atLeast"/>
    </w:pPr>
    <w:rPr>
      <w:sz w:val="22"/>
      <w:lang w:eastAsia="en-US"/>
    </w:rPr>
  </w:style>
  <w:style w:type="paragraph" w:styleId="Heading1">
    <w:name w:val="heading 1"/>
    <w:basedOn w:val="Normal"/>
    <w:next w:val="Normal"/>
    <w:link w:val="Heading1Char"/>
    <w:rsid w:val="00F401EF"/>
    <w:pPr>
      <w:keepNext/>
      <w:keepLines/>
      <w:spacing w:before="360" w:after="240"/>
      <w:outlineLvl w:val="0"/>
    </w:pPr>
    <w:rPr>
      <w:rFonts w:ascii="Arial" w:eastAsia="Times New Roman" w:hAnsi="Arial"/>
      <w:b/>
      <w:bCs/>
      <w:sz w:val="48"/>
      <w:szCs w:val="48"/>
    </w:rPr>
  </w:style>
  <w:style w:type="paragraph" w:styleId="Heading2">
    <w:name w:val="heading 2"/>
    <w:basedOn w:val="Normal"/>
    <w:next w:val="Normal"/>
    <w:link w:val="Heading2Char"/>
    <w:qFormat/>
    <w:rsid w:val="002F134E"/>
    <w:pPr>
      <w:keepNext/>
      <w:keepLines/>
      <w:pageBreakBefore/>
      <w:numPr>
        <w:numId w:val="21"/>
      </w:numPr>
      <w:spacing w:before="480" w:after="120"/>
      <w:outlineLvl w:val="1"/>
    </w:pPr>
    <w:rPr>
      <w:rFonts w:ascii="Arial" w:eastAsia="Times New Roman" w:hAnsi="Arial"/>
      <w:b/>
      <w:bCs/>
      <w:sz w:val="38"/>
      <w:szCs w:val="38"/>
    </w:rPr>
  </w:style>
  <w:style w:type="paragraph" w:styleId="Heading3">
    <w:name w:val="heading 3"/>
    <w:basedOn w:val="Normal"/>
    <w:next w:val="Normal"/>
    <w:link w:val="Heading3Char"/>
    <w:qFormat/>
    <w:rsid w:val="00F401EF"/>
    <w:pPr>
      <w:keepNext/>
      <w:keepLines/>
      <w:numPr>
        <w:ilvl w:val="1"/>
        <w:numId w:val="21"/>
      </w:numPr>
      <w:spacing w:before="480" w:after="120"/>
      <w:outlineLvl w:val="2"/>
    </w:pPr>
    <w:rPr>
      <w:rFonts w:ascii="Arial" w:eastAsia="Times New Roman" w:hAnsi="Arial"/>
      <w:b/>
      <w:bCs/>
      <w:sz w:val="32"/>
      <w:szCs w:val="32"/>
    </w:rPr>
  </w:style>
  <w:style w:type="paragraph" w:styleId="Heading4">
    <w:name w:val="heading 4"/>
    <w:basedOn w:val="Normal"/>
    <w:next w:val="Normal"/>
    <w:link w:val="Heading4Char"/>
    <w:qFormat/>
    <w:rsid w:val="00F401EF"/>
    <w:pPr>
      <w:keepNext/>
      <w:keepLines/>
      <w:numPr>
        <w:ilvl w:val="2"/>
        <w:numId w:val="21"/>
      </w:numPr>
      <w:spacing w:before="360" w:after="120"/>
      <w:outlineLvl w:val="3"/>
    </w:pPr>
    <w:rPr>
      <w:rFonts w:ascii="Arial" w:hAnsi="Arial"/>
      <w:b/>
      <w:bCs/>
      <w:sz w:val="26"/>
      <w:szCs w:val="26"/>
    </w:rPr>
  </w:style>
  <w:style w:type="paragraph" w:styleId="Heading5">
    <w:name w:val="heading 5"/>
    <w:basedOn w:val="Normal"/>
    <w:next w:val="Normal"/>
    <w:link w:val="Heading5Char"/>
    <w:uiPriority w:val="9"/>
    <w:rsid w:val="00F401EF"/>
    <w:pPr>
      <w:keepNext/>
      <w:keepLines/>
      <w:spacing w:before="240" w:after="120"/>
      <w:outlineLvl w:val="4"/>
    </w:pPr>
    <w:rPr>
      <w:rFonts w:eastAsia="Times New Roman"/>
      <w:b/>
      <w:bCs/>
      <w:color w:val="001523"/>
      <w:sz w:val="26"/>
      <w:szCs w:val="26"/>
    </w:rPr>
  </w:style>
  <w:style w:type="paragraph" w:styleId="Heading6">
    <w:name w:val="heading 6"/>
    <w:basedOn w:val="Normal"/>
    <w:next w:val="Normal"/>
    <w:link w:val="Heading6Char"/>
    <w:uiPriority w:val="9"/>
    <w:rsid w:val="00F401EF"/>
    <w:pPr>
      <w:keepNext/>
      <w:keepLines/>
      <w:spacing w:before="240" w:after="120"/>
      <w:outlineLvl w:val="5"/>
    </w:pPr>
    <w:rPr>
      <w:rFonts w:eastAsia="Times New Roman"/>
      <w:b/>
      <w:bCs/>
      <w:i/>
      <w:szCs w:val="21"/>
    </w:rPr>
  </w:style>
  <w:style w:type="paragraph" w:styleId="Heading7">
    <w:name w:val="heading 7"/>
    <w:basedOn w:val="Normal"/>
    <w:next w:val="Normal"/>
    <w:link w:val="Heading7Char"/>
    <w:uiPriority w:val="9"/>
    <w:rsid w:val="00F401EF"/>
    <w:pPr>
      <w:keepNext/>
      <w:keepLines/>
      <w:spacing w:before="240" w:after="60" w:line="180" w:lineRule="atLeast"/>
      <w:outlineLvl w:val="6"/>
    </w:pPr>
    <w:rPr>
      <w:rFonts w:eastAsia="Times New Roman"/>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B73C5"/>
    <w:rPr>
      <w:rFonts w:ascii="Arial" w:eastAsia="Times New Roman" w:hAnsi="Arial"/>
      <w:b/>
      <w:bCs/>
      <w:sz w:val="48"/>
      <w:szCs w:val="48"/>
      <w:lang w:eastAsia="en-US"/>
    </w:rPr>
  </w:style>
  <w:style w:type="character" w:customStyle="1" w:styleId="Heading2Char">
    <w:name w:val="Heading 2 Char"/>
    <w:basedOn w:val="DefaultParagraphFont"/>
    <w:link w:val="Heading2"/>
    <w:rsid w:val="002F134E"/>
    <w:rPr>
      <w:rFonts w:ascii="Arial" w:eastAsia="Times New Roman" w:hAnsi="Arial"/>
      <w:b/>
      <w:bCs/>
      <w:sz w:val="38"/>
      <w:szCs w:val="38"/>
      <w:lang w:eastAsia="en-US"/>
    </w:rPr>
  </w:style>
  <w:style w:type="character" w:customStyle="1" w:styleId="Heading3Char">
    <w:name w:val="Heading 3 Char"/>
    <w:basedOn w:val="DefaultParagraphFont"/>
    <w:link w:val="Heading3"/>
    <w:rsid w:val="00CB73C5"/>
    <w:rPr>
      <w:rFonts w:ascii="Arial" w:eastAsia="Times New Roman" w:hAnsi="Arial"/>
      <w:b/>
      <w:bCs/>
      <w:sz w:val="32"/>
      <w:szCs w:val="32"/>
      <w:lang w:eastAsia="en-US"/>
    </w:rPr>
  </w:style>
  <w:style w:type="paragraph" w:styleId="BalloonText">
    <w:name w:val="Balloon Text"/>
    <w:basedOn w:val="Normal"/>
    <w:link w:val="BalloonTextChar"/>
    <w:uiPriority w:val="99"/>
    <w:semiHidden/>
    <w:unhideWhenUsed/>
    <w:rsid w:val="00F3148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148D"/>
    <w:rPr>
      <w:rFonts w:ascii="Tahoma" w:hAnsi="Tahoma" w:cs="Tahoma"/>
      <w:sz w:val="16"/>
      <w:szCs w:val="16"/>
    </w:rPr>
  </w:style>
  <w:style w:type="paragraph" w:styleId="Date">
    <w:name w:val="Date"/>
    <w:basedOn w:val="Normal"/>
    <w:next w:val="Normal"/>
    <w:link w:val="DateChar"/>
    <w:uiPriority w:val="99"/>
    <w:rsid w:val="00F3529E"/>
    <w:pPr>
      <w:spacing w:after="0"/>
    </w:pPr>
    <w:rPr>
      <w:rFonts w:ascii="Arial" w:hAnsi="Arial"/>
      <w:sz w:val="28"/>
    </w:rPr>
  </w:style>
  <w:style w:type="character" w:customStyle="1" w:styleId="DateChar">
    <w:name w:val="Date Char"/>
    <w:basedOn w:val="DefaultParagraphFont"/>
    <w:link w:val="Date"/>
    <w:uiPriority w:val="99"/>
    <w:rsid w:val="00F3529E"/>
    <w:rPr>
      <w:rFonts w:ascii="Arial" w:hAnsi="Arial"/>
      <w:sz w:val="28"/>
      <w:szCs w:val="22"/>
      <w:lang w:eastAsia="en-US"/>
    </w:rPr>
  </w:style>
  <w:style w:type="character" w:customStyle="1" w:styleId="Heading4Char">
    <w:name w:val="Heading 4 Char"/>
    <w:basedOn w:val="DefaultParagraphFont"/>
    <w:link w:val="Heading4"/>
    <w:rsid w:val="004A3084"/>
    <w:rPr>
      <w:rFonts w:ascii="Arial" w:hAnsi="Arial"/>
      <w:b/>
      <w:bCs/>
      <w:sz w:val="26"/>
      <w:szCs w:val="26"/>
      <w:lang w:eastAsia="en-US"/>
    </w:rPr>
  </w:style>
  <w:style w:type="paragraph" w:customStyle="1" w:styleId="FlowChartWhiteHeading">
    <w:name w:val="Flow Chart White Heading"/>
    <w:basedOn w:val="Normal"/>
    <w:semiHidden/>
    <w:unhideWhenUsed/>
    <w:rsid w:val="001D7224"/>
    <w:pPr>
      <w:jc w:val="center"/>
    </w:pPr>
    <w:rPr>
      <w:rFonts w:ascii="Arial" w:hAnsi="Arial"/>
      <w:b/>
      <w:color w:val="FFFFFF"/>
    </w:rPr>
  </w:style>
  <w:style w:type="paragraph" w:customStyle="1" w:styleId="FlowChartBlackHeading">
    <w:name w:val="Flow Chart Black Heading"/>
    <w:basedOn w:val="FlowChartWhiteHeading"/>
    <w:semiHidden/>
    <w:unhideWhenUsed/>
    <w:rsid w:val="001D7224"/>
    <w:rPr>
      <w:color w:val="auto"/>
    </w:rPr>
  </w:style>
  <w:style w:type="paragraph" w:customStyle="1" w:styleId="FlowChartWhiteText">
    <w:name w:val="Flow Chart White Text"/>
    <w:basedOn w:val="Normal"/>
    <w:semiHidden/>
    <w:unhideWhenUsed/>
    <w:rsid w:val="00F3148D"/>
    <w:pPr>
      <w:spacing w:after="0"/>
      <w:jc w:val="center"/>
    </w:pPr>
    <w:rPr>
      <w:color w:val="FFFFFF"/>
    </w:rPr>
  </w:style>
  <w:style w:type="paragraph" w:customStyle="1" w:styleId="FlowchartText">
    <w:name w:val="Flowchart Text"/>
    <w:basedOn w:val="Normal"/>
    <w:semiHidden/>
    <w:unhideWhenUsed/>
    <w:rsid w:val="005A1131"/>
    <w:pPr>
      <w:jc w:val="center"/>
    </w:pPr>
    <w:rPr>
      <w:rFonts w:ascii="Arial" w:hAnsi="Arial"/>
    </w:rPr>
  </w:style>
  <w:style w:type="character" w:styleId="FollowedHyperlink">
    <w:name w:val="FollowedHyperlink"/>
    <w:basedOn w:val="DefaultParagraphFont"/>
    <w:uiPriority w:val="99"/>
    <w:semiHidden/>
    <w:unhideWhenUsed/>
    <w:rsid w:val="00F3148D"/>
    <w:rPr>
      <w:color w:val="800080"/>
      <w:u w:val="single"/>
    </w:rPr>
  </w:style>
  <w:style w:type="paragraph" w:styleId="Footer">
    <w:name w:val="footer"/>
    <w:basedOn w:val="Normal"/>
    <w:link w:val="FooterChar"/>
    <w:uiPriority w:val="99"/>
    <w:rsid w:val="00F401EF"/>
    <w:pPr>
      <w:tabs>
        <w:tab w:val="center" w:pos="4513"/>
        <w:tab w:val="right" w:pos="9026"/>
      </w:tabs>
      <w:spacing w:before="0" w:after="0" w:line="240" w:lineRule="auto"/>
    </w:pPr>
    <w:rPr>
      <w:sz w:val="17"/>
    </w:rPr>
  </w:style>
  <w:style w:type="character" w:customStyle="1" w:styleId="FooterChar">
    <w:name w:val="Footer Char"/>
    <w:basedOn w:val="DefaultParagraphFont"/>
    <w:link w:val="Footer"/>
    <w:uiPriority w:val="99"/>
    <w:rsid w:val="00257138"/>
    <w:rPr>
      <w:sz w:val="17"/>
      <w:lang w:eastAsia="en-US"/>
    </w:rPr>
  </w:style>
  <w:style w:type="paragraph" w:styleId="Header">
    <w:name w:val="header"/>
    <w:basedOn w:val="Normal"/>
    <w:link w:val="HeaderChar"/>
    <w:uiPriority w:val="99"/>
    <w:rsid w:val="00F401EF"/>
    <w:pPr>
      <w:pBdr>
        <w:bottom w:val="single" w:sz="4" w:space="3" w:color="auto"/>
      </w:pBdr>
      <w:tabs>
        <w:tab w:val="center" w:pos="4513"/>
        <w:tab w:val="right" w:pos="9026"/>
      </w:tabs>
      <w:spacing w:before="0" w:after="0" w:line="240" w:lineRule="auto"/>
      <w:jc w:val="right"/>
    </w:pPr>
    <w:rPr>
      <w:sz w:val="17"/>
    </w:rPr>
  </w:style>
  <w:style w:type="character" w:customStyle="1" w:styleId="HeaderChar">
    <w:name w:val="Header Char"/>
    <w:basedOn w:val="DefaultParagraphFont"/>
    <w:link w:val="Header"/>
    <w:uiPriority w:val="99"/>
    <w:rsid w:val="00F3148D"/>
    <w:rPr>
      <w:sz w:val="17"/>
      <w:lang w:eastAsia="en-US"/>
    </w:rPr>
  </w:style>
  <w:style w:type="character" w:customStyle="1" w:styleId="Heading5Char">
    <w:name w:val="Heading 5 Char"/>
    <w:basedOn w:val="DefaultParagraphFont"/>
    <w:link w:val="Heading5"/>
    <w:uiPriority w:val="9"/>
    <w:rsid w:val="00FA639E"/>
    <w:rPr>
      <w:rFonts w:eastAsia="Times New Roman"/>
      <w:b/>
      <w:bCs/>
      <w:color w:val="001523"/>
      <w:sz w:val="26"/>
      <w:szCs w:val="26"/>
      <w:lang w:eastAsia="en-US"/>
    </w:rPr>
  </w:style>
  <w:style w:type="character" w:customStyle="1" w:styleId="Heading6Char">
    <w:name w:val="Heading 6 Char"/>
    <w:basedOn w:val="DefaultParagraphFont"/>
    <w:link w:val="Heading6"/>
    <w:uiPriority w:val="9"/>
    <w:rsid w:val="000D157F"/>
    <w:rPr>
      <w:rFonts w:eastAsia="Times New Roman"/>
      <w:b/>
      <w:bCs/>
      <w:i/>
      <w:sz w:val="22"/>
      <w:szCs w:val="21"/>
      <w:lang w:eastAsia="en-US"/>
    </w:rPr>
  </w:style>
  <w:style w:type="character" w:customStyle="1" w:styleId="Heading7Char">
    <w:name w:val="Heading 7 Char"/>
    <w:basedOn w:val="DefaultParagraphFont"/>
    <w:link w:val="Heading7"/>
    <w:uiPriority w:val="9"/>
    <w:rsid w:val="000D157F"/>
    <w:rPr>
      <w:rFonts w:eastAsia="Times New Roman"/>
      <w:bCs/>
      <w:i/>
      <w:sz w:val="22"/>
      <w:szCs w:val="22"/>
      <w:lang w:eastAsia="en-US"/>
    </w:rPr>
  </w:style>
  <w:style w:type="character" w:styleId="Hyperlink">
    <w:name w:val="Hyperlink"/>
    <w:basedOn w:val="DefaultParagraphFont"/>
    <w:uiPriority w:val="99"/>
    <w:unhideWhenUsed/>
    <w:rsid w:val="00F401EF"/>
    <w:rPr>
      <w:color w:val="0000FF"/>
      <w:u w:val="single"/>
    </w:rPr>
  </w:style>
  <w:style w:type="paragraph" w:customStyle="1" w:styleId="LegalCopy">
    <w:name w:val="Legal Copy"/>
    <w:basedOn w:val="Footer"/>
    <w:rsid w:val="00A1235B"/>
  </w:style>
  <w:style w:type="paragraph" w:customStyle="1" w:styleId="LegalSubheading">
    <w:name w:val="Legal Subheading"/>
    <w:basedOn w:val="Footer"/>
    <w:rsid w:val="00AF69CB"/>
    <w:pPr>
      <w:outlineLvl w:val="1"/>
    </w:pPr>
    <w:rPr>
      <w:b/>
    </w:rPr>
  </w:style>
  <w:style w:type="table" w:styleId="LightShading-Accent2">
    <w:name w:val="Light Shading Accent 2"/>
    <w:basedOn w:val="TableNormal"/>
    <w:uiPriority w:val="60"/>
    <w:rsid w:val="00F3148D"/>
    <w:rPr>
      <w:rFonts w:eastAsia="Calibri"/>
      <w:color w:val="943634"/>
      <w:sz w:val="21"/>
      <w:szCs w:val="21"/>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ListBullet">
    <w:name w:val="List Bullet"/>
    <w:basedOn w:val="Normal"/>
    <w:uiPriority w:val="99"/>
    <w:qFormat/>
    <w:rsid w:val="00042B40"/>
    <w:pPr>
      <w:numPr>
        <w:numId w:val="14"/>
      </w:numPr>
    </w:pPr>
  </w:style>
  <w:style w:type="paragraph" w:styleId="ListBullet2">
    <w:name w:val="List Bullet 2"/>
    <w:basedOn w:val="Normal"/>
    <w:uiPriority w:val="99"/>
    <w:qFormat/>
    <w:rsid w:val="009D059A"/>
    <w:pPr>
      <w:numPr>
        <w:ilvl w:val="1"/>
        <w:numId w:val="14"/>
      </w:numPr>
      <w:ind w:left="850" w:hanging="425"/>
    </w:pPr>
  </w:style>
  <w:style w:type="paragraph" w:styleId="ListBullet3">
    <w:name w:val="List Bullet 3"/>
    <w:basedOn w:val="Normal"/>
    <w:uiPriority w:val="99"/>
    <w:qFormat/>
    <w:rsid w:val="00FA2B8E"/>
    <w:pPr>
      <w:numPr>
        <w:numId w:val="18"/>
      </w:numPr>
      <w:ind w:left="1276" w:hanging="425"/>
    </w:pPr>
  </w:style>
  <w:style w:type="numbering" w:customStyle="1" w:styleId="ListBullets">
    <w:name w:val="ListBullets"/>
    <w:uiPriority w:val="99"/>
    <w:locked/>
    <w:rsid w:val="00F3148D"/>
    <w:pPr>
      <w:numPr>
        <w:numId w:val="3"/>
      </w:numPr>
    </w:pPr>
  </w:style>
  <w:style w:type="table" w:styleId="MediumGrid2-Accent5">
    <w:name w:val="Medium Grid 2 Accent 5"/>
    <w:basedOn w:val="TableNormal"/>
    <w:uiPriority w:val="68"/>
    <w:rsid w:val="00F3148D"/>
    <w:rPr>
      <w:rFonts w:eastAsia="Times New Roman"/>
      <w:color w:val="000000"/>
      <w:sz w:val="21"/>
      <w:szCs w:val="21"/>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paragraph" w:customStyle="1" w:styleId="Numberbullet0">
    <w:name w:val="Number bullet"/>
    <w:basedOn w:val="ListBullet"/>
    <w:uiPriority w:val="3"/>
    <w:qFormat/>
    <w:rsid w:val="00F401EF"/>
    <w:pPr>
      <w:numPr>
        <w:numId w:val="17"/>
      </w:numPr>
    </w:pPr>
  </w:style>
  <w:style w:type="paragraph" w:customStyle="1" w:styleId="Numberbullet2">
    <w:name w:val="Number bullet 2"/>
    <w:basedOn w:val="ListBullet2"/>
    <w:uiPriority w:val="3"/>
    <w:qFormat/>
    <w:rsid w:val="00F401EF"/>
    <w:pPr>
      <w:numPr>
        <w:numId w:val="17"/>
      </w:numPr>
    </w:pPr>
  </w:style>
  <w:style w:type="paragraph" w:customStyle="1" w:styleId="Numberbullet3">
    <w:name w:val="Number bullet 3"/>
    <w:basedOn w:val="Normal"/>
    <w:uiPriority w:val="3"/>
    <w:qFormat/>
    <w:rsid w:val="00FA2B8E"/>
    <w:pPr>
      <w:numPr>
        <w:numId w:val="19"/>
      </w:numPr>
      <w:ind w:left="1361" w:hanging="397"/>
    </w:pPr>
  </w:style>
  <w:style w:type="numbering" w:customStyle="1" w:styleId="NumberBullet">
    <w:name w:val="NumberBullet"/>
    <w:uiPriority w:val="99"/>
    <w:locked/>
    <w:rsid w:val="00F3148D"/>
    <w:pPr>
      <w:numPr>
        <w:numId w:val="8"/>
      </w:numPr>
    </w:pPr>
  </w:style>
  <w:style w:type="character" w:styleId="PlaceholderText">
    <w:name w:val="Placeholder Text"/>
    <w:basedOn w:val="DefaultParagraphFont"/>
    <w:uiPriority w:val="99"/>
    <w:semiHidden/>
    <w:rsid w:val="00F3148D"/>
    <w:rPr>
      <w:color w:val="808080"/>
    </w:rPr>
  </w:style>
  <w:style w:type="paragraph" w:customStyle="1" w:styleId="Reference">
    <w:name w:val="Reference"/>
    <w:basedOn w:val="Normal"/>
    <w:rsid w:val="00F401EF"/>
    <w:pPr>
      <w:spacing w:before="40" w:after="0"/>
      <w:ind w:left="170" w:hanging="170"/>
    </w:pPr>
    <w:rPr>
      <w:sz w:val="19"/>
    </w:rPr>
  </w:style>
  <w:style w:type="paragraph" w:styleId="Subtitle">
    <w:name w:val="Subtitle"/>
    <w:basedOn w:val="Normal"/>
    <w:link w:val="SubtitleChar"/>
    <w:uiPriority w:val="11"/>
    <w:rsid w:val="00EC1372"/>
    <w:pPr>
      <w:framePr w:hSpace="180" w:wrap="around" w:vAnchor="page" w:hAnchor="margin" w:y="3121"/>
      <w:numPr>
        <w:ilvl w:val="1"/>
      </w:numPr>
      <w:spacing w:before="0" w:after="0"/>
    </w:pPr>
    <w:rPr>
      <w:rFonts w:ascii="Arial" w:eastAsia="Times New Roman" w:hAnsi="Arial"/>
      <w:bCs/>
      <w:iCs/>
      <w:color w:val="006DA7"/>
      <w:sz w:val="40"/>
      <w:szCs w:val="24"/>
    </w:rPr>
  </w:style>
  <w:style w:type="character" w:customStyle="1" w:styleId="SubtitleChar">
    <w:name w:val="Subtitle Char"/>
    <w:basedOn w:val="DefaultParagraphFont"/>
    <w:link w:val="Subtitle"/>
    <w:uiPriority w:val="11"/>
    <w:rsid w:val="00EC1372"/>
    <w:rPr>
      <w:rFonts w:ascii="Arial" w:eastAsia="Times New Roman" w:hAnsi="Arial"/>
      <w:bCs/>
      <w:iCs/>
      <w:color w:val="006DA7"/>
      <w:sz w:val="40"/>
      <w:szCs w:val="24"/>
      <w:lang w:eastAsia="en-US"/>
    </w:rPr>
  </w:style>
  <w:style w:type="table" w:styleId="TableGrid">
    <w:name w:val="Table Grid"/>
    <w:basedOn w:val="TableNormal"/>
    <w:uiPriority w:val="59"/>
    <w:rsid w:val="00F3148D"/>
    <w:rPr>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GAblue">
    <w:name w:val="Table TGA blue"/>
    <w:basedOn w:val="TableNormal"/>
    <w:uiPriority w:val="99"/>
    <w:qFormat/>
    <w:rsid w:val="00732FEE"/>
    <w:rPr>
      <w:color w:val="000000"/>
      <w:sz w:val="22"/>
      <w:szCs w:val="21"/>
    </w:rPr>
    <w:tblPr>
      <w:tblBorders>
        <w:top w:val="single" w:sz="8" w:space="0" w:color="002C47"/>
        <w:left w:val="single" w:sz="8" w:space="0" w:color="002C47"/>
        <w:bottom w:val="single" w:sz="8" w:space="0" w:color="002C47"/>
        <w:right w:val="single" w:sz="8" w:space="0" w:color="002C47"/>
        <w:insideH w:val="single" w:sz="8" w:space="0" w:color="002C47"/>
        <w:insideV w:val="single" w:sz="8" w:space="0" w:color="002C47"/>
      </w:tblBorders>
    </w:tblPr>
    <w:trPr>
      <w:cantSplit/>
    </w:trPr>
    <w:tcPr>
      <w:shd w:val="clear" w:color="auto" w:fill="auto"/>
    </w:tcPr>
    <w:tblStylePr w:type="firstRow">
      <w:pPr>
        <w:keepNext/>
        <w:wordWrap/>
      </w:pPr>
      <w:rPr>
        <w:rFonts w:ascii="Cambria" w:hAnsi="Cambria"/>
        <w:b/>
        <w:color w:val="FFFFFF"/>
        <w:sz w:val="22"/>
      </w:rPr>
      <w:tblPr/>
      <w:trPr>
        <w:tblHeader/>
      </w:trPr>
      <w:tcPr>
        <w:tcBorders>
          <w:top w:val="single" w:sz="8" w:space="0" w:color="002C47"/>
          <w:left w:val="single" w:sz="8" w:space="0" w:color="002C47"/>
          <w:bottom w:val="single" w:sz="8" w:space="0" w:color="002C47"/>
          <w:right w:val="single" w:sz="8" w:space="0" w:color="002C47"/>
          <w:insideH w:val="nil"/>
          <w:insideV w:val="nil"/>
          <w:tl2br w:val="nil"/>
          <w:tr2bl w:val="nil"/>
        </w:tcBorders>
        <w:shd w:val="clear" w:color="auto" w:fill="006DA7"/>
      </w:tcPr>
    </w:tblStylePr>
    <w:tblStylePr w:type="firstCol">
      <w:pPr>
        <w:keepNext w:val="0"/>
        <w:wordWrap/>
      </w:pPr>
    </w:tblStylePr>
  </w:style>
  <w:style w:type="table" w:customStyle="1" w:styleId="TableTGAblack">
    <w:name w:val="Table TGA black"/>
    <w:basedOn w:val="TableNormal"/>
    <w:uiPriority w:val="99"/>
    <w:rsid w:val="00732FEE"/>
    <w:pPr>
      <w:spacing w:before="60"/>
    </w:pPr>
    <w:rPr>
      <w:color w:val="000000"/>
      <w:sz w:val="22"/>
      <w:szCs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rPr>
      <w:cantSplit/>
    </w:trPr>
    <w:tcPr>
      <w:shd w:val="clear" w:color="auto" w:fill="auto"/>
    </w:tcPr>
    <w:tblStylePr w:type="firstRow">
      <w:pPr>
        <w:keepNext/>
        <w:wordWrap/>
      </w:pPr>
      <w:rPr>
        <w:rFonts w:ascii="Cambria" w:hAnsi="Cambria"/>
        <w:b/>
        <w:color w:val="FFFFFF"/>
        <w:sz w:val="22"/>
      </w:rPr>
      <w:tblPr/>
      <w:trPr>
        <w:tblHeader/>
      </w:trPr>
      <w:tcPr>
        <w:shd w:val="clear" w:color="auto" w:fill="000000"/>
      </w:tcPr>
    </w:tblStylePr>
    <w:tblStylePr w:type="lastRow">
      <w:rPr>
        <w:b w:val="0"/>
      </w:rPr>
    </w:tblStylePr>
    <w:tblStylePr w:type="firstCol">
      <w:pPr>
        <w:keepNext w:val="0"/>
        <w:wordWrap/>
      </w:pPr>
    </w:tblStylePr>
    <w:tblStylePr w:type="neCell">
      <w:rPr>
        <w:b w:val="0"/>
        <w:i w:val="0"/>
      </w:rPr>
    </w:tblStylePr>
    <w:tblStylePr w:type="nwCell">
      <w:rPr>
        <w:rFonts w:ascii="Cambria" w:hAnsi="Cambria"/>
        <w:b/>
        <w:i w:val="0"/>
        <w:color w:val="FFFFFF"/>
        <w:sz w:val="22"/>
      </w:rPr>
    </w:tblStylePr>
  </w:style>
  <w:style w:type="paragraph" w:customStyle="1" w:styleId="TGASignoff">
    <w:name w:val="TGA Signoff"/>
    <w:basedOn w:val="Normal"/>
    <w:rsid w:val="006F652C"/>
    <w:pPr>
      <w:spacing w:after="360"/>
      <w:jc w:val="center"/>
    </w:pPr>
    <w:rPr>
      <w:rFonts w:ascii="Arial" w:hAnsi="Arial"/>
      <w:b/>
      <w:sz w:val="28"/>
    </w:rPr>
  </w:style>
  <w:style w:type="paragraph" w:styleId="Title">
    <w:name w:val="Title"/>
    <w:link w:val="TitleChar"/>
    <w:uiPriority w:val="10"/>
    <w:rsid w:val="00AF69CB"/>
    <w:pPr>
      <w:spacing w:after="120"/>
      <w:contextualSpacing/>
      <w:outlineLvl w:val="0"/>
    </w:pPr>
    <w:rPr>
      <w:rFonts w:ascii="Arial" w:eastAsia="Times New Roman" w:hAnsi="Arial"/>
      <w:color w:val="002C47"/>
      <w:spacing w:val="5"/>
      <w:kern w:val="28"/>
      <w:sz w:val="52"/>
      <w:szCs w:val="52"/>
      <w:lang w:eastAsia="en-US"/>
    </w:rPr>
  </w:style>
  <w:style w:type="character" w:customStyle="1" w:styleId="TitleChar">
    <w:name w:val="Title Char"/>
    <w:basedOn w:val="DefaultParagraphFont"/>
    <w:link w:val="Title"/>
    <w:uiPriority w:val="10"/>
    <w:rsid w:val="00AF69CB"/>
    <w:rPr>
      <w:rFonts w:ascii="Arial" w:eastAsia="Times New Roman" w:hAnsi="Arial"/>
      <w:color w:val="002C47"/>
      <w:spacing w:val="5"/>
      <w:kern w:val="28"/>
      <w:sz w:val="52"/>
      <w:szCs w:val="52"/>
      <w:lang w:eastAsia="en-US"/>
    </w:rPr>
  </w:style>
  <w:style w:type="paragraph" w:styleId="TOC1">
    <w:name w:val="toc 1"/>
    <w:basedOn w:val="Normal"/>
    <w:next w:val="Normal"/>
    <w:uiPriority w:val="39"/>
    <w:unhideWhenUsed/>
    <w:rsid w:val="00F401EF"/>
    <w:pPr>
      <w:keepNext/>
      <w:keepLines/>
      <w:tabs>
        <w:tab w:val="right" w:leader="underscore" w:pos="8505"/>
      </w:tabs>
      <w:spacing w:after="200"/>
    </w:pPr>
    <w:rPr>
      <w:rFonts w:ascii="Arial" w:hAnsi="Arial"/>
      <w:b/>
      <w:sz w:val="32"/>
    </w:rPr>
  </w:style>
  <w:style w:type="paragraph" w:styleId="TOC2">
    <w:name w:val="toc 2"/>
    <w:basedOn w:val="Normal"/>
    <w:next w:val="Normal"/>
    <w:uiPriority w:val="39"/>
    <w:unhideWhenUsed/>
    <w:rsid w:val="00F401EF"/>
    <w:pPr>
      <w:keepNext/>
      <w:keepLines/>
      <w:tabs>
        <w:tab w:val="right" w:leader="underscore" w:pos="8505"/>
      </w:tabs>
      <w:spacing w:after="100"/>
      <w:ind w:left="425"/>
    </w:pPr>
    <w:rPr>
      <w:b/>
      <w:sz w:val="25"/>
    </w:rPr>
  </w:style>
  <w:style w:type="paragraph" w:styleId="TOC3">
    <w:name w:val="toc 3"/>
    <w:basedOn w:val="Normal"/>
    <w:next w:val="Normal"/>
    <w:uiPriority w:val="39"/>
    <w:unhideWhenUsed/>
    <w:rsid w:val="00F401EF"/>
    <w:pPr>
      <w:keepNext/>
      <w:keepLines/>
      <w:tabs>
        <w:tab w:val="right" w:leader="hyphen" w:pos="8505"/>
      </w:tabs>
      <w:spacing w:after="100"/>
      <w:ind w:left="851"/>
    </w:pPr>
    <w:rPr>
      <w:b/>
    </w:rPr>
  </w:style>
  <w:style w:type="paragraph" w:styleId="TOCHeading">
    <w:name w:val="TOC Heading"/>
    <w:basedOn w:val="Heading1"/>
    <w:next w:val="Normal"/>
    <w:uiPriority w:val="39"/>
    <w:semiHidden/>
    <w:unhideWhenUsed/>
    <w:qFormat/>
    <w:rsid w:val="00F3148D"/>
    <w:pPr>
      <w:framePr w:wrap="around" w:hAnchor="text"/>
      <w:spacing w:after="0" w:line="276" w:lineRule="auto"/>
      <w:outlineLvl w:val="9"/>
    </w:pPr>
    <w:rPr>
      <w:color w:val="002035"/>
      <w:sz w:val="28"/>
      <w:lang w:val="en-US"/>
    </w:rPr>
  </w:style>
  <w:style w:type="paragraph" w:customStyle="1" w:styleId="Subject">
    <w:name w:val="Subject"/>
    <w:basedOn w:val="Normal"/>
    <w:rsid w:val="00D153B1"/>
    <w:rPr>
      <w:b/>
    </w:rPr>
  </w:style>
  <w:style w:type="numbering" w:customStyle="1" w:styleId="NumberBullet1">
    <w:name w:val="NumberBullet1"/>
    <w:uiPriority w:val="99"/>
    <w:rsid w:val="001525B4"/>
  </w:style>
  <w:style w:type="numbering" w:customStyle="1" w:styleId="ListBullets1">
    <w:name w:val="ListBullets1"/>
    <w:uiPriority w:val="99"/>
    <w:rsid w:val="001525B4"/>
  </w:style>
  <w:style w:type="paragraph" w:styleId="FootnoteText">
    <w:name w:val="footnote text"/>
    <w:basedOn w:val="Normal"/>
    <w:link w:val="FootnoteTextChar"/>
    <w:rsid w:val="00F401EF"/>
    <w:pPr>
      <w:keepLines/>
      <w:spacing w:before="0" w:after="0"/>
    </w:pPr>
    <w:rPr>
      <w:sz w:val="20"/>
    </w:rPr>
  </w:style>
  <w:style w:type="character" w:customStyle="1" w:styleId="FootnoteTextChar">
    <w:name w:val="Footnote Text Char"/>
    <w:basedOn w:val="DefaultParagraphFont"/>
    <w:link w:val="FootnoteText"/>
    <w:rsid w:val="001525B4"/>
    <w:rPr>
      <w:lang w:eastAsia="en-US"/>
    </w:rPr>
  </w:style>
  <w:style w:type="character" w:styleId="FootnoteReference">
    <w:name w:val="footnote reference"/>
    <w:basedOn w:val="DefaultParagraphFont"/>
    <w:uiPriority w:val="99"/>
    <w:unhideWhenUsed/>
    <w:rsid w:val="001525B4"/>
    <w:rPr>
      <w:vertAlign w:val="superscript"/>
    </w:rPr>
  </w:style>
  <w:style w:type="paragraph" w:customStyle="1" w:styleId="NonTOCheading2">
    <w:name w:val="Non TOC heading 2"/>
    <w:basedOn w:val="Normal"/>
    <w:next w:val="Normal"/>
    <w:rsid w:val="00AF69CB"/>
    <w:pPr>
      <w:keepNext/>
      <w:keepLines/>
      <w:pageBreakBefore/>
      <w:spacing w:before="0"/>
      <w:outlineLvl w:val="1"/>
    </w:pPr>
    <w:rPr>
      <w:rFonts w:ascii="Arial" w:hAnsi="Arial"/>
      <w:b/>
      <w:sz w:val="38"/>
    </w:rPr>
  </w:style>
  <w:style w:type="paragraph" w:customStyle="1" w:styleId="Figuredescription">
    <w:name w:val="Figure description"/>
    <w:basedOn w:val="Normal"/>
    <w:next w:val="Normal"/>
    <w:rsid w:val="00F401EF"/>
    <w:pPr>
      <w:spacing w:after="240" w:line="180" w:lineRule="atLeast"/>
    </w:pPr>
    <w:rPr>
      <w:sz w:val="18"/>
    </w:rPr>
  </w:style>
  <w:style w:type="paragraph" w:customStyle="1" w:styleId="Figuretitle">
    <w:name w:val="Figure title"/>
    <w:basedOn w:val="Normal"/>
    <w:next w:val="Normal"/>
    <w:rsid w:val="00F56B9D"/>
    <w:rPr>
      <w:b/>
    </w:rPr>
  </w:style>
  <w:style w:type="paragraph" w:customStyle="1" w:styleId="Headernoline">
    <w:name w:val="Header no line"/>
    <w:basedOn w:val="Header"/>
    <w:rsid w:val="00F401EF"/>
    <w:pPr>
      <w:pBdr>
        <w:bottom w:val="none" w:sz="0" w:space="0" w:color="auto"/>
      </w:pBdr>
      <w:spacing w:line="240" w:lineRule="atLeast"/>
    </w:pPr>
  </w:style>
  <w:style w:type="paragraph" w:customStyle="1" w:styleId="Quotation">
    <w:name w:val="Quotation"/>
    <w:basedOn w:val="Normal"/>
    <w:next w:val="Normal"/>
    <w:uiPriority w:val="4"/>
    <w:qFormat/>
    <w:rsid w:val="00F401EF"/>
    <w:pPr>
      <w:ind w:left="425"/>
    </w:pPr>
    <w:rPr>
      <w:sz w:val="20"/>
    </w:rPr>
  </w:style>
  <w:style w:type="paragraph" w:customStyle="1" w:styleId="Tabledescription">
    <w:name w:val="Table description"/>
    <w:basedOn w:val="Figuredescription"/>
    <w:next w:val="Normal"/>
    <w:rsid w:val="00F401EF"/>
  </w:style>
  <w:style w:type="paragraph" w:customStyle="1" w:styleId="Tabletitle">
    <w:name w:val="Table title"/>
    <w:basedOn w:val="Normal"/>
    <w:next w:val="Normal"/>
    <w:rsid w:val="00F56B9D"/>
    <w:pPr>
      <w:keepNext/>
    </w:pPr>
    <w:rPr>
      <w:b/>
    </w:rPr>
  </w:style>
  <w:style w:type="paragraph" w:styleId="TOC4">
    <w:name w:val="toc 4"/>
    <w:basedOn w:val="Normal"/>
    <w:next w:val="Normal"/>
    <w:autoRedefine/>
    <w:uiPriority w:val="39"/>
    <w:semiHidden/>
    <w:unhideWhenUsed/>
    <w:rsid w:val="00F401EF"/>
    <w:pPr>
      <w:tabs>
        <w:tab w:val="right" w:leader="hyphen" w:pos="8505"/>
      </w:tabs>
      <w:spacing w:after="100"/>
      <w:ind w:left="1276"/>
    </w:pPr>
  </w:style>
  <w:style w:type="paragraph" w:styleId="TOC5">
    <w:name w:val="toc 5"/>
    <w:basedOn w:val="Normal"/>
    <w:next w:val="Normal"/>
    <w:autoRedefine/>
    <w:uiPriority w:val="39"/>
    <w:semiHidden/>
    <w:unhideWhenUsed/>
    <w:rsid w:val="00F401EF"/>
    <w:pPr>
      <w:tabs>
        <w:tab w:val="right" w:leader="dot" w:pos="8505"/>
      </w:tabs>
      <w:spacing w:after="100"/>
      <w:ind w:left="1701"/>
    </w:pPr>
    <w:rPr>
      <w:noProof/>
    </w:rPr>
  </w:style>
  <w:style w:type="paragraph" w:styleId="TOC6">
    <w:name w:val="toc 6"/>
    <w:basedOn w:val="Normal"/>
    <w:next w:val="Normal"/>
    <w:autoRedefine/>
    <w:uiPriority w:val="39"/>
    <w:semiHidden/>
    <w:unhideWhenUsed/>
    <w:rsid w:val="00F401EF"/>
    <w:pPr>
      <w:tabs>
        <w:tab w:val="right" w:pos="8505"/>
      </w:tabs>
      <w:spacing w:after="100"/>
      <w:ind w:left="2126"/>
    </w:pPr>
  </w:style>
  <w:style w:type="paragraph" w:styleId="TOC7">
    <w:name w:val="toc 7"/>
    <w:basedOn w:val="Normal"/>
    <w:next w:val="Normal"/>
    <w:autoRedefine/>
    <w:uiPriority w:val="39"/>
    <w:semiHidden/>
    <w:unhideWhenUsed/>
    <w:rsid w:val="00F401EF"/>
    <w:pPr>
      <w:spacing w:after="100"/>
      <w:ind w:left="2211"/>
    </w:pPr>
  </w:style>
  <w:style w:type="paragraph" w:customStyle="1" w:styleId="Address">
    <w:name w:val="Address"/>
    <w:basedOn w:val="Normal"/>
    <w:rsid w:val="00EB5622"/>
    <w:pPr>
      <w:spacing w:before="0" w:after="0" w:line="240" w:lineRule="auto"/>
    </w:pPr>
    <w:rPr>
      <w:sz w:val="21"/>
    </w:rPr>
  </w:style>
  <w:style w:type="paragraph" w:styleId="EndnoteText">
    <w:name w:val="endnote text"/>
    <w:basedOn w:val="FootnoteText"/>
    <w:link w:val="EndnoteTextChar"/>
    <w:semiHidden/>
    <w:unhideWhenUsed/>
    <w:rsid w:val="00C4743E"/>
    <w:rPr>
      <w:rFonts w:asciiTheme="minorHAnsi" w:hAnsiTheme="minorHAnsi" w:cstheme="minorBidi"/>
      <w:szCs w:val="22"/>
    </w:rPr>
  </w:style>
  <w:style w:type="character" w:customStyle="1" w:styleId="EndnoteTextChar">
    <w:name w:val="Endnote Text Char"/>
    <w:basedOn w:val="DefaultParagraphFont"/>
    <w:link w:val="EndnoteText"/>
    <w:semiHidden/>
    <w:rsid w:val="00C4743E"/>
    <w:rPr>
      <w:rFonts w:asciiTheme="minorHAnsi" w:hAnsiTheme="minorHAnsi" w:cstheme="minorBidi"/>
      <w:szCs w:val="22"/>
      <w:lang w:eastAsia="en-US"/>
    </w:rPr>
  </w:style>
  <w:style w:type="character" w:styleId="CommentReference">
    <w:name w:val="annotation reference"/>
    <w:basedOn w:val="DefaultParagraphFont"/>
    <w:uiPriority w:val="99"/>
    <w:semiHidden/>
    <w:unhideWhenUsed/>
    <w:rsid w:val="0045040C"/>
    <w:rPr>
      <w:sz w:val="16"/>
      <w:szCs w:val="16"/>
    </w:rPr>
  </w:style>
  <w:style w:type="paragraph" w:styleId="CommentText">
    <w:name w:val="annotation text"/>
    <w:basedOn w:val="Normal"/>
    <w:link w:val="CommentTextChar"/>
    <w:uiPriority w:val="99"/>
    <w:unhideWhenUsed/>
    <w:rsid w:val="0045040C"/>
    <w:pPr>
      <w:spacing w:line="240" w:lineRule="auto"/>
    </w:pPr>
    <w:rPr>
      <w:sz w:val="20"/>
    </w:rPr>
  </w:style>
  <w:style w:type="character" w:customStyle="1" w:styleId="CommentTextChar">
    <w:name w:val="Comment Text Char"/>
    <w:basedOn w:val="DefaultParagraphFont"/>
    <w:link w:val="CommentText"/>
    <w:uiPriority w:val="99"/>
    <w:rsid w:val="0045040C"/>
    <w:rPr>
      <w:lang w:eastAsia="en-US"/>
    </w:rPr>
  </w:style>
  <w:style w:type="paragraph" w:styleId="CommentSubject">
    <w:name w:val="annotation subject"/>
    <w:basedOn w:val="CommentText"/>
    <w:next w:val="CommentText"/>
    <w:link w:val="CommentSubjectChar"/>
    <w:uiPriority w:val="99"/>
    <w:semiHidden/>
    <w:unhideWhenUsed/>
    <w:rsid w:val="0045040C"/>
    <w:rPr>
      <w:b/>
      <w:bCs/>
    </w:rPr>
  </w:style>
  <w:style w:type="character" w:customStyle="1" w:styleId="CommentSubjectChar">
    <w:name w:val="Comment Subject Char"/>
    <w:basedOn w:val="CommentTextChar"/>
    <w:link w:val="CommentSubject"/>
    <w:uiPriority w:val="99"/>
    <w:semiHidden/>
    <w:rsid w:val="0045040C"/>
    <w:rPr>
      <w:b/>
      <w:bCs/>
      <w:lang w:eastAsia="en-US"/>
    </w:rPr>
  </w:style>
  <w:style w:type="paragraph" w:customStyle="1" w:styleId="Heading4-numbered">
    <w:name w:val="Heading 4 - numbered"/>
    <w:basedOn w:val="Normal"/>
    <w:rsid w:val="00C95D15"/>
  </w:style>
  <w:style w:type="table" w:customStyle="1" w:styleId="TableTGAblue1">
    <w:name w:val="Table TGA blue1"/>
    <w:basedOn w:val="TableNormal"/>
    <w:uiPriority w:val="99"/>
    <w:qFormat/>
    <w:rsid w:val="00D10AF3"/>
    <w:rPr>
      <w:color w:val="000000"/>
      <w:sz w:val="22"/>
      <w:szCs w:val="21"/>
    </w:rPr>
    <w:tblPr>
      <w:tblBorders>
        <w:top w:val="single" w:sz="8" w:space="0" w:color="002C47"/>
        <w:left w:val="single" w:sz="8" w:space="0" w:color="002C47"/>
        <w:bottom w:val="single" w:sz="8" w:space="0" w:color="002C47"/>
        <w:right w:val="single" w:sz="8" w:space="0" w:color="002C47"/>
        <w:insideH w:val="single" w:sz="8" w:space="0" w:color="002C47"/>
        <w:insideV w:val="single" w:sz="8" w:space="0" w:color="002C47"/>
      </w:tblBorders>
    </w:tblPr>
    <w:trPr>
      <w:cantSplit/>
    </w:trPr>
    <w:tcPr>
      <w:shd w:val="clear" w:color="auto" w:fill="auto"/>
    </w:tcPr>
    <w:tblStylePr w:type="firstRow">
      <w:pPr>
        <w:keepNext/>
        <w:wordWrap/>
      </w:pPr>
      <w:rPr>
        <w:rFonts w:ascii="Cambria" w:hAnsi="Cambria"/>
        <w:b/>
        <w:color w:val="FFFFFF"/>
        <w:sz w:val="22"/>
      </w:rPr>
      <w:tblPr/>
      <w:trPr>
        <w:tblHeader/>
      </w:trPr>
      <w:tcPr>
        <w:tcBorders>
          <w:top w:val="single" w:sz="8" w:space="0" w:color="002C47"/>
          <w:left w:val="single" w:sz="8" w:space="0" w:color="002C47"/>
          <w:bottom w:val="single" w:sz="8" w:space="0" w:color="002C47"/>
          <w:right w:val="single" w:sz="8" w:space="0" w:color="002C47"/>
          <w:insideH w:val="nil"/>
          <w:insideV w:val="nil"/>
          <w:tl2br w:val="nil"/>
          <w:tr2bl w:val="nil"/>
        </w:tcBorders>
        <w:shd w:val="clear" w:color="auto" w:fill="006DA7"/>
      </w:tcPr>
    </w:tblStylePr>
    <w:tblStylePr w:type="firstCol">
      <w:pPr>
        <w:keepNext w:val="0"/>
        <w:wordWrap/>
      </w:pPr>
    </w:tblStylePr>
  </w:style>
  <w:style w:type="paragraph" w:styleId="ListParagraph">
    <w:name w:val="List Paragraph"/>
    <w:basedOn w:val="Normal"/>
    <w:uiPriority w:val="1"/>
    <w:qFormat/>
    <w:rsid w:val="00803732"/>
    <w:pPr>
      <w:ind w:left="720"/>
      <w:contextualSpacing/>
    </w:pPr>
  </w:style>
  <w:style w:type="table" w:customStyle="1" w:styleId="TableTGAblue2">
    <w:name w:val="Table TGA blue2"/>
    <w:basedOn w:val="TableNormal"/>
    <w:uiPriority w:val="99"/>
    <w:qFormat/>
    <w:rsid w:val="008A5FD9"/>
    <w:rPr>
      <w:color w:val="000000"/>
      <w:sz w:val="22"/>
      <w:szCs w:val="21"/>
    </w:rPr>
    <w:tblPr>
      <w:tblBorders>
        <w:top w:val="single" w:sz="8" w:space="0" w:color="002C47"/>
        <w:left w:val="single" w:sz="8" w:space="0" w:color="002C47"/>
        <w:bottom w:val="single" w:sz="8" w:space="0" w:color="002C47"/>
        <w:right w:val="single" w:sz="8" w:space="0" w:color="002C47"/>
        <w:insideH w:val="single" w:sz="8" w:space="0" w:color="002C47"/>
        <w:insideV w:val="single" w:sz="8" w:space="0" w:color="002C47"/>
      </w:tblBorders>
    </w:tblPr>
    <w:trPr>
      <w:cantSplit/>
    </w:trPr>
    <w:tcPr>
      <w:shd w:val="clear" w:color="auto" w:fill="auto"/>
    </w:tcPr>
    <w:tblStylePr w:type="firstRow">
      <w:pPr>
        <w:keepNext/>
        <w:wordWrap/>
      </w:pPr>
      <w:rPr>
        <w:rFonts w:ascii="Cambria" w:hAnsi="Cambria"/>
        <w:b/>
        <w:color w:val="FFFFFF"/>
        <w:sz w:val="22"/>
      </w:rPr>
      <w:tblPr/>
      <w:trPr>
        <w:tblHeader/>
      </w:trPr>
      <w:tcPr>
        <w:tcBorders>
          <w:top w:val="single" w:sz="8" w:space="0" w:color="002C47"/>
          <w:left w:val="single" w:sz="8" w:space="0" w:color="002C47"/>
          <w:bottom w:val="single" w:sz="8" w:space="0" w:color="002C47"/>
          <w:right w:val="single" w:sz="8" w:space="0" w:color="002C47"/>
          <w:insideH w:val="nil"/>
          <w:insideV w:val="nil"/>
          <w:tl2br w:val="nil"/>
          <w:tr2bl w:val="nil"/>
        </w:tcBorders>
        <w:shd w:val="clear" w:color="auto" w:fill="006DA7"/>
      </w:tcPr>
    </w:tblStylePr>
    <w:tblStylePr w:type="firstCol">
      <w:pPr>
        <w:keepNext w:val="0"/>
        <w:wordWrap/>
      </w:pPr>
    </w:tblStylePr>
  </w:style>
  <w:style w:type="paragraph" w:styleId="Revision">
    <w:name w:val="Revision"/>
    <w:hidden/>
    <w:uiPriority w:val="99"/>
    <w:semiHidden/>
    <w:rsid w:val="00714B25"/>
    <w:rPr>
      <w:sz w:val="22"/>
      <w:lang w:eastAsia="en-US"/>
    </w:rPr>
  </w:style>
  <w:style w:type="paragraph" w:customStyle="1" w:styleId="Default">
    <w:name w:val="Default"/>
    <w:rsid w:val="00885332"/>
    <w:pPr>
      <w:autoSpaceDE w:val="0"/>
      <w:autoSpaceDN w:val="0"/>
      <w:adjustRightInd w:val="0"/>
    </w:pPr>
    <w:rPr>
      <w:rFonts w:ascii="Arial" w:eastAsiaTheme="minorHAns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7644258">
      <w:bodyDiv w:val="1"/>
      <w:marLeft w:val="0"/>
      <w:marRight w:val="0"/>
      <w:marTop w:val="0"/>
      <w:marBottom w:val="0"/>
      <w:divBdr>
        <w:top w:val="none" w:sz="0" w:space="0" w:color="auto"/>
        <w:left w:val="none" w:sz="0" w:space="0" w:color="auto"/>
        <w:bottom w:val="none" w:sz="0" w:space="0" w:color="auto"/>
        <w:right w:val="none" w:sz="0" w:space="0" w:color="auto"/>
      </w:divBdr>
      <w:divsChild>
        <w:div w:id="1030110770">
          <w:marLeft w:val="0"/>
          <w:marRight w:val="0"/>
          <w:marTop w:val="0"/>
          <w:marBottom w:val="0"/>
          <w:divBdr>
            <w:top w:val="none" w:sz="0" w:space="0" w:color="auto"/>
            <w:left w:val="none" w:sz="0" w:space="0" w:color="auto"/>
            <w:bottom w:val="none" w:sz="0" w:space="0" w:color="auto"/>
            <w:right w:val="none" w:sz="0" w:space="0" w:color="auto"/>
          </w:divBdr>
          <w:divsChild>
            <w:div w:id="1448424603">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532302468">
      <w:bodyDiv w:val="1"/>
      <w:marLeft w:val="0"/>
      <w:marRight w:val="0"/>
      <w:marTop w:val="0"/>
      <w:marBottom w:val="0"/>
      <w:divBdr>
        <w:top w:val="none" w:sz="0" w:space="0" w:color="auto"/>
        <w:left w:val="none" w:sz="0" w:space="0" w:color="auto"/>
        <w:bottom w:val="none" w:sz="0" w:space="0" w:color="auto"/>
        <w:right w:val="none" w:sz="0" w:space="0" w:color="auto"/>
      </w:divBdr>
      <w:divsChild>
        <w:div w:id="929703686">
          <w:marLeft w:val="0"/>
          <w:marRight w:val="0"/>
          <w:marTop w:val="0"/>
          <w:marBottom w:val="0"/>
          <w:divBdr>
            <w:top w:val="none" w:sz="0" w:space="0" w:color="auto"/>
            <w:left w:val="none" w:sz="0" w:space="0" w:color="auto"/>
            <w:bottom w:val="none" w:sz="0" w:space="0" w:color="auto"/>
            <w:right w:val="none" w:sz="0" w:space="0" w:color="auto"/>
          </w:divBdr>
          <w:divsChild>
            <w:div w:id="1620911505">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1109621383">
      <w:bodyDiv w:val="1"/>
      <w:marLeft w:val="0"/>
      <w:marRight w:val="0"/>
      <w:marTop w:val="0"/>
      <w:marBottom w:val="0"/>
      <w:divBdr>
        <w:top w:val="none" w:sz="0" w:space="0" w:color="auto"/>
        <w:left w:val="none" w:sz="0" w:space="0" w:color="auto"/>
        <w:bottom w:val="none" w:sz="0" w:space="0" w:color="auto"/>
        <w:right w:val="none" w:sz="0" w:space="0" w:color="auto"/>
      </w:divBdr>
      <w:divsChild>
        <w:div w:id="1789009720">
          <w:marLeft w:val="0"/>
          <w:marRight w:val="0"/>
          <w:marTop w:val="0"/>
          <w:marBottom w:val="0"/>
          <w:divBdr>
            <w:top w:val="none" w:sz="0" w:space="0" w:color="auto"/>
            <w:left w:val="none" w:sz="0" w:space="0" w:color="auto"/>
            <w:bottom w:val="none" w:sz="0" w:space="0" w:color="auto"/>
            <w:right w:val="none" w:sz="0" w:space="0" w:color="auto"/>
          </w:divBdr>
          <w:divsChild>
            <w:div w:id="1647664671">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1599949410">
      <w:bodyDiv w:val="1"/>
      <w:marLeft w:val="0"/>
      <w:marRight w:val="0"/>
      <w:marTop w:val="0"/>
      <w:marBottom w:val="0"/>
      <w:divBdr>
        <w:top w:val="none" w:sz="0" w:space="0" w:color="auto"/>
        <w:left w:val="none" w:sz="0" w:space="0" w:color="auto"/>
        <w:bottom w:val="none" w:sz="0" w:space="0" w:color="auto"/>
        <w:right w:val="none" w:sz="0" w:space="0" w:color="auto"/>
      </w:divBdr>
      <w:divsChild>
        <w:div w:id="1273900675">
          <w:marLeft w:val="0"/>
          <w:marRight w:val="0"/>
          <w:marTop w:val="0"/>
          <w:marBottom w:val="0"/>
          <w:divBdr>
            <w:top w:val="none" w:sz="0" w:space="0" w:color="auto"/>
            <w:left w:val="none" w:sz="0" w:space="0" w:color="auto"/>
            <w:bottom w:val="none" w:sz="0" w:space="0" w:color="auto"/>
            <w:right w:val="none" w:sz="0" w:space="0" w:color="auto"/>
          </w:divBdr>
          <w:divsChild>
            <w:div w:id="1715694835">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1970697531">
      <w:bodyDiv w:val="1"/>
      <w:marLeft w:val="0"/>
      <w:marRight w:val="0"/>
      <w:marTop w:val="0"/>
      <w:marBottom w:val="0"/>
      <w:divBdr>
        <w:top w:val="none" w:sz="0" w:space="0" w:color="auto"/>
        <w:left w:val="none" w:sz="0" w:space="0" w:color="auto"/>
        <w:bottom w:val="none" w:sz="0" w:space="0" w:color="auto"/>
        <w:right w:val="none" w:sz="0" w:space="0" w:color="auto"/>
      </w:divBdr>
    </w:div>
    <w:div w:id="2114663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tga.gov.au/prescription-medicines-registration-process" TargetMode="External"/><Relationship Id="rId21" Type="http://schemas.openxmlformats.org/officeDocument/2006/relationships/hyperlink" Target="https://www.tga.gov.au/sites/default/files/dr4-appendix-04.pdf" TargetMode="External"/><Relationship Id="rId42" Type="http://schemas.openxmlformats.org/officeDocument/2006/relationships/hyperlink" Target="https://www.legislation.gov.au/Series/C2004A03952" TargetMode="External"/><Relationship Id="rId47" Type="http://schemas.openxmlformats.org/officeDocument/2006/relationships/hyperlink" Target="https://www.tga.gov.au/publication/Variations-prescription-medicines-excluding-variations-requiring-evaluation-clinical-bioequivalence-data-Appendix-2-Variation-types-biological-medicines" TargetMode="External"/><Relationship Id="rId63" Type="http://schemas.openxmlformats.org/officeDocument/2006/relationships/hyperlink" Target="https://www.tga.gov.au/guidance-8-product-information" TargetMode="External"/><Relationship Id="rId68" Type="http://schemas.openxmlformats.org/officeDocument/2006/relationships/hyperlink" Target="https://www.tga.gov.au/prescription-medicines-registration-process" TargetMode="External"/><Relationship Id="rId84" Type="http://schemas.openxmlformats.org/officeDocument/2006/relationships/hyperlink" Target="mailto:AET.application.entry.team@health.gov.au" TargetMode="External"/><Relationship Id="rId89" Type="http://schemas.openxmlformats.org/officeDocument/2006/relationships/hyperlink" Target="https://www.tga.gov.au/consent-import-supply-or-export-therapeutic-goods-do-not-comply-standards-information-industry" TargetMode="External"/><Relationship Id="rId7" Type="http://schemas.openxmlformats.org/officeDocument/2006/relationships/endnotes" Target="endnotes.xml"/><Relationship Id="rId71" Type="http://schemas.openxmlformats.org/officeDocument/2006/relationships/hyperlink" Target="https://www.tga.gov.au/publication/variations-prescription-medicines-excluding-variations-requiring-evaluation-clinical-bioequivalence-data-appendix-1-variation-types-chemical-entities" TargetMode="External"/><Relationship Id="rId92" Type="http://schemas.openxmlformats.org/officeDocument/2006/relationships/hyperlink" Target="https://www.tga.gov.au/payment-options" TargetMode="External"/><Relationship Id="rId2" Type="http://schemas.openxmlformats.org/officeDocument/2006/relationships/numbering" Target="numbering.xml"/><Relationship Id="rId16" Type="http://schemas.openxmlformats.org/officeDocument/2006/relationships/hyperlink" Target="https://www.tga.gov.au/publication/variations-prescription-medicines-excluding-variations-requiring-evaluation-clinical-bioequivalence-data-appendix-1-variation-types-chemical-entities" TargetMode="External"/><Relationship Id="rId29" Type="http://schemas.openxmlformats.org/officeDocument/2006/relationships/hyperlink" Target="https://www.legislation.gov.au/Series/C2004A03952" TargetMode="External"/><Relationship Id="rId11" Type="http://schemas.openxmlformats.org/officeDocument/2006/relationships/footer" Target="footer2.xml"/><Relationship Id="rId24" Type="http://schemas.openxmlformats.org/officeDocument/2006/relationships/hyperlink" Target="mailto:AET.application.entry.team@health.gov.au" TargetMode="External"/><Relationship Id="rId32" Type="http://schemas.openxmlformats.org/officeDocument/2006/relationships/hyperlink" Target="mailto:Application.support.team@health.gov.au" TargetMode="External"/><Relationship Id="rId37" Type="http://schemas.openxmlformats.org/officeDocument/2006/relationships/hyperlink" Target="https://www.legislation.gov.au/Series/C2004A01401" TargetMode="External"/><Relationship Id="rId40" Type="http://schemas.openxmlformats.org/officeDocument/2006/relationships/hyperlink" Target="https://www.legislation.gov.au/Series/C2004A03952" TargetMode="External"/><Relationship Id="rId45" Type="http://schemas.openxmlformats.org/officeDocument/2006/relationships/hyperlink" Target="https://www.tga.gov.au/publication/notifications-process-requests-vary-registered-medicines-where-quality-safety-and-efficacy-are-not-affected" TargetMode="External"/><Relationship Id="rId53" Type="http://schemas.openxmlformats.org/officeDocument/2006/relationships/hyperlink" Target="https://www.legislation.gov.au/Series/C2004A03952" TargetMode="External"/><Relationship Id="rId58" Type="http://schemas.openxmlformats.org/officeDocument/2006/relationships/hyperlink" Target="http://www.tg.org.au" TargetMode="External"/><Relationship Id="rId66" Type="http://schemas.openxmlformats.org/officeDocument/2006/relationships/hyperlink" Target="http://www.tga.gov.au/reformatting-product-information-frequently-asked-questions" TargetMode="External"/><Relationship Id="rId74" Type="http://schemas.openxmlformats.org/officeDocument/2006/relationships/hyperlink" Target="https://business.tga.gov.au" TargetMode="External"/><Relationship Id="rId79" Type="http://schemas.openxmlformats.org/officeDocument/2006/relationships/hyperlink" Target="http://www.tga.gov.au/publication/manufacturing-principles-medicinal-products" TargetMode="External"/><Relationship Id="rId87" Type="http://schemas.openxmlformats.org/officeDocument/2006/relationships/hyperlink" Target="https://www.tga.gov.au/publication/gmp-clearance-guidance" TargetMode="External"/><Relationship Id="rId102"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www.tga.gov.au/prescription-medicines-registration-process" TargetMode="External"/><Relationship Id="rId82" Type="http://schemas.openxmlformats.org/officeDocument/2006/relationships/hyperlink" Target="https://www.tga.gov.au/publication/australian-regulatory-guidelines-medical-devices-argmd" TargetMode="External"/><Relationship Id="rId90" Type="http://schemas.openxmlformats.org/officeDocument/2006/relationships/hyperlink" Target="mailto:pcsinbox@health.gov.au" TargetMode="External"/><Relationship Id="rId95" Type="http://schemas.openxmlformats.org/officeDocument/2006/relationships/hyperlink" Target="https://www.tga.gov.au/publication/scientific-guidelines" TargetMode="External"/><Relationship Id="rId19" Type="http://schemas.openxmlformats.org/officeDocument/2006/relationships/hyperlink" Target="https://www.tga.gov.au/prescription-medicines-registration-process" TargetMode="External"/><Relationship Id="rId14" Type="http://schemas.openxmlformats.org/officeDocument/2006/relationships/hyperlink" Target="https://www.tga.gov.au/australian-register-therapeutic-goods" TargetMode="External"/><Relationship Id="rId22" Type="http://schemas.openxmlformats.org/officeDocument/2006/relationships/hyperlink" Target="https://www.tga.gov.au/acronyms-glossary" TargetMode="External"/><Relationship Id="rId27" Type="http://schemas.openxmlformats.org/officeDocument/2006/relationships/hyperlink" Target="https://www.tga.gov.au/publication/variations-prescription-medicines-excluding-variations-requiring-evaluation-clinical-bioequivalence-data-appendix-1-variation-types-chemical-entities" TargetMode="External"/><Relationship Id="rId30" Type="http://schemas.openxmlformats.org/officeDocument/2006/relationships/hyperlink" Target="https://www.tga.gov.au/therapeutic-goods-groups-order-no-1-2001" TargetMode="External"/><Relationship Id="rId35" Type="http://schemas.openxmlformats.org/officeDocument/2006/relationships/hyperlink" Target="mailto:minister.hunt.DLO@health.gov.au" TargetMode="External"/><Relationship Id="rId43" Type="http://schemas.openxmlformats.org/officeDocument/2006/relationships/hyperlink" Target="https://www.legislation.gov.au/Series/F1996B00406" TargetMode="External"/><Relationship Id="rId48" Type="http://schemas.openxmlformats.org/officeDocument/2006/relationships/hyperlink" Target="https://www.tga.gov.au/prescription-medicines-registration-process" TargetMode="External"/><Relationship Id="rId56" Type="http://schemas.openxmlformats.org/officeDocument/2006/relationships/hyperlink" Target="https://www.legislation.gov.au/Series/C2004A03952" TargetMode="External"/><Relationship Id="rId64" Type="http://schemas.openxmlformats.org/officeDocument/2006/relationships/hyperlink" Target="https://www.tga.gov.au/form-providing-product-information" TargetMode="External"/><Relationship Id="rId69" Type="http://schemas.openxmlformats.org/officeDocument/2006/relationships/hyperlink" Target="https://www.tga.gov.au/publication/variations-prescription-medicines-excluding-variations-requiring-evaluation-clinical-bioequivalence-data-appendix-1-variation-types-chemical-entities" TargetMode="External"/><Relationship Id="rId77" Type="http://schemas.openxmlformats.org/officeDocument/2006/relationships/hyperlink" Target="https://www.tga.gov.au/publication/variations-prescription-medicines-excluding-variations-requiring-evaluation-clinical-bioequivalence-data-appendix-1-variation-types-chemical-entities" TargetMode="External"/><Relationship Id="rId100" Type="http://schemas.openxmlformats.org/officeDocument/2006/relationships/header" Target="header4.xml"/><Relationship Id="rId8" Type="http://schemas.openxmlformats.org/officeDocument/2006/relationships/header" Target="header1.xml"/><Relationship Id="rId51" Type="http://schemas.openxmlformats.org/officeDocument/2006/relationships/hyperlink" Target="https://www.tga.gov.au/prescription-medicines-registration-process" TargetMode="External"/><Relationship Id="rId72" Type="http://schemas.openxmlformats.org/officeDocument/2006/relationships/hyperlink" Target="https://www.tga.gov.au/publication/Variations-prescription-medicines-excluding-variations-requiring-evaluation-clinical-bioequivalence-data-Appendix-2-Variation-types-biological-medicines" TargetMode="External"/><Relationship Id="rId80" Type="http://schemas.openxmlformats.org/officeDocument/2006/relationships/hyperlink" Target="http://www.ema.europa.eu/docs/en_GB/document_library/Scientific_guideline/2010/01/WC500070039.pdf" TargetMode="External"/><Relationship Id="rId85" Type="http://schemas.openxmlformats.org/officeDocument/2006/relationships/hyperlink" Target="mailto:AET.application.entry.team@health.gov.au" TargetMode="External"/><Relationship Id="rId93" Type="http://schemas.openxmlformats.org/officeDocument/2006/relationships/hyperlink" Target="https://www.ebs.tga.gov.au/" TargetMode="External"/><Relationship Id="rId98" Type="http://schemas.openxmlformats.org/officeDocument/2006/relationships/hyperlink" Target="mailto:info@tga.gov.au" TargetMode="External"/><Relationship Id="rId3" Type="http://schemas.openxmlformats.org/officeDocument/2006/relationships/styles" Target="styles.xml"/><Relationship Id="rId12" Type="http://schemas.openxmlformats.org/officeDocument/2006/relationships/hyperlink" Target="mailto:tga.copyright@tga.gov.au" TargetMode="External"/><Relationship Id="rId17" Type="http://schemas.openxmlformats.org/officeDocument/2006/relationships/hyperlink" Target="https://www.tga.gov.au/publication/Variations-prescription-medicines-excluding-variations-requiring-evaluation-clinical-bioequivalence-data-Appendix-2-Variation-types-biological-medicines" TargetMode="External"/><Relationship Id="rId25" Type="http://schemas.openxmlformats.org/officeDocument/2006/relationships/hyperlink" Target="https://www.legislation.gov.au/Series/C2004A03952" TargetMode="External"/><Relationship Id="rId33" Type="http://schemas.openxmlformats.org/officeDocument/2006/relationships/hyperlink" Target="https://www.legislation.gov.au/Series/F1996B00406" TargetMode="External"/><Relationship Id="rId38" Type="http://schemas.openxmlformats.org/officeDocument/2006/relationships/hyperlink" Target="https://www.tga.gov.au/publication/Variations-prescription-medicines-excluding-variations-requiring-evaluation-clinical-bioequivalence-data-Appendix-2-Variation-types-biological-medicines" TargetMode="External"/><Relationship Id="rId46" Type="http://schemas.openxmlformats.org/officeDocument/2006/relationships/hyperlink" Target="https://www.tga.gov.au/publication/variations-prescription-medicines-excluding-variations-requiring-evaluation-clinical-bioequivalence-data-appendix-1-variation-types-chemical-entities" TargetMode="External"/><Relationship Id="rId59" Type="http://schemas.openxmlformats.org/officeDocument/2006/relationships/hyperlink" Target="https://www.tga.gov.au/prescription-medicines-registration-process" TargetMode="External"/><Relationship Id="rId67" Type="http://schemas.openxmlformats.org/officeDocument/2006/relationships/image" Target="media/image5.png"/><Relationship Id="rId103" Type="http://schemas.openxmlformats.org/officeDocument/2006/relationships/theme" Target="theme/theme1.xml"/><Relationship Id="rId20" Type="http://schemas.openxmlformats.org/officeDocument/2006/relationships/hyperlink" Target="mailto:AET.application.entry.team@health.gov.au" TargetMode="External"/><Relationship Id="rId41" Type="http://schemas.openxmlformats.org/officeDocument/2006/relationships/hyperlink" Target="http://www.comlaw.gov.au/Series/C2004A03952" TargetMode="External"/><Relationship Id="rId54" Type="http://schemas.openxmlformats.org/officeDocument/2006/relationships/hyperlink" Target="http://www.comlaw.gov.au/Series/C2004A03952" TargetMode="External"/><Relationship Id="rId62" Type="http://schemas.openxmlformats.org/officeDocument/2006/relationships/hyperlink" Target="https://www.tga.gov.au/publication/variations-prescription-medicines-excluding-variations-requiring-evaluation-clinical-bioequivalence-data-appendix-1-variation-types-chemical-entities" TargetMode="External"/><Relationship Id="rId70" Type="http://schemas.openxmlformats.org/officeDocument/2006/relationships/hyperlink" Target="https://www.tga.gov.au/publication/Variations-prescription-medicines-excluding-variations-requiring-evaluation-clinical-bioequivalence-data-Appendix-2-Variation-types-biological-medicines" TargetMode="External"/><Relationship Id="rId75" Type="http://schemas.openxmlformats.org/officeDocument/2006/relationships/image" Target="media/image6.png"/><Relationship Id="rId83" Type="http://schemas.openxmlformats.org/officeDocument/2006/relationships/hyperlink" Target="https://www.tga.gov.au/publication/general-dossier-requirements" TargetMode="External"/><Relationship Id="rId88" Type="http://schemas.openxmlformats.org/officeDocument/2006/relationships/hyperlink" Target="https://www.tga.gov.au/manufacturing-medicines" TargetMode="External"/><Relationship Id="rId91" Type="http://schemas.openxmlformats.org/officeDocument/2006/relationships/hyperlink" Target="https://www.tga.gov.au/schedule-fees-and-charges" TargetMode="External"/><Relationship Id="rId9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tga.gov.au/prescription-medicines-registration-process" TargetMode="External"/><Relationship Id="rId23" Type="http://schemas.openxmlformats.org/officeDocument/2006/relationships/image" Target="media/image4.png"/><Relationship Id="rId28" Type="http://schemas.openxmlformats.org/officeDocument/2006/relationships/hyperlink" Target="https://www.tga.gov.au/publication/Variations-prescription-medicines-excluding-variations-requiring-evaluation-clinical-bioequivalence-data-Appendix-2-Variation-types-biological-medicines" TargetMode="External"/><Relationship Id="rId36" Type="http://schemas.openxmlformats.org/officeDocument/2006/relationships/hyperlink" Target="mailto:decision.review@health.gov.au" TargetMode="External"/><Relationship Id="rId49" Type="http://schemas.openxmlformats.org/officeDocument/2006/relationships/hyperlink" Target="https://www.tga.gov.au/publication/australian-regulatory-guidelines-prescription-medicines-argpm" TargetMode="External"/><Relationship Id="rId57" Type="http://schemas.openxmlformats.org/officeDocument/2006/relationships/hyperlink" Target="http://www.comlaw.gov.au/Series/C2004A03952" TargetMode="External"/><Relationship Id="rId10" Type="http://schemas.openxmlformats.org/officeDocument/2006/relationships/header" Target="header2.xml"/><Relationship Id="rId31" Type="http://schemas.openxmlformats.org/officeDocument/2006/relationships/hyperlink" Target="https://www.tga.gov.au/therapeutic-goods-groups-order-no-1-2001" TargetMode="External"/><Relationship Id="rId44" Type="http://schemas.openxmlformats.org/officeDocument/2006/relationships/hyperlink" Target="https://www.legislation.gov.au/Series/F1996B00406" TargetMode="External"/><Relationship Id="rId52" Type="http://schemas.openxmlformats.org/officeDocument/2006/relationships/hyperlink" Target="https://www.tga.gov.au/form-providing-product-information" TargetMode="External"/><Relationship Id="rId60" Type="http://schemas.openxmlformats.org/officeDocument/2006/relationships/hyperlink" Target="https://www.legislation.gov.au/Series/F1996B00406" TargetMode="External"/><Relationship Id="rId65" Type="http://schemas.openxmlformats.org/officeDocument/2006/relationships/hyperlink" Target="http://www.tga.gov.au/reformatting-product-information-frequently-asked-questions" TargetMode="External"/><Relationship Id="rId73" Type="http://schemas.openxmlformats.org/officeDocument/2006/relationships/hyperlink" Target="https://www.tga.gov.au/therapeutic-goods-groups-order-no-1-2001" TargetMode="External"/><Relationship Id="rId78" Type="http://schemas.openxmlformats.org/officeDocument/2006/relationships/hyperlink" Target="https://www.tga.gov.au/publication/Variations-prescription-medicines-excluding-variations-requiring-evaluation-clinical-bioequivalence-data-Appendix-2-Variation-types-biological-medicines" TargetMode="External"/><Relationship Id="rId81" Type="http://schemas.openxmlformats.org/officeDocument/2006/relationships/hyperlink" Target="https://www.legislation.gov.au/Series/C2004A03952" TargetMode="External"/><Relationship Id="rId86" Type="http://schemas.openxmlformats.org/officeDocument/2006/relationships/hyperlink" Target="https://www.tga.gov.au/book-page/site-manufacture-changes" TargetMode="External"/><Relationship Id="rId94" Type="http://schemas.openxmlformats.org/officeDocument/2006/relationships/hyperlink" Target="https://www.ebs.tga.gov.au/" TargetMode="External"/><Relationship Id="rId99" Type="http://schemas.openxmlformats.org/officeDocument/2006/relationships/hyperlink" Target="https://www.tga.gov.au" TargetMode="External"/><Relationship Id="rId101" Type="http://schemas.openxmlformats.org/officeDocument/2006/relationships/footer" Target="footer4.xm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hyperlink" Target="https://www.tga.gov.au/acronyms-glossary" TargetMode="External"/><Relationship Id="rId18" Type="http://schemas.openxmlformats.org/officeDocument/2006/relationships/hyperlink" Target="https://www.tga.gov.au/publication/general-dossier-requirements" TargetMode="External"/><Relationship Id="rId39" Type="http://schemas.openxmlformats.org/officeDocument/2006/relationships/hyperlink" Target="https://www.tga.gov.au/australian-register-therapeutic-goods" TargetMode="External"/><Relationship Id="rId34" Type="http://schemas.openxmlformats.org/officeDocument/2006/relationships/hyperlink" Target="https://www.tga.gov.au/prescription-medicines-registration-process" TargetMode="External"/><Relationship Id="rId50" Type="http://schemas.openxmlformats.org/officeDocument/2006/relationships/hyperlink" Target="https://www.tga.gov.au/publication/scientific-guidelines" TargetMode="External"/><Relationship Id="rId55" Type="http://schemas.openxmlformats.org/officeDocument/2006/relationships/hyperlink" Target="https://www.tga.gov.au/prescription-medicines-registration-process" TargetMode="External"/><Relationship Id="rId76" Type="http://schemas.openxmlformats.org/officeDocument/2006/relationships/hyperlink" Target="https://www.tga.gov.au/tga-business-services" TargetMode="External"/><Relationship Id="rId97"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gif"/><Relationship Id="rId1" Type="http://schemas.openxmlformats.org/officeDocument/2006/relationships/image" Target="media/image1.jpg"/></Relationships>
</file>

<file path=word/theme/theme1.xml><?xml version="1.0" encoding="utf-8"?>
<a:theme xmlns:a="http://schemas.openxmlformats.org/drawingml/2006/main" name="TGA">
  <a:themeElements>
    <a:clrScheme name="TGA Theme">
      <a:dk1>
        <a:srgbClr val="002C47"/>
      </a:dk1>
      <a:lt1>
        <a:srgbClr val="FFFFFF"/>
      </a:lt1>
      <a:dk2>
        <a:srgbClr val="002C47"/>
      </a:dk2>
      <a:lt2>
        <a:srgbClr val="FFFFFF"/>
      </a:lt2>
      <a:accent1>
        <a:srgbClr val="006EA8"/>
      </a:accent1>
      <a:accent2>
        <a:srgbClr val="A5ABB2"/>
      </a:accent2>
      <a:accent3>
        <a:srgbClr val="016665"/>
      </a:accent3>
      <a:accent4>
        <a:srgbClr val="B3C95F"/>
      </a:accent4>
      <a:accent5>
        <a:srgbClr val="274520"/>
      </a:accent5>
      <a:accent6>
        <a:srgbClr val="9A86B7"/>
      </a:accent6>
      <a:hlink>
        <a:srgbClr val="0000FF"/>
      </a:hlink>
      <a:folHlink>
        <a:srgbClr val="800080"/>
      </a:folHlink>
    </a:clrScheme>
    <a:fontScheme name="TGA Fonts">
      <a:majorFont>
        <a:latin typeface="Arial"/>
        <a:ea typeface=""/>
        <a:cs typeface=""/>
      </a:majorFont>
      <a:minorFont>
        <a:latin typeface="Cambr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FB18F5-D0FD-48AB-83E3-83835AB1C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40</Pages>
  <Words>14064</Words>
  <Characters>80168</Characters>
  <Application>Microsoft Office Word</Application>
  <DocSecurity>0</DocSecurity>
  <Lines>668</Lines>
  <Paragraphs>188</Paragraphs>
  <ScaleCrop>false</ScaleCrop>
  <HeadingPairs>
    <vt:vector size="2" baseType="variant">
      <vt:variant>
        <vt:lpstr>Title</vt:lpstr>
      </vt:variant>
      <vt:variant>
        <vt:i4>1</vt:i4>
      </vt:variant>
    </vt:vector>
  </HeadingPairs>
  <TitlesOfParts>
    <vt:vector size="1" baseType="lpstr">
      <vt:lpstr>Variations to prescription medicines – excluding variations requiring evaluation of clinical or bioequivalence data: Process guidance</vt:lpstr>
    </vt:vector>
  </TitlesOfParts>
  <Company>TGA</Company>
  <LinksUpToDate>false</LinksUpToDate>
  <CharactersWithSpaces>94044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Variations to prescription medicines – excluding variations requiring evaluation of clinical or bioequivalence data: Process guidance</dc:title>
  <dc:subject>prescription medicines</dc:subject>
  <dc:creator>Therapeutic Goods Administration</dc:creator>
  <cp:lastModifiedBy>PETKOVIC, Emily</cp:lastModifiedBy>
  <cp:revision>2</cp:revision>
  <cp:lastPrinted>2019-05-22T22:44:00Z</cp:lastPrinted>
  <dcterms:created xsi:type="dcterms:W3CDTF">2024-11-04T21:59:00Z</dcterms:created>
  <dcterms:modified xsi:type="dcterms:W3CDTF">2024-11-04T21:59:00Z</dcterms:modified>
</cp:coreProperties>
</file>