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75657465" w:rsidR="00F02AEC" w:rsidRPr="00215D48" w:rsidRDefault="00346EC2" w:rsidP="007452E8">
            <w:pPr>
              <w:pStyle w:val="Title"/>
            </w:pPr>
            <w:r w:rsidRPr="00346EC2">
              <w:t xml:space="preserve">Australian Public Assessment Report for </w:t>
            </w:r>
            <w:r w:rsidR="007653C9">
              <w:t>Elrexfio</w:t>
            </w:r>
          </w:p>
        </w:tc>
      </w:tr>
      <w:tr w:rsidR="00F02AEC" w:rsidRPr="00215D48" w14:paraId="318A40A3" w14:textId="77777777" w:rsidTr="00346EC2">
        <w:trPr>
          <w:trHeight w:val="995"/>
        </w:trPr>
        <w:tc>
          <w:tcPr>
            <w:tcW w:w="8720" w:type="dxa"/>
          </w:tcPr>
          <w:p w14:paraId="1AA7C701" w14:textId="5A4DFECA" w:rsidR="00F02AEC" w:rsidRPr="00215D48" w:rsidRDefault="00346EC2" w:rsidP="007452E8">
            <w:pPr>
              <w:pStyle w:val="Subtitle"/>
              <w:ind w:left="0"/>
            </w:pPr>
            <w:r w:rsidRPr="00346EC2">
              <w:t xml:space="preserve">Active ingredient: </w:t>
            </w:r>
            <w:bookmarkStart w:id="0" w:name="_Hlk185407857"/>
            <w:proofErr w:type="spellStart"/>
            <w:r w:rsidR="0005466A">
              <w:t>E</w:t>
            </w:r>
            <w:r w:rsidR="007653C9">
              <w:t>lranatamab</w:t>
            </w:r>
            <w:bookmarkEnd w:id="0"/>
            <w:proofErr w:type="spellEnd"/>
          </w:p>
        </w:tc>
      </w:tr>
      <w:tr w:rsidR="00346EC2" w:rsidRPr="00215D48" w14:paraId="362CCAE4" w14:textId="77777777" w:rsidTr="007452E8">
        <w:trPr>
          <w:trHeight w:val="1916"/>
        </w:trPr>
        <w:tc>
          <w:tcPr>
            <w:tcW w:w="8720" w:type="dxa"/>
          </w:tcPr>
          <w:p w14:paraId="709C45C0" w14:textId="2835DC63" w:rsidR="00346EC2" w:rsidRPr="00215D48" w:rsidRDefault="00346EC2" w:rsidP="007452E8">
            <w:pPr>
              <w:pStyle w:val="Subtitle"/>
              <w:ind w:left="0"/>
            </w:pPr>
            <w:r w:rsidRPr="00346EC2">
              <w:t xml:space="preserve">Sponsor: </w:t>
            </w:r>
            <w:bookmarkStart w:id="1" w:name="_Hlk185407867"/>
            <w:r w:rsidR="007653C9">
              <w:t>Pfizer Australia Pty Ltd</w:t>
            </w:r>
            <w:bookmarkEnd w:id="1"/>
          </w:p>
        </w:tc>
      </w:tr>
      <w:tr w:rsidR="00F02AEC" w:rsidRPr="00215D48" w14:paraId="37F2AA1F" w14:textId="77777777" w:rsidTr="007452E8">
        <w:tc>
          <w:tcPr>
            <w:tcW w:w="8720" w:type="dxa"/>
          </w:tcPr>
          <w:p w14:paraId="1FDE8DCD" w14:textId="4B7D7B6C" w:rsidR="00F02AEC" w:rsidRPr="00215D48" w:rsidRDefault="004F3D0E" w:rsidP="007452E8">
            <w:pPr>
              <w:pStyle w:val="Date"/>
            </w:pPr>
            <w:r>
              <w:t xml:space="preserve">October </w:t>
            </w:r>
            <w:r w:rsidR="007653C9">
              <w:t>202</w:t>
            </w:r>
            <w:r w:rsidR="0071093C">
              <w:t>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330D7CA3" w:rsidR="00346EC2" w:rsidRPr="00391B0C" w:rsidRDefault="00346EC2" w:rsidP="0056766D">
      <w:pPr>
        <w:pStyle w:val="ListBullet"/>
      </w:pPr>
      <w:r w:rsidRPr="00391B0C">
        <w:t xml:space="preserve">The </w:t>
      </w:r>
      <w:hyperlink r:id="rId15" w:history="1">
        <w:r w:rsidR="00E537DD" w:rsidRPr="00413213">
          <w:rPr>
            <w:rStyle w:val="Hyperlink"/>
          </w:rPr>
          <w:t>Therapeutic Goods Administration</w:t>
        </w:r>
      </w:hyperlink>
      <w:r w:rsidR="00E537DD" w:rsidRPr="00391B0C">
        <w:t xml:space="preserve"> </w:t>
      </w:r>
      <w:r w:rsidRPr="00391B0C">
        <w:t xml:space="preserve">(TGA)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6"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73918882" w14:textId="77777777" w:rsidR="00E572F7" w:rsidRPr="007F6AB4" w:rsidRDefault="00E572F7" w:rsidP="00E572F7">
      <w:pPr>
        <w:pStyle w:val="ListBullet"/>
      </w:pPr>
      <w:bookmarkStart w:id="2" w:name="_Hlk178341385"/>
      <w:bookmarkStart w:id="3" w:name="_Hlk178341112"/>
      <w:r w:rsidRPr="00F24396">
        <w:t xml:space="preserve">The TGA </w:t>
      </w:r>
      <w:r>
        <w:t>assesses</w:t>
      </w:r>
      <w:r w:rsidRPr="00F24396">
        <w:t xml:space="preserve"> </w:t>
      </w:r>
      <w:r>
        <w:t>applications</w:t>
      </w:r>
      <w:r w:rsidRPr="00F24396">
        <w:t xml:space="preserve"> </w:t>
      </w:r>
      <w:r>
        <w:t>to enter</w:t>
      </w:r>
      <w:r w:rsidRPr="00F24396">
        <w:t xml:space="preserve"> </w:t>
      </w:r>
      <w:r>
        <w:t>therapeutic goods in</w:t>
      </w:r>
      <w:r w:rsidRPr="00F24396">
        <w:t xml:space="preserve"> the </w:t>
      </w:r>
      <w:hyperlink r:id="rId17" w:history="1">
        <w:r w:rsidRPr="008E3C94">
          <w:rPr>
            <w:rStyle w:val="Hyperlink"/>
            <w:szCs w:val="22"/>
          </w:rPr>
          <w:t>Australian Register of Therapeutic Goods (ARTG)</w:t>
        </w:r>
      </w:hyperlink>
      <w:r>
        <w:rPr>
          <w:szCs w:val="22"/>
        </w:rPr>
        <w:t>.</w:t>
      </w:r>
    </w:p>
    <w:p w14:paraId="312EE9A6" w14:textId="77777777" w:rsidR="00E572F7" w:rsidRDefault="00E572F7" w:rsidP="00E572F7">
      <w:pPr>
        <w:pStyle w:val="ListBullet"/>
      </w:pPr>
      <w:r w:rsidRPr="003C6D1F">
        <w:t>Australian Public Assessment Report</w:t>
      </w:r>
      <w:r>
        <w:t>s</w:t>
      </w:r>
      <w:r w:rsidRPr="003C6D1F">
        <w:t xml:space="preserve"> (AusPAR</w:t>
      </w:r>
      <w:r>
        <w:t>s</w:t>
      </w:r>
      <w:r w:rsidRPr="003C6D1F">
        <w:t xml:space="preserve">) provide information </w:t>
      </w:r>
      <w:r>
        <w:t>on</w:t>
      </w:r>
      <w:r w:rsidRPr="003C6D1F">
        <w:t xml:space="preserve"> the evaluation of prescription medicine</w:t>
      </w:r>
      <w:r>
        <w:t>s</w:t>
      </w:r>
      <w:r w:rsidRPr="003C6D1F">
        <w:t xml:space="preserve"> and the considerations that led the TGA to approve or not approve </w:t>
      </w:r>
      <w:r>
        <w:t>their entry in the ARTG</w:t>
      </w:r>
      <w:r w:rsidRPr="003C6D1F">
        <w:t>.</w:t>
      </w:r>
      <w:r>
        <w:t xml:space="preserve"> AusPARs are an important part of the transparency of the TGA’s decision-making process.</w:t>
      </w:r>
    </w:p>
    <w:p w14:paraId="055DAA69" w14:textId="20298ABC" w:rsidR="00FF6435" w:rsidRPr="003C6D1F" w:rsidRDefault="00FF6435" w:rsidP="00FF6435">
      <w:pPr>
        <w:pStyle w:val="ListBullet"/>
      </w:pPr>
      <w:r w:rsidRPr="003C6D1F">
        <w:t xml:space="preserve">AusPARs are </w:t>
      </w:r>
      <w:r>
        <w:t xml:space="preserve">compiled </w:t>
      </w:r>
      <w:r w:rsidRPr="003C6D1F">
        <w:t>and published by the TGA</w:t>
      </w:r>
      <w:r>
        <w:t xml:space="preserve"> using extracts from scientific evaluations and risk-benefit assessments. </w:t>
      </w:r>
    </w:p>
    <w:p w14:paraId="277968E9" w14:textId="630D5AD0" w:rsidR="00E572F7" w:rsidRDefault="00B93D69" w:rsidP="00E572F7">
      <w:pPr>
        <w:pStyle w:val="ListBullet"/>
      </w:pPr>
      <w:r>
        <w:t>Each</w:t>
      </w:r>
      <w:r w:rsidR="00E572F7">
        <w:t xml:space="preserve"> </w:t>
      </w:r>
      <w:r w:rsidR="00E572F7" w:rsidRPr="003C6D1F">
        <w:t>AusPAR</w:t>
      </w:r>
      <w:r w:rsidR="00E572F7">
        <w:t xml:space="preserve"> </w:t>
      </w:r>
      <w:r w:rsidR="00E572F7" w:rsidRPr="003C6D1F">
        <w:t>relates to a</w:t>
      </w:r>
      <w:r w:rsidR="00E572F7">
        <w:t xml:space="preserve"> prescription medicine application </w:t>
      </w:r>
      <w:r w:rsidR="00E572F7" w:rsidRPr="003C6D1F">
        <w:t>at a particular point in time.</w:t>
      </w:r>
      <w:r w:rsidR="00E572F7">
        <w:t xml:space="preserve"> </w:t>
      </w:r>
      <w:r w:rsidR="000E162D">
        <w:br/>
      </w:r>
      <w:r w:rsidR="00E572F7">
        <w:t xml:space="preserve">A </w:t>
      </w:r>
      <w:r w:rsidR="000E162D">
        <w:t>n</w:t>
      </w:r>
      <w:r w:rsidR="00E572F7">
        <w:t>ew</w:t>
      </w:r>
      <w:r w:rsidR="00E572F7" w:rsidRPr="003C6D1F">
        <w:t xml:space="preserve"> AusPAR </w:t>
      </w:r>
      <w:r w:rsidR="00E572F7">
        <w:t xml:space="preserve">may be provided </w:t>
      </w:r>
      <w:r w:rsidR="00E572F7" w:rsidRPr="003C6D1F">
        <w:t>to reflect changes to indications or major variations to a prescription medicine.</w:t>
      </w:r>
    </w:p>
    <w:p w14:paraId="77BA7182" w14:textId="77777777" w:rsidR="00E572F7" w:rsidRDefault="00E572F7" w:rsidP="00E572F7">
      <w:pPr>
        <w:pStyle w:val="ListBullet"/>
      </w:pPr>
      <w:r>
        <w:t xml:space="preserve">More information can be found in </w:t>
      </w:r>
      <w:hyperlink r:id="rId18" w:history="1">
        <w:r w:rsidRPr="005A2EB8">
          <w:rPr>
            <w:rStyle w:val="Hyperlink"/>
          </w:rPr>
          <w:t>Australian Public Assessment Report (AusPAR) guidance</w:t>
        </w:r>
      </w:hyperlink>
      <w:bookmarkEnd w:id="2"/>
      <w:r>
        <w:t>.</w:t>
      </w:r>
    </w:p>
    <w:bookmarkEnd w:id="3"/>
    <w:p w14:paraId="1E4B4D7C" w14:textId="77777777" w:rsidR="003E4E62" w:rsidRPr="003C6D1F" w:rsidRDefault="003E4E62" w:rsidP="003E4E62">
      <w:pPr>
        <w:pStyle w:val="ListBullet"/>
        <w:numPr>
          <w:ilvl w:val="0"/>
          <w:numId w:val="0"/>
        </w:numPr>
        <w:ind w:left="360"/>
      </w:pPr>
    </w:p>
    <w:p w14:paraId="7067011F" w14:textId="510D5C5C" w:rsidR="00F02AEC" w:rsidRPr="00E1198B" w:rsidRDefault="00F02AEC" w:rsidP="00E4606A">
      <w:pPr>
        <w:pStyle w:val="LegalSubheading"/>
        <w:spacing w:before="228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5A222E7F" w14:textId="7C2456D3" w:rsidR="005567B8"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81631296" w:history="1">
            <w:r w:rsidR="005567B8" w:rsidRPr="00C1700B">
              <w:rPr>
                <w:rStyle w:val="Hyperlink"/>
                <w:noProof/>
              </w:rPr>
              <w:t>List of abbreviations</w:t>
            </w:r>
            <w:r w:rsidR="005567B8">
              <w:rPr>
                <w:noProof/>
                <w:webHidden/>
              </w:rPr>
              <w:tab/>
            </w:r>
            <w:r w:rsidR="005567B8">
              <w:rPr>
                <w:noProof/>
                <w:webHidden/>
              </w:rPr>
              <w:fldChar w:fldCharType="begin"/>
            </w:r>
            <w:r w:rsidR="005567B8">
              <w:rPr>
                <w:noProof/>
                <w:webHidden/>
              </w:rPr>
              <w:instrText xml:space="preserve"> PAGEREF _Toc181631296 \h </w:instrText>
            </w:r>
            <w:r w:rsidR="005567B8">
              <w:rPr>
                <w:noProof/>
                <w:webHidden/>
              </w:rPr>
            </w:r>
            <w:r w:rsidR="005567B8">
              <w:rPr>
                <w:noProof/>
                <w:webHidden/>
              </w:rPr>
              <w:fldChar w:fldCharType="separate"/>
            </w:r>
            <w:r w:rsidR="0005466A">
              <w:rPr>
                <w:noProof/>
                <w:webHidden/>
              </w:rPr>
              <w:t>4</w:t>
            </w:r>
            <w:r w:rsidR="005567B8">
              <w:rPr>
                <w:noProof/>
                <w:webHidden/>
              </w:rPr>
              <w:fldChar w:fldCharType="end"/>
            </w:r>
          </w:hyperlink>
        </w:p>
        <w:p w14:paraId="6C5EA516" w14:textId="74E86EC1" w:rsidR="005567B8" w:rsidRDefault="005567B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1631297" w:history="1">
            <w:r w:rsidRPr="00C1700B">
              <w:rPr>
                <w:rStyle w:val="Hyperlink"/>
                <w:noProof/>
              </w:rPr>
              <w:t>Product submission</w:t>
            </w:r>
            <w:r>
              <w:rPr>
                <w:noProof/>
                <w:webHidden/>
              </w:rPr>
              <w:tab/>
            </w:r>
            <w:r>
              <w:rPr>
                <w:noProof/>
                <w:webHidden/>
              </w:rPr>
              <w:fldChar w:fldCharType="begin"/>
            </w:r>
            <w:r>
              <w:rPr>
                <w:noProof/>
                <w:webHidden/>
              </w:rPr>
              <w:instrText xml:space="preserve"> PAGEREF _Toc181631297 \h </w:instrText>
            </w:r>
            <w:r>
              <w:rPr>
                <w:noProof/>
                <w:webHidden/>
              </w:rPr>
            </w:r>
            <w:r>
              <w:rPr>
                <w:noProof/>
                <w:webHidden/>
              </w:rPr>
              <w:fldChar w:fldCharType="separate"/>
            </w:r>
            <w:r w:rsidR="0005466A">
              <w:rPr>
                <w:noProof/>
                <w:webHidden/>
              </w:rPr>
              <w:t>12</w:t>
            </w:r>
            <w:r>
              <w:rPr>
                <w:noProof/>
                <w:webHidden/>
              </w:rPr>
              <w:fldChar w:fldCharType="end"/>
            </w:r>
          </w:hyperlink>
        </w:p>
        <w:p w14:paraId="05F02CDD" w14:textId="34D704FD" w:rsidR="005567B8" w:rsidRDefault="005567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631298" w:history="1">
            <w:r w:rsidRPr="00C1700B">
              <w:rPr>
                <w:rStyle w:val="Hyperlink"/>
                <w:noProof/>
                <w:lang w:eastAsia="en-AU"/>
              </w:rPr>
              <w:t>Submission details</w:t>
            </w:r>
            <w:r>
              <w:rPr>
                <w:noProof/>
                <w:webHidden/>
              </w:rPr>
              <w:tab/>
            </w:r>
            <w:r>
              <w:rPr>
                <w:noProof/>
                <w:webHidden/>
              </w:rPr>
              <w:fldChar w:fldCharType="begin"/>
            </w:r>
            <w:r>
              <w:rPr>
                <w:noProof/>
                <w:webHidden/>
              </w:rPr>
              <w:instrText xml:space="preserve"> PAGEREF _Toc181631298 \h </w:instrText>
            </w:r>
            <w:r>
              <w:rPr>
                <w:noProof/>
                <w:webHidden/>
              </w:rPr>
            </w:r>
            <w:r>
              <w:rPr>
                <w:noProof/>
                <w:webHidden/>
              </w:rPr>
              <w:fldChar w:fldCharType="separate"/>
            </w:r>
            <w:r w:rsidR="0005466A">
              <w:rPr>
                <w:noProof/>
                <w:webHidden/>
              </w:rPr>
              <w:t>12</w:t>
            </w:r>
            <w:r>
              <w:rPr>
                <w:noProof/>
                <w:webHidden/>
              </w:rPr>
              <w:fldChar w:fldCharType="end"/>
            </w:r>
          </w:hyperlink>
        </w:p>
        <w:p w14:paraId="69F5D51A" w14:textId="6037E01E" w:rsidR="005567B8" w:rsidRDefault="005567B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1631299" w:history="1">
            <w:r w:rsidRPr="00C1700B">
              <w:rPr>
                <w:rStyle w:val="Hyperlink"/>
                <w:noProof/>
              </w:rPr>
              <w:t>Product background</w:t>
            </w:r>
            <w:r>
              <w:rPr>
                <w:noProof/>
                <w:webHidden/>
              </w:rPr>
              <w:tab/>
            </w:r>
            <w:r>
              <w:rPr>
                <w:noProof/>
                <w:webHidden/>
              </w:rPr>
              <w:fldChar w:fldCharType="begin"/>
            </w:r>
            <w:r>
              <w:rPr>
                <w:noProof/>
                <w:webHidden/>
              </w:rPr>
              <w:instrText xml:space="preserve"> PAGEREF _Toc181631299 \h </w:instrText>
            </w:r>
            <w:r>
              <w:rPr>
                <w:noProof/>
                <w:webHidden/>
              </w:rPr>
            </w:r>
            <w:r>
              <w:rPr>
                <w:noProof/>
                <w:webHidden/>
              </w:rPr>
              <w:fldChar w:fldCharType="separate"/>
            </w:r>
            <w:r w:rsidR="0005466A">
              <w:rPr>
                <w:noProof/>
                <w:webHidden/>
              </w:rPr>
              <w:t>13</w:t>
            </w:r>
            <w:r>
              <w:rPr>
                <w:noProof/>
                <w:webHidden/>
              </w:rPr>
              <w:fldChar w:fldCharType="end"/>
            </w:r>
          </w:hyperlink>
        </w:p>
        <w:p w14:paraId="16FD36D7" w14:textId="306F9227" w:rsidR="005567B8" w:rsidRDefault="005567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1631300" w:history="1">
            <w:r w:rsidRPr="00C1700B">
              <w:rPr>
                <w:rStyle w:val="Hyperlink"/>
                <w:noProof/>
              </w:rPr>
              <w:t>Multiple myeloma (MM)</w:t>
            </w:r>
            <w:r>
              <w:rPr>
                <w:noProof/>
                <w:webHidden/>
              </w:rPr>
              <w:tab/>
            </w:r>
            <w:r>
              <w:rPr>
                <w:noProof/>
                <w:webHidden/>
              </w:rPr>
              <w:fldChar w:fldCharType="begin"/>
            </w:r>
            <w:r>
              <w:rPr>
                <w:noProof/>
                <w:webHidden/>
              </w:rPr>
              <w:instrText xml:space="preserve"> PAGEREF _Toc181631300 \h </w:instrText>
            </w:r>
            <w:r>
              <w:rPr>
                <w:noProof/>
                <w:webHidden/>
              </w:rPr>
            </w:r>
            <w:r>
              <w:rPr>
                <w:noProof/>
                <w:webHidden/>
              </w:rPr>
              <w:fldChar w:fldCharType="separate"/>
            </w:r>
            <w:r w:rsidR="0005466A">
              <w:rPr>
                <w:noProof/>
                <w:webHidden/>
              </w:rPr>
              <w:t>13</w:t>
            </w:r>
            <w:r>
              <w:rPr>
                <w:noProof/>
                <w:webHidden/>
              </w:rPr>
              <w:fldChar w:fldCharType="end"/>
            </w:r>
          </w:hyperlink>
        </w:p>
        <w:p w14:paraId="0B2D9B45" w14:textId="1CC9925A" w:rsidR="005567B8" w:rsidRDefault="005567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1631301" w:history="1">
            <w:r w:rsidRPr="00C1700B">
              <w:rPr>
                <w:rStyle w:val="Hyperlink"/>
                <w:noProof/>
              </w:rPr>
              <w:t>Current treatment options</w:t>
            </w:r>
            <w:r>
              <w:rPr>
                <w:noProof/>
                <w:webHidden/>
              </w:rPr>
              <w:tab/>
            </w:r>
            <w:r>
              <w:rPr>
                <w:noProof/>
                <w:webHidden/>
              </w:rPr>
              <w:fldChar w:fldCharType="begin"/>
            </w:r>
            <w:r>
              <w:rPr>
                <w:noProof/>
                <w:webHidden/>
              </w:rPr>
              <w:instrText xml:space="preserve"> PAGEREF _Toc181631301 \h </w:instrText>
            </w:r>
            <w:r>
              <w:rPr>
                <w:noProof/>
                <w:webHidden/>
              </w:rPr>
            </w:r>
            <w:r>
              <w:rPr>
                <w:noProof/>
                <w:webHidden/>
              </w:rPr>
              <w:fldChar w:fldCharType="separate"/>
            </w:r>
            <w:r w:rsidR="0005466A">
              <w:rPr>
                <w:noProof/>
                <w:webHidden/>
              </w:rPr>
              <w:t>14</w:t>
            </w:r>
            <w:r>
              <w:rPr>
                <w:noProof/>
                <w:webHidden/>
              </w:rPr>
              <w:fldChar w:fldCharType="end"/>
            </w:r>
          </w:hyperlink>
        </w:p>
        <w:p w14:paraId="6FAA4C47" w14:textId="3FA65A97" w:rsidR="005567B8" w:rsidRDefault="005567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1631302" w:history="1">
            <w:r w:rsidRPr="00C1700B">
              <w:rPr>
                <w:rStyle w:val="Hyperlink"/>
                <w:noProof/>
              </w:rPr>
              <w:t>Clinical rationale</w:t>
            </w:r>
            <w:r>
              <w:rPr>
                <w:noProof/>
                <w:webHidden/>
              </w:rPr>
              <w:tab/>
            </w:r>
            <w:r>
              <w:rPr>
                <w:noProof/>
                <w:webHidden/>
              </w:rPr>
              <w:fldChar w:fldCharType="begin"/>
            </w:r>
            <w:r>
              <w:rPr>
                <w:noProof/>
                <w:webHidden/>
              </w:rPr>
              <w:instrText xml:space="preserve"> PAGEREF _Toc181631302 \h </w:instrText>
            </w:r>
            <w:r>
              <w:rPr>
                <w:noProof/>
                <w:webHidden/>
              </w:rPr>
            </w:r>
            <w:r>
              <w:rPr>
                <w:noProof/>
                <w:webHidden/>
              </w:rPr>
              <w:fldChar w:fldCharType="separate"/>
            </w:r>
            <w:r w:rsidR="0005466A">
              <w:rPr>
                <w:noProof/>
                <w:webHidden/>
              </w:rPr>
              <w:t>16</w:t>
            </w:r>
            <w:r>
              <w:rPr>
                <w:noProof/>
                <w:webHidden/>
              </w:rPr>
              <w:fldChar w:fldCharType="end"/>
            </w:r>
          </w:hyperlink>
        </w:p>
        <w:p w14:paraId="733D320E" w14:textId="5DE5FE35" w:rsidR="005567B8" w:rsidRDefault="005567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631303" w:history="1">
            <w:r w:rsidRPr="00C1700B">
              <w:rPr>
                <w:rStyle w:val="Hyperlink"/>
                <w:noProof/>
              </w:rPr>
              <w:t>Regulatory status</w:t>
            </w:r>
            <w:r>
              <w:rPr>
                <w:noProof/>
                <w:webHidden/>
              </w:rPr>
              <w:tab/>
            </w:r>
            <w:r>
              <w:rPr>
                <w:noProof/>
                <w:webHidden/>
              </w:rPr>
              <w:fldChar w:fldCharType="begin"/>
            </w:r>
            <w:r>
              <w:rPr>
                <w:noProof/>
                <w:webHidden/>
              </w:rPr>
              <w:instrText xml:space="preserve"> PAGEREF _Toc181631303 \h </w:instrText>
            </w:r>
            <w:r>
              <w:rPr>
                <w:noProof/>
                <w:webHidden/>
              </w:rPr>
            </w:r>
            <w:r>
              <w:rPr>
                <w:noProof/>
                <w:webHidden/>
              </w:rPr>
              <w:fldChar w:fldCharType="separate"/>
            </w:r>
            <w:r w:rsidR="0005466A">
              <w:rPr>
                <w:noProof/>
                <w:webHidden/>
              </w:rPr>
              <w:t>17</w:t>
            </w:r>
            <w:r>
              <w:rPr>
                <w:noProof/>
                <w:webHidden/>
              </w:rPr>
              <w:fldChar w:fldCharType="end"/>
            </w:r>
          </w:hyperlink>
        </w:p>
        <w:p w14:paraId="0DB64371" w14:textId="25315125" w:rsidR="005567B8" w:rsidRDefault="005567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1631304" w:history="1">
            <w:r w:rsidRPr="00C1700B">
              <w:rPr>
                <w:rStyle w:val="Hyperlink"/>
                <w:noProof/>
              </w:rPr>
              <w:t>Australian regulatory status</w:t>
            </w:r>
            <w:r>
              <w:rPr>
                <w:noProof/>
                <w:webHidden/>
              </w:rPr>
              <w:tab/>
            </w:r>
            <w:r>
              <w:rPr>
                <w:noProof/>
                <w:webHidden/>
              </w:rPr>
              <w:fldChar w:fldCharType="begin"/>
            </w:r>
            <w:r>
              <w:rPr>
                <w:noProof/>
                <w:webHidden/>
              </w:rPr>
              <w:instrText xml:space="preserve"> PAGEREF _Toc181631304 \h </w:instrText>
            </w:r>
            <w:r>
              <w:rPr>
                <w:noProof/>
                <w:webHidden/>
              </w:rPr>
            </w:r>
            <w:r>
              <w:rPr>
                <w:noProof/>
                <w:webHidden/>
              </w:rPr>
              <w:fldChar w:fldCharType="separate"/>
            </w:r>
            <w:r w:rsidR="0005466A">
              <w:rPr>
                <w:noProof/>
                <w:webHidden/>
              </w:rPr>
              <w:t>17</w:t>
            </w:r>
            <w:r>
              <w:rPr>
                <w:noProof/>
                <w:webHidden/>
              </w:rPr>
              <w:fldChar w:fldCharType="end"/>
            </w:r>
          </w:hyperlink>
        </w:p>
        <w:p w14:paraId="2445FF5F" w14:textId="72A52FD0" w:rsidR="005567B8" w:rsidRDefault="005567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1631305" w:history="1">
            <w:r w:rsidRPr="00C1700B">
              <w:rPr>
                <w:rStyle w:val="Hyperlink"/>
                <w:noProof/>
              </w:rPr>
              <w:t>International regulatory status</w:t>
            </w:r>
            <w:r>
              <w:rPr>
                <w:noProof/>
                <w:webHidden/>
              </w:rPr>
              <w:tab/>
            </w:r>
            <w:r>
              <w:rPr>
                <w:noProof/>
                <w:webHidden/>
              </w:rPr>
              <w:fldChar w:fldCharType="begin"/>
            </w:r>
            <w:r>
              <w:rPr>
                <w:noProof/>
                <w:webHidden/>
              </w:rPr>
              <w:instrText xml:space="preserve"> PAGEREF _Toc181631305 \h </w:instrText>
            </w:r>
            <w:r>
              <w:rPr>
                <w:noProof/>
                <w:webHidden/>
              </w:rPr>
            </w:r>
            <w:r>
              <w:rPr>
                <w:noProof/>
                <w:webHidden/>
              </w:rPr>
              <w:fldChar w:fldCharType="separate"/>
            </w:r>
            <w:r w:rsidR="0005466A">
              <w:rPr>
                <w:noProof/>
                <w:webHidden/>
              </w:rPr>
              <w:t>17</w:t>
            </w:r>
            <w:r>
              <w:rPr>
                <w:noProof/>
                <w:webHidden/>
              </w:rPr>
              <w:fldChar w:fldCharType="end"/>
            </w:r>
          </w:hyperlink>
        </w:p>
        <w:p w14:paraId="2C62B7A1" w14:textId="4EF9842F" w:rsidR="005567B8" w:rsidRDefault="005567B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1631306" w:history="1">
            <w:r w:rsidRPr="00C1700B">
              <w:rPr>
                <w:rStyle w:val="Hyperlink"/>
                <w:noProof/>
              </w:rPr>
              <w:t>Registration timeline</w:t>
            </w:r>
            <w:r>
              <w:rPr>
                <w:noProof/>
                <w:webHidden/>
              </w:rPr>
              <w:tab/>
            </w:r>
            <w:r>
              <w:rPr>
                <w:noProof/>
                <w:webHidden/>
              </w:rPr>
              <w:fldChar w:fldCharType="begin"/>
            </w:r>
            <w:r>
              <w:rPr>
                <w:noProof/>
                <w:webHidden/>
              </w:rPr>
              <w:instrText xml:space="preserve"> PAGEREF _Toc181631306 \h </w:instrText>
            </w:r>
            <w:r>
              <w:rPr>
                <w:noProof/>
                <w:webHidden/>
              </w:rPr>
            </w:r>
            <w:r>
              <w:rPr>
                <w:noProof/>
                <w:webHidden/>
              </w:rPr>
              <w:fldChar w:fldCharType="separate"/>
            </w:r>
            <w:r w:rsidR="0005466A">
              <w:rPr>
                <w:noProof/>
                <w:webHidden/>
              </w:rPr>
              <w:t>18</w:t>
            </w:r>
            <w:r>
              <w:rPr>
                <w:noProof/>
                <w:webHidden/>
              </w:rPr>
              <w:fldChar w:fldCharType="end"/>
            </w:r>
          </w:hyperlink>
        </w:p>
        <w:p w14:paraId="622B6657" w14:textId="5128C5CB" w:rsidR="005567B8" w:rsidRDefault="005567B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1631307" w:history="1">
            <w:r w:rsidRPr="00C1700B">
              <w:rPr>
                <w:rStyle w:val="Hyperlink"/>
                <w:noProof/>
              </w:rPr>
              <w:t>Submission overview and risk-benefit assessment</w:t>
            </w:r>
            <w:r>
              <w:rPr>
                <w:noProof/>
                <w:webHidden/>
              </w:rPr>
              <w:tab/>
            </w:r>
            <w:r>
              <w:rPr>
                <w:noProof/>
                <w:webHidden/>
              </w:rPr>
              <w:fldChar w:fldCharType="begin"/>
            </w:r>
            <w:r>
              <w:rPr>
                <w:noProof/>
                <w:webHidden/>
              </w:rPr>
              <w:instrText xml:space="preserve"> PAGEREF _Toc181631307 \h </w:instrText>
            </w:r>
            <w:r>
              <w:rPr>
                <w:noProof/>
                <w:webHidden/>
              </w:rPr>
            </w:r>
            <w:r>
              <w:rPr>
                <w:noProof/>
                <w:webHidden/>
              </w:rPr>
              <w:fldChar w:fldCharType="separate"/>
            </w:r>
            <w:r w:rsidR="0005466A">
              <w:rPr>
                <w:noProof/>
                <w:webHidden/>
              </w:rPr>
              <w:t>19</w:t>
            </w:r>
            <w:r>
              <w:rPr>
                <w:noProof/>
                <w:webHidden/>
              </w:rPr>
              <w:fldChar w:fldCharType="end"/>
            </w:r>
          </w:hyperlink>
        </w:p>
        <w:p w14:paraId="3602030E" w14:textId="34492A4D" w:rsidR="005567B8" w:rsidRDefault="005567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631308" w:history="1">
            <w:r w:rsidRPr="00C1700B">
              <w:rPr>
                <w:rStyle w:val="Hyperlink"/>
                <w:noProof/>
              </w:rPr>
              <w:t>Manufacturing and quality evaluation summary</w:t>
            </w:r>
            <w:r>
              <w:rPr>
                <w:noProof/>
                <w:webHidden/>
              </w:rPr>
              <w:tab/>
            </w:r>
            <w:r>
              <w:rPr>
                <w:noProof/>
                <w:webHidden/>
              </w:rPr>
              <w:fldChar w:fldCharType="begin"/>
            </w:r>
            <w:r>
              <w:rPr>
                <w:noProof/>
                <w:webHidden/>
              </w:rPr>
              <w:instrText xml:space="preserve"> PAGEREF _Toc181631308 \h </w:instrText>
            </w:r>
            <w:r>
              <w:rPr>
                <w:noProof/>
                <w:webHidden/>
              </w:rPr>
            </w:r>
            <w:r>
              <w:rPr>
                <w:noProof/>
                <w:webHidden/>
              </w:rPr>
              <w:fldChar w:fldCharType="separate"/>
            </w:r>
            <w:r w:rsidR="0005466A">
              <w:rPr>
                <w:noProof/>
                <w:webHidden/>
              </w:rPr>
              <w:t>19</w:t>
            </w:r>
            <w:r>
              <w:rPr>
                <w:noProof/>
                <w:webHidden/>
              </w:rPr>
              <w:fldChar w:fldCharType="end"/>
            </w:r>
          </w:hyperlink>
        </w:p>
        <w:p w14:paraId="063BF5B3" w14:textId="74288380" w:rsidR="005567B8" w:rsidRDefault="005567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631309" w:history="1">
            <w:r w:rsidRPr="00C1700B">
              <w:rPr>
                <w:rStyle w:val="Hyperlink"/>
                <w:noProof/>
              </w:rPr>
              <w:t>Nonclinical evaluation summary</w:t>
            </w:r>
            <w:r>
              <w:rPr>
                <w:noProof/>
                <w:webHidden/>
              </w:rPr>
              <w:tab/>
            </w:r>
            <w:r>
              <w:rPr>
                <w:noProof/>
                <w:webHidden/>
              </w:rPr>
              <w:fldChar w:fldCharType="begin"/>
            </w:r>
            <w:r>
              <w:rPr>
                <w:noProof/>
                <w:webHidden/>
              </w:rPr>
              <w:instrText xml:space="preserve"> PAGEREF _Toc181631309 \h </w:instrText>
            </w:r>
            <w:r>
              <w:rPr>
                <w:noProof/>
                <w:webHidden/>
              </w:rPr>
            </w:r>
            <w:r>
              <w:rPr>
                <w:noProof/>
                <w:webHidden/>
              </w:rPr>
              <w:fldChar w:fldCharType="separate"/>
            </w:r>
            <w:r w:rsidR="0005466A">
              <w:rPr>
                <w:noProof/>
                <w:webHidden/>
              </w:rPr>
              <w:t>20</w:t>
            </w:r>
            <w:r>
              <w:rPr>
                <w:noProof/>
                <w:webHidden/>
              </w:rPr>
              <w:fldChar w:fldCharType="end"/>
            </w:r>
          </w:hyperlink>
        </w:p>
        <w:p w14:paraId="454D7DB0" w14:textId="0C90489A" w:rsidR="005567B8" w:rsidRDefault="005567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631310" w:history="1">
            <w:r w:rsidRPr="00C1700B">
              <w:rPr>
                <w:rStyle w:val="Hyperlink"/>
                <w:noProof/>
              </w:rPr>
              <w:t>Clinical evaluation summary</w:t>
            </w:r>
            <w:r>
              <w:rPr>
                <w:noProof/>
                <w:webHidden/>
              </w:rPr>
              <w:tab/>
            </w:r>
            <w:r>
              <w:rPr>
                <w:noProof/>
                <w:webHidden/>
              </w:rPr>
              <w:fldChar w:fldCharType="begin"/>
            </w:r>
            <w:r>
              <w:rPr>
                <w:noProof/>
                <w:webHidden/>
              </w:rPr>
              <w:instrText xml:space="preserve"> PAGEREF _Toc181631310 \h </w:instrText>
            </w:r>
            <w:r>
              <w:rPr>
                <w:noProof/>
                <w:webHidden/>
              </w:rPr>
            </w:r>
            <w:r>
              <w:rPr>
                <w:noProof/>
                <w:webHidden/>
              </w:rPr>
              <w:fldChar w:fldCharType="separate"/>
            </w:r>
            <w:r w:rsidR="0005466A">
              <w:rPr>
                <w:noProof/>
                <w:webHidden/>
              </w:rPr>
              <w:t>21</w:t>
            </w:r>
            <w:r>
              <w:rPr>
                <w:noProof/>
                <w:webHidden/>
              </w:rPr>
              <w:fldChar w:fldCharType="end"/>
            </w:r>
          </w:hyperlink>
        </w:p>
        <w:p w14:paraId="48DBA27A" w14:textId="3EAB8BF0" w:rsidR="005567B8" w:rsidRDefault="005567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1631311" w:history="1">
            <w:r w:rsidRPr="00C1700B">
              <w:rPr>
                <w:rStyle w:val="Hyperlink"/>
                <w:noProof/>
              </w:rPr>
              <w:t>Pharmacology</w:t>
            </w:r>
            <w:r>
              <w:rPr>
                <w:noProof/>
                <w:webHidden/>
              </w:rPr>
              <w:tab/>
            </w:r>
            <w:r>
              <w:rPr>
                <w:noProof/>
                <w:webHidden/>
              </w:rPr>
              <w:fldChar w:fldCharType="begin"/>
            </w:r>
            <w:r>
              <w:rPr>
                <w:noProof/>
                <w:webHidden/>
              </w:rPr>
              <w:instrText xml:space="preserve"> PAGEREF _Toc181631311 \h </w:instrText>
            </w:r>
            <w:r>
              <w:rPr>
                <w:noProof/>
                <w:webHidden/>
              </w:rPr>
            </w:r>
            <w:r>
              <w:rPr>
                <w:noProof/>
                <w:webHidden/>
              </w:rPr>
              <w:fldChar w:fldCharType="separate"/>
            </w:r>
            <w:r w:rsidR="0005466A">
              <w:rPr>
                <w:noProof/>
                <w:webHidden/>
              </w:rPr>
              <w:t>21</w:t>
            </w:r>
            <w:r>
              <w:rPr>
                <w:noProof/>
                <w:webHidden/>
              </w:rPr>
              <w:fldChar w:fldCharType="end"/>
            </w:r>
          </w:hyperlink>
        </w:p>
        <w:p w14:paraId="2CF4FE7C" w14:textId="530B971C" w:rsidR="005567B8" w:rsidRDefault="005567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1631312" w:history="1">
            <w:r w:rsidRPr="00C1700B">
              <w:rPr>
                <w:rStyle w:val="Hyperlink"/>
                <w:noProof/>
              </w:rPr>
              <w:t>Efficacy</w:t>
            </w:r>
            <w:r>
              <w:rPr>
                <w:noProof/>
                <w:webHidden/>
              </w:rPr>
              <w:tab/>
            </w:r>
            <w:r>
              <w:rPr>
                <w:noProof/>
                <w:webHidden/>
              </w:rPr>
              <w:fldChar w:fldCharType="begin"/>
            </w:r>
            <w:r>
              <w:rPr>
                <w:noProof/>
                <w:webHidden/>
              </w:rPr>
              <w:instrText xml:space="preserve"> PAGEREF _Toc181631312 \h </w:instrText>
            </w:r>
            <w:r>
              <w:rPr>
                <w:noProof/>
                <w:webHidden/>
              </w:rPr>
            </w:r>
            <w:r>
              <w:rPr>
                <w:noProof/>
                <w:webHidden/>
              </w:rPr>
              <w:fldChar w:fldCharType="separate"/>
            </w:r>
            <w:r w:rsidR="0005466A">
              <w:rPr>
                <w:noProof/>
                <w:webHidden/>
              </w:rPr>
              <w:t>23</w:t>
            </w:r>
            <w:r>
              <w:rPr>
                <w:noProof/>
                <w:webHidden/>
              </w:rPr>
              <w:fldChar w:fldCharType="end"/>
            </w:r>
          </w:hyperlink>
        </w:p>
        <w:p w14:paraId="4DD39E8F" w14:textId="16D0CED8" w:rsidR="005567B8" w:rsidRDefault="005567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1631313" w:history="1">
            <w:r w:rsidRPr="00C1700B">
              <w:rPr>
                <w:rStyle w:val="Hyperlink"/>
                <w:noProof/>
              </w:rPr>
              <w:t>Safety</w:t>
            </w:r>
            <w:r>
              <w:rPr>
                <w:noProof/>
                <w:webHidden/>
              </w:rPr>
              <w:tab/>
            </w:r>
            <w:r>
              <w:rPr>
                <w:noProof/>
                <w:webHidden/>
              </w:rPr>
              <w:fldChar w:fldCharType="begin"/>
            </w:r>
            <w:r>
              <w:rPr>
                <w:noProof/>
                <w:webHidden/>
              </w:rPr>
              <w:instrText xml:space="preserve"> PAGEREF _Toc181631313 \h </w:instrText>
            </w:r>
            <w:r>
              <w:rPr>
                <w:noProof/>
                <w:webHidden/>
              </w:rPr>
            </w:r>
            <w:r>
              <w:rPr>
                <w:noProof/>
                <w:webHidden/>
              </w:rPr>
              <w:fldChar w:fldCharType="separate"/>
            </w:r>
            <w:r w:rsidR="0005466A">
              <w:rPr>
                <w:noProof/>
                <w:webHidden/>
              </w:rPr>
              <w:t>31</w:t>
            </w:r>
            <w:r>
              <w:rPr>
                <w:noProof/>
                <w:webHidden/>
              </w:rPr>
              <w:fldChar w:fldCharType="end"/>
            </w:r>
          </w:hyperlink>
        </w:p>
        <w:p w14:paraId="4A76A0AD" w14:textId="26BEA2E3" w:rsidR="005567B8" w:rsidRDefault="005567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631314" w:history="1">
            <w:r w:rsidRPr="00C1700B">
              <w:rPr>
                <w:rStyle w:val="Hyperlink"/>
                <w:noProof/>
                <w:lang w:eastAsia="en-AU"/>
              </w:rPr>
              <w:t>Risk Management Plan (RMP) evaluation</w:t>
            </w:r>
            <w:r>
              <w:rPr>
                <w:noProof/>
                <w:webHidden/>
              </w:rPr>
              <w:tab/>
            </w:r>
            <w:r>
              <w:rPr>
                <w:noProof/>
                <w:webHidden/>
              </w:rPr>
              <w:fldChar w:fldCharType="begin"/>
            </w:r>
            <w:r>
              <w:rPr>
                <w:noProof/>
                <w:webHidden/>
              </w:rPr>
              <w:instrText xml:space="preserve"> PAGEREF _Toc181631314 \h </w:instrText>
            </w:r>
            <w:r>
              <w:rPr>
                <w:noProof/>
                <w:webHidden/>
              </w:rPr>
            </w:r>
            <w:r>
              <w:rPr>
                <w:noProof/>
                <w:webHidden/>
              </w:rPr>
              <w:fldChar w:fldCharType="separate"/>
            </w:r>
            <w:r w:rsidR="0005466A">
              <w:rPr>
                <w:noProof/>
                <w:webHidden/>
              </w:rPr>
              <w:t>33</w:t>
            </w:r>
            <w:r>
              <w:rPr>
                <w:noProof/>
                <w:webHidden/>
              </w:rPr>
              <w:fldChar w:fldCharType="end"/>
            </w:r>
          </w:hyperlink>
        </w:p>
        <w:p w14:paraId="43FEE6B0" w14:textId="53F2636D" w:rsidR="005567B8" w:rsidRDefault="005567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631315" w:history="1">
            <w:r w:rsidRPr="00C1700B">
              <w:rPr>
                <w:rStyle w:val="Hyperlink"/>
                <w:noProof/>
              </w:rPr>
              <w:t>Delegate’s considerations</w:t>
            </w:r>
            <w:r>
              <w:rPr>
                <w:noProof/>
                <w:webHidden/>
              </w:rPr>
              <w:tab/>
            </w:r>
            <w:r>
              <w:rPr>
                <w:noProof/>
                <w:webHidden/>
              </w:rPr>
              <w:fldChar w:fldCharType="begin"/>
            </w:r>
            <w:r>
              <w:rPr>
                <w:noProof/>
                <w:webHidden/>
              </w:rPr>
              <w:instrText xml:space="preserve"> PAGEREF _Toc181631315 \h </w:instrText>
            </w:r>
            <w:r>
              <w:rPr>
                <w:noProof/>
                <w:webHidden/>
              </w:rPr>
            </w:r>
            <w:r>
              <w:rPr>
                <w:noProof/>
                <w:webHidden/>
              </w:rPr>
              <w:fldChar w:fldCharType="separate"/>
            </w:r>
            <w:r w:rsidR="0005466A">
              <w:rPr>
                <w:noProof/>
                <w:webHidden/>
              </w:rPr>
              <w:t>34</w:t>
            </w:r>
            <w:r>
              <w:rPr>
                <w:noProof/>
                <w:webHidden/>
              </w:rPr>
              <w:fldChar w:fldCharType="end"/>
            </w:r>
          </w:hyperlink>
        </w:p>
        <w:p w14:paraId="24E4BF9C" w14:textId="05A9B3C6" w:rsidR="005567B8" w:rsidRDefault="005567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631316" w:history="1">
            <w:r w:rsidRPr="00C1700B">
              <w:rPr>
                <w:rStyle w:val="Hyperlink"/>
                <w:noProof/>
              </w:rPr>
              <w:t>Proposed action</w:t>
            </w:r>
            <w:r>
              <w:rPr>
                <w:noProof/>
                <w:webHidden/>
              </w:rPr>
              <w:tab/>
            </w:r>
            <w:r>
              <w:rPr>
                <w:noProof/>
                <w:webHidden/>
              </w:rPr>
              <w:fldChar w:fldCharType="begin"/>
            </w:r>
            <w:r>
              <w:rPr>
                <w:noProof/>
                <w:webHidden/>
              </w:rPr>
              <w:instrText xml:space="preserve"> PAGEREF _Toc181631316 \h </w:instrText>
            </w:r>
            <w:r>
              <w:rPr>
                <w:noProof/>
                <w:webHidden/>
              </w:rPr>
            </w:r>
            <w:r>
              <w:rPr>
                <w:noProof/>
                <w:webHidden/>
              </w:rPr>
              <w:fldChar w:fldCharType="separate"/>
            </w:r>
            <w:r w:rsidR="0005466A">
              <w:rPr>
                <w:noProof/>
                <w:webHidden/>
              </w:rPr>
              <w:t>37</w:t>
            </w:r>
            <w:r>
              <w:rPr>
                <w:noProof/>
                <w:webHidden/>
              </w:rPr>
              <w:fldChar w:fldCharType="end"/>
            </w:r>
          </w:hyperlink>
        </w:p>
        <w:p w14:paraId="76979D0F" w14:textId="0DADB04C" w:rsidR="005567B8" w:rsidRDefault="005567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631317" w:history="1">
            <w:r w:rsidRPr="00C1700B">
              <w:rPr>
                <w:rStyle w:val="Hyperlink"/>
                <w:noProof/>
              </w:rPr>
              <w:t>Independent expert advice</w:t>
            </w:r>
            <w:r>
              <w:rPr>
                <w:noProof/>
                <w:webHidden/>
              </w:rPr>
              <w:tab/>
            </w:r>
            <w:r>
              <w:rPr>
                <w:noProof/>
                <w:webHidden/>
              </w:rPr>
              <w:fldChar w:fldCharType="begin"/>
            </w:r>
            <w:r>
              <w:rPr>
                <w:noProof/>
                <w:webHidden/>
              </w:rPr>
              <w:instrText xml:space="preserve"> PAGEREF _Toc181631317 \h </w:instrText>
            </w:r>
            <w:r>
              <w:rPr>
                <w:noProof/>
                <w:webHidden/>
              </w:rPr>
            </w:r>
            <w:r>
              <w:rPr>
                <w:noProof/>
                <w:webHidden/>
              </w:rPr>
              <w:fldChar w:fldCharType="separate"/>
            </w:r>
            <w:r w:rsidR="0005466A">
              <w:rPr>
                <w:noProof/>
                <w:webHidden/>
              </w:rPr>
              <w:t>38</w:t>
            </w:r>
            <w:r>
              <w:rPr>
                <w:noProof/>
                <w:webHidden/>
              </w:rPr>
              <w:fldChar w:fldCharType="end"/>
            </w:r>
          </w:hyperlink>
        </w:p>
        <w:p w14:paraId="31713D0A" w14:textId="3C05352B" w:rsidR="005567B8" w:rsidRDefault="005567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1631318" w:history="1">
            <w:r w:rsidRPr="00C1700B">
              <w:rPr>
                <w:rStyle w:val="Hyperlink"/>
                <w:noProof/>
              </w:rPr>
              <w:t>Advisory Committee on Medicines (ACM) considerations</w:t>
            </w:r>
            <w:r>
              <w:rPr>
                <w:noProof/>
                <w:webHidden/>
              </w:rPr>
              <w:tab/>
            </w:r>
            <w:r>
              <w:rPr>
                <w:noProof/>
                <w:webHidden/>
              </w:rPr>
              <w:fldChar w:fldCharType="begin"/>
            </w:r>
            <w:r>
              <w:rPr>
                <w:noProof/>
                <w:webHidden/>
              </w:rPr>
              <w:instrText xml:space="preserve"> PAGEREF _Toc181631318 \h </w:instrText>
            </w:r>
            <w:r>
              <w:rPr>
                <w:noProof/>
                <w:webHidden/>
              </w:rPr>
            </w:r>
            <w:r>
              <w:rPr>
                <w:noProof/>
                <w:webHidden/>
              </w:rPr>
              <w:fldChar w:fldCharType="separate"/>
            </w:r>
            <w:r w:rsidR="0005466A">
              <w:rPr>
                <w:noProof/>
                <w:webHidden/>
              </w:rPr>
              <w:t>38</w:t>
            </w:r>
            <w:r>
              <w:rPr>
                <w:noProof/>
                <w:webHidden/>
              </w:rPr>
              <w:fldChar w:fldCharType="end"/>
            </w:r>
          </w:hyperlink>
        </w:p>
        <w:p w14:paraId="603F7462" w14:textId="331EE6AE" w:rsidR="005567B8" w:rsidRDefault="005567B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1631319" w:history="1">
            <w:r w:rsidRPr="00C1700B">
              <w:rPr>
                <w:rStyle w:val="Hyperlink"/>
                <w:noProof/>
              </w:rPr>
              <w:t>Regulatory decision</w:t>
            </w:r>
            <w:r>
              <w:rPr>
                <w:noProof/>
                <w:webHidden/>
              </w:rPr>
              <w:tab/>
            </w:r>
            <w:r>
              <w:rPr>
                <w:noProof/>
                <w:webHidden/>
              </w:rPr>
              <w:fldChar w:fldCharType="begin"/>
            </w:r>
            <w:r>
              <w:rPr>
                <w:noProof/>
                <w:webHidden/>
              </w:rPr>
              <w:instrText xml:space="preserve"> PAGEREF _Toc181631319 \h </w:instrText>
            </w:r>
            <w:r>
              <w:rPr>
                <w:noProof/>
                <w:webHidden/>
              </w:rPr>
            </w:r>
            <w:r>
              <w:rPr>
                <w:noProof/>
                <w:webHidden/>
              </w:rPr>
              <w:fldChar w:fldCharType="separate"/>
            </w:r>
            <w:r w:rsidR="0005466A">
              <w:rPr>
                <w:noProof/>
                <w:webHidden/>
              </w:rPr>
              <w:t>39</w:t>
            </w:r>
            <w:r>
              <w:rPr>
                <w:noProof/>
                <w:webHidden/>
              </w:rPr>
              <w:fldChar w:fldCharType="end"/>
            </w:r>
          </w:hyperlink>
        </w:p>
        <w:p w14:paraId="7D60C5F0" w14:textId="50E29964" w:rsidR="005567B8" w:rsidRDefault="005567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1631320" w:history="1">
            <w:r w:rsidRPr="00C1700B">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_Toc181631320 \h </w:instrText>
            </w:r>
            <w:r>
              <w:rPr>
                <w:noProof/>
                <w:webHidden/>
              </w:rPr>
            </w:r>
            <w:r>
              <w:rPr>
                <w:noProof/>
                <w:webHidden/>
              </w:rPr>
              <w:fldChar w:fldCharType="separate"/>
            </w:r>
            <w:r w:rsidR="0005466A">
              <w:rPr>
                <w:noProof/>
                <w:webHidden/>
              </w:rPr>
              <w:t>39</w:t>
            </w:r>
            <w:r>
              <w:rPr>
                <w:noProof/>
                <w:webHidden/>
              </w:rPr>
              <w:fldChar w:fldCharType="end"/>
            </w:r>
          </w:hyperlink>
        </w:p>
        <w:p w14:paraId="04968F70" w14:textId="3EB49E8E" w:rsidR="005567B8" w:rsidRDefault="005567B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1631321" w:history="1">
            <w:r w:rsidRPr="00C1700B">
              <w:rPr>
                <w:rStyle w:val="Hyperlink"/>
                <w:noProof/>
              </w:rPr>
              <w:t>Attachment - Product Information (PI)</w:t>
            </w:r>
            <w:r>
              <w:rPr>
                <w:noProof/>
                <w:webHidden/>
              </w:rPr>
              <w:tab/>
            </w:r>
            <w:r>
              <w:rPr>
                <w:noProof/>
                <w:webHidden/>
              </w:rPr>
              <w:fldChar w:fldCharType="begin"/>
            </w:r>
            <w:r>
              <w:rPr>
                <w:noProof/>
                <w:webHidden/>
              </w:rPr>
              <w:instrText xml:space="preserve"> PAGEREF _Toc181631321 \h </w:instrText>
            </w:r>
            <w:r>
              <w:rPr>
                <w:noProof/>
                <w:webHidden/>
              </w:rPr>
            </w:r>
            <w:r>
              <w:rPr>
                <w:noProof/>
                <w:webHidden/>
              </w:rPr>
              <w:fldChar w:fldCharType="separate"/>
            </w:r>
            <w:r w:rsidR="0005466A">
              <w:rPr>
                <w:noProof/>
                <w:webHidden/>
              </w:rPr>
              <w:t>40</w:t>
            </w:r>
            <w:r>
              <w:rPr>
                <w:noProof/>
                <w:webHidden/>
              </w:rPr>
              <w:fldChar w:fldCharType="end"/>
            </w:r>
          </w:hyperlink>
        </w:p>
        <w:p w14:paraId="77659F2D" w14:textId="1F0969EC"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4" w:name="_Toc98931917"/>
      <w:bookmarkStart w:id="5" w:name="_Toc103679287"/>
      <w:bookmarkStart w:id="6" w:name="_Toc181631296"/>
      <w:bookmarkStart w:id="7" w:name="_Toc323739589"/>
      <w:bookmarkStart w:id="8" w:name="_Toc356305216"/>
      <w:r>
        <w:lastRenderedPageBreak/>
        <w:t>List of abbreviations</w:t>
      </w:r>
      <w:bookmarkEnd w:id="4"/>
      <w:bookmarkEnd w:id="5"/>
      <w:bookmarkEnd w:id="6"/>
    </w:p>
    <w:tbl>
      <w:tblPr>
        <w:tblStyle w:val="TableTGAblue2023"/>
        <w:tblW w:w="4966" w:type="pct"/>
        <w:tblLook w:val="04A0" w:firstRow="1" w:lastRow="0" w:firstColumn="1" w:lastColumn="0" w:noHBand="0" w:noVBand="1"/>
      </w:tblPr>
      <w:tblGrid>
        <w:gridCol w:w="2174"/>
        <w:gridCol w:w="6824"/>
      </w:tblGrid>
      <w:tr w:rsidR="001925B4" w:rsidRPr="00D01DDB" w14:paraId="33EE96C9" w14:textId="7777777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8" w:type="pct"/>
          </w:tcPr>
          <w:p w14:paraId="7CAA10C7" w14:textId="77777777" w:rsidR="001925B4" w:rsidRPr="00D01DDB" w:rsidRDefault="001925B4">
            <w:pPr>
              <w:rPr>
                <w:szCs w:val="22"/>
              </w:rPr>
            </w:pPr>
            <w:r w:rsidRPr="00D01DDB">
              <w:rPr>
                <w:szCs w:val="22"/>
              </w:rPr>
              <w:t>Abbreviation</w:t>
            </w:r>
          </w:p>
        </w:tc>
        <w:tc>
          <w:tcPr>
            <w:tcW w:w="3792" w:type="pct"/>
          </w:tcPr>
          <w:p w14:paraId="2352A0C6" w14:textId="77777777" w:rsidR="001925B4" w:rsidRPr="00D01DDB" w:rsidRDefault="001925B4">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1925B4" w:rsidRPr="00D01DDB" w14:paraId="1518B7E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31B621A" w14:textId="77777777" w:rsidR="001925B4" w:rsidRPr="00D01DDB" w:rsidRDefault="001925B4">
            <w:pPr>
              <w:rPr>
                <w:szCs w:val="22"/>
              </w:rPr>
            </w:pPr>
            <w:r>
              <w:rPr>
                <w:rFonts w:cs="Cambria"/>
                <w:szCs w:val="22"/>
              </w:rPr>
              <w:t xml:space="preserve">ΔOFV </w:t>
            </w:r>
          </w:p>
        </w:tc>
        <w:tc>
          <w:tcPr>
            <w:tcW w:w="3792" w:type="pct"/>
          </w:tcPr>
          <w:p w14:paraId="2C8F6B6B" w14:textId="77777777" w:rsidR="001925B4" w:rsidRPr="00D01DDB" w:rsidRDefault="001925B4">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 xml:space="preserve">Change in the objective function value </w:t>
            </w:r>
          </w:p>
        </w:tc>
      </w:tr>
      <w:tr w:rsidR="001925B4" w:rsidRPr="00D01DDB" w14:paraId="17F429B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053A5BA" w14:textId="77777777" w:rsidR="001925B4" w:rsidRPr="00D01DDB" w:rsidRDefault="001925B4">
            <w:pPr>
              <w:rPr>
                <w:szCs w:val="22"/>
              </w:rPr>
            </w:pPr>
            <w:r>
              <w:rPr>
                <w:rFonts w:cs="Cambria"/>
                <w:szCs w:val="22"/>
              </w:rPr>
              <w:t>χ</w:t>
            </w:r>
            <w:r>
              <w:rPr>
                <w:rFonts w:cs="Cambria"/>
                <w:sz w:val="14"/>
                <w:szCs w:val="14"/>
              </w:rPr>
              <w:t xml:space="preserve">2 </w:t>
            </w:r>
          </w:p>
        </w:tc>
        <w:tc>
          <w:tcPr>
            <w:tcW w:w="3792" w:type="pct"/>
          </w:tcPr>
          <w:p w14:paraId="5409D318" w14:textId="77777777" w:rsidR="001925B4" w:rsidRPr="00D01DDB" w:rsidRDefault="001925B4">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 xml:space="preserve">Chi-square distribution </w:t>
            </w:r>
          </w:p>
        </w:tc>
      </w:tr>
      <w:tr w:rsidR="001925B4" w:rsidRPr="00D01DDB" w14:paraId="0F2A1F3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CF238B1" w14:textId="77777777" w:rsidR="001925B4" w:rsidRPr="00D01DDB" w:rsidRDefault="001925B4">
            <w:pPr>
              <w:rPr>
                <w:szCs w:val="22"/>
              </w:rPr>
            </w:pPr>
            <w:r>
              <w:rPr>
                <w:rFonts w:cs="Cambria"/>
                <w:szCs w:val="22"/>
              </w:rPr>
              <w:t xml:space="preserve">ABC </w:t>
            </w:r>
          </w:p>
        </w:tc>
        <w:tc>
          <w:tcPr>
            <w:tcW w:w="3792" w:type="pct"/>
          </w:tcPr>
          <w:p w14:paraId="43758989" w14:textId="77777777" w:rsidR="001925B4" w:rsidRPr="00D01DDB" w:rsidRDefault="001925B4">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 xml:space="preserve">Advanced breast cancer </w:t>
            </w:r>
          </w:p>
        </w:tc>
      </w:tr>
      <w:tr w:rsidR="001925B4" w:rsidRPr="00D01DDB" w14:paraId="6C3AD89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DFB6D25" w14:textId="77777777" w:rsidR="001925B4" w:rsidRPr="00D01DDB" w:rsidRDefault="001925B4">
            <w:pPr>
              <w:rPr>
                <w:szCs w:val="22"/>
              </w:rPr>
            </w:pPr>
            <w:r>
              <w:rPr>
                <w:rFonts w:cs="Cambria"/>
                <w:szCs w:val="22"/>
              </w:rPr>
              <w:t xml:space="preserve">ADR </w:t>
            </w:r>
          </w:p>
        </w:tc>
        <w:tc>
          <w:tcPr>
            <w:tcW w:w="3792" w:type="pct"/>
          </w:tcPr>
          <w:p w14:paraId="11971630" w14:textId="77777777" w:rsidR="001925B4" w:rsidRPr="00D01DDB" w:rsidRDefault="001925B4">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 xml:space="preserve">Adverse drug reaction </w:t>
            </w:r>
          </w:p>
        </w:tc>
      </w:tr>
      <w:tr w:rsidR="001925B4" w:rsidRPr="00D01DDB" w14:paraId="2C553E3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8934E87" w14:textId="77777777" w:rsidR="001925B4" w:rsidRPr="00D01DDB" w:rsidRDefault="001925B4">
            <w:pPr>
              <w:rPr>
                <w:szCs w:val="22"/>
              </w:rPr>
            </w:pPr>
            <w:r>
              <w:rPr>
                <w:rFonts w:cs="Cambria"/>
                <w:szCs w:val="22"/>
              </w:rPr>
              <w:t xml:space="preserve">AE </w:t>
            </w:r>
          </w:p>
        </w:tc>
        <w:tc>
          <w:tcPr>
            <w:tcW w:w="3792" w:type="pct"/>
          </w:tcPr>
          <w:p w14:paraId="363863B1" w14:textId="77777777" w:rsidR="001925B4" w:rsidRPr="00D01DDB" w:rsidRDefault="001925B4">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 xml:space="preserve">Adverse event </w:t>
            </w:r>
          </w:p>
        </w:tc>
      </w:tr>
      <w:tr w:rsidR="001925B4" w:rsidRPr="00D01DDB" w14:paraId="1853BBC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D3F9CD0" w14:textId="77777777" w:rsidR="001925B4" w:rsidRPr="00D01DDB" w:rsidRDefault="001925B4">
            <w:pPr>
              <w:rPr>
                <w:szCs w:val="22"/>
              </w:rPr>
            </w:pPr>
            <w:r>
              <w:rPr>
                <w:rFonts w:cs="Cambria"/>
                <w:szCs w:val="22"/>
              </w:rPr>
              <w:t xml:space="preserve">AESI </w:t>
            </w:r>
          </w:p>
        </w:tc>
        <w:tc>
          <w:tcPr>
            <w:tcW w:w="3792" w:type="pct"/>
          </w:tcPr>
          <w:p w14:paraId="6C6FCE8C" w14:textId="77777777" w:rsidR="001925B4" w:rsidRPr="00D01DDB" w:rsidRDefault="001925B4">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 xml:space="preserve">Adverse event(s) of special interest </w:t>
            </w:r>
          </w:p>
        </w:tc>
      </w:tr>
      <w:tr w:rsidR="001925B4" w:rsidRPr="00D01DDB" w14:paraId="20F24138"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F57C949" w14:textId="77777777" w:rsidR="001925B4" w:rsidRPr="00D01DDB" w:rsidRDefault="001925B4">
            <w:pPr>
              <w:rPr>
                <w:szCs w:val="22"/>
              </w:rPr>
            </w:pPr>
            <w:r>
              <w:rPr>
                <w:rFonts w:cs="Cambria"/>
                <w:szCs w:val="22"/>
              </w:rPr>
              <w:t xml:space="preserve">AI </w:t>
            </w:r>
          </w:p>
        </w:tc>
        <w:tc>
          <w:tcPr>
            <w:tcW w:w="3792" w:type="pct"/>
          </w:tcPr>
          <w:p w14:paraId="45D1E95C" w14:textId="77777777" w:rsidR="001925B4" w:rsidRPr="00D01DDB" w:rsidRDefault="001925B4">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 xml:space="preserve">Aromatase inhibitor </w:t>
            </w:r>
          </w:p>
        </w:tc>
      </w:tr>
      <w:tr w:rsidR="001925B4" w:rsidRPr="00D01DDB" w14:paraId="409089D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8BCD02C" w14:textId="77777777" w:rsidR="001925B4" w:rsidRPr="00D01DDB" w:rsidRDefault="001925B4">
            <w:pPr>
              <w:rPr>
                <w:szCs w:val="22"/>
              </w:rPr>
            </w:pPr>
            <w:r>
              <w:rPr>
                <w:rFonts w:cs="Cambria"/>
                <w:szCs w:val="22"/>
              </w:rPr>
              <w:t xml:space="preserve">AIC </w:t>
            </w:r>
          </w:p>
        </w:tc>
        <w:tc>
          <w:tcPr>
            <w:tcW w:w="3792" w:type="pct"/>
          </w:tcPr>
          <w:p w14:paraId="4E8ADEC2" w14:textId="77777777" w:rsidR="001925B4" w:rsidRPr="00D01DDB" w:rsidRDefault="001925B4">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 xml:space="preserve">Akaike information </w:t>
            </w:r>
          </w:p>
        </w:tc>
      </w:tr>
      <w:tr w:rsidR="001925B4" w:rsidRPr="00D01DDB" w14:paraId="7B62F844"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4052DB7" w14:textId="77777777" w:rsidR="001925B4" w:rsidRPr="00D01DDB" w:rsidRDefault="001925B4">
            <w:pPr>
              <w:rPr>
                <w:szCs w:val="22"/>
              </w:rPr>
            </w:pPr>
            <w:r>
              <w:rPr>
                <w:rFonts w:cs="Cambria"/>
                <w:szCs w:val="22"/>
              </w:rPr>
              <w:t xml:space="preserve">AJCC </w:t>
            </w:r>
          </w:p>
        </w:tc>
        <w:tc>
          <w:tcPr>
            <w:tcW w:w="3792" w:type="pct"/>
          </w:tcPr>
          <w:p w14:paraId="55B77DD3" w14:textId="77777777" w:rsidR="001925B4" w:rsidRPr="00D01DDB" w:rsidRDefault="001925B4">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 xml:space="preserve">American Joint Committee on Cancer </w:t>
            </w:r>
          </w:p>
        </w:tc>
      </w:tr>
      <w:tr w:rsidR="001925B4" w:rsidRPr="00D01DDB" w14:paraId="2CC5107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EDB4922" w14:textId="77777777" w:rsidR="001925B4" w:rsidRPr="00D01DDB" w:rsidRDefault="001925B4">
            <w:pPr>
              <w:rPr>
                <w:szCs w:val="22"/>
              </w:rPr>
            </w:pPr>
            <w:r>
              <w:rPr>
                <w:rFonts w:cs="Cambria"/>
                <w:szCs w:val="22"/>
              </w:rPr>
              <w:t xml:space="preserve">AKT </w:t>
            </w:r>
          </w:p>
        </w:tc>
        <w:tc>
          <w:tcPr>
            <w:tcW w:w="3792" w:type="pct"/>
          </w:tcPr>
          <w:p w14:paraId="5D915DB7" w14:textId="77777777" w:rsidR="001925B4" w:rsidRPr="00D01DDB" w:rsidRDefault="001925B4">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 xml:space="preserve">AKT serine/threonine kinase (protein) </w:t>
            </w:r>
          </w:p>
        </w:tc>
      </w:tr>
      <w:tr w:rsidR="001925B4" w:rsidRPr="00D01DDB" w14:paraId="540D4B3E"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F14AC86" w14:textId="77777777" w:rsidR="001925B4" w:rsidRPr="00D01DDB" w:rsidRDefault="001925B4">
            <w:pPr>
              <w:rPr>
                <w:szCs w:val="22"/>
              </w:rPr>
            </w:pPr>
            <w:r>
              <w:rPr>
                <w:rFonts w:cs="Cambria"/>
                <w:i/>
                <w:iCs/>
                <w:szCs w:val="22"/>
              </w:rPr>
              <w:t xml:space="preserve">AKT1 </w:t>
            </w:r>
          </w:p>
        </w:tc>
        <w:tc>
          <w:tcPr>
            <w:tcW w:w="3792" w:type="pct"/>
          </w:tcPr>
          <w:p w14:paraId="772B529D" w14:textId="77777777" w:rsidR="001925B4" w:rsidRPr="00D01DDB" w:rsidRDefault="001925B4">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 xml:space="preserve">AKT serine/threonine kinase 1 (gene) </w:t>
            </w:r>
          </w:p>
        </w:tc>
      </w:tr>
      <w:tr w:rsidR="001925B4" w:rsidRPr="00D01DDB" w14:paraId="199BD377"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D0C6D41" w14:textId="77777777" w:rsidR="001925B4" w:rsidRPr="00D01DDB" w:rsidRDefault="001925B4">
            <w:pPr>
              <w:rPr>
                <w:szCs w:val="22"/>
              </w:rPr>
            </w:pPr>
            <w:proofErr w:type="spellStart"/>
            <w:r>
              <w:rPr>
                <w:rFonts w:cs="Cambria"/>
                <w:szCs w:val="22"/>
              </w:rPr>
              <w:t>A</w:t>
            </w:r>
            <w:r>
              <w:rPr>
                <w:rFonts w:cs="Cambria"/>
                <w:sz w:val="14"/>
                <w:szCs w:val="14"/>
              </w:rPr>
              <w:t>lag</w:t>
            </w:r>
            <w:proofErr w:type="spellEnd"/>
            <w:r>
              <w:rPr>
                <w:rFonts w:cs="Cambria"/>
                <w:sz w:val="14"/>
                <w:szCs w:val="14"/>
              </w:rPr>
              <w:t xml:space="preserve"> </w:t>
            </w:r>
          </w:p>
        </w:tc>
        <w:tc>
          <w:tcPr>
            <w:tcW w:w="3792" w:type="pct"/>
          </w:tcPr>
          <w:p w14:paraId="00C82764" w14:textId="77777777" w:rsidR="001925B4" w:rsidRPr="00D01DDB" w:rsidRDefault="001925B4">
            <w:pPr>
              <w:cnfStyle w:val="000000000000" w:firstRow="0" w:lastRow="0" w:firstColumn="0" w:lastColumn="0" w:oddVBand="0" w:evenVBand="0" w:oddHBand="0" w:evenHBand="0" w:firstRowFirstColumn="0" w:firstRowLastColumn="0" w:lastRowFirstColumn="0" w:lastRowLastColumn="0"/>
              <w:rPr>
                <w:szCs w:val="22"/>
              </w:rPr>
            </w:pPr>
            <w:r>
              <w:rPr>
                <w:rFonts w:cs="Cambria"/>
                <w:szCs w:val="22"/>
              </w:rPr>
              <w:t xml:space="preserve">Absorption time lag </w:t>
            </w:r>
          </w:p>
        </w:tc>
      </w:tr>
      <w:tr w:rsidR="001925B4" w:rsidRPr="00D01DDB" w14:paraId="5775F9E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A0C2F30" w14:textId="77777777" w:rsidR="001925B4" w:rsidRDefault="001925B4">
            <w:pPr>
              <w:rPr>
                <w:rFonts w:cs="Cambria"/>
                <w:szCs w:val="22"/>
              </w:rPr>
            </w:pPr>
            <w:r>
              <w:rPr>
                <w:rFonts w:cs="Cambria"/>
                <w:szCs w:val="22"/>
              </w:rPr>
              <w:t xml:space="preserve">ALP </w:t>
            </w:r>
          </w:p>
        </w:tc>
        <w:tc>
          <w:tcPr>
            <w:tcW w:w="3792" w:type="pct"/>
          </w:tcPr>
          <w:p w14:paraId="107AF0D6" w14:textId="77777777" w:rsidR="001925B4"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 xml:space="preserve">Alkaline phosphatase </w:t>
            </w:r>
          </w:p>
        </w:tc>
      </w:tr>
      <w:tr w:rsidR="001925B4" w:rsidRPr="00D01DDB" w14:paraId="7E59CA4C"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400DEEE" w14:textId="77777777" w:rsidR="001925B4" w:rsidRDefault="001925B4">
            <w:pPr>
              <w:rPr>
                <w:rFonts w:cs="Cambria"/>
                <w:szCs w:val="22"/>
              </w:rPr>
            </w:pPr>
            <w:r>
              <w:rPr>
                <w:rFonts w:cs="Cambria"/>
                <w:szCs w:val="22"/>
              </w:rPr>
              <w:t xml:space="preserve">ALT </w:t>
            </w:r>
          </w:p>
        </w:tc>
        <w:tc>
          <w:tcPr>
            <w:tcW w:w="3792" w:type="pct"/>
          </w:tcPr>
          <w:p w14:paraId="1075480D" w14:textId="77777777" w:rsidR="001925B4"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 xml:space="preserve">Alanine aminotransferase </w:t>
            </w:r>
          </w:p>
        </w:tc>
      </w:tr>
      <w:tr w:rsidR="001925B4" w:rsidRPr="00D01DDB" w14:paraId="23948FCC"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5B2D2EC" w14:textId="77777777" w:rsidR="001925B4" w:rsidRDefault="001925B4">
            <w:pPr>
              <w:rPr>
                <w:rFonts w:cs="Cambria"/>
                <w:szCs w:val="22"/>
              </w:rPr>
            </w:pPr>
            <w:r>
              <w:rPr>
                <w:rFonts w:cs="Cambria"/>
                <w:szCs w:val="22"/>
              </w:rPr>
              <w:t xml:space="preserve">ANCOVA </w:t>
            </w:r>
          </w:p>
        </w:tc>
        <w:tc>
          <w:tcPr>
            <w:tcW w:w="3792" w:type="pct"/>
          </w:tcPr>
          <w:p w14:paraId="485297C1" w14:textId="77777777" w:rsidR="001925B4"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 xml:space="preserve">Analysis of covariance </w:t>
            </w:r>
          </w:p>
        </w:tc>
      </w:tr>
      <w:tr w:rsidR="001925B4" w:rsidRPr="00D01DDB" w14:paraId="4BAB41E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55D3FEE" w14:textId="77777777" w:rsidR="001925B4" w:rsidRDefault="001925B4">
            <w:pPr>
              <w:rPr>
                <w:rFonts w:cs="Cambria"/>
                <w:szCs w:val="22"/>
              </w:rPr>
            </w:pPr>
            <w:r>
              <w:rPr>
                <w:rFonts w:cs="Cambria"/>
                <w:szCs w:val="22"/>
              </w:rPr>
              <w:t xml:space="preserve">AST </w:t>
            </w:r>
          </w:p>
        </w:tc>
        <w:tc>
          <w:tcPr>
            <w:tcW w:w="3792" w:type="pct"/>
          </w:tcPr>
          <w:p w14:paraId="356A577E" w14:textId="77777777" w:rsidR="001925B4"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 xml:space="preserve">Aspartate aminotransferase </w:t>
            </w:r>
          </w:p>
        </w:tc>
      </w:tr>
      <w:tr w:rsidR="001925B4" w:rsidRPr="00D01DDB" w14:paraId="5D511CB4"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40D3A68" w14:textId="77777777" w:rsidR="001925B4" w:rsidRDefault="001925B4">
            <w:pPr>
              <w:rPr>
                <w:rFonts w:cs="Cambria"/>
                <w:szCs w:val="22"/>
              </w:rPr>
            </w:pPr>
            <w:r>
              <w:rPr>
                <w:rFonts w:cs="Cambria"/>
                <w:szCs w:val="22"/>
              </w:rPr>
              <w:t xml:space="preserve">ATC </w:t>
            </w:r>
          </w:p>
        </w:tc>
        <w:tc>
          <w:tcPr>
            <w:tcW w:w="3792" w:type="pct"/>
          </w:tcPr>
          <w:p w14:paraId="0A864D53" w14:textId="77777777" w:rsidR="001925B4"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 xml:space="preserve">Anatomical Therapeutic Chemical </w:t>
            </w:r>
          </w:p>
        </w:tc>
      </w:tr>
      <w:tr w:rsidR="001925B4" w:rsidRPr="00D01DDB" w14:paraId="2F1FE2F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BC6FE09" w14:textId="77777777" w:rsidR="001925B4" w:rsidRDefault="001925B4">
            <w:pPr>
              <w:rPr>
                <w:rFonts w:cs="Cambria"/>
                <w:szCs w:val="22"/>
              </w:rPr>
            </w:pPr>
            <w:r>
              <w:rPr>
                <w:rFonts w:cs="Cambria"/>
                <w:szCs w:val="22"/>
              </w:rPr>
              <w:t xml:space="preserve">AUC </w:t>
            </w:r>
          </w:p>
        </w:tc>
        <w:tc>
          <w:tcPr>
            <w:tcW w:w="3792" w:type="pct"/>
          </w:tcPr>
          <w:p w14:paraId="6C0C4E2C" w14:textId="77777777" w:rsidR="001925B4"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 xml:space="preserve">Area under the plasma concentration-time curve </w:t>
            </w:r>
          </w:p>
        </w:tc>
      </w:tr>
      <w:tr w:rsidR="001925B4" w:rsidRPr="00D01DDB" w14:paraId="4501CE0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5524C95" w14:textId="77777777" w:rsidR="001925B4" w:rsidRDefault="001925B4">
            <w:pPr>
              <w:rPr>
                <w:rFonts w:cs="Cambria"/>
                <w:szCs w:val="22"/>
              </w:rPr>
            </w:pPr>
            <w:r>
              <w:rPr>
                <w:rFonts w:cs="Cambria"/>
                <w:szCs w:val="22"/>
              </w:rPr>
              <w:t>AUC</w:t>
            </w:r>
            <w:r>
              <w:rPr>
                <w:rFonts w:cs="Cambria"/>
                <w:sz w:val="14"/>
                <w:szCs w:val="14"/>
              </w:rPr>
              <w:t xml:space="preserve">0-12 </w:t>
            </w:r>
          </w:p>
        </w:tc>
        <w:tc>
          <w:tcPr>
            <w:tcW w:w="3792" w:type="pct"/>
          </w:tcPr>
          <w:p w14:paraId="7150D4D4" w14:textId="77777777" w:rsidR="001925B4"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 xml:space="preserve">Area under the plasma concentration-time curve from zero to 12 hours </w:t>
            </w:r>
          </w:p>
        </w:tc>
      </w:tr>
      <w:tr w:rsidR="001925B4" w:rsidRPr="00D01DDB" w14:paraId="4EEC60B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14932D0" w14:textId="77777777" w:rsidR="001925B4" w:rsidRDefault="001925B4">
            <w:pPr>
              <w:rPr>
                <w:rFonts w:cs="Cambria"/>
                <w:szCs w:val="22"/>
              </w:rPr>
            </w:pPr>
            <w:r>
              <w:rPr>
                <w:rFonts w:cs="Cambria"/>
                <w:szCs w:val="22"/>
              </w:rPr>
              <w:t>AUC</w:t>
            </w:r>
            <w:r>
              <w:rPr>
                <w:rFonts w:cs="Cambria"/>
                <w:sz w:val="14"/>
                <w:szCs w:val="14"/>
              </w:rPr>
              <w:t xml:space="preserve">0-th </w:t>
            </w:r>
          </w:p>
        </w:tc>
        <w:tc>
          <w:tcPr>
            <w:tcW w:w="3792" w:type="pct"/>
          </w:tcPr>
          <w:p w14:paraId="202F3AB8" w14:textId="77777777" w:rsidR="001925B4"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 xml:space="preserve">Area under the plasma concentration-time curve from zero to x hours </w:t>
            </w:r>
          </w:p>
        </w:tc>
      </w:tr>
      <w:tr w:rsidR="001925B4" w:rsidRPr="00D01DDB" w14:paraId="1AC41BE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D4704FA" w14:textId="77777777" w:rsidR="001925B4" w:rsidRDefault="001925B4">
            <w:pPr>
              <w:rPr>
                <w:rFonts w:cs="Cambria"/>
                <w:szCs w:val="22"/>
              </w:rPr>
            </w:pPr>
            <w:r>
              <w:rPr>
                <w:rFonts w:cs="Cambria"/>
                <w:szCs w:val="22"/>
              </w:rPr>
              <w:t>AUC</w:t>
            </w:r>
            <w:r>
              <w:rPr>
                <w:rFonts w:cs="Cambria"/>
                <w:sz w:val="14"/>
                <w:szCs w:val="14"/>
              </w:rPr>
              <w:t>12</w:t>
            </w:r>
            <w:proofErr w:type="gramStart"/>
            <w:r>
              <w:rPr>
                <w:rFonts w:cs="Cambria"/>
                <w:sz w:val="14"/>
                <w:szCs w:val="14"/>
              </w:rPr>
              <w:t>h,ss</w:t>
            </w:r>
            <w:proofErr w:type="gramEnd"/>
            <w:r>
              <w:rPr>
                <w:rFonts w:cs="Cambria"/>
                <w:sz w:val="14"/>
                <w:szCs w:val="14"/>
              </w:rPr>
              <w:t xml:space="preserve"> </w:t>
            </w:r>
          </w:p>
        </w:tc>
        <w:tc>
          <w:tcPr>
            <w:tcW w:w="3792" w:type="pct"/>
          </w:tcPr>
          <w:p w14:paraId="0896C304" w14:textId="77777777" w:rsidR="001925B4"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 xml:space="preserve">Area under the plasma concentration-time curve from zero to 12 hours </w:t>
            </w:r>
          </w:p>
        </w:tc>
      </w:tr>
      <w:tr w:rsidR="001925B4" w:rsidRPr="00D01DDB" w14:paraId="7C5859B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06FA0F8" w14:textId="77777777" w:rsidR="001925B4" w:rsidRDefault="001925B4">
            <w:pPr>
              <w:rPr>
                <w:rFonts w:cs="Cambria"/>
                <w:szCs w:val="22"/>
              </w:rPr>
            </w:pPr>
            <w:r>
              <w:rPr>
                <w:rFonts w:cs="Cambria"/>
                <w:szCs w:val="22"/>
              </w:rPr>
              <w:t xml:space="preserve">B- </w:t>
            </w:r>
          </w:p>
        </w:tc>
        <w:tc>
          <w:tcPr>
            <w:tcW w:w="3792" w:type="pct"/>
          </w:tcPr>
          <w:p w14:paraId="057F3672" w14:textId="77777777" w:rsidR="001925B4"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 xml:space="preserve">Blood </w:t>
            </w:r>
          </w:p>
        </w:tc>
      </w:tr>
      <w:tr w:rsidR="001925B4" w:rsidRPr="00D01DDB" w14:paraId="0DC3FA1C"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4762142" w14:textId="77777777" w:rsidR="001925B4" w:rsidRDefault="001925B4">
            <w:pPr>
              <w:rPr>
                <w:rFonts w:cs="Cambria"/>
                <w:szCs w:val="22"/>
              </w:rPr>
            </w:pPr>
            <w:r>
              <w:rPr>
                <w:rFonts w:cs="Cambria"/>
                <w:szCs w:val="22"/>
              </w:rPr>
              <w:t xml:space="preserve">BD </w:t>
            </w:r>
          </w:p>
        </w:tc>
        <w:tc>
          <w:tcPr>
            <w:tcW w:w="3792" w:type="pct"/>
          </w:tcPr>
          <w:p w14:paraId="22E6DD49" w14:textId="77777777" w:rsidR="001925B4"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Pr>
                <w:rFonts w:cs="Cambria"/>
                <w:szCs w:val="22"/>
              </w:rPr>
              <w:t xml:space="preserve">Twice daily </w:t>
            </w:r>
          </w:p>
        </w:tc>
      </w:tr>
      <w:tr w:rsidR="001925B4" w:rsidRPr="00D01DDB" w14:paraId="377FE81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25ECDAD" w14:textId="77777777" w:rsidR="001925B4" w:rsidRDefault="001925B4">
            <w:pPr>
              <w:rPr>
                <w:rFonts w:cs="Cambria"/>
                <w:szCs w:val="22"/>
              </w:rPr>
            </w:pPr>
            <w:r w:rsidRPr="006719DD">
              <w:rPr>
                <w:rFonts w:cs="Cambria"/>
                <w:szCs w:val="22"/>
              </w:rPr>
              <w:t xml:space="preserve">BIC </w:t>
            </w:r>
          </w:p>
        </w:tc>
        <w:tc>
          <w:tcPr>
            <w:tcW w:w="3792" w:type="pct"/>
          </w:tcPr>
          <w:p w14:paraId="7A0546F4" w14:textId="77777777" w:rsidR="001925B4"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Bayesian information criterion </w:t>
            </w:r>
          </w:p>
        </w:tc>
      </w:tr>
      <w:tr w:rsidR="001925B4" w:rsidRPr="00D01DDB" w14:paraId="1A75221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0F69D88" w14:textId="77777777" w:rsidR="001925B4" w:rsidRPr="006719DD" w:rsidRDefault="001925B4">
            <w:pPr>
              <w:rPr>
                <w:rFonts w:cs="Cambria"/>
                <w:szCs w:val="22"/>
              </w:rPr>
            </w:pPr>
            <w:r w:rsidRPr="006719DD">
              <w:rPr>
                <w:rFonts w:cs="Cambria"/>
                <w:szCs w:val="22"/>
              </w:rPr>
              <w:t xml:space="preserve">BICR </w:t>
            </w:r>
          </w:p>
        </w:tc>
        <w:tc>
          <w:tcPr>
            <w:tcW w:w="3792" w:type="pct"/>
          </w:tcPr>
          <w:p w14:paraId="50063D93"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Blinded independent central review </w:t>
            </w:r>
          </w:p>
        </w:tc>
      </w:tr>
      <w:tr w:rsidR="001925B4" w:rsidRPr="00D01DDB" w14:paraId="3C5C7F4B"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AA8D512" w14:textId="77777777" w:rsidR="001925B4" w:rsidRPr="006719DD" w:rsidRDefault="001925B4">
            <w:pPr>
              <w:rPr>
                <w:rFonts w:cs="Cambria"/>
                <w:szCs w:val="22"/>
              </w:rPr>
            </w:pPr>
            <w:r w:rsidRPr="006719DD">
              <w:rPr>
                <w:rFonts w:cs="Cambria"/>
                <w:szCs w:val="22"/>
              </w:rPr>
              <w:t xml:space="preserve">BLQ </w:t>
            </w:r>
          </w:p>
        </w:tc>
        <w:tc>
          <w:tcPr>
            <w:tcW w:w="3792" w:type="pct"/>
          </w:tcPr>
          <w:p w14:paraId="5A02E6C8"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Below the limit of quantification </w:t>
            </w:r>
          </w:p>
        </w:tc>
      </w:tr>
      <w:tr w:rsidR="001925B4" w:rsidRPr="00D01DDB" w14:paraId="7790196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38C24A8" w14:textId="77777777" w:rsidR="001925B4" w:rsidRPr="006719DD" w:rsidRDefault="001925B4">
            <w:pPr>
              <w:rPr>
                <w:rFonts w:cs="Cambria"/>
                <w:szCs w:val="22"/>
              </w:rPr>
            </w:pPr>
            <w:r w:rsidRPr="006719DD">
              <w:rPr>
                <w:rFonts w:cs="Cambria"/>
                <w:szCs w:val="22"/>
              </w:rPr>
              <w:t xml:space="preserve">BMI </w:t>
            </w:r>
          </w:p>
        </w:tc>
        <w:tc>
          <w:tcPr>
            <w:tcW w:w="3792" w:type="pct"/>
          </w:tcPr>
          <w:p w14:paraId="726714A6"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Body mass index </w:t>
            </w:r>
          </w:p>
        </w:tc>
      </w:tr>
      <w:tr w:rsidR="001925B4" w:rsidRPr="00D01DDB" w14:paraId="7DD46DF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E2BF41C" w14:textId="77777777" w:rsidR="001925B4" w:rsidRPr="006719DD" w:rsidRDefault="001925B4">
            <w:pPr>
              <w:rPr>
                <w:rFonts w:cs="Cambria"/>
                <w:szCs w:val="22"/>
              </w:rPr>
            </w:pPr>
            <w:proofErr w:type="spellStart"/>
            <w:r w:rsidRPr="006719DD">
              <w:rPr>
                <w:rFonts w:cs="Cambria"/>
                <w:szCs w:val="22"/>
              </w:rPr>
              <w:t>BoR</w:t>
            </w:r>
            <w:proofErr w:type="spellEnd"/>
            <w:r w:rsidRPr="006719DD">
              <w:rPr>
                <w:rFonts w:cs="Cambria"/>
                <w:szCs w:val="22"/>
              </w:rPr>
              <w:t xml:space="preserve"> </w:t>
            </w:r>
          </w:p>
        </w:tc>
        <w:tc>
          <w:tcPr>
            <w:tcW w:w="3792" w:type="pct"/>
          </w:tcPr>
          <w:p w14:paraId="2740D913"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Best objective response </w:t>
            </w:r>
          </w:p>
        </w:tc>
      </w:tr>
      <w:tr w:rsidR="001925B4" w:rsidRPr="00D01DDB" w14:paraId="30744C4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98B822F" w14:textId="77777777" w:rsidR="001925B4" w:rsidRPr="006719DD" w:rsidRDefault="001925B4">
            <w:pPr>
              <w:rPr>
                <w:rFonts w:cs="Cambria"/>
                <w:szCs w:val="22"/>
              </w:rPr>
            </w:pPr>
            <w:r w:rsidRPr="006719DD">
              <w:rPr>
                <w:rFonts w:cs="Cambria"/>
                <w:i/>
                <w:iCs/>
                <w:szCs w:val="22"/>
              </w:rPr>
              <w:t xml:space="preserve">BRCA1/2 </w:t>
            </w:r>
          </w:p>
        </w:tc>
        <w:tc>
          <w:tcPr>
            <w:tcW w:w="3792" w:type="pct"/>
          </w:tcPr>
          <w:p w14:paraId="580E1CD0"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Breast cancer gene 1/2 </w:t>
            </w:r>
          </w:p>
        </w:tc>
      </w:tr>
      <w:tr w:rsidR="001925B4" w:rsidRPr="00D01DDB" w14:paraId="3AF42368"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89FFFA9" w14:textId="77777777" w:rsidR="001925B4" w:rsidRPr="006719DD" w:rsidRDefault="001925B4">
            <w:pPr>
              <w:rPr>
                <w:rFonts w:cs="Cambria"/>
                <w:i/>
                <w:iCs/>
                <w:szCs w:val="22"/>
              </w:rPr>
            </w:pPr>
            <w:r w:rsidRPr="006719DD">
              <w:rPr>
                <w:rFonts w:cs="Cambria"/>
                <w:szCs w:val="22"/>
              </w:rPr>
              <w:t xml:space="preserve">C </w:t>
            </w:r>
          </w:p>
        </w:tc>
        <w:tc>
          <w:tcPr>
            <w:tcW w:w="3792" w:type="pct"/>
          </w:tcPr>
          <w:p w14:paraId="2D1FE07F"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Cycle </w:t>
            </w:r>
          </w:p>
        </w:tc>
      </w:tr>
      <w:tr w:rsidR="001925B4" w:rsidRPr="00D01DDB" w14:paraId="27EC02C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2FF1A42" w14:textId="77777777" w:rsidR="001925B4" w:rsidRPr="006719DD" w:rsidRDefault="001925B4">
            <w:pPr>
              <w:rPr>
                <w:rFonts w:cs="Cambria"/>
                <w:szCs w:val="22"/>
              </w:rPr>
            </w:pPr>
            <w:proofErr w:type="spellStart"/>
            <w:r w:rsidRPr="006719DD">
              <w:rPr>
                <w:rFonts w:cs="Cambria"/>
                <w:szCs w:val="22"/>
              </w:rPr>
              <w:lastRenderedPageBreak/>
              <w:t>C</w:t>
            </w:r>
            <w:r w:rsidRPr="006719DD">
              <w:rPr>
                <w:rFonts w:cs="Cambria"/>
                <w:sz w:val="14"/>
                <w:szCs w:val="14"/>
              </w:rPr>
              <w:t>xh</w:t>
            </w:r>
            <w:proofErr w:type="spellEnd"/>
            <w:r w:rsidRPr="006719DD">
              <w:rPr>
                <w:rFonts w:cs="Cambria"/>
                <w:sz w:val="14"/>
                <w:szCs w:val="14"/>
              </w:rPr>
              <w:t xml:space="preserve"> </w:t>
            </w:r>
          </w:p>
        </w:tc>
        <w:tc>
          <w:tcPr>
            <w:tcW w:w="3792" w:type="pct"/>
          </w:tcPr>
          <w:p w14:paraId="4F9F28C6"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Plasma concentration at x hours </w:t>
            </w:r>
          </w:p>
        </w:tc>
      </w:tr>
      <w:tr w:rsidR="001925B4" w:rsidRPr="00D01DDB" w14:paraId="39185AA4"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4328340" w14:textId="77777777" w:rsidR="001925B4" w:rsidRPr="006719DD" w:rsidRDefault="001925B4">
            <w:pPr>
              <w:rPr>
                <w:rFonts w:cs="Cambria"/>
                <w:szCs w:val="22"/>
              </w:rPr>
            </w:pPr>
            <w:r w:rsidRPr="006719DD">
              <w:rPr>
                <w:rFonts w:cs="Cambria"/>
                <w:szCs w:val="22"/>
              </w:rPr>
              <w:t xml:space="preserve">CBR </w:t>
            </w:r>
          </w:p>
        </w:tc>
        <w:tc>
          <w:tcPr>
            <w:tcW w:w="3792" w:type="pct"/>
          </w:tcPr>
          <w:p w14:paraId="40E1FF9F"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Clinical benefit rate </w:t>
            </w:r>
          </w:p>
        </w:tc>
      </w:tr>
      <w:tr w:rsidR="001925B4" w:rsidRPr="00D01DDB" w14:paraId="537F19D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65A2449" w14:textId="77777777" w:rsidR="001925B4" w:rsidRPr="006719DD" w:rsidRDefault="001925B4">
            <w:pPr>
              <w:rPr>
                <w:rFonts w:cs="Cambria"/>
                <w:szCs w:val="22"/>
              </w:rPr>
            </w:pPr>
            <w:r w:rsidRPr="006719DD">
              <w:rPr>
                <w:rFonts w:cs="Cambria"/>
                <w:szCs w:val="22"/>
              </w:rPr>
              <w:t xml:space="preserve">CDK4/6 </w:t>
            </w:r>
          </w:p>
        </w:tc>
        <w:tc>
          <w:tcPr>
            <w:tcW w:w="3792" w:type="pct"/>
          </w:tcPr>
          <w:p w14:paraId="7B2EF522"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Cyclin-dependent kinase 4/6 </w:t>
            </w:r>
          </w:p>
        </w:tc>
      </w:tr>
      <w:tr w:rsidR="001925B4" w:rsidRPr="00D01DDB" w14:paraId="7721561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E0FADD1" w14:textId="77777777" w:rsidR="001925B4" w:rsidRPr="006719DD" w:rsidRDefault="001925B4">
            <w:pPr>
              <w:rPr>
                <w:rFonts w:cs="Cambria"/>
                <w:szCs w:val="22"/>
              </w:rPr>
            </w:pPr>
            <w:r w:rsidRPr="006719DD">
              <w:rPr>
                <w:rFonts w:cs="Cambria"/>
                <w:szCs w:val="22"/>
              </w:rPr>
              <w:t xml:space="preserve">CDK4/6i </w:t>
            </w:r>
          </w:p>
        </w:tc>
        <w:tc>
          <w:tcPr>
            <w:tcW w:w="3792" w:type="pct"/>
          </w:tcPr>
          <w:p w14:paraId="4A8BFACD"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Cyclin-dependent kinase 4/6 inhibitor </w:t>
            </w:r>
          </w:p>
        </w:tc>
      </w:tr>
      <w:tr w:rsidR="001925B4" w:rsidRPr="00D01DDB" w14:paraId="3B7F2AA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4EFFB4E" w14:textId="77777777" w:rsidR="001925B4" w:rsidRPr="006719DD" w:rsidRDefault="001925B4">
            <w:pPr>
              <w:rPr>
                <w:rFonts w:cs="Cambria"/>
                <w:szCs w:val="22"/>
              </w:rPr>
            </w:pPr>
            <w:r w:rsidRPr="006719DD">
              <w:rPr>
                <w:rFonts w:cs="Cambria"/>
                <w:szCs w:val="22"/>
              </w:rPr>
              <w:t xml:space="preserve">CI </w:t>
            </w:r>
          </w:p>
        </w:tc>
        <w:tc>
          <w:tcPr>
            <w:tcW w:w="3792" w:type="pct"/>
          </w:tcPr>
          <w:p w14:paraId="1588C877"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Confidence interval </w:t>
            </w:r>
          </w:p>
        </w:tc>
      </w:tr>
      <w:tr w:rsidR="001925B4" w:rsidRPr="00D01DDB" w14:paraId="73C036B5"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8938BE7" w14:textId="77777777" w:rsidR="001925B4" w:rsidRPr="006719DD" w:rsidRDefault="001925B4">
            <w:pPr>
              <w:rPr>
                <w:rFonts w:cs="Cambria"/>
                <w:szCs w:val="22"/>
              </w:rPr>
            </w:pPr>
            <w:r w:rsidRPr="006719DD">
              <w:rPr>
                <w:rFonts w:cs="Cambria"/>
                <w:szCs w:val="22"/>
              </w:rPr>
              <w:t xml:space="preserve">CL </w:t>
            </w:r>
          </w:p>
        </w:tc>
        <w:tc>
          <w:tcPr>
            <w:tcW w:w="3792" w:type="pct"/>
          </w:tcPr>
          <w:p w14:paraId="6F6AEAD7"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Clearance </w:t>
            </w:r>
          </w:p>
        </w:tc>
      </w:tr>
      <w:tr w:rsidR="001925B4" w:rsidRPr="00D01DDB" w14:paraId="5993572C"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FFFC0A8" w14:textId="77777777" w:rsidR="001925B4" w:rsidRPr="006719DD" w:rsidRDefault="001925B4">
            <w:pPr>
              <w:rPr>
                <w:rFonts w:cs="Cambria"/>
                <w:szCs w:val="22"/>
              </w:rPr>
            </w:pPr>
            <w:r w:rsidRPr="006719DD">
              <w:rPr>
                <w:rFonts w:cs="Cambria"/>
                <w:szCs w:val="22"/>
              </w:rPr>
              <w:t xml:space="preserve">CL/F </w:t>
            </w:r>
          </w:p>
        </w:tc>
        <w:tc>
          <w:tcPr>
            <w:tcW w:w="3792" w:type="pct"/>
          </w:tcPr>
          <w:p w14:paraId="018EAD19"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Apparent clearance </w:t>
            </w:r>
          </w:p>
        </w:tc>
      </w:tr>
      <w:tr w:rsidR="001925B4" w:rsidRPr="00D01DDB" w14:paraId="24DEC90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4840A95" w14:textId="77777777" w:rsidR="001925B4" w:rsidRPr="006719DD" w:rsidRDefault="001925B4">
            <w:pPr>
              <w:rPr>
                <w:rFonts w:cs="Cambria"/>
                <w:szCs w:val="22"/>
              </w:rPr>
            </w:pPr>
            <w:proofErr w:type="spellStart"/>
            <w:r w:rsidRPr="006719DD">
              <w:rPr>
                <w:rFonts w:cs="Cambria"/>
                <w:szCs w:val="22"/>
              </w:rPr>
              <w:t>C</w:t>
            </w:r>
            <w:r w:rsidRPr="006719DD">
              <w:rPr>
                <w:rFonts w:cs="Cambria"/>
                <w:sz w:val="14"/>
                <w:szCs w:val="14"/>
              </w:rPr>
              <w:t>max</w:t>
            </w:r>
            <w:proofErr w:type="spellEnd"/>
            <w:r w:rsidRPr="006719DD">
              <w:rPr>
                <w:rFonts w:cs="Cambria"/>
                <w:sz w:val="14"/>
                <w:szCs w:val="14"/>
              </w:rPr>
              <w:t xml:space="preserve"> </w:t>
            </w:r>
          </w:p>
        </w:tc>
        <w:tc>
          <w:tcPr>
            <w:tcW w:w="3792" w:type="pct"/>
          </w:tcPr>
          <w:p w14:paraId="58969BAB"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Maximum observed plasma (peak) concentration </w:t>
            </w:r>
          </w:p>
        </w:tc>
      </w:tr>
      <w:tr w:rsidR="001925B4" w:rsidRPr="00D01DDB" w14:paraId="4995A89B"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1D336EA" w14:textId="77777777" w:rsidR="001925B4" w:rsidRPr="006719DD" w:rsidRDefault="001925B4">
            <w:pPr>
              <w:rPr>
                <w:rFonts w:cs="Cambria"/>
                <w:szCs w:val="22"/>
              </w:rPr>
            </w:pPr>
            <w:proofErr w:type="spellStart"/>
            <w:proofErr w:type="gramStart"/>
            <w:r w:rsidRPr="006719DD">
              <w:rPr>
                <w:rFonts w:cs="Cambria"/>
                <w:szCs w:val="22"/>
              </w:rPr>
              <w:t>C</w:t>
            </w:r>
            <w:r w:rsidRPr="006719DD">
              <w:rPr>
                <w:rFonts w:cs="Cambria"/>
                <w:sz w:val="14"/>
                <w:szCs w:val="14"/>
              </w:rPr>
              <w:t>max,ss</w:t>
            </w:r>
            <w:proofErr w:type="spellEnd"/>
            <w:proofErr w:type="gramEnd"/>
            <w:r w:rsidRPr="006719DD">
              <w:rPr>
                <w:rFonts w:cs="Cambria"/>
                <w:sz w:val="14"/>
                <w:szCs w:val="14"/>
              </w:rPr>
              <w:t xml:space="preserve"> </w:t>
            </w:r>
          </w:p>
        </w:tc>
        <w:tc>
          <w:tcPr>
            <w:tcW w:w="3792" w:type="pct"/>
          </w:tcPr>
          <w:p w14:paraId="6EEE5DE9"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Maximum observed plasma (peak) concentration at steady state </w:t>
            </w:r>
          </w:p>
        </w:tc>
      </w:tr>
      <w:tr w:rsidR="001925B4" w:rsidRPr="00D01DDB" w14:paraId="2205B25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D7230FB" w14:textId="77777777" w:rsidR="001925B4" w:rsidRPr="006719DD" w:rsidRDefault="001925B4">
            <w:pPr>
              <w:rPr>
                <w:rFonts w:cs="Cambria"/>
                <w:szCs w:val="22"/>
              </w:rPr>
            </w:pPr>
            <w:r w:rsidRPr="006719DD">
              <w:rPr>
                <w:rFonts w:cs="Cambria"/>
                <w:szCs w:val="22"/>
              </w:rPr>
              <w:t xml:space="preserve">CMH </w:t>
            </w:r>
          </w:p>
        </w:tc>
        <w:tc>
          <w:tcPr>
            <w:tcW w:w="3792" w:type="pct"/>
          </w:tcPr>
          <w:p w14:paraId="70CDCB85"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Cochran-Mantel Haenszel </w:t>
            </w:r>
          </w:p>
        </w:tc>
      </w:tr>
      <w:tr w:rsidR="001925B4" w:rsidRPr="00D01DDB" w14:paraId="71D2FE10"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F9690C9" w14:textId="77777777" w:rsidR="001925B4" w:rsidRPr="006719DD" w:rsidRDefault="001925B4">
            <w:pPr>
              <w:rPr>
                <w:rFonts w:cs="Cambria"/>
                <w:szCs w:val="22"/>
              </w:rPr>
            </w:pPr>
            <w:r w:rsidRPr="006719DD">
              <w:rPr>
                <w:rFonts w:cs="Cambria"/>
                <w:szCs w:val="22"/>
              </w:rPr>
              <w:t xml:space="preserve">CMV </w:t>
            </w:r>
          </w:p>
        </w:tc>
        <w:tc>
          <w:tcPr>
            <w:tcW w:w="3792" w:type="pct"/>
          </w:tcPr>
          <w:p w14:paraId="5E3D542C"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Cytomegalovirus </w:t>
            </w:r>
          </w:p>
        </w:tc>
      </w:tr>
      <w:tr w:rsidR="001925B4" w:rsidRPr="00D01DDB" w14:paraId="4B0C570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669A319" w14:textId="77777777" w:rsidR="001925B4" w:rsidRPr="006719DD" w:rsidRDefault="001925B4">
            <w:pPr>
              <w:rPr>
                <w:rFonts w:cs="Cambria"/>
                <w:szCs w:val="22"/>
              </w:rPr>
            </w:pPr>
            <w:r w:rsidRPr="006719DD">
              <w:rPr>
                <w:rFonts w:cs="Cambria"/>
                <w:szCs w:val="22"/>
              </w:rPr>
              <w:t xml:space="preserve">COVID-19 </w:t>
            </w:r>
          </w:p>
        </w:tc>
        <w:tc>
          <w:tcPr>
            <w:tcW w:w="3792" w:type="pct"/>
          </w:tcPr>
          <w:p w14:paraId="5DA2D683"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Coronavirus disease 2019 </w:t>
            </w:r>
          </w:p>
        </w:tc>
      </w:tr>
      <w:tr w:rsidR="001925B4" w:rsidRPr="00D01DDB" w14:paraId="6EB20AD7"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3736F8D" w14:textId="77777777" w:rsidR="001925B4" w:rsidRPr="006719DD" w:rsidRDefault="001925B4">
            <w:pPr>
              <w:rPr>
                <w:rFonts w:cs="Cambria"/>
                <w:szCs w:val="22"/>
              </w:rPr>
            </w:pPr>
            <w:r w:rsidRPr="006719DD">
              <w:rPr>
                <w:rFonts w:cs="Cambria"/>
                <w:szCs w:val="22"/>
              </w:rPr>
              <w:t xml:space="preserve">CR </w:t>
            </w:r>
          </w:p>
        </w:tc>
        <w:tc>
          <w:tcPr>
            <w:tcW w:w="3792" w:type="pct"/>
          </w:tcPr>
          <w:p w14:paraId="6E8B3D0D"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Complete response </w:t>
            </w:r>
          </w:p>
        </w:tc>
      </w:tr>
      <w:tr w:rsidR="001925B4" w:rsidRPr="00D01DDB" w14:paraId="4421CAC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F56C255" w14:textId="77777777" w:rsidR="001925B4" w:rsidRPr="006719DD" w:rsidRDefault="001925B4">
            <w:pPr>
              <w:rPr>
                <w:rFonts w:cs="Cambria"/>
                <w:szCs w:val="22"/>
              </w:rPr>
            </w:pPr>
            <w:r w:rsidRPr="006719DD">
              <w:rPr>
                <w:rFonts w:cs="Cambria"/>
                <w:szCs w:val="22"/>
              </w:rPr>
              <w:t xml:space="preserve">CRCL </w:t>
            </w:r>
          </w:p>
        </w:tc>
        <w:tc>
          <w:tcPr>
            <w:tcW w:w="3792" w:type="pct"/>
          </w:tcPr>
          <w:p w14:paraId="7E6A03D4"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Creatinine clearance </w:t>
            </w:r>
          </w:p>
        </w:tc>
      </w:tr>
      <w:tr w:rsidR="001925B4" w:rsidRPr="00D01DDB" w14:paraId="1D221D3C"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F6C604C" w14:textId="77777777" w:rsidR="001925B4" w:rsidRPr="006719DD" w:rsidRDefault="001925B4">
            <w:pPr>
              <w:rPr>
                <w:rFonts w:cs="Cambria"/>
                <w:szCs w:val="22"/>
              </w:rPr>
            </w:pPr>
            <w:r w:rsidRPr="006719DD">
              <w:rPr>
                <w:rFonts w:cs="Cambria"/>
                <w:szCs w:val="22"/>
              </w:rPr>
              <w:t xml:space="preserve">CT </w:t>
            </w:r>
          </w:p>
        </w:tc>
        <w:tc>
          <w:tcPr>
            <w:tcW w:w="3792" w:type="pct"/>
          </w:tcPr>
          <w:p w14:paraId="5BB72C0F"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Computerised tomography </w:t>
            </w:r>
          </w:p>
        </w:tc>
      </w:tr>
      <w:tr w:rsidR="001925B4" w:rsidRPr="00D01DDB" w14:paraId="6A10AB8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0C83BD9" w14:textId="77777777" w:rsidR="001925B4" w:rsidRPr="006719DD" w:rsidRDefault="001925B4">
            <w:pPr>
              <w:rPr>
                <w:rFonts w:cs="Cambria"/>
                <w:szCs w:val="22"/>
              </w:rPr>
            </w:pPr>
            <w:r w:rsidRPr="006719DD">
              <w:rPr>
                <w:rFonts w:cs="Cambria"/>
                <w:szCs w:val="22"/>
              </w:rPr>
              <w:t xml:space="preserve">CTC </w:t>
            </w:r>
          </w:p>
        </w:tc>
        <w:tc>
          <w:tcPr>
            <w:tcW w:w="3792" w:type="pct"/>
          </w:tcPr>
          <w:p w14:paraId="5CACBE62"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Circulating tumour cell </w:t>
            </w:r>
          </w:p>
        </w:tc>
      </w:tr>
      <w:tr w:rsidR="001925B4" w:rsidRPr="00D01DDB" w14:paraId="337CCCD8"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C91A33A" w14:textId="77777777" w:rsidR="001925B4" w:rsidRPr="006719DD" w:rsidRDefault="001925B4">
            <w:pPr>
              <w:rPr>
                <w:rFonts w:cs="Cambria"/>
                <w:szCs w:val="22"/>
              </w:rPr>
            </w:pPr>
            <w:r w:rsidRPr="006719DD">
              <w:rPr>
                <w:rFonts w:cs="Cambria"/>
                <w:szCs w:val="22"/>
              </w:rPr>
              <w:t xml:space="preserve">CTCAE </w:t>
            </w:r>
          </w:p>
        </w:tc>
        <w:tc>
          <w:tcPr>
            <w:tcW w:w="3792" w:type="pct"/>
          </w:tcPr>
          <w:p w14:paraId="1A2FB699"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Common Terminology Criteria for Adverse Event </w:t>
            </w:r>
          </w:p>
        </w:tc>
      </w:tr>
      <w:tr w:rsidR="001925B4" w:rsidRPr="00D01DDB" w14:paraId="5917543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5CB5C53" w14:textId="77777777" w:rsidR="001925B4" w:rsidRPr="006719DD" w:rsidRDefault="001925B4">
            <w:pPr>
              <w:rPr>
                <w:rFonts w:cs="Cambria"/>
                <w:szCs w:val="22"/>
              </w:rPr>
            </w:pPr>
            <w:proofErr w:type="spellStart"/>
            <w:r w:rsidRPr="006719DD">
              <w:rPr>
                <w:rFonts w:cs="Cambria"/>
                <w:szCs w:val="22"/>
              </w:rPr>
              <w:t>ctDNA</w:t>
            </w:r>
            <w:proofErr w:type="spellEnd"/>
            <w:r w:rsidRPr="006719DD">
              <w:rPr>
                <w:rFonts w:cs="Cambria"/>
                <w:szCs w:val="22"/>
              </w:rPr>
              <w:t xml:space="preserve"> </w:t>
            </w:r>
          </w:p>
        </w:tc>
        <w:tc>
          <w:tcPr>
            <w:tcW w:w="3792" w:type="pct"/>
          </w:tcPr>
          <w:p w14:paraId="75A1BE88"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6719DD">
              <w:rPr>
                <w:rFonts w:cs="Cambria"/>
                <w:szCs w:val="22"/>
              </w:rPr>
              <w:t xml:space="preserve">Circulating tumour DNA </w:t>
            </w:r>
          </w:p>
        </w:tc>
      </w:tr>
      <w:tr w:rsidR="001925B4" w:rsidRPr="00D01DDB" w14:paraId="3BF2FD48"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F061ED6" w14:textId="77777777" w:rsidR="001925B4" w:rsidRPr="006719DD" w:rsidRDefault="001925B4">
            <w:pPr>
              <w:rPr>
                <w:rFonts w:cs="Cambria"/>
                <w:szCs w:val="22"/>
              </w:rPr>
            </w:pPr>
            <w:proofErr w:type="spellStart"/>
            <w:r w:rsidRPr="00E9128F">
              <w:rPr>
                <w:rFonts w:cs="Cambria"/>
                <w:szCs w:val="22"/>
              </w:rPr>
              <w:t>C</w:t>
            </w:r>
            <w:r w:rsidRPr="00EC3746">
              <w:rPr>
                <w:rFonts w:cs="Cambria"/>
                <w:szCs w:val="22"/>
              </w:rPr>
              <w:t>trough</w:t>
            </w:r>
            <w:proofErr w:type="spellEnd"/>
            <w:r w:rsidRPr="00EC3746">
              <w:rPr>
                <w:rFonts w:cs="Cambria"/>
                <w:szCs w:val="22"/>
              </w:rPr>
              <w:t xml:space="preserve"> </w:t>
            </w:r>
          </w:p>
        </w:tc>
        <w:tc>
          <w:tcPr>
            <w:tcW w:w="3792" w:type="pct"/>
          </w:tcPr>
          <w:p w14:paraId="58D9F0AD" w14:textId="77777777" w:rsidR="001925B4" w:rsidRPr="006719DD"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Observed </w:t>
            </w:r>
            <w:proofErr w:type="spellStart"/>
            <w:r w:rsidRPr="00E9128F">
              <w:rPr>
                <w:rFonts w:cs="Cambria"/>
                <w:szCs w:val="22"/>
              </w:rPr>
              <w:t>capivasertib</w:t>
            </w:r>
            <w:proofErr w:type="spellEnd"/>
            <w:r w:rsidRPr="00E9128F">
              <w:rPr>
                <w:rFonts w:cs="Cambria"/>
                <w:szCs w:val="22"/>
              </w:rPr>
              <w:t xml:space="preserve"> plasma concentration in samples collected pre-dose </w:t>
            </w:r>
          </w:p>
        </w:tc>
      </w:tr>
      <w:tr w:rsidR="001925B4" w:rsidRPr="00D01DDB" w14:paraId="07F11EF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3EB843A" w14:textId="77777777" w:rsidR="001925B4" w:rsidRPr="00E9128F" w:rsidRDefault="001925B4">
            <w:pPr>
              <w:rPr>
                <w:rFonts w:cs="Cambria"/>
                <w:szCs w:val="22"/>
              </w:rPr>
            </w:pPr>
            <w:r w:rsidRPr="00E9128F">
              <w:rPr>
                <w:rFonts w:cs="Cambria"/>
                <w:szCs w:val="22"/>
              </w:rPr>
              <w:t xml:space="preserve">CV </w:t>
            </w:r>
          </w:p>
        </w:tc>
        <w:tc>
          <w:tcPr>
            <w:tcW w:w="3792" w:type="pct"/>
          </w:tcPr>
          <w:p w14:paraId="2D3C9371"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Coefficient of variation </w:t>
            </w:r>
          </w:p>
        </w:tc>
      </w:tr>
      <w:tr w:rsidR="001925B4" w:rsidRPr="00D01DDB" w14:paraId="2ADA7D3B"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83D6CBA" w14:textId="77777777" w:rsidR="001925B4" w:rsidRPr="00E9128F" w:rsidRDefault="001925B4">
            <w:pPr>
              <w:rPr>
                <w:rFonts w:cs="Cambria"/>
                <w:szCs w:val="22"/>
              </w:rPr>
            </w:pPr>
            <w:r w:rsidRPr="00E9128F">
              <w:rPr>
                <w:rFonts w:cs="Cambria"/>
                <w:szCs w:val="22"/>
              </w:rPr>
              <w:t xml:space="preserve">CWRES </w:t>
            </w:r>
          </w:p>
        </w:tc>
        <w:tc>
          <w:tcPr>
            <w:tcW w:w="3792" w:type="pct"/>
          </w:tcPr>
          <w:p w14:paraId="7780FF99"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Conditional weighted residuals </w:t>
            </w:r>
          </w:p>
        </w:tc>
      </w:tr>
      <w:tr w:rsidR="001925B4" w:rsidRPr="00D01DDB" w14:paraId="2EF9266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B030299" w14:textId="77777777" w:rsidR="001925B4" w:rsidRPr="00E9128F" w:rsidRDefault="001925B4">
            <w:pPr>
              <w:rPr>
                <w:rFonts w:cs="Cambria"/>
                <w:szCs w:val="22"/>
              </w:rPr>
            </w:pPr>
            <w:proofErr w:type="spellStart"/>
            <w:r w:rsidRPr="00E9128F">
              <w:rPr>
                <w:rFonts w:cs="Cambria"/>
                <w:szCs w:val="22"/>
              </w:rPr>
              <w:t>CxWyDz</w:t>
            </w:r>
            <w:proofErr w:type="spellEnd"/>
            <w:r w:rsidRPr="00E9128F">
              <w:rPr>
                <w:rFonts w:cs="Cambria"/>
                <w:szCs w:val="22"/>
              </w:rPr>
              <w:t xml:space="preserve"> </w:t>
            </w:r>
          </w:p>
        </w:tc>
        <w:tc>
          <w:tcPr>
            <w:tcW w:w="3792" w:type="pct"/>
          </w:tcPr>
          <w:p w14:paraId="5D8769F8"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Cycle X, Week Y Day Z </w:t>
            </w:r>
          </w:p>
        </w:tc>
      </w:tr>
      <w:tr w:rsidR="001925B4" w:rsidRPr="00D01DDB" w14:paraId="69E0195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7426EE5" w14:textId="77777777" w:rsidR="001925B4" w:rsidRPr="00E9128F" w:rsidRDefault="001925B4">
            <w:pPr>
              <w:rPr>
                <w:rFonts w:cs="Cambria"/>
                <w:szCs w:val="22"/>
              </w:rPr>
            </w:pPr>
            <w:r w:rsidRPr="00E9128F">
              <w:rPr>
                <w:rFonts w:cs="Cambria"/>
                <w:szCs w:val="22"/>
              </w:rPr>
              <w:t xml:space="preserve">CYP </w:t>
            </w:r>
          </w:p>
        </w:tc>
        <w:tc>
          <w:tcPr>
            <w:tcW w:w="3792" w:type="pct"/>
          </w:tcPr>
          <w:p w14:paraId="3AA5133F"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Cytochrome P450 </w:t>
            </w:r>
          </w:p>
        </w:tc>
      </w:tr>
      <w:tr w:rsidR="001925B4" w:rsidRPr="00D01DDB" w14:paraId="12D3B25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53A4846" w14:textId="77777777" w:rsidR="001925B4" w:rsidRPr="00E9128F" w:rsidRDefault="001925B4">
            <w:pPr>
              <w:rPr>
                <w:rFonts w:cs="Cambria"/>
                <w:szCs w:val="22"/>
              </w:rPr>
            </w:pPr>
            <w:r w:rsidRPr="00E9128F">
              <w:rPr>
                <w:rFonts w:cs="Cambria"/>
                <w:szCs w:val="22"/>
              </w:rPr>
              <w:t xml:space="preserve">DBL </w:t>
            </w:r>
          </w:p>
        </w:tc>
        <w:tc>
          <w:tcPr>
            <w:tcW w:w="3792" w:type="pct"/>
          </w:tcPr>
          <w:p w14:paraId="37F37B73"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Database lock </w:t>
            </w:r>
          </w:p>
        </w:tc>
      </w:tr>
      <w:tr w:rsidR="001925B4" w:rsidRPr="00D01DDB" w14:paraId="77691135"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E6D52A0" w14:textId="77777777" w:rsidR="001925B4" w:rsidRPr="00E9128F" w:rsidRDefault="001925B4">
            <w:pPr>
              <w:rPr>
                <w:rFonts w:cs="Cambria"/>
                <w:szCs w:val="22"/>
              </w:rPr>
            </w:pPr>
            <w:r w:rsidRPr="00E9128F">
              <w:rPr>
                <w:rFonts w:cs="Cambria"/>
                <w:szCs w:val="22"/>
              </w:rPr>
              <w:t xml:space="preserve">DCO </w:t>
            </w:r>
          </w:p>
        </w:tc>
        <w:tc>
          <w:tcPr>
            <w:tcW w:w="3792" w:type="pct"/>
          </w:tcPr>
          <w:p w14:paraId="2307A59C"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Data cut-off </w:t>
            </w:r>
          </w:p>
        </w:tc>
      </w:tr>
      <w:tr w:rsidR="001925B4" w:rsidRPr="00D01DDB" w14:paraId="509355DC"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4C61FA8" w14:textId="77777777" w:rsidR="001925B4" w:rsidRPr="00E9128F" w:rsidRDefault="001925B4">
            <w:pPr>
              <w:rPr>
                <w:rFonts w:cs="Cambria"/>
                <w:szCs w:val="22"/>
              </w:rPr>
            </w:pPr>
            <w:r w:rsidRPr="00E9128F">
              <w:rPr>
                <w:rFonts w:cs="Cambria"/>
                <w:szCs w:val="22"/>
              </w:rPr>
              <w:t xml:space="preserve">DCO1 </w:t>
            </w:r>
          </w:p>
        </w:tc>
        <w:tc>
          <w:tcPr>
            <w:tcW w:w="3792" w:type="pct"/>
          </w:tcPr>
          <w:p w14:paraId="0FB93E2F"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Data cut-off 1, 15</w:t>
            </w:r>
            <w:r w:rsidRPr="00E9128F">
              <w:rPr>
                <w:rFonts w:cs="Cambria"/>
                <w:sz w:val="14"/>
                <w:szCs w:val="14"/>
              </w:rPr>
              <w:t xml:space="preserve">th </w:t>
            </w:r>
            <w:r w:rsidRPr="00E9128F">
              <w:rPr>
                <w:rFonts w:cs="Cambria"/>
                <w:szCs w:val="22"/>
              </w:rPr>
              <w:t xml:space="preserve">August 2022 </w:t>
            </w:r>
          </w:p>
        </w:tc>
      </w:tr>
      <w:tr w:rsidR="001925B4" w:rsidRPr="00D01DDB" w14:paraId="0CAF193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F51A905" w14:textId="77777777" w:rsidR="001925B4" w:rsidRPr="00E9128F" w:rsidRDefault="001925B4">
            <w:pPr>
              <w:rPr>
                <w:rFonts w:cs="Cambria"/>
                <w:szCs w:val="22"/>
              </w:rPr>
            </w:pPr>
            <w:r w:rsidRPr="00E9128F">
              <w:rPr>
                <w:rFonts w:cs="Cambria"/>
                <w:szCs w:val="22"/>
              </w:rPr>
              <w:t xml:space="preserve">DCO2 </w:t>
            </w:r>
          </w:p>
        </w:tc>
        <w:tc>
          <w:tcPr>
            <w:tcW w:w="3792" w:type="pct"/>
          </w:tcPr>
          <w:p w14:paraId="3ACE0553"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Data cut-off 2 </w:t>
            </w:r>
          </w:p>
        </w:tc>
      </w:tr>
      <w:tr w:rsidR="001925B4" w:rsidRPr="00D01DDB" w14:paraId="3AE1ADB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466570D" w14:textId="77777777" w:rsidR="001925B4" w:rsidRPr="00E9128F" w:rsidRDefault="001925B4">
            <w:pPr>
              <w:rPr>
                <w:rFonts w:cs="Cambria"/>
                <w:szCs w:val="22"/>
              </w:rPr>
            </w:pPr>
            <w:r w:rsidRPr="00E9128F">
              <w:rPr>
                <w:rFonts w:cs="Cambria"/>
                <w:szCs w:val="22"/>
              </w:rPr>
              <w:t xml:space="preserve">DCO3 </w:t>
            </w:r>
          </w:p>
        </w:tc>
        <w:tc>
          <w:tcPr>
            <w:tcW w:w="3792" w:type="pct"/>
          </w:tcPr>
          <w:p w14:paraId="552656ED"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Data cut-off 3 </w:t>
            </w:r>
          </w:p>
        </w:tc>
      </w:tr>
      <w:tr w:rsidR="001925B4" w:rsidRPr="00D01DDB" w14:paraId="12DF077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ED15935" w14:textId="77777777" w:rsidR="001925B4" w:rsidRPr="00E9128F" w:rsidRDefault="001925B4">
            <w:pPr>
              <w:rPr>
                <w:rFonts w:cs="Cambria"/>
                <w:szCs w:val="22"/>
              </w:rPr>
            </w:pPr>
            <w:proofErr w:type="spellStart"/>
            <w:r w:rsidRPr="00E9128F">
              <w:rPr>
                <w:rFonts w:cs="Cambria"/>
                <w:szCs w:val="22"/>
              </w:rPr>
              <w:t>dECG</w:t>
            </w:r>
            <w:proofErr w:type="spellEnd"/>
            <w:r w:rsidRPr="00E9128F">
              <w:rPr>
                <w:rFonts w:cs="Cambria"/>
                <w:szCs w:val="22"/>
              </w:rPr>
              <w:t xml:space="preserve"> </w:t>
            </w:r>
          </w:p>
        </w:tc>
        <w:tc>
          <w:tcPr>
            <w:tcW w:w="3792" w:type="pct"/>
          </w:tcPr>
          <w:p w14:paraId="40583466"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Digital electrocardiogram </w:t>
            </w:r>
          </w:p>
        </w:tc>
      </w:tr>
      <w:tr w:rsidR="001925B4" w:rsidRPr="00D01DDB" w14:paraId="770CC7B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12F4FD5" w14:textId="77777777" w:rsidR="001925B4" w:rsidRPr="00E9128F" w:rsidRDefault="001925B4">
            <w:pPr>
              <w:rPr>
                <w:rFonts w:cs="Cambria"/>
                <w:szCs w:val="22"/>
              </w:rPr>
            </w:pPr>
            <w:r w:rsidRPr="00E9128F">
              <w:rPr>
                <w:rFonts w:cs="Cambria"/>
                <w:szCs w:val="22"/>
              </w:rPr>
              <w:t xml:space="preserve">DF </w:t>
            </w:r>
          </w:p>
        </w:tc>
        <w:tc>
          <w:tcPr>
            <w:tcW w:w="3792" w:type="pct"/>
          </w:tcPr>
          <w:p w14:paraId="5F1656CC"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Degrees of freedom </w:t>
            </w:r>
          </w:p>
        </w:tc>
      </w:tr>
      <w:tr w:rsidR="001925B4" w:rsidRPr="00D01DDB" w14:paraId="22D6A5B8"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055CD9B" w14:textId="77777777" w:rsidR="001925B4" w:rsidRPr="00E9128F" w:rsidRDefault="001925B4">
            <w:pPr>
              <w:rPr>
                <w:rFonts w:cs="Cambria"/>
                <w:szCs w:val="22"/>
              </w:rPr>
            </w:pPr>
            <w:r w:rsidRPr="00E9128F">
              <w:rPr>
                <w:rFonts w:cs="Cambria"/>
                <w:szCs w:val="22"/>
              </w:rPr>
              <w:t xml:space="preserve">DLT </w:t>
            </w:r>
          </w:p>
        </w:tc>
        <w:tc>
          <w:tcPr>
            <w:tcW w:w="3792" w:type="pct"/>
          </w:tcPr>
          <w:p w14:paraId="36BD9A56"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Dose limiting toxicity </w:t>
            </w:r>
          </w:p>
        </w:tc>
      </w:tr>
      <w:tr w:rsidR="001925B4" w:rsidRPr="00D01DDB" w14:paraId="6B32E5A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FA03A78" w14:textId="77777777" w:rsidR="001925B4" w:rsidRPr="00E9128F" w:rsidRDefault="001925B4">
            <w:pPr>
              <w:rPr>
                <w:rFonts w:cs="Cambria"/>
                <w:szCs w:val="22"/>
              </w:rPr>
            </w:pPr>
            <w:r w:rsidRPr="00E9128F">
              <w:rPr>
                <w:rFonts w:cs="Cambria"/>
                <w:szCs w:val="22"/>
              </w:rPr>
              <w:t xml:space="preserve">DNA </w:t>
            </w:r>
          </w:p>
        </w:tc>
        <w:tc>
          <w:tcPr>
            <w:tcW w:w="3792" w:type="pct"/>
          </w:tcPr>
          <w:p w14:paraId="60EFD107"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Deoxyribonucleic acid </w:t>
            </w:r>
          </w:p>
        </w:tc>
      </w:tr>
      <w:tr w:rsidR="001925B4" w:rsidRPr="00D01DDB" w14:paraId="19D81DBC"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AA188B8" w14:textId="77777777" w:rsidR="001925B4" w:rsidRPr="00E9128F" w:rsidRDefault="001925B4">
            <w:pPr>
              <w:rPr>
                <w:rFonts w:cs="Cambria"/>
                <w:szCs w:val="22"/>
              </w:rPr>
            </w:pPr>
            <w:proofErr w:type="spellStart"/>
            <w:r w:rsidRPr="00E9128F">
              <w:rPr>
                <w:rFonts w:cs="Cambria"/>
                <w:szCs w:val="22"/>
              </w:rPr>
              <w:lastRenderedPageBreak/>
              <w:t>DoR</w:t>
            </w:r>
            <w:proofErr w:type="spellEnd"/>
            <w:r w:rsidRPr="00E9128F">
              <w:rPr>
                <w:rFonts w:cs="Cambria"/>
                <w:szCs w:val="22"/>
              </w:rPr>
              <w:t xml:space="preserve"> </w:t>
            </w:r>
          </w:p>
        </w:tc>
        <w:tc>
          <w:tcPr>
            <w:tcW w:w="3792" w:type="pct"/>
          </w:tcPr>
          <w:p w14:paraId="4206CC4A"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Duration of response </w:t>
            </w:r>
          </w:p>
        </w:tc>
      </w:tr>
      <w:tr w:rsidR="001925B4" w:rsidRPr="00D01DDB" w14:paraId="367C213E"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2F96986" w14:textId="77777777" w:rsidR="001925B4" w:rsidRPr="00E9128F" w:rsidRDefault="001925B4">
            <w:pPr>
              <w:rPr>
                <w:rFonts w:cs="Cambria"/>
                <w:szCs w:val="22"/>
              </w:rPr>
            </w:pPr>
            <w:r w:rsidRPr="00E9128F">
              <w:rPr>
                <w:rFonts w:cs="Cambria"/>
                <w:szCs w:val="22"/>
              </w:rPr>
              <w:t xml:space="preserve">DRR </w:t>
            </w:r>
          </w:p>
        </w:tc>
        <w:tc>
          <w:tcPr>
            <w:tcW w:w="3792" w:type="pct"/>
          </w:tcPr>
          <w:p w14:paraId="05520450"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Durable response rate </w:t>
            </w:r>
          </w:p>
        </w:tc>
      </w:tr>
      <w:tr w:rsidR="001925B4" w:rsidRPr="00D01DDB" w14:paraId="67C5F95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314197F" w14:textId="77777777" w:rsidR="001925B4" w:rsidRPr="00E9128F" w:rsidRDefault="001925B4">
            <w:pPr>
              <w:rPr>
                <w:rFonts w:cs="Cambria"/>
                <w:szCs w:val="22"/>
              </w:rPr>
            </w:pPr>
            <w:r w:rsidRPr="00E9128F">
              <w:rPr>
                <w:rFonts w:cs="Cambria"/>
                <w:szCs w:val="22"/>
              </w:rPr>
              <w:t xml:space="preserve">EBE </w:t>
            </w:r>
          </w:p>
        </w:tc>
        <w:tc>
          <w:tcPr>
            <w:tcW w:w="3792" w:type="pct"/>
          </w:tcPr>
          <w:p w14:paraId="4522EC09"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Empirical Bayes estimate </w:t>
            </w:r>
          </w:p>
        </w:tc>
      </w:tr>
      <w:tr w:rsidR="001925B4" w:rsidRPr="00D01DDB" w14:paraId="27C3B2EE"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0FCA521" w14:textId="77777777" w:rsidR="001925B4" w:rsidRPr="00E9128F" w:rsidRDefault="001925B4">
            <w:pPr>
              <w:rPr>
                <w:rFonts w:cs="Cambria"/>
                <w:szCs w:val="22"/>
              </w:rPr>
            </w:pPr>
            <w:r w:rsidRPr="00E9128F">
              <w:rPr>
                <w:rFonts w:cs="Cambria"/>
                <w:szCs w:val="22"/>
              </w:rPr>
              <w:t xml:space="preserve">EC </w:t>
            </w:r>
          </w:p>
        </w:tc>
        <w:tc>
          <w:tcPr>
            <w:tcW w:w="3792" w:type="pct"/>
          </w:tcPr>
          <w:p w14:paraId="6757A0E1"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Exclusion criteria </w:t>
            </w:r>
          </w:p>
        </w:tc>
      </w:tr>
      <w:tr w:rsidR="001925B4" w:rsidRPr="00D01DDB" w14:paraId="0814F725"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9B40A1D" w14:textId="77777777" w:rsidR="001925B4" w:rsidRPr="00E9128F" w:rsidRDefault="001925B4">
            <w:pPr>
              <w:rPr>
                <w:rFonts w:cs="Cambria"/>
                <w:szCs w:val="22"/>
              </w:rPr>
            </w:pPr>
            <w:r w:rsidRPr="00E9128F">
              <w:rPr>
                <w:rFonts w:cs="Cambria"/>
                <w:szCs w:val="22"/>
              </w:rPr>
              <w:t xml:space="preserve">ECG </w:t>
            </w:r>
          </w:p>
        </w:tc>
        <w:tc>
          <w:tcPr>
            <w:tcW w:w="3792" w:type="pct"/>
          </w:tcPr>
          <w:p w14:paraId="2AF4B01C"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Electrocardiogram </w:t>
            </w:r>
          </w:p>
        </w:tc>
      </w:tr>
      <w:tr w:rsidR="001925B4" w:rsidRPr="00D01DDB" w14:paraId="6791227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759F92B" w14:textId="77777777" w:rsidR="001925B4" w:rsidRPr="00E9128F" w:rsidRDefault="001925B4">
            <w:pPr>
              <w:rPr>
                <w:rFonts w:cs="Cambria"/>
                <w:szCs w:val="22"/>
              </w:rPr>
            </w:pPr>
            <w:r w:rsidRPr="00E9128F">
              <w:rPr>
                <w:rFonts w:cs="Cambria"/>
                <w:szCs w:val="22"/>
              </w:rPr>
              <w:t xml:space="preserve">ECHO </w:t>
            </w:r>
          </w:p>
        </w:tc>
        <w:tc>
          <w:tcPr>
            <w:tcW w:w="3792" w:type="pct"/>
          </w:tcPr>
          <w:p w14:paraId="41B8BF56"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Echocardiogram </w:t>
            </w:r>
          </w:p>
        </w:tc>
      </w:tr>
      <w:tr w:rsidR="001925B4" w:rsidRPr="00D01DDB" w14:paraId="13EC4A80"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5E4932A" w14:textId="77777777" w:rsidR="001925B4" w:rsidRPr="00E9128F" w:rsidRDefault="001925B4">
            <w:pPr>
              <w:rPr>
                <w:rFonts w:cs="Cambria"/>
                <w:szCs w:val="22"/>
              </w:rPr>
            </w:pPr>
            <w:r w:rsidRPr="00E9128F">
              <w:rPr>
                <w:rFonts w:cs="Cambria"/>
                <w:szCs w:val="22"/>
              </w:rPr>
              <w:t xml:space="preserve">ECOG </w:t>
            </w:r>
          </w:p>
        </w:tc>
        <w:tc>
          <w:tcPr>
            <w:tcW w:w="3792" w:type="pct"/>
          </w:tcPr>
          <w:p w14:paraId="6CEE7ADC"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Eastern Cooperative Oncology Group </w:t>
            </w:r>
          </w:p>
        </w:tc>
      </w:tr>
      <w:tr w:rsidR="001925B4" w:rsidRPr="00D01DDB" w14:paraId="7C913F6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AF2DEA6" w14:textId="77777777" w:rsidR="001925B4" w:rsidRPr="00E9128F" w:rsidRDefault="001925B4">
            <w:pPr>
              <w:rPr>
                <w:rFonts w:cs="Cambria"/>
                <w:szCs w:val="22"/>
              </w:rPr>
            </w:pPr>
            <w:r w:rsidRPr="00E9128F">
              <w:rPr>
                <w:rFonts w:cs="Cambria"/>
                <w:szCs w:val="22"/>
              </w:rPr>
              <w:t xml:space="preserve">ECOG PS </w:t>
            </w:r>
          </w:p>
        </w:tc>
        <w:tc>
          <w:tcPr>
            <w:tcW w:w="3792" w:type="pct"/>
          </w:tcPr>
          <w:p w14:paraId="02547175"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Eastern Cooperative Oncology Group performance status </w:t>
            </w:r>
          </w:p>
        </w:tc>
      </w:tr>
      <w:tr w:rsidR="001925B4" w:rsidRPr="00D01DDB" w14:paraId="0E35FECB"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B39A769" w14:textId="77777777" w:rsidR="001925B4" w:rsidRPr="00E9128F" w:rsidRDefault="001925B4">
            <w:pPr>
              <w:rPr>
                <w:rFonts w:cs="Cambria"/>
                <w:szCs w:val="22"/>
              </w:rPr>
            </w:pPr>
            <w:r w:rsidRPr="00E9128F">
              <w:rPr>
                <w:rFonts w:cs="Cambria"/>
                <w:szCs w:val="22"/>
              </w:rPr>
              <w:t xml:space="preserve">EBE </w:t>
            </w:r>
          </w:p>
        </w:tc>
        <w:tc>
          <w:tcPr>
            <w:tcW w:w="3792" w:type="pct"/>
          </w:tcPr>
          <w:p w14:paraId="1DD84E06"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Empirical Bayes estimate </w:t>
            </w:r>
          </w:p>
        </w:tc>
      </w:tr>
      <w:tr w:rsidR="001925B4" w:rsidRPr="00D01DDB" w14:paraId="422572D7"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87C7794" w14:textId="77777777" w:rsidR="001925B4" w:rsidRPr="00E9128F" w:rsidRDefault="001925B4">
            <w:pPr>
              <w:rPr>
                <w:rFonts w:cs="Cambria"/>
                <w:szCs w:val="22"/>
              </w:rPr>
            </w:pPr>
            <w:r w:rsidRPr="00E9128F">
              <w:rPr>
                <w:rFonts w:cs="Cambria"/>
                <w:szCs w:val="22"/>
              </w:rPr>
              <w:t xml:space="preserve">EORTC </w:t>
            </w:r>
          </w:p>
        </w:tc>
        <w:tc>
          <w:tcPr>
            <w:tcW w:w="3792" w:type="pct"/>
          </w:tcPr>
          <w:p w14:paraId="6A044DB1"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E9128F">
              <w:rPr>
                <w:rFonts w:cs="Cambria"/>
                <w:szCs w:val="22"/>
              </w:rPr>
              <w:t xml:space="preserve">European Organisation for Research and Treatment of Cancer </w:t>
            </w:r>
          </w:p>
        </w:tc>
      </w:tr>
      <w:tr w:rsidR="001925B4" w:rsidRPr="00D01DDB" w14:paraId="62778ED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1B37F64" w14:textId="77777777" w:rsidR="001925B4" w:rsidRPr="00E9128F" w:rsidRDefault="001925B4">
            <w:pPr>
              <w:rPr>
                <w:rFonts w:cs="Cambria"/>
                <w:szCs w:val="22"/>
              </w:rPr>
            </w:pPr>
            <w:r w:rsidRPr="00F1607B">
              <w:rPr>
                <w:rFonts w:cs="Cambria"/>
                <w:szCs w:val="22"/>
              </w:rPr>
              <w:t xml:space="preserve">EORTC QLQ-BR23 </w:t>
            </w:r>
          </w:p>
        </w:tc>
        <w:tc>
          <w:tcPr>
            <w:tcW w:w="3792" w:type="pct"/>
          </w:tcPr>
          <w:p w14:paraId="4E2AFEA3"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EORTC Quality of Life questionnaire breast cancer specific module </w:t>
            </w:r>
          </w:p>
        </w:tc>
      </w:tr>
      <w:tr w:rsidR="001925B4" w:rsidRPr="00D01DDB" w14:paraId="626771B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FB020A8" w14:textId="77777777" w:rsidR="001925B4" w:rsidRPr="00E9128F" w:rsidRDefault="001925B4">
            <w:pPr>
              <w:rPr>
                <w:rFonts w:cs="Cambria"/>
                <w:szCs w:val="22"/>
              </w:rPr>
            </w:pPr>
            <w:r w:rsidRPr="00F1607B">
              <w:rPr>
                <w:rFonts w:cs="Cambria"/>
                <w:szCs w:val="22"/>
              </w:rPr>
              <w:t xml:space="preserve">EORTC QLQ-C30 </w:t>
            </w:r>
          </w:p>
        </w:tc>
        <w:tc>
          <w:tcPr>
            <w:tcW w:w="3792" w:type="pct"/>
          </w:tcPr>
          <w:p w14:paraId="42E1903E" w14:textId="77777777" w:rsidR="001925B4" w:rsidRPr="00E9128F"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EORTC Quality of Life questionnaire core 30 items </w:t>
            </w:r>
          </w:p>
        </w:tc>
      </w:tr>
      <w:tr w:rsidR="001925B4" w:rsidRPr="00D01DDB" w14:paraId="6653325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58349FC" w14:textId="77777777" w:rsidR="001925B4" w:rsidRPr="00F1607B" w:rsidRDefault="001925B4">
            <w:pPr>
              <w:rPr>
                <w:rFonts w:cs="Cambria"/>
                <w:szCs w:val="22"/>
              </w:rPr>
            </w:pPr>
            <w:r w:rsidRPr="00F1607B">
              <w:rPr>
                <w:rFonts w:cs="Cambria"/>
                <w:szCs w:val="22"/>
              </w:rPr>
              <w:t xml:space="preserve">EQ-5D </w:t>
            </w:r>
          </w:p>
        </w:tc>
        <w:tc>
          <w:tcPr>
            <w:tcW w:w="3792" w:type="pct"/>
          </w:tcPr>
          <w:p w14:paraId="08BA18B9"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European Quality of Life 5-Domain </w:t>
            </w:r>
          </w:p>
        </w:tc>
      </w:tr>
      <w:tr w:rsidR="001925B4" w:rsidRPr="00D01DDB" w14:paraId="12F3AFE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0BE47B6" w14:textId="77777777" w:rsidR="001925B4" w:rsidRPr="00F1607B" w:rsidRDefault="001925B4">
            <w:pPr>
              <w:rPr>
                <w:rFonts w:cs="Cambria"/>
                <w:szCs w:val="22"/>
              </w:rPr>
            </w:pPr>
            <w:r w:rsidRPr="00F1607B">
              <w:rPr>
                <w:rFonts w:cs="Cambria"/>
                <w:szCs w:val="22"/>
              </w:rPr>
              <w:t xml:space="preserve">EQ-5D-5L </w:t>
            </w:r>
          </w:p>
        </w:tc>
        <w:tc>
          <w:tcPr>
            <w:tcW w:w="3792" w:type="pct"/>
          </w:tcPr>
          <w:p w14:paraId="3ED1D561"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European Quality of Life 5-Domain 5-level scale </w:t>
            </w:r>
          </w:p>
        </w:tc>
      </w:tr>
      <w:tr w:rsidR="001925B4" w:rsidRPr="00D01DDB" w14:paraId="3B6B697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9B0C7BA" w14:textId="77777777" w:rsidR="001925B4" w:rsidRPr="00F1607B" w:rsidRDefault="001925B4">
            <w:pPr>
              <w:rPr>
                <w:rFonts w:cs="Cambria"/>
                <w:szCs w:val="22"/>
              </w:rPr>
            </w:pPr>
            <w:r w:rsidRPr="00F1607B">
              <w:rPr>
                <w:rFonts w:cs="Cambria"/>
                <w:szCs w:val="22"/>
              </w:rPr>
              <w:t xml:space="preserve">EQ-VAS </w:t>
            </w:r>
          </w:p>
        </w:tc>
        <w:tc>
          <w:tcPr>
            <w:tcW w:w="3792" w:type="pct"/>
          </w:tcPr>
          <w:p w14:paraId="7DEAFFFC"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European Quality of Life visual analogue scale </w:t>
            </w:r>
          </w:p>
        </w:tc>
      </w:tr>
      <w:tr w:rsidR="001925B4" w:rsidRPr="00D01DDB" w14:paraId="7CCDEE8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2B920D8" w14:textId="77777777" w:rsidR="001925B4" w:rsidRPr="00F1607B" w:rsidRDefault="001925B4">
            <w:pPr>
              <w:rPr>
                <w:rFonts w:cs="Cambria"/>
                <w:szCs w:val="22"/>
              </w:rPr>
            </w:pPr>
            <w:r w:rsidRPr="00F1607B">
              <w:rPr>
                <w:rFonts w:cs="Cambria"/>
                <w:szCs w:val="22"/>
              </w:rPr>
              <w:t xml:space="preserve">ER </w:t>
            </w:r>
          </w:p>
        </w:tc>
        <w:tc>
          <w:tcPr>
            <w:tcW w:w="3792" w:type="pct"/>
          </w:tcPr>
          <w:p w14:paraId="332DBD8F"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Oestrogen receptor </w:t>
            </w:r>
          </w:p>
        </w:tc>
      </w:tr>
      <w:tr w:rsidR="001925B4" w:rsidRPr="00D01DDB" w14:paraId="35DD5977"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3450AF0" w14:textId="77777777" w:rsidR="001925B4" w:rsidRPr="00F1607B" w:rsidRDefault="001925B4">
            <w:pPr>
              <w:rPr>
                <w:rFonts w:cs="Cambria"/>
                <w:szCs w:val="22"/>
              </w:rPr>
            </w:pPr>
            <w:r w:rsidRPr="00F1607B">
              <w:rPr>
                <w:rFonts w:cs="Cambria"/>
                <w:szCs w:val="22"/>
              </w:rPr>
              <w:t xml:space="preserve">ER+ </w:t>
            </w:r>
          </w:p>
        </w:tc>
        <w:tc>
          <w:tcPr>
            <w:tcW w:w="3792" w:type="pct"/>
          </w:tcPr>
          <w:p w14:paraId="0AC154C2"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Oestrogen receptor-positive </w:t>
            </w:r>
          </w:p>
        </w:tc>
      </w:tr>
      <w:tr w:rsidR="001925B4" w:rsidRPr="00D01DDB" w14:paraId="04BE4297"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7BE038A" w14:textId="77777777" w:rsidR="001925B4" w:rsidRPr="00F1607B" w:rsidRDefault="001925B4">
            <w:pPr>
              <w:rPr>
                <w:rFonts w:cs="Cambria"/>
                <w:szCs w:val="22"/>
              </w:rPr>
            </w:pPr>
            <w:r w:rsidRPr="00F1607B">
              <w:rPr>
                <w:rFonts w:cs="Cambria"/>
                <w:szCs w:val="22"/>
              </w:rPr>
              <w:t xml:space="preserve">ER- </w:t>
            </w:r>
          </w:p>
        </w:tc>
        <w:tc>
          <w:tcPr>
            <w:tcW w:w="3792" w:type="pct"/>
          </w:tcPr>
          <w:p w14:paraId="1F9A7D1B"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Oestrogen receptor-negative </w:t>
            </w:r>
          </w:p>
        </w:tc>
      </w:tr>
      <w:tr w:rsidR="001925B4" w:rsidRPr="00D01DDB" w14:paraId="232A043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20D3CCD" w14:textId="77777777" w:rsidR="001925B4" w:rsidRPr="00F1607B" w:rsidRDefault="001925B4">
            <w:pPr>
              <w:rPr>
                <w:rFonts w:cs="Cambria"/>
                <w:szCs w:val="22"/>
              </w:rPr>
            </w:pPr>
            <w:r w:rsidRPr="00F1607B">
              <w:rPr>
                <w:rFonts w:cs="Cambria"/>
                <w:szCs w:val="22"/>
              </w:rPr>
              <w:t xml:space="preserve">FAS </w:t>
            </w:r>
          </w:p>
        </w:tc>
        <w:tc>
          <w:tcPr>
            <w:tcW w:w="3792" w:type="pct"/>
          </w:tcPr>
          <w:p w14:paraId="20E242D1"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Full analysis set </w:t>
            </w:r>
          </w:p>
        </w:tc>
      </w:tr>
      <w:tr w:rsidR="001925B4" w:rsidRPr="00D01DDB" w14:paraId="7E80BD9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DEFDBD1" w14:textId="77777777" w:rsidR="001925B4" w:rsidRPr="00F1607B" w:rsidRDefault="001925B4">
            <w:pPr>
              <w:rPr>
                <w:rFonts w:cs="Cambria"/>
                <w:szCs w:val="22"/>
              </w:rPr>
            </w:pPr>
            <w:r w:rsidRPr="00F1607B">
              <w:rPr>
                <w:rFonts w:cs="Cambria"/>
                <w:szCs w:val="22"/>
              </w:rPr>
              <w:t xml:space="preserve">FDA </w:t>
            </w:r>
          </w:p>
        </w:tc>
        <w:tc>
          <w:tcPr>
            <w:tcW w:w="3792" w:type="pct"/>
          </w:tcPr>
          <w:p w14:paraId="15D098C0"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Food and Drug Administration </w:t>
            </w:r>
          </w:p>
        </w:tc>
      </w:tr>
      <w:tr w:rsidR="001925B4" w:rsidRPr="00D01DDB" w14:paraId="4426930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BF61A68" w14:textId="77777777" w:rsidR="001925B4" w:rsidRPr="00F1607B" w:rsidRDefault="001925B4">
            <w:pPr>
              <w:rPr>
                <w:rFonts w:cs="Cambria"/>
                <w:szCs w:val="22"/>
              </w:rPr>
            </w:pPr>
            <w:r w:rsidRPr="00F1607B">
              <w:rPr>
                <w:rFonts w:cs="Cambria"/>
                <w:szCs w:val="22"/>
              </w:rPr>
              <w:t xml:space="preserve">FFPE </w:t>
            </w:r>
          </w:p>
        </w:tc>
        <w:tc>
          <w:tcPr>
            <w:tcW w:w="3792" w:type="pct"/>
          </w:tcPr>
          <w:p w14:paraId="1B5FC573"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Formalin-fixed paraffin-embedded </w:t>
            </w:r>
          </w:p>
        </w:tc>
      </w:tr>
      <w:tr w:rsidR="001925B4" w:rsidRPr="00D01DDB" w14:paraId="3C8627C4"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6E48ED4" w14:textId="77777777" w:rsidR="001925B4" w:rsidRPr="00F1607B" w:rsidRDefault="001925B4">
            <w:pPr>
              <w:rPr>
                <w:rFonts w:cs="Cambria"/>
                <w:szCs w:val="22"/>
              </w:rPr>
            </w:pPr>
            <w:r w:rsidRPr="00F1607B">
              <w:rPr>
                <w:rFonts w:cs="Cambria"/>
                <w:szCs w:val="22"/>
              </w:rPr>
              <w:t xml:space="preserve">FSK </w:t>
            </w:r>
          </w:p>
        </w:tc>
        <w:tc>
          <w:tcPr>
            <w:tcW w:w="3792" w:type="pct"/>
          </w:tcPr>
          <w:p w14:paraId="59480F77"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Follicle stimulating hormone </w:t>
            </w:r>
          </w:p>
        </w:tc>
      </w:tr>
      <w:tr w:rsidR="001925B4" w:rsidRPr="00D01DDB" w14:paraId="36E7C55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1B05463" w14:textId="77777777" w:rsidR="001925B4" w:rsidRPr="00F1607B" w:rsidRDefault="001925B4">
            <w:pPr>
              <w:rPr>
                <w:rFonts w:cs="Cambria"/>
                <w:szCs w:val="22"/>
              </w:rPr>
            </w:pPr>
            <w:r w:rsidRPr="00F1607B">
              <w:rPr>
                <w:rFonts w:cs="Cambria"/>
                <w:szCs w:val="22"/>
              </w:rPr>
              <w:t xml:space="preserve">GCP </w:t>
            </w:r>
          </w:p>
        </w:tc>
        <w:tc>
          <w:tcPr>
            <w:tcW w:w="3792" w:type="pct"/>
          </w:tcPr>
          <w:p w14:paraId="64A206B2"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Good Clinical Practice </w:t>
            </w:r>
          </w:p>
        </w:tc>
      </w:tr>
      <w:tr w:rsidR="001925B4" w:rsidRPr="00D01DDB" w14:paraId="648F0440"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48B6470" w14:textId="77777777" w:rsidR="001925B4" w:rsidRPr="00F1607B" w:rsidRDefault="001925B4">
            <w:pPr>
              <w:rPr>
                <w:rFonts w:cs="Cambria"/>
                <w:szCs w:val="22"/>
              </w:rPr>
            </w:pPr>
            <w:r w:rsidRPr="00F1607B">
              <w:rPr>
                <w:rFonts w:cs="Cambria"/>
                <w:szCs w:val="22"/>
              </w:rPr>
              <w:t xml:space="preserve">GGT </w:t>
            </w:r>
          </w:p>
        </w:tc>
        <w:tc>
          <w:tcPr>
            <w:tcW w:w="3792" w:type="pct"/>
          </w:tcPr>
          <w:p w14:paraId="22990CDB"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γ glutamyl transferase </w:t>
            </w:r>
          </w:p>
        </w:tc>
      </w:tr>
      <w:tr w:rsidR="001925B4" w:rsidRPr="00D01DDB" w14:paraId="614CE81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DA2EB28" w14:textId="77777777" w:rsidR="001925B4" w:rsidRPr="00F1607B" w:rsidRDefault="001925B4">
            <w:pPr>
              <w:rPr>
                <w:rFonts w:cs="Cambria"/>
                <w:szCs w:val="22"/>
              </w:rPr>
            </w:pPr>
            <w:r w:rsidRPr="00F1607B">
              <w:rPr>
                <w:rFonts w:cs="Cambria"/>
                <w:szCs w:val="22"/>
              </w:rPr>
              <w:t xml:space="preserve">GMR </w:t>
            </w:r>
          </w:p>
        </w:tc>
        <w:tc>
          <w:tcPr>
            <w:tcW w:w="3792" w:type="pct"/>
          </w:tcPr>
          <w:p w14:paraId="4E244A8D"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Geometric mean ratio </w:t>
            </w:r>
          </w:p>
        </w:tc>
      </w:tr>
      <w:tr w:rsidR="001925B4" w:rsidRPr="00D01DDB" w14:paraId="22641AB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E700D79" w14:textId="77777777" w:rsidR="001925B4" w:rsidRPr="00F1607B" w:rsidRDefault="001925B4">
            <w:pPr>
              <w:rPr>
                <w:rFonts w:cs="Cambria"/>
                <w:szCs w:val="22"/>
              </w:rPr>
            </w:pPr>
            <w:r w:rsidRPr="00F1607B">
              <w:rPr>
                <w:rFonts w:cs="Cambria"/>
                <w:szCs w:val="22"/>
              </w:rPr>
              <w:t xml:space="preserve">GOF </w:t>
            </w:r>
          </w:p>
        </w:tc>
        <w:tc>
          <w:tcPr>
            <w:tcW w:w="3792" w:type="pct"/>
          </w:tcPr>
          <w:p w14:paraId="0BC1BC5E"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Goodness of fit </w:t>
            </w:r>
          </w:p>
        </w:tc>
      </w:tr>
      <w:tr w:rsidR="001925B4" w:rsidRPr="00D01DDB" w14:paraId="662BF59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561E400" w14:textId="77777777" w:rsidR="001925B4" w:rsidRPr="00F1607B" w:rsidRDefault="001925B4">
            <w:pPr>
              <w:rPr>
                <w:rFonts w:cs="Cambria"/>
                <w:szCs w:val="22"/>
              </w:rPr>
            </w:pPr>
            <w:r w:rsidRPr="00F1607B">
              <w:rPr>
                <w:rFonts w:cs="Cambria"/>
                <w:szCs w:val="22"/>
              </w:rPr>
              <w:t xml:space="preserve">HbA1c </w:t>
            </w:r>
          </w:p>
        </w:tc>
        <w:tc>
          <w:tcPr>
            <w:tcW w:w="3792" w:type="pct"/>
          </w:tcPr>
          <w:p w14:paraId="4774C810"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Glycosylated haemoglobin </w:t>
            </w:r>
          </w:p>
        </w:tc>
      </w:tr>
      <w:tr w:rsidR="001925B4" w:rsidRPr="00D01DDB" w14:paraId="4A1A7F9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F796B49" w14:textId="77777777" w:rsidR="001925B4" w:rsidRPr="00F1607B" w:rsidRDefault="001925B4">
            <w:pPr>
              <w:rPr>
                <w:rFonts w:cs="Cambria"/>
                <w:szCs w:val="22"/>
              </w:rPr>
            </w:pPr>
            <w:r w:rsidRPr="00F1607B">
              <w:rPr>
                <w:rFonts w:cs="Cambria"/>
                <w:szCs w:val="22"/>
              </w:rPr>
              <w:t xml:space="preserve">HBV </w:t>
            </w:r>
          </w:p>
        </w:tc>
        <w:tc>
          <w:tcPr>
            <w:tcW w:w="3792" w:type="pct"/>
          </w:tcPr>
          <w:p w14:paraId="3015A9A9"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Hepatitis B virus </w:t>
            </w:r>
          </w:p>
        </w:tc>
      </w:tr>
      <w:tr w:rsidR="001925B4" w:rsidRPr="00D01DDB" w14:paraId="2D2AF44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59D19AB" w14:textId="77777777" w:rsidR="001925B4" w:rsidRPr="00F1607B" w:rsidRDefault="001925B4">
            <w:pPr>
              <w:rPr>
                <w:rFonts w:cs="Cambria"/>
                <w:szCs w:val="22"/>
              </w:rPr>
            </w:pPr>
            <w:r w:rsidRPr="00F1607B">
              <w:rPr>
                <w:rFonts w:cs="Cambria"/>
                <w:szCs w:val="22"/>
              </w:rPr>
              <w:t xml:space="preserve">HDL </w:t>
            </w:r>
          </w:p>
        </w:tc>
        <w:tc>
          <w:tcPr>
            <w:tcW w:w="3792" w:type="pct"/>
          </w:tcPr>
          <w:p w14:paraId="26EEAB36"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High-density lipoprotein </w:t>
            </w:r>
          </w:p>
        </w:tc>
      </w:tr>
      <w:tr w:rsidR="001925B4" w:rsidRPr="00D01DDB" w14:paraId="113929A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3EA5ACD" w14:textId="77777777" w:rsidR="001925B4" w:rsidRPr="00F1607B" w:rsidRDefault="001925B4">
            <w:pPr>
              <w:rPr>
                <w:rFonts w:cs="Cambria"/>
                <w:szCs w:val="22"/>
              </w:rPr>
            </w:pPr>
            <w:r w:rsidRPr="00F1607B">
              <w:rPr>
                <w:rFonts w:cs="Cambria"/>
                <w:szCs w:val="22"/>
              </w:rPr>
              <w:t xml:space="preserve">HER2 </w:t>
            </w:r>
          </w:p>
        </w:tc>
        <w:tc>
          <w:tcPr>
            <w:tcW w:w="3792" w:type="pct"/>
          </w:tcPr>
          <w:p w14:paraId="30AA52D9"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Human epidermal growth factor 2 </w:t>
            </w:r>
          </w:p>
        </w:tc>
      </w:tr>
      <w:tr w:rsidR="001925B4" w:rsidRPr="00D01DDB" w14:paraId="14B5799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8FF7E79" w14:textId="77777777" w:rsidR="001925B4" w:rsidRPr="00F1607B" w:rsidRDefault="001925B4">
            <w:pPr>
              <w:rPr>
                <w:rFonts w:cs="Cambria"/>
                <w:szCs w:val="22"/>
              </w:rPr>
            </w:pPr>
            <w:r w:rsidRPr="00F1607B">
              <w:rPr>
                <w:rFonts w:cs="Cambria"/>
                <w:szCs w:val="22"/>
              </w:rPr>
              <w:t xml:space="preserve">HER2- </w:t>
            </w:r>
          </w:p>
        </w:tc>
        <w:tc>
          <w:tcPr>
            <w:tcW w:w="3792" w:type="pct"/>
          </w:tcPr>
          <w:p w14:paraId="5CA3D87F"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Human epidermal growth factor 2-negative </w:t>
            </w:r>
          </w:p>
        </w:tc>
      </w:tr>
      <w:tr w:rsidR="001925B4" w:rsidRPr="00D01DDB" w14:paraId="3CDD830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106A6EB" w14:textId="77777777" w:rsidR="001925B4" w:rsidRPr="00F1607B" w:rsidRDefault="001925B4">
            <w:pPr>
              <w:rPr>
                <w:rFonts w:cs="Cambria"/>
                <w:szCs w:val="22"/>
              </w:rPr>
            </w:pPr>
            <w:r w:rsidRPr="00F1607B">
              <w:rPr>
                <w:rFonts w:cs="Cambria"/>
                <w:szCs w:val="22"/>
              </w:rPr>
              <w:t xml:space="preserve">HIV </w:t>
            </w:r>
          </w:p>
        </w:tc>
        <w:tc>
          <w:tcPr>
            <w:tcW w:w="3792" w:type="pct"/>
          </w:tcPr>
          <w:p w14:paraId="473E5206"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Human immunodeficiency virus </w:t>
            </w:r>
          </w:p>
        </w:tc>
      </w:tr>
      <w:tr w:rsidR="001925B4" w:rsidRPr="00D01DDB" w14:paraId="65BAB2D7"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8F95F85" w14:textId="77777777" w:rsidR="001925B4" w:rsidRPr="00F1607B" w:rsidRDefault="001925B4">
            <w:pPr>
              <w:rPr>
                <w:rFonts w:cs="Cambria"/>
                <w:szCs w:val="22"/>
              </w:rPr>
            </w:pPr>
            <w:r w:rsidRPr="00F1607B">
              <w:rPr>
                <w:rFonts w:cs="Cambria"/>
                <w:szCs w:val="22"/>
              </w:rPr>
              <w:t xml:space="preserve">HMG-CoA </w:t>
            </w:r>
          </w:p>
        </w:tc>
        <w:tc>
          <w:tcPr>
            <w:tcW w:w="3792" w:type="pct"/>
          </w:tcPr>
          <w:p w14:paraId="31D223F8"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3-hydroxy-3-methylglutaryl coenzyme A </w:t>
            </w:r>
          </w:p>
        </w:tc>
      </w:tr>
      <w:tr w:rsidR="001925B4" w:rsidRPr="00D01DDB" w14:paraId="17A8C45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66BC277" w14:textId="77777777" w:rsidR="001925B4" w:rsidRPr="00F1607B" w:rsidRDefault="001925B4">
            <w:pPr>
              <w:rPr>
                <w:rFonts w:cs="Cambria"/>
                <w:szCs w:val="22"/>
              </w:rPr>
            </w:pPr>
            <w:r w:rsidRPr="00F1607B">
              <w:rPr>
                <w:rFonts w:cs="Cambria"/>
                <w:szCs w:val="22"/>
              </w:rPr>
              <w:lastRenderedPageBreak/>
              <w:t xml:space="preserve">HR </w:t>
            </w:r>
          </w:p>
        </w:tc>
        <w:tc>
          <w:tcPr>
            <w:tcW w:w="3792" w:type="pct"/>
          </w:tcPr>
          <w:p w14:paraId="2F101956"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Hazard ratio </w:t>
            </w:r>
          </w:p>
        </w:tc>
      </w:tr>
      <w:tr w:rsidR="001925B4" w:rsidRPr="00D01DDB" w14:paraId="785B68E7"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08238F8" w14:textId="77777777" w:rsidR="001925B4" w:rsidRPr="00F1607B" w:rsidRDefault="001925B4">
            <w:pPr>
              <w:rPr>
                <w:rFonts w:cs="Cambria"/>
                <w:szCs w:val="22"/>
              </w:rPr>
            </w:pPr>
            <w:r w:rsidRPr="00F1607B">
              <w:rPr>
                <w:rFonts w:cs="Cambria"/>
                <w:szCs w:val="22"/>
              </w:rPr>
              <w:t xml:space="preserve">HR </w:t>
            </w:r>
          </w:p>
        </w:tc>
        <w:tc>
          <w:tcPr>
            <w:tcW w:w="3792" w:type="pct"/>
          </w:tcPr>
          <w:p w14:paraId="5ED04E5F"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Hormone receptor </w:t>
            </w:r>
          </w:p>
        </w:tc>
      </w:tr>
      <w:tr w:rsidR="001925B4" w:rsidRPr="00D01DDB" w14:paraId="0B14400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5D45050" w14:textId="77777777" w:rsidR="001925B4" w:rsidRPr="00F1607B" w:rsidRDefault="001925B4">
            <w:pPr>
              <w:rPr>
                <w:rFonts w:cs="Cambria"/>
                <w:szCs w:val="22"/>
              </w:rPr>
            </w:pPr>
            <w:r w:rsidRPr="00F1607B">
              <w:rPr>
                <w:rFonts w:cs="Cambria"/>
                <w:szCs w:val="22"/>
              </w:rPr>
              <w:t xml:space="preserve">HR+ </w:t>
            </w:r>
          </w:p>
        </w:tc>
        <w:tc>
          <w:tcPr>
            <w:tcW w:w="3792" w:type="pct"/>
          </w:tcPr>
          <w:p w14:paraId="1D1A0A92"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Hormone receptor-positive </w:t>
            </w:r>
          </w:p>
        </w:tc>
      </w:tr>
      <w:tr w:rsidR="001925B4" w:rsidRPr="00D01DDB" w14:paraId="19D135E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2E94734" w14:textId="77777777" w:rsidR="001925B4" w:rsidRPr="00F1607B" w:rsidRDefault="001925B4">
            <w:pPr>
              <w:rPr>
                <w:rFonts w:cs="Cambria"/>
                <w:szCs w:val="22"/>
              </w:rPr>
            </w:pPr>
            <w:r w:rsidRPr="00F1607B">
              <w:rPr>
                <w:rFonts w:cs="Cambria"/>
                <w:szCs w:val="22"/>
              </w:rPr>
              <w:t xml:space="preserve">HR+/HER2- </w:t>
            </w:r>
          </w:p>
        </w:tc>
        <w:tc>
          <w:tcPr>
            <w:tcW w:w="3792" w:type="pct"/>
          </w:tcPr>
          <w:p w14:paraId="6A5D56A0"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Hormone receptor-positive, human epidermal growth factor receptor 2 negative </w:t>
            </w:r>
          </w:p>
        </w:tc>
      </w:tr>
      <w:tr w:rsidR="001925B4" w:rsidRPr="00D01DDB" w14:paraId="3EF6EEC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A0EC454" w14:textId="77777777" w:rsidR="001925B4" w:rsidRPr="00F1607B" w:rsidRDefault="001925B4">
            <w:pPr>
              <w:rPr>
                <w:rFonts w:cs="Cambria"/>
                <w:szCs w:val="22"/>
              </w:rPr>
            </w:pPr>
            <w:proofErr w:type="spellStart"/>
            <w:r w:rsidRPr="00F1607B">
              <w:rPr>
                <w:rFonts w:cs="Cambria"/>
                <w:szCs w:val="22"/>
              </w:rPr>
              <w:t>HRQoL</w:t>
            </w:r>
            <w:proofErr w:type="spellEnd"/>
            <w:r w:rsidRPr="00F1607B">
              <w:rPr>
                <w:rFonts w:cs="Cambria"/>
                <w:szCs w:val="22"/>
              </w:rPr>
              <w:t xml:space="preserve"> </w:t>
            </w:r>
          </w:p>
        </w:tc>
        <w:tc>
          <w:tcPr>
            <w:tcW w:w="3792" w:type="pct"/>
          </w:tcPr>
          <w:p w14:paraId="738E8E53"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Health-related quality of life </w:t>
            </w:r>
          </w:p>
        </w:tc>
      </w:tr>
      <w:tr w:rsidR="001925B4" w:rsidRPr="00D01DDB" w14:paraId="0011C38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2322B78" w14:textId="77777777" w:rsidR="001925B4" w:rsidRPr="00F1607B" w:rsidRDefault="001925B4">
            <w:pPr>
              <w:rPr>
                <w:rFonts w:cs="Cambria"/>
                <w:szCs w:val="22"/>
              </w:rPr>
            </w:pPr>
            <w:r w:rsidRPr="00F1607B">
              <w:rPr>
                <w:rFonts w:cs="Cambria"/>
                <w:szCs w:val="22"/>
              </w:rPr>
              <w:t xml:space="preserve">IB </w:t>
            </w:r>
          </w:p>
        </w:tc>
        <w:tc>
          <w:tcPr>
            <w:tcW w:w="3792" w:type="pct"/>
          </w:tcPr>
          <w:p w14:paraId="79BA6DC3"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Investigator’s brochure </w:t>
            </w:r>
          </w:p>
        </w:tc>
      </w:tr>
      <w:tr w:rsidR="001925B4" w:rsidRPr="00D01DDB" w14:paraId="54219E0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4861AD5" w14:textId="77777777" w:rsidR="001925B4" w:rsidRPr="00F1607B" w:rsidRDefault="001925B4">
            <w:pPr>
              <w:rPr>
                <w:rFonts w:cs="Cambria"/>
                <w:szCs w:val="22"/>
              </w:rPr>
            </w:pPr>
            <w:r w:rsidRPr="00F1607B">
              <w:rPr>
                <w:rFonts w:cs="Cambria"/>
                <w:szCs w:val="22"/>
              </w:rPr>
              <w:t xml:space="preserve">IC </w:t>
            </w:r>
          </w:p>
        </w:tc>
        <w:tc>
          <w:tcPr>
            <w:tcW w:w="3792" w:type="pct"/>
          </w:tcPr>
          <w:p w14:paraId="67C03798"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Inclusion criteria </w:t>
            </w:r>
          </w:p>
        </w:tc>
      </w:tr>
      <w:tr w:rsidR="001925B4" w:rsidRPr="00D01DDB" w14:paraId="66DE252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8B779C3" w14:textId="77777777" w:rsidR="001925B4" w:rsidRPr="00F1607B" w:rsidRDefault="001925B4">
            <w:pPr>
              <w:rPr>
                <w:rFonts w:cs="Cambria"/>
                <w:szCs w:val="22"/>
              </w:rPr>
            </w:pPr>
            <w:r w:rsidRPr="00F1607B">
              <w:rPr>
                <w:rFonts w:cs="Cambria"/>
                <w:szCs w:val="22"/>
              </w:rPr>
              <w:t xml:space="preserve">ICH </w:t>
            </w:r>
          </w:p>
        </w:tc>
        <w:tc>
          <w:tcPr>
            <w:tcW w:w="3792" w:type="pct"/>
          </w:tcPr>
          <w:p w14:paraId="21C6E8D0"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International Council for Harmonisation </w:t>
            </w:r>
          </w:p>
        </w:tc>
      </w:tr>
      <w:tr w:rsidR="001925B4" w:rsidRPr="00D01DDB" w14:paraId="39CDF9B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3449F89" w14:textId="77777777" w:rsidR="001925B4" w:rsidRPr="00F1607B" w:rsidRDefault="001925B4">
            <w:pPr>
              <w:rPr>
                <w:rFonts w:cs="Cambria"/>
                <w:szCs w:val="22"/>
              </w:rPr>
            </w:pPr>
            <w:r w:rsidRPr="00F1607B">
              <w:rPr>
                <w:rFonts w:cs="Cambria"/>
                <w:szCs w:val="22"/>
              </w:rPr>
              <w:t xml:space="preserve">IHC </w:t>
            </w:r>
          </w:p>
        </w:tc>
        <w:tc>
          <w:tcPr>
            <w:tcW w:w="3792" w:type="pct"/>
          </w:tcPr>
          <w:p w14:paraId="2AA93E76"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Immunohistochemistry </w:t>
            </w:r>
          </w:p>
        </w:tc>
      </w:tr>
      <w:tr w:rsidR="001925B4" w:rsidRPr="00D01DDB" w14:paraId="7268345C"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DF22BA3" w14:textId="77777777" w:rsidR="001925B4" w:rsidRPr="00F1607B" w:rsidRDefault="001925B4">
            <w:pPr>
              <w:rPr>
                <w:rFonts w:cs="Cambria"/>
                <w:szCs w:val="22"/>
              </w:rPr>
            </w:pPr>
            <w:r w:rsidRPr="00F1607B">
              <w:rPr>
                <w:rFonts w:cs="Cambria"/>
                <w:szCs w:val="22"/>
              </w:rPr>
              <w:t xml:space="preserve">IIV </w:t>
            </w:r>
          </w:p>
        </w:tc>
        <w:tc>
          <w:tcPr>
            <w:tcW w:w="3792" w:type="pct"/>
          </w:tcPr>
          <w:p w14:paraId="3E80E89A"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Inter-individual variability </w:t>
            </w:r>
          </w:p>
        </w:tc>
      </w:tr>
      <w:tr w:rsidR="001925B4" w:rsidRPr="00D01DDB" w14:paraId="7E3F3C8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2AD9427" w14:textId="77777777" w:rsidR="001925B4" w:rsidRPr="00F1607B" w:rsidRDefault="001925B4">
            <w:pPr>
              <w:rPr>
                <w:rFonts w:cs="Cambria"/>
                <w:szCs w:val="22"/>
              </w:rPr>
            </w:pPr>
            <w:r w:rsidRPr="00F1607B">
              <w:rPr>
                <w:rFonts w:cs="Cambria"/>
                <w:szCs w:val="22"/>
              </w:rPr>
              <w:t xml:space="preserve">IMP </w:t>
            </w:r>
          </w:p>
        </w:tc>
        <w:tc>
          <w:tcPr>
            <w:tcW w:w="3792" w:type="pct"/>
          </w:tcPr>
          <w:p w14:paraId="781950D7"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Investigational medicinal product </w:t>
            </w:r>
          </w:p>
        </w:tc>
      </w:tr>
      <w:tr w:rsidR="001925B4" w:rsidRPr="00D01DDB" w14:paraId="61C6E0F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B0284D3" w14:textId="77777777" w:rsidR="001925B4" w:rsidRPr="00F1607B" w:rsidRDefault="001925B4">
            <w:pPr>
              <w:rPr>
                <w:rFonts w:cs="Cambria"/>
                <w:szCs w:val="22"/>
              </w:rPr>
            </w:pPr>
            <w:r w:rsidRPr="00F1607B">
              <w:rPr>
                <w:rFonts w:cs="Cambria"/>
                <w:szCs w:val="22"/>
              </w:rPr>
              <w:t xml:space="preserve">IgG </w:t>
            </w:r>
          </w:p>
        </w:tc>
        <w:tc>
          <w:tcPr>
            <w:tcW w:w="3792" w:type="pct"/>
          </w:tcPr>
          <w:p w14:paraId="0AAE74E3"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Immunoglobulin G </w:t>
            </w:r>
          </w:p>
        </w:tc>
      </w:tr>
      <w:tr w:rsidR="001925B4" w:rsidRPr="00D01DDB" w14:paraId="0B7FCCE5"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5B1158F" w14:textId="77777777" w:rsidR="001925B4" w:rsidRPr="00F1607B" w:rsidRDefault="001925B4">
            <w:pPr>
              <w:rPr>
                <w:rFonts w:cs="Cambria"/>
                <w:szCs w:val="22"/>
              </w:rPr>
            </w:pPr>
            <w:r w:rsidRPr="00F1607B">
              <w:rPr>
                <w:rFonts w:cs="Cambria"/>
                <w:szCs w:val="22"/>
              </w:rPr>
              <w:t xml:space="preserve">IgM </w:t>
            </w:r>
          </w:p>
        </w:tc>
        <w:tc>
          <w:tcPr>
            <w:tcW w:w="3792" w:type="pct"/>
          </w:tcPr>
          <w:p w14:paraId="1594E0C6"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Immunoglobulin M </w:t>
            </w:r>
          </w:p>
        </w:tc>
      </w:tr>
      <w:tr w:rsidR="001925B4" w:rsidRPr="00D01DDB" w14:paraId="51959D2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0E4332D" w14:textId="77777777" w:rsidR="001925B4" w:rsidRPr="00F1607B" w:rsidRDefault="001925B4">
            <w:pPr>
              <w:rPr>
                <w:rFonts w:cs="Cambria"/>
                <w:szCs w:val="22"/>
              </w:rPr>
            </w:pPr>
            <w:r w:rsidRPr="00F1607B">
              <w:rPr>
                <w:rFonts w:cs="Cambria"/>
                <w:szCs w:val="22"/>
              </w:rPr>
              <w:t xml:space="preserve">IIR </w:t>
            </w:r>
          </w:p>
        </w:tc>
        <w:tc>
          <w:tcPr>
            <w:tcW w:w="3792" w:type="pct"/>
          </w:tcPr>
          <w:p w14:paraId="0D8C11DA"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Important identified risk </w:t>
            </w:r>
          </w:p>
        </w:tc>
      </w:tr>
      <w:tr w:rsidR="001925B4" w:rsidRPr="00D01DDB" w14:paraId="7270555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3B9D905" w14:textId="77777777" w:rsidR="001925B4" w:rsidRPr="00F1607B" w:rsidRDefault="001925B4">
            <w:pPr>
              <w:rPr>
                <w:rFonts w:cs="Cambria"/>
                <w:szCs w:val="22"/>
              </w:rPr>
            </w:pPr>
            <w:r w:rsidRPr="00F1607B">
              <w:rPr>
                <w:rFonts w:cs="Cambria"/>
                <w:szCs w:val="22"/>
              </w:rPr>
              <w:t xml:space="preserve">IPD </w:t>
            </w:r>
          </w:p>
        </w:tc>
        <w:tc>
          <w:tcPr>
            <w:tcW w:w="3792" w:type="pct"/>
          </w:tcPr>
          <w:p w14:paraId="3BC79372"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Important protocol deviation </w:t>
            </w:r>
          </w:p>
        </w:tc>
      </w:tr>
      <w:tr w:rsidR="001925B4" w:rsidRPr="00D01DDB" w14:paraId="51C6B02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A874ED6" w14:textId="77777777" w:rsidR="001925B4" w:rsidRPr="00F1607B" w:rsidRDefault="001925B4">
            <w:pPr>
              <w:rPr>
                <w:rFonts w:cs="Cambria"/>
                <w:szCs w:val="22"/>
              </w:rPr>
            </w:pPr>
            <w:r w:rsidRPr="00F1607B">
              <w:rPr>
                <w:rFonts w:cs="Cambria"/>
                <w:szCs w:val="22"/>
              </w:rPr>
              <w:t xml:space="preserve">IPR </w:t>
            </w:r>
          </w:p>
        </w:tc>
        <w:tc>
          <w:tcPr>
            <w:tcW w:w="3792" w:type="pct"/>
          </w:tcPr>
          <w:p w14:paraId="13E84C60"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Important potential risk </w:t>
            </w:r>
          </w:p>
        </w:tc>
      </w:tr>
      <w:tr w:rsidR="001925B4" w:rsidRPr="00D01DDB" w14:paraId="02EDF17B"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E619C1E" w14:textId="77777777" w:rsidR="001925B4" w:rsidRPr="00F1607B" w:rsidRDefault="001925B4">
            <w:pPr>
              <w:rPr>
                <w:rFonts w:cs="Cambria"/>
                <w:szCs w:val="22"/>
              </w:rPr>
            </w:pPr>
            <w:r w:rsidRPr="00F1607B">
              <w:rPr>
                <w:rFonts w:cs="Cambria"/>
                <w:szCs w:val="22"/>
              </w:rPr>
              <w:t xml:space="preserve">IPRED </w:t>
            </w:r>
          </w:p>
        </w:tc>
        <w:tc>
          <w:tcPr>
            <w:tcW w:w="3792" w:type="pct"/>
          </w:tcPr>
          <w:p w14:paraId="11AF08B6"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Individual predictions </w:t>
            </w:r>
          </w:p>
        </w:tc>
      </w:tr>
      <w:tr w:rsidR="001925B4" w:rsidRPr="00D01DDB" w14:paraId="088BE590"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D55BA78" w14:textId="77777777" w:rsidR="001925B4" w:rsidRPr="00F1607B" w:rsidRDefault="001925B4">
            <w:pPr>
              <w:rPr>
                <w:rFonts w:cs="Cambria"/>
                <w:szCs w:val="22"/>
              </w:rPr>
            </w:pPr>
            <w:r w:rsidRPr="00F1607B">
              <w:rPr>
                <w:rFonts w:cs="Cambria"/>
                <w:szCs w:val="22"/>
              </w:rPr>
              <w:t xml:space="preserve">IQR </w:t>
            </w:r>
          </w:p>
        </w:tc>
        <w:tc>
          <w:tcPr>
            <w:tcW w:w="3792" w:type="pct"/>
          </w:tcPr>
          <w:p w14:paraId="5CDF960A"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Interquartile range </w:t>
            </w:r>
          </w:p>
        </w:tc>
      </w:tr>
      <w:tr w:rsidR="001925B4" w:rsidRPr="00D01DDB" w14:paraId="7204DF28"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9F27650" w14:textId="77777777" w:rsidR="001925B4" w:rsidRPr="00F1607B" w:rsidRDefault="001925B4">
            <w:pPr>
              <w:rPr>
                <w:rFonts w:cs="Cambria"/>
                <w:szCs w:val="22"/>
              </w:rPr>
            </w:pPr>
            <w:r w:rsidRPr="00F1607B">
              <w:rPr>
                <w:rFonts w:cs="Cambria"/>
                <w:szCs w:val="22"/>
              </w:rPr>
              <w:t xml:space="preserve">ISH </w:t>
            </w:r>
          </w:p>
        </w:tc>
        <w:tc>
          <w:tcPr>
            <w:tcW w:w="3792" w:type="pct"/>
          </w:tcPr>
          <w:p w14:paraId="65B1D352"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 situ hybridisation </w:t>
            </w:r>
          </w:p>
        </w:tc>
      </w:tr>
      <w:tr w:rsidR="001925B4" w:rsidRPr="00D01DDB" w14:paraId="64F3D04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FF1F0BA" w14:textId="77777777" w:rsidR="001925B4" w:rsidRPr="00F1607B" w:rsidRDefault="001925B4">
            <w:pPr>
              <w:rPr>
                <w:rFonts w:cs="Cambria"/>
                <w:szCs w:val="22"/>
              </w:rPr>
            </w:pPr>
            <w:r w:rsidRPr="00F1607B">
              <w:rPr>
                <w:rFonts w:cs="Cambria"/>
                <w:szCs w:val="22"/>
              </w:rPr>
              <w:t xml:space="preserve">ITT </w:t>
            </w:r>
          </w:p>
        </w:tc>
        <w:tc>
          <w:tcPr>
            <w:tcW w:w="3792" w:type="pct"/>
          </w:tcPr>
          <w:p w14:paraId="3FACD853"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Intention to treat </w:t>
            </w:r>
          </w:p>
        </w:tc>
      </w:tr>
      <w:tr w:rsidR="001925B4" w:rsidRPr="00D01DDB" w14:paraId="00C84C4B"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88B063E" w14:textId="77777777" w:rsidR="001925B4" w:rsidRPr="00F1607B" w:rsidRDefault="001925B4">
            <w:pPr>
              <w:rPr>
                <w:rFonts w:cs="Cambria"/>
                <w:szCs w:val="22"/>
              </w:rPr>
            </w:pPr>
            <w:r w:rsidRPr="00F1607B">
              <w:rPr>
                <w:rFonts w:cs="Cambria"/>
                <w:szCs w:val="22"/>
              </w:rPr>
              <w:t xml:space="preserve">IV </w:t>
            </w:r>
          </w:p>
        </w:tc>
        <w:tc>
          <w:tcPr>
            <w:tcW w:w="3792" w:type="pct"/>
          </w:tcPr>
          <w:p w14:paraId="087B646D"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Intravenous </w:t>
            </w:r>
          </w:p>
        </w:tc>
      </w:tr>
      <w:tr w:rsidR="001925B4" w:rsidRPr="00D01DDB" w14:paraId="1AB0C30E"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F23908C" w14:textId="77777777" w:rsidR="001925B4" w:rsidRPr="00F1607B" w:rsidRDefault="001925B4">
            <w:pPr>
              <w:rPr>
                <w:rFonts w:cs="Cambria"/>
                <w:szCs w:val="22"/>
              </w:rPr>
            </w:pPr>
            <w:r w:rsidRPr="00F1607B">
              <w:rPr>
                <w:rFonts w:cs="Cambria"/>
                <w:szCs w:val="22"/>
              </w:rPr>
              <w:t xml:space="preserve">IVD </w:t>
            </w:r>
          </w:p>
        </w:tc>
        <w:tc>
          <w:tcPr>
            <w:tcW w:w="3792" w:type="pct"/>
          </w:tcPr>
          <w:p w14:paraId="326D0049"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 vitro diagnostic </w:t>
            </w:r>
          </w:p>
        </w:tc>
      </w:tr>
      <w:tr w:rsidR="001925B4" w:rsidRPr="00D01DDB" w14:paraId="11FC83A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A37B9B5" w14:textId="77777777" w:rsidR="001925B4" w:rsidRPr="00F1607B" w:rsidRDefault="001925B4">
            <w:pPr>
              <w:rPr>
                <w:rFonts w:cs="Cambria"/>
                <w:szCs w:val="22"/>
              </w:rPr>
            </w:pPr>
            <w:r w:rsidRPr="00F1607B">
              <w:rPr>
                <w:rFonts w:cs="Cambria"/>
                <w:szCs w:val="22"/>
              </w:rPr>
              <w:t xml:space="preserve">IVRS </w:t>
            </w:r>
          </w:p>
        </w:tc>
        <w:tc>
          <w:tcPr>
            <w:tcW w:w="3792" w:type="pct"/>
          </w:tcPr>
          <w:p w14:paraId="16DC06C5"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Interactive voice response system </w:t>
            </w:r>
          </w:p>
        </w:tc>
      </w:tr>
      <w:tr w:rsidR="001925B4" w:rsidRPr="00D01DDB" w14:paraId="7CE65C2B"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F528155" w14:textId="77777777" w:rsidR="001925B4" w:rsidRPr="00F1607B" w:rsidRDefault="001925B4">
            <w:pPr>
              <w:rPr>
                <w:rFonts w:cs="Cambria"/>
                <w:szCs w:val="22"/>
              </w:rPr>
            </w:pPr>
            <w:r w:rsidRPr="00F1607B">
              <w:rPr>
                <w:rFonts w:cs="Cambria"/>
                <w:szCs w:val="22"/>
              </w:rPr>
              <w:t xml:space="preserve">IWRS </w:t>
            </w:r>
          </w:p>
        </w:tc>
        <w:tc>
          <w:tcPr>
            <w:tcW w:w="3792" w:type="pct"/>
          </w:tcPr>
          <w:p w14:paraId="3B3860CD"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Interactive web response system </w:t>
            </w:r>
          </w:p>
        </w:tc>
      </w:tr>
      <w:tr w:rsidR="001925B4" w:rsidRPr="00D01DDB" w14:paraId="02322E4E"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C6ACEEA" w14:textId="77777777" w:rsidR="001925B4" w:rsidRPr="00F1607B" w:rsidRDefault="001925B4">
            <w:pPr>
              <w:rPr>
                <w:rFonts w:cs="Cambria"/>
                <w:szCs w:val="22"/>
              </w:rPr>
            </w:pPr>
            <w:r w:rsidRPr="00F1607B">
              <w:rPr>
                <w:rFonts w:cs="Cambria"/>
                <w:szCs w:val="22"/>
              </w:rPr>
              <w:t xml:space="preserve">IXRS </w:t>
            </w:r>
          </w:p>
        </w:tc>
        <w:tc>
          <w:tcPr>
            <w:tcW w:w="3792" w:type="pct"/>
          </w:tcPr>
          <w:p w14:paraId="1890B310"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Interactive web/voice response system </w:t>
            </w:r>
          </w:p>
        </w:tc>
      </w:tr>
      <w:tr w:rsidR="001925B4" w:rsidRPr="00D01DDB" w14:paraId="081E59F8"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A27105F" w14:textId="77777777" w:rsidR="001925B4" w:rsidRPr="00F1607B" w:rsidRDefault="001925B4">
            <w:pPr>
              <w:rPr>
                <w:rFonts w:cs="Cambria"/>
                <w:szCs w:val="22"/>
              </w:rPr>
            </w:pPr>
            <w:r w:rsidRPr="00F1607B">
              <w:rPr>
                <w:rFonts w:cs="Cambria"/>
                <w:szCs w:val="22"/>
              </w:rPr>
              <w:t>k</w:t>
            </w:r>
            <w:r w:rsidRPr="00F1607B">
              <w:rPr>
                <w:rFonts w:cs="Cambria"/>
                <w:sz w:val="14"/>
                <w:szCs w:val="14"/>
              </w:rPr>
              <w:t xml:space="preserve">a </w:t>
            </w:r>
          </w:p>
        </w:tc>
        <w:tc>
          <w:tcPr>
            <w:tcW w:w="3792" w:type="pct"/>
          </w:tcPr>
          <w:p w14:paraId="27ABE289"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First order absorption rate constant </w:t>
            </w:r>
          </w:p>
        </w:tc>
      </w:tr>
      <w:tr w:rsidR="001925B4" w:rsidRPr="00D01DDB" w14:paraId="3812DA9B"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F6E3B6A" w14:textId="77777777" w:rsidR="001925B4" w:rsidRPr="00F1607B" w:rsidRDefault="001925B4">
            <w:pPr>
              <w:rPr>
                <w:rFonts w:cs="Cambria"/>
                <w:szCs w:val="22"/>
              </w:rPr>
            </w:pPr>
            <w:r w:rsidRPr="00F1607B">
              <w:rPr>
                <w:rFonts w:cs="Cambria"/>
                <w:szCs w:val="22"/>
              </w:rPr>
              <w:t xml:space="preserve">KM </w:t>
            </w:r>
          </w:p>
        </w:tc>
        <w:tc>
          <w:tcPr>
            <w:tcW w:w="3792" w:type="pct"/>
          </w:tcPr>
          <w:p w14:paraId="12EA0D74"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Kaplan Meier </w:t>
            </w:r>
          </w:p>
        </w:tc>
      </w:tr>
      <w:tr w:rsidR="001925B4" w:rsidRPr="00D01DDB" w14:paraId="63E2D520"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6594061" w14:textId="77777777" w:rsidR="001925B4" w:rsidRPr="00F1607B" w:rsidRDefault="001925B4">
            <w:pPr>
              <w:rPr>
                <w:rFonts w:cs="Cambria"/>
                <w:szCs w:val="22"/>
              </w:rPr>
            </w:pPr>
            <w:r w:rsidRPr="00F1607B">
              <w:rPr>
                <w:rFonts w:cs="Cambria"/>
                <w:szCs w:val="22"/>
              </w:rPr>
              <w:t xml:space="preserve">LDL </w:t>
            </w:r>
          </w:p>
        </w:tc>
        <w:tc>
          <w:tcPr>
            <w:tcW w:w="3792" w:type="pct"/>
          </w:tcPr>
          <w:p w14:paraId="69079B6F"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Low-density lipoprotein </w:t>
            </w:r>
          </w:p>
        </w:tc>
      </w:tr>
      <w:tr w:rsidR="001925B4" w:rsidRPr="00D01DDB" w14:paraId="1A97AE64"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0172ABC" w14:textId="77777777" w:rsidR="001925B4" w:rsidRPr="00F1607B" w:rsidRDefault="001925B4">
            <w:pPr>
              <w:rPr>
                <w:rFonts w:cs="Cambria"/>
                <w:szCs w:val="22"/>
              </w:rPr>
            </w:pPr>
            <w:r w:rsidRPr="00F1607B">
              <w:rPr>
                <w:rFonts w:cs="Cambria"/>
                <w:szCs w:val="22"/>
              </w:rPr>
              <w:t xml:space="preserve">LFT </w:t>
            </w:r>
          </w:p>
        </w:tc>
        <w:tc>
          <w:tcPr>
            <w:tcW w:w="3792" w:type="pct"/>
          </w:tcPr>
          <w:p w14:paraId="63CF164F"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Liver function test </w:t>
            </w:r>
          </w:p>
        </w:tc>
      </w:tr>
      <w:tr w:rsidR="001925B4" w:rsidRPr="00D01DDB" w14:paraId="28A4D3E4"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809F610" w14:textId="77777777" w:rsidR="001925B4" w:rsidRPr="00F1607B" w:rsidRDefault="001925B4">
            <w:pPr>
              <w:rPr>
                <w:rFonts w:cs="Cambria"/>
                <w:szCs w:val="22"/>
              </w:rPr>
            </w:pPr>
            <w:r w:rsidRPr="00F1607B">
              <w:rPr>
                <w:rFonts w:cs="Cambria"/>
                <w:szCs w:val="22"/>
              </w:rPr>
              <w:t xml:space="preserve">LHRH </w:t>
            </w:r>
          </w:p>
        </w:tc>
        <w:tc>
          <w:tcPr>
            <w:tcW w:w="3792" w:type="pct"/>
          </w:tcPr>
          <w:p w14:paraId="4131A572"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Luteinising-hormone releasing hormone </w:t>
            </w:r>
          </w:p>
        </w:tc>
      </w:tr>
      <w:tr w:rsidR="001925B4" w:rsidRPr="00D01DDB" w14:paraId="31FBB36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661A49F" w14:textId="77777777" w:rsidR="001925B4" w:rsidRPr="00F1607B" w:rsidRDefault="001925B4">
            <w:pPr>
              <w:rPr>
                <w:rFonts w:cs="Cambria"/>
                <w:szCs w:val="22"/>
              </w:rPr>
            </w:pPr>
            <w:r w:rsidRPr="00F1607B">
              <w:rPr>
                <w:rFonts w:cs="Cambria"/>
                <w:szCs w:val="22"/>
              </w:rPr>
              <w:t xml:space="preserve">LLOQ </w:t>
            </w:r>
          </w:p>
        </w:tc>
        <w:tc>
          <w:tcPr>
            <w:tcW w:w="3792" w:type="pct"/>
          </w:tcPr>
          <w:p w14:paraId="7AF55CF2"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Lower limit of quantification </w:t>
            </w:r>
          </w:p>
        </w:tc>
      </w:tr>
      <w:tr w:rsidR="001925B4" w:rsidRPr="00D01DDB" w14:paraId="01CD4F0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01EBAF5" w14:textId="77777777" w:rsidR="001925B4" w:rsidRPr="00F1607B" w:rsidRDefault="001925B4">
            <w:pPr>
              <w:rPr>
                <w:rFonts w:cs="Cambria"/>
                <w:szCs w:val="22"/>
              </w:rPr>
            </w:pPr>
            <w:proofErr w:type="spellStart"/>
            <w:r w:rsidRPr="00F1607B">
              <w:rPr>
                <w:rFonts w:cs="Cambria"/>
                <w:szCs w:val="22"/>
              </w:rPr>
              <w:t>LoD</w:t>
            </w:r>
            <w:proofErr w:type="spellEnd"/>
            <w:r w:rsidRPr="00F1607B">
              <w:rPr>
                <w:rFonts w:cs="Cambria"/>
                <w:szCs w:val="22"/>
              </w:rPr>
              <w:t xml:space="preserve"> </w:t>
            </w:r>
          </w:p>
        </w:tc>
        <w:tc>
          <w:tcPr>
            <w:tcW w:w="3792" w:type="pct"/>
          </w:tcPr>
          <w:p w14:paraId="55F70D7D"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Limit of detection </w:t>
            </w:r>
          </w:p>
        </w:tc>
      </w:tr>
      <w:tr w:rsidR="001925B4" w:rsidRPr="00D01DDB" w14:paraId="640CFBE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C5C7DA1" w14:textId="77777777" w:rsidR="001925B4" w:rsidRPr="00F1607B" w:rsidRDefault="001925B4">
            <w:pPr>
              <w:rPr>
                <w:rFonts w:cs="Cambria"/>
                <w:szCs w:val="22"/>
              </w:rPr>
            </w:pPr>
            <w:r w:rsidRPr="00F1607B">
              <w:rPr>
                <w:rFonts w:cs="Cambria"/>
                <w:szCs w:val="22"/>
              </w:rPr>
              <w:lastRenderedPageBreak/>
              <w:t xml:space="preserve">LPFV </w:t>
            </w:r>
          </w:p>
        </w:tc>
        <w:tc>
          <w:tcPr>
            <w:tcW w:w="3792" w:type="pct"/>
          </w:tcPr>
          <w:p w14:paraId="434C6008"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Last patient first visit </w:t>
            </w:r>
          </w:p>
        </w:tc>
      </w:tr>
      <w:tr w:rsidR="001925B4" w:rsidRPr="00D01DDB" w14:paraId="13075C4B"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127D2EF" w14:textId="77777777" w:rsidR="001925B4" w:rsidRPr="00F1607B" w:rsidRDefault="001925B4">
            <w:pPr>
              <w:rPr>
                <w:rFonts w:cs="Cambria"/>
                <w:szCs w:val="22"/>
              </w:rPr>
            </w:pPr>
            <w:r w:rsidRPr="00F1607B">
              <w:rPr>
                <w:rFonts w:cs="Cambria"/>
                <w:szCs w:val="22"/>
              </w:rPr>
              <w:t xml:space="preserve">LMWH </w:t>
            </w:r>
          </w:p>
        </w:tc>
        <w:tc>
          <w:tcPr>
            <w:tcW w:w="3792" w:type="pct"/>
          </w:tcPr>
          <w:p w14:paraId="4FD3FFC1"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Low molecular weight heparin </w:t>
            </w:r>
          </w:p>
        </w:tc>
      </w:tr>
      <w:tr w:rsidR="001925B4" w:rsidRPr="00D01DDB" w14:paraId="430BF61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C6C602C" w14:textId="77777777" w:rsidR="001925B4" w:rsidRPr="00F1607B" w:rsidRDefault="001925B4">
            <w:pPr>
              <w:rPr>
                <w:rFonts w:cs="Cambria"/>
                <w:szCs w:val="22"/>
              </w:rPr>
            </w:pPr>
            <w:r w:rsidRPr="00F1607B">
              <w:rPr>
                <w:rFonts w:cs="Cambria"/>
                <w:szCs w:val="22"/>
              </w:rPr>
              <w:t xml:space="preserve">LS </w:t>
            </w:r>
          </w:p>
        </w:tc>
        <w:tc>
          <w:tcPr>
            <w:tcW w:w="3792" w:type="pct"/>
          </w:tcPr>
          <w:p w14:paraId="04B230EF"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Least square </w:t>
            </w:r>
          </w:p>
        </w:tc>
      </w:tr>
      <w:tr w:rsidR="001925B4" w:rsidRPr="00D01DDB" w14:paraId="42E3ADF8"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CECFC8B" w14:textId="77777777" w:rsidR="001925B4" w:rsidRPr="00F1607B" w:rsidRDefault="001925B4">
            <w:pPr>
              <w:rPr>
                <w:rFonts w:cs="Cambria"/>
                <w:szCs w:val="22"/>
              </w:rPr>
            </w:pPr>
            <w:r w:rsidRPr="00F1607B">
              <w:rPr>
                <w:rFonts w:cs="Cambria"/>
                <w:szCs w:val="22"/>
              </w:rPr>
              <w:t xml:space="preserve">LVEF </w:t>
            </w:r>
          </w:p>
        </w:tc>
        <w:tc>
          <w:tcPr>
            <w:tcW w:w="3792" w:type="pct"/>
          </w:tcPr>
          <w:p w14:paraId="6AA123B4"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Left ventricular ejection fraction </w:t>
            </w:r>
          </w:p>
        </w:tc>
      </w:tr>
      <w:tr w:rsidR="001925B4" w:rsidRPr="00D01DDB" w14:paraId="406F777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395ED6B" w14:textId="77777777" w:rsidR="001925B4" w:rsidRPr="00F1607B" w:rsidRDefault="001925B4">
            <w:pPr>
              <w:rPr>
                <w:rFonts w:cs="Cambria"/>
                <w:szCs w:val="22"/>
              </w:rPr>
            </w:pPr>
            <w:r w:rsidRPr="00F1607B">
              <w:rPr>
                <w:rFonts w:cs="Cambria"/>
                <w:szCs w:val="22"/>
              </w:rPr>
              <w:t xml:space="preserve">MATE1 </w:t>
            </w:r>
          </w:p>
        </w:tc>
        <w:tc>
          <w:tcPr>
            <w:tcW w:w="3792" w:type="pct"/>
          </w:tcPr>
          <w:p w14:paraId="19C1F20C"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Multidrug and toxin extrusion protein 1 </w:t>
            </w:r>
          </w:p>
        </w:tc>
      </w:tr>
      <w:tr w:rsidR="001925B4" w:rsidRPr="00D01DDB" w14:paraId="3EAC81A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F4730E1" w14:textId="77777777" w:rsidR="001925B4" w:rsidRPr="00F1607B" w:rsidRDefault="001925B4">
            <w:pPr>
              <w:rPr>
                <w:rFonts w:cs="Cambria"/>
                <w:szCs w:val="22"/>
              </w:rPr>
            </w:pPr>
            <w:r w:rsidRPr="00F1607B">
              <w:rPr>
                <w:rFonts w:cs="Cambria"/>
                <w:szCs w:val="22"/>
              </w:rPr>
              <w:t xml:space="preserve">MATE2K </w:t>
            </w:r>
          </w:p>
        </w:tc>
        <w:tc>
          <w:tcPr>
            <w:tcW w:w="3792" w:type="pct"/>
          </w:tcPr>
          <w:p w14:paraId="392AEC00"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Multidrug and toxin extrusion protein 2K </w:t>
            </w:r>
          </w:p>
        </w:tc>
      </w:tr>
      <w:tr w:rsidR="001925B4" w:rsidRPr="00D01DDB" w14:paraId="01A0DA4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AF7ED90" w14:textId="77777777" w:rsidR="001925B4" w:rsidRPr="00F1607B" w:rsidRDefault="001925B4">
            <w:pPr>
              <w:rPr>
                <w:rFonts w:cs="Cambria"/>
                <w:szCs w:val="22"/>
              </w:rPr>
            </w:pPr>
            <w:r w:rsidRPr="00F1607B">
              <w:rPr>
                <w:rFonts w:cs="Cambria"/>
                <w:szCs w:val="22"/>
              </w:rPr>
              <w:t xml:space="preserve">Max </w:t>
            </w:r>
          </w:p>
        </w:tc>
        <w:tc>
          <w:tcPr>
            <w:tcW w:w="3792" w:type="pct"/>
          </w:tcPr>
          <w:p w14:paraId="1461A919"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Maximum </w:t>
            </w:r>
          </w:p>
        </w:tc>
      </w:tr>
      <w:tr w:rsidR="001925B4" w:rsidRPr="00D01DDB" w14:paraId="5C517C3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2E1D5F8" w14:textId="77777777" w:rsidR="001925B4" w:rsidRPr="00F1607B" w:rsidRDefault="001925B4">
            <w:pPr>
              <w:rPr>
                <w:rFonts w:cs="Cambria"/>
                <w:szCs w:val="22"/>
              </w:rPr>
            </w:pPr>
            <w:r w:rsidRPr="00F1607B">
              <w:rPr>
                <w:rFonts w:cs="Cambria"/>
                <w:szCs w:val="22"/>
              </w:rPr>
              <w:t xml:space="preserve">MedDRA </w:t>
            </w:r>
          </w:p>
        </w:tc>
        <w:tc>
          <w:tcPr>
            <w:tcW w:w="3792" w:type="pct"/>
          </w:tcPr>
          <w:p w14:paraId="7CDA4336"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Medical Dictionary for Regulatory Activities </w:t>
            </w:r>
          </w:p>
        </w:tc>
      </w:tr>
      <w:tr w:rsidR="001925B4" w:rsidRPr="00D01DDB" w14:paraId="354796D8"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D1658EA" w14:textId="77777777" w:rsidR="001925B4" w:rsidRPr="00F1607B" w:rsidRDefault="001925B4">
            <w:pPr>
              <w:rPr>
                <w:rFonts w:cs="Cambria"/>
                <w:szCs w:val="22"/>
              </w:rPr>
            </w:pPr>
            <w:r w:rsidRPr="00F1607B">
              <w:rPr>
                <w:rFonts w:cs="Cambria"/>
                <w:szCs w:val="22"/>
              </w:rPr>
              <w:t xml:space="preserve">Min </w:t>
            </w:r>
          </w:p>
        </w:tc>
        <w:tc>
          <w:tcPr>
            <w:tcW w:w="3792" w:type="pct"/>
          </w:tcPr>
          <w:p w14:paraId="1D5DDF2E"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Minimum </w:t>
            </w:r>
          </w:p>
        </w:tc>
      </w:tr>
      <w:tr w:rsidR="001925B4" w:rsidRPr="00D01DDB" w14:paraId="3B1697C7"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672999D" w14:textId="77777777" w:rsidR="001925B4" w:rsidRPr="00F1607B" w:rsidRDefault="001925B4">
            <w:pPr>
              <w:rPr>
                <w:rFonts w:cs="Cambria"/>
                <w:szCs w:val="22"/>
              </w:rPr>
            </w:pPr>
            <w:r w:rsidRPr="00F1607B">
              <w:rPr>
                <w:rFonts w:cs="Cambria"/>
                <w:szCs w:val="22"/>
              </w:rPr>
              <w:t xml:space="preserve">MMRM </w:t>
            </w:r>
          </w:p>
        </w:tc>
        <w:tc>
          <w:tcPr>
            <w:tcW w:w="3792" w:type="pct"/>
          </w:tcPr>
          <w:p w14:paraId="457BD7E7"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Mixed </w:t>
            </w:r>
            <w:proofErr w:type="gramStart"/>
            <w:r w:rsidRPr="00F1607B">
              <w:rPr>
                <w:rFonts w:cs="Cambria"/>
                <w:szCs w:val="22"/>
              </w:rPr>
              <w:t>model</w:t>
            </w:r>
            <w:proofErr w:type="gramEnd"/>
            <w:r w:rsidRPr="00F1607B">
              <w:rPr>
                <w:rFonts w:cs="Cambria"/>
                <w:szCs w:val="22"/>
              </w:rPr>
              <w:t xml:space="preserve"> repeat measures </w:t>
            </w:r>
          </w:p>
        </w:tc>
      </w:tr>
      <w:tr w:rsidR="001925B4" w:rsidRPr="00D01DDB" w14:paraId="0B24A6F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CC9857B" w14:textId="77777777" w:rsidR="001925B4" w:rsidRPr="00F1607B" w:rsidRDefault="001925B4">
            <w:pPr>
              <w:rPr>
                <w:rFonts w:cs="Cambria"/>
                <w:szCs w:val="22"/>
              </w:rPr>
            </w:pPr>
            <w:r w:rsidRPr="00F1607B">
              <w:rPr>
                <w:rFonts w:cs="Cambria"/>
                <w:szCs w:val="22"/>
              </w:rPr>
              <w:t xml:space="preserve">MRI </w:t>
            </w:r>
          </w:p>
        </w:tc>
        <w:tc>
          <w:tcPr>
            <w:tcW w:w="3792" w:type="pct"/>
          </w:tcPr>
          <w:p w14:paraId="0A12B7DF"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Magnetic resonance imaging </w:t>
            </w:r>
          </w:p>
        </w:tc>
      </w:tr>
      <w:tr w:rsidR="001925B4" w:rsidRPr="00D01DDB" w14:paraId="557D478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8268ACE" w14:textId="77777777" w:rsidR="001925B4" w:rsidRPr="00F1607B" w:rsidRDefault="001925B4">
            <w:pPr>
              <w:rPr>
                <w:rFonts w:cs="Cambria"/>
                <w:szCs w:val="22"/>
              </w:rPr>
            </w:pPr>
            <w:r w:rsidRPr="00F1607B">
              <w:rPr>
                <w:rFonts w:cs="Cambria"/>
                <w:szCs w:val="22"/>
              </w:rPr>
              <w:t xml:space="preserve">MS </w:t>
            </w:r>
          </w:p>
        </w:tc>
        <w:tc>
          <w:tcPr>
            <w:tcW w:w="3792" w:type="pct"/>
          </w:tcPr>
          <w:p w14:paraId="19A7CD57"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Modelling and simulation </w:t>
            </w:r>
          </w:p>
        </w:tc>
      </w:tr>
      <w:tr w:rsidR="001925B4" w:rsidRPr="00D01DDB" w14:paraId="63A3B14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22E572B" w14:textId="77777777" w:rsidR="001925B4" w:rsidRPr="00F1607B" w:rsidRDefault="001925B4">
            <w:pPr>
              <w:rPr>
                <w:rFonts w:cs="Cambria"/>
                <w:szCs w:val="22"/>
              </w:rPr>
            </w:pPr>
            <w:r w:rsidRPr="00F1607B">
              <w:rPr>
                <w:rFonts w:cs="Cambria"/>
                <w:szCs w:val="22"/>
              </w:rPr>
              <w:t xml:space="preserve">MTD </w:t>
            </w:r>
          </w:p>
        </w:tc>
        <w:tc>
          <w:tcPr>
            <w:tcW w:w="3792" w:type="pct"/>
          </w:tcPr>
          <w:p w14:paraId="06D2E4E4"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Maximum tolerated dose </w:t>
            </w:r>
          </w:p>
        </w:tc>
      </w:tr>
      <w:tr w:rsidR="001925B4" w:rsidRPr="00D01DDB" w14:paraId="1BCA444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9D3EDD2" w14:textId="77777777" w:rsidR="001925B4" w:rsidRPr="00F1607B" w:rsidRDefault="001925B4">
            <w:pPr>
              <w:rPr>
                <w:rFonts w:cs="Cambria"/>
                <w:szCs w:val="22"/>
              </w:rPr>
            </w:pPr>
            <w:r w:rsidRPr="00F1607B">
              <w:rPr>
                <w:rFonts w:cs="Cambria"/>
                <w:szCs w:val="22"/>
              </w:rPr>
              <w:t xml:space="preserve">mTOR </w:t>
            </w:r>
          </w:p>
        </w:tc>
        <w:tc>
          <w:tcPr>
            <w:tcW w:w="3792" w:type="pct"/>
          </w:tcPr>
          <w:p w14:paraId="725757A5"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Mammalian target of rapamycin </w:t>
            </w:r>
          </w:p>
        </w:tc>
      </w:tr>
      <w:tr w:rsidR="001925B4" w:rsidRPr="00D01DDB" w14:paraId="539F237B"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9AA7B5D" w14:textId="77777777" w:rsidR="001925B4" w:rsidRPr="00F1607B" w:rsidRDefault="001925B4">
            <w:pPr>
              <w:rPr>
                <w:rFonts w:cs="Cambria"/>
                <w:szCs w:val="22"/>
              </w:rPr>
            </w:pPr>
            <w:r w:rsidRPr="00F1607B">
              <w:rPr>
                <w:rFonts w:cs="Cambria"/>
                <w:szCs w:val="22"/>
              </w:rPr>
              <w:t xml:space="preserve">MTP </w:t>
            </w:r>
          </w:p>
        </w:tc>
        <w:tc>
          <w:tcPr>
            <w:tcW w:w="3792" w:type="pct"/>
          </w:tcPr>
          <w:p w14:paraId="5C4B6644"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Multiple testing procedure </w:t>
            </w:r>
          </w:p>
        </w:tc>
      </w:tr>
      <w:tr w:rsidR="001925B4" w:rsidRPr="00D01DDB" w14:paraId="638C0BEB"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B210B4A" w14:textId="77777777" w:rsidR="001925B4" w:rsidRPr="00F1607B" w:rsidRDefault="001925B4">
            <w:pPr>
              <w:rPr>
                <w:rFonts w:cs="Cambria"/>
                <w:szCs w:val="22"/>
              </w:rPr>
            </w:pPr>
            <w:r w:rsidRPr="00F1607B">
              <w:rPr>
                <w:rFonts w:cs="Cambria"/>
                <w:szCs w:val="22"/>
              </w:rPr>
              <w:t xml:space="preserve">MUGA </w:t>
            </w:r>
          </w:p>
        </w:tc>
        <w:tc>
          <w:tcPr>
            <w:tcW w:w="3792" w:type="pct"/>
          </w:tcPr>
          <w:p w14:paraId="5DBAD50C"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Multiple gated acquisition (scan) </w:t>
            </w:r>
          </w:p>
        </w:tc>
      </w:tr>
      <w:tr w:rsidR="001925B4" w:rsidRPr="00D01DDB" w14:paraId="5059F45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EB2190E" w14:textId="77777777" w:rsidR="001925B4" w:rsidRPr="00F1607B" w:rsidRDefault="001925B4">
            <w:pPr>
              <w:rPr>
                <w:rFonts w:cs="Cambria"/>
                <w:szCs w:val="22"/>
              </w:rPr>
            </w:pPr>
            <w:r w:rsidRPr="00F1607B">
              <w:rPr>
                <w:rFonts w:cs="Cambria"/>
                <w:szCs w:val="22"/>
              </w:rPr>
              <w:t xml:space="preserve">NA </w:t>
            </w:r>
          </w:p>
        </w:tc>
        <w:tc>
          <w:tcPr>
            <w:tcW w:w="3792" w:type="pct"/>
          </w:tcPr>
          <w:p w14:paraId="6177EA07"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Not applicable </w:t>
            </w:r>
          </w:p>
        </w:tc>
      </w:tr>
      <w:tr w:rsidR="001925B4" w:rsidRPr="00D01DDB" w14:paraId="55F375F5"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600B495" w14:textId="77777777" w:rsidR="001925B4" w:rsidRPr="00F1607B" w:rsidRDefault="001925B4">
            <w:pPr>
              <w:rPr>
                <w:rFonts w:cs="Cambria"/>
                <w:szCs w:val="22"/>
              </w:rPr>
            </w:pPr>
            <w:r w:rsidRPr="00F1607B">
              <w:rPr>
                <w:rFonts w:cs="Cambria"/>
                <w:szCs w:val="22"/>
              </w:rPr>
              <w:t xml:space="preserve">NC </w:t>
            </w:r>
          </w:p>
        </w:tc>
        <w:tc>
          <w:tcPr>
            <w:tcW w:w="3792" w:type="pct"/>
          </w:tcPr>
          <w:p w14:paraId="041C8A54"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Not calculable </w:t>
            </w:r>
          </w:p>
        </w:tc>
      </w:tr>
      <w:tr w:rsidR="001925B4" w:rsidRPr="00D01DDB" w14:paraId="514C72AE"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8010FBE" w14:textId="77777777" w:rsidR="001925B4" w:rsidRPr="00F1607B" w:rsidRDefault="001925B4">
            <w:pPr>
              <w:rPr>
                <w:rFonts w:cs="Cambria"/>
                <w:szCs w:val="22"/>
              </w:rPr>
            </w:pPr>
            <w:r w:rsidRPr="00F1607B">
              <w:rPr>
                <w:rFonts w:cs="Cambria"/>
                <w:szCs w:val="22"/>
              </w:rPr>
              <w:t xml:space="preserve">NCCN </w:t>
            </w:r>
          </w:p>
        </w:tc>
        <w:tc>
          <w:tcPr>
            <w:tcW w:w="3792" w:type="pct"/>
          </w:tcPr>
          <w:p w14:paraId="5BC5E0C3"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F1607B">
              <w:rPr>
                <w:rFonts w:cs="Cambria"/>
                <w:szCs w:val="22"/>
              </w:rPr>
              <w:t xml:space="preserve">National Comprehensive Cancer Network </w:t>
            </w:r>
          </w:p>
        </w:tc>
      </w:tr>
      <w:tr w:rsidR="001925B4" w:rsidRPr="00D01DDB" w14:paraId="53AD691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CD84EE1" w14:textId="77777777" w:rsidR="001925B4" w:rsidRPr="00F1607B" w:rsidRDefault="001925B4">
            <w:pPr>
              <w:rPr>
                <w:rFonts w:cs="Cambria"/>
                <w:szCs w:val="22"/>
              </w:rPr>
            </w:pPr>
            <w:r w:rsidRPr="001C1D4A">
              <w:rPr>
                <w:rFonts w:cs="Cambria"/>
                <w:szCs w:val="22"/>
              </w:rPr>
              <w:t xml:space="preserve">NE </w:t>
            </w:r>
          </w:p>
        </w:tc>
        <w:tc>
          <w:tcPr>
            <w:tcW w:w="3792" w:type="pct"/>
          </w:tcPr>
          <w:p w14:paraId="11570D7F"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Not evaluable </w:t>
            </w:r>
          </w:p>
        </w:tc>
      </w:tr>
      <w:tr w:rsidR="001925B4" w:rsidRPr="00D01DDB" w14:paraId="7929EB70"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EA4D0A0" w14:textId="77777777" w:rsidR="001925B4" w:rsidRPr="00F1607B" w:rsidRDefault="001925B4">
            <w:pPr>
              <w:rPr>
                <w:rFonts w:cs="Cambria"/>
                <w:szCs w:val="22"/>
              </w:rPr>
            </w:pPr>
            <w:r w:rsidRPr="001C1D4A">
              <w:rPr>
                <w:rFonts w:cs="Cambria"/>
                <w:szCs w:val="22"/>
              </w:rPr>
              <w:t xml:space="preserve">NGS </w:t>
            </w:r>
          </w:p>
        </w:tc>
        <w:tc>
          <w:tcPr>
            <w:tcW w:w="3792" w:type="pct"/>
          </w:tcPr>
          <w:p w14:paraId="53E451FB"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Next-generation sequencing </w:t>
            </w:r>
          </w:p>
        </w:tc>
      </w:tr>
      <w:tr w:rsidR="001925B4" w:rsidRPr="00D01DDB" w14:paraId="6D9B43A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83A1F0C" w14:textId="77777777" w:rsidR="001925B4" w:rsidRPr="00F1607B" w:rsidRDefault="001925B4">
            <w:pPr>
              <w:rPr>
                <w:rFonts w:cs="Cambria"/>
                <w:szCs w:val="22"/>
              </w:rPr>
            </w:pPr>
            <w:r w:rsidRPr="001C1D4A">
              <w:rPr>
                <w:rFonts w:cs="Cambria"/>
                <w:szCs w:val="22"/>
              </w:rPr>
              <w:t xml:space="preserve">NTD </w:t>
            </w:r>
          </w:p>
        </w:tc>
        <w:tc>
          <w:tcPr>
            <w:tcW w:w="3792" w:type="pct"/>
          </w:tcPr>
          <w:p w14:paraId="48C5F6D6" w14:textId="77777777" w:rsidR="001925B4" w:rsidRPr="00F1607B"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Non-tolerated dose </w:t>
            </w:r>
          </w:p>
        </w:tc>
      </w:tr>
      <w:tr w:rsidR="001925B4" w:rsidRPr="00D01DDB" w14:paraId="68F7336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87F9504" w14:textId="77777777" w:rsidR="001925B4" w:rsidRPr="001C1D4A" w:rsidRDefault="001925B4">
            <w:pPr>
              <w:rPr>
                <w:rFonts w:cs="Cambria"/>
                <w:szCs w:val="22"/>
              </w:rPr>
            </w:pPr>
            <w:r w:rsidRPr="001C1D4A">
              <w:rPr>
                <w:rFonts w:cs="Cambria"/>
                <w:szCs w:val="22"/>
              </w:rPr>
              <w:t xml:space="preserve">NR </w:t>
            </w:r>
          </w:p>
        </w:tc>
        <w:tc>
          <w:tcPr>
            <w:tcW w:w="3792" w:type="pct"/>
          </w:tcPr>
          <w:p w14:paraId="5184A693"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Not reported </w:t>
            </w:r>
          </w:p>
        </w:tc>
      </w:tr>
      <w:tr w:rsidR="001925B4" w:rsidRPr="00D01DDB" w14:paraId="10B5233E"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E7D27F3" w14:textId="77777777" w:rsidR="001925B4" w:rsidRPr="001C1D4A" w:rsidRDefault="001925B4">
            <w:pPr>
              <w:rPr>
                <w:rFonts w:cs="Cambria"/>
                <w:szCs w:val="22"/>
              </w:rPr>
            </w:pPr>
            <w:r w:rsidRPr="001C1D4A">
              <w:rPr>
                <w:rFonts w:cs="Cambria"/>
                <w:szCs w:val="22"/>
              </w:rPr>
              <w:t xml:space="preserve">NTL </w:t>
            </w:r>
          </w:p>
        </w:tc>
        <w:tc>
          <w:tcPr>
            <w:tcW w:w="3792" w:type="pct"/>
          </w:tcPr>
          <w:p w14:paraId="5272946E"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Non target lesion </w:t>
            </w:r>
          </w:p>
        </w:tc>
      </w:tr>
      <w:tr w:rsidR="001925B4" w:rsidRPr="00D01DDB" w14:paraId="25655E28"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015CEDA" w14:textId="77777777" w:rsidR="001925B4" w:rsidRPr="001C1D4A" w:rsidRDefault="001925B4">
            <w:pPr>
              <w:rPr>
                <w:rFonts w:cs="Cambria"/>
                <w:szCs w:val="22"/>
              </w:rPr>
            </w:pPr>
            <w:r w:rsidRPr="001C1D4A">
              <w:rPr>
                <w:rFonts w:cs="Cambria"/>
                <w:szCs w:val="22"/>
              </w:rPr>
              <w:t xml:space="preserve">NMPA </w:t>
            </w:r>
          </w:p>
        </w:tc>
        <w:tc>
          <w:tcPr>
            <w:tcW w:w="3792" w:type="pct"/>
          </w:tcPr>
          <w:p w14:paraId="2FAD460E"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National Medical Product Administration </w:t>
            </w:r>
          </w:p>
        </w:tc>
      </w:tr>
      <w:tr w:rsidR="001925B4" w:rsidRPr="00D01DDB" w14:paraId="4A30B0B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CD9DA8E" w14:textId="77777777" w:rsidR="001925B4" w:rsidRPr="001C1D4A" w:rsidRDefault="001925B4">
            <w:pPr>
              <w:rPr>
                <w:rFonts w:cs="Cambria"/>
                <w:szCs w:val="22"/>
              </w:rPr>
            </w:pPr>
            <w:r w:rsidRPr="001C1D4A">
              <w:rPr>
                <w:rFonts w:cs="Cambria"/>
                <w:szCs w:val="22"/>
              </w:rPr>
              <w:t xml:space="preserve">NONMEM </w:t>
            </w:r>
          </w:p>
        </w:tc>
        <w:tc>
          <w:tcPr>
            <w:tcW w:w="3792" w:type="pct"/>
          </w:tcPr>
          <w:p w14:paraId="0CA25201"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Nonlinear mixed effects modelling </w:t>
            </w:r>
          </w:p>
        </w:tc>
      </w:tr>
      <w:tr w:rsidR="001925B4" w:rsidRPr="00D01DDB" w14:paraId="1E9B49A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8F8AA88" w14:textId="77777777" w:rsidR="001925B4" w:rsidRPr="001C1D4A" w:rsidRDefault="001925B4">
            <w:pPr>
              <w:rPr>
                <w:rFonts w:cs="Cambria"/>
                <w:szCs w:val="22"/>
              </w:rPr>
            </w:pPr>
            <w:r w:rsidRPr="001C1D4A">
              <w:rPr>
                <w:rFonts w:cs="Cambria"/>
                <w:szCs w:val="22"/>
              </w:rPr>
              <w:t xml:space="preserve">NPDE </w:t>
            </w:r>
          </w:p>
        </w:tc>
        <w:tc>
          <w:tcPr>
            <w:tcW w:w="3792" w:type="pct"/>
          </w:tcPr>
          <w:p w14:paraId="06B310E1"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Normalised prediction distribution error </w:t>
            </w:r>
          </w:p>
        </w:tc>
      </w:tr>
      <w:tr w:rsidR="001925B4" w:rsidRPr="00D01DDB" w14:paraId="1455D2D0"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66645B1" w14:textId="77777777" w:rsidR="001925B4" w:rsidRPr="001C1D4A" w:rsidRDefault="001925B4">
            <w:pPr>
              <w:rPr>
                <w:rFonts w:cs="Cambria"/>
                <w:szCs w:val="22"/>
              </w:rPr>
            </w:pPr>
            <w:r w:rsidRPr="001C1D4A">
              <w:rPr>
                <w:rFonts w:cs="Cambria"/>
                <w:szCs w:val="22"/>
              </w:rPr>
              <w:t xml:space="preserve">NYHA </w:t>
            </w:r>
          </w:p>
        </w:tc>
        <w:tc>
          <w:tcPr>
            <w:tcW w:w="3792" w:type="pct"/>
          </w:tcPr>
          <w:p w14:paraId="5C8C7AF4"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New York Heart Association </w:t>
            </w:r>
          </w:p>
        </w:tc>
      </w:tr>
      <w:tr w:rsidR="001925B4" w:rsidRPr="00D01DDB" w14:paraId="2B505E6E"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B8525D1" w14:textId="77777777" w:rsidR="001925B4" w:rsidRPr="001C1D4A" w:rsidRDefault="001925B4">
            <w:pPr>
              <w:rPr>
                <w:rFonts w:cs="Cambria"/>
                <w:szCs w:val="22"/>
              </w:rPr>
            </w:pPr>
            <w:r w:rsidRPr="001C1D4A">
              <w:rPr>
                <w:rFonts w:cs="Cambria"/>
                <w:szCs w:val="22"/>
              </w:rPr>
              <w:t xml:space="preserve">OCT2 </w:t>
            </w:r>
          </w:p>
        </w:tc>
        <w:tc>
          <w:tcPr>
            <w:tcW w:w="3792" w:type="pct"/>
          </w:tcPr>
          <w:p w14:paraId="7E089BDD"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Organic cation transporter 2 </w:t>
            </w:r>
          </w:p>
        </w:tc>
      </w:tr>
      <w:tr w:rsidR="001925B4" w:rsidRPr="00D01DDB" w14:paraId="63F1E21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543603A" w14:textId="77777777" w:rsidR="001925B4" w:rsidRPr="001C1D4A" w:rsidRDefault="001925B4">
            <w:pPr>
              <w:rPr>
                <w:rFonts w:cs="Cambria"/>
                <w:szCs w:val="22"/>
              </w:rPr>
            </w:pPr>
            <w:r w:rsidRPr="001C1D4A">
              <w:rPr>
                <w:rFonts w:cs="Cambria"/>
                <w:szCs w:val="22"/>
              </w:rPr>
              <w:t xml:space="preserve">OFV </w:t>
            </w:r>
          </w:p>
        </w:tc>
        <w:tc>
          <w:tcPr>
            <w:tcW w:w="3792" w:type="pct"/>
          </w:tcPr>
          <w:p w14:paraId="44CF68BD"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Objective function value </w:t>
            </w:r>
          </w:p>
        </w:tc>
      </w:tr>
      <w:tr w:rsidR="001925B4" w:rsidRPr="00D01DDB" w14:paraId="2B15F03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17A83FC" w14:textId="77777777" w:rsidR="001925B4" w:rsidRPr="001C1D4A" w:rsidRDefault="001925B4">
            <w:pPr>
              <w:rPr>
                <w:rFonts w:cs="Cambria"/>
                <w:szCs w:val="22"/>
              </w:rPr>
            </w:pPr>
            <w:r w:rsidRPr="001C1D4A">
              <w:rPr>
                <w:rFonts w:cs="Cambria"/>
                <w:szCs w:val="22"/>
              </w:rPr>
              <w:t xml:space="preserve">ORR </w:t>
            </w:r>
          </w:p>
        </w:tc>
        <w:tc>
          <w:tcPr>
            <w:tcW w:w="3792" w:type="pct"/>
          </w:tcPr>
          <w:p w14:paraId="64264445"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Objective response rate </w:t>
            </w:r>
          </w:p>
        </w:tc>
      </w:tr>
      <w:tr w:rsidR="001925B4" w:rsidRPr="00D01DDB" w14:paraId="45AB42C0"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3AD766E" w14:textId="77777777" w:rsidR="001925B4" w:rsidRPr="001C1D4A" w:rsidRDefault="001925B4">
            <w:pPr>
              <w:rPr>
                <w:rFonts w:cs="Cambria"/>
                <w:szCs w:val="22"/>
              </w:rPr>
            </w:pPr>
            <w:r w:rsidRPr="001C1D4A">
              <w:rPr>
                <w:rFonts w:cs="Cambria"/>
                <w:szCs w:val="22"/>
              </w:rPr>
              <w:t xml:space="preserve">OS </w:t>
            </w:r>
          </w:p>
        </w:tc>
        <w:tc>
          <w:tcPr>
            <w:tcW w:w="3792" w:type="pct"/>
          </w:tcPr>
          <w:p w14:paraId="30A50485"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Overall survival </w:t>
            </w:r>
          </w:p>
        </w:tc>
      </w:tr>
      <w:tr w:rsidR="001925B4" w:rsidRPr="00D01DDB" w14:paraId="10B83A3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62C90D2" w14:textId="77777777" w:rsidR="001925B4" w:rsidRPr="001C1D4A" w:rsidRDefault="001925B4">
            <w:pPr>
              <w:rPr>
                <w:rFonts w:cs="Cambria"/>
                <w:szCs w:val="22"/>
              </w:rPr>
            </w:pPr>
            <w:proofErr w:type="spellStart"/>
            <w:r w:rsidRPr="001C1D4A">
              <w:rPr>
                <w:rFonts w:cs="Cambria"/>
                <w:szCs w:val="22"/>
              </w:rPr>
              <w:t>pAKT</w:t>
            </w:r>
            <w:proofErr w:type="spellEnd"/>
            <w:r w:rsidRPr="001C1D4A">
              <w:rPr>
                <w:rFonts w:cs="Cambria"/>
                <w:szCs w:val="22"/>
              </w:rPr>
              <w:t xml:space="preserve"> </w:t>
            </w:r>
          </w:p>
        </w:tc>
        <w:tc>
          <w:tcPr>
            <w:tcW w:w="3792" w:type="pct"/>
          </w:tcPr>
          <w:p w14:paraId="06BCB6AA"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Phosphorylated AKT </w:t>
            </w:r>
          </w:p>
        </w:tc>
      </w:tr>
      <w:tr w:rsidR="001925B4" w:rsidRPr="00D01DDB" w14:paraId="0A5675B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69E8BD4" w14:textId="77777777" w:rsidR="001925B4" w:rsidRPr="001C1D4A" w:rsidRDefault="001925B4">
            <w:pPr>
              <w:rPr>
                <w:rFonts w:cs="Cambria"/>
                <w:szCs w:val="22"/>
              </w:rPr>
            </w:pPr>
            <w:r w:rsidRPr="001C1D4A">
              <w:rPr>
                <w:rFonts w:cs="Cambria"/>
                <w:szCs w:val="22"/>
              </w:rPr>
              <w:lastRenderedPageBreak/>
              <w:t xml:space="preserve">PARP </w:t>
            </w:r>
          </w:p>
        </w:tc>
        <w:tc>
          <w:tcPr>
            <w:tcW w:w="3792" w:type="pct"/>
          </w:tcPr>
          <w:p w14:paraId="0B6705CE"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Poly (ADP-ribose) polymerase </w:t>
            </w:r>
          </w:p>
        </w:tc>
      </w:tr>
      <w:tr w:rsidR="001925B4" w:rsidRPr="00D01DDB" w14:paraId="4DB8BE0B"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1EFE5EC" w14:textId="77777777" w:rsidR="001925B4" w:rsidRPr="001C1D4A" w:rsidRDefault="001925B4">
            <w:pPr>
              <w:rPr>
                <w:rFonts w:cs="Cambria"/>
                <w:szCs w:val="22"/>
              </w:rPr>
            </w:pPr>
            <w:proofErr w:type="spellStart"/>
            <w:r w:rsidRPr="001C1D4A">
              <w:rPr>
                <w:rFonts w:cs="Cambria"/>
                <w:szCs w:val="22"/>
              </w:rPr>
              <w:t>pcVPC</w:t>
            </w:r>
            <w:proofErr w:type="spellEnd"/>
            <w:r w:rsidRPr="001C1D4A">
              <w:rPr>
                <w:rFonts w:cs="Cambria"/>
                <w:szCs w:val="22"/>
              </w:rPr>
              <w:t xml:space="preserve"> </w:t>
            </w:r>
          </w:p>
        </w:tc>
        <w:tc>
          <w:tcPr>
            <w:tcW w:w="3792" w:type="pct"/>
          </w:tcPr>
          <w:p w14:paraId="5B5457CA"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Prediction corrected visual predictive check </w:t>
            </w:r>
          </w:p>
        </w:tc>
      </w:tr>
      <w:tr w:rsidR="001925B4" w:rsidRPr="00D01DDB" w14:paraId="7D74610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35F87C9" w14:textId="77777777" w:rsidR="001925B4" w:rsidRPr="001C1D4A" w:rsidRDefault="001925B4">
            <w:pPr>
              <w:rPr>
                <w:rFonts w:cs="Cambria"/>
                <w:szCs w:val="22"/>
              </w:rPr>
            </w:pPr>
            <w:r w:rsidRPr="001C1D4A">
              <w:rPr>
                <w:rFonts w:cs="Cambria"/>
                <w:szCs w:val="22"/>
              </w:rPr>
              <w:t xml:space="preserve">PD </w:t>
            </w:r>
          </w:p>
        </w:tc>
        <w:tc>
          <w:tcPr>
            <w:tcW w:w="3792" w:type="pct"/>
          </w:tcPr>
          <w:p w14:paraId="42E8F10D"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Progressive disease </w:t>
            </w:r>
          </w:p>
        </w:tc>
      </w:tr>
      <w:tr w:rsidR="001925B4" w:rsidRPr="00D01DDB" w14:paraId="0AF08F8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4BC2E0D" w14:textId="77777777" w:rsidR="001925B4" w:rsidRPr="001C1D4A" w:rsidRDefault="001925B4">
            <w:pPr>
              <w:rPr>
                <w:rFonts w:cs="Cambria"/>
                <w:szCs w:val="22"/>
              </w:rPr>
            </w:pPr>
            <w:r w:rsidRPr="001C1D4A">
              <w:rPr>
                <w:rFonts w:cs="Cambria"/>
                <w:szCs w:val="22"/>
              </w:rPr>
              <w:t xml:space="preserve">PD </w:t>
            </w:r>
          </w:p>
        </w:tc>
        <w:tc>
          <w:tcPr>
            <w:tcW w:w="3792" w:type="pct"/>
          </w:tcPr>
          <w:p w14:paraId="723F8C26"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Pharmacodynamic </w:t>
            </w:r>
          </w:p>
        </w:tc>
      </w:tr>
      <w:tr w:rsidR="001925B4" w:rsidRPr="00D01DDB" w14:paraId="4FB43F9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9BE31E3" w14:textId="77777777" w:rsidR="001925B4" w:rsidRPr="001C1D4A" w:rsidRDefault="001925B4">
            <w:pPr>
              <w:rPr>
                <w:rFonts w:cs="Cambria"/>
                <w:szCs w:val="22"/>
              </w:rPr>
            </w:pPr>
            <w:r w:rsidRPr="001C1D4A">
              <w:rPr>
                <w:rFonts w:cs="Cambria"/>
                <w:szCs w:val="22"/>
              </w:rPr>
              <w:t xml:space="preserve">PDMP </w:t>
            </w:r>
          </w:p>
        </w:tc>
        <w:tc>
          <w:tcPr>
            <w:tcW w:w="3792" w:type="pct"/>
          </w:tcPr>
          <w:p w14:paraId="208CAC21"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Protocol Deviation Management Plan </w:t>
            </w:r>
          </w:p>
        </w:tc>
      </w:tr>
      <w:tr w:rsidR="001925B4" w:rsidRPr="00D01DDB" w14:paraId="75C1CC6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0F82FEA" w14:textId="77777777" w:rsidR="001925B4" w:rsidRPr="001C1D4A" w:rsidRDefault="001925B4">
            <w:pPr>
              <w:rPr>
                <w:rFonts w:cs="Cambria"/>
                <w:szCs w:val="22"/>
              </w:rPr>
            </w:pPr>
            <w:r w:rsidRPr="001C1D4A">
              <w:rPr>
                <w:rFonts w:cs="Cambria"/>
                <w:szCs w:val="22"/>
              </w:rPr>
              <w:t xml:space="preserve">PFS </w:t>
            </w:r>
          </w:p>
        </w:tc>
        <w:tc>
          <w:tcPr>
            <w:tcW w:w="3792" w:type="pct"/>
          </w:tcPr>
          <w:p w14:paraId="5C52F65A"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Progression free survival </w:t>
            </w:r>
          </w:p>
        </w:tc>
      </w:tr>
      <w:tr w:rsidR="001925B4" w:rsidRPr="00D01DDB" w14:paraId="4D069AD4"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6CCB430" w14:textId="77777777" w:rsidR="001925B4" w:rsidRPr="001C1D4A" w:rsidRDefault="001925B4">
            <w:pPr>
              <w:rPr>
                <w:rFonts w:cs="Cambria"/>
                <w:szCs w:val="22"/>
              </w:rPr>
            </w:pPr>
            <w:r w:rsidRPr="001C1D4A">
              <w:rPr>
                <w:rFonts w:cs="Cambria"/>
                <w:szCs w:val="22"/>
              </w:rPr>
              <w:t xml:space="preserve">PFS2 </w:t>
            </w:r>
          </w:p>
        </w:tc>
        <w:tc>
          <w:tcPr>
            <w:tcW w:w="3792" w:type="pct"/>
          </w:tcPr>
          <w:p w14:paraId="162964A4"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Time from randomisation to second progression or death </w:t>
            </w:r>
          </w:p>
        </w:tc>
      </w:tr>
      <w:tr w:rsidR="001925B4" w:rsidRPr="00D01DDB" w14:paraId="6B16424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16E9A26" w14:textId="77777777" w:rsidR="001925B4" w:rsidRPr="001C1D4A" w:rsidRDefault="001925B4">
            <w:pPr>
              <w:rPr>
                <w:rFonts w:cs="Cambria"/>
                <w:szCs w:val="22"/>
              </w:rPr>
            </w:pPr>
            <w:r w:rsidRPr="001C1D4A">
              <w:rPr>
                <w:rFonts w:cs="Cambria"/>
                <w:szCs w:val="22"/>
              </w:rPr>
              <w:t xml:space="preserve">PGI-TT </w:t>
            </w:r>
          </w:p>
        </w:tc>
        <w:tc>
          <w:tcPr>
            <w:tcW w:w="3792" w:type="pct"/>
          </w:tcPr>
          <w:p w14:paraId="5B1C6331"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Patient Global Impression-Treatment Tolerability </w:t>
            </w:r>
          </w:p>
        </w:tc>
      </w:tr>
      <w:tr w:rsidR="001925B4" w:rsidRPr="00D01DDB" w14:paraId="547B4C2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FF90105" w14:textId="77777777" w:rsidR="001925B4" w:rsidRPr="001C1D4A" w:rsidRDefault="001925B4">
            <w:pPr>
              <w:rPr>
                <w:rFonts w:cs="Cambria"/>
                <w:szCs w:val="22"/>
              </w:rPr>
            </w:pPr>
            <w:r w:rsidRPr="001C1D4A">
              <w:rPr>
                <w:rFonts w:cs="Cambria"/>
                <w:szCs w:val="22"/>
              </w:rPr>
              <w:t xml:space="preserve">PGIC </w:t>
            </w:r>
          </w:p>
        </w:tc>
        <w:tc>
          <w:tcPr>
            <w:tcW w:w="3792" w:type="pct"/>
          </w:tcPr>
          <w:p w14:paraId="1EA90040"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Patient Global Impression-Change </w:t>
            </w:r>
          </w:p>
        </w:tc>
      </w:tr>
      <w:tr w:rsidR="001925B4" w:rsidRPr="00D01DDB" w14:paraId="5CEEF51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92530CA" w14:textId="77777777" w:rsidR="001925B4" w:rsidRPr="001C1D4A" w:rsidRDefault="001925B4">
            <w:pPr>
              <w:rPr>
                <w:rFonts w:cs="Cambria"/>
                <w:szCs w:val="22"/>
              </w:rPr>
            </w:pPr>
            <w:r w:rsidRPr="001C1D4A">
              <w:rPr>
                <w:rFonts w:cs="Cambria"/>
                <w:szCs w:val="22"/>
              </w:rPr>
              <w:t xml:space="preserve">PGIS </w:t>
            </w:r>
          </w:p>
        </w:tc>
        <w:tc>
          <w:tcPr>
            <w:tcW w:w="3792" w:type="pct"/>
          </w:tcPr>
          <w:p w14:paraId="42CD66D6"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Patient Global Impression-Severity </w:t>
            </w:r>
          </w:p>
        </w:tc>
      </w:tr>
      <w:tr w:rsidR="001925B4" w:rsidRPr="00D01DDB" w14:paraId="45C0B758"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63D228F" w14:textId="77777777" w:rsidR="001925B4" w:rsidRPr="001C1D4A" w:rsidRDefault="001925B4">
            <w:pPr>
              <w:rPr>
                <w:rFonts w:cs="Cambria"/>
                <w:szCs w:val="22"/>
              </w:rPr>
            </w:pPr>
            <w:r w:rsidRPr="001C1D4A">
              <w:rPr>
                <w:rFonts w:cs="Cambria"/>
                <w:szCs w:val="22"/>
              </w:rPr>
              <w:t xml:space="preserve">PI </w:t>
            </w:r>
          </w:p>
        </w:tc>
        <w:tc>
          <w:tcPr>
            <w:tcW w:w="3792" w:type="pct"/>
          </w:tcPr>
          <w:p w14:paraId="0263B26D"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Principal Investigator </w:t>
            </w:r>
          </w:p>
        </w:tc>
      </w:tr>
      <w:tr w:rsidR="001925B4" w:rsidRPr="00D01DDB" w14:paraId="7AF0E6D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D468A35" w14:textId="77777777" w:rsidR="001925B4" w:rsidRPr="001C1D4A" w:rsidRDefault="001925B4">
            <w:pPr>
              <w:rPr>
                <w:rFonts w:cs="Cambria"/>
                <w:szCs w:val="22"/>
              </w:rPr>
            </w:pPr>
            <w:r w:rsidRPr="001C1D4A">
              <w:rPr>
                <w:rFonts w:cs="Cambria"/>
                <w:szCs w:val="22"/>
              </w:rPr>
              <w:t xml:space="preserve">PI3K </w:t>
            </w:r>
          </w:p>
        </w:tc>
        <w:tc>
          <w:tcPr>
            <w:tcW w:w="3792" w:type="pct"/>
          </w:tcPr>
          <w:p w14:paraId="6630D890"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Phosphatidylinositol-3-kinase </w:t>
            </w:r>
          </w:p>
        </w:tc>
      </w:tr>
      <w:tr w:rsidR="001925B4" w:rsidRPr="00D01DDB" w14:paraId="1486E40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6D416AE" w14:textId="77777777" w:rsidR="001925B4" w:rsidRPr="001C1D4A" w:rsidRDefault="001925B4">
            <w:pPr>
              <w:rPr>
                <w:rFonts w:cs="Cambria"/>
                <w:szCs w:val="22"/>
              </w:rPr>
            </w:pPr>
            <w:r w:rsidRPr="001C1D4A">
              <w:rPr>
                <w:rFonts w:cs="Cambria"/>
                <w:i/>
                <w:iCs/>
                <w:szCs w:val="22"/>
              </w:rPr>
              <w:t xml:space="preserve">PIK3CA </w:t>
            </w:r>
          </w:p>
        </w:tc>
        <w:tc>
          <w:tcPr>
            <w:tcW w:w="3792" w:type="pct"/>
          </w:tcPr>
          <w:p w14:paraId="1176C597"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Phosphatidylinositol-4.5-biphosphate 3-kinase catalytic subunit alpha (gene) </w:t>
            </w:r>
          </w:p>
        </w:tc>
      </w:tr>
      <w:tr w:rsidR="001925B4" w:rsidRPr="00D01DDB" w14:paraId="68F7CAD0"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5E7E1C1" w14:textId="77777777" w:rsidR="001925B4" w:rsidRPr="001C1D4A" w:rsidRDefault="001925B4">
            <w:pPr>
              <w:rPr>
                <w:rFonts w:cs="Cambria"/>
                <w:i/>
                <w:iCs/>
                <w:szCs w:val="22"/>
              </w:rPr>
            </w:pPr>
            <w:r w:rsidRPr="001C1D4A">
              <w:rPr>
                <w:rFonts w:cs="Cambria"/>
                <w:szCs w:val="22"/>
              </w:rPr>
              <w:t xml:space="preserve">PK </w:t>
            </w:r>
          </w:p>
        </w:tc>
        <w:tc>
          <w:tcPr>
            <w:tcW w:w="3792" w:type="pct"/>
          </w:tcPr>
          <w:p w14:paraId="7BCC5578"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Pharmacokinetic </w:t>
            </w:r>
          </w:p>
        </w:tc>
      </w:tr>
      <w:tr w:rsidR="001925B4" w:rsidRPr="00D01DDB" w14:paraId="6A6324C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52C6EE6" w14:textId="77777777" w:rsidR="001925B4" w:rsidRPr="001C1D4A" w:rsidRDefault="001925B4">
            <w:pPr>
              <w:rPr>
                <w:rFonts w:cs="Cambria"/>
                <w:szCs w:val="22"/>
              </w:rPr>
            </w:pPr>
            <w:r w:rsidRPr="001C1D4A">
              <w:rPr>
                <w:rFonts w:cs="Cambria"/>
                <w:szCs w:val="22"/>
              </w:rPr>
              <w:t xml:space="preserve">PKB </w:t>
            </w:r>
          </w:p>
        </w:tc>
        <w:tc>
          <w:tcPr>
            <w:tcW w:w="3792" w:type="pct"/>
          </w:tcPr>
          <w:p w14:paraId="14A71F29"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Protein kinase B </w:t>
            </w:r>
          </w:p>
        </w:tc>
      </w:tr>
      <w:tr w:rsidR="001925B4" w:rsidRPr="00D01DDB" w14:paraId="7A5B761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8880CE3" w14:textId="77777777" w:rsidR="001925B4" w:rsidRPr="001C1D4A" w:rsidRDefault="001925B4">
            <w:pPr>
              <w:rPr>
                <w:rFonts w:cs="Cambria"/>
                <w:szCs w:val="22"/>
              </w:rPr>
            </w:pPr>
            <w:r w:rsidRPr="001C1D4A">
              <w:rPr>
                <w:rFonts w:cs="Cambria"/>
                <w:szCs w:val="22"/>
              </w:rPr>
              <w:t xml:space="preserve">PKPD </w:t>
            </w:r>
          </w:p>
        </w:tc>
        <w:tc>
          <w:tcPr>
            <w:tcW w:w="3792" w:type="pct"/>
          </w:tcPr>
          <w:p w14:paraId="16634BB1"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Pharmacokinetic-pharmacodynamic </w:t>
            </w:r>
          </w:p>
        </w:tc>
      </w:tr>
      <w:tr w:rsidR="001925B4" w:rsidRPr="00D01DDB" w14:paraId="19A187EE"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1CDC09F" w14:textId="77777777" w:rsidR="001925B4" w:rsidRPr="001C1D4A" w:rsidRDefault="001925B4">
            <w:pPr>
              <w:rPr>
                <w:rFonts w:cs="Cambria"/>
                <w:szCs w:val="22"/>
              </w:rPr>
            </w:pPr>
            <w:proofErr w:type="spellStart"/>
            <w:r w:rsidRPr="001C1D4A">
              <w:rPr>
                <w:rFonts w:cs="Cambria"/>
                <w:szCs w:val="22"/>
              </w:rPr>
              <w:t>popPK</w:t>
            </w:r>
            <w:proofErr w:type="spellEnd"/>
            <w:r w:rsidRPr="001C1D4A">
              <w:rPr>
                <w:rFonts w:cs="Cambria"/>
                <w:szCs w:val="22"/>
              </w:rPr>
              <w:t xml:space="preserve"> </w:t>
            </w:r>
          </w:p>
        </w:tc>
        <w:tc>
          <w:tcPr>
            <w:tcW w:w="3792" w:type="pct"/>
          </w:tcPr>
          <w:p w14:paraId="6D636834"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Population pharmacokinetic </w:t>
            </w:r>
          </w:p>
        </w:tc>
      </w:tr>
      <w:tr w:rsidR="001925B4" w:rsidRPr="00D01DDB" w14:paraId="5F2A00A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4E884CF" w14:textId="77777777" w:rsidR="001925B4" w:rsidRPr="001C1D4A" w:rsidRDefault="001925B4">
            <w:pPr>
              <w:rPr>
                <w:rFonts w:cs="Cambria"/>
                <w:szCs w:val="22"/>
              </w:rPr>
            </w:pPr>
            <w:r w:rsidRPr="001C1D4A">
              <w:rPr>
                <w:rFonts w:cs="Cambria"/>
                <w:szCs w:val="22"/>
              </w:rPr>
              <w:t xml:space="preserve">PR </w:t>
            </w:r>
          </w:p>
        </w:tc>
        <w:tc>
          <w:tcPr>
            <w:tcW w:w="3792" w:type="pct"/>
          </w:tcPr>
          <w:p w14:paraId="473BE0C0"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Partial response </w:t>
            </w:r>
          </w:p>
        </w:tc>
      </w:tr>
      <w:tr w:rsidR="001925B4" w:rsidRPr="00D01DDB" w14:paraId="6D4E946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96753B7" w14:textId="77777777" w:rsidR="001925B4" w:rsidRPr="001C1D4A" w:rsidRDefault="001925B4">
            <w:pPr>
              <w:rPr>
                <w:rFonts w:cs="Cambria"/>
                <w:szCs w:val="22"/>
              </w:rPr>
            </w:pPr>
            <w:r w:rsidRPr="001C1D4A">
              <w:rPr>
                <w:rFonts w:cs="Cambria"/>
                <w:szCs w:val="22"/>
              </w:rPr>
              <w:t xml:space="preserve">PR, PR+, PR- </w:t>
            </w:r>
          </w:p>
        </w:tc>
        <w:tc>
          <w:tcPr>
            <w:tcW w:w="3792" w:type="pct"/>
          </w:tcPr>
          <w:p w14:paraId="3C037FE7"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Progesterone receptor, PR-positive, PR-negative </w:t>
            </w:r>
          </w:p>
        </w:tc>
      </w:tr>
      <w:tr w:rsidR="001925B4" w:rsidRPr="00D01DDB" w14:paraId="6F30101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A9F8123" w14:textId="77777777" w:rsidR="001925B4" w:rsidRPr="001C1D4A" w:rsidRDefault="001925B4">
            <w:pPr>
              <w:rPr>
                <w:rFonts w:cs="Cambria"/>
                <w:szCs w:val="22"/>
              </w:rPr>
            </w:pPr>
            <w:r w:rsidRPr="001C1D4A">
              <w:rPr>
                <w:rFonts w:cs="Cambria"/>
                <w:szCs w:val="22"/>
              </w:rPr>
              <w:t xml:space="preserve">PRO </w:t>
            </w:r>
          </w:p>
        </w:tc>
        <w:tc>
          <w:tcPr>
            <w:tcW w:w="3792" w:type="pct"/>
          </w:tcPr>
          <w:p w14:paraId="542A2090"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Patient-reported outcome </w:t>
            </w:r>
          </w:p>
        </w:tc>
      </w:tr>
      <w:tr w:rsidR="001925B4" w:rsidRPr="00D01DDB" w14:paraId="61111FA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1E67C7B" w14:textId="77777777" w:rsidR="001925B4" w:rsidRPr="001C1D4A" w:rsidRDefault="001925B4">
            <w:pPr>
              <w:rPr>
                <w:rFonts w:cs="Cambria"/>
                <w:szCs w:val="22"/>
              </w:rPr>
            </w:pPr>
            <w:r w:rsidRPr="001C1D4A">
              <w:rPr>
                <w:rFonts w:cs="Cambria"/>
                <w:szCs w:val="22"/>
              </w:rPr>
              <w:t xml:space="preserve">PRO-CTCAE </w:t>
            </w:r>
          </w:p>
        </w:tc>
        <w:tc>
          <w:tcPr>
            <w:tcW w:w="3792" w:type="pct"/>
          </w:tcPr>
          <w:p w14:paraId="224235A8"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Patient-Reported Outcomes version of the Common Terminology Criteria for Adverse Events </w:t>
            </w:r>
          </w:p>
        </w:tc>
      </w:tr>
      <w:tr w:rsidR="001925B4" w:rsidRPr="00D01DDB" w14:paraId="01629E1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8F76D21" w14:textId="77777777" w:rsidR="001925B4" w:rsidRPr="001C1D4A" w:rsidRDefault="001925B4">
            <w:pPr>
              <w:rPr>
                <w:rFonts w:cs="Cambria"/>
                <w:szCs w:val="22"/>
              </w:rPr>
            </w:pPr>
            <w:r w:rsidRPr="001C1D4A">
              <w:rPr>
                <w:rFonts w:cs="Cambria"/>
                <w:szCs w:val="22"/>
              </w:rPr>
              <w:t xml:space="preserve">PS </w:t>
            </w:r>
          </w:p>
        </w:tc>
        <w:tc>
          <w:tcPr>
            <w:tcW w:w="3792" w:type="pct"/>
          </w:tcPr>
          <w:p w14:paraId="77227EAD"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Performance status </w:t>
            </w:r>
          </w:p>
        </w:tc>
      </w:tr>
      <w:tr w:rsidR="001925B4" w:rsidRPr="00D01DDB" w14:paraId="7B829F6E"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F56EFAE" w14:textId="77777777" w:rsidR="001925B4" w:rsidRPr="001C1D4A" w:rsidRDefault="001925B4">
            <w:pPr>
              <w:rPr>
                <w:rFonts w:cs="Cambria"/>
                <w:szCs w:val="22"/>
              </w:rPr>
            </w:pPr>
            <w:proofErr w:type="spellStart"/>
            <w:r w:rsidRPr="001C1D4A">
              <w:rPr>
                <w:rFonts w:cs="Cambria"/>
                <w:szCs w:val="22"/>
              </w:rPr>
              <w:t>PsN</w:t>
            </w:r>
            <w:proofErr w:type="spellEnd"/>
            <w:r w:rsidRPr="001C1D4A">
              <w:rPr>
                <w:rFonts w:cs="Cambria"/>
                <w:szCs w:val="22"/>
              </w:rPr>
              <w:t xml:space="preserve"> </w:t>
            </w:r>
          </w:p>
        </w:tc>
        <w:tc>
          <w:tcPr>
            <w:tcW w:w="3792" w:type="pct"/>
          </w:tcPr>
          <w:p w14:paraId="0535C992"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Perl-speaks-NONMEM </w:t>
            </w:r>
          </w:p>
        </w:tc>
      </w:tr>
      <w:tr w:rsidR="001925B4" w:rsidRPr="00D01DDB" w14:paraId="0404FB1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D2B4468" w14:textId="77777777" w:rsidR="001925B4" w:rsidRPr="001C1D4A" w:rsidRDefault="001925B4">
            <w:pPr>
              <w:rPr>
                <w:rFonts w:cs="Cambria"/>
                <w:szCs w:val="22"/>
              </w:rPr>
            </w:pPr>
            <w:r w:rsidRPr="001C1D4A">
              <w:rPr>
                <w:rFonts w:cs="Cambria"/>
                <w:szCs w:val="22"/>
              </w:rPr>
              <w:t xml:space="preserve">PT </w:t>
            </w:r>
          </w:p>
        </w:tc>
        <w:tc>
          <w:tcPr>
            <w:tcW w:w="3792" w:type="pct"/>
          </w:tcPr>
          <w:p w14:paraId="5FEC36F3"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Preferred term </w:t>
            </w:r>
          </w:p>
        </w:tc>
      </w:tr>
      <w:tr w:rsidR="001925B4" w:rsidRPr="00D01DDB" w14:paraId="4BEB69B5"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E209F81" w14:textId="77777777" w:rsidR="001925B4" w:rsidRPr="001C1D4A" w:rsidRDefault="001925B4">
            <w:pPr>
              <w:rPr>
                <w:rFonts w:cs="Cambria"/>
                <w:szCs w:val="22"/>
              </w:rPr>
            </w:pPr>
            <w:r w:rsidRPr="001C1D4A">
              <w:rPr>
                <w:rFonts w:cs="Cambria"/>
                <w:szCs w:val="22"/>
              </w:rPr>
              <w:t xml:space="preserve">PTEN </w:t>
            </w:r>
          </w:p>
        </w:tc>
        <w:tc>
          <w:tcPr>
            <w:tcW w:w="3792" w:type="pct"/>
          </w:tcPr>
          <w:p w14:paraId="5493FA05"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Phosphatase and </w:t>
            </w:r>
            <w:proofErr w:type="spellStart"/>
            <w:r w:rsidRPr="001C1D4A">
              <w:rPr>
                <w:rFonts w:cs="Cambria"/>
                <w:szCs w:val="22"/>
              </w:rPr>
              <w:t>tensin</w:t>
            </w:r>
            <w:proofErr w:type="spellEnd"/>
            <w:r w:rsidRPr="001C1D4A">
              <w:rPr>
                <w:rFonts w:cs="Cambria"/>
                <w:szCs w:val="22"/>
              </w:rPr>
              <w:t xml:space="preserve"> homolog (protein) </w:t>
            </w:r>
          </w:p>
        </w:tc>
      </w:tr>
      <w:tr w:rsidR="001925B4" w:rsidRPr="00D01DDB" w14:paraId="0399709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1432111" w14:textId="77777777" w:rsidR="001925B4" w:rsidRPr="001C1D4A" w:rsidRDefault="001925B4">
            <w:pPr>
              <w:rPr>
                <w:rFonts w:cs="Cambria"/>
                <w:szCs w:val="22"/>
              </w:rPr>
            </w:pPr>
            <w:r w:rsidRPr="001C1D4A">
              <w:rPr>
                <w:rFonts w:cs="Cambria"/>
                <w:i/>
                <w:iCs/>
                <w:szCs w:val="22"/>
              </w:rPr>
              <w:t xml:space="preserve">PTEN </w:t>
            </w:r>
          </w:p>
        </w:tc>
        <w:tc>
          <w:tcPr>
            <w:tcW w:w="3792" w:type="pct"/>
          </w:tcPr>
          <w:p w14:paraId="27585AA0"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Phosphatase and </w:t>
            </w:r>
            <w:proofErr w:type="spellStart"/>
            <w:r w:rsidRPr="001C1D4A">
              <w:rPr>
                <w:rFonts w:cs="Cambria"/>
                <w:szCs w:val="22"/>
              </w:rPr>
              <w:t>tensin</w:t>
            </w:r>
            <w:proofErr w:type="spellEnd"/>
            <w:r w:rsidRPr="001C1D4A">
              <w:rPr>
                <w:rFonts w:cs="Cambria"/>
                <w:szCs w:val="22"/>
              </w:rPr>
              <w:t xml:space="preserve"> homolog (gene) </w:t>
            </w:r>
          </w:p>
        </w:tc>
      </w:tr>
      <w:tr w:rsidR="001925B4" w:rsidRPr="00D01DDB" w14:paraId="2B7587A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081EB43" w14:textId="77777777" w:rsidR="001925B4" w:rsidRPr="001C1D4A" w:rsidRDefault="001925B4">
            <w:pPr>
              <w:rPr>
                <w:rFonts w:cs="Cambria"/>
                <w:i/>
                <w:iCs/>
                <w:szCs w:val="22"/>
              </w:rPr>
            </w:pPr>
            <w:r w:rsidRPr="001C1D4A">
              <w:rPr>
                <w:rFonts w:cs="Cambria"/>
                <w:szCs w:val="22"/>
              </w:rPr>
              <w:t xml:space="preserve">PS </w:t>
            </w:r>
          </w:p>
        </w:tc>
        <w:tc>
          <w:tcPr>
            <w:tcW w:w="3792" w:type="pct"/>
          </w:tcPr>
          <w:p w14:paraId="032B33F9"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Performance status </w:t>
            </w:r>
          </w:p>
        </w:tc>
      </w:tr>
      <w:tr w:rsidR="001925B4" w:rsidRPr="00D01DDB" w14:paraId="2D5559A5"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6E14A30" w14:textId="77777777" w:rsidR="001925B4" w:rsidRPr="001C1D4A" w:rsidRDefault="001925B4">
            <w:pPr>
              <w:rPr>
                <w:rFonts w:cs="Cambria"/>
                <w:szCs w:val="22"/>
              </w:rPr>
            </w:pPr>
            <w:r w:rsidRPr="001C1D4A">
              <w:rPr>
                <w:rFonts w:cs="Cambria"/>
                <w:szCs w:val="22"/>
              </w:rPr>
              <w:t xml:space="preserve">Q </w:t>
            </w:r>
          </w:p>
        </w:tc>
        <w:tc>
          <w:tcPr>
            <w:tcW w:w="3792" w:type="pct"/>
          </w:tcPr>
          <w:p w14:paraId="1BE7F958"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Intercompartmental clearance </w:t>
            </w:r>
          </w:p>
        </w:tc>
      </w:tr>
      <w:tr w:rsidR="001925B4" w:rsidRPr="00D01DDB" w14:paraId="58AC091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E5CDD04" w14:textId="77777777" w:rsidR="001925B4" w:rsidRPr="001C1D4A" w:rsidRDefault="001925B4">
            <w:pPr>
              <w:rPr>
                <w:rFonts w:cs="Cambria"/>
                <w:szCs w:val="22"/>
              </w:rPr>
            </w:pPr>
            <w:r w:rsidRPr="001C1D4A">
              <w:rPr>
                <w:rFonts w:cs="Cambria"/>
                <w:szCs w:val="22"/>
              </w:rPr>
              <w:t xml:space="preserve">Q1 </w:t>
            </w:r>
          </w:p>
        </w:tc>
        <w:tc>
          <w:tcPr>
            <w:tcW w:w="3792" w:type="pct"/>
          </w:tcPr>
          <w:p w14:paraId="0B97C6A3"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First quartile </w:t>
            </w:r>
          </w:p>
        </w:tc>
      </w:tr>
      <w:tr w:rsidR="001925B4" w:rsidRPr="00D01DDB" w14:paraId="6D8B4DD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AE4D7AC" w14:textId="77777777" w:rsidR="001925B4" w:rsidRPr="001C1D4A" w:rsidRDefault="001925B4">
            <w:pPr>
              <w:rPr>
                <w:rFonts w:cs="Cambria"/>
                <w:szCs w:val="22"/>
              </w:rPr>
            </w:pPr>
            <w:r w:rsidRPr="001C1D4A">
              <w:rPr>
                <w:rFonts w:cs="Cambria"/>
                <w:szCs w:val="22"/>
              </w:rPr>
              <w:t xml:space="preserve">Q3 </w:t>
            </w:r>
          </w:p>
        </w:tc>
        <w:tc>
          <w:tcPr>
            <w:tcW w:w="3792" w:type="pct"/>
          </w:tcPr>
          <w:p w14:paraId="1832BD0D"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Third quartile </w:t>
            </w:r>
          </w:p>
        </w:tc>
      </w:tr>
      <w:tr w:rsidR="001925B4" w:rsidRPr="00D01DDB" w14:paraId="3F70FBF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4366B88" w14:textId="77777777" w:rsidR="001925B4" w:rsidRPr="001C1D4A" w:rsidRDefault="001925B4">
            <w:pPr>
              <w:rPr>
                <w:rFonts w:cs="Cambria"/>
                <w:szCs w:val="22"/>
              </w:rPr>
            </w:pPr>
            <w:r w:rsidRPr="001C1D4A">
              <w:rPr>
                <w:rFonts w:cs="Cambria"/>
                <w:szCs w:val="22"/>
              </w:rPr>
              <w:t xml:space="preserve">QC </w:t>
            </w:r>
          </w:p>
        </w:tc>
        <w:tc>
          <w:tcPr>
            <w:tcW w:w="3792" w:type="pct"/>
          </w:tcPr>
          <w:p w14:paraId="06C7F0E4"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Quality control </w:t>
            </w:r>
          </w:p>
        </w:tc>
      </w:tr>
      <w:tr w:rsidR="001925B4" w:rsidRPr="00D01DDB" w14:paraId="30D0B17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C7E57B1" w14:textId="77777777" w:rsidR="001925B4" w:rsidRPr="001C1D4A" w:rsidRDefault="001925B4">
            <w:pPr>
              <w:rPr>
                <w:rFonts w:cs="Cambria"/>
                <w:szCs w:val="22"/>
              </w:rPr>
            </w:pPr>
            <w:r w:rsidRPr="001C1D4A">
              <w:rPr>
                <w:rFonts w:cs="Cambria"/>
                <w:szCs w:val="22"/>
              </w:rPr>
              <w:t xml:space="preserve">QoL </w:t>
            </w:r>
          </w:p>
        </w:tc>
        <w:tc>
          <w:tcPr>
            <w:tcW w:w="3792" w:type="pct"/>
          </w:tcPr>
          <w:p w14:paraId="45F706E7"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Quality of life </w:t>
            </w:r>
          </w:p>
        </w:tc>
      </w:tr>
      <w:tr w:rsidR="001925B4" w:rsidRPr="00D01DDB" w14:paraId="0526E80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13440F9" w14:textId="77777777" w:rsidR="001925B4" w:rsidRPr="001C1D4A" w:rsidRDefault="001925B4">
            <w:pPr>
              <w:rPr>
                <w:rFonts w:cs="Cambria"/>
                <w:szCs w:val="22"/>
              </w:rPr>
            </w:pPr>
            <w:r w:rsidRPr="001C1D4A">
              <w:rPr>
                <w:rFonts w:cs="Cambria"/>
                <w:szCs w:val="22"/>
              </w:rPr>
              <w:lastRenderedPageBreak/>
              <w:t xml:space="preserve">QTc </w:t>
            </w:r>
          </w:p>
        </w:tc>
        <w:tc>
          <w:tcPr>
            <w:tcW w:w="3792" w:type="pct"/>
          </w:tcPr>
          <w:p w14:paraId="5CAD7323"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Corrected QT interval </w:t>
            </w:r>
          </w:p>
        </w:tc>
      </w:tr>
      <w:tr w:rsidR="001925B4" w:rsidRPr="00D01DDB" w14:paraId="2D4FF04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09FEDA5" w14:textId="77777777" w:rsidR="001925B4" w:rsidRPr="001C1D4A" w:rsidRDefault="001925B4">
            <w:pPr>
              <w:rPr>
                <w:rFonts w:cs="Cambria"/>
                <w:szCs w:val="22"/>
              </w:rPr>
            </w:pPr>
            <w:proofErr w:type="spellStart"/>
            <w:r w:rsidRPr="001C1D4A">
              <w:rPr>
                <w:rFonts w:cs="Cambria"/>
                <w:szCs w:val="22"/>
              </w:rPr>
              <w:t>QTcF</w:t>
            </w:r>
            <w:proofErr w:type="spellEnd"/>
            <w:r w:rsidRPr="001C1D4A">
              <w:rPr>
                <w:rFonts w:cs="Cambria"/>
                <w:szCs w:val="22"/>
              </w:rPr>
              <w:t xml:space="preserve"> </w:t>
            </w:r>
          </w:p>
        </w:tc>
        <w:tc>
          <w:tcPr>
            <w:tcW w:w="3792" w:type="pct"/>
          </w:tcPr>
          <w:p w14:paraId="526CA703"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Corrected QT interval by Fridericia’s formula </w:t>
            </w:r>
          </w:p>
        </w:tc>
      </w:tr>
      <w:tr w:rsidR="001925B4" w:rsidRPr="00D01DDB" w14:paraId="63310EA4"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EC20452" w14:textId="77777777" w:rsidR="001925B4" w:rsidRPr="001C1D4A" w:rsidRDefault="001925B4">
            <w:pPr>
              <w:rPr>
                <w:rFonts w:cs="Cambria"/>
                <w:szCs w:val="22"/>
              </w:rPr>
            </w:pPr>
            <w:r w:rsidRPr="001C1D4A">
              <w:rPr>
                <w:rFonts w:cs="Cambria"/>
                <w:szCs w:val="22"/>
              </w:rPr>
              <w:t xml:space="preserve">RD </w:t>
            </w:r>
          </w:p>
        </w:tc>
        <w:tc>
          <w:tcPr>
            <w:tcW w:w="3792" w:type="pct"/>
          </w:tcPr>
          <w:p w14:paraId="242CBBE5"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Recommended dose </w:t>
            </w:r>
          </w:p>
        </w:tc>
      </w:tr>
      <w:tr w:rsidR="001925B4" w:rsidRPr="00D01DDB" w14:paraId="01C15F04"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C0B8A3C" w14:textId="77777777" w:rsidR="001925B4" w:rsidRPr="001C1D4A" w:rsidRDefault="001925B4">
            <w:pPr>
              <w:rPr>
                <w:rFonts w:cs="Cambria"/>
                <w:szCs w:val="22"/>
              </w:rPr>
            </w:pPr>
            <w:r w:rsidRPr="001C1D4A">
              <w:rPr>
                <w:rFonts w:cs="Cambria"/>
                <w:szCs w:val="22"/>
              </w:rPr>
              <w:t xml:space="preserve">RECIST </w:t>
            </w:r>
          </w:p>
        </w:tc>
        <w:tc>
          <w:tcPr>
            <w:tcW w:w="3792" w:type="pct"/>
          </w:tcPr>
          <w:p w14:paraId="11C305C7"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Response Evaluation Criteria in Solid Tumours </w:t>
            </w:r>
          </w:p>
        </w:tc>
      </w:tr>
      <w:tr w:rsidR="001925B4" w:rsidRPr="00D01DDB" w14:paraId="15E762C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266C702" w14:textId="77777777" w:rsidR="001925B4" w:rsidRPr="001C1D4A" w:rsidRDefault="001925B4">
            <w:pPr>
              <w:rPr>
                <w:rFonts w:cs="Cambria"/>
                <w:szCs w:val="22"/>
              </w:rPr>
            </w:pPr>
            <w:r w:rsidRPr="001C1D4A">
              <w:rPr>
                <w:rFonts w:cs="Cambria"/>
                <w:szCs w:val="22"/>
              </w:rPr>
              <w:t xml:space="preserve">RECIST v1.1 </w:t>
            </w:r>
          </w:p>
        </w:tc>
        <w:tc>
          <w:tcPr>
            <w:tcW w:w="3792" w:type="pct"/>
          </w:tcPr>
          <w:p w14:paraId="6BED9E86"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Response Evaluation Criteria in Solid Tumours version 1.1 </w:t>
            </w:r>
          </w:p>
        </w:tc>
      </w:tr>
      <w:tr w:rsidR="001925B4" w:rsidRPr="00D01DDB" w14:paraId="4442BA9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8C46B7D" w14:textId="77777777" w:rsidR="001925B4" w:rsidRPr="001C1D4A" w:rsidRDefault="001925B4">
            <w:pPr>
              <w:rPr>
                <w:rFonts w:cs="Cambria"/>
                <w:szCs w:val="22"/>
              </w:rPr>
            </w:pPr>
            <w:r w:rsidRPr="001C1D4A">
              <w:rPr>
                <w:rFonts w:cs="Cambria"/>
                <w:szCs w:val="22"/>
              </w:rPr>
              <w:t xml:space="preserve">RNA </w:t>
            </w:r>
          </w:p>
        </w:tc>
        <w:tc>
          <w:tcPr>
            <w:tcW w:w="3792" w:type="pct"/>
          </w:tcPr>
          <w:p w14:paraId="525C9165"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Ribonucleic acid </w:t>
            </w:r>
          </w:p>
        </w:tc>
      </w:tr>
      <w:tr w:rsidR="001925B4" w:rsidRPr="00D01DDB" w14:paraId="4AFC397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EFDFA97" w14:textId="77777777" w:rsidR="001925B4" w:rsidRPr="001C1D4A" w:rsidRDefault="001925B4">
            <w:pPr>
              <w:rPr>
                <w:rFonts w:cs="Cambria"/>
                <w:szCs w:val="22"/>
              </w:rPr>
            </w:pPr>
            <w:r w:rsidRPr="001C1D4A">
              <w:rPr>
                <w:rFonts w:cs="Cambria"/>
                <w:szCs w:val="22"/>
              </w:rPr>
              <w:t xml:space="preserve">RSE </w:t>
            </w:r>
          </w:p>
        </w:tc>
        <w:tc>
          <w:tcPr>
            <w:tcW w:w="3792" w:type="pct"/>
          </w:tcPr>
          <w:p w14:paraId="00835FBB"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Relative standard error </w:t>
            </w:r>
          </w:p>
        </w:tc>
      </w:tr>
      <w:tr w:rsidR="001925B4" w:rsidRPr="00D01DDB" w14:paraId="13EF05F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9363EDC" w14:textId="77777777" w:rsidR="001925B4" w:rsidRPr="001C1D4A" w:rsidRDefault="001925B4">
            <w:pPr>
              <w:rPr>
                <w:rFonts w:cs="Cambria"/>
                <w:szCs w:val="22"/>
              </w:rPr>
            </w:pPr>
            <w:r w:rsidRPr="001C1D4A">
              <w:rPr>
                <w:rFonts w:cs="Cambria"/>
                <w:szCs w:val="22"/>
              </w:rPr>
              <w:t xml:space="preserve">RUV </w:t>
            </w:r>
          </w:p>
        </w:tc>
        <w:tc>
          <w:tcPr>
            <w:tcW w:w="3792" w:type="pct"/>
          </w:tcPr>
          <w:p w14:paraId="41166A0B"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Residual unexplained variability </w:t>
            </w:r>
          </w:p>
        </w:tc>
      </w:tr>
      <w:tr w:rsidR="001925B4" w:rsidRPr="00D01DDB" w14:paraId="340EAFE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3C4594D" w14:textId="77777777" w:rsidR="001925B4" w:rsidRPr="001C1D4A" w:rsidRDefault="001925B4">
            <w:pPr>
              <w:rPr>
                <w:rFonts w:cs="Cambria"/>
                <w:szCs w:val="22"/>
              </w:rPr>
            </w:pPr>
            <w:r w:rsidRPr="001C1D4A">
              <w:rPr>
                <w:rFonts w:cs="Cambria"/>
                <w:szCs w:val="22"/>
              </w:rPr>
              <w:t xml:space="preserve">SAE </w:t>
            </w:r>
          </w:p>
        </w:tc>
        <w:tc>
          <w:tcPr>
            <w:tcW w:w="3792" w:type="pct"/>
          </w:tcPr>
          <w:p w14:paraId="2EA2BBE3"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Serious adverse event </w:t>
            </w:r>
          </w:p>
        </w:tc>
      </w:tr>
      <w:tr w:rsidR="001925B4" w:rsidRPr="00D01DDB" w14:paraId="3D4B5EA4"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2802DB4" w14:textId="77777777" w:rsidR="001925B4" w:rsidRPr="001C1D4A" w:rsidRDefault="001925B4">
            <w:pPr>
              <w:rPr>
                <w:rFonts w:cs="Cambria"/>
                <w:szCs w:val="22"/>
              </w:rPr>
            </w:pPr>
            <w:r w:rsidRPr="001C1D4A">
              <w:rPr>
                <w:rFonts w:cs="Cambria"/>
                <w:szCs w:val="22"/>
              </w:rPr>
              <w:t xml:space="preserve">SAEM </w:t>
            </w:r>
          </w:p>
        </w:tc>
        <w:tc>
          <w:tcPr>
            <w:tcW w:w="3792" w:type="pct"/>
          </w:tcPr>
          <w:p w14:paraId="7A662FF9"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Stochastic approximation expectation-maximisation </w:t>
            </w:r>
          </w:p>
        </w:tc>
      </w:tr>
      <w:tr w:rsidR="001925B4" w:rsidRPr="00D01DDB" w14:paraId="21D4385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F7A84BC" w14:textId="77777777" w:rsidR="001925B4" w:rsidRPr="001C1D4A" w:rsidRDefault="001925B4">
            <w:pPr>
              <w:rPr>
                <w:rFonts w:cs="Cambria"/>
                <w:szCs w:val="22"/>
              </w:rPr>
            </w:pPr>
            <w:r w:rsidRPr="001C1D4A">
              <w:rPr>
                <w:rFonts w:cs="Cambria"/>
                <w:szCs w:val="22"/>
              </w:rPr>
              <w:t xml:space="preserve">SAS </w:t>
            </w:r>
          </w:p>
        </w:tc>
        <w:tc>
          <w:tcPr>
            <w:tcW w:w="3792" w:type="pct"/>
          </w:tcPr>
          <w:p w14:paraId="6A42DAE3"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Safety analysis set </w:t>
            </w:r>
          </w:p>
        </w:tc>
      </w:tr>
      <w:tr w:rsidR="001925B4" w:rsidRPr="00D01DDB" w14:paraId="2587C967"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5814CF2" w14:textId="77777777" w:rsidR="001925B4" w:rsidRPr="001C1D4A" w:rsidRDefault="001925B4">
            <w:pPr>
              <w:rPr>
                <w:rFonts w:cs="Cambria"/>
                <w:szCs w:val="22"/>
              </w:rPr>
            </w:pPr>
            <w:r w:rsidRPr="001C1D4A">
              <w:rPr>
                <w:rFonts w:cs="Cambria"/>
                <w:szCs w:val="22"/>
              </w:rPr>
              <w:t xml:space="preserve">SAP </w:t>
            </w:r>
          </w:p>
        </w:tc>
        <w:tc>
          <w:tcPr>
            <w:tcW w:w="3792" w:type="pct"/>
          </w:tcPr>
          <w:p w14:paraId="2C71D1BB"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Statistical Analysis Plan </w:t>
            </w:r>
          </w:p>
        </w:tc>
      </w:tr>
      <w:tr w:rsidR="001925B4" w:rsidRPr="00D01DDB" w14:paraId="34AF20A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9104ABE" w14:textId="77777777" w:rsidR="001925B4" w:rsidRPr="001C1D4A" w:rsidRDefault="001925B4">
            <w:pPr>
              <w:rPr>
                <w:rFonts w:cs="Cambria"/>
                <w:szCs w:val="22"/>
              </w:rPr>
            </w:pPr>
            <w:r w:rsidRPr="001C1D4A">
              <w:rPr>
                <w:rFonts w:cs="Cambria"/>
                <w:szCs w:val="22"/>
              </w:rPr>
              <w:t xml:space="preserve">SD </w:t>
            </w:r>
          </w:p>
        </w:tc>
        <w:tc>
          <w:tcPr>
            <w:tcW w:w="3792" w:type="pct"/>
          </w:tcPr>
          <w:p w14:paraId="11102D86"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Stable disease </w:t>
            </w:r>
          </w:p>
        </w:tc>
      </w:tr>
      <w:tr w:rsidR="001925B4" w:rsidRPr="00D01DDB" w14:paraId="4C61EFF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D83AE1C" w14:textId="77777777" w:rsidR="001925B4" w:rsidRPr="001C1D4A" w:rsidRDefault="001925B4">
            <w:pPr>
              <w:rPr>
                <w:rFonts w:cs="Cambria"/>
                <w:szCs w:val="22"/>
              </w:rPr>
            </w:pPr>
            <w:r w:rsidRPr="001C1D4A">
              <w:rPr>
                <w:rFonts w:cs="Cambria"/>
                <w:szCs w:val="22"/>
              </w:rPr>
              <w:t xml:space="preserve">SD </w:t>
            </w:r>
          </w:p>
        </w:tc>
        <w:tc>
          <w:tcPr>
            <w:tcW w:w="3792" w:type="pct"/>
          </w:tcPr>
          <w:p w14:paraId="7FBB380B"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Standard deviation </w:t>
            </w:r>
          </w:p>
        </w:tc>
      </w:tr>
      <w:tr w:rsidR="001925B4" w:rsidRPr="00D01DDB" w14:paraId="465AEDF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43F94D8" w14:textId="77777777" w:rsidR="001925B4" w:rsidRPr="001C1D4A" w:rsidRDefault="001925B4">
            <w:pPr>
              <w:rPr>
                <w:rFonts w:cs="Cambria"/>
                <w:szCs w:val="22"/>
              </w:rPr>
            </w:pPr>
            <w:r w:rsidRPr="001C1D4A">
              <w:rPr>
                <w:rFonts w:cs="Cambria"/>
                <w:szCs w:val="22"/>
              </w:rPr>
              <w:t xml:space="preserve">SE </w:t>
            </w:r>
          </w:p>
        </w:tc>
        <w:tc>
          <w:tcPr>
            <w:tcW w:w="3792" w:type="pct"/>
          </w:tcPr>
          <w:p w14:paraId="763E128F"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Standard error </w:t>
            </w:r>
          </w:p>
        </w:tc>
      </w:tr>
      <w:tr w:rsidR="001925B4" w:rsidRPr="00D01DDB" w14:paraId="51B35AA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967D381" w14:textId="77777777" w:rsidR="001925B4" w:rsidRPr="001C1D4A" w:rsidRDefault="001925B4">
            <w:pPr>
              <w:rPr>
                <w:rFonts w:cs="Cambria"/>
                <w:szCs w:val="22"/>
              </w:rPr>
            </w:pPr>
            <w:r w:rsidRPr="001C1D4A">
              <w:rPr>
                <w:rFonts w:cs="Cambria"/>
                <w:szCs w:val="22"/>
              </w:rPr>
              <w:t xml:space="preserve">SEM </w:t>
            </w:r>
          </w:p>
        </w:tc>
        <w:tc>
          <w:tcPr>
            <w:tcW w:w="3792" w:type="pct"/>
          </w:tcPr>
          <w:p w14:paraId="0F29CD3D"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Standard error of the mean </w:t>
            </w:r>
          </w:p>
        </w:tc>
      </w:tr>
      <w:tr w:rsidR="001925B4" w:rsidRPr="00D01DDB" w14:paraId="59F821F4"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8AA7D8E" w14:textId="77777777" w:rsidR="001925B4" w:rsidRPr="001C1D4A" w:rsidRDefault="001925B4">
            <w:pPr>
              <w:rPr>
                <w:rFonts w:cs="Cambria"/>
                <w:szCs w:val="22"/>
              </w:rPr>
            </w:pPr>
            <w:r w:rsidRPr="001C1D4A">
              <w:rPr>
                <w:rFonts w:cs="Cambria"/>
                <w:szCs w:val="22"/>
              </w:rPr>
              <w:t xml:space="preserve">SERDs </w:t>
            </w:r>
          </w:p>
        </w:tc>
        <w:tc>
          <w:tcPr>
            <w:tcW w:w="3792" w:type="pct"/>
          </w:tcPr>
          <w:p w14:paraId="6F9FA133"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Selective oestrogen receptor degrader </w:t>
            </w:r>
          </w:p>
        </w:tc>
      </w:tr>
      <w:tr w:rsidR="001925B4" w:rsidRPr="00D01DDB" w14:paraId="69F2C0A4"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F3B745F" w14:textId="77777777" w:rsidR="001925B4" w:rsidRPr="001C1D4A" w:rsidRDefault="001925B4">
            <w:pPr>
              <w:rPr>
                <w:rFonts w:cs="Cambria"/>
                <w:szCs w:val="22"/>
              </w:rPr>
            </w:pPr>
            <w:r w:rsidRPr="001C1D4A">
              <w:rPr>
                <w:rFonts w:cs="Cambria"/>
                <w:szCs w:val="22"/>
              </w:rPr>
              <w:t xml:space="preserve">SGLT2 </w:t>
            </w:r>
          </w:p>
        </w:tc>
        <w:tc>
          <w:tcPr>
            <w:tcW w:w="3792" w:type="pct"/>
          </w:tcPr>
          <w:p w14:paraId="46EC151C"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Sodium-glucose cotransporter-2 </w:t>
            </w:r>
          </w:p>
        </w:tc>
      </w:tr>
      <w:tr w:rsidR="001925B4" w:rsidRPr="00D01DDB" w14:paraId="1CA809C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0D53BE1" w14:textId="77777777" w:rsidR="001925B4" w:rsidRPr="001C1D4A" w:rsidRDefault="001925B4">
            <w:pPr>
              <w:rPr>
                <w:rFonts w:cs="Cambria"/>
                <w:szCs w:val="22"/>
              </w:rPr>
            </w:pPr>
            <w:r w:rsidRPr="001C1D4A">
              <w:rPr>
                <w:rFonts w:cs="Cambria"/>
                <w:szCs w:val="22"/>
              </w:rPr>
              <w:t xml:space="preserve">SMQ </w:t>
            </w:r>
          </w:p>
        </w:tc>
        <w:tc>
          <w:tcPr>
            <w:tcW w:w="3792" w:type="pct"/>
          </w:tcPr>
          <w:p w14:paraId="2F66FA96"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Standardised MedDRA query </w:t>
            </w:r>
          </w:p>
        </w:tc>
      </w:tr>
      <w:tr w:rsidR="001925B4" w:rsidRPr="00D01DDB" w14:paraId="6EE4060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58C2DD2" w14:textId="77777777" w:rsidR="001925B4" w:rsidRPr="001C1D4A" w:rsidRDefault="001925B4">
            <w:pPr>
              <w:rPr>
                <w:rFonts w:cs="Cambria"/>
                <w:szCs w:val="22"/>
              </w:rPr>
            </w:pPr>
            <w:proofErr w:type="spellStart"/>
            <w:r w:rsidRPr="001C1D4A">
              <w:rPr>
                <w:rFonts w:cs="Cambria"/>
                <w:szCs w:val="22"/>
              </w:rPr>
              <w:t>SoA</w:t>
            </w:r>
            <w:proofErr w:type="spellEnd"/>
            <w:r w:rsidRPr="001C1D4A">
              <w:rPr>
                <w:rFonts w:cs="Cambria"/>
                <w:szCs w:val="22"/>
              </w:rPr>
              <w:t xml:space="preserve"> </w:t>
            </w:r>
          </w:p>
        </w:tc>
        <w:tc>
          <w:tcPr>
            <w:tcW w:w="3792" w:type="pct"/>
          </w:tcPr>
          <w:p w14:paraId="1DC6CE46"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Schedule of activities </w:t>
            </w:r>
          </w:p>
        </w:tc>
      </w:tr>
      <w:tr w:rsidR="001925B4" w:rsidRPr="00D01DDB" w14:paraId="0FB09B7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CC74581" w14:textId="77777777" w:rsidR="001925B4" w:rsidRPr="001C1D4A" w:rsidRDefault="001925B4">
            <w:pPr>
              <w:rPr>
                <w:rFonts w:cs="Cambria"/>
                <w:szCs w:val="22"/>
              </w:rPr>
            </w:pPr>
            <w:r w:rsidRPr="001C1D4A">
              <w:rPr>
                <w:rFonts w:cs="Cambria"/>
                <w:szCs w:val="22"/>
              </w:rPr>
              <w:t xml:space="preserve">SOC </w:t>
            </w:r>
          </w:p>
        </w:tc>
        <w:tc>
          <w:tcPr>
            <w:tcW w:w="3792" w:type="pct"/>
          </w:tcPr>
          <w:p w14:paraId="43C24A7E"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System organ class </w:t>
            </w:r>
          </w:p>
        </w:tc>
      </w:tr>
      <w:tr w:rsidR="001925B4" w:rsidRPr="00D01DDB" w14:paraId="0484E1C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05480576" w14:textId="77777777" w:rsidR="001925B4" w:rsidRPr="001C1D4A" w:rsidRDefault="001925B4">
            <w:pPr>
              <w:rPr>
                <w:rFonts w:cs="Cambria"/>
                <w:szCs w:val="22"/>
              </w:rPr>
            </w:pPr>
            <w:r w:rsidRPr="001C1D4A">
              <w:rPr>
                <w:rFonts w:cs="Cambria"/>
                <w:szCs w:val="22"/>
              </w:rPr>
              <w:t xml:space="preserve">S/P- </w:t>
            </w:r>
          </w:p>
        </w:tc>
        <w:tc>
          <w:tcPr>
            <w:tcW w:w="3792" w:type="pct"/>
          </w:tcPr>
          <w:p w14:paraId="37063751"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Serum/plasma- </w:t>
            </w:r>
          </w:p>
        </w:tc>
      </w:tr>
      <w:tr w:rsidR="001925B4" w:rsidRPr="00D01DDB" w14:paraId="4159382C"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8D6C12B" w14:textId="77777777" w:rsidR="001925B4" w:rsidRPr="001C1D4A" w:rsidRDefault="001925B4">
            <w:pPr>
              <w:rPr>
                <w:rFonts w:cs="Cambria"/>
                <w:szCs w:val="22"/>
              </w:rPr>
            </w:pPr>
            <w:r w:rsidRPr="001C1D4A">
              <w:rPr>
                <w:rFonts w:cs="Cambria"/>
                <w:szCs w:val="22"/>
              </w:rPr>
              <w:t xml:space="preserve">SUSAR </w:t>
            </w:r>
          </w:p>
        </w:tc>
        <w:tc>
          <w:tcPr>
            <w:tcW w:w="3792" w:type="pct"/>
          </w:tcPr>
          <w:p w14:paraId="61BD9710"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Suspected unexpected serious adverse reaction </w:t>
            </w:r>
          </w:p>
        </w:tc>
      </w:tr>
      <w:tr w:rsidR="001925B4" w:rsidRPr="00D01DDB" w14:paraId="18D5A8C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16CCD763" w14:textId="77777777" w:rsidR="001925B4" w:rsidRPr="001C1D4A" w:rsidRDefault="001925B4">
            <w:pPr>
              <w:rPr>
                <w:rFonts w:cs="Cambria"/>
                <w:szCs w:val="22"/>
              </w:rPr>
            </w:pPr>
            <w:r w:rsidRPr="001C1D4A">
              <w:rPr>
                <w:rFonts w:cs="Cambria"/>
                <w:szCs w:val="22"/>
              </w:rPr>
              <w:t>t</w:t>
            </w:r>
            <w:r w:rsidRPr="001C1D4A">
              <w:rPr>
                <w:rFonts w:cs="Cambria"/>
                <w:sz w:val="14"/>
                <w:szCs w:val="14"/>
              </w:rPr>
              <w:t xml:space="preserve">½ </w:t>
            </w:r>
          </w:p>
        </w:tc>
        <w:tc>
          <w:tcPr>
            <w:tcW w:w="3792" w:type="pct"/>
          </w:tcPr>
          <w:p w14:paraId="4B6FBDEA"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Half-life </w:t>
            </w:r>
          </w:p>
        </w:tc>
      </w:tr>
      <w:tr w:rsidR="001925B4" w:rsidRPr="00D01DDB" w14:paraId="4DE10F6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7B7B96C" w14:textId="77777777" w:rsidR="001925B4" w:rsidRPr="001C1D4A" w:rsidRDefault="001925B4">
            <w:pPr>
              <w:rPr>
                <w:rFonts w:cs="Cambria"/>
                <w:szCs w:val="22"/>
              </w:rPr>
            </w:pPr>
            <w:r w:rsidRPr="001C1D4A">
              <w:rPr>
                <w:rFonts w:cs="Cambria"/>
                <w:szCs w:val="22"/>
              </w:rPr>
              <w:t xml:space="preserve">T4 </w:t>
            </w:r>
          </w:p>
        </w:tc>
        <w:tc>
          <w:tcPr>
            <w:tcW w:w="3792" w:type="pct"/>
          </w:tcPr>
          <w:p w14:paraId="3E513EC0"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Thyroxine </w:t>
            </w:r>
          </w:p>
        </w:tc>
      </w:tr>
      <w:tr w:rsidR="001925B4" w:rsidRPr="00D01DDB" w14:paraId="0029338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E1909CF" w14:textId="77777777" w:rsidR="001925B4" w:rsidRPr="001C1D4A" w:rsidRDefault="001925B4">
            <w:pPr>
              <w:rPr>
                <w:rFonts w:cs="Cambria"/>
                <w:szCs w:val="22"/>
              </w:rPr>
            </w:pPr>
            <w:r w:rsidRPr="001C1D4A">
              <w:rPr>
                <w:rFonts w:cs="Cambria"/>
                <w:szCs w:val="22"/>
              </w:rPr>
              <w:t xml:space="preserve">TEAE </w:t>
            </w:r>
          </w:p>
        </w:tc>
        <w:tc>
          <w:tcPr>
            <w:tcW w:w="3792" w:type="pct"/>
          </w:tcPr>
          <w:p w14:paraId="319A1BCC"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Treatment emergent adverse event </w:t>
            </w:r>
          </w:p>
        </w:tc>
      </w:tr>
      <w:tr w:rsidR="001925B4" w:rsidRPr="00D01DDB" w14:paraId="40CF44A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47AABAC1" w14:textId="77777777" w:rsidR="001925B4" w:rsidRPr="001C1D4A" w:rsidRDefault="001925B4">
            <w:pPr>
              <w:rPr>
                <w:rFonts w:cs="Cambria"/>
                <w:szCs w:val="22"/>
              </w:rPr>
            </w:pPr>
            <w:r w:rsidRPr="001C1D4A">
              <w:rPr>
                <w:rFonts w:cs="Cambria"/>
                <w:szCs w:val="22"/>
              </w:rPr>
              <w:t xml:space="preserve">TFSC </w:t>
            </w:r>
          </w:p>
        </w:tc>
        <w:tc>
          <w:tcPr>
            <w:tcW w:w="3792" w:type="pct"/>
          </w:tcPr>
          <w:p w14:paraId="7BCB497D"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Time to first subsequent chemotherapy or death </w:t>
            </w:r>
          </w:p>
        </w:tc>
      </w:tr>
      <w:tr w:rsidR="001925B4" w:rsidRPr="00D01DDB" w14:paraId="427A7B8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A89D1CC" w14:textId="77777777" w:rsidR="001925B4" w:rsidRPr="001C1D4A" w:rsidRDefault="001925B4">
            <w:pPr>
              <w:rPr>
                <w:rFonts w:cs="Cambria"/>
                <w:szCs w:val="22"/>
              </w:rPr>
            </w:pPr>
            <w:r w:rsidRPr="001C1D4A">
              <w:rPr>
                <w:rFonts w:cs="Cambria"/>
                <w:szCs w:val="22"/>
              </w:rPr>
              <w:t xml:space="preserve">TL </w:t>
            </w:r>
          </w:p>
        </w:tc>
        <w:tc>
          <w:tcPr>
            <w:tcW w:w="3792" w:type="pct"/>
          </w:tcPr>
          <w:p w14:paraId="4442671C"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Target lesion </w:t>
            </w:r>
          </w:p>
        </w:tc>
      </w:tr>
      <w:tr w:rsidR="001925B4" w:rsidRPr="00D01DDB" w14:paraId="50E7B2E6"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FE0F800" w14:textId="77777777" w:rsidR="001925B4" w:rsidRPr="001C1D4A" w:rsidRDefault="001925B4">
            <w:pPr>
              <w:rPr>
                <w:rFonts w:cs="Cambria"/>
                <w:szCs w:val="22"/>
              </w:rPr>
            </w:pPr>
            <w:proofErr w:type="spellStart"/>
            <w:r w:rsidRPr="001C1D4A">
              <w:rPr>
                <w:rFonts w:cs="Cambria"/>
                <w:szCs w:val="22"/>
              </w:rPr>
              <w:t>t</w:t>
            </w:r>
            <w:r w:rsidRPr="001C1D4A">
              <w:rPr>
                <w:rFonts w:cs="Cambria"/>
                <w:sz w:val="14"/>
                <w:szCs w:val="14"/>
              </w:rPr>
              <w:t>max</w:t>
            </w:r>
            <w:proofErr w:type="spellEnd"/>
            <w:r w:rsidRPr="001C1D4A">
              <w:rPr>
                <w:rFonts w:cs="Cambria"/>
                <w:sz w:val="14"/>
                <w:szCs w:val="14"/>
              </w:rPr>
              <w:t xml:space="preserve"> </w:t>
            </w:r>
          </w:p>
        </w:tc>
        <w:tc>
          <w:tcPr>
            <w:tcW w:w="3792" w:type="pct"/>
          </w:tcPr>
          <w:p w14:paraId="249706AC"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Time to reach peak or maximum observed concentration following drug administration </w:t>
            </w:r>
          </w:p>
        </w:tc>
      </w:tr>
      <w:tr w:rsidR="001925B4" w:rsidRPr="00D01DDB" w14:paraId="3F33710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63C70728" w14:textId="77777777" w:rsidR="001925B4" w:rsidRPr="001C1D4A" w:rsidRDefault="001925B4">
            <w:pPr>
              <w:rPr>
                <w:rFonts w:cs="Cambria"/>
                <w:szCs w:val="22"/>
              </w:rPr>
            </w:pPr>
            <w:r w:rsidRPr="001C1D4A">
              <w:rPr>
                <w:rFonts w:cs="Cambria"/>
                <w:szCs w:val="22"/>
              </w:rPr>
              <w:t xml:space="preserve">TNBC </w:t>
            </w:r>
          </w:p>
        </w:tc>
        <w:tc>
          <w:tcPr>
            <w:tcW w:w="3792" w:type="pct"/>
          </w:tcPr>
          <w:p w14:paraId="656A6F0F"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Triple-negative breast cancer </w:t>
            </w:r>
          </w:p>
        </w:tc>
      </w:tr>
      <w:tr w:rsidR="001925B4" w:rsidRPr="00D01DDB" w14:paraId="478DE5D2"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3833C69" w14:textId="77777777" w:rsidR="001925B4" w:rsidRPr="001C1D4A" w:rsidRDefault="001925B4">
            <w:pPr>
              <w:rPr>
                <w:rFonts w:cs="Cambria"/>
                <w:szCs w:val="22"/>
              </w:rPr>
            </w:pPr>
            <w:r w:rsidRPr="001C1D4A">
              <w:rPr>
                <w:rFonts w:cs="Cambria"/>
                <w:szCs w:val="22"/>
              </w:rPr>
              <w:t xml:space="preserve">UK </w:t>
            </w:r>
          </w:p>
        </w:tc>
        <w:tc>
          <w:tcPr>
            <w:tcW w:w="3792" w:type="pct"/>
          </w:tcPr>
          <w:p w14:paraId="4CB14416"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United Kingdom </w:t>
            </w:r>
          </w:p>
        </w:tc>
      </w:tr>
      <w:tr w:rsidR="001925B4" w:rsidRPr="00D01DDB" w14:paraId="24620534"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9B67D5C" w14:textId="77777777" w:rsidR="001925B4" w:rsidRPr="001C1D4A" w:rsidRDefault="001925B4">
            <w:pPr>
              <w:rPr>
                <w:rFonts w:cs="Cambria"/>
                <w:szCs w:val="22"/>
              </w:rPr>
            </w:pPr>
            <w:r w:rsidRPr="001C1D4A">
              <w:rPr>
                <w:rFonts w:cs="Cambria"/>
                <w:szCs w:val="22"/>
              </w:rPr>
              <w:t xml:space="preserve">ULN </w:t>
            </w:r>
          </w:p>
        </w:tc>
        <w:tc>
          <w:tcPr>
            <w:tcW w:w="3792" w:type="pct"/>
          </w:tcPr>
          <w:p w14:paraId="58F4049E"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Upper limit of normal </w:t>
            </w:r>
          </w:p>
        </w:tc>
      </w:tr>
      <w:tr w:rsidR="001925B4" w:rsidRPr="00D01DDB" w14:paraId="3E4B76C3"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F6E73A1" w14:textId="77777777" w:rsidR="001925B4" w:rsidRPr="001C1D4A" w:rsidRDefault="001925B4">
            <w:pPr>
              <w:rPr>
                <w:rFonts w:cs="Cambria"/>
                <w:szCs w:val="22"/>
              </w:rPr>
            </w:pPr>
            <w:r w:rsidRPr="001C1D4A">
              <w:rPr>
                <w:rFonts w:cs="Cambria"/>
                <w:szCs w:val="22"/>
              </w:rPr>
              <w:lastRenderedPageBreak/>
              <w:t xml:space="preserve">US </w:t>
            </w:r>
          </w:p>
        </w:tc>
        <w:tc>
          <w:tcPr>
            <w:tcW w:w="3792" w:type="pct"/>
          </w:tcPr>
          <w:p w14:paraId="2B56DC3A"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United states </w:t>
            </w:r>
          </w:p>
        </w:tc>
      </w:tr>
      <w:tr w:rsidR="001925B4" w:rsidRPr="00D01DDB" w14:paraId="69FEF5D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017DA93" w14:textId="77777777" w:rsidR="001925B4" w:rsidRPr="001C1D4A" w:rsidRDefault="001925B4">
            <w:pPr>
              <w:rPr>
                <w:rFonts w:cs="Cambria"/>
                <w:szCs w:val="22"/>
              </w:rPr>
            </w:pPr>
            <w:r w:rsidRPr="001C1D4A">
              <w:rPr>
                <w:rFonts w:cs="Cambria"/>
                <w:szCs w:val="22"/>
              </w:rPr>
              <w:t xml:space="preserve">UTI </w:t>
            </w:r>
          </w:p>
        </w:tc>
        <w:tc>
          <w:tcPr>
            <w:tcW w:w="3792" w:type="pct"/>
          </w:tcPr>
          <w:p w14:paraId="5E291B08"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Urinary tract infection </w:t>
            </w:r>
          </w:p>
        </w:tc>
      </w:tr>
      <w:tr w:rsidR="001925B4" w:rsidRPr="00D01DDB" w14:paraId="11FEC4F9"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529530D" w14:textId="77777777" w:rsidR="001925B4" w:rsidRPr="001C1D4A" w:rsidRDefault="001925B4">
            <w:pPr>
              <w:rPr>
                <w:rFonts w:cs="Cambria"/>
                <w:szCs w:val="22"/>
              </w:rPr>
            </w:pPr>
            <w:r w:rsidRPr="001C1D4A">
              <w:rPr>
                <w:rFonts w:cs="Cambria"/>
                <w:szCs w:val="22"/>
              </w:rPr>
              <w:t xml:space="preserve">V </w:t>
            </w:r>
          </w:p>
        </w:tc>
        <w:tc>
          <w:tcPr>
            <w:tcW w:w="3792" w:type="pct"/>
          </w:tcPr>
          <w:p w14:paraId="4D640ACA"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Volume of distribution </w:t>
            </w:r>
          </w:p>
        </w:tc>
      </w:tr>
      <w:tr w:rsidR="001925B4" w:rsidRPr="00D01DDB" w14:paraId="49FE33E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5D732E9" w14:textId="77777777" w:rsidR="001925B4" w:rsidRPr="001C1D4A" w:rsidRDefault="001925B4">
            <w:pPr>
              <w:rPr>
                <w:rFonts w:cs="Cambria"/>
                <w:szCs w:val="22"/>
              </w:rPr>
            </w:pPr>
            <w:r w:rsidRPr="001C1D4A">
              <w:rPr>
                <w:rFonts w:cs="Cambria"/>
                <w:szCs w:val="22"/>
              </w:rPr>
              <w:t xml:space="preserve">VAS </w:t>
            </w:r>
          </w:p>
        </w:tc>
        <w:tc>
          <w:tcPr>
            <w:tcW w:w="3792" w:type="pct"/>
          </w:tcPr>
          <w:p w14:paraId="5BC90629"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Visual analogue scale </w:t>
            </w:r>
          </w:p>
        </w:tc>
      </w:tr>
      <w:tr w:rsidR="001925B4" w:rsidRPr="00D01DDB" w14:paraId="46A90EBD"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381AED8E" w14:textId="77777777" w:rsidR="001925B4" w:rsidRPr="001C1D4A" w:rsidRDefault="001925B4">
            <w:pPr>
              <w:rPr>
                <w:rFonts w:cs="Cambria"/>
                <w:szCs w:val="22"/>
              </w:rPr>
            </w:pPr>
            <w:r w:rsidRPr="001C1D4A">
              <w:rPr>
                <w:rFonts w:cs="Cambria"/>
                <w:szCs w:val="22"/>
              </w:rPr>
              <w:t xml:space="preserve">V/F </w:t>
            </w:r>
          </w:p>
        </w:tc>
        <w:tc>
          <w:tcPr>
            <w:tcW w:w="3792" w:type="pct"/>
          </w:tcPr>
          <w:p w14:paraId="7C182DFC"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Apparent volume of distribution </w:t>
            </w:r>
          </w:p>
        </w:tc>
      </w:tr>
      <w:tr w:rsidR="001925B4" w:rsidRPr="00D01DDB" w14:paraId="1F72356F"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5EA73B9B" w14:textId="77777777" w:rsidR="001925B4" w:rsidRPr="001C1D4A" w:rsidRDefault="001925B4">
            <w:pPr>
              <w:rPr>
                <w:rFonts w:cs="Cambria"/>
                <w:szCs w:val="22"/>
              </w:rPr>
            </w:pPr>
            <w:r w:rsidRPr="001C1D4A">
              <w:rPr>
                <w:rFonts w:cs="Cambria"/>
                <w:szCs w:val="22"/>
              </w:rPr>
              <w:t xml:space="preserve">VPC </w:t>
            </w:r>
          </w:p>
        </w:tc>
        <w:tc>
          <w:tcPr>
            <w:tcW w:w="3792" w:type="pct"/>
          </w:tcPr>
          <w:p w14:paraId="50A68612"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Visual predictive check. </w:t>
            </w:r>
          </w:p>
        </w:tc>
      </w:tr>
      <w:tr w:rsidR="001925B4" w:rsidRPr="00D01DDB" w14:paraId="014A7A31"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7B78B571" w14:textId="77777777" w:rsidR="001925B4" w:rsidRPr="001C1D4A" w:rsidRDefault="001925B4">
            <w:pPr>
              <w:rPr>
                <w:rFonts w:cs="Cambria"/>
                <w:szCs w:val="22"/>
              </w:rPr>
            </w:pPr>
            <w:r w:rsidRPr="001C1D4A">
              <w:rPr>
                <w:rFonts w:cs="Cambria"/>
                <w:szCs w:val="22"/>
              </w:rPr>
              <w:t xml:space="preserve">Vs </w:t>
            </w:r>
          </w:p>
        </w:tc>
        <w:tc>
          <w:tcPr>
            <w:tcW w:w="3792" w:type="pct"/>
          </w:tcPr>
          <w:p w14:paraId="60D5B340"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Versus </w:t>
            </w:r>
          </w:p>
        </w:tc>
      </w:tr>
      <w:tr w:rsidR="001925B4" w:rsidRPr="00D01DDB" w14:paraId="75C15D3A" w14:textId="77777777">
        <w:trPr>
          <w:trHeight w:val="386"/>
        </w:trPr>
        <w:tc>
          <w:tcPr>
            <w:cnfStyle w:val="001000000000" w:firstRow="0" w:lastRow="0" w:firstColumn="1" w:lastColumn="0" w:oddVBand="0" w:evenVBand="0" w:oddHBand="0" w:evenHBand="0" w:firstRowFirstColumn="0" w:firstRowLastColumn="0" w:lastRowFirstColumn="0" w:lastRowLastColumn="0"/>
            <w:tcW w:w="1208" w:type="pct"/>
          </w:tcPr>
          <w:p w14:paraId="213E5869" w14:textId="77777777" w:rsidR="001925B4" w:rsidRPr="001C1D4A" w:rsidRDefault="001925B4">
            <w:pPr>
              <w:rPr>
                <w:rFonts w:cs="Cambria"/>
                <w:szCs w:val="22"/>
              </w:rPr>
            </w:pPr>
            <w:r w:rsidRPr="001C1D4A">
              <w:rPr>
                <w:rFonts w:cs="Cambria"/>
                <w:szCs w:val="22"/>
              </w:rPr>
              <w:t xml:space="preserve">WHO </w:t>
            </w:r>
          </w:p>
        </w:tc>
        <w:tc>
          <w:tcPr>
            <w:tcW w:w="3792" w:type="pct"/>
          </w:tcPr>
          <w:p w14:paraId="6FD266DF" w14:textId="77777777" w:rsidR="001925B4" w:rsidRPr="001C1D4A" w:rsidRDefault="001925B4">
            <w:pPr>
              <w:cnfStyle w:val="000000000000" w:firstRow="0" w:lastRow="0" w:firstColumn="0" w:lastColumn="0" w:oddVBand="0" w:evenVBand="0" w:oddHBand="0" w:evenHBand="0" w:firstRowFirstColumn="0" w:firstRowLastColumn="0" w:lastRowFirstColumn="0" w:lastRowLastColumn="0"/>
              <w:rPr>
                <w:rFonts w:cs="Cambria"/>
                <w:szCs w:val="22"/>
              </w:rPr>
            </w:pPr>
            <w:r w:rsidRPr="001C1D4A">
              <w:rPr>
                <w:rFonts w:cs="Cambria"/>
                <w:szCs w:val="22"/>
              </w:rPr>
              <w:t xml:space="preserve">World Health Organisation </w:t>
            </w:r>
          </w:p>
        </w:tc>
      </w:tr>
    </w:tbl>
    <w:p w14:paraId="60CB91ED" w14:textId="77777777" w:rsidR="001925B4" w:rsidRPr="001925B4" w:rsidRDefault="001925B4" w:rsidP="001925B4"/>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9" w:name="_Toc103679288"/>
      <w:bookmarkStart w:id="10" w:name="_Toc181631297"/>
      <w:r>
        <w:lastRenderedPageBreak/>
        <w:t>Product submission</w:t>
      </w:r>
      <w:bookmarkEnd w:id="9"/>
      <w:bookmarkEnd w:id="10"/>
    </w:p>
    <w:p w14:paraId="21D559DF" w14:textId="77777777" w:rsidR="00324B33" w:rsidRDefault="00324B33" w:rsidP="00324B33">
      <w:pPr>
        <w:pStyle w:val="Heading3"/>
        <w:rPr>
          <w:lang w:eastAsia="en-AU"/>
        </w:rPr>
      </w:pPr>
      <w:bookmarkStart w:id="11" w:name="_Toc247691502"/>
      <w:bookmarkStart w:id="12" w:name="_Toc314842483"/>
      <w:bookmarkStart w:id="13" w:name="_Toc103679289"/>
      <w:bookmarkStart w:id="14" w:name="_Toc181631298"/>
      <w:r>
        <w:rPr>
          <w:lang w:eastAsia="en-AU"/>
        </w:rPr>
        <w:t>Submission details</w:t>
      </w:r>
      <w:bookmarkEnd w:id="11"/>
      <w:bookmarkEnd w:id="12"/>
      <w:bookmarkEnd w:id="13"/>
      <w:bookmarkEnd w:id="14"/>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55E3454" w:rsidR="00324B33" w:rsidRPr="00BD5DBD" w:rsidRDefault="00324B33" w:rsidP="007452E8">
            <w:pPr>
              <w:rPr>
                <w:i/>
                <w:szCs w:val="22"/>
              </w:rPr>
            </w:pPr>
            <w:r w:rsidRPr="00BD5DBD">
              <w:rPr>
                <w:i/>
                <w:szCs w:val="22"/>
              </w:rPr>
              <w:t>Type of submission:</w:t>
            </w:r>
          </w:p>
        </w:tc>
        <w:bookmarkStart w:id="15" w:name="_Hlk185408069"/>
        <w:tc>
          <w:tcPr>
            <w:tcW w:w="3423" w:type="pct"/>
          </w:tcPr>
          <w:p w14:paraId="4F07C303" w14:textId="218E10CD" w:rsidR="00324B33" w:rsidRPr="00BD5DBD" w:rsidRDefault="00324B33" w:rsidP="007452E8">
            <w:pPr>
              <w:rPr>
                <w:szCs w:val="22"/>
              </w:rPr>
            </w:pPr>
            <w:r>
              <w:fldChar w:fldCharType="begin"/>
            </w:r>
            <w:r>
              <w:instrText>HYPERLINK "https://www.tga.gov.au/prescription-medicines-registration-new-chemical-entities-australia" \l ":~:text=Each%20year,%20TGA%20registers%20approximately%2040%20new%20prescription"</w:instrText>
            </w:r>
            <w:r>
              <w:fldChar w:fldCharType="separate"/>
            </w:r>
            <w:r w:rsidRPr="00292D46">
              <w:rPr>
                <w:rStyle w:val="Hyperlink"/>
                <w:szCs w:val="22"/>
              </w:rPr>
              <w:t>Ne</w:t>
            </w:r>
            <w:r w:rsidRPr="00292D46">
              <w:rPr>
                <w:rStyle w:val="Hyperlink"/>
                <w:szCs w:val="22"/>
              </w:rPr>
              <w:t>w</w:t>
            </w:r>
            <w:r w:rsidRPr="00292D46">
              <w:rPr>
                <w:rStyle w:val="Hyperlink"/>
                <w:szCs w:val="22"/>
              </w:rPr>
              <w:t xml:space="preserve"> chemical entity</w:t>
            </w:r>
            <w:r>
              <w:rPr>
                <w:rStyle w:val="Hyperlink"/>
                <w:szCs w:val="22"/>
              </w:rPr>
              <w:fldChar w:fldCharType="end"/>
            </w:r>
            <w:bookmarkEnd w:id="15"/>
            <w:r w:rsidRPr="00BD5DBD">
              <w:rPr>
                <w:szCs w:val="22"/>
              </w:rPr>
              <w:t xml:space="preserve"> </w:t>
            </w:r>
          </w:p>
        </w:tc>
      </w:tr>
      <w:tr w:rsidR="00324B33" w:rsidRPr="006E1C41" w14:paraId="13482B61" w14:textId="77777777" w:rsidTr="00F865A7">
        <w:tc>
          <w:tcPr>
            <w:tcW w:w="1577" w:type="pct"/>
          </w:tcPr>
          <w:p w14:paraId="2C427FCF" w14:textId="4C22C06E" w:rsidR="00324B33" w:rsidRPr="00BD5DBD" w:rsidRDefault="00324B33" w:rsidP="007452E8">
            <w:pPr>
              <w:rPr>
                <w:i/>
                <w:szCs w:val="22"/>
              </w:rPr>
            </w:pPr>
            <w:r w:rsidRPr="00BD5DBD">
              <w:rPr>
                <w:i/>
                <w:szCs w:val="22"/>
              </w:rPr>
              <w:t>Product nam</w:t>
            </w:r>
            <w:r w:rsidR="0077131E">
              <w:rPr>
                <w:i/>
                <w:szCs w:val="22"/>
              </w:rPr>
              <w:t>e</w:t>
            </w:r>
            <w:r w:rsidRPr="00BD5DBD">
              <w:rPr>
                <w:i/>
                <w:szCs w:val="22"/>
              </w:rPr>
              <w:t>:</w:t>
            </w:r>
          </w:p>
        </w:tc>
        <w:tc>
          <w:tcPr>
            <w:tcW w:w="3423" w:type="pct"/>
          </w:tcPr>
          <w:p w14:paraId="0E2DEF76" w14:textId="7EC2C0A6" w:rsidR="00A11E20" w:rsidRPr="006E1C41" w:rsidRDefault="00FD6F0B" w:rsidP="0005466A">
            <w:pPr>
              <w:rPr>
                <w:szCs w:val="22"/>
              </w:rPr>
            </w:pPr>
            <w:r w:rsidRPr="006E1C41">
              <w:rPr>
                <w:rFonts w:cs="Segoe UI"/>
                <w:color w:val="313131"/>
                <w:shd w:val="clear" w:color="auto" w:fill="FFFFFF"/>
              </w:rPr>
              <w:t>Elrexfio</w:t>
            </w:r>
            <w:r w:rsidR="00D83ECA">
              <w:rPr>
                <w:rFonts w:cs="Segoe UI"/>
                <w:color w:val="313131"/>
                <w:shd w:val="clear" w:color="auto" w:fill="FFFFFF"/>
              </w:rPr>
              <w:t>,</w:t>
            </w:r>
            <w:r w:rsidRPr="006E1C41">
              <w:rPr>
                <w:rFonts w:cs="Segoe UI"/>
                <w:color w:val="313131"/>
                <w:shd w:val="clear" w:color="auto" w:fill="FFFFFF"/>
              </w:rPr>
              <w:t xml:space="preserve"> </w:t>
            </w:r>
            <w:proofErr w:type="spellStart"/>
            <w:r w:rsidRPr="006E1C41">
              <w:rPr>
                <w:rFonts w:cs="Segoe UI"/>
                <w:color w:val="313131"/>
                <w:shd w:val="clear" w:color="auto" w:fill="FFFFFF"/>
              </w:rPr>
              <w:t>elranatamab</w:t>
            </w:r>
            <w:proofErr w:type="spellEnd"/>
            <w:r w:rsidRPr="006E1C41">
              <w:rPr>
                <w:rFonts w:cs="Segoe UI"/>
                <w:color w:val="313131"/>
                <w:shd w:val="clear" w:color="auto" w:fill="FFFFFF"/>
              </w:rPr>
              <w:t xml:space="preserve"> 44 mg/1.1 mL solution for injection vial</w:t>
            </w:r>
            <w:r w:rsidR="0005466A">
              <w:rPr>
                <w:rFonts w:cs="Segoe UI"/>
                <w:color w:val="313131"/>
                <w:shd w:val="clear" w:color="auto" w:fill="FFFFFF"/>
              </w:rPr>
              <w:t xml:space="preserve"> </w:t>
            </w:r>
            <w:hyperlink r:id="rId20" w:history="1">
              <w:r w:rsidR="009E0F79" w:rsidRPr="006E1C41">
                <w:rPr>
                  <w:color w:val="313131"/>
                </w:rPr>
                <w:t>Elrexfio</w:t>
              </w:r>
              <w:r w:rsidR="00D83ECA">
                <w:rPr>
                  <w:color w:val="313131"/>
                </w:rPr>
                <w:t>,</w:t>
              </w:r>
              <w:r w:rsidR="009E0F79" w:rsidRPr="006E1C41">
                <w:rPr>
                  <w:color w:val="313131"/>
                </w:rPr>
                <w:t xml:space="preserve"> </w:t>
              </w:r>
              <w:proofErr w:type="spellStart"/>
              <w:r w:rsidR="00A11E20" w:rsidRPr="006E1C41">
                <w:rPr>
                  <w:color w:val="313131"/>
                </w:rPr>
                <w:t>elranatamab</w:t>
              </w:r>
              <w:proofErr w:type="spellEnd"/>
              <w:r w:rsidR="00A11E20" w:rsidRPr="006E1C41">
                <w:rPr>
                  <w:color w:val="313131"/>
                </w:rPr>
                <w:t xml:space="preserve"> 76 mg/1.9 mL solution for injection vial </w:t>
              </w:r>
            </w:hyperlink>
          </w:p>
        </w:tc>
      </w:tr>
      <w:tr w:rsidR="00324B33" w:rsidRPr="00BD5DBD" w14:paraId="01255B5B" w14:textId="77777777" w:rsidTr="00F865A7">
        <w:tc>
          <w:tcPr>
            <w:tcW w:w="1577" w:type="pct"/>
          </w:tcPr>
          <w:p w14:paraId="52B4F3D7" w14:textId="07001929" w:rsidR="00324B33" w:rsidRPr="00BD5DBD" w:rsidRDefault="00324B33" w:rsidP="007452E8">
            <w:pPr>
              <w:rPr>
                <w:i/>
                <w:szCs w:val="22"/>
              </w:rPr>
            </w:pPr>
            <w:r w:rsidRPr="00BD5DBD">
              <w:rPr>
                <w:i/>
                <w:szCs w:val="22"/>
              </w:rPr>
              <w:t>Active ingredient:</w:t>
            </w:r>
          </w:p>
        </w:tc>
        <w:tc>
          <w:tcPr>
            <w:tcW w:w="3423" w:type="pct"/>
          </w:tcPr>
          <w:p w14:paraId="02FB6383" w14:textId="373C7E45" w:rsidR="00324B33" w:rsidRPr="00BD5DBD" w:rsidRDefault="00FB6326" w:rsidP="007452E8">
            <w:pPr>
              <w:rPr>
                <w:szCs w:val="22"/>
              </w:rPr>
            </w:pPr>
            <w:proofErr w:type="spellStart"/>
            <w:r>
              <w:rPr>
                <w:szCs w:val="22"/>
              </w:rPr>
              <w:t>elranatamab</w:t>
            </w:r>
            <w:proofErr w:type="spellEnd"/>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2989BAC5" w:rsidR="00324B33" w:rsidRPr="00BD5DBD" w:rsidRDefault="00AC2973" w:rsidP="007452E8">
            <w:pPr>
              <w:rPr>
                <w:szCs w:val="22"/>
              </w:rPr>
            </w:pPr>
            <w:bookmarkStart w:id="16" w:name="_Hlk185408105"/>
            <w:r>
              <w:rPr>
                <w:szCs w:val="22"/>
              </w:rPr>
              <w:t>Provisional a</w:t>
            </w:r>
            <w:r w:rsidR="00324B33" w:rsidRPr="00BD5DBD">
              <w:rPr>
                <w:szCs w:val="22"/>
              </w:rPr>
              <w:t>pprov</w:t>
            </w:r>
            <w:r>
              <w:rPr>
                <w:szCs w:val="22"/>
              </w:rPr>
              <w:t>al</w:t>
            </w:r>
            <w:r w:rsidR="00324B33" w:rsidRPr="00BD5DBD">
              <w:rPr>
                <w:szCs w:val="22"/>
              </w:rPr>
              <w:t xml:space="preserve"> </w:t>
            </w:r>
            <w:bookmarkEnd w:id="16"/>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5616EC4A" w:rsidR="00AE1947" w:rsidRPr="00BD5DBD" w:rsidRDefault="004C7A8D">
            <w:pPr>
              <w:rPr>
                <w:szCs w:val="22"/>
              </w:rPr>
            </w:pPr>
            <w:r>
              <w:rPr>
                <w:szCs w:val="22"/>
              </w:rPr>
              <w:t>26 June 2024</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1C7C103D" w:rsidR="00324B33" w:rsidRPr="00BD5DBD" w:rsidRDefault="00E05B3F" w:rsidP="007452E8">
            <w:pPr>
              <w:rPr>
                <w:szCs w:val="22"/>
              </w:rPr>
            </w:pPr>
            <w:r>
              <w:rPr>
                <w:szCs w:val="22"/>
              </w:rPr>
              <w:t>28 June 2024</w:t>
            </w:r>
          </w:p>
        </w:tc>
      </w:tr>
      <w:tr w:rsidR="00324B33" w:rsidRPr="00BD5DBD" w14:paraId="547E08D7" w14:textId="77777777" w:rsidTr="00F865A7">
        <w:tc>
          <w:tcPr>
            <w:tcW w:w="1577" w:type="pct"/>
          </w:tcPr>
          <w:p w14:paraId="5030EF30" w14:textId="61ACB623" w:rsidR="00324B33" w:rsidRPr="00BD5DBD" w:rsidRDefault="00324B33" w:rsidP="007452E8">
            <w:pPr>
              <w:rPr>
                <w:i/>
                <w:szCs w:val="22"/>
              </w:rPr>
            </w:pPr>
            <w:r w:rsidRPr="00BD5DBD">
              <w:rPr>
                <w:i/>
                <w:szCs w:val="22"/>
              </w:rPr>
              <w:t>ARTG numbers:</w:t>
            </w:r>
          </w:p>
        </w:tc>
        <w:tc>
          <w:tcPr>
            <w:tcW w:w="3423" w:type="pct"/>
          </w:tcPr>
          <w:p w14:paraId="0CFDB35D" w14:textId="77777777" w:rsidR="00AD4CDA" w:rsidRPr="006E1C41" w:rsidRDefault="00C15386" w:rsidP="00F61496">
            <w:pPr>
              <w:rPr>
                <w:rFonts w:cs="Segoe UI"/>
                <w:color w:val="313131"/>
                <w:shd w:val="clear" w:color="auto" w:fill="FFFFFF"/>
              </w:rPr>
            </w:pPr>
            <w:r w:rsidRPr="00E05B3F">
              <w:rPr>
                <w:szCs w:val="22"/>
              </w:rPr>
              <w:t>408212</w:t>
            </w:r>
            <w:r w:rsidR="00AD4CDA">
              <w:rPr>
                <w:szCs w:val="22"/>
              </w:rPr>
              <w:t xml:space="preserve"> </w:t>
            </w:r>
            <w:r w:rsidR="00AD4CDA" w:rsidRPr="006E1C41">
              <w:rPr>
                <w:szCs w:val="22"/>
              </w:rPr>
              <w:t>(</w:t>
            </w:r>
            <w:r w:rsidR="00934345" w:rsidRPr="006E1C41">
              <w:rPr>
                <w:rFonts w:cs="Segoe UI"/>
                <w:color w:val="313131"/>
                <w:shd w:val="clear" w:color="auto" w:fill="FFFFFF"/>
              </w:rPr>
              <w:t>44 mg/1.1 mL solution for injection vial</w:t>
            </w:r>
            <w:r w:rsidR="00AD4CDA" w:rsidRPr="006E1C41">
              <w:rPr>
                <w:rFonts w:cs="Segoe UI"/>
                <w:color w:val="313131"/>
                <w:shd w:val="clear" w:color="auto" w:fill="FFFFFF"/>
              </w:rPr>
              <w:t>)</w:t>
            </w:r>
          </w:p>
          <w:p w14:paraId="0054E912" w14:textId="36AF6662" w:rsidR="00324B33" w:rsidRPr="00BD5DBD" w:rsidRDefault="00AD4CDA" w:rsidP="00F61496">
            <w:pPr>
              <w:rPr>
                <w:szCs w:val="22"/>
              </w:rPr>
            </w:pPr>
            <w:r w:rsidRPr="006E1C41">
              <w:rPr>
                <w:szCs w:val="22"/>
              </w:rPr>
              <w:t>40</w:t>
            </w:r>
            <w:r w:rsidR="00422B8F" w:rsidRPr="006E1C41">
              <w:rPr>
                <w:szCs w:val="22"/>
              </w:rPr>
              <w:t>8213</w:t>
            </w:r>
            <w:r w:rsidRPr="006E1C41">
              <w:rPr>
                <w:szCs w:val="22"/>
              </w:rPr>
              <w:t xml:space="preserve"> (76 mg/1.9 mL solution for injection vial)</w:t>
            </w:r>
          </w:p>
        </w:tc>
      </w:tr>
      <w:tr w:rsidR="009D5228" w:rsidRPr="00BD5DBD" w14:paraId="7618393F" w14:textId="77777777" w:rsidTr="00F865A7">
        <w:tc>
          <w:tcPr>
            <w:tcW w:w="1577" w:type="pct"/>
          </w:tcPr>
          <w:p w14:paraId="6C24CEB6" w14:textId="6A7FE944" w:rsidR="009D5228" w:rsidRPr="00BD5DBD" w:rsidRDefault="009D5228" w:rsidP="00FE2256">
            <w:pPr>
              <w:spacing w:after="0"/>
              <w:rPr>
                <w:rStyle w:val="Hyperlink"/>
                <w:i/>
                <w:szCs w:val="22"/>
              </w:rPr>
            </w:pPr>
            <w:r w:rsidRPr="00BD5DBD">
              <w:rPr>
                <w:rFonts w:ascii="Wingdings 3" w:hAnsi="Wingdings 3"/>
                <w:szCs w:val="22"/>
                <w:lang w:eastAsia="en-AU"/>
              </w:rPr>
              <w:t></w:t>
            </w:r>
            <w:hyperlink r:id="rId21" w:history="1">
              <w:r w:rsidRPr="00BD5DBD">
                <w:rPr>
                  <w:rStyle w:val="Hyperlink"/>
                  <w:i/>
                  <w:szCs w:val="22"/>
                </w:rPr>
                <w:t>Black Triangle Scheme</w:t>
              </w:r>
            </w:hyperlink>
          </w:p>
          <w:p w14:paraId="02260DE2" w14:textId="1FC334AE" w:rsidR="009D5228" w:rsidRPr="00BD5DBD" w:rsidRDefault="009D5228" w:rsidP="009D5228">
            <w:pPr>
              <w:rPr>
                <w:i/>
                <w:szCs w:val="22"/>
              </w:rPr>
            </w:pPr>
            <w:r w:rsidRPr="00BD5DBD">
              <w:rPr>
                <w:i/>
                <w:szCs w:val="22"/>
              </w:rPr>
              <w:t>for the current submission:</w:t>
            </w:r>
          </w:p>
        </w:tc>
        <w:tc>
          <w:tcPr>
            <w:tcW w:w="3423" w:type="pct"/>
          </w:tcPr>
          <w:p w14:paraId="6FF3C6A2" w14:textId="56104730" w:rsidR="009D5228" w:rsidRPr="00BD5DBD" w:rsidRDefault="00C74BF3" w:rsidP="009D5228">
            <w:pPr>
              <w:rPr>
                <w:szCs w:val="22"/>
              </w:rPr>
            </w:pPr>
            <w:r>
              <w:t>Yes</w:t>
            </w:r>
          </w:p>
        </w:tc>
      </w:tr>
      <w:tr w:rsidR="009D5228" w:rsidRPr="00BD5DBD" w14:paraId="179E09FE" w14:textId="77777777" w:rsidTr="00F865A7">
        <w:tc>
          <w:tcPr>
            <w:tcW w:w="1577" w:type="pct"/>
          </w:tcPr>
          <w:p w14:paraId="1A592498" w14:textId="6A9331FB" w:rsidR="009D5228" w:rsidRPr="00BD5DBD" w:rsidRDefault="009D5228" w:rsidP="009D5228">
            <w:pPr>
              <w:rPr>
                <w:i/>
                <w:szCs w:val="22"/>
              </w:rPr>
            </w:pPr>
            <w:r w:rsidRPr="00BD5DBD">
              <w:rPr>
                <w:i/>
                <w:szCs w:val="22"/>
              </w:rPr>
              <w:t xml:space="preserve">Sponsor’s </w:t>
            </w:r>
            <w:r w:rsidRPr="0070294B">
              <w:rPr>
                <w:i/>
                <w:szCs w:val="22"/>
              </w:rPr>
              <w:t>name:</w:t>
            </w:r>
          </w:p>
        </w:tc>
        <w:tc>
          <w:tcPr>
            <w:tcW w:w="3423" w:type="pct"/>
          </w:tcPr>
          <w:p w14:paraId="68DD94B0" w14:textId="297227A4" w:rsidR="009D5228" w:rsidRPr="00BD5DBD" w:rsidRDefault="009D5228" w:rsidP="009D5228">
            <w:pPr>
              <w:rPr>
                <w:szCs w:val="22"/>
              </w:rPr>
            </w:pPr>
            <w:r w:rsidRPr="006E321F">
              <w:t>Pfizer Australia Pty Ltd</w:t>
            </w:r>
          </w:p>
        </w:tc>
      </w:tr>
      <w:tr w:rsidR="00324B33" w:rsidRPr="00BD5DBD" w14:paraId="5322B989" w14:textId="77777777" w:rsidTr="00F865A7">
        <w:tc>
          <w:tcPr>
            <w:tcW w:w="1577" w:type="pct"/>
          </w:tcPr>
          <w:p w14:paraId="24F217E3" w14:textId="638F4ACB" w:rsidR="00324B33" w:rsidRPr="00BD5DBD" w:rsidRDefault="00324B33" w:rsidP="007452E8">
            <w:pPr>
              <w:rPr>
                <w:i/>
                <w:szCs w:val="22"/>
              </w:rPr>
            </w:pPr>
            <w:r w:rsidRPr="00BD5DBD">
              <w:rPr>
                <w:i/>
                <w:szCs w:val="22"/>
              </w:rPr>
              <w:t>Dose form:</w:t>
            </w:r>
          </w:p>
        </w:tc>
        <w:tc>
          <w:tcPr>
            <w:tcW w:w="3423" w:type="pct"/>
          </w:tcPr>
          <w:p w14:paraId="768B254C" w14:textId="4AB13F6B" w:rsidR="00324B33" w:rsidRPr="00BD5DBD" w:rsidRDefault="00410DE0" w:rsidP="007452E8">
            <w:pPr>
              <w:rPr>
                <w:szCs w:val="22"/>
              </w:rPr>
            </w:pPr>
            <w:r>
              <w:t>Injection, solution</w:t>
            </w:r>
          </w:p>
        </w:tc>
      </w:tr>
      <w:tr w:rsidR="00324B33" w:rsidRPr="00BD5DBD" w14:paraId="115243E6" w14:textId="77777777" w:rsidTr="00F865A7">
        <w:tc>
          <w:tcPr>
            <w:tcW w:w="1577" w:type="pct"/>
          </w:tcPr>
          <w:p w14:paraId="7634B062" w14:textId="51833F07" w:rsidR="00324B33" w:rsidRPr="00BD5DBD" w:rsidRDefault="00324B33" w:rsidP="007452E8">
            <w:pPr>
              <w:rPr>
                <w:i/>
                <w:szCs w:val="22"/>
              </w:rPr>
            </w:pPr>
            <w:r w:rsidRPr="00BD5DBD">
              <w:rPr>
                <w:i/>
                <w:szCs w:val="22"/>
              </w:rPr>
              <w:t>Strength:</w:t>
            </w:r>
          </w:p>
        </w:tc>
        <w:tc>
          <w:tcPr>
            <w:tcW w:w="3423" w:type="pct"/>
          </w:tcPr>
          <w:p w14:paraId="5E5F83DB" w14:textId="5D82A745" w:rsidR="00324B33" w:rsidRPr="00BD5DBD" w:rsidRDefault="005B0B7C" w:rsidP="007452E8">
            <w:pPr>
              <w:rPr>
                <w:szCs w:val="22"/>
              </w:rPr>
            </w:pPr>
            <w:r>
              <w:t>44 mg/1.1 mL solution for injection via</w:t>
            </w:r>
            <w:r w:rsidR="00EE36ED">
              <w:t>l</w:t>
            </w:r>
          </w:p>
        </w:tc>
      </w:tr>
      <w:tr w:rsidR="00324B33" w:rsidRPr="00BD5DBD" w14:paraId="34B07BA6" w14:textId="77777777" w:rsidTr="00F865A7">
        <w:tc>
          <w:tcPr>
            <w:tcW w:w="1577" w:type="pct"/>
          </w:tcPr>
          <w:p w14:paraId="1C039224" w14:textId="17765DCE" w:rsidR="00324B33" w:rsidRPr="00BD5DBD" w:rsidRDefault="00324B33" w:rsidP="007452E8">
            <w:pPr>
              <w:rPr>
                <w:i/>
                <w:szCs w:val="22"/>
              </w:rPr>
            </w:pPr>
            <w:r w:rsidRPr="00BD5DBD">
              <w:rPr>
                <w:i/>
                <w:szCs w:val="22"/>
              </w:rPr>
              <w:t>Container:</w:t>
            </w:r>
          </w:p>
        </w:tc>
        <w:tc>
          <w:tcPr>
            <w:tcW w:w="3423" w:type="pct"/>
          </w:tcPr>
          <w:p w14:paraId="500A42C6" w14:textId="102AD95A" w:rsidR="00324B33" w:rsidRPr="00BD5DBD" w:rsidRDefault="00650808" w:rsidP="007452E8">
            <w:pPr>
              <w:rPr>
                <w:szCs w:val="22"/>
              </w:rPr>
            </w:pPr>
            <w:r>
              <w:rPr>
                <w:szCs w:val="22"/>
              </w:rPr>
              <w:t xml:space="preserve">Vial </w:t>
            </w:r>
            <w:r w:rsidR="00544DE6">
              <w:rPr>
                <w:szCs w:val="22"/>
              </w:rPr>
              <w:t>– Glass Type I Clear</w:t>
            </w:r>
          </w:p>
        </w:tc>
      </w:tr>
      <w:tr w:rsidR="00324B33" w:rsidRPr="00BD5DBD" w14:paraId="176B6773" w14:textId="77777777" w:rsidTr="00F865A7">
        <w:tc>
          <w:tcPr>
            <w:tcW w:w="1577" w:type="pct"/>
          </w:tcPr>
          <w:p w14:paraId="71846159" w14:textId="56775AEB" w:rsidR="00324B33" w:rsidRPr="00BD5DBD" w:rsidRDefault="00324B33" w:rsidP="007452E8">
            <w:pPr>
              <w:rPr>
                <w:i/>
                <w:szCs w:val="22"/>
              </w:rPr>
            </w:pPr>
            <w:r w:rsidRPr="00BD5DBD">
              <w:rPr>
                <w:i/>
                <w:szCs w:val="22"/>
              </w:rPr>
              <w:t>Pack size:</w:t>
            </w:r>
          </w:p>
        </w:tc>
        <w:tc>
          <w:tcPr>
            <w:tcW w:w="3423" w:type="pct"/>
          </w:tcPr>
          <w:p w14:paraId="7E978F8F" w14:textId="05E522A2" w:rsidR="00324B33" w:rsidRPr="00BD5DBD" w:rsidRDefault="00342C6D" w:rsidP="007452E8">
            <w:pPr>
              <w:rPr>
                <w:szCs w:val="22"/>
              </w:rPr>
            </w:pPr>
            <w:r>
              <w:rPr>
                <w:szCs w:val="22"/>
              </w:rPr>
              <w:t>1 vial</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2498308" w14:textId="6B6B0EDE" w:rsidR="003F6D27" w:rsidRPr="00AE0FE2" w:rsidRDefault="0027760A" w:rsidP="003F6D27">
            <w:pPr>
              <w:autoSpaceDE w:val="0"/>
              <w:autoSpaceDN w:val="0"/>
              <w:adjustRightInd w:val="0"/>
              <w:spacing w:after="0" w:line="240" w:lineRule="auto"/>
              <w:rPr>
                <w:rFonts w:cs="Cambria-Italic"/>
                <w:szCs w:val="22"/>
              </w:rPr>
            </w:pPr>
            <w:r>
              <w:rPr>
                <w:rFonts w:cs="Cambria-Italic"/>
                <w:szCs w:val="22"/>
              </w:rPr>
              <w:t>T</w:t>
            </w:r>
            <w:r w:rsidR="003F6D27" w:rsidRPr="00AE0FE2">
              <w:rPr>
                <w:rFonts w:cs="Cambria-Italic"/>
                <w:szCs w:val="22"/>
              </w:rPr>
              <w:t>reatment of</w:t>
            </w:r>
            <w:r w:rsidR="00AE0FE2" w:rsidRPr="00AE0FE2">
              <w:rPr>
                <w:rFonts w:cs="Cambria-Italic"/>
                <w:szCs w:val="22"/>
              </w:rPr>
              <w:t xml:space="preserve"> </w:t>
            </w:r>
            <w:r w:rsidR="003F6D27" w:rsidRPr="00AE0FE2">
              <w:rPr>
                <w:rFonts w:cs="Cambria-Italic"/>
                <w:szCs w:val="22"/>
              </w:rPr>
              <w:t>adult patients with relapsed or refractory multiple myeloma who have received at least</w:t>
            </w:r>
            <w:r w:rsidR="000C009F">
              <w:rPr>
                <w:rFonts w:cs="Cambria-Italic"/>
                <w:szCs w:val="22"/>
              </w:rPr>
              <w:t xml:space="preserve"> </w:t>
            </w:r>
            <w:r w:rsidR="003F6D27" w:rsidRPr="00AE0FE2">
              <w:rPr>
                <w:rFonts w:cs="Cambria-Italic"/>
                <w:szCs w:val="22"/>
              </w:rPr>
              <w:t>3 prior therapies, including a proteasome inhibitor, an immunomodulatory agent, and</w:t>
            </w:r>
            <w:r w:rsidR="008E1C0A">
              <w:rPr>
                <w:rFonts w:cs="Cambria-Italic"/>
                <w:szCs w:val="22"/>
              </w:rPr>
              <w:t xml:space="preserve"> </w:t>
            </w:r>
            <w:r w:rsidR="003F6D27" w:rsidRPr="00AE0FE2">
              <w:rPr>
                <w:rFonts w:cs="Cambria-Italic"/>
                <w:szCs w:val="22"/>
              </w:rPr>
              <w:t>an anti-CD38 monoclonal antibody and have demonstrated disease progression on the</w:t>
            </w:r>
          </w:p>
          <w:p w14:paraId="5F9D0976" w14:textId="77777777" w:rsidR="00324B33" w:rsidRDefault="003F6D27" w:rsidP="007B7A9B">
            <w:pPr>
              <w:autoSpaceDE w:val="0"/>
              <w:autoSpaceDN w:val="0"/>
              <w:adjustRightInd w:val="0"/>
              <w:spacing w:after="0" w:line="240" w:lineRule="auto"/>
              <w:rPr>
                <w:rFonts w:cs="Cambria-Italic"/>
                <w:szCs w:val="22"/>
              </w:rPr>
            </w:pPr>
            <w:r w:rsidRPr="00AE0FE2">
              <w:rPr>
                <w:rFonts w:cs="Cambria-Italic"/>
                <w:szCs w:val="22"/>
              </w:rPr>
              <w:t>last therapy.</w:t>
            </w:r>
          </w:p>
          <w:p w14:paraId="6E143E2E" w14:textId="1EC9B36B" w:rsidR="007B7A9B" w:rsidRPr="00AE0FE2" w:rsidRDefault="007B7A9B" w:rsidP="007B7A9B">
            <w:pPr>
              <w:autoSpaceDE w:val="0"/>
              <w:autoSpaceDN w:val="0"/>
              <w:adjustRightInd w:val="0"/>
              <w:spacing w:after="0" w:line="240" w:lineRule="auto"/>
              <w:rPr>
                <w:szCs w:val="22"/>
              </w:rPr>
            </w:pPr>
          </w:p>
        </w:tc>
      </w:tr>
      <w:tr w:rsidR="00324B33" w:rsidRPr="00BD5DBD" w14:paraId="5AFDEED3" w14:textId="77777777" w:rsidTr="00F865A7">
        <w:tc>
          <w:tcPr>
            <w:tcW w:w="1577" w:type="pct"/>
          </w:tcPr>
          <w:p w14:paraId="03884BD1" w14:textId="547BE357" w:rsidR="00324B33" w:rsidRPr="00BD5DBD" w:rsidRDefault="00324B33" w:rsidP="007452E8">
            <w:pPr>
              <w:rPr>
                <w:i/>
                <w:szCs w:val="22"/>
              </w:rPr>
            </w:pPr>
            <w:r w:rsidRPr="00BD5DBD">
              <w:rPr>
                <w:i/>
                <w:szCs w:val="22"/>
              </w:rPr>
              <w:t>Route of administration:</w:t>
            </w:r>
          </w:p>
        </w:tc>
        <w:tc>
          <w:tcPr>
            <w:tcW w:w="3423" w:type="pct"/>
          </w:tcPr>
          <w:p w14:paraId="1ED1357E" w14:textId="03433B36" w:rsidR="00510FB6" w:rsidRPr="00BD5DBD" w:rsidRDefault="000D04D2" w:rsidP="00510FB6">
            <w:pPr>
              <w:rPr>
                <w:szCs w:val="22"/>
              </w:rPr>
            </w:pPr>
            <w:r>
              <w:rPr>
                <w:szCs w:val="22"/>
              </w:rPr>
              <w:t>Subcutaneous</w:t>
            </w:r>
          </w:p>
        </w:tc>
      </w:tr>
      <w:tr w:rsidR="00510FB6" w:rsidRPr="00BD5DBD" w14:paraId="61C5D45F" w14:textId="77777777" w:rsidTr="00F865A7">
        <w:tc>
          <w:tcPr>
            <w:tcW w:w="1577" w:type="pct"/>
          </w:tcPr>
          <w:p w14:paraId="756635D8" w14:textId="036B3060" w:rsidR="00510FB6" w:rsidRPr="00BD5DBD" w:rsidRDefault="00CE6895" w:rsidP="007452E8">
            <w:pPr>
              <w:rPr>
                <w:i/>
                <w:szCs w:val="22"/>
              </w:rPr>
            </w:pPr>
            <w:r>
              <w:rPr>
                <w:i/>
                <w:szCs w:val="22"/>
              </w:rPr>
              <w:t>Information on use</w:t>
            </w:r>
            <w:r w:rsidR="00262C66">
              <w:rPr>
                <w:i/>
                <w:szCs w:val="22"/>
              </w:rPr>
              <w:t>:</w:t>
            </w:r>
          </w:p>
        </w:tc>
        <w:tc>
          <w:tcPr>
            <w:tcW w:w="3423" w:type="pct"/>
          </w:tcPr>
          <w:p w14:paraId="14A50F11" w14:textId="4F459C76" w:rsidR="00CE6895" w:rsidRDefault="00CE6895" w:rsidP="00CE6895">
            <w:r>
              <w:t>For information on the use of Elrexfio (such as dosage, pregnancy category, contraindications</w:t>
            </w:r>
            <w:r w:rsidR="00C1096A">
              <w:t>,</w:t>
            </w:r>
            <w:r>
              <w:t xml:space="preserve"> and precautions</w:t>
            </w:r>
            <w:r w:rsidR="00C0258F">
              <w:t xml:space="preserve"> etc.</w:t>
            </w:r>
            <w:r>
              <w:t>) refer to the Product Information (PI) document or contact a doctor or pharmacist.</w:t>
            </w:r>
          </w:p>
          <w:p w14:paraId="1B3FAAF0" w14:textId="77777777" w:rsidR="00CE6895" w:rsidRPr="00BD5DBD" w:rsidRDefault="00CE6895" w:rsidP="00CE6895">
            <w:pPr>
              <w:rPr>
                <w:szCs w:val="22"/>
              </w:rPr>
            </w:pPr>
            <w:r>
              <w:rPr>
                <w:szCs w:val="22"/>
              </w:rPr>
              <w:t>Use</w:t>
            </w:r>
            <w:r w:rsidRPr="00BD5DBD">
              <w:rPr>
                <w:szCs w:val="22"/>
              </w:rPr>
              <w:t xml:space="preserve"> the TGA </w:t>
            </w:r>
            <w:hyperlink r:id="rId22" w:history="1">
              <w:r w:rsidRPr="00BD5DBD">
                <w:rPr>
                  <w:rStyle w:val="Hyperlink"/>
                  <w:szCs w:val="22"/>
                </w:rPr>
                <w:t>PI/CMI search facility</w:t>
              </w:r>
              <w:r>
                <w:rPr>
                  <w:rStyle w:val="Hyperlink"/>
                  <w:szCs w:val="22"/>
                </w:rPr>
                <w:t xml:space="preserve"> </w:t>
              </w:r>
              <w:r>
                <w:t>to view the c</w:t>
              </w:r>
            </w:hyperlink>
            <w:r>
              <w:rPr>
                <w:szCs w:val="22"/>
              </w:rPr>
              <w:t>urrent Product Information (</w:t>
            </w:r>
            <w:r w:rsidRPr="00BD5DBD">
              <w:rPr>
                <w:szCs w:val="22"/>
              </w:rPr>
              <w:t>PI</w:t>
            </w:r>
            <w:r>
              <w:rPr>
                <w:szCs w:val="22"/>
              </w:rPr>
              <w:t>)</w:t>
            </w:r>
            <w:r w:rsidRPr="00BD5DBD">
              <w:rPr>
                <w:szCs w:val="22"/>
              </w:rPr>
              <w:t xml:space="preserve"> and </w:t>
            </w:r>
            <w:hyperlink r:id="rId23" w:history="1">
              <w:r w:rsidRPr="00BD5DBD">
                <w:rPr>
                  <w:rStyle w:val="Hyperlink"/>
                  <w:szCs w:val="22"/>
                </w:rPr>
                <w:t>Consumer Medicines Information</w:t>
              </w:r>
            </w:hyperlink>
            <w:r w:rsidRPr="00BD5DBD">
              <w:rPr>
                <w:szCs w:val="22"/>
              </w:rPr>
              <w:t xml:space="preserve"> (CMI)</w:t>
            </w:r>
            <w:r>
              <w:rPr>
                <w:szCs w:val="22"/>
              </w:rPr>
              <w:t>.</w:t>
            </w:r>
          </w:p>
          <w:p w14:paraId="6D2C910F" w14:textId="77777777" w:rsidR="00510FB6" w:rsidRDefault="00510FB6" w:rsidP="00510FB6">
            <w:pPr>
              <w:rPr>
                <w:szCs w:val="22"/>
              </w:rPr>
            </w:pPr>
          </w:p>
        </w:tc>
      </w:tr>
    </w:tbl>
    <w:p w14:paraId="51F2479F" w14:textId="1DF957B3" w:rsidR="00324B33" w:rsidRDefault="00E366B4" w:rsidP="007C2648">
      <w:pPr>
        <w:pStyle w:val="Heading2"/>
      </w:pPr>
      <w:bookmarkStart w:id="17" w:name="_Toc247691503"/>
      <w:bookmarkStart w:id="18" w:name="_Toc314842484"/>
      <w:bookmarkStart w:id="19" w:name="_Toc103679290"/>
      <w:r>
        <w:br w:type="page"/>
      </w:r>
      <w:bookmarkStart w:id="20" w:name="_Toc181631299"/>
      <w:r w:rsidR="00324B33">
        <w:lastRenderedPageBreak/>
        <w:t>Product background</w:t>
      </w:r>
      <w:bookmarkEnd w:id="17"/>
      <w:bookmarkEnd w:id="18"/>
      <w:bookmarkEnd w:id="19"/>
      <w:bookmarkEnd w:id="20"/>
    </w:p>
    <w:p w14:paraId="6F983617" w14:textId="03EE9F0E" w:rsidR="00E4204D" w:rsidRDefault="006E5AEE" w:rsidP="006E5AEE">
      <w:pPr>
        <w:rPr>
          <w:rFonts w:cs="Segoe UI"/>
          <w:color w:val="313131"/>
          <w:shd w:val="clear" w:color="auto" w:fill="FFFFFF"/>
        </w:rPr>
      </w:pPr>
      <w:r>
        <w:rPr>
          <w:rFonts w:cs="Segoe UI"/>
          <w:color w:val="313131"/>
          <w:shd w:val="clear" w:color="auto" w:fill="FFFFFF"/>
        </w:rPr>
        <w:t xml:space="preserve">This AusPAR provides information on the assessment </w:t>
      </w:r>
      <w:r w:rsidRPr="007D2A26">
        <w:rPr>
          <w:rFonts w:cs="Segoe UI"/>
          <w:color w:val="313131"/>
          <w:shd w:val="clear" w:color="auto" w:fill="FFFFFF"/>
        </w:rPr>
        <w:t xml:space="preserve">of </w:t>
      </w:r>
      <w:r w:rsidR="00CE2597" w:rsidRPr="007D2A26">
        <w:rPr>
          <w:rFonts w:cs="Segoe UI"/>
          <w:color w:val="313131"/>
          <w:shd w:val="clear" w:color="auto" w:fill="FFFFFF"/>
        </w:rPr>
        <w:t>Elrexfio</w:t>
      </w:r>
      <w:r w:rsidR="00D914B2" w:rsidRPr="007D2A26">
        <w:rPr>
          <w:rFonts w:cs="Segoe UI"/>
          <w:color w:val="313131"/>
          <w:shd w:val="clear" w:color="auto" w:fill="FFFFFF"/>
        </w:rPr>
        <w:t xml:space="preserve"> (</w:t>
      </w:r>
      <w:proofErr w:type="spellStart"/>
      <w:r w:rsidR="00D914B2" w:rsidRPr="007D2A26">
        <w:rPr>
          <w:rFonts w:cs="Segoe UI"/>
          <w:color w:val="313131"/>
          <w:shd w:val="clear" w:color="auto" w:fill="FFFFFF"/>
        </w:rPr>
        <w:t>elranatamab</w:t>
      </w:r>
      <w:proofErr w:type="spellEnd"/>
      <w:r w:rsidR="00D914B2" w:rsidRPr="007D2A26">
        <w:rPr>
          <w:rFonts w:cs="Segoe UI"/>
          <w:color w:val="313131"/>
          <w:shd w:val="clear" w:color="auto" w:fill="FFFFFF"/>
        </w:rPr>
        <w:t xml:space="preserve">) </w:t>
      </w:r>
      <w:r w:rsidR="00DB29DF" w:rsidRPr="007D2A26">
        <w:rPr>
          <w:rFonts w:cs="Segoe UI"/>
          <w:color w:val="313131"/>
          <w:shd w:val="clear" w:color="auto" w:fill="FFFFFF"/>
        </w:rPr>
        <w:t>44 mg/1.1 mL solution for injection</w:t>
      </w:r>
      <w:r w:rsidR="00DB449B" w:rsidRPr="007D2A26">
        <w:rPr>
          <w:rFonts w:cs="Segoe UI"/>
          <w:color w:val="313131"/>
          <w:shd w:val="clear" w:color="auto" w:fill="FFFFFF"/>
        </w:rPr>
        <w:t xml:space="preserve"> and 76 mg/1.9 mL solution for injection</w:t>
      </w:r>
      <w:r w:rsidR="00E61B6D" w:rsidRPr="007D2A26">
        <w:rPr>
          <w:rFonts w:cs="Segoe UI"/>
          <w:color w:val="313131"/>
          <w:shd w:val="clear" w:color="auto" w:fill="FFFFFF"/>
        </w:rPr>
        <w:t xml:space="preserve"> for</w:t>
      </w:r>
      <w:r w:rsidR="00E61B6D">
        <w:rPr>
          <w:rFonts w:cs="Segoe UI"/>
          <w:color w:val="313131"/>
          <w:shd w:val="clear" w:color="auto" w:fill="FFFFFF"/>
        </w:rPr>
        <w:t xml:space="preserve"> the following proposed indication. </w:t>
      </w:r>
    </w:p>
    <w:p w14:paraId="1E614294" w14:textId="31D24EEA" w:rsidR="00E1117A" w:rsidRPr="00532249" w:rsidRDefault="00E1117A" w:rsidP="00E1117A">
      <w:pPr>
        <w:ind w:left="720"/>
        <w:rPr>
          <w:i/>
          <w:iCs/>
        </w:rPr>
      </w:pPr>
      <w:r w:rsidRPr="00532249">
        <w:rPr>
          <w:i/>
          <w:iCs/>
        </w:rPr>
        <w:t>E</w:t>
      </w:r>
      <w:r>
        <w:rPr>
          <w:i/>
          <w:iCs/>
        </w:rPr>
        <w:t>lrexfio</w:t>
      </w:r>
      <w:r w:rsidRPr="00532249">
        <w:rPr>
          <w:i/>
          <w:iCs/>
        </w:rPr>
        <w:t xml:space="preserve"> has provisional approval in Australia and is indicated for the treatment of adult patients with relapsed or refractory multiple myeloma who have received at least 3 prior therapies, including a proteasome inhibitor, an immunomodulatory agent and an anti-CD-38 monoclonal antibody.</w:t>
      </w:r>
    </w:p>
    <w:p w14:paraId="1E63A2AE" w14:textId="4B4B867C" w:rsidR="00CB6813" w:rsidRDefault="00F14D4A" w:rsidP="00CB6813">
      <w:pPr>
        <w:pStyle w:val="Heading4"/>
      </w:pPr>
      <w:bookmarkStart w:id="21" w:name="_Toc181631300"/>
      <w:bookmarkStart w:id="22" w:name="_Toc314842485"/>
      <w:bookmarkStart w:id="23" w:name="_Toc247691504"/>
      <w:r>
        <w:t>Multiple myeloma (MM)</w:t>
      </w:r>
      <w:bookmarkEnd w:id="21"/>
    </w:p>
    <w:p w14:paraId="6C11FC54" w14:textId="1D366490" w:rsidR="001E7C1E" w:rsidRDefault="001E7C1E" w:rsidP="001E7C1E">
      <w:r>
        <w:t>Multiple myeloma (MM) is a malignant plasma cell (B-cell) disorder in which there is clonal proliferation of terminally differentiated plasma cells in the bone marrow.</w:t>
      </w:r>
      <w:r w:rsidR="00B63D2D">
        <w:rPr>
          <w:rStyle w:val="FootnoteReference"/>
        </w:rPr>
        <w:footnoteReference w:id="2"/>
      </w:r>
      <w:r>
        <w:t xml:space="preserve"> Multiple myeloma is the second most common haematological malignancy, and the thirteenth most common cancer in Australia.</w:t>
      </w:r>
      <w:r w:rsidR="00477F9F">
        <w:rPr>
          <w:rStyle w:val="FootnoteReference"/>
        </w:rPr>
        <w:footnoteReference w:id="3"/>
      </w:r>
      <w:r w:rsidR="00E0281F">
        <w:t xml:space="preserve"> </w:t>
      </w:r>
      <w:r>
        <w:t>Australia has one of the highest age-standardised incidence rates internationally,</w:t>
      </w:r>
      <w:r w:rsidR="00784246">
        <w:rPr>
          <w:rStyle w:val="FootnoteReference"/>
        </w:rPr>
        <w:footnoteReference w:id="4"/>
      </w:r>
      <w:r w:rsidR="00860139">
        <w:t xml:space="preserve"> </w:t>
      </w:r>
      <w:r>
        <w:t>with the 2023 estimated incidence of 10.1 per 100,000 population.</w:t>
      </w:r>
      <w:r w:rsidRPr="002B583E">
        <w:t xml:space="preserve"> </w:t>
      </w:r>
      <w:r>
        <w:t>It most commonly affects patients aged &gt; 60 years and affects more men than women.</w:t>
      </w:r>
      <w:r w:rsidR="00220E19">
        <w:rPr>
          <w:rStyle w:val="FootnoteReference"/>
        </w:rPr>
        <w:footnoteReference w:id="5"/>
      </w:r>
    </w:p>
    <w:p w14:paraId="090A0666" w14:textId="77777777" w:rsidR="001E7C1E" w:rsidRDefault="001E7C1E" w:rsidP="001E7C1E">
      <w:r>
        <w:t xml:space="preserve">Disease is produced by the proliferation of plasma cells and their production of paraprotein (M protein), abnormal immunoglobulin in serum and/or urine, or free immunoglobulin light chain. </w:t>
      </w:r>
    </w:p>
    <w:p w14:paraId="60A42F79" w14:textId="1FFD49E9" w:rsidR="001E7C1E" w:rsidRDefault="001E7C1E" w:rsidP="001E7C1E">
      <w:r>
        <w:t>There are two phases that precede MM – a premalignant phase termed monoclonal gammopathy of uncertain significance (MGUS) and smouldering (or asymptomatic myeloma).</w:t>
      </w:r>
      <w:r w:rsidR="00D6039D" w:rsidRPr="00D6039D">
        <w:rPr>
          <w:rStyle w:val="FootnoteReference"/>
        </w:rPr>
        <w:t xml:space="preserve"> </w:t>
      </w:r>
      <w:r w:rsidR="004E197E">
        <w:rPr>
          <w:rStyle w:val="FootnoteReference"/>
        </w:rPr>
        <w:footnoteReference w:id="6"/>
      </w:r>
    </w:p>
    <w:p w14:paraId="15BE2C8C" w14:textId="08C042D1" w:rsidR="001E7C1E" w:rsidRDefault="001E7C1E" w:rsidP="001E7C1E">
      <w:r>
        <w:t>MM is defined by the evidence of end-organ harm; the CRAB features (hypercalcaemia, renal impairment, anaemia, and bone lesions). The International Myeloma Working Group (IMWG) has set out criteria for the diagnosis of MM: 10% clonal BM plasma cells or biopsy-proven bony or extra-medullary plasmacytoma and evidence of end organ damage that can be attributed to the underlying plasma cell proliferative disorder, or biomarkers of malignancy (60% clonal BM plasma cells or involved/uninvolved serum-free light chain (FLC) ratio &gt; 100</w:t>
      </w:r>
      <w:r w:rsidRPr="008A6810">
        <w:t xml:space="preserve"> </w:t>
      </w:r>
      <w:r>
        <w:t>provided the FLC is ≥100 mg/L or &gt;1 focal lesion on MRI).</w:t>
      </w:r>
      <w:r w:rsidR="00411578">
        <w:rPr>
          <w:rStyle w:val="FootnoteReference"/>
        </w:rPr>
        <w:footnoteReference w:id="7"/>
      </w:r>
    </w:p>
    <w:p w14:paraId="3BBFA670" w14:textId="77777777" w:rsidR="001E7C1E" w:rsidRDefault="001E7C1E" w:rsidP="001E7C1E">
      <w:r>
        <w:t xml:space="preserve">Bone lesions, either lytic lesions or diffuse osteopenia, are a hallmark of MM. Myeloma cells promote osteoclast differentiation and activation and there is a decrease in osteoblast activity. Hypercalcaemia can result from the increased osteoclast activity and can contribute to renal disease.  Renal involvement is common and can include immunoglobulin related and immunoglobin unrelated mechanisms.  A complex interplay between myeloma cells, bone marrow cells and cytokine regulation contribute to immune dysfunction, and crowding of marrow with myeloma cells can result in </w:t>
      </w:r>
      <w:proofErr w:type="spellStart"/>
      <w:r>
        <w:t>cytopenias</w:t>
      </w:r>
      <w:proofErr w:type="spellEnd"/>
      <w:r>
        <w:t>.</w:t>
      </w:r>
    </w:p>
    <w:p w14:paraId="1DEF4616" w14:textId="2B521F6C" w:rsidR="001E7C1E" w:rsidRDefault="001E7C1E" w:rsidP="001E7C1E">
      <w:r>
        <w:t xml:space="preserve">MM is a heterogenous disease with multiple clones or subclones, that can emerge with dominance or develop drug-resistance throughout its course. The disease typically has a period of control after the first therapy then relapse. With each subsequent therapy the duration of response (time to relapse) decreases, and with disease progression there is a greater likelihood </w:t>
      </w:r>
      <w:r>
        <w:lastRenderedPageBreak/>
        <w:t xml:space="preserve">of end-organ damage (renal, bone marrow, etc). Newer treatments such as ASCT have improved life expectancy, but multiple myeloma is incurable. The Cancer.org 2023 relative survival estimates (using data from the Surveillance, Epidemiology, and End Results [SEER] database) patients with localised disease (solitary plasmacytoma) have a 5-year relative survival of 79%, but if there is distant spread the 5-year survival for multiple myeloma is 57%. </w:t>
      </w:r>
      <w:r w:rsidR="008A01DB">
        <w:rPr>
          <w:rStyle w:val="FootnoteReference"/>
        </w:rPr>
        <w:footnoteReference w:id="8"/>
      </w:r>
    </w:p>
    <w:p w14:paraId="43FC7C09" w14:textId="77777777" w:rsidR="00B458D5" w:rsidRDefault="00B458D5" w:rsidP="00B458D5">
      <w:pPr>
        <w:pStyle w:val="Heading4"/>
      </w:pPr>
      <w:bookmarkStart w:id="24" w:name="_Toc181631301"/>
      <w:r>
        <w:t>Current treatment options</w:t>
      </w:r>
      <w:bookmarkEnd w:id="24"/>
    </w:p>
    <w:p w14:paraId="7DEB1983" w14:textId="3591EA03" w:rsidR="00C14046" w:rsidRDefault="00C14046" w:rsidP="00C14046">
      <w:r>
        <w:t>The general principles of myeloma treatment are that the best treatment option should be used early in the disease and not saved for subsequent treatments.</w:t>
      </w:r>
    </w:p>
    <w:p w14:paraId="3F3EB0CC" w14:textId="06F69C12" w:rsidR="00C14046" w:rsidRPr="0028427B" w:rsidRDefault="00C14046" w:rsidP="00C14046">
      <w:pPr>
        <w:rPr>
          <w:i/>
          <w:iCs/>
        </w:rPr>
      </w:pPr>
      <w:r>
        <w:t xml:space="preserve">There is no standard sequence or algorithm of treatment for patients with relapsed MM. The choice of regimen is influenced by patient age and frailty, the rate of relapse and disease risk factors, and the response to prior treatments. The </w:t>
      </w:r>
      <w:r w:rsidR="00E06503">
        <w:t>Medical Scientific Advisory Group (</w:t>
      </w:r>
      <w:r>
        <w:t>MSAG</w:t>
      </w:r>
      <w:r w:rsidR="00E06503">
        <w:t>)</w:t>
      </w:r>
      <w:r>
        <w:t xml:space="preserve"> guidelines note ‘</w:t>
      </w:r>
      <w:r w:rsidRPr="00E06503">
        <w:t>the first 3 lines of treatment are perhaps the most important in dictating a person’s overall survival, as</w:t>
      </w:r>
      <w:r w:rsidR="0070294B">
        <w:t xml:space="preserve"> </w:t>
      </w:r>
      <w:r w:rsidRPr="00E06503">
        <w:t>less than 40% of people with MM reach 4</w:t>
      </w:r>
      <w:r w:rsidRPr="00E06503">
        <w:rPr>
          <w:vertAlign w:val="superscript"/>
        </w:rPr>
        <w:t>th</w:t>
      </w:r>
      <w:r w:rsidRPr="00E06503">
        <w:t xml:space="preserve"> line therapy’</w:t>
      </w:r>
      <w:r>
        <w:rPr>
          <w:i/>
          <w:iCs/>
        </w:rPr>
        <w:t>.</w:t>
      </w:r>
      <w:r w:rsidRPr="00082ED8">
        <w:rPr>
          <w:rStyle w:val="EndnoteReference"/>
        </w:rPr>
        <w:t xml:space="preserve"> </w:t>
      </w:r>
      <w:r w:rsidR="00130F2D">
        <w:rPr>
          <w:rStyle w:val="FootnoteReference"/>
        </w:rPr>
        <w:footnoteReference w:id="9"/>
      </w:r>
    </w:p>
    <w:p w14:paraId="631165D6" w14:textId="77777777" w:rsidR="00C14046" w:rsidRDefault="00C14046" w:rsidP="00C14046">
      <w:r>
        <w:t>The main treatment options include an immunomodulator (</w:t>
      </w:r>
      <w:proofErr w:type="spellStart"/>
      <w:r>
        <w:t>IMiD</w:t>
      </w:r>
      <w:proofErr w:type="spellEnd"/>
      <w:r>
        <w:t xml:space="preserve">) (e.g. thalidomide, lenalidomide or pomalidomide) and proteasome inhibitor (PI) (e.g. bortezomib or carfilzomib), anti-CD38 monoclonal antibody (e.g. daratumumab), usually given in combination doublet or triplet regimens, or alkylating agents, anthracyclines, corticosteroids, and in some patients, high dose therapy followed by autologous stem cell transplant (ASCT). </w:t>
      </w:r>
      <w:proofErr w:type="spellStart"/>
      <w:r>
        <w:t>Elotuzumab</w:t>
      </w:r>
      <w:proofErr w:type="spellEnd"/>
      <w:r>
        <w:t xml:space="preserve"> (a signalling lymphocytic activation molecule, family member 7,</w:t>
      </w:r>
      <w:r w:rsidRPr="00297A9A">
        <w:t xml:space="preserve"> </w:t>
      </w:r>
      <w:r>
        <w:t>SLAMF7) in combination with lenalidomide and dexamethasone is a second line option.  Selinexor is registered for use after 4 prior therapies.</w:t>
      </w:r>
    </w:p>
    <w:p w14:paraId="2D7CB9E1" w14:textId="55EF0F88" w:rsidR="00C14046" w:rsidRDefault="00C14046" w:rsidP="00C14046">
      <w:r>
        <w:t>In relapsed MM the Australian MSAG guidelines</w:t>
      </w:r>
      <w:r w:rsidR="00347181">
        <w:rPr>
          <w:vertAlign w:val="superscript"/>
        </w:rPr>
        <w:t>8</w:t>
      </w:r>
      <w:r w:rsidR="00347181">
        <w:t xml:space="preserve"> </w:t>
      </w:r>
      <w:r>
        <w:t>recommend</w:t>
      </w:r>
      <w:r w:rsidR="00161DAA">
        <w:t xml:space="preserve"> the following.</w:t>
      </w:r>
      <w:r>
        <w:t xml:space="preserve"> </w:t>
      </w:r>
    </w:p>
    <w:p w14:paraId="24F3BF3C" w14:textId="1A8F12AA" w:rsidR="00C14046" w:rsidRDefault="00421378" w:rsidP="007E673B">
      <w:pPr>
        <w:pStyle w:val="ListBullet"/>
      </w:pPr>
      <w:r>
        <w:t>E</w:t>
      </w:r>
      <w:r w:rsidR="00C14046">
        <w:t>nrolment in a clinical trial (if available) as a first option</w:t>
      </w:r>
      <w:r>
        <w:t>.</w:t>
      </w:r>
    </w:p>
    <w:p w14:paraId="35FC3A1D" w14:textId="0CBCB967" w:rsidR="00C14046" w:rsidRDefault="00421378" w:rsidP="007E673B">
      <w:pPr>
        <w:pStyle w:val="ListBullet"/>
      </w:pPr>
      <w:r>
        <w:t>S</w:t>
      </w:r>
      <w:r w:rsidR="00C14046">
        <w:t>witching drug class, especially if remission to prior drug was short or the patient has concerning toxicity.</w:t>
      </w:r>
    </w:p>
    <w:p w14:paraId="284E31CB" w14:textId="77777777" w:rsidR="00C14046" w:rsidRDefault="00C14046" w:rsidP="007E673B">
      <w:pPr>
        <w:pStyle w:val="ListBullet"/>
      </w:pPr>
      <w:r>
        <w:t>If relapse occurs &gt; 12 months following cessation of the last treatment regimen, the same regimen can be considered although there is likely to be an inferior duration and quality of response.</w:t>
      </w:r>
    </w:p>
    <w:p w14:paraId="5AD9089E" w14:textId="3F2150B3" w:rsidR="00C14046" w:rsidRDefault="00C14046" w:rsidP="007E673B">
      <w:pPr>
        <w:pStyle w:val="ListBullet"/>
      </w:pPr>
      <w:r>
        <w:t>A second ASCT can be considered for patient who achieved at least a partial response and durable remission (e.g. &gt;9 months) to the first ASCT</w:t>
      </w:r>
      <w:r w:rsidR="00421378">
        <w:t>.</w:t>
      </w:r>
    </w:p>
    <w:p w14:paraId="532C875D" w14:textId="77777777" w:rsidR="00C14046" w:rsidRDefault="00C14046" w:rsidP="007E673B">
      <w:pPr>
        <w:pStyle w:val="ListBullet"/>
      </w:pPr>
      <w:r>
        <w:t>When all novel agents and different treatment combinations have been exhausted, conventional moderate doses of cyclophosphamide, non-myeloablative doses of melphalan, or low-modest doses of corticosteroids remain viable options as is palliation in patients who cannot tolerate any further therapy.</w:t>
      </w:r>
    </w:p>
    <w:p w14:paraId="6E51DF30" w14:textId="77777777" w:rsidR="00C14046" w:rsidRDefault="00C14046" w:rsidP="007E673B">
      <w:r>
        <w:t xml:space="preserve">The proposed treatment is in patients with RR MM who have had three prior treatments. The MSAG guidelines note the options for these patients are limited. Carfilzomib + dexamethasone or pomalidomide + bortezomib + dexamethasone </w:t>
      </w:r>
      <w:proofErr w:type="gramStart"/>
      <w:r>
        <w:t>are</w:t>
      </w:r>
      <w:proofErr w:type="gramEnd"/>
      <w:r>
        <w:t xml:space="preserve"> suggested if the regimens have not been used in earlier treatment lines. The response rate and PFS gains are modest with these regimens in later lines of treatment. </w:t>
      </w:r>
    </w:p>
    <w:p w14:paraId="55EC1D90" w14:textId="18308C61" w:rsidR="00C14046" w:rsidRDefault="00C14046" w:rsidP="007E673B">
      <w:r>
        <w:lastRenderedPageBreak/>
        <w:t xml:space="preserve">The 2024 </w:t>
      </w:r>
      <w:r w:rsidR="00933989">
        <w:t xml:space="preserve">National </w:t>
      </w:r>
      <w:r w:rsidR="00CE3223">
        <w:t>Comprehensive Cancer Network (</w:t>
      </w:r>
      <w:r>
        <w:t>NCCN</w:t>
      </w:r>
      <w:r w:rsidR="00CE3223">
        <w:t>)</w:t>
      </w:r>
      <w:r>
        <w:t xml:space="preserve"> guidelines list similar preferred regimens for early relapsed multiple myeloma (after 1 – 3 prior therapies). These list triplet therapy options for patients who are bortezomib refractory and those that are lenalidomide refractory.</w:t>
      </w:r>
      <w:r w:rsidR="006C7C7F">
        <w:rPr>
          <w:rStyle w:val="FootnoteReference"/>
        </w:rPr>
        <w:footnoteReference w:id="10"/>
      </w:r>
      <w:r>
        <w:t xml:space="preserve"> </w:t>
      </w:r>
    </w:p>
    <w:p w14:paraId="7D8648AD" w14:textId="77777777" w:rsidR="0005466A" w:rsidRDefault="00CD4A33" w:rsidP="0005466A">
      <w:pPr>
        <w:pStyle w:val="TableTitle"/>
      </w:pPr>
      <w:r w:rsidRPr="00CD4A33">
        <w:t xml:space="preserve">Table </w:t>
      </w:r>
      <w:r w:rsidRPr="00CD4A33">
        <w:fldChar w:fldCharType="begin"/>
      </w:r>
      <w:r w:rsidRPr="00CD4A33">
        <w:instrText xml:space="preserve"> SEQ Table \* ARABIC </w:instrText>
      </w:r>
      <w:r w:rsidRPr="00CD4A33">
        <w:fldChar w:fldCharType="separate"/>
      </w:r>
      <w:r w:rsidRPr="00CD4A33">
        <w:t>1</w:t>
      </w:r>
      <w:r w:rsidRPr="00CD4A33">
        <w:fldChar w:fldCharType="end"/>
      </w:r>
      <w:r w:rsidR="00CB2CA7">
        <w:t>:</w:t>
      </w:r>
      <w:r w:rsidRPr="00CD4A33">
        <w:t xml:space="preserve"> NCCN 2024 Guidelines </w:t>
      </w:r>
      <w:r w:rsidR="00617B81">
        <w:t xml:space="preserve">- </w:t>
      </w:r>
      <w:r w:rsidRPr="00CD4A33">
        <w:t xml:space="preserve">Previously </w:t>
      </w:r>
      <w:r w:rsidR="00617B81">
        <w:t>t</w:t>
      </w:r>
      <w:r w:rsidRPr="00CD4A33">
        <w:t xml:space="preserve">reated Multiple Myeloma </w:t>
      </w:r>
      <w:r w:rsidR="00617B81">
        <w:t>p</w:t>
      </w:r>
      <w:r w:rsidRPr="00CD4A33">
        <w:t xml:space="preserve">referred </w:t>
      </w:r>
      <w:r w:rsidR="00617B81">
        <w:t>r</w:t>
      </w:r>
      <w:r w:rsidRPr="00CD4A33">
        <w:t xml:space="preserve">egimens for </w:t>
      </w:r>
      <w:r w:rsidR="00617B81">
        <w:t>e</w:t>
      </w:r>
      <w:r w:rsidRPr="00CD4A33">
        <w:t xml:space="preserve">arly </w:t>
      </w:r>
      <w:r w:rsidR="00617B81">
        <w:t>t</w:t>
      </w:r>
      <w:r w:rsidRPr="00CD4A33">
        <w:t>reatment</w:t>
      </w:r>
    </w:p>
    <w:p w14:paraId="41D1BBE5" w14:textId="1565CD6B" w:rsidR="00C14046" w:rsidRDefault="00CD4A33" w:rsidP="0005466A">
      <w:r w:rsidRPr="00F22B94">
        <w:rPr>
          <w:noProof/>
        </w:rPr>
        <w:drawing>
          <wp:inline distT="0" distB="0" distL="0" distR="0" wp14:anchorId="6226A86C" wp14:editId="2C883E26">
            <wp:extent cx="5731454" cy="5032807"/>
            <wp:effectExtent l="0" t="0" r="3175" b="0"/>
            <wp:docPr id="56" name="Picture 56" descr="This table is an excerpt of preferred regimens for early treatment of previously treated multiple myeloma from the NCCN 2024 Guide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table is an excerpt of preferred regimens for early treatment of previously treated multiple myeloma from the NCCN 2024 Guidelines. "/>
                    <pic:cNvPicPr/>
                  </pic:nvPicPr>
                  <pic:blipFill>
                    <a:blip r:embed="rId24"/>
                    <a:stretch>
                      <a:fillRect/>
                    </a:stretch>
                  </pic:blipFill>
                  <pic:spPr>
                    <a:xfrm>
                      <a:off x="0" y="0"/>
                      <a:ext cx="5749098" cy="5048300"/>
                    </a:xfrm>
                    <a:prstGeom prst="rect">
                      <a:avLst/>
                    </a:prstGeom>
                  </pic:spPr>
                </pic:pic>
              </a:graphicData>
            </a:graphic>
          </wp:inline>
        </w:drawing>
      </w:r>
    </w:p>
    <w:p w14:paraId="168336E2" w14:textId="2062BC91" w:rsidR="00730DD6" w:rsidRPr="000B10BC" w:rsidRDefault="00730DD6" w:rsidP="00730DD6">
      <w:r w:rsidRPr="000B10BC">
        <w:t xml:space="preserve">For patients who have received more than </w:t>
      </w:r>
      <w:r>
        <w:t>3</w:t>
      </w:r>
      <w:r w:rsidRPr="000B10BC">
        <w:t xml:space="preserve"> therapies</w:t>
      </w:r>
      <w:r>
        <w:t>,</w:t>
      </w:r>
      <w:r w:rsidRPr="000B10BC">
        <w:t xml:space="preserve"> the </w:t>
      </w:r>
      <w:r>
        <w:t xml:space="preserve">NCCN </w:t>
      </w:r>
      <w:r w:rsidRPr="000B10BC">
        <w:t>guideline</w:t>
      </w:r>
      <w:r>
        <w:t>s</w:t>
      </w:r>
      <w:r w:rsidRPr="000B10BC">
        <w:t xml:space="preserve"> </w:t>
      </w:r>
      <w:r w:rsidR="00617B81">
        <w:t>recommend the following</w:t>
      </w:r>
      <w:r>
        <w:t xml:space="preserve"> (Table 2)</w:t>
      </w:r>
      <w:r w:rsidRPr="000B10BC">
        <w:t>.</w:t>
      </w:r>
    </w:p>
    <w:p w14:paraId="6A90E389" w14:textId="4A0EF53E" w:rsidR="00005DAD" w:rsidRDefault="00005DAD">
      <w:r>
        <w:br w:type="page"/>
      </w:r>
    </w:p>
    <w:p w14:paraId="4777DE1D" w14:textId="515D37FE" w:rsidR="00DF74FD" w:rsidRDefault="00DF74FD" w:rsidP="00903762">
      <w:pPr>
        <w:pStyle w:val="TableTitle"/>
      </w:pPr>
      <w:r>
        <w:lastRenderedPageBreak/>
        <w:t xml:space="preserve">Table </w:t>
      </w:r>
      <w:r>
        <w:fldChar w:fldCharType="begin"/>
      </w:r>
      <w:r>
        <w:instrText xml:space="preserve"> SEQ Table \* ARABIC </w:instrText>
      </w:r>
      <w:r>
        <w:fldChar w:fldCharType="separate"/>
      </w:r>
      <w:r>
        <w:rPr>
          <w:noProof/>
        </w:rPr>
        <w:t>2</w:t>
      </w:r>
      <w:r>
        <w:rPr>
          <w:noProof/>
        </w:rPr>
        <w:fldChar w:fldCharType="end"/>
      </w:r>
      <w:r w:rsidR="00874400">
        <w:rPr>
          <w:noProof/>
        </w:rPr>
        <w:t>:</w:t>
      </w:r>
      <w:r>
        <w:t xml:space="preserve"> NCCN Guidelines recommendation</w:t>
      </w:r>
      <w:r w:rsidR="006838E9">
        <w:t>s</w:t>
      </w:r>
      <w:r>
        <w:t xml:space="preserve"> for </w:t>
      </w:r>
      <w:r w:rsidR="00005DAD">
        <w:t>p</w:t>
      </w:r>
      <w:r>
        <w:t xml:space="preserve">reviously </w:t>
      </w:r>
      <w:r w:rsidR="00005DAD">
        <w:t>t</w:t>
      </w:r>
      <w:r>
        <w:t xml:space="preserve">reated Multiple Myeloma </w:t>
      </w:r>
      <w:r w:rsidR="003F499D">
        <w:t>r</w:t>
      </w:r>
      <w:r>
        <w:t>elapsed/</w:t>
      </w:r>
      <w:r w:rsidR="003F499D">
        <w:t>r</w:t>
      </w:r>
      <w:r>
        <w:t xml:space="preserve">efractory after </w:t>
      </w:r>
      <w:r w:rsidR="003F499D">
        <w:t>3</w:t>
      </w:r>
      <w:r>
        <w:t xml:space="preserve"> </w:t>
      </w:r>
      <w:r w:rsidR="003F499D">
        <w:t>p</w:t>
      </w:r>
      <w:r>
        <w:t xml:space="preserve">rior </w:t>
      </w:r>
      <w:r w:rsidR="003F499D">
        <w:t>t</w:t>
      </w:r>
      <w:r>
        <w:t>herapies</w:t>
      </w:r>
    </w:p>
    <w:p w14:paraId="5C90E5DC" w14:textId="77777777" w:rsidR="00DF74FD" w:rsidRDefault="00DF74FD" w:rsidP="00DF74FD">
      <w:r w:rsidRPr="000B10BC">
        <w:rPr>
          <w:noProof/>
        </w:rPr>
        <w:drawing>
          <wp:inline distT="0" distB="0" distL="0" distR="0" wp14:anchorId="4C6FC491" wp14:editId="76729C3B">
            <wp:extent cx="5731510" cy="4718304"/>
            <wp:effectExtent l="0" t="0" r="2540" b="6350"/>
            <wp:docPr id="1" name="Picture 1" descr="This table lists the preferred regimens for early treatment of previously treated multiple myeloma according to the NCCN 2024 Guide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table lists the preferred regimens for early treatment of previously treated multiple myeloma according to the NCCN 2024 Guidelines. "/>
                    <pic:cNvPicPr/>
                  </pic:nvPicPr>
                  <pic:blipFill>
                    <a:blip r:embed="rId25"/>
                    <a:stretch>
                      <a:fillRect/>
                    </a:stretch>
                  </pic:blipFill>
                  <pic:spPr>
                    <a:xfrm>
                      <a:off x="0" y="0"/>
                      <a:ext cx="5743049" cy="4727804"/>
                    </a:xfrm>
                    <a:prstGeom prst="rect">
                      <a:avLst/>
                    </a:prstGeom>
                  </pic:spPr>
                </pic:pic>
              </a:graphicData>
            </a:graphic>
          </wp:inline>
        </w:drawing>
      </w:r>
    </w:p>
    <w:p w14:paraId="1ACDD662" w14:textId="77777777" w:rsidR="00E462AE" w:rsidRDefault="00DF74FD" w:rsidP="00DF74FD">
      <w:r>
        <w:t xml:space="preserve">Of the late line options for triple class refractory patients in the above list only </w:t>
      </w:r>
      <w:proofErr w:type="spellStart"/>
      <w:r>
        <w:t>ciltacabtagene</w:t>
      </w:r>
      <w:proofErr w:type="spellEnd"/>
      <w:r>
        <w:t xml:space="preserve"> </w:t>
      </w:r>
      <w:proofErr w:type="spellStart"/>
      <w:r>
        <w:t>autoleucel</w:t>
      </w:r>
      <w:proofErr w:type="spellEnd"/>
      <w:r>
        <w:t xml:space="preserve"> has full registration in Australia.  </w:t>
      </w:r>
    </w:p>
    <w:p w14:paraId="688E9479" w14:textId="77777777" w:rsidR="00536375" w:rsidRDefault="00DF74FD" w:rsidP="00DF74FD">
      <w:proofErr w:type="spellStart"/>
      <w:r>
        <w:t>Carvytki</w:t>
      </w:r>
      <w:proofErr w:type="spellEnd"/>
      <w:r>
        <w:t xml:space="preserve"> (</w:t>
      </w:r>
      <w:proofErr w:type="spellStart"/>
      <w:r>
        <w:t>ciltacabtagene</w:t>
      </w:r>
      <w:proofErr w:type="spellEnd"/>
      <w:r>
        <w:t xml:space="preserve"> </w:t>
      </w:r>
      <w:proofErr w:type="spellStart"/>
      <w:r>
        <w:t>autoleucel</w:t>
      </w:r>
      <w:proofErr w:type="spellEnd"/>
      <w:r>
        <w:t>) was registered in June 2023 for adult patients with relapsed or refractory multiple myeloma, who have received at least three prior lines of therapy, including a proteasome inhibitor, an immunomodulatory agent and an anti-CD38 antibody.</w:t>
      </w:r>
      <w:r w:rsidR="00536375">
        <w:rPr>
          <w:rStyle w:val="FootnoteReference"/>
        </w:rPr>
        <w:footnoteReference w:id="11"/>
      </w:r>
      <w:r>
        <w:t xml:space="preserve"> </w:t>
      </w:r>
    </w:p>
    <w:p w14:paraId="3DCF1545" w14:textId="3BD811D3" w:rsidR="00DF74FD" w:rsidRDefault="00DF74FD" w:rsidP="00DF74FD">
      <w:proofErr w:type="spellStart"/>
      <w:r>
        <w:t>Idecabtagene</w:t>
      </w:r>
      <w:proofErr w:type="spellEnd"/>
      <w:r>
        <w:t xml:space="preserve"> is not registered in Australia. </w:t>
      </w:r>
      <w:proofErr w:type="spellStart"/>
      <w:r>
        <w:t>Teclistamab</w:t>
      </w:r>
      <w:proofErr w:type="spellEnd"/>
      <w:r>
        <w:t xml:space="preserve"> has provisional registration in Australia</w:t>
      </w:r>
      <w:r w:rsidR="00225D51" w:rsidRPr="001205D1">
        <w:rPr>
          <w:rStyle w:val="FootnoteReference"/>
        </w:rPr>
        <w:footnoteReference w:id="12"/>
      </w:r>
      <w:r w:rsidR="001F0961" w:rsidRPr="001205D1">
        <w:rPr>
          <w:rStyle w:val="FootnoteReference"/>
        </w:rPr>
        <w:t xml:space="preserve"> </w:t>
      </w:r>
      <w:r>
        <w:t xml:space="preserve">and </w:t>
      </w:r>
      <w:proofErr w:type="spellStart"/>
      <w:r>
        <w:t>talquetamab</w:t>
      </w:r>
      <w:proofErr w:type="spellEnd"/>
      <w:r>
        <w:t xml:space="preserve">, currently under evaluation, </w:t>
      </w:r>
      <w:r w:rsidR="00AA05A0">
        <w:t>was</w:t>
      </w:r>
      <w:r w:rsidR="001205D1">
        <w:t xml:space="preserve"> granted </w:t>
      </w:r>
      <w:r>
        <w:t xml:space="preserve">provisional determination. </w:t>
      </w:r>
      <w:proofErr w:type="spellStart"/>
      <w:r>
        <w:t>Xpovio</w:t>
      </w:r>
      <w:proofErr w:type="spellEnd"/>
      <w:r>
        <w:t xml:space="preserve">, in the </w:t>
      </w:r>
      <w:r w:rsidR="00031380">
        <w:t>o</w:t>
      </w:r>
      <w:r>
        <w:t xml:space="preserve">ther </w:t>
      </w:r>
      <w:r w:rsidR="00031380">
        <w:t>r</w:t>
      </w:r>
      <w:r>
        <w:t xml:space="preserve">ecommended </w:t>
      </w:r>
      <w:r w:rsidR="00031380">
        <w:t>r</w:t>
      </w:r>
      <w:r>
        <w:t>egimens of</w:t>
      </w:r>
      <w:r w:rsidR="0070294B">
        <w:t xml:space="preserve"> </w:t>
      </w:r>
      <w:r w:rsidR="001205D1">
        <w:t>Table 2</w:t>
      </w:r>
      <w:r>
        <w:t xml:space="preserve">, is </w:t>
      </w:r>
      <w:r w:rsidR="001205D1">
        <w:t xml:space="preserve">registered </w:t>
      </w:r>
      <w:r>
        <w:t>in combination with other medicines in earlier and late line multiple myeloma.</w:t>
      </w:r>
      <w:r w:rsidR="00E80890">
        <w:rPr>
          <w:rStyle w:val="FootnoteReference"/>
        </w:rPr>
        <w:footnoteReference w:id="13"/>
      </w:r>
    </w:p>
    <w:p w14:paraId="37C47E09" w14:textId="14D3762D" w:rsidR="00CB6813" w:rsidRDefault="00CB6813" w:rsidP="00CB6813">
      <w:pPr>
        <w:pStyle w:val="Heading4"/>
      </w:pPr>
      <w:bookmarkStart w:id="25" w:name="_Toc181631302"/>
      <w:r>
        <w:t>C</w:t>
      </w:r>
      <w:r w:rsidRPr="00DE1344">
        <w:t>linical rational</w:t>
      </w:r>
      <w:r w:rsidR="0025785B">
        <w:t>e</w:t>
      </w:r>
      <w:bookmarkEnd w:id="25"/>
    </w:p>
    <w:p w14:paraId="297B16C9" w14:textId="0E8869AD" w:rsidR="00321CAF" w:rsidRPr="00321CAF" w:rsidRDefault="00321CAF" w:rsidP="00321CAF">
      <w:proofErr w:type="spellStart"/>
      <w:r>
        <w:rPr>
          <w:shd w:val="clear" w:color="auto" w:fill="FFFFFF"/>
        </w:rPr>
        <w:t>Elranatamab</w:t>
      </w:r>
      <w:proofErr w:type="spellEnd"/>
      <w:r>
        <w:rPr>
          <w:shd w:val="clear" w:color="auto" w:fill="FFFFFF"/>
        </w:rPr>
        <w:t xml:space="preserve"> is a bispecific antibody</w:t>
      </w:r>
      <w:r w:rsidR="0025056C">
        <w:rPr>
          <w:shd w:val="clear" w:color="auto" w:fill="FFFFFF"/>
        </w:rPr>
        <w:t>,</w:t>
      </w:r>
      <w:r>
        <w:rPr>
          <w:shd w:val="clear" w:color="auto" w:fill="FFFFFF"/>
        </w:rPr>
        <w:t xml:space="preserve"> which has been engineered to bind to two targets: the B cell maturation antigen (BCMA) on the surface of bone marrow cancer cells and CD3 on the surface of T cells (cells of the immune system that </w:t>
      </w:r>
      <w:proofErr w:type="gramStart"/>
      <w:r>
        <w:rPr>
          <w:shd w:val="clear" w:color="auto" w:fill="FFFFFF"/>
        </w:rPr>
        <w:t>are capable of killing</w:t>
      </w:r>
      <w:proofErr w:type="gramEnd"/>
      <w:r>
        <w:rPr>
          <w:shd w:val="clear" w:color="auto" w:fill="FFFFFF"/>
        </w:rPr>
        <w:t xml:space="preserve"> cancer cells). </w:t>
      </w:r>
      <w:proofErr w:type="spellStart"/>
      <w:r>
        <w:rPr>
          <w:shd w:val="clear" w:color="auto" w:fill="FFFFFF"/>
        </w:rPr>
        <w:t>Elranatamab</w:t>
      </w:r>
      <w:proofErr w:type="spellEnd"/>
      <w:r>
        <w:rPr>
          <w:shd w:val="clear" w:color="auto" w:fill="FFFFFF"/>
        </w:rPr>
        <w:t xml:space="preserve"> brings these two cell types together. This activates the T cells, which then kill the cancer cells.</w:t>
      </w:r>
    </w:p>
    <w:p w14:paraId="0D615854" w14:textId="77777777" w:rsidR="00324B33" w:rsidRPr="003F31A2" w:rsidRDefault="00324B33" w:rsidP="00324B33">
      <w:pPr>
        <w:pStyle w:val="Heading3"/>
      </w:pPr>
      <w:bookmarkStart w:id="26" w:name="_Toc103679291"/>
      <w:bookmarkStart w:id="27" w:name="_Toc181631303"/>
      <w:r>
        <w:lastRenderedPageBreak/>
        <w:t>Regulatory status</w:t>
      </w:r>
      <w:bookmarkEnd w:id="22"/>
      <w:bookmarkEnd w:id="23"/>
      <w:bookmarkEnd w:id="26"/>
      <w:bookmarkEnd w:id="27"/>
    </w:p>
    <w:p w14:paraId="72C889D6" w14:textId="7E200950" w:rsidR="0017005C" w:rsidRPr="00BD5DBD" w:rsidRDefault="0017005C" w:rsidP="00741AB9">
      <w:pPr>
        <w:pStyle w:val="Heading4"/>
      </w:pPr>
      <w:bookmarkStart w:id="28" w:name="_Toc181631304"/>
      <w:r w:rsidRPr="00BD5DBD">
        <w:t>Australian regulatory</w:t>
      </w:r>
      <w:r>
        <w:t xml:space="preserve"> sta</w:t>
      </w:r>
      <w:r w:rsidR="0025785B">
        <w:t>t</w:t>
      </w:r>
      <w:r>
        <w:t>us</w:t>
      </w:r>
      <w:bookmarkEnd w:id="28"/>
    </w:p>
    <w:p w14:paraId="1EF38D71" w14:textId="20D060AE" w:rsidR="008D10A9" w:rsidRDefault="008D10A9" w:rsidP="008D10A9">
      <w:pPr>
        <w:rPr>
          <w:lang w:val="en-US"/>
        </w:rPr>
      </w:pPr>
      <w:proofErr w:type="spellStart"/>
      <w:r>
        <w:rPr>
          <w:lang w:val="en-US"/>
        </w:rPr>
        <w:t>Elranatamab</w:t>
      </w:r>
      <w:proofErr w:type="spellEnd"/>
      <w:r>
        <w:rPr>
          <w:lang w:val="en-US"/>
        </w:rPr>
        <w:t xml:space="preserve"> has not previously been </w:t>
      </w:r>
      <w:r w:rsidR="005647C8">
        <w:rPr>
          <w:lang w:val="en-US"/>
        </w:rPr>
        <w:t xml:space="preserve">approved for entry </w:t>
      </w:r>
      <w:r>
        <w:rPr>
          <w:lang w:val="en-US"/>
        </w:rPr>
        <w:t>in the ARTG.</w:t>
      </w:r>
    </w:p>
    <w:p w14:paraId="546C1031" w14:textId="2D014C45" w:rsidR="0017005C" w:rsidRDefault="009E07DB" w:rsidP="0017005C">
      <w:pPr>
        <w:pStyle w:val="Heading4"/>
      </w:pPr>
      <w:bookmarkStart w:id="29" w:name="_Toc181631305"/>
      <w:r>
        <w:t>International</w:t>
      </w:r>
      <w:r w:rsidR="0017005C" w:rsidRPr="00BD5DBD">
        <w:t xml:space="preserve"> regulatory</w:t>
      </w:r>
      <w:r w:rsidR="0017005C">
        <w:t xml:space="preserve"> status</w:t>
      </w:r>
      <w:bookmarkEnd w:id="29"/>
    </w:p>
    <w:p w14:paraId="437C8B9F" w14:textId="6F3843AF" w:rsidR="00E57796" w:rsidRDefault="00E57796" w:rsidP="00E57796">
      <w:pPr>
        <w:rPr>
          <w:lang w:val="en-US"/>
        </w:rPr>
      </w:pPr>
      <w:proofErr w:type="spellStart"/>
      <w:r>
        <w:rPr>
          <w:lang w:val="en-US"/>
        </w:rPr>
        <w:t>Elranatamab</w:t>
      </w:r>
      <w:proofErr w:type="spellEnd"/>
      <w:r>
        <w:rPr>
          <w:lang w:val="en-US"/>
        </w:rPr>
        <w:t xml:space="preserve"> is approved internationally</w:t>
      </w:r>
      <w:r w:rsidR="00DE738F">
        <w:rPr>
          <w:lang w:val="en-US"/>
        </w:rPr>
        <w:t xml:space="preserve"> as follows</w:t>
      </w:r>
      <w:r>
        <w:rPr>
          <w:lang w:val="en-US"/>
        </w:rPr>
        <w:t>.</w:t>
      </w:r>
    </w:p>
    <w:p w14:paraId="1FF09960" w14:textId="15A51944" w:rsidR="005E4C71" w:rsidRPr="00E01859" w:rsidRDefault="005E4C71" w:rsidP="00E01859">
      <w:pPr>
        <w:pStyle w:val="Heading5"/>
      </w:pPr>
      <w:r w:rsidRPr="00E01859">
        <w:t>USA</w:t>
      </w:r>
    </w:p>
    <w:p w14:paraId="1C05251C" w14:textId="366758F2" w:rsidR="00E57796" w:rsidRDefault="005E4C71" w:rsidP="00E57796">
      <w:pPr>
        <w:rPr>
          <w:lang w:val="en-US"/>
        </w:rPr>
      </w:pPr>
      <w:r>
        <w:rPr>
          <w:lang w:val="en-US"/>
        </w:rPr>
        <w:t>FDA</w:t>
      </w:r>
      <w:r w:rsidR="00E57796">
        <w:rPr>
          <w:lang w:val="en-US"/>
        </w:rPr>
        <w:t xml:space="preserve"> - accelerated approval</w:t>
      </w:r>
    </w:p>
    <w:p w14:paraId="0C6D6E8E" w14:textId="77777777" w:rsidR="00E57796" w:rsidRDefault="00E57796" w:rsidP="00E57796">
      <w:pPr>
        <w:ind w:left="720"/>
        <w:rPr>
          <w:i/>
          <w:iCs/>
          <w:lang w:val="en-US"/>
        </w:rPr>
      </w:pPr>
      <w:r>
        <w:rPr>
          <w:i/>
          <w:iCs/>
          <w:lang w:val="en-US"/>
        </w:rPr>
        <w:t>ELREXFIO is a bispecific B-cell maturation antigen (BCMA)-directed CD3 T-cell engager indicated for the treatment of adult patients with relapsed or refractory multiple myeloma who have received at least four prior lines of therapy including a proteasome inhibitor, an immunomodulatory agent, and an anti-CD38 monoclonal antibody.</w:t>
      </w:r>
    </w:p>
    <w:p w14:paraId="5D36E6B8" w14:textId="77777777" w:rsidR="00E57796" w:rsidRDefault="00E57796" w:rsidP="00E57796">
      <w:pPr>
        <w:ind w:left="720"/>
        <w:rPr>
          <w:i/>
          <w:iCs/>
          <w:lang w:val="en-US"/>
        </w:rPr>
      </w:pPr>
      <w:r>
        <w:rPr>
          <w:i/>
          <w:iCs/>
          <w:lang w:val="en-US"/>
        </w:rPr>
        <w:t>This indication is approved under accelerated approval based on response rate and durability of response. Continued approval for this indication may be contingent upon verification of clinical benefit in a confirmatory trial(s).</w:t>
      </w:r>
    </w:p>
    <w:p w14:paraId="1E3E1655" w14:textId="5505C887" w:rsidR="00E57796" w:rsidRDefault="00E57796" w:rsidP="00E57796">
      <w:r>
        <w:t>Elrexfio carries a boxed warning for Cytokine Release Syndrome and neurological toxicity including Immune Effect Cell-Associated Neurotoxicity Syndrome (ICANS) consistent</w:t>
      </w:r>
      <w:r w:rsidR="00845E60">
        <w:t xml:space="preserve"> with</w:t>
      </w:r>
      <w:r>
        <w:t xml:space="preserve"> the US labelling for </w:t>
      </w:r>
      <w:proofErr w:type="spellStart"/>
      <w:r>
        <w:t>teclistamab</w:t>
      </w:r>
      <w:proofErr w:type="spellEnd"/>
      <w:r>
        <w:t xml:space="preserve">. </w:t>
      </w:r>
    </w:p>
    <w:p w14:paraId="4EEB8D86" w14:textId="1C33DC77" w:rsidR="00E57796" w:rsidRPr="00C53ECA" w:rsidRDefault="00E57796" w:rsidP="00E57796">
      <w:r>
        <w:t>The US F</w:t>
      </w:r>
      <w:r w:rsidR="00461CE1">
        <w:t xml:space="preserve">ood and Drug </w:t>
      </w:r>
      <w:r w:rsidR="00854893">
        <w:t>Administration r</w:t>
      </w:r>
      <w:r>
        <w:t>equired a Risk Evaluation and Management Strategy</w:t>
      </w:r>
      <w:r w:rsidR="00E30E54">
        <w:t xml:space="preserve"> (REMS)</w:t>
      </w:r>
      <w:r>
        <w:t xml:space="preserve"> for Elrexfio. The aim is to mitigate the risk of CRS and neurological toxicity including ICANS by educating prescribers on the importance of monitoring patients for signs and symptoms of these conditions. The REMS requires prescribers to be certified through review of a prescriber training program and adverse reaction management guide with knowledge assessment and completion of a prescriber enrolment form. The REMS also includes a patient wallet card. There is a pharmacy and healthcare setting training program and enrolment with reporting requirements if </w:t>
      </w:r>
      <w:proofErr w:type="spellStart"/>
      <w:r>
        <w:t>elranatamab</w:t>
      </w:r>
      <w:proofErr w:type="spellEnd"/>
      <w:r>
        <w:t xml:space="preserve"> is dispensed, and wholesalers are required to limit distribution to certified pharmacies and healthcare settings.</w:t>
      </w:r>
    </w:p>
    <w:p w14:paraId="72515470" w14:textId="7DDFCD66" w:rsidR="005E4C71" w:rsidRDefault="005E4C71" w:rsidP="005E4C71">
      <w:pPr>
        <w:pStyle w:val="Heading5"/>
        <w:rPr>
          <w:lang w:val="en-US"/>
        </w:rPr>
      </w:pPr>
      <w:r>
        <w:rPr>
          <w:lang w:val="en-US"/>
        </w:rPr>
        <w:t>European Union</w:t>
      </w:r>
    </w:p>
    <w:p w14:paraId="3DA134EE" w14:textId="35CC1BC0" w:rsidR="00E57796" w:rsidRDefault="00E57796" w:rsidP="00E57796">
      <w:pPr>
        <w:rPr>
          <w:lang w:val="en-US"/>
        </w:rPr>
      </w:pPr>
      <w:r>
        <w:rPr>
          <w:lang w:val="en-US"/>
        </w:rPr>
        <w:t xml:space="preserve">EMA - conditional </w:t>
      </w:r>
      <w:proofErr w:type="spellStart"/>
      <w:r>
        <w:rPr>
          <w:lang w:val="en-US"/>
        </w:rPr>
        <w:t>authorisation</w:t>
      </w:r>
      <w:proofErr w:type="spellEnd"/>
    </w:p>
    <w:p w14:paraId="6C7873D6" w14:textId="77777777" w:rsidR="00E57796" w:rsidRDefault="00E57796" w:rsidP="00E57796">
      <w:pPr>
        <w:ind w:left="720"/>
        <w:rPr>
          <w:i/>
          <w:iCs/>
          <w:lang w:val="en-US"/>
        </w:rPr>
      </w:pPr>
      <w:r w:rsidRPr="0070755A">
        <w:rPr>
          <w:i/>
          <w:iCs/>
          <w:lang w:val="en-US"/>
        </w:rPr>
        <w:t>ELREXFIO is indicated</w:t>
      </w:r>
      <w:r>
        <w:rPr>
          <w:i/>
          <w:iCs/>
          <w:lang w:val="en-US"/>
        </w:rPr>
        <w:t xml:space="preserve"> as monotherapy for the treatment of adult patients with relapsed and refractory multiple myeloma, who have received at least three prior therapies, including an immunomodulatory agent, a proteasome inhibitor, and an anti-CD38 antibody and have demonstrated disease progression on the last therapy.</w:t>
      </w:r>
    </w:p>
    <w:p w14:paraId="1FCB1D09" w14:textId="7005235F" w:rsidR="00E01859" w:rsidRDefault="00E01859" w:rsidP="00E01859">
      <w:pPr>
        <w:pStyle w:val="Heading5"/>
        <w:rPr>
          <w:lang w:val="en-US"/>
        </w:rPr>
      </w:pPr>
      <w:r>
        <w:rPr>
          <w:lang w:val="en-US"/>
        </w:rPr>
        <w:t xml:space="preserve">Canada </w:t>
      </w:r>
    </w:p>
    <w:p w14:paraId="6400CFBA" w14:textId="3853FE70" w:rsidR="00E57796" w:rsidRDefault="001500E2" w:rsidP="00E57796">
      <w:pPr>
        <w:rPr>
          <w:lang w:val="en-US"/>
        </w:rPr>
      </w:pPr>
      <w:r>
        <w:rPr>
          <w:lang w:val="en-US"/>
        </w:rPr>
        <w:t xml:space="preserve">Health </w:t>
      </w:r>
      <w:r w:rsidR="00E57796">
        <w:rPr>
          <w:lang w:val="en-US"/>
        </w:rPr>
        <w:t>Canada - conditional approval</w:t>
      </w:r>
    </w:p>
    <w:p w14:paraId="0E2DFD7F" w14:textId="77777777" w:rsidR="00E57796" w:rsidRDefault="00E57796" w:rsidP="00E57796">
      <w:pPr>
        <w:ind w:left="720"/>
        <w:rPr>
          <w:i/>
          <w:iCs/>
          <w:lang w:val="en-US"/>
        </w:rPr>
      </w:pPr>
      <w:r w:rsidRPr="0070755A">
        <w:rPr>
          <w:i/>
          <w:iCs/>
          <w:lang w:val="en-US"/>
        </w:rPr>
        <w:t>ELREXFIO is indicated</w:t>
      </w:r>
      <w:r>
        <w:rPr>
          <w:i/>
          <w:iCs/>
          <w:lang w:val="en-US"/>
        </w:rPr>
        <w:t xml:space="preserve"> as monotherapy for the treatment of adult patients with relapsed or refractory multiple myeloma, who have received at least three prior therapies, including an immunomodulatory agent, a proteasome inhibitor, and an anti-CD38 antibody and have demonstrated disease progression on the last therapy.</w:t>
      </w:r>
    </w:p>
    <w:p w14:paraId="2404C92F" w14:textId="6B3FA6CC" w:rsidR="00603807" w:rsidRDefault="00603807" w:rsidP="00603807">
      <w:pPr>
        <w:pStyle w:val="Heading5"/>
        <w:rPr>
          <w:lang w:val="en-US"/>
        </w:rPr>
      </w:pPr>
      <w:r>
        <w:rPr>
          <w:lang w:val="en-US"/>
        </w:rPr>
        <w:lastRenderedPageBreak/>
        <w:t>Switzerland</w:t>
      </w:r>
    </w:p>
    <w:p w14:paraId="1562AC55" w14:textId="32488A19" w:rsidR="00E57796" w:rsidRPr="00DE738F" w:rsidRDefault="008B40D9" w:rsidP="00E57796">
      <w:pPr>
        <w:rPr>
          <w:lang w:val="en-US"/>
        </w:rPr>
      </w:pPr>
      <w:proofErr w:type="spellStart"/>
      <w:r>
        <w:rPr>
          <w:lang w:val="en-US"/>
        </w:rPr>
        <w:t>Swissmedic</w:t>
      </w:r>
      <w:proofErr w:type="spellEnd"/>
      <w:r>
        <w:rPr>
          <w:lang w:val="en-US"/>
        </w:rPr>
        <w:t xml:space="preserve"> </w:t>
      </w:r>
      <w:r w:rsidR="00E57796" w:rsidRPr="00DE738F">
        <w:rPr>
          <w:lang w:val="en-US"/>
        </w:rPr>
        <w:t xml:space="preserve">- temporary </w:t>
      </w:r>
      <w:proofErr w:type="spellStart"/>
      <w:r w:rsidR="00E57796" w:rsidRPr="00DE738F">
        <w:rPr>
          <w:lang w:val="en-US"/>
        </w:rPr>
        <w:t>authorisation</w:t>
      </w:r>
      <w:proofErr w:type="spellEnd"/>
    </w:p>
    <w:p w14:paraId="0579FF64" w14:textId="77777777" w:rsidR="00E57796" w:rsidRPr="00DE738F" w:rsidRDefault="00E57796" w:rsidP="00E57796">
      <w:pPr>
        <w:ind w:left="720"/>
        <w:rPr>
          <w:i/>
          <w:iCs/>
          <w:lang w:val="en-US"/>
        </w:rPr>
      </w:pPr>
      <w:r w:rsidRPr="00DE738F">
        <w:rPr>
          <w:i/>
          <w:iCs/>
          <w:lang w:val="en-US"/>
        </w:rPr>
        <w:t>Elrexfio is indicated as monotherapy for the treatment of relapsed or refractory multiple myeloma in adult patients whose multiple myeloma is refractory to at least one immunomodulatory agent, one proteasome inhibitor, and one anti-CD38 monoclonal antibody, and who have demonstrated disease progression on the last therapy (see &lt;&lt; Clinical efficacy&gt;&gt;).</w:t>
      </w:r>
    </w:p>
    <w:p w14:paraId="34474FE2" w14:textId="77777777" w:rsidR="00E57796" w:rsidRPr="00DE738F" w:rsidRDefault="00E57796" w:rsidP="00E57796">
      <w:pPr>
        <w:ind w:left="720"/>
        <w:rPr>
          <w:i/>
          <w:iCs/>
          <w:lang w:val="en-US"/>
        </w:rPr>
      </w:pPr>
      <w:r w:rsidRPr="00DE738F">
        <w:rPr>
          <w:i/>
          <w:iCs/>
          <w:lang w:val="en-US"/>
        </w:rPr>
        <w:t xml:space="preserve">This medicinal product Elrexfio has been granted temporary </w:t>
      </w:r>
      <w:proofErr w:type="spellStart"/>
      <w:r w:rsidRPr="00DE738F">
        <w:rPr>
          <w:i/>
          <w:iCs/>
          <w:lang w:val="en-US"/>
        </w:rPr>
        <w:t>authorisation</w:t>
      </w:r>
      <w:proofErr w:type="spellEnd"/>
      <w:r w:rsidRPr="00DE738F">
        <w:rPr>
          <w:i/>
          <w:iCs/>
          <w:lang w:val="en-US"/>
        </w:rPr>
        <w:t xml:space="preserve"> as the clinical data was incomplete at the time the </w:t>
      </w:r>
      <w:proofErr w:type="spellStart"/>
      <w:r w:rsidRPr="00DE738F">
        <w:rPr>
          <w:i/>
          <w:iCs/>
          <w:lang w:val="en-US"/>
        </w:rPr>
        <w:t>authorisation</w:t>
      </w:r>
      <w:proofErr w:type="spellEnd"/>
      <w:r w:rsidRPr="00DE738F">
        <w:rPr>
          <w:i/>
          <w:iCs/>
          <w:lang w:val="en-US"/>
        </w:rPr>
        <w:t xml:space="preserve"> application was assessed (Art. 9a TPA). The temporary </w:t>
      </w:r>
      <w:proofErr w:type="spellStart"/>
      <w:r w:rsidRPr="00DE738F">
        <w:rPr>
          <w:i/>
          <w:iCs/>
          <w:lang w:val="en-US"/>
        </w:rPr>
        <w:t>authorisation</w:t>
      </w:r>
      <w:proofErr w:type="spellEnd"/>
      <w:r w:rsidRPr="00DE738F">
        <w:rPr>
          <w:i/>
          <w:iCs/>
          <w:lang w:val="en-US"/>
        </w:rPr>
        <w:t xml:space="preserve"> is contingent on the timely fulfilment of conditions. After these have been met, the temporary </w:t>
      </w:r>
      <w:proofErr w:type="spellStart"/>
      <w:r w:rsidRPr="00DE738F">
        <w:rPr>
          <w:i/>
          <w:iCs/>
          <w:lang w:val="en-US"/>
        </w:rPr>
        <w:t>authorisation</w:t>
      </w:r>
      <w:proofErr w:type="spellEnd"/>
      <w:r w:rsidRPr="00DE738F">
        <w:rPr>
          <w:i/>
          <w:iCs/>
          <w:lang w:val="en-US"/>
        </w:rPr>
        <w:t xml:space="preserve"> can be transformed into an ordinary </w:t>
      </w:r>
      <w:proofErr w:type="spellStart"/>
      <w:r w:rsidRPr="00DE738F">
        <w:rPr>
          <w:i/>
          <w:iCs/>
          <w:lang w:val="en-US"/>
        </w:rPr>
        <w:t>authorisation</w:t>
      </w:r>
      <w:proofErr w:type="spellEnd"/>
      <w:r w:rsidRPr="00DE738F">
        <w:rPr>
          <w:i/>
          <w:iCs/>
          <w:lang w:val="en-US"/>
        </w:rPr>
        <w:t>.</w:t>
      </w:r>
    </w:p>
    <w:p w14:paraId="6D92589C" w14:textId="09786CEF" w:rsidR="00324B33" w:rsidRDefault="00324B33" w:rsidP="00324B33">
      <w:pPr>
        <w:pStyle w:val="Heading2"/>
      </w:pPr>
      <w:bookmarkStart w:id="30" w:name="_Toc504480011"/>
      <w:bookmarkStart w:id="31" w:name="_Toc103679293"/>
      <w:bookmarkStart w:id="32" w:name="_Toc181631306"/>
      <w:r>
        <w:t>Registration timeline</w:t>
      </w:r>
      <w:bookmarkEnd w:id="30"/>
      <w:bookmarkEnd w:id="31"/>
      <w:bookmarkEnd w:id="32"/>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44628C5F" w14:textId="5D7DF7A4" w:rsidR="00324B33" w:rsidRDefault="00324B33" w:rsidP="002C1232">
      <w:pPr>
        <w:pStyle w:val="TableTitle"/>
      </w:pPr>
      <w:r w:rsidRPr="002C1232">
        <w:t xml:space="preserve">Table </w:t>
      </w:r>
      <w:r w:rsidR="0014746B">
        <w:t>3</w:t>
      </w:r>
      <w:r w:rsidRPr="002C1232">
        <w:t xml:space="preserve">: Timeline for </w:t>
      </w:r>
      <w:r w:rsidR="007D3D6E">
        <w:t>s</w:t>
      </w:r>
      <w:r w:rsidRPr="002C1232">
        <w:t xml:space="preserve">ubmission </w:t>
      </w:r>
      <w:r w:rsidR="001C3E3B">
        <w:t>PM-2023-01920-1-6</w:t>
      </w:r>
    </w:p>
    <w:tbl>
      <w:tblPr>
        <w:tblStyle w:val="TableTGAblue2023"/>
        <w:tblW w:w="8642" w:type="dxa"/>
        <w:tblLook w:val="04A0" w:firstRow="1" w:lastRow="0" w:firstColumn="1" w:lastColumn="0" w:noHBand="0" w:noVBand="1"/>
      </w:tblPr>
      <w:tblGrid>
        <w:gridCol w:w="6516"/>
        <w:gridCol w:w="2126"/>
      </w:tblGrid>
      <w:tr w:rsidR="00324B33" w:rsidRPr="00D01DDB" w14:paraId="6C59BE9C" w14:textId="77777777" w:rsidTr="00054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6D80E78" w14:textId="3EC0CCAF" w:rsidR="00324B33" w:rsidRPr="00D01DDB" w:rsidRDefault="00324B33" w:rsidP="00324B33">
            <w:pPr>
              <w:rPr>
                <w:szCs w:val="22"/>
              </w:rPr>
            </w:pPr>
            <w:r w:rsidRPr="00D01DDB">
              <w:rPr>
                <w:szCs w:val="22"/>
              </w:rPr>
              <w:t>Description</w:t>
            </w:r>
          </w:p>
        </w:tc>
        <w:tc>
          <w:tcPr>
            <w:tcW w:w="2126"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0096D" w:rsidRPr="00D01DDB" w14:paraId="10C63FC5" w14:textId="77777777" w:rsidTr="0005466A">
        <w:tc>
          <w:tcPr>
            <w:cnfStyle w:val="001000000000" w:firstRow="0" w:lastRow="0" w:firstColumn="1" w:lastColumn="0" w:oddVBand="0" w:evenVBand="0" w:oddHBand="0" w:evenHBand="0" w:firstRowFirstColumn="0" w:firstRowLastColumn="0" w:lastRowFirstColumn="0" w:lastRowLastColumn="0"/>
            <w:tcW w:w="6516" w:type="dxa"/>
          </w:tcPr>
          <w:p w14:paraId="2096D1D9" w14:textId="572F0BF3" w:rsidR="0030096D" w:rsidRPr="00E679D1" w:rsidRDefault="0030096D" w:rsidP="00E679D1">
            <w:hyperlink r:id="rId26" w:anchor=":~:text=Determination%20is%20a%20formal%20process%20that%20allows%20us%20to%20make" w:history="1">
              <w:r w:rsidRPr="00E8392E">
                <w:rPr>
                  <w:rStyle w:val="Hyperlink"/>
                  <w:lang w:val="en-US"/>
                </w:rPr>
                <w:t>Provisional Determination</w:t>
              </w:r>
            </w:hyperlink>
            <w:r>
              <w:rPr>
                <w:lang w:val="en-US"/>
              </w:rPr>
              <w:t xml:space="preserve"> granted</w:t>
            </w:r>
          </w:p>
        </w:tc>
        <w:tc>
          <w:tcPr>
            <w:tcW w:w="2126" w:type="dxa"/>
          </w:tcPr>
          <w:p w14:paraId="54FD3425" w14:textId="34F90DE2" w:rsidR="0030096D" w:rsidRDefault="0030096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April 2023</w:t>
            </w:r>
          </w:p>
        </w:tc>
      </w:tr>
      <w:tr w:rsidR="00324B33" w:rsidRPr="00D01DDB" w14:paraId="23610C53" w14:textId="77777777" w:rsidTr="0005466A">
        <w:tc>
          <w:tcPr>
            <w:cnfStyle w:val="001000000000" w:firstRow="0" w:lastRow="0" w:firstColumn="1" w:lastColumn="0" w:oddVBand="0" w:evenVBand="0" w:oddHBand="0" w:evenHBand="0" w:firstRowFirstColumn="0" w:firstRowLastColumn="0" w:lastRowFirstColumn="0" w:lastRowLastColumn="0"/>
            <w:tcW w:w="6516" w:type="dxa"/>
          </w:tcPr>
          <w:p w14:paraId="759D2A12" w14:textId="0D705F83" w:rsidR="00324B33" w:rsidRPr="00E679D1" w:rsidRDefault="00324B33" w:rsidP="00E679D1">
            <w:r w:rsidRPr="00E679D1">
              <w:t>Submission dossier accepted and first round evaluation commenced</w:t>
            </w:r>
          </w:p>
        </w:tc>
        <w:tc>
          <w:tcPr>
            <w:tcW w:w="2126" w:type="dxa"/>
          </w:tcPr>
          <w:p w14:paraId="2963D9D8" w14:textId="165BA9C5" w:rsidR="00324B33" w:rsidRPr="00D01DDB" w:rsidRDefault="00AE46B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May 2023</w:t>
            </w:r>
          </w:p>
        </w:tc>
      </w:tr>
      <w:tr w:rsidR="00324B33" w:rsidRPr="00D01DDB" w14:paraId="53437815" w14:textId="77777777" w:rsidTr="0005466A">
        <w:tc>
          <w:tcPr>
            <w:cnfStyle w:val="001000000000" w:firstRow="0" w:lastRow="0" w:firstColumn="1" w:lastColumn="0" w:oddVBand="0" w:evenVBand="0" w:oddHBand="0" w:evenHBand="0" w:firstRowFirstColumn="0" w:firstRowLastColumn="0" w:lastRowFirstColumn="0" w:lastRowLastColumn="0"/>
            <w:tcW w:w="6516" w:type="dxa"/>
          </w:tcPr>
          <w:p w14:paraId="4C037D4E" w14:textId="2B0CE255" w:rsidR="00324B33" w:rsidRPr="00E679D1" w:rsidRDefault="00324B33" w:rsidP="00E679D1">
            <w:r w:rsidRPr="00E679D1">
              <w:t>First round evaluation completed</w:t>
            </w:r>
          </w:p>
        </w:tc>
        <w:tc>
          <w:tcPr>
            <w:tcW w:w="2126" w:type="dxa"/>
          </w:tcPr>
          <w:p w14:paraId="3CEAFAAB" w14:textId="0E2DB37E" w:rsidR="00324B33" w:rsidRPr="00D01DDB" w:rsidRDefault="00AE46B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October 2023</w:t>
            </w:r>
          </w:p>
        </w:tc>
      </w:tr>
      <w:tr w:rsidR="00324B33" w:rsidRPr="00D01DDB" w14:paraId="767E33A4" w14:textId="77777777" w:rsidTr="0005466A">
        <w:tc>
          <w:tcPr>
            <w:cnfStyle w:val="001000000000" w:firstRow="0" w:lastRow="0" w:firstColumn="1" w:lastColumn="0" w:oddVBand="0" w:evenVBand="0" w:oddHBand="0" w:evenHBand="0" w:firstRowFirstColumn="0" w:firstRowLastColumn="0" w:lastRowFirstColumn="0" w:lastRowLastColumn="0"/>
            <w:tcW w:w="6516" w:type="dxa"/>
          </w:tcPr>
          <w:p w14:paraId="4AFC5B50" w14:textId="153CE7B5" w:rsidR="00C9155A" w:rsidRPr="00C9155A" w:rsidRDefault="00324B33" w:rsidP="007D3D6E">
            <w:r w:rsidRPr="00E679D1">
              <w:t>Second round evaluation completed</w:t>
            </w:r>
            <w:r w:rsidR="00C9155A">
              <w:tab/>
            </w:r>
          </w:p>
        </w:tc>
        <w:tc>
          <w:tcPr>
            <w:tcW w:w="2126" w:type="dxa"/>
          </w:tcPr>
          <w:p w14:paraId="4E47DF62" w14:textId="486924CC" w:rsidR="00324B33" w:rsidRPr="00D01DDB" w:rsidRDefault="00CA1FA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January 2024</w:t>
            </w:r>
          </w:p>
        </w:tc>
      </w:tr>
      <w:tr w:rsidR="00324B33" w:rsidRPr="00D01DDB" w14:paraId="302FCB45" w14:textId="77777777" w:rsidTr="0005466A">
        <w:tc>
          <w:tcPr>
            <w:cnfStyle w:val="001000000000" w:firstRow="0" w:lastRow="0" w:firstColumn="1" w:lastColumn="0" w:oddVBand="0" w:evenVBand="0" w:oddHBand="0" w:evenHBand="0" w:firstRowFirstColumn="0" w:firstRowLastColumn="0" w:lastRowFirstColumn="0" w:lastRowLastColumn="0"/>
            <w:tcW w:w="6516" w:type="dxa"/>
          </w:tcPr>
          <w:p w14:paraId="716E9DC1" w14:textId="7765E6AA" w:rsidR="00324B33" w:rsidRPr="00D01DDB" w:rsidRDefault="00324B33" w:rsidP="00324B33">
            <w:pPr>
              <w:rPr>
                <w:szCs w:val="22"/>
              </w:rPr>
            </w:pPr>
            <w:r w:rsidRPr="00D01DDB">
              <w:rPr>
                <w:szCs w:val="22"/>
              </w:rPr>
              <w:t>Delegate’s</w:t>
            </w:r>
            <w:r w:rsidR="00500D68">
              <w:rPr>
                <w:rStyle w:val="FootnoteReference"/>
                <w:szCs w:val="22"/>
              </w:rPr>
              <w:footnoteReference w:id="14"/>
            </w:r>
            <w:r w:rsidRPr="00D01DDB">
              <w:rPr>
                <w:szCs w:val="22"/>
              </w:rPr>
              <w:t xml:space="preserve"> Overall benefit-risk assessment </w:t>
            </w:r>
            <w:r w:rsidRPr="00CA1FAD">
              <w:rPr>
                <w:color w:val="auto"/>
                <w:szCs w:val="22"/>
              </w:rPr>
              <w:t>and request for Advisory Committee</w:t>
            </w:r>
            <w:r w:rsidR="00CA1FAD">
              <w:rPr>
                <w:color w:val="auto"/>
                <w:szCs w:val="22"/>
              </w:rPr>
              <w:t xml:space="preserve"> on Medicines (ACM)</w:t>
            </w:r>
            <w:r w:rsidRPr="00CA1FAD">
              <w:rPr>
                <w:color w:val="auto"/>
                <w:szCs w:val="22"/>
              </w:rPr>
              <w:t xml:space="preserve"> advice </w:t>
            </w:r>
          </w:p>
        </w:tc>
        <w:tc>
          <w:tcPr>
            <w:tcW w:w="2126" w:type="dxa"/>
          </w:tcPr>
          <w:p w14:paraId="3BA6EF79" w14:textId="26A6F141" w:rsidR="00324B33" w:rsidRPr="00D01DDB" w:rsidRDefault="0038624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March 2024</w:t>
            </w:r>
          </w:p>
        </w:tc>
      </w:tr>
      <w:tr w:rsidR="00324B33" w:rsidRPr="00D01DDB" w14:paraId="5754F7AC" w14:textId="77777777" w:rsidTr="0005466A">
        <w:tc>
          <w:tcPr>
            <w:cnfStyle w:val="001000000000" w:firstRow="0" w:lastRow="0" w:firstColumn="1" w:lastColumn="0" w:oddVBand="0" w:evenVBand="0" w:oddHBand="0" w:evenHBand="0" w:firstRowFirstColumn="0" w:firstRowLastColumn="0" w:lastRowFirstColumn="0" w:lastRowLastColumn="0"/>
            <w:tcW w:w="6516" w:type="dxa"/>
          </w:tcPr>
          <w:p w14:paraId="789DE187" w14:textId="123446EE" w:rsidR="00324B33" w:rsidRPr="00E679D1" w:rsidRDefault="00324B33" w:rsidP="00E679D1">
            <w:r w:rsidRPr="00E679D1">
              <w:t>Advisory Committee meeting</w:t>
            </w:r>
          </w:p>
        </w:tc>
        <w:tc>
          <w:tcPr>
            <w:tcW w:w="2126" w:type="dxa"/>
          </w:tcPr>
          <w:p w14:paraId="5BE1EDE7" w14:textId="2CEB2BA9" w:rsidR="00324B33" w:rsidRPr="00D01DDB" w:rsidRDefault="004B4F8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April 2024</w:t>
            </w:r>
          </w:p>
        </w:tc>
      </w:tr>
      <w:tr w:rsidR="00324B33" w:rsidRPr="00D01DDB" w14:paraId="6E5D32FE" w14:textId="77777777" w:rsidTr="0005466A">
        <w:tc>
          <w:tcPr>
            <w:cnfStyle w:val="001000000000" w:firstRow="0" w:lastRow="0" w:firstColumn="1" w:lastColumn="0" w:oddVBand="0" w:evenVBand="0" w:oddHBand="0" w:evenHBand="0" w:firstRowFirstColumn="0" w:firstRowLastColumn="0" w:lastRowFirstColumn="0" w:lastRowLastColumn="0"/>
            <w:tcW w:w="6516" w:type="dxa"/>
          </w:tcPr>
          <w:p w14:paraId="4E95C44C" w14:textId="7A91C710" w:rsidR="00324B33" w:rsidRPr="00E679D1" w:rsidRDefault="00324B33" w:rsidP="00E679D1">
            <w:r w:rsidRPr="00E679D1">
              <w:t>Registration decision (Outcome)</w:t>
            </w:r>
          </w:p>
        </w:tc>
        <w:tc>
          <w:tcPr>
            <w:tcW w:w="2126" w:type="dxa"/>
          </w:tcPr>
          <w:p w14:paraId="62987ABD" w14:textId="16718E68" w:rsidR="00324B33" w:rsidRPr="00D01DDB" w:rsidRDefault="00525E0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26 </w:t>
            </w:r>
            <w:r w:rsidR="00314F87">
              <w:rPr>
                <w:szCs w:val="22"/>
              </w:rPr>
              <w:t>June 2024</w:t>
            </w:r>
          </w:p>
        </w:tc>
      </w:tr>
      <w:tr w:rsidR="00324B33" w:rsidRPr="00D01DDB" w14:paraId="6DDCDDA4" w14:textId="77777777" w:rsidTr="0005466A">
        <w:tc>
          <w:tcPr>
            <w:cnfStyle w:val="001000000000" w:firstRow="0" w:lastRow="0" w:firstColumn="1" w:lastColumn="0" w:oddVBand="0" w:evenVBand="0" w:oddHBand="0" w:evenHBand="0" w:firstRowFirstColumn="0" w:firstRowLastColumn="0" w:lastRowFirstColumn="0" w:lastRowLastColumn="0"/>
            <w:tcW w:w="6516" w:type="dxa"/>
          </w:tcPr>
          <w:p w14:paraId="192FD19D" w14:textId="44922B6A" w:rsidR="00324B33" w:rsidRPr="00E679D1" w:rsidRDefault="0013132F" w:rsidP="00E679D1">
            <w:r w:rsidRPr="00E679D1">
              <w:t xml:space="preserve">Administrative activities and registration </w:t>
            </w:r>
            <w:r w:rsidR="005C4B46" w:rsidRPr="00E679D1">
              <w:t xml:space="preserve">in </w:t>
            </w:r>
            <w:r w:rsidRPr="00E679D1">
              <w:t xml:space="preserve">the ARTG </w:t>
            </w:r>
          </w:p>
        </w:tc>
        <w:tc>
          <w:tcPr>
            <w:tcW w:w="2126" w:type="dxa"/>
          </w:tcPr>
          <w:p w14:paraId="5A8923FD" w14:textId="0D811C2D" w:rsidR="00324B33" w:rsidRPr="00D01DDB" w:rsidRDefault="00314F8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June 2024</w:t>
            </w:r>
          </w:p>
        </w:tc>
      </w:tr>
      <w:tr w:rsidR="00324B33" w:rsidRPr="00D01DDB" w14:paraId="56D922E2" w14:textId="77777777" w:rsidTr="0005466A">
        <w:tc>
          <w:tcPr>
            <w:cnfStyle w:val="001000000000" w:firstRow="0" w:lastRow="0" w:firstColumn="1" w:lastColumn="0" w:oddVBand="0" w:evenVBand="0" w:oddHBand="0" w:evenHBand="0" w:firstRowFirstColumn="0" w:firstRowLastColumn="0" w:lastRowFirstColumn="0" w:lastRowLastColumn="0"/>
            <w:tcW w:w="6516" w:type="dxa"/>
          </w:tcPr>
          <w:p w14:paraId="787FD8DD" w14:textId="0E0CF97F" w:rsidR="00324B33" w:rsidRPr="00E679D1" w:rsidRDefault="00324B33" w:rsidP="00E679D1">
            <w:r w:rsidRPr="00E679D1">
              <w:t>Number of working days from submission dossier acceptance to registration decision*</w:t>
            </w:r>
          </w:p>
        </w:tc>
        <w:tc>
          <w:tcPr>
            <w:tcW w:w="2126" w:type="dxa"/>
          </w:tcPr>
          <w:p w14:paraId="5BAF9FA1" w14:textId="1049221B" w:rsidR="00324B33" w:rsidRPr="00D01DDB" w:rsidRDefault="00AE691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246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38F34C7" w14:textId="497D6EA3" w:rsidR="00433318" w:rsidRDefault="00433318" w:rsidP="00433318">
      <w:pPr>
        <w:pStyle w:val="TableDescription"/>
      </w:pPr>
      <w:r w:rsidRPr="00006FAB">
        <w:t>*The COR-A process has a 120 working day evaluation and decision timeframe.</w:t>
      </w:r>
    </w:p>
    <w:p w14:paraId="47E88CFC" w14:textId="6C0A2C44" w:rsidR="00433318" w:rsidRDefault="00433318" w:rsidP="00854D98">
      <w:pPr>
        <w:pStyle w:val="TableDescription"/>
      </w:pPr>
      <w:r w:rsidRPr="00006FAB">
        <w:t>*The COR-B process has a 175 working day evaluation and decision timeframe.</w:t>
      </w:r>
    </w:p>
    <w:p w14:paraId="1EF8DD9F" w14:textId="77777777" w:rsidR="002C770E" w:rsidRDefault="002C770E">
      <w:pPr>
        <w:rPr>
          <w:rFonts w:ascii="Arial" w:eastAsia="Times New Roman" w:hAnsi="Arial" w:cs="Times New Roman"/>
          <w:b/>
          <w:bCs/>
          <w:color w:val="001871"/>
          <w:sz w:val="38"/>
          <w:szCs w:val="38"/>
        </w:rPr>
      </w:pPr>
      <w:bookmarkStart w:id="33" w:name="_Toc196046504"/>
      <w:bookmarkStart w:id="34" w:name="_Toc247691527"/>
      <w:bookmarkStart w:id="35" w:name="_Toc314842510"/>
      <w:bookmarkStart w:id="36" w:name="_Toc103679294"/>
      <w:r>
        <w:br w:type="page"/>
      </w:r>
    </w:p>
    <w:p w14:paraId="220925F1" w14:textId="212837FE" w:rsidR="00C22214" w:rsidRPr="00792A32" w:rsidRDefault="00C22214" w:rsidP="00C22214">
      <w:pPr>
        <w:pStyle w:val="Heading2"/>
      </w:pPr>
      <w:bookmarkStart w:id="37" w:name="_Toc181631307"/>
      <w:r w:rsidRPr="00006FAB">
        <w:lastRenderedPageBreak/>
        <w:t xml:space="preserve">Submission overview </w:t>
      </w:r>
      <w:r w:rsidRPr="00792A32">
        <w:t xml:space="preserve">and </w:t>
      </w:r>
      <w:r>
        <w:t>r</w:t>
      </w:r>
      <w:r w:rsidRPr="00792A32">
        <w:t>isk</w:t>
      </w:r>
      <w:r w:rsidR="00B83DEB">
        <w:t>-</w:t>
      </w:r>
      <w:r>
        <w:t>b</w:t>
      </w:r>
      <w:r w:rsidRPr="00792A32">
        <w:t xml:space="preserve">enefit </w:t>
      </w:r>
      <w:r>
        <w:t>a</w:t>
      </w:r>
      <w:r w:rsidRPr="00792A32">
        <w:t>ssessment</w:t>
      </w:r>
      <w:bookmarkEnd w:id="33"/>
      <w:bookmarkEnd w:id="34"/>
      <w:bookmarkEnd w:id="35"/>
      <w:bookmarkEnd w:id="36"/>
      <w:bookmarkEnd w:id="37"/>
    </w:p>
    <w:p w14:paraId="540151FC" w14:textId="77777777" w:rsidR="00C22214" w:rsidRPr="00BD5DBD" w:rsidRDefault="00C22214" w:rsidP="00BD5DBD">
      <w:pPr>
        <w:rPr>
          <w:szCs w:val="22"/>
        </w:rPr>
      </w:pPr>
      <w:bookmarkStart w:id="38" w:name="_Toc247691528"/>
      <w:bookmarkStart w:id="39" w:name="_Toc314842511"/>
      <w:r w:rsidRPr="00BD5DBD">
        <w:rPr>
          <w:szCs w:val="22"/>
        </w:rPr>
        <w:t>A summary of the TGA’s assessment for this submission is provided below.</w:t>
      </w:r>
    </w:p>
    <w:p w14:paraId="37F5A1C0" w14:textId="34AB60FF" w:rsidR="00C22214" w:rsidRDefault="0054097D" w:rsidP="00C22214">
      <w:pPr>
        <w:pStyle w:val="Heading3"/>
      </w:pPr>
      <w:bookmarkStart w:id="40" w:name="_Toc181631308"/>
      <w:bookmarkEnd w:id="38"/>
      <w:bookmarkEnd w:id="39"/>
      <w:r>
        <w:t xml:space="preserve">Manufacturing and quality </w:t>
      </w:r>
      <w:r w:rsidR="005B1EC2">
        <w:t>evaluation summary</w:t>
      </w:r>
      <w:bookmarkEnd w:id="40"/>
    </w:p>
    <w:p w14:paraId="4AE53F69" w14:textId="2C50BA5E" w:rsidR="00B101CC" w:rsidRPr="00AA05A0" w:rsidRDefault="00B101CC" w:rsidP="00B101CC">
      <w:r w:rsidRPr="00AA05A0">
        <w:t xml:space="preserve">There are objections on quality grounds to the approval of Elrexfio because </w:t>
      </w:r>
      <w:hyperlink r:id="rId27" w:anchor=":~:text=This%20guidance%20is%20for%20sponsors%20seeking%20to%20obtain%20Good%20Manufacturing" w:history="1">
        <w:r w:rsidR="00EA48ED" w:rsidRPr="00F147D3">
          <w:rPr>
            <w:rStyle w:val="Hyperlink"/>
          </w:rPr>
          <w:t>Good Manufacturing Practice (</w:t>
        </w:r>
        <w:r w:rsidRPr="00F147D3">
          <w:rPr>
            <w:rStyle w:val="Hyperlink"/>
          </w:rPr>
          <w:t>GMP</w:t>
        </w:r>
        <w:r w:rsidR="00EA48ED" w:rsidRPr="00F147D3">
          <w:rPr>
            <w:rStyle w:val="Hyperlink"/>
          </w:rPr>
          <w:t>)</w:t>
        </w:r>
        <w:r w:rsidRPr="00F147D3">
          <w:rPr>
            <w:rStyle w:val="Hyperlink"/>
          </w:rPr>
          <w:t xml:space="preserve"> clearance</w:t>
        </w:r>
      </w:hyperlink>
      <w:r w:rsidRPr="00AA05A0">
        <w:t xml:space="preserve"> for all manufacturing sites has not been obtained by the sponsor.</w:t>
      </w:r>
    </w:p>
    <w:p w14:paraId="43E04E70" w14:textId="3E679B20" w:rsidR="00B101CC" w:rsidRDefault="00B101CC" w:rsidP="00C06375">
      <w:proofErr w:type="spellStart"/>
      <w:r w:rsidRPr="00AA05A0">
        <w:t>Elranatamab</w:t>
      </w:r>
      <w:proofErr w:type="spellEnd"/>
      <w:r w:rsidRPr="00AA05A0">
        <w:t xml:space="preserve"> is produced using cell culture techniques and recombinant DNA technology in</w:t>
      </w:r>
      <w:r w:rsidR="00C06375" w:rsidRPr="00AA05A0">
        <w:t xml:space="preserve"> </w:t>
      </w:r>
      <w:r w:rsidRPr="00AA05A0">
        <w:t>Chinese Hamster Ovary cells.</w:t>
      </w:r>
    </w:p>
    <w:p w14:paraId="4826B32B" w14:textId="77777777" w:rsidR="006838E9" w:rsidRPr="00AA05A0" w:rsidRDefault="006838E9" w:rsidP="006838E9">
      <w:r w:rsidRPr="00AA05A0">
        <w:t>The following are key findings from the quality evaluation.</w:t>
      </w:r>
    </w:p>
    <w:p w14:paraId="0F2E08B7" w14:textId="77777777" w:rsidR="00B101CC" w:rsidRPr="000D6441" w:rsidRDefault="00B101CC" w:rsidP="00D63A71">
      <w:pPr>
        <w:pStyle w:val="Heading5"/>
      </w:pPr>
      <w:r w:rsidRPr="000D6441">
        <w:t>Drug substance</w:t>
      </w:r>
    </w:p>
    <w:p w14:paraId="741108C7" w14:textId="77777777" w:rsidR="00B101CC" w:rsidRDefault="00B101CC" w:rsidP="00B101CC">
      <w:pPr>
        <w:pStyle w:val="ListBullet"/>
      </w:pPr>
      <w:r>
        <w:t xml:space="preserve">The anti-BCMA antibody and the anti-CD3 antibodies are manufactured separately. The bispecific antibody is formed by a redox reaction of the two component monoclonal antibodies. Details of the drug substance manufacturing steps have been provided. </w:t>
      </w:r>
    </w:p>
    <w:p w14:paraId="4C8AB241" w14:textId="77777777" w:rsidR="00B101CC" w:rsidRDefault="00B101CC" w:rsidP="00B101CC">
      <w:pPr>
        <w:pStyle w:val="ListBullet"/>
      </w:pPr>
      <w:r>
        <w:t>Excipients in the drug substance and in the final product include L-histidine, L-histidine hydrochloride monohydrate, edetate disodium dihydrate, polysorbate 80, sucrose and water for injection.</w:t>
      </w:r>
    </w:p>
    <w:p w14:paraId="7FE53A1B" w14:textId="77777777" w:rsidR="00B101CC" w:rsidRPr="001E2CF5" w:rsidRDefault="00B101CC" w:rsidP="00B101CC">
      <w:pPr>
        <w:pStyle w:val="ListBullet"/>
        <w:rPr>
          <w:lang w:val="en-GB"/>
        </w:rPr>
      </w:pPr>
      <w:r>
        <w:t xml:space="preserve">Based on submitted data the drug substance has a recommended shelf-life of 24 months when stored at </w:t>
      </w:r>
      <w:r w:rsidRPr="001E2CF5">
        <w:rPr>
          <w:rFonts w:hint="eastAsia"/>
          <w:lang w:val="en-GB"/>
        </w:rPr>
        <w:t>-20±5</w:t>
      </w:r>
      <w:r w:rsidRPr="001E2CF5">
        <w:rPr>
          <w:lang w:val="en-GB"/>
        </w:rPr>
        <w:t>°C.</w:t>
      </w:r>
    </w:p>
    <w:p w14:paraId="17F31D7D" w14:textId="77777777" w:rsidR="00B101CC" w:rsidRPr="001E2CF5" w:rsidRDefault="00B101CC" w:rsidP="00D63A71">
      <w:pPr>
        <w:pStyle w:val="Heading5"/>
      </w:pPr>
      <w:r w:rsidRPr="001E2CF5">
        <w:t>Drug product</w:t>
      </w:r>
    </w:p>
    <w:p w14:paraId="64BF0BAA" w14:textId="77777777" w:rsidR="00B101CC" w:rsidRDefault="00B101CC" w:rsidP="00B101CC">
      <w:pPr>
        <w:pStyle w:val="ListBullet"/>
      </w:pPr>
      <w:r>
        <w:t>Details of the drug product manufacturing have been provided. The evaluator concluded that all manufacturing steps and analytical procedures are validated.</w:t>
      </w:r>
    </w:p>
    <w:p w14:paraId="102F6EFF" w14:textId="77777777" w:rsidR="00B101CC" w:rsidRDefault="00B101CC" w:rsidP="00B101CC">
      <w:pPr>
        <w:pStyle w:val="ListBullet"/>
      </w:pPr>
      <w:r>
        <w:t xml:space="preserve">The drug product contains no preservative and is for single use only. </w:t>
      </w:r>
    </w:p>
    <w:p w14:paraId="06C1F83E" w14:textId="77777777" w:rsidR="00B101CC" w:rsidRPr="00B101CC" w:rsidRDefault="00B101CC" w:rsidP="00B101CC">
      <w:pPr>
        <w:pStyle w:val="ListBullet"/>
      </w:pPr>
      <w:r w:rsidRPr="00B101CC">
        <w:t>The drug product is photostable.</w:t>
      </w:r>
    </w:p>
    <w:p w14:paraId="5A5D2090" w14:textId="0A0830CC" w:rsidR="00B101CC" w:rsidRDefault="00B101CC" w:rsidP="00B101CC">
      <w:pPr>
        <w:pStyle w:val="ListBullet"/>
      </w:pPr>
      <w:r>
        <w:t xml:space="preserve">The drug product is supplied in a 5 mL glass vial. It has a stopper made of </w:t>
      </w:r>
      <w:proofErr w:type="spellStart"/>
      <w:r>
        <w:t>chlorobutyl</w:t>
      </w:r>
      <w:proofErr w:type="spellEnd"/>
      <w:r>
        <w:t xml:space="preserve"> </w:t>
      </w:r>
      <w:r w:rsidR="009013B0">
        <w:t xml:space="preserve">rubber </w:t>
      </w:r>
      <w:r>
        <w:t>with a fluoropolymer film, and an aluminium seal with flip-off plastic cap.</w:t>
      </w:r>
    </w:p>
    <w:p w14:paraId="41B71D70" w14:textId="77777777" w:rsidR="00B101CC" w:rsidRDefault="00B101CC" w:rsidP="00B101CC">
      <w:pPr>
        <w:pStyle w:val="ListBullet"/>
      </w:pPr>
      <w:r>
        <w:t xml:space="preserve">There are two strengths: 44 mg in 1.1 mL and 76 mg/1.9 </w:t>
      </w:r>
      <w:proofErr w:type="spellStart"/>
      <w:r>
        <w:t>mL.</w:t>
      </w:r>
      <w:proofErr w:type="spellEnd"/>
      <w:r>
        <w:t xml:space="preserve"> The vials of each strength have an approximate overfill of 0.3 mL to allow the nominal volume to be withdrawn.</w:t>
      </w:r>
    </w:p>
    <w:p w14:paraId="28F12576" w14:textId="77777777" w:rsidR="00B101CC" w:rsidRPr="00F27A87" w:rsidRDefault="00B101CC" w:rsidP="00F27A87">
      <w:pPr>
        <w:pStyle w:val="ListBullet"/>
      </w:pPr>
      <w:r w:rsidRPr="00F27A87">
        <w:t xml:space="preserve">Based on submitted data the drug product has a recommended shelf-life of 24 months when stored at </w:t>
      </w:r>
      <w:r w:rsidRPr="00F27A87">
        <w:rPr>
          <w:rFonts w:hint="eastAsia"/>
        </w:rPr>
        <w:t>5±3</w:t>
      </w:r>
      <w:r w:rsidRPr="00F27A87">
        <w:t>°C.</w:t>
      </w:r>
    </w:p>
    <w:p w14:paraId="4636D631" w14:textId="77777777" w:rsidR="00B101CC" w:rsidRPr="00F27A87" w:rsidRDefault="00B101CC" w:rsidP="00F27A87">
      <w:pPr>
        <w:pStyle w:val="ListBullet"/>
      </w:pPr>
      <w:r w:rsidRPr="00F27A87">
        <w:t>In-use stability data for batches placed for 4 and 24 hours at 30°C under ambient light conditions prior to simulated dose preparation and administration supported an in-use shelf life of 24 hours when stored at 2°C to 8°C, or 6 hours when stored at below 30°C for the product prepared and ready for use.</w:t>
      </w:r>
    </w:p>
    <w:p w14:paraId="40C3E3BA" w14:textId="77777777" w:rsidR="00B101CC" w:rsidRPr="003A44EE" w:rsidRDefault="00B101CC" w:rsidP="00F27A87">
      <w:pPr>
        <w:pStyle w:val="ListBullet"/>
      </w:pPr>
      <w:r>
        <w:t>Stability data indicate that there were no significant changes in terms of quality, purity, or potency for the drug product when exposed to cyclical conditions with a cumulative exposure of up to 30 ± 2 °C/ 65 ± 5% relative humidity for 12 days and -20 ± 5 °C for 9 days.</w:t>
      </w:r>
    </w:p>
    <w:p w14:paraId="36042CD0" w14:textId="4777BC96" w:rsidR="00B101CC" w:rsidRPr="00374C22" w:rsidRDefault="00B101CC" w:rsidP="00D40A54">
      <w:pPr>
        <w:pStyle w:val="Heading5"/>
      </w:pPr>
      <w:r w:rsidRPr="00374C22">
        <w:lastRenderedPageBreak/>
        <w:t xml:space="preserve">Good </w:t>
      </w:r>
      <w:r w:rsidR="0005466A" w:rsidRPr="00374C22">
        <w:t>manufacturing p</w:t>
      </w:r>
      <w:r w:rsidRPr="00374C22">
        <w:t>ractice</w:t>
      </w:r>
      <w:r>
        <w:t xml:space="preserve"> certification</w:t>
      </w:r>
    </w:p>
    <w:p w14:paraId="1B159C90" w14:textId="77777777" w:rsidR="00D40A54" w:rsidRDefault="00B101CC" w:rsidP="00F27A87">
      <w:pPr>
        <w:pStyle w:val="ListBullet"/>
      </w:pPr>
      <w:r>
        <w:t xml:space="preserve">The quality evaluator noted outstanding GMP certification for the site identified as PPD Development Client ID 40863, 8551 Research Way Suite 90 Middleton WI 53562 USA. </w:t>
      </w:r>
    </w:p>
    <w:p w14:paraId="05F14E10" w14:textId="77777777" w:rsidR="00C06375" w:rsidRDefault="00B101CC" w:rsidP="00F27A87">
      <w:pPr>
        <w:pStyle w:val="ListBullet"/>
      </w:pPr>
      <w:r>
        <w:t xml:space="preserve">The Delegate notes an application for certification of that site was received on 23 February 2024. </w:t>
      </w:r>
    </w:p>
    <w:p w14:paraId="59380406" w14:textId="42746271" w:rsidR="00B101CC" w:rsidRDefault="00B101CC" w:rsidP="00F27A87">
      <w:pPr>
        <w:pStyle w:val="ListBullet"/>
      </w:pPr>
      <w:r>
        <w:t xml:space="preserve">The Delegate also notes the certification for another site, 19118 – </w:t>
      </w:r>
      <w:proofErr w:type="spellStart"/>
      <w:r>
        <w:t>BioReliance</w:t>
      </w:r>
      <w:proofErr w:type="spellEnd"/>
      <w:r>
        <w:t xml:space="preserve"> Corporation, at which the manufacture and/or maintenance of master cell bank and/or working cell bank and testing biological are listed as manufacturing steps is due to expire on 31 May 2024.</w:t>
      </w:r>
    </w:p>
    <w:p w14:paraId="54FF3990" w14:textId="77777777" w:rsidR="00B101CC" w:rsidRDefault="00B101CC" w:rsidP="00D40A54">
      <w:pPr>
        <w:pStyle w:val="Heading5"/>
      </w:pPr>
      <w:r w:rsidRPr="00374C22">
        <w:t>Conditions of registration</w:t>
      </w:r>
    </w:p>
    <w:p w14:paraId="7EB80A75" w14:textId="5BCA111E" w:rsidR="00D51F43" w:rsidRPr="00D23139" w:rsidRDefault="00B101CC" w:rsidP="00D51F43">
      <w:r>
        <w:t>The quality evaluator recommended conditions of registration</w:t>
      </w:r>
      <w:r w:rsidR="00D40A54">
        <w:t>, which</w:t>
      </w:r>
      <w:r w:rsidR="00D51F43">
        <w:t xml:space="preserve"> were adopted by the Delegate and included in </w:t>
      </w:r>
      <w:hyperlink w:anchor="_Specific_conditions_of" w:history="1">
        <w:r w:rsidR="00D51F43" w:rsidRPr="00C06375">
          <w:rPr>
            <w:rStyle w:val="Hyperlink"/>
          </w:rPr>
          <w:t>Specific conditions of registration applying to these goods</w:t>
        </w:r>
      </w:hyperlink>
      <w:r w:rsidR="00D51F43">
        <w:t>.</w:t>
      </w:r>
    </w:p>
    <w:p w14:paraId="2BE90AAE" w14:textId="7A70EBBA" w:rsidR="00C22214" w:rsidRDefault="00C22214" w:rsidP="00C22214">
      <w:pPr>
        <w:pStyle w:val="Heading3"/>
      </w:pPr>
      <w:bookmarkStart w:id="41" w:name="_Toc314842512"/>
      <w:bookmarkStart w:id="42" w:name="_Toc103679296"/>
      <w:bookmarkStart w:id="43" w:name="_Toc181631309"/>
      <w:r>
        <w:t>Nonclinical</w:t>
      </w:r>
      <w:bookmarkEnd w:id="41"/>
      <w:bookmarkEnd w:id="42"/>
      <w:r w:rsidR="00F27A87">
        <w:t xml:space="preserve"> evaluation summary</w:t>
      </w:r>
      <w:bookmarkEnd w:id="43"/>
    </w:p>
    <w:p w14:paraId="6972BBBB" w14:textId="22632951" w:rsidR="002D584A" w:rsidRDefault="002D584A" w:rsidP="002D584A">
      <w:pPr>
        <w:rPr>
          <w:i/>
          <w:color w:val="7295D2" w:themeColor="accent1" w:themeTint="BF"/>
        </w:rPr>
      </w:pPr>
      <w:r>
        <w:rPr>
          <w:iCs/>
        </w:rPr>
        <w:t>The nonclinical evaluator had no objections to the provisional registration of Elrexfio for the proposed indication from a nonclinical perspective</w:t>
      </w:r>
      <w:r w:rsidRPr="00425205">
        <w:rPr>
          <w:i/>
          <w:color w:val="7295D2" w:themeColor="accent1" w:themeTint="BF"/>
        </w:rPr>
        <w:t>.</w:t>
      </w:r>
    </w:p>
    <w:p w14:paraId="7198DE48" w14:textId="77777777" w:rsidR="002D584A" w:rsidRPr="0038717F" w:rsidRDefault="002D584A" w:rsidP="002D584A">
      <w:pPr>
        <w:rPr>
          <w:iCs/>
        </w:rPr>
      </w:pPr>
      <w:r w:rsidRPr="0038717F">
        <w:rPr>
          <w:iCs/>
        </w:rPr>
        <w:t>The evaluator found this was a high-quality nonclinical dossier, and that all pivotal studies were GLP-compliant.</w:t>
      </w:r>
    </w:p>
    <w:p w14:paraId="109458D6" w14:textId="380234FB" w:rsidR="002D584A" w:rsidRPr="0038717F" w:rsidRDefault="002D584A" w:rsidP="002D584A">
      <w:pPr>
        <w:rPr>
          <w:iCs/>
        </w:rPr>
      </w:pPr>
      <w:r w:rsidRPr="0038717F">
        <w:rPr>
          <w:iCs/>
        </w:rPr>
        <w:t xml:space="preserve">The key findings </w:t>
      </w:r>
      <w:r>
        <w:rPr>
          <w:iCs/>
        </w:rPr>
        <w:t>included the following.</w:t>
      </w:r>
    </w:p>
    <w:p w14:paraId="2620B3C7" w14:textId="77777777" w:rsidR="002D584A" w:rsidRPr="006106BB" w:rsidRDefault="002D584A" w:rsidP="002D584A">
      <w:pPr>
        <w:pStyle w:val="ListBullet"/>
      </w:pPr>
      <w:proofErr w:type="spellStart"/>
      <w:r w:rsidRPr="006106BB">
        <w:t>Elranatamab</w:t>
      </w:r>
      <w:proofErr w:type="spellEnd"/>
      <w:r w:rsidRPr="006106BB">
        <w:t xml:space="preserve"> is a recombinant bi-specific IgG2 monoclonal antibody directed against BCMA and CD3 that is intended to simultaneously bind the BCMA target on myeloma cells and effector T cells to cause T cell activation and target cell lysis. The evaluator noted the BCMA component also binds to plasma cells, </w:t>
      </w:r>
      <w:proofErr w:type="spellStart"/>
      <w:r w:rsidRPr="006106BB">
        <w:t>plasmablasts</w:t>
      </w:r>
      <w:proofErr w:type="spellEnd"/>
      <w:r w:rsidRPr="006106BB">
        <w:t xml:space="preserve"> and subsets of mature B cells.</w:t>
      </w:r>
    </w:p>
    <w:p w14:paraId="4F9DAF4F" w14:textId="77777777" w:rsidR="002D584A" w:rsidRPr="006106BB" w:rsidRDefault="002D584A" w:rsidP="002D584A">
      <w:pPr>
        <w:pStyle w:val="ListBullet"/>
      </w:pPr>
      <w:r w:rsidRPr="006106BB">
        <w:t>In vitro</w:t>
      </w:r>
      <w:r>
        <w:t>,</w:t>
      </w:r>
      <w:r w:rsidRPr="006106BB">
        <w:t xml:space="preserve"> the binding to BCMA was with picomolar affinity and to CD3 with nanomolar affinity</w:t>
      </w:r>
      <w:r>
        <w:t xml:space="preserve">. It </w:t>
      </w:r>
      <w:r w:rsidRPr="006106BB">
        <w:t>displayed sub</w:t>
      </w:r>
      <w:r>
        <w:t>-</w:t>
      </w:r>
      <w:r w:rsidRPr="006106BB">
        <w:t xml:space="preserve">nanomolar cytotoxic potency against the human myeloma cell lines, including primary tumours cells from patients with relapsed/refractory/progressive multiple myeloma. It showed concentration-dependent induction of T-cell cytotoxicity towards BCMA-expressing cells and T-cell activation. </w:t>
      </w:r>
    </w:p>
    <w:p w14:paraId="6F5B579E" w14:textId="77777777" w:rsidR="002D584A" w:rsidRPr="006106BB" w:rsidRDefault="002D584A" w:rsidP="002D584A">
      <w:pPr>
        <w:pStyle w:val="ListBullet"/>
      </w:pPr>
      <w:r w:rsidRPr="006106BB">
        <w:t xml:space="preserve">The Fc effector function of the Fc region of </w:t>
      </w:r>
      <w:proofErr w:type="spellStart"/>
      <w:r w:rsidRPr="006106BB">
        <w:t>elranatamab</w:t>
      </w:r>
      <w:proofErr w:type="spellEnd"/>
      <w:r w:rsidRPr="006106BB">
        <w:t xml:space="preserve"> is diminished through introduced mutations compared with wildtype IgG2.</w:t>
      </w:r>
    </w:p>
    <w:p w14:paraId="1E3D3426" w14:textId="77777777" w:rsidR="002D584A" w:rsidRPr="006106BB" w:rsidRDefault="002D584A" w:rsidP="002D584A">
      <w:pPr>
        <w:pStyle w:val="ListBullet"/>
      </w:pPr>
      <w:r w:rsidRPr="006106BB">
        <w:t>Off-target binding to various epithelia of human or monkey origin were thought unlikely to be of tox</w:t>
      </w:r>
      <w:r>
        <w:t>ic</w:t>
      </w:r>
      <w:r w:rsidRPr="006106BB">
        <w:t xml:space="preserve">ological significance. Due to its size </w:t>
      </w:r>
      <w:proofErr w:type="spellStart"/>
      <w:r w:rsidRPr="006106BB">
        <w:t>elranatamab</w:t>
      </w:r>
      <w:proofErr w:type="spellEnd"/>
      <w:r w:rsidRPr="006106BB">
        <w:t xml:space="preserve"> is generally unlikely to reach the cytoplasmic component of cells.</w:t>
      </w:r>
    </w:p>
    <w:p w14:paraId="2D065113" w14:textId="77777777" w:rsidR="002D584A" w:rsidRPr="006106BB" w:rsidRDefault="002D584A" w:rsidP="002D584A">
      <w:pPr>
        <w:pStyle w:val="ListBullet"/>
      </w:pPr>
      <w:proofErr w:type="spellStart"/>
      <w:r w:rsidRPr="006106BB">
        <w:t>Elranatamab</w:t>
      </w:r>
      <w:proofErr w:type="spellEnd"/>
      <w:r w:rsidRPr="006106BB">
        <w:t xml:space="preserve"> was dosed subcutaneously in cynomolgus monkeys and showed slow </w:t>
      </w:r>
      <w:r>
        <w:t>subcutaneous (SC)</w:t>
      </w:r>
      <w:r w:rsidRPr="006106BB">
        <w:t xml:space="preserve"> absorption, moderately high bioavailability, a long serum half-life and a limited volume of distribution</w:t>
      </w:r>
      <w:r>
        <w:t>.  T</w:t>
      </w:r>
      <w:r w:rsidRPr="006106BB">
        <w:t xml:space="preserve">he evaluator found </w:t>
      </w:r>
      <w:r>
        <w:t xml:space="preserve">this </w:t>
      </w:r>
      <w:r w:rsidRPr="006106BB">
        <w:t xml:space="preserve">was </w:t>
      </w:r>
      <w:proofErr w:type="gramStart"/>
      <w:r w:rsidRPr="006106BB">
        <w:t>similar to</w:t>
      </w:r>
      <w:proofErr w:type="gramEnd"/>
      <w:r w:rsidRPr="006106BB">
        <w:t xml:space="preserve"> humans and typical of a monoclonal antibody.</w:t>
      </w:r>
    </w:p>
    <w:p w14:paraId="66611360" w14:textId="77777777" w:rsidR="002D584A" w:rsidRPr="006106BB" w:rsidRDefault="002D584A" w:rsidP="002D584A">
      <w:pPr>
        <w:pStyle w:val="ListBullet"/>
      </w:pPr>
      <w:r w:rsidRPr="006106BB">
        <w:t>Cynomolgus monkeys were selected as the pharmacologically relevant species for single-and repeat-dose toxicity studies. The primary toxicity findings were cytokine release and depletion of BCMA-expressing antibody secreting cells and B cells, resulting in immunosuppression and secondary infection. Although minimal to moderate inflammation was the main injection site finding from the repeat dose studies the evaluator noted the highest tested strength of solution tested was 10 mg/mL whereas the proposed strength for the registration formulation is 40 mg/</w:t>
      </w:r>
      <w:proofErr w:type="spellStart"/>
      <w:r w:rsidRPr="006106BB">
        <w:t>mL.</w:t>
      </w:r>
      <w:proofErr w:type="spellEnd"/>
    </w:p>
    <w:p w14:paraId="35314309" w14:textId="77777777" w:rsidR="002D584A" w:rsidRPr="006106BB" w:rsidRDefault="002D584A" w:rsidP="002D584A">
      <w:pPr>
        <w:pStyle w:val="ListBullet"/>
      </w:pPr>
      <w:r w:rsidRPr="006106BB">
        <w:lastRenderedPageBreak/>
        <w:t xml:space="preserve">Consistent with relevant ICH guidelines, no genotoxicity or carcinogenicity studies were conducted. </w:t>
      </w:r>
    </w:p>
    <w:p w14:paraId="3DE57F18" w14:textId="77777777" w:rsidR="002D584A" w:rsidRPr="006106BB" w:rsidRDefault="002D584A" w:rsidP="002D584A">
      <w:pPr>
        <w:pStyle w:val="ListBullet"/>
      </w:pPr>
      <w:r w:rsidRPr="006106BB">
        <w:t xml:space="preserve">The evaluator assigned Pregnancy Category C to </w:t>
      </w:r>
      <w:proofErr w:type="spellStart"/>
      <w:r w:rsidRPr="006106BB">
        <w:t>elranatamab</w:t>
      </w:r>
      <w:proofErr w:type="spellEnd"/>
      <w:r w:rsidRPr="006106BB">
        <w:t>. The repeat dose toxicity studies in monkeys did not suggest organ effects in males or females that would suggest a potential impairment of fertility. The role of BCMA does not pre-dispose it to a potential role in teratogenicity however there may be a risk of fetal or neonatal B-cell depletion and cytokine release syndrome (CRS) poses a risk for embryofetal loss.</w:t>
      </w:r>
    </w:p>
    <w:p w14:paraId="284998DB" w14:textId="77777777" w:rsidR="002D584A" w:rsidRPr="006106BB" w:rsidRDefault="002D584A" w:rsidP="002D584A">
      <w:pPr>
        <w:pStyle w:val="ListBullet"/>
      </w:pPr>
      <w:r w:rsidRPr="006106BB">
        <w:t xml:space="preserve">Currently, </w:t>
      </w:r>
      <w:proofErr w:type="spellStart"/>
      <w:r w:rsidRPr="006106BB">
        <w:t>elranatamab</w:t>
      </w:r>
      <w:proofErr w:type="spellEnd"/>
      <w:r w:rsidRPr="006106BB">
        <w:t xml:space="preserve"> is not proposed for paediatric use and no specific studies in juvenile animals were submitted.</w:t>
      </w:r>
    </w:p>
    <w:p w14:paraId="2A79DAEF" w14:textId="77777777" w:rsidR="002D584A" w:rsidRPr="006106BB" w:rsidRDefault="002D584A" w:rsidP="002D584A">
      <w:pPr>
        <w:pStyle w:val="ListBullet"/>
      </w:pPr>
      <w:r w:rsidRPr="006106BB">
        <w:t>The evaluator had specific comments regarding the nonclinical sections of the draft Elrexfio Product Information. The draft Elrexfio Product Information in sequence 0005 has included the recommended changes.</w:t>
      </w:r>
    </w:p>
    <w:p w14:paraId="35B580A5" w14:textId="0F7FDE42" w:rsidR="00C22214" w:rsidRDefault="00C22214" w:rsidP="008804CF">
      <w:pPr>
        <w:pStyle w:val="Heading3"/>
      </w:pPr>
      <w:bookmarkStart w:id="44" w:name="_Toc247691530"/>
      <w:bookmarkStart w:id="45" w:name="_Toc314842513"/>
      <w:bookmarkStart w:id="46" w:name="_Toc103679297"/>
      <w:bookmarkStart w:id="47" w:name="_Toc181631310"/>
      <w:r>
        <w:t>Clinical</w:t>
      </w:r>
      <w:bookmarkEnd w:id="44"/>
      <w:bookmarkEnd w:id="45"/>
      <w:bookmarkEnd w:id="46"/>
      <w:r w:rsidR="009212E6">
        <w:t xml:space="preserve"> evaluation summary</w:t>
      </w:r>
      <w:bookmarkEnd w:id="47"/>
    </w:p>
    <w:p w14:paraId="40C1D7AC" w14:textId="4FA82A82" w:rsidR="00E92966" w:rsidRDefault="00E92966" w:rsidP="00433318">
      <w:pPr>
        <w:pStyle w:val="Heading4"/>
      </w:pPr>
      <w:bookmarkStart w:id="48" w:name="_Toc181631311"/>
      <w:bookmarkStart w:id="49" w:name="_Toc98931928"/>
      <w:r>
        <w:t>Pharmacology</w:t>
      </w:r>
      <w:bookmarkEnd w:id="48"/>
    </w:p>
    <w:p w14:paraId="240C48EE" w14:textId="77777777" w:rsidR="00C342E4" w:rsidRPr="00EB71AD" w:rsidRDefault="00C342E4" w:rsidP="00C342E4">
      <w:r>
        <w:t>The pharmacology data were derived from the dose escalation study C1071001, dose findings studies C1071002 and C1071009, and from the main study C1071003.</w:t>
      </w:r>
    </w:p>
    <w:p w14:paraId="06568D0F" w14:textId="77777777" w:rsidR="00C342E4" w:rsidRDefault="00C342E4" w:rsidP="00C342E4">
      <w:pPr>
        <w:pStyle w:val="Heading5"/>
      </w:pPr>
      <w:r w:rsidRPr="00AA53F4">
        <w:t>Pharmacokinetics (PK)</w:t>
      </w:r>
      <w:r>
        <w:t xml:space="preserve"> </w:t>
      </w:r>
    </w:p>
    <w:p w14:paraId="416E2D93" w14:textId="77777777" w:rsidR="00C342E4" w:rsidRPr="00B63F30" w:rsidRDefault="00C342E4" w:rsidP="00C342E4">
      <w:r>
        <w:t xml:space="preserve">The </w:t>
      </w:r>
      <w:proofErr w:type="spellStart"/>
      <w:r>
        <w:t>popPK</w:t>
      </w:r>
      <w:proofErr w:type="spellEnd"/>
      <w:r>
        <w:t xml:space="preserve"> modelling included data from 321 patients from Studies 1001, 1002, 1003, and 1004. The final model was a semi-mechanistic target-mediated drug disposition (TMDD) model that parameterised free </w:t>
      </w:r>
      <w:proofErr w:type="spellStart"/>
      <w:r>
        <w:t>elranatamab</w:t>
      </w:r>
      <w:proofErr w:type="spellEnd"/>
      <w:r>
        <w:t>, free serum BCMA (</w:t>
      </w:r>
      <w:proofErr w:type="spellStart"/>
      <w:r>
        <w:t>sBCMA</w:t>
      </w:r>
      <w:proofErr w:type="spellEnd"/>
      <w:r>
        <w:t xml:space="preserve">) and the </w:t>
      </w:r>
      <w:proofErr w:type="spellStart"/>
      <w:r>
        <w:t>elranatamab-sBCMA</w:t>
      </w:r>
      <w:proofErr w:type="spellEnd"/>
      <w:r>
        <w:t xml:space="preserve"> complex.  The model assumes these parameters are in equilibrium.</w:t>
      </w:r>
    </w:p>
    <w:p w14:paraId="3AD731ED" w14:textId="18256D0A" w:rsidR="00C342E4" w:rsidRDefault="00C342E4" w:rsidP="00C342E4">
      <w:r>
        <w:t>Key findings from the PK assessment included the following.</w:t>
      </w:r>
    </w:p>
    <w:p w14:paraId="6CA31C8C" w14:textId="77777777" w:rsidR="00C342E4" w:rsidRDefault="00C342E4" w:rsidP="00C342E4">
      <w:pPr>
        <w:pStyle w:val="ListBullet"/>
      </w:pPr>
      <w:r>
        <w:t>The model-predicted mean bioavailability after SC administration was 56.2%. Abdominal injections sites were preferred per protocol for study C1071003.</w:t>
      </w:r>
    </w:p>
    <w:p w14:paraId="488B23B1" w14:textId="1291F197" w:rsidR="00C342E4" w:rsidRDefault="00C342E4" w:rsidP="00C342E4">
      <w:pPr>
        <w:pStyle w:val="ListBullet"/>
      </w:pPr>
      <w:r>
        <w:t xml:space="preserve">The median </w:t>
      </w:r>
      <w:proofErr w:type="spellStart"/>
      <w:r>
        <w:t>Tmax</w:t>
      </w:r>
      <w:proofErr w:type="spellEnd"/>
      <w:r>
        <w:t xml:space="preserve"> after SC administration was 7 days (range 3, 7 days)</w:t>
      </w:r>
      <w:r w:rsidR="00026C3C">
        <w:t>.</w:t>
      </w:r>
    </w:p>
    <w:p w14:paraId="1CE50875" w14:textId="77777777" w:rsidR="00C342E4" w:rsidRDefault="00C342E4" w:rsidP="00C342E4">
      <w:pPr>
        <w:pStyle w:val="ListBullet"/>
      </w:pPr>
      <w:r>
        <w:t xml:space="preserve">The estimated central and peripheral </w:t>
      </w:r>
      <w:proofErr w:type="spellStart"/>
      <w:r>
        <w:t>Vd</w:t>
      </w:r>
      <w:proofErr w:type="spellEnd"/>
      <w:r>
        <w:t xml:space="preserve"> were 4.78 L (CV 69%) and 2.83 L, respectively, and </w:t>
      </w:r>
      <w:proofErr w:type="gramStart"/>
      <w:r w:rsidRPr="004C40E7">
        <w:t>overall</w:t>
      </w:r>
      <w:proofErr w:type="gramEnd"/>
      <w:r w:rsidRPr="004C40E7">
        <w:t xml:space="preserve"> 7.76 L at steady state</w:t>
      </w:r>
      <w:r>
        <w:t>.</w:t>
      </w:r>
    </w:p>
    <w:p w14:paraId="19822B1A" w14:textId="77777777" w:rsidR="00C342E4" w:rsidRDefault="00C342E4" w:rsidP="00C342E4">
      <w:pPr>
        <w:pStyle w:val="ListBullet"/>
      </w:pPr>
      <w:r>
        <w:t xml:space="preserve">Specific studies investigating </w:t>
      </w:r>
      <w:proofErr w:type="spellStart"/>
      <w:r>
        <w:t>elranatamab</w:t>
      </w:r>
      <w:proofErr w:type="spellEnd"/>
      <w:r>
        <w:t xml:space="preserve"> metabolism were not conducted. </w:t>
      </w:r>
      <w:proofErr w:type="spellStart"/>
      <w:r>
        <w:t>Elranatamab</w:t>
      </w:r>
      <w:proofErr w:type="spellEnd"/>
      <w:r>
        <w:t xml:space="preserve"> is expected by undergo metabolism by catabolic degradation after endocytosis by mononuclear phagocytosis.</w:t>
      </w:r>
    </w:p>
    <w:p w14:paraId="31BC3992" w14:textId="77777777" w:rsidR="00C342E4" w:rsidRDefault="00C342E4" w:rsidP="00C342E4">
      <w:pPr>
        <w:pStyle w:val="ListBullet"/>
      </w:pPr>
      <w:r>
        <w:t xml:space="preserve">The estimated clearance of unbound </w:t>
      </w:r>
      <w:proofErr w:type="spellStart"/>
      <w:r>
        <w:t>elranatamab</w:t>
      </w:r>
      <w:proofErr w:type="spellEnd"/>
      <w:r>
        <w:t xml:space="preserve"> was 0.324L/day. </w:t>
      </w:r>
    </w:p>
    <w:p w14:paraId="1CF96790" w14:textId="77777777" w:rsidR="00C342E4" w:rsidRDefault="00C342E4" w:rsidP="00C342E4">
      <w:pPr>
        <w:pStyle w:val="ListBullet"/>
      </w:pPr>
      <w:r>
        <w:t xml:space="preserve">The median accumulation ratio for AUC after 24 weeks of 76 mg dosing was 11.2 for free and 8.0 for total </w:t>
      </w:r>
      <w:proofErr w:type="spellStart"/>
      <w:r>
        <w:t>elranatamab</w:t>
      </w:r>
      <w:proofErr w:type="spellEnd"/>
      <w:r>
        <w:t>.</w:t>
      </w:r>
    </w:p>
    <w:p w14:paraId="2706CAC4" w14:textId="77777777" w:rsidR="00C342E4" w:rsidRDefault="00C342E4" w:rsidP="00C342E4">
      <w:pPr>
        <w:pStyle w:val="ListBullet"/>
      </w:pPr>
      <w:r>
        <w:t>Half-life was 22 days after a 76 mg dose.</w:t>
      </w:r>
    </w:p>
    <w:p w14:paraId="4A9D97AC" w14:textId="77777777" w:rsidR="00C342E4" w:rsidRDefault="00C342E4" w:rsidP="00C342E4">
      <w:pPr>
        <w:pStyle w:val="ListBullet"/>
      </w:pPr>
      <w:proofErr w:type="spellStart"/>
      <w:r>
        <w:t>Elranatamab</w:t>
      </w:r>
      <w:proofErr w:type="spellEnd"/>
      <w:r>
        <w:t xml:space="preserve"> showed dose proportionality over the dosing range 6 mg to 76 mg SC.</w:t>
      </w:r>
    </w:p>
    <w:p w14:paraId="1AD06C7D" w14:textId="77777777" w:rsidR="00C342E4" w:rsidRDefault="00C342E4" w:rsidP="00C342E4">
      <w:pPr>
        <w:pStyle w:val="ListBullet"/>
      </w:pPr>
      <w:r>
        <w:t xml:space="preserve">Lower free </w:t>
      </w:r>
      <w:proofErr w:type="spellStart"/>
      <w:r>
        <w:t>elranatamab</w:t>
      </w:r>
      <w:proofErr w:type="spellEnd"/>
      <w:r>
        <w:t xml:space="preserve"> concentrations were found in patients with higher </w:t>
      </w:r>
      <w:proofErr w:type="spellStart"/>
      <w:r>
        <w:t>sBCMA</w:t>
      </w:r>
      <w:proofErr w:type="spellEnd"/>
      <w:r>
        <w:t xml:space="preserve"> at baseline.</w:t>
      </w:r>
    </w:p>
    <w:p w14:paraId="48DECA6E" w14:textId="77777777" w:rsidR="00C342E4" w:rsidRDefault="00C342E4" w:rsidP="00C342E4">
      <w:pPr>
        <w:pStyle w:val="ListBullet"/>
      </w:pPr>
      <w:r>
        <w:t xml:space="preserve">Extramedullary disease did not have a statistically significant effect on </w:t>
      </w:r>
      <w:proofErr w:type="spellStart"/>
      <w:r>
        <w:t>elranatamab</w:t>
      </w:r>
      <w:proofErr w:type="spellEnd"/>
      <w:r>
        <w:t xml:space="preserve"> exposure.</w:t>
      </w:r>
    </w:p>
    <w:p w14:paraId="2608C1B1" w14:textId="77777777" w:rsidR="00C342E4" w:rsidRDefault="00C342E4" w:rsidP="00C342E4">
      <w:pPr>
        <w:pStyle w:val="ListBullet"/>
      </w:pPr>
      <w:proofErr w:type="spellStart"/>
      <w:r>
        <w:lastRenderedPageBreak/>
        <w:t>Elranatamab</w:t>
      </w:r>
      <w:proofErr w:type="spellEnd"/>
      <w:r>
        <w:t xml:space="preserve"> PK did not appear to be affected by race, age, sex, or the presence of anti-</w:t>
      </w:r>
      <w:proofErr w:type="spellStart"/>
      <w:r>
        <w:t>elranatamab</w:t>
      </w:r>
      <w:proofErr w:type="spellEnd"/>
      <w:r>
        <w:t xml:space="preserve"> anti-drug antibodies (ADA). </w:t>
      </w:r>
    </w:p>
    <w:p w14:paraId="38FB7413" w14:textId="77777777" w:rsidR="00C342E4" w:rsidRDefault="00C342E4" w:rsidP="00C342E4">
      <w:pPr>
        <w:pStyle w:val="ListBullet"/>
      </w:pPr>
      <w:r>
        <w:t>Renal function (eGFR ≥30 mL/min) did not appear to impact PK, but the impact of more severe renal disease is unknown. The sponsor does not propose dose adjustment based on renal function.</w:t>
      </w:r>
    </w:p>
    <w:p w14:paraId="21A0CF67" w14:textId="77777777" w:rsidR="00C342E4" w:rsidRDefault="00C342E4" w:rsidP="00C342E4">
      <w:pPr>
        <w:pStyle w:val="ListBullet"/>
      </w:pPr>
      <w:r>
        <w:t xml:space="preserve">Mild hepatic Impairment (total BR 1 to ≥1.5 x ULN or any AST &gt; ULN) did not impact </w:t>
      </w:r>
      <w:proofErr w:type="spellStart"/>
      <w:r>
        <w:t>elranatamab</w:t>
      </w:r>
      <w:proofErr w:type="spellEnd"/>
      <w:r>
        <w:t xml:space="preserve"> PK, but the impact of more severe hepatic impairment is unknown. The sponsor does not propose dose adjustment based on hepatic function.</w:t>
      </w:r>
    </w:p>
    <w:p w14:paraId="3141555F" w14:textId="77777777" w:rsidR="00C342E4" w:rsidRDefault="00C342E4" w:rsidP="00C342E4">
      <w:pPr>
        <w:pStyle w:val="ListBullet"/>
      </w:pPr>
      <w:r>
        <w:t xml:space="preserve">Body weight was identified as a statistically significant covariate for central </w:t>
      </w:r>
      <w:proofErr w:type="spellStart"/>
      <w:proofErr w:type="gramStart"/>
      <w:r>
        <w:t>Vd</w:t>
      </w:r>
      <w:proofErr w:type="spellEnd"/>
      <w:proofErr w:type="gramEnd"/>
      <w:r>
        <w:t xml:space="preserve"> but simulated exposures were similar across a range of body weights (10</w:t>
      </w:r>
      <w:r w:rsidRPr="00131729">
        <w:rPr>
          <w:vertAlign w:val="superscript"/>
        </w:rPr>
        <w:t>th</w:t>
      </w:r>
      <w:r>
        <w:t xml:space="preserve"> – 90</w:t>
      </w:r>
      <w:r w:rsidRPr="00131729">
        <w:rPr>
          <w:vertAlign w:val="superscript"/>
        </w:rPr>
        <w:t>th</w:t>
      </w:r>
      <w:r>
        <w:t xml:space="preserve"> percentile), supporting flat dosing for </w:t>
      </w:r>
      <w:proofErr w:type="spellStart"/>
      <w:r>
        <w:t>elranatamab</w:t>
      </w:r>
      <w:proofErr w:type="spellEnd"/>
      <w:r>
        <w:t>.</w:t>
      </w:r>
    </w:p>
    <w:p w14:paraId="3274E4C5" w14:textId="77777777" w:rsidR="00C342E4" w:rsidRDefault="00C342E4" w:rsidP="00C342E4">
      <w:r>
        <w:t>Exposure response analyses showed:</w:t>
      </w:r>
    </w:p>
    <w:p w14:paraId="49792971" w14:textId="5E414632" w:rsidR="00C342E4" w:rsidRDefault="00C342E4" w:rsidP="00C342E4">
      <w:pPr>
        <w:pStyle w:val="ListBullet"/>
      </w:pPr>
      <w:r>
        <w:t xml:space="preserve">a trend between free </w:t>
      </w:r>
      <w:proofErr w:type="spellStart"/>
      <w:r>
        <w:t>elranatamab</w:t>
      </w:r>
      <w:proofErr w:type="spellEnd"/>
      <w:r>
        <w:t xml:space="preserve"> (C </w:t>
      </w:r>
      <w:proofErr w:type="spellStart"/>
      <w:r>
        <w:t>ave</w:t>
      </w:r>
      <w:proofErr w:type="spellEnd"/>
      <w:r>
        <w:t>, Day 28) and ORR. Objective response rate (ORR) and complete response rate (CRR) generally increased with increasing dose, with a plateau at 76 mg</w:t>
      </w:r>
    </w:p>
    <w:p w14:paraId="45DD494A" w14:textId="77777777" w:rsidR="00E20AA0" w:rsidRDefault="00C342E4">
      <w:pPr>
        <w:pStyle w:val="ListBullet"/>
      </w:pPr>
      <w:r>
        <w:t xml:space="preserve">fewer prior lines of therapy and the absence of </w:t>
      </w:r>
      <w:proofErr w:type="spellStart"/>
      <w:r>
        <w:t>extrameduallary</w:t>
      </w:r>
      <w:proofErr w:type="spellEnd"/>
      <w:r>
        <w:t xml:space="preserve"> disease may correlate with a higher proportion of responders</w:t>
      </w:r>
    </w:p>
    <w:p w14:paraId="18F4AE13" w14:textId="360A57F6" w:rsidR="00C342E4" w:rsidRDefault="00C342E4">
      <w:pPr>
        <w:pStyle w:val="ListBullet"/>
      </w:pPr>
      <w:r>
        <w:t>exposure safety analyses at the proposed dose did not demonstrate clear relationships for Grade ≥2 Adverse events (AEs) AEs, Grade ≥3 AEs, Grade ≥3 neutropenia, any grade cytokine release syndrome (CRS) and Grade ≥2 CRS</w:t>
      </w:r>
    </w:p>
    <w:p w14:paraId="7DC6D1A9" w14:textId="0DE37FE5" w:rsidR="00C342E4" w:rsidRDefault="00C342E4" w:rsidP="00C342E4">
      <w:pPr>
        <w:pStyle w:val="ListBullet"/>
      </w:pPr>
      <w:r>
        <w:t xml:space="preserve">no relationship between QTc and total and free </w:t>
      </w:r>
      <w:proofErr w:type="spellStart"/>
      <w:r>
        <w:t>elranatamab</w:t>
      </w:r>
      <w:proofErr w:type="spellEnd"/>
      <w:r>
        <w:t xml:space="preserve"> concentration.</w:t>
      </w:r>
    </w:p>
    <w:p w14:paraId="4F663A87" w14:textId="77777777" w:rsidR="00C342E4" w:rsidRDefault="00C342E4" w:rsidP="00C342E4">
      <w:r>
        <w:t xml:space="preserve">No </w:t>
      </w:r>
      <w:r w:rsidRPr="002F6CE8">
        <w:rPr>
          <w:i/>
          <w:iCs/>
        </w:rPr>
        <w:t>in vitro</w:t>
      </w:r>
      <w:r>
        <w:t xml:space="preserve"> interactions studies were conducted. </w:t>
      </w:r>
      <w:proofErr w:type="spellStart"/>
      <w:r>
        <w:t>Elranatamab</w:t>
      </w:r>
      <w:proofErr w:type="spellEnd"/>
      <w:r>
        <w:t xml:space="preserve"> transiently increases cytokine levels, which may result in inhibition of CYP enzymes during the period of elevation (see Pharmacodynamics comments, below). The risk of elevation of reduces after the first cycle of treatment.</w:t>
      </w:r>
    </w:p>
    <w:p w14:paraId="1FE029E2" w14:textId="77777777" w:rsidR="00C342E4" w:rsidRDefault="00C342E4" w:rsidP="00C342E4">
      <w:r>
        <w:t>Quantitative systems pharmacology (QSP).</w:t>
      </w:r>
    </w:p>
    <w:p w14:paraId="75B37899" w14:textId="77777777" w:rsidR="00C342E4" w:rsidRDefault="00C342E4" w:rsidP="00580EB9">
      <w:pPr>
        <w:pStyle w:val="ListBullet"/>
      </w:pPr>
      <w:r>
        <w:t xml:space="preserve">Virtual patient simulations of switching from QW to Q2W dosing after 24 weeks for responders predicted maintenance of response, supporting direct patient observation from cohort A of Study C1071003. </w:t>
      </w:r>
    </w:p>
    <w:p w14:paraId="664B1F4F" w14:textId="77777777" w:rsidR="00925EF8" w:rsidRDefault="00925EF8" w:rsidP="00925EF8">
      <w:pPr>
        <w:pStyle w:val="Heading5"/>
      </w:pPr>
      <w:r w:rsidRPr="00AA53F4">
        <w:t>Pharmacodynamics (PD)</w:t>
      </w:r>
      <w:r>
        <w:t xml:space="preserve"> </w:t>
      </w:r>
    </w:p>
    <w:p w14:paraId="6AFD12EE" w14:textId="77777777" w:rsidR="00925EF8" w:rsidRDefault="00925EF8" w:rsidP="00925EF8">
      <w:r>
        <w:t>The primary pharmacology data are derived from the nonclinical studies.</w:t>
      </w:r>
    </w:p>
    <w:p w14:paraId="09CC309F" w14:textId="77777777" w:rsidR="00925EF8" w:rsidRPr="001C7898" w:rsidRDefault="00925EF8" w:rsidP="00925EF8">
      <w:r>
        <w:t xml:space="preserve">Cytokines were most elevated 72 hours after the first step up dose, and mostly returned to baseline before the first full 76 mg dose.  </w:t>
      </w:r>
    </w:p>
    <w:p w14:paraId="7971F67C" w14:textId="77777777" w:rsidR="00925EF8" w:rsidRDefault="00925EF8" w:rsidP="00925EF8">
      <w:pPr>
        <w:pStyle w:val="Heading6"/>
      </w:pPr>
      <w:r>
        <w:t>Immunogenicity</w:t>
      </w:r>
    </w:p>
    <w:p w14:paraId="2409F221" w14:textId="04E54290" w:rsidR="00925EF8" w:rsidRDefault="00925EF8" w:rsidP="00925EF8">
      <w:r>
        <w:t xml:space="preserve">ADAs were developed by 15 patients from study C1071003. Patient had low median </w:t>
      </w:r>
      <w:proofErr w:type="spellStart"/>
      <w:r>
        <w:t>ti</w:t>
      </w:r>
      <w:r w:rsidR="009013B0">
        <w:t>te</w:t>
      </w:r>
      <w:r>
        <w:t>rs</w:t>
      </w:r>
      <w:proofErr w:type="spellEnd"/>
      <w:r w:rsidR="00655298">
        <w:br/>
      </w:r>
      <w:r>
        <w:t>(≤ 300). Nine patients developed neutralising antibodies. Because of small patients numbers the impact of neutralising antibodies on PK, PD, safety, or efficacy could not be established.</w:t>
      </w:r>
    </w:p>
    <w:p w14:paraId="31058A57" w14:textId="77777777" w:rsidR="003B639F" w:rsidRDefault="003B639F">
      <w:pPr>
        <w:rPr>
          <w:rFonts w:ascii="Arial" w:eastAsia="Cambria" w:hAnsi="Arial" w:cs="Times New Roman"/>
          <w:b/>
          <w:bCs/>
          <w:color w:val="001871"/>
          <w:sz w:val="28"/>
          <w:szCs w:val="26"/>
        </w:rPr>
      </w:pPr>
      <w:bookmarkStart w:id="50" w:name="_Toc314842514"/>
      <w:bookmarkEnd w:id="49"/>
      <w:r>
        <w:br w:type="page"/>
      </w:r>
    </w:p>
    <w:p w14:paraId="389E49D7" w14:textId="5FE36B79" w:rsidR="00925EF8" w:rsidRDefault="00925EF8" w:rsidP="00C22214">
      <w:pPr>
        <w:pStyle w:val="Heading4"/>
      </w:pPr>
      <w:bookmarkStart w:id="51" w:name="_Toc181631312"/>
      <w:r>
        <w:lastRenderedPageBreak/>
        <w:t>Efficacy</w:t>
      </w:r>
      <w:bookmarkEnd w:id="51"/>
    </w:p>
    <w:p w14:paraId="6753A233" w14:textId="77777777" w:rsidR="001E13C2" w:rsidRDefault="001E13C2" w:rsidP="001E13C2">
      <w:pPr>
        <w:rPr>
          <w:iCs/>
        </w:rPr>
      </w:pPr>
      <w:r>
        <w:rPr>
          <w:iCs/>
        </w:rPr>
        <w:t xml:space="preserve">The main efficacy study is Study C1071003. </w:t>
      </w:r>
    </w:p>
    <w:p w14:paraId="18F1B71B" w14:textId="083A5977" w:rsidR="008172A7" w:rsidRDefault="008172A7" w:rsidP="008172A7">
      <w:pPr>
        <w:pStyle w:val="Heading5"/>
      </w:pPr>
      <w:r>
        <w:t>Study C1071003</w:t>
      </w:r>
    </w:p>
    <w:p w14:paraId="0E8269E7" w14:textId="0739DAEF" w:rsidR="001E13C2" w:rsidRDefault="001E13C2" w:rsidP="001E13C2">
      <w:pPr>
        <w:rPr>
          <w:iCs/>
        </w:rPr>
      </w:pPr>
      <w:r>
        <w:rPr>
          <w:iCs/>
        </w:rPr>
        <w:t xml:space="preserve">Study Title: An </w:t>
      </w:r>
      <w:r w:rsidR="004032EA">
        <w:rPr>
          <w:iCs/>
        </w:rPr>
        <w:t>o</w:t>
      </w:r>
      <w:r>
        <w:rPr>
          <w:iCs/>
        </w:rPr>
        <w:t>pen-</w:t>
      </w:r>
      <w:r w:rsidR="004032EA">
        <w:rPr>
          <w:iCs/>
        </w:rPr>
        <w:t>l</w:t>
      </w:r>
      <w:r>
        <w:rPr>
          <w:iCs/>
        </w:rPr>
        <w:t xml:space="preserve">abel, </w:t>
      </w:r>
      <w:proofErr w:type="spellStart"/>
      <w:r w:rsidR="004032EA">
        <w:rPr>
          <w:iCs/>
        </w:rPr>
        <w:t>m</w:t>
      </w:r>
      <w:r>
        <w:rPr>
          <w:iCs/>
        </w:rPr>
        <w:t>ulticenter</w:t>
      </w:r>
      <w:proofErr w:type="spellEnd"/>
      <w:r>
        <w:rPr>
          <w:iCs/>
        </w:rPr>
        <w:t xml:space="preserve">, </w:t>
      </w:r>
      <w:r w:rsidR="004032EA">
        <w:rPr>
          <w:iCs/>
        </w:rPr>
        <w:t>n</w:t>
      </w:r>
      <w:r>
        <w:rPr>
          <w:iCs/>
        </w:rPr>
        <w:t>on-</w:t>
      </w:r>
      <w:r w:rsidR="004032EA">
        <w:rPr>
          <w:iCs/>
        </w:rPr>
        <w:t>r</w:t>
      </w:r>
      <w:r>
        <w:rPr>
          <w:iCs/>
        </w:rPr>
        <w:t xml:space="preserve">andomized </w:t>
      </w:r>
      <w:r w:rsidR="004032EA">
        <w:rPr>
          <w:iCs/>
        </w:rPr>
        <w:t>p</w:t>
      </w:r>
      <w:r>
        <w:rPr>
          <w:iCs/>
        </w:rPr>
        <w:t xml:space="preserve">hase 2 </w:t>
      </w:r>
      <w:r w:rsidR="00B4266C">
        <w:rPr>
          <w:iCs/>
        </w:rPr>
        <w:t>s</w:t>
      </w:r>
      <w:r>
        <w:rPr>
          <w:iCs/>
        </w:rPr>
        <w:t xml:space="preserve">tudy of </w:t>
      </w:r>
      <w:proofErr w:type="spellStart"/>
      <w:r w:rsidR="00B4266C">
        <w:rPr>
          <w:iCs/>
        </w:rPr>
        <w:t>e</w:t>
      </w:r>
      <w:r>
        <w:rPr>
          <w:iCs/>
        </w:rPr>
        <w:t>lranatamab</w:t>
      </w:r>
      <w:proofErr w:type="spellEnd"/>
      <w:r>
        <w:rPr>
          <w:iCs/>
        </w:rPr>
        <w:t xml:space="preserve"> (PF-06863135) </w:t>
      </w:r>
      <w:r w:rsidR="00B4266C">
        <w:rPr>
          <w:iCs/>
        </w:rPr>
        <w:t>m</w:t>
      </w:r>
      <w:r>
        <w:rPr>
          <w:iCs/>
        </w:rPr>
        <w:t xml:space="preserve">onotherapy in </w:t>
      </w:r>
      <w:r w:rsidR="00B4266C">
        <w:rPr>
          <w:iCs/>
        </w:rPr>
        <w:t>p</w:t>
      </w:r>
      <w:r>
        <w:rPr>
          <w:iCs/>
        </w:rPr>
        <w:t xml:space="preserve">articipants </w:t>
      </w:r>
      <w:r w:rsidR="00B4266C">
        <w:rPr>
          <w:iCs/>
        </w:rPr>
        <w:t>w</w:t>
      </w:r>
      <w:r>
        <w:rPr>
          <w:iCs/>
        </w:rPr>
        <w:t xml:space="preserve">ith </w:t>
      </w:r>
      <w:r w:rsidR="00B4266C">
        <w:rPr>
          <w:iCs/>
        </w:rPr>
        <w:t>m</w:t>
      </w:r>
      <w:r>
        <w:rPr>
          <w:iCs/>
        </w:rPr>
        <w:t xml:space="preserve">ultiple </w:t>
      </w:r>
      <w:r w:rsidR="00B4266C">
        <w:rPr>
          <w:iCs/>
        </w:rPr>
        <w:t>m</w:t>
      </w:r>
      <w:r>
        <w:rPr>
          <w:iCs/>
        </w:rPr>
        <w:t xml:space="preserve">yeloma </w:t>
      </w:r>
      <w:r w:rsidR="00B4266C">
        <w:rPr>
          <w:iCs/>
        </w:rPr>
        <w:t>w</w:t>
      </w:r>
      <w:r>
        <w:rPr>
          <w:iCs/>
        </w:rPr>
        <w:t xml:space="preserve">ho </w:t>
      </w:r>
      <w:r w:rsidR="00B4266C">
        <w:rPr>
          <w:iCs/>
        </w:rPr>
        <w:t>a</w:t>
      </w:r>
      <w:r>
        <w:rPr>
          <w:iCs/>
        </w:rPr>
        <w:t xml:space="preserve">re </w:t>
      </w:r>
      <w:r w:rsidR="00B4266C">
        <w:rPr>
          <w:iCs/>
        </w:rPr>
        <w:t>r</w:t>
      </w:r>
      <w:r>
        <w:rPr>
          <w:iCs/>
        </w:rPr>
        <w:t xml:space="preserve">efractory to at </w:t>
      </w:r>
      <w:r w:rsidR="00B4266C">
        <w:rPr>
          <w:iCs/>
        </w:rPr>
        <w:t>l</w:t>
      </w:r>
      <w:r>
        <w:rPr>
          <w:iCs/>
        </w:rPr>
        <w:t xml:space="preserve">east </w:t>
      </w:r>
      <w:r w:rsidR="00B4266C">
        <w:rPr>
          <w:iCs/>
        </w:rPr>
        <w:t>o</w:t>
      </w:r>
      <w:r>
        <w:rPr>
          <w:iCs/>
        </w:rPr>
        <w:t xml:space="preserve">ne </w:t>
      </w:r>
      <w:r w:rsidR="00B4266C">
        <w:rPr>
          <w:iCs/>
        </w:rPr>
        <w:t>p</w:t>
      </w:r>
      <w:r>
        <w:rPr>
          <w:iCs/>
        </w:rPr>
        <w:t xml:space="preserve">roteasome </w:t>
      </w:r>
      <w:r w:rsidR="00B4266C">
        <w:rPr>
          <w:iCs/>
        </w:rPr>
        <w:t>i</w:t>
      </w:r>
      <w:r>
        <w:rPr>
          <w:iCs/>
        </w:rPr>
        <w:t xml:space="preserve">nhibitor, </w:t>
      </w:r>
      <w:r w:rsidR="00B4266C">
        <w:rPr>
          <w:iCs/>
        </w:rPr>
        <w:t>o</w:t>
      </w:r>
      <w:r>
        <w:rPr>
          <w:iCs/>
        </w:rPr>
        <w:t xml:space="preserve">ne </w:t>
      </w:r>
      <w:r w:rsidR="00B4266C">
        <w:rPr>
          <w:iCs/>
        </w:rPr>
        <w:t>i</w:t>
      </w:r>
      <w:r>
        <w:rPr>
          <w:iCs/>
        </w:rPr>
        <w:t xml:space="preserve">mmunomodulatory </w:t>
      </w:r>
      <w:r w:rsidR="00B4266C">
        <w:rPr>
          <w:iCs/>
        </w:rPr>
        <w:t>d</w:t>
      </w:r>
      <w:r>
        <w:rPr>
          <w:iCs/>
        </w:rPr>
        <w:t xml:space="preserve">rug and </w:t>
      </w:r>
      <w:r w:rsidR="00B4266C">
        <w:rPr>
          <w:iCs/>
        </w:rPr>
        <w:t>o</w:t>
      </w:r>
      <w:r>
        <w:rPr>
          <w:iCs/>
        </w:rPr>
        <w:t>ne Anti-CD38 Antibody.</w:t>
      </w:r>
    </w:p>
    <w:p w14:paraId="05E81F19" w14:textId="0D8A9DA4" w:rsidR="001E13C2" w:rsidRDefault="001E13C2" w:rsidP="00E07F4C">
      <w:pPr>
        <w:pStyle w:val="FigureTitle"/>
      </w:pPr>
      <w:r>
        <w:t xml:space="preserve">Figure </w:t>
      </w:r>
      <w:r w:rsidR="001F5772">
        <w:t>1:</w:t>
      </w:r>
      <w:r>
        <w:t xml:space="preserve"> Study C1071003 Study Schematic</w:t>
      </w:r>
    </w:p>
    <w:p w14:paraId="34FDB4E2" w14:textId="23B16005" w:rsidR="001E13C2" w:rsidRDefault="001E13C2" w:rsidP="001E13C2">
      <w:pPr>
        <w:rPr>
          <w:iCs/>
        </w:rPr>
      </w:pPr>
      <w:r w:rsidRPr="00D3053C">
        <w:rPr>
          <w:rFonts w:ascii="Times New Roman" w:hAnsi="Times New Roman"/>
          <w:noProof/>
          <w:color w:val="7030A0"/>
          <w:sz w:val="20"/>
        </w:rPr>
        <w:drawing>
          <wp:inline distT="0" distB="0" distL="0" distR="0" wp14:anchorId="58714341" wp14:editId="77F61DA8">
            <wp:extent cx="5731510" cy="3514725"/>
            <wp:effectExtent l="0" t="0" r="2540" b="9525"/>
            <wp:docPr id="4" name="Picture 4" descr="This figure shows the study schematic for Study C1071003. It outlines the patient population, cohort A (n=120), cohort B (n=60), and primary and secondary end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the study schematic for Study C1071003. It outlines the patient population, cohort A (n=120), cohort B (n=60), and primary and secondary endpoint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514725"/>
                    </a:xfrm>
                    <a:prstGeom prst="rect">
                      <a:avLst/>
                    </a:prstGeom>
                    <a:noFill/>
                    <a:ln>
                      <a:noFill/>
                    </a:ln>
                  </pic:spPr>
                </pic:pic>
              </a:graphicData>
            </a:graphic>
          </wp:inline>
        </w:drawing>
      </w:r>
    </w:p>
    <w:p w14:paraId="3E63FEBA" w14:textId="39969405" w:rsidR="00426C9E" w:rsidRDefault="001E13C2" w:rsidP="00D8162D">
      <w:pPr>
        <w:spacing w:after="240"/>
        <w:rPr>
          <w:iCs/>
        </w:rPr>
      </w:pPr>
      <w:r>
        <w:rPr>
          <w:iCs/>
        </w:rPr>
        <w:t xml:space="preserve">The main inclusion and exclusion criteria are </w:t>
      </w:r>
      <w:r w:rsidR="001F5772">
        <w:rPr>
          <w:iCs/>
        </w:rPr>
        <w:t xml:space="preserve">shown in </w:t>
      </w:r>
      <w:r w:rsidR="0014746B">
        <w:rPr>
          <w:iCs/>
        </w:rPr>
        <w:t xml:space="preserve">Table </w:t>
      </w:r>
      <w:r w:rsidR="000A6BB2">
        <w:rPr>
          <w:iCs/>
        </w:rPr>
        <w:t>4</w:t>
      </w:r>
      <w:r>
        <w:rPr>
          <w:iCs/>
        </w:rPr>
        <w:t>.</w:t>
      </w:r>
    </w:p>
    <w:p w14:paraId="2049F423" w14:textId="420E1B37" w:rsidR="001E13C2" w:rsidRDefault="001E13C2" w:rsidP="000A6BB2">
      <w:pPr>
        <w:pStyle w:val="TableTitle"/>
      </w:pPr>
      <w:r>
        <w:lastRenderedPageBreak/>
        <w:t xml:space="preserve">Table </w:t>
      </w:r>
      <w:r w:rsidR="002B4DAA">
        <w:t>4:</w:t>
      </w:r>
      <w:r>
        <w:t xml:space="preserve"> Study C1071003 </w:t>
      </w:r>
      <w:r w:rsidR="002B4DAA">
        <w:t>- m</w:t>
      </w:r>
      <w:r>
        <w:t>ain</w:t>
      </w:r>
      <w:r w:rsidR="002B4DAA">
        <w:t xml:space="preserve"> i</w:t>
      </w:r>
      <w:r>
        <w:t xml:space="preserve">nclusion and </w:t>
      </w:r>
      <w:r w:rsidR="002B4DAA">
        <w:t>e</w:t>
      </w:r>
      <w:r>
        <w:t xml:space="preserve">xclusion </w:t>
      </w:r>
      <w:r w:rsidR="002B4DAA">
        <w:t>c</w:t>
      </w:r>
      <w:r>
        <w:t>riteria</w:t>
      </w:r>
    </w:p>
    <w:tbl>
      <w:tblPr>
        <w:tblStyle w:val="TableTGAblue2023"/>
        <w:tblW w:w="0" w:type="auto"/>
        <w:tblLook w:val="04A0" w:firstRow="1" w:lastRow="0" w:firstColumn="1" w:lastColumn="0" w:noHBand="0" w:noVBand="1"/>
      </w:tblPr>
      <w:tblGrid>
        <w:gridCol w:w="4504"/>
        <w:gridCol w:w="4502"/>
      </w:tblGrid>
      <w:tr w:rsidR="001E13C2" w14:paraId="682BB43B" w14:textId="77777777" w:rsidTr="00054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4" w:type="dxa"/>
          </w:tcPr>
          <w:p w14:paraId="5027AD91" w14:textId="7C98969C" w:rsidR="001E13C2" w:rsidRDefault="001E13C2" w:rsidP="0005466A">
            <w:r>
              <w:t xml:space="preserve">Inclusion </w:t>
            </w:r>
            <w:r w:rsidR="002B4DAA">
              <w:t>c</w:t>
            </w:r>
            <w:r>
              <w:t>riteria</w:t>
            </w:r>
          </w:p>
        </w:tc>
        <w:tc>
          <w:tcPr>
            <w:tcW w:w="4502" w:type="dxa"/>
          </w:tcPr>
          <w:p w14:paraId="1D3A7F20" w14:textId="3F038DA5" w:rsidR="001E13C2" w:rsidRDefault="001E13C2" w:rsidP="0005466A">
            <w:pPr>
              <w:cnfStyle w:val="100000000000" w:firstRow="1" w:lastRow="0" w:firstColumn="0" w:lastColumn="0" w:oddVBand="0" w:evenVBand="0" w:oddHBand="0" w:evenHBand="0" w:firstRowFirstColumn="0" w:firstRowLastColumn="0" w:lastRowFirstColumn="0" w:lastRowLastColumn="0"/>
            </w:pPr>
            <w:r>
              <w:t xml:space="preserve">Exclusion </w:t>
            </w:r>
            <w:r w:rsidR="002B4DAA">
              <w:t>c</w:t>
            </w:r>
            <w:r>
              <w:t>riteria</w:t>
            </w:r>
          </w:p>
        </w:tc>
      </w:tr>
      <w:tr w:rsidR="001E13C2" w14:paraId="5EE8F610" w14:textId="77777777" w:rsidTr="0005466A">
        <w:tc>
          <w:tcPr>
            <w:cnfStyle w:val="001000000000" w:firstRow="0" w:lastRow="0" w:firstColumn="1" w:lastColumn="0" w:oddVBand="0" w:evenVBand="0" w:oddHBand="0" w:evenHBand="0" w:firstRowFirstColumn="0" w:firstRowLastColumn="0" w:lastRowFirstColumn="0" w:lastRowLastColumn="0"/>
            <w:tcW w:w="4504" w:type="dxa"/>
          </w:tcPr>
          <w:p w14:paraId="6FAE31D1" w14:textId="77777777" w:rsidR="001E13C2" w:rsidRDefault="001E13C2" w:rsidP="0005466A">
            <w:r>
              <w:t>Aged ≥18 years</w:t>
            </w:r>
          </w:p>
          <w:p w14:paraId="08BA1ED5" w14:textId="77777777" w:rsidR="001E13C2" w:rsidRDefault="001E13C2" w:rsidP="0005466A">
            <w:r>
              <w:t>Prior diagnosis of MM as defined according to IMWG criteria</w:t>
            </w:r>
          </w:p>
          <w:p w14:paraId="673D8740" w14:textId="77777777" w:rsidR="001E13C2" w:rsidRDefault="001E13C2" w:rsidP="0005466A">
            <w:r>
              <w:t>Measurable disease based on IMWG criteria as defined by at least 1 of the following:</w:t>
            </w:r>
          </w:p>
          <w:p w14:paraId="3E7A9318" w14:textId="77777777" w:rsidR="001E13C2" w:rsidRDefault="001E13C2" w:rsidP="0005466A">
            <w:r>
              <w:t>Serum M-protein ≥0.5 g/dL by serum protein electrophoresis (SPEP)</w:t>
            </w:r>
          </w:p>
          <w:p w14:paraId="7F69C852" w14:textId="77777777" w:rsidR="001E13C2" w:rsidRDefault="001E13C2" w:rsidP="0005466A">
            <w:r>
              <w:t>Urinary M-protein excretion ≥200 mg/24 hours by urine protein electrophoresis (UPEP)</w:t>
            </w:r>
          </w:p>
          <w:p w14:paraId="1836F25E" w14:textId="77777777" w:rsidR="001E13C2" w:rsidRDefault="001E13C2" w:rsidP="0005466A">
            <w:r>
              <w:t>Serum immunoglobulin free light chain (FLC) ≥10 mg/dL AND abnormal serum immunoglobulin kappa to lambda FLC ratio (&lt;0.26 or &gt;1.65)</w:t>
            </w:r>
          </w:p>
          <w:p w14:paraId="0EFCCE4D" w14:textId="77777777" w:rsidR="001E13C2" w:rsidRDefault="001E13C2" w:rsidP="0005466A">
            <w:r>
              <w:t xml:space="preserve">Refractory to at least one </w:t>
            </w:r>
            <w:proofErr w:type="spellStart"/>
            <w:r>
              <w:t>IMiD</w:t>
            </w:r>
            <w:proofErr w:type="spellEnd"/>
          </w:p>
          <w:p w14:paraId="138324C3" w14:textId="77777777" w:rsidR="001E13C2" w:rsidRDefault="001E13C2" w:rsidP="0005466A">
            <w:r>
              <w:t>Refractory to at least one PI</w:t>
            </w:r>
          </w:p>
          <w:p w14:paraId="2925F694" w14:textId="77777777" w:rsidR="001E13C2" w:rsidRDefault="001E13C2" w:rsidP="0005466A">
            <w:r>
              <w:t>Refractory to at least one anti-CD38 antibody</w:t>
            </w:r>
          </w:p>
          <w:p w14:paraId="307145E9" w14:textId="77777777" w:rsidR="001E13C2" w:rsidRDefault="001E13C2" w:rsidP="0005466A">
            <w:r w:rsidRPr="000B7534">
              <w:rPr>
                <w:i/>
                <w:iCs/>
              </w:rPr>
              <w:t>Note:</w:t>
            </w:r>
            <w:r>
              <w:t xml:space="preserve"> refractory is defined as having disease progression while on therapy or within 60 days of the last dose in any line, regardless of response</w:t>
            </w:r>
          </w:p>
          <w:p w14:paraId="0493D3B0" w14:textId="77777777" w:rsidR="001E13C2" w:rsidRDefault="001E13C2" w:rsidP="0005466A">
            <w:r>
              <w:t>Cohort A: has not received prior BCMA-directed therapy</w:t>
            </w:r>
          </w:p>
          <w:p w14:paraId="362CCAD3" w14:textId="77777777" w:rsidR="001E13C2" w:rsidRDefault="001E13C2" w:rsidP="0005466A">
            <w:r>
              <w:t>Cohort B: has received prior BCMA-directed antibody drug conjugate ADC or BCMA-directed chimeric antigen receptor T-cell (CAR-T) therapy, either approved or investigational</w:t>
            </w:r>
          </w:p>
          <w:p w14:paraId="6F6DC9DB" w14:textId="77777777" w:rsidR="001E13C2" w:rsidRDefault="001E13C2" w:rsidP="0005466A">
            <w:r>
              <w:t>ECOG performance status ≤2</w:t>
            </w:r>
          </w:p>
          <w:p w14:paraId="61E5C227" w14:textId="77777777" w:rsidR="001E13C2" w:rsidRDefault="001E13C2" w:rsidP="0005466A">
            <w:r>
              <w:t xml:space="preserve">LVEF ≥40% by </w:t>
            </w:r>
            <w:proofErr w:type="spellStart"/>
            <w:r>
              <w:t>multigated</w:t>
            </w:r>
            <w:proofErr w:type="spellEnd"/>
            <w:r>
              <w:t xml:space="preserve"> acquisition (MUGA) scan or echocardiogram </w:t>
            </w:r>
          </w:p>
          <w:p w14:paraId="46564C14" w14:textId="77777777" w:rsidR="001E13C2" w:rsidRPr="00EA568B" w:rsidRDefault="001E13C2" w:rsidP="0005466A">
            <w:r>
              <w:t>Adequate hepatic, renal and bone marrow function</w:t>
            </w:r>
          </w:p>
        </w:tc>
        <w:tc>
          <w:tcPr>
            <w:tcW w:w="4502" w:type="dxa"/>
          </w:tcPr>
          <w:p w14:paraId="77B1630B" w14:textId="77777777" w:rsidR="001E13C2" w:rsidRPr="00CA6905" w:rsidRDefault="001E13C2" w:rsidP="0005466A">
            <w:pPr>
              <w:cnfStyle w:val="000000000000" w:firstRow="0" w:lastRow="0" w:firstColumn="0" w:lastColumn="0" w:oddVBand="0" w:evenVBand="0" w:oddHBand="0" w:evenHBand="0" w:firstRowFirstColumn="0" w:firstRowLastColumn="0" w:lastRowFirstColumn="0" w:lastRowLastColumn="0"/>
            </w:pPr>
            <w:r w:rsidRPr="00CA6905">
              <w:t>Smouldering MM</w:t>
            </w:r>
          </w:p>
          <w:p w14:paraId="6B319DA5" w14:textId="77777777" w:rsidR="001E13C2" w:rsidRPr="00CA6905" w:rsidRDefault="001E13C2" w:rsidP="0005466A">
            <w:pPr>
              <w:cnfStyle w:val="000000000000" w:firstRow="0" w:lastRow="0" w:firstColumn="0" w:lastColumn="0" w:oddVBand="0" w:evenVBand="0" w:oddHBand="0" w:evenHBand="0" w:firstRowFirstColumn="0" w:firstRowLastColumn="0" w:lastRowFirstColumn="0" w:lastRowLastColumn="0"/>
            </w:pPr>
            <w:r w:rsidRPr="00CA6905">
              <w:t>Active plasma cell leukemia</w:t>
            </w:r>
          </w:p>
          <w:p w14:paraId="6979BE7F" w14:textId="77777777" w:rsidR="001E13C2" w:rsidRPr="00CA6905" w:rsidRDefault="001E13C2" w:rsidP="0005466A">
            <w:pPr>
              <w:cnfStyle w:val="000000000000" w:firstRow="0" w:lastRow="0" w:firstColumn="0" w:lastColumn="0" w:oddVBand="0" w:evenVBand="0" w:oddHBand="0" w:evenHBand="0" w:firstRowFirstColumn="0" w:firstRowLastColumn="0" w:lastRowFirstColumn="0" w:lastRowLastColumn="0"/>
            </w:pPr>
            <w:r w:rsidRPr="00CA6905">
              <w:t>Amyloidosis</w:t>
            </w:r>
          </w:p>
          <w:p w14:paraId="7E8DFC34" w14:textId="77777777" w:rsidR="001E13C2" w:rsidRDefault="001E13C2" w:rsidP="0005466A">
            <w:pPr>
              <w:cnfStyle w:val="000000000000" w:firstRow="0" w:lastRow="0" w:firstColumn="0" w:lastColumn="0" w:oddVBand="0" w:evenVBand="0" w:oddHBand="0" w:evenHBand="0" w:firstRowFirstColumn="0" w:firstRowLastColumn="0" w:lastRowFirstColumn="0" w:lastRowLastColumn="0"/>
            </w:pPr>
            <w:r w:rsidRPr="00CA6905">
              <w:t>Polyneuropathy, organomegaly, endocrinopathy, myeloma protein, and skin changes (POEMS) syndrome</w:t>
            </w:r>
          </w:p>
          <w:p w14:paraId="28115093" w14:textId="77777777" w:rsidR="001E13C2" w:rsidRDefault="001E13C2" w:rsidP="0005466A">
            <w:pPr>
              <w:cnfStyle w:val="000000000000" w:firstRow="0" w:lastRow="0" w:firstColumn="0" w:lastColumn="0" w:oddVBand="0" w:evenVBand="0" w:oddHBand="0" w:evenHBand="0" w:firstRowFirstColumn="0" w:firstRowLastColumn="0" w:lastRowFirstColumn="0" w:lastRowLastColumn="0"/>
            </w:pPr>
            <w:r>
              <w:t>Stem cell transplant within 12 weeks prior to enrolment or active GvHD</w:t>
            </w:r>
          </w:p>
          <w:p w14:paraId="3B4CF0A4" w14:textId="77777777" w:rsidR="001E13C2" w:rsidRDefault="001E13C2" w:rsidP="0005466A">
            <w:pPr>
              <w:cnfStyle w:val="000000000000" w:firstRow="0" w:lastRow="0" w:firstColumn="0" w:lastColumn="0" w:oddVBand="0" w:evenVBand="0" w:oddHBand="0" w:evenHBand="0" w:firstRowFirstColumn="0" w:firstRowLastColumn="0" w:lastRowFirstColumn="0" w:lastRowLastColumn="0"/>
            </w:pPr>
            <w:r>
              <w:t>Ongoing Grade ≥2 peripheral sensory or motor neuropathy</w:t>
            </w:r>
          </w:p>
          <w:p w14:paraId="11B8AA3C" w14:textId="77777777" w:rsidR="001E13C2" w:rsidRDefault="001E13C2" w:rsidP="0005466A">
            <w:pPr>
              <w:cnfStyle w:val="000000000000" w:firstRow="0" w:lastRow="0" w:firstColumn="0" w:lastColumn="0" w:oddVBand="0" w:evenVBand="0" w:oddHBand="0" w:evenHBand="0" w:firstRowFirstColumn="0" w:firstRowLastColumn="0" w:lastRowFirstColumn="0" w:lastRowLastColumn="0"/>
            </w:pPr>
            <w:r>
              <w:t>History of any grade peripheral sensory or motor neuropathy with prior BCMA-directed therapy (Cohort B)</w:t>
            </w:r>
          </w:p>
          <w:p w14:paraId="74676D6D" w14:textId="77777777" w:rsidR="001E13C2" w:rsidRDefault="001E13C2" w:rsidP="0005466A">
            <w:pPr>
              <w:cnfStyle w:val="000000000000" w:firstRow="0" w:lastRow="0" w:firstColumn="0" w:lastColumn="0" w:oddVBand="0" w:evenVBand="0" w:oddHBand="0" w:evenHBand="0" w:firstRowFirstColumn="0" w:firstRowLastColumn="0" w:lastRowFirstColumn="0" w:lastRowLastColumn="0"/>
            </w:pPr>
            <w:r>
              <w:t>History of Guillain-Barre syndrome (GBS) or GBS variants, or history of any Grade ≥3 peripheral motor polyneuropathy</w:t>
            </w:r>
          </w:p>
          <w:p w14:paraId="3EDDE030" w14:textId="77777777" w:rsidR="001E13C2" w:rsidRDefault="001E13C2" w:rsidP="0005466A">
            <w:pPr>
              <w:cnfStyle w:val="000000000000" w:firstRow="0" w:lastRow="0" w:firstColumn="0" w:lastColumn="0" w:oddVBand="0" w:evenVBand="0" w:oddHBand="0" w:evenHBand="0" w:firstRowFirstColumn="0" w:firstRowLastColumn="0" w:lastRowFirstColumn="0" w:lastRowLastColumn="0"/>
            </w:pPr>
            <w:r>
              <w:t xml:space="preserve">Active HBV, HCV, SARS-CoV2, HIV or active, uncontrolled bacterial, fungal or viral </w:t>
            </w:r>
            <w:proofErr w:type="spellStart"/>
            <w:proofErr w:type="gramStart"/>
            <w:r>
              <w:t>infection.Active</w:t>
            </w:r>
            <w:proofErr w:type="spellEnd"/>
            <w:proofErr w:type="gramEnd"/>
            <w:r>
              <w:t xml:space="preserve"> infections must be resolved ≥14 days prior to treatment</w:t>
            </w:r>
          </w:p>
          <w:p w14:paraId="37B2BC27" w14:textId="38B8B33D" w:rsidR="001E13C2" w:rsidRPr="00E24881" w:rsidRDefault="001E13C2" w:rsidP="0005466A">
            <w:pPr>
              <w:cnfStyle w:val="000000000000" w:firstRow="0" w:lastRow="0" w:firstColumn="0" w:lastColumn="0" w:oddVBand="0" w:evenVBand="0" w:oddHBand="0" w:evenHBand="0" w:firstRowFirstColumn="0" w:firstRowLastColumn="0" w:lastRowFirstColumn="0" w:lastRowLastColumn="0"/>
            </w:pPr>
            <w:r>
              <w:t>Prior anti- BCMA treatment</w:t>
            </w:r>
          </w:p>
        </w:tc>
      </w:tr>
    </w:tbl>
    <w:p w14:paraId="2F663995" w14:textId="77777777" w:rsidR="00E07F4C" w:rsidRDefault="00E07F4C" w:rsidP="001E13C2">
      <w:pPr>
        <w:rPr>
          <w:iCs/>
        </w:rPr>
      </w:pPr>
    </w:p>
    <w:p w14:paraId="2A34B21C" w14:textId="39DBA6AA" w:rsidR="001E13C2" w:rsidRDefault="001E13C2" w:rsidP="001E13C2">
      <w:pPr>
        <w:rPr>
          <w:iCs/>
        </w:rPr>
      </w:pPr>
      <w:r>
        <w:rPr>
          <w:iCs/>
        </w:rPr>
        <w:t xml:space="preserve">The participant disposition at the 16 April 2023 data cut is </w:t>
      </w:r>
      <w:r w:rsidR="00E07F4C">
        <w:rPr>
          <w:iCs/>
        </w:rPr>
        <w:t>shown in Table 5.</w:t>
      </w:r>
    </w:p>
    <w:p w14:paraId="42A19E09" w14:textId="45F26702" w:rsidR="001E13C2" w:rsidRPr="00E56B8B" w:rsidRDefault="001E13C2" w:rsidP="00366152">
      <w:pPr>
        <w:pStyle w:val="TableTitle"/>
        <w:spacing w:before="240"/>
        <w:rPr>
          <w:iCs/>
        </w:rPr>
      </w:pPr>
      <w:r>
        <w:lastRenderedPageBreak/>
        <w:t xml:space="preserve">Table </w:t>
      </w:r>
      <w:r w:rsidR="00E07F4C">
        <w:t xml:space="preserve">5: </w:t>
      </w:r>
      <w:r>
        <w:t xml:space="preserve">Disposition </w:t>
      </w:r>
      <w:r w:rsidR="0072208A">
        <w:t>e</w:t>
      </w:r>
      <w:r>
        <w:t>vents (Safety Analysis Set)</w:t>
      </w:r>
    </w:p>
    <w:p w14:paraId="4D388C25" w14:textId="77777777" w:rsidR="001E13C2" w:rsidRDefault="001E13C2" w:rsidP="0005466A">
      <w:r w:rsidRPr="002F1DE4">
        <w:rPr>
          <w:noProof/>
        </w:rPr>
        <w:drawing>
          <wp:inline distT="0" distB="0" distL="0" distR="0" wp14:anchorId="5D7A17C3" wp14:editId="4D014856">
            <wp:extent cx="5731510" cy="2492375"/>
            <wp:effectExtent l="0" t="0" r="2540" b="3175"/>
            <wp:docPr id="2" name="Picture 2" descr="This table details the disposition events for the Safety Analysis Set. It includes the number of participants that entered, number of participants that discontinued and number of ongoing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table details the disposition events for the Safety Analysis Set. It includes the number of participants that entered, number of participants that discontinued and number of ongoing participant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492375"/>
                    </a:xfrm>
                    <a:prstGeom prst="rect">
                      <a:avLst/>
                    </a:prstGeom>
                    <a:noFill/>
                    <a:ln>
                      <a:noFill/>
                    </a:ln>
                  </pic:spPr>
                </pic:pic>
              </a:graphicData>
            </a:graphic>
          </wp:inline>
        </w:drawing>
      </w:r>
    </w:p>
    <w:p w14:paraId="0D654F38" w14:textId="3074D7D7" w:rsidR="001E13C2" w:rsidRDefault="001E13C2" w:rsidP="008172A7">
      <w:pPr>
        <w:pStyle w:val="Heading6"/>
      </w:pPr>
      <w:r>
        <w:t>Treatment</w:t>
      </w:r>
    </w:p>
    <w:p w14:paraId="029CE0C7" w14:textId="77777777" w:rsidR="001E13C2" w:rsidRDefault="001E13C2" w:rsidP="001E13C2">
      <w:r>
        <w:t>Treatment commenced with a step-up regimen of 12 mg SC on cycle 1 day 1, and 32 mg SC on cycle 1 day 4 during the first week of treatment.</w:t>
      </w:r>
    </w:p>
    <w:p w14:paraId="5767E611" w14:textId="77777777" w:rsidR="001E13C2" w:rsidRDefault="001E13C2" w:rsidP="001E13C2">
      <w:r>
        <w:t xml:space="preserve">Thereafter, </w:t>
      </w:r>
      <w:proofErr w:type="spellStart"/>
      <w:r>
        <w:t>elranatamab</w:t>
      </w:r>
      <w:proofErr w:type="spellEnd"/>
      <w:r>
        <w:t xml:space="preserve"> was dosed weekly (QW) by SC injection on Days 1, 8, 15 and 22 of a 28-day cycle.</w:t>
      </w:r>
    </w:p>
    <w:p w14:paraId="47F207B9" w14:textId="77777777" w:rsidR="001E13C2" w:rsidRDefault="001E13C2" w:rsidP="001E13C2">
      <w:r>
        <w:t xml:space="preserve">Patients who received QW dosing for at least 6 cycles and who achieved a partial response or better (per IMWG criteria) that persisted for at least 2 months could move to second weekly (Q2W) dosing. </w:t>
      </w:r>
    </w:p>
    <w:p w14:paraId="2B1F241E" w14:textId="340BE36D" w:rsidR="001E13C2" w:rsidRDefault="001E13C2" w:rsidP="001E13C2">
      <w:r>
        <w:t>Dosing was to continue until one of disease progression, unacceptable toxicity, withdrawal of consent or study termination. Patients whose treatment discontinued remained in the study for safety, disease</w:t>
      </w:r>
      <w:r w:rsidR="00D128E6">
        <w:t>,</w:t>
      </w:r>
      <w:r>
        <w:t xml:space="preserve"> and survival assessments.</w:t>
      </w:r>
    </w:p>
    <w:p w14:paraId="64B9598E" w14:textId="4720A5E9" w:rsidR="001E13C2" w:rsidRDefault="001E13C2" w:rsidP="001E13C2">
      <w:r>
        <w:t>Premedication with paracetamol, diphenhydramine, and dexamethasone was required for the two step-up doses and the first full 76 mg dose. Thereafter</w:t>
      </w:r>
      <w:r w:rsidR="00D128E6">
        <w:t>,</w:t>
      </w:r>
      <w:r>
        <w:t xml:space="preserve"> pre-treatment prior to </w:t>
      </w:r>
      <w:proofErr w:type="spellStart"/>
      <w:r>
        <w:t>elranatamab</w:t>
      </w:r>
      <w:proofErr w:type="spellEnd"/>
      <w:r>
        <w:t xml:space="preserve"> dosing was discretionary.</w:t>
      </w:r>
    </w:p>
    <w:p w14:paraId="35AD8171" w14:textId="77777777" w:rsidR="001E13C2" w:rsidRDefault="001E13C2" w:rsidP="001E13C2">
      <w:r>
        <w:t>Hospitalisation was required for at least 2 days with the first dose, and for at least 1 day for the second dose with the option of hospitalisation for subsequent dosing. During hospitalisation patients were monitored for cytokine release syndrome (CRS) and immune-effector cell-associated neurotoxicity (ICANS).</w:t>
      </w:r>
    </w:p>
    <w:p w14:paraId="5C4B9242" w14:textId="77777777" w:rsidR="001E13C2" w:rsidRDefault="001E13C2" w:rsidP="008172A7">
      <w:pPr>
        <w:pStyle w:val="Heading6"/>
      </w:pPr>
      <w:r>
        <w:t>Endpoints</w:t>
      </w:r>
    </w:p>
    <w:p w14:paraId="5A36CF62" w14:textId="77777777" w:rsidR="001E13C2" w:rsidRDefault="001E13C2" w:rsidP="002041DA">
      <w:r w:rsidRPr="004F6B77">
        <w:t>Local evaluation of disease response per the IMWG criteria was to be performed at 28-day intervals. Imaging was to be performed at screening, at suspected (stringent) complete response (CR/</w:t>
      </w:r>
      <w:proofErr w:type="spellStart"/>
      <w:r w:rsidRPr="004F6B77">
        <w:t>sCR</w:t>
      </w:r>
      <w:proofErr w:type="spellEnd"/>
      <w:r w:rsidRPr="004F6B77">
        <w:t xml:space="preserve">), at suspected progressive disease from extramedullary disease (EMD), and annually if not done within the previous 12 months. Bone marrow assessments were to be conducted at screening, suspected CR and then after 6 months, 12 months, and yearly after achieving CR (if CR was maintained clinically). </w:t>
      </w:r>
    </w:p>
    <w:p w14:paraId="481383EE" w14:textId="77777777" w:rsidR="001E13C2" w:rsidRDefault="001E13C2" w:rsidP="002041DA">
      <w:r w:rsidRPr="007F4A7B">
        <w:t xml:space="preserve">Efficacy data underwent blinded independent central review (BICR) using IMWG response criteria. ORR by BICR was the primary endpoint and included confirmed </w:t>
      </w:r>
      <w:proofErr w:type="spellStart"/>
      <w:r w:rsidRPr="007F4A7B">
        <w:t>sCR</w:t>
      </w:r>
      <w:proofErr w:type="spellEnd"/>
      <w:r w:rsidRPr="007F4A7B">
        <w:t xml:space="preserve">, CR, very good partial response (VGPR), and PR. Except for stable disease, all response categories required confirmation by 2 consecutive assessments. </w:t>
      </w:r>
    </w:p>
    <w:p w14:paraId="69877F98" w14:textId="77777777" w:rsidR="001E13C2" w:rsidRPr="007F4A7B" w:rsidRDefault="001E13C2" w:rsidP="002041DA">
      <w:r w:rsidRPr="007F4A7B">
        <w:lastRenderedPageBreak/>
        <w:t>Secondary endpoints included ORR by BICR baseline EMD status in Cohort A, ORR by investigator, duration of response (DOR), progression-free-survival (PFS), overall survival (OS), and minimal residual disease (MRD) negativity rate.</w:t>
      </w:r>
    </w:p>
    <w:p w14:paraId="0E36D30C" w14:textId="77777777" w:rsidR="001E13C2" w:rsidRPr="007D23B7" w:rsidRDefault="001E13C2" w:rsidP="002041DA">
      <w:r>
        <w:t xml:space="preserve">The time to event endpoints of progression free survival and overall survival are difficult to interpret in the context of a single arm trial. The outcomes are therefore considered exploratory. </w:t>
      </w:r>
    </w:p>
    <w:p w14:paraId="684B2B41" w14:textId="2BD0C01E" w:rsidR="001E13C2" w:rsidRDefault="001E13C2" w:rsidP="008172A7">
      <w:pPr>
        <w:pStyle w:val="Heading6"/>
      </w:pPr>
      <w:r>
        <w:t xml:space="preserve">Protocol </w:t>
      </w:r>
      <w:r w:rsidR="00655298">
        <w:t>a</w:t>
      </w:r>
      <w:r>
        <w:t xml:space="preserve">mendments and </w:t>
      </w:r>
      <w:r w:rsidR="00655298">
        <w:t>v</w:t>
      </w:r>
      <w:r>
        <w:t>iolations</w:t>
      </w:r>
    </w:p>
    <w:p w14:paraId="26C749C9" w14:textId="77777777" w:rsidR="001E13C2" w:rsidRDefault="001E13C2" w:rsidP="001E13C2">
      <w:r>
        <w:t xml:space="preserve">There were 9 protocol amendments. </w:t>
      </w:r>
    </w:p>
    <w:p w14:paraId="46667072" w14:textId="77777777" w:rsidR="001E13C2" w:rsidRDefault="001E13C2" w:rsidP="001E13C2">
      <w:r>
        <w:t>A high number of protocol violations (around 79.1%) were reported. The majority were related to procedures and reporting of events. The evaluation found these were unlikely to impact the conclusions of the analysis.</w:t>
      </w:r>
    </w:p>
    <w:p w14:paraId="62F4A9BE" w14:textId="2D92FC5A" w:rsidR="001E13C2" w:rsidRDefault="001E13C2" w:rsidP="008172A7">
      <w:pPr>
        <w:pStyle w:val="Heading6"/>
      </w:pPr>
      <w:r>
        <w:t xml:space="preserve">Sample </w:t>
      </w:r>
      <w:r w:rsidR="00655298">
        <w:t>s</w:t>
      </w:r>
      <w:r>
        <w:t xml:space="preserve">ize and </w:t>
      </w:r>
      <w:r w:rsidR="00655298">
        <w:t>s</w:t>
      </w:r>
      <w:r>
        <w:t>tatistics</w:t>
      </w:r>
    </w:p>
    <w:p w14:paraId="5F20C02E" w14:textId="77777777" w:rsidR="001E13C2" w:rsidRDefault="001E13C2" w:rsidP="002041DA">
      <w:r>
        <w:t xml:space="preserve">For Cohort A the null hypothesis tested was that is ORR per IMWG per BICR is ≤30%, and for Cohort B the ORR per IMWG per BICR is ≤15%. </w:t>
      </w:r>
    </w:p>
    <w:p w14:paraId="06797C9B" w14:textId="77777777" w:rsidR="001E13C2" w:rsidRDefault="001E13C2" w:rsidP="002041DA">
      <w:r>
        <w:t xml:space="preserve">A sample size of 120 enrolled participants in Cohort A provides approximately 98% power to reject the null hypothesis (ORR by BICR of 30%) when the alternative hypothesis that ORR by BICR of 48% is true, with a 1-sided significance of 0.025. </w:t>
      </w:r>
    </w:p>
    <w:p w14:paraId="7DADFC41" w14:textId="77777777" w:rsidR="001E13C2" w:rsidRDefault="001E13C2" w:rsidP="002041DA">
      <w:r>
        <w:t>A sample size of 60 enrolled participants in Cohort B provides approximately 91% power to reject the null hypothesis (ORR by BICR of 15%) when the alternative hypothesis that ORR by BICR of 34% is true, with a 1-sided significance of 0.025.</w:t>
      </w:r>
    </w:p>
    <w:p w14:paraId="16B3416D" w14:textId="78F8C32C" w:rsidR="001E13C2" w:rsidRDefault="001E13C2" w:rsidP="008172A7">
      <w:pPr>
        <w:pStyle w:val="Heading6"/>
      </w:pPr>
      <w:r>
        <w:t>Baseline patient demographics and disease characteristics</w:t>
      </w:r>
    </w:p>
    <w:p w14:paraId="75E1B727" w14:textId="7CDE263A" w:rsidR="001E13C2" w:rsidRPr="00F64D60" w:rsidRDefault="001E13C2" w:rsidP="007C537C">
      <w:pPr>
        <w:pStyle w:val="TableTitle"/>
      </w:pPr>
      <w:r>
        <w:t xml:space="preserve">Table </w:t>
      </w:r>
      <w:r w:rsidR="007C537C">
        <w:t xml:space="preserve">6: </w:t>
      </w:r>
      <w:r>
        <w:t>Study C1071003 Patient baseline demographics and disease characteristics</w:t>
      </w:r>
    </w:p>
    <w:p w14:paraId="6F3C5B16" w14:textId="77777777" w:rsidR="001E13C2" w:rsidRPr="00641B70" w:rsidRDefault="001E13C2" w:rsidP="001E13C2">
      <w:pPr>
        <w:kinsoku w:val="0"/>
        <w:overflowPunct w:val="0"/>
        <w:autoSpaceDE w:val="0"/>
        <w:autoSpaceDN w:val="0"/>
        <w:adjustRightInd w:val="0"/>
        <w:spacing w:before="5" w:after="0" w:line="240" w:lineRule="auto"/>
        <w:rPr>
          <w:rFonts w:ascii="Times New Roman" w:hAnsi="Times New Roman"/>
          <w:sz w:val="4"/>
          <w:szCs w:val="4"/>
        </w:rPr>
      </w:pPr>
    </w:p>
    <w:tbl>
      <w:tblPr>
        <w:tblW w:w="9361" w:type="dxa"/>
        <w:tblInd w:w="116" w:type="dxa"/>
        <w:tblLayout w:type="fixed"/>
        <w:tblCellMar>
          <w:left w:w="0" w:type="dxa"/>
          <w:right w:w="0" w:type="dxa"/>
        </w:tblCellMar>
        <w:tblLook w:val="0000" w:firstRow="0" w:lastRow="0" w:firstColumn="0" w:lastColumn="0" w:noHBand="0" w:noVBand="0"/>
      </w:tblPr>
      <w:tblGrid>
        <w:gridCol w:w="2701"/>
        <w:gridCol w:w="2281"/>
        <w:gridCol w:w="2127"/>
        <w:gridCol w:w="2252"/>
      </w:tblGrid>
      <w:tr w:rsidR="001E13C2" w:rsidRPr="00593CC5" w14:paraId="30E8198F" w14:textId="77777777" w:rsidTr="0005466A">
        <w:trPr>
          <w:trHeight w:val="748"/>
          <w:tblHeader/>
        </w:trPr>
        <w:tc>
          <w:tcPr>
            <w:tcW w:w="2701" w:type="dxa"/>
            <w:tcBorders>
              <w:top w:val="single" w:sz="4" w:space="0" w:color="000000"/>
              <w:left w:val="single" w:sz="4" w:space="0" w:color="000000"/>
              <w:bottom w:val="single" w:sz="4" w:space="0" w:color="000000"/>
              <w:right w:val="single" w:sz="4" w:space="0" w:color="000000"/>
            </w:tcBorders>
          </w:tcPr>
          <w:p w14:paraId="797F4802" w14:textId="77777777" w:rsidR="001E13C2" w:rsidRPr="00593CC5" w:rsidRDefault="001E13C2">
            <w:pPr>
              <w:kinsoku w:val="0"/>
              <w:overflowPunct w:val="0"/>
              <w:autoSpaceDE w:val="0"/>
              <w:autoSpaceDN w:val="0"/>
              <w:adjustRightInd w:val="0"/>
              <w:spacing w:before="1" w:after="0" w:line="240" w:lineRule="auto"/>
              <w:ind w:left="108"/>
              <w:rPr>
                <w:rFonts w:cs="Calibri"/>
                <w:b/>
                <w:bCs/>
                <w:sz w:val="20"/>
              </w:rPr>
            </w:pPr>
            <w:r w:rsidRPr="00593CC5">
              <w:rPr>
                <w:rFonts w:cs="Calibri"/>
                <w:b/>
                <w:bCs/>
                <w:sz w:val="20"/>
              </w:rPr>
              <w:t>Participants n (%)</w:t>
            </w:r>
          </w:p>
        </w:tc>
        <w:tc>
          <w:tcPr>
            <w:tcW w:w="2281" w:type="dxa"/>
            <w:tcBorders>
              <w:top w:val="single" w:sz="4" w:space="0" w:color="000000"/>
              <w:left w:val="single" w:sz="4" w:space="0" w:color="000000"/>
              <w:bottom w:val="single" w:sz="4" w:space="0" w:color="000000"/>
              <w:right w:val="single" w:sz="4" w:space="0" w:color="000000"/>
            </w:tcBorders>
          </w:tcPr>
          <w:p w14:paraId="24FD6ED9" w14:textId="77777777" w:rsidR="00C32F6D" w:rsidRDefault="001E13C2">
            <w:pPr>
              <w:kinsoku w:val="0"/>
              <w:overflowPunct w:val="0"/>
              <w:autoSpaceDE w:val="0"/>
              <w:autoSpaceDN w:val="0"/>
              <w:adjustRightInd w:val="0"/>
              <w:spacing w:after="0"/>
              <w:ind w:left="119" w:right="115"/>
              <w:jc w:val="center"/>
              <w:rPr>
                <w:rFonts w:cs="Calibri"/>
                <w:b/>
                <w:bCs/>
                <w:sz w:val="20"/>
              </w:rPr>
            </w:pPr>
            <w:r w:rsidRPr="00593CC5">
              <w:rPr>
                <w:rFonts w:cs="Calibri"/>
                <w:b/>
                <w:bCs/>
                <w:sz w:val="20"/>
              </w:rPr>
              <w:t>Naïve</w:t>
            </w:r>
            <w:r w:rsidRPr="00593CC5">
              <w:rPr>
                <w:rFonts w:cs="Calibri"/>
                <w:b/>
                <w:bCs/>
                <w:spacing w:val="-12"/>
                <w:sz w:val="20"/>
              </w:rPr>
              <w:t xml:space="preserve"> </w:t>
            </w:r>
            <w:r w:rsidRPr="00593CC5">
              <w:rPr>
                <w:rFonts w:cs="Calibri"/>
                <w:b/>
                <w:bCs/>
                <w:sz w:val="20"/>
              </w:rPr>
              <w:t>to</w:t>
            </w:r>
            <w:r w:rsidRPr="00593CC5">
              <w:rPr>
                <w:rFonts w:cs="Calibri"/>
                <w:b/>
                <w:bCs/>
                <w:spacing w:val="-11"/>
                <w:sz w:val="20"/>
              </w:rPr>
              <w:t xml:space="preserve"> </w:t>
            </w:r>
            <w:r w:rsidRPr="00593CC5">
              <w:rPr>
                <w:rFonts w:cs="Calibri"/>
                <w:b/>
                <w:bCs/>
                <w:sz w:val="20"/>
              </w:rPr>
              <w:t xml:space="preserve">BCMA-directed therapy (Cohort A) </w:t>
            </w:r>
          </w:p>
          <w:p w14:paraId="22FA8005" w14:textId="3486732E" w:rsidR="001E13C2" w:rsidRPr="00593CC5" w:rsidRDefault="001E13C2">
            <w:pPr>
              <w:kinsoku w:val="0"/>
              <w:overflowPunct w:val="0"/>
              <w:autoSpaceDE w:val="0"/>
              <w:autoSpaceDN w:val="0"/>
              <w:adjustRightInd w:val="0"/>
              <w:spacing w:after="0"/>
              <w:ind w:left="119" w:right="115"/>
              <w:jc w:val="center"/>
              <w:rPr>
                <w:rFonts w:cs="Calibri"/>
                <w:b/>
                <w:bCs/>
                <w:spacing w:val="-2"/>
                <w:sz w:val="20"/>
              </w:rPr>
            </w:pPr>
            <w:r w:rsidRPr="00593CC5">
              <w:rPr>
                <w:rFonts w:cs="Calibri"/>
                <w:b/>
                <w:bCs/>
                <w:spacing w:val="-2"/>
                <w:sz w:val="20"/>
              </w:rPr>
              <w:t>(N=123)</w:t>
            </w:r>
          </w:p>
        </w:tc>
        <w:tc>
          <w:tcPr>
            <w:tcW w:w="2127" w:type="dxa"/>
            <w:tcBorders>
              <w:top w:val="single" w:sz="4" w:space="0" w:color="000000"/>
              <w:left w:val="single" w:sz="4" w:space="0" w:color="000000"/>
              <w:bottom w:val="single" w:sz="4" w:space="0" w:color="000000"/>
              <w:right w:val="single" w:sz="4" w:space="0" w:color="000000"/>
            </w:tcBorders>
          </w:tcPr>
          <w:p w14:paraId="7F0E0D10" w14:textId="77777777" w:rsidR="001E13C2" w:rsidRPr="00593CC5" w:rsidRDefault="001E13C2">
            <w:pPr>
              <w:kinsoku w:val="0"/>
              <w:overflowPunct w:val="0"/>
              <w:autoSpaceDE w:val="0"/>
              <w:autoSpaceDN w:val="0"/>
              <w:adjustRightInd w:val="0"/>
              <w:spacing w:after="0"/>
              <w:ind w:left="165" w:right="159"/>
              <w:jc w:val="center"/>
              <w:rPr>
                <w:rFonts w:cs="Calibri"/>
                <w:b/>
                <w:bCs/>
                <w:sz w:val="20"/>
              </w:rPr>
            </w:pPr>
            <w:r w:rsidRPr="00593CC5">
              <w:rPr>
                <w:rFonts w:cs="Calibri"/>
                <w:b/>
                <w:bCs/>
                <w:sz w:val="20"/>
              </w:rPr>
              <w:t>Received</w:t>
            </w:r>
            <w:r w:rsidRPr="00593CC5">
              <w:rPr>
                <w:rFonts w:cs="Calibri"/>
                <w:b/>
                <w:bCs/>
                <w:spacing w:val="-12"/>
                <w:sz w:val="20"/>
              </w:rPr>
              <w:t xml:space="preserve"> </w:t>
            </w:r>
            <w:r w:rsidRPr="00593CC5">
              <w:rPr>
                <w:rFonts w:cs="Calibri"/>
                <w:b/>
                <w:bCs/>
                <w:sz w:val="20"/>
              </w:rPr>
              <w:t>prior</w:t>
            </w:r>
            <w:r w:rsidRPr="00593CC5">
              <w:rPr>
                <w:rFonts w:cs="Calibri"/>
                <w:b/>
                <w:bCs/>
                <w:spacing w:val="-11"/>
                <w:sz w:val="20"/>
              </w:rPr>
              <w:t xml:space="preserve"> </w:t>
            </w:r>
            <w:r w:rsidRPr="00593CC5">
              <w:rPr>
                <w:rFonts w:cs="Calibri"/>
                <w:b/>
                <w:bCs/>
                <w:sz w:val="20"/>
              </w:rPr>
              <w:t>BCMA- directed therapy (Cohort B) (n=64)</w:t>
            </w:r>
          </w:p>
        </w:tc>
        <w:tc>
          <w:tcPr>
            <w:tcW w:w="2252" w:type="dxa"/>
            <w:tcBorders>
              <w:top w:val="single" w:sz="4" w:space="0" w:color="000000"/>
              <w:left w:val="single" w:sz="4" w:space="0" w:color="000000"/>
              <w:bottom w:val="single" w:sz="4" w:space="0" w:color="000000"/>
              <w:right w:val="single" w:sz="4" w:space="0" w:color="000000"/>
            </w:tcBorders>
          </w:tcPr>
          <w:p w14:paraId="7D40BE7D" w14:textId="77777777" w:rsidR="00CF7033" w:rsidRDefault="001E13C2" w:rsidP="00F01E09">
            <w:pPr>
              <w:kinsoku w:val="0"/>
              <w:overflowPunct w:val="0"/>
              <w:autoSpaceDE w:val="0"/>
              <w:autoSpaceDN w:val="0"/>
              <w:adjustRightInd w:val="0"/>
              <w:spacing w:after="0"/>
              <w:ind w:left="792" w:right="786" w:firstLine="1"/>
              <w:rPr>
                <w:rFonts w:cs="Calibri"/>
                <w:b/>
                <w:bCs/>
                <w:spacing w:val="-2"/>
                <w:sz w:val="20"/>
              </w:rPr>
            </w:pPr>
            <w:r w:rsidRPr="00593CC5">
              <w:rPr>
                <w:rFonts w:cs="Calibri"/>
                <w:b/>
                <w:bCs/>
                <w:spacing w:val="-2"/>
                <w:sz w:val="20"/>
              </w:rPr>
              <w:t>Total</w:t>
            </w:r>
          </w:p>
          <w:p w14:paraId="6212CBAD" w14:textId="28A89C50" w:rsidR="00CF7033" w:rsidRDefault="00FE17F3" w:rsidP="00F01E09">
            <w:pPr>
              <w:kinsoku w:val="0"/>
              <w:overflowPunct w:val="0"/>
              <w:autoSpaceDE w:val="0"/>
              <w:autoSpaceDN w:val="0"/>
              <w:adjustRightInd w:val="0"/>
              <w:spacing w:after="0"/>
              <w:ind w:left="567" w:right="788"/>
              <w:rPr>
                <w:rFonts w:cs="Calibri"/>
                <w:b/>
                <w:bCs/>
                <w:spacing w:val="-2"/>
                <w:sz w:val="20"/>
                <w:highlight w:val="yellow"/>
              </w:rPr>
            </w:pPr>
            <w:r>
              <w:rPr>
                <w:rFonts w:cs="Calibri"/>
                <w:b/>
                <w:bCs/>
                <w:spacing w:val="-2"/>
                <w:sz w:val="20"/>
              </w:rPr>
              <w:t xml:space="preserve">  </w:t>
            </w:r>
            <w:r w:rsidR="00A64B2F">
              <w:rPr>
                <w:rFonts w:cs="Calibri"/>
                <w:b/>
                <w:bCs/>
                <w:spacing w:val="-2"/>
                <w:sz w:val="20"/>
              </w:rPr>
              <w:t>(</w:t>
            </w:r>
            <w:r w:rsidR="00CF7033">
              <w:rPr>
                <w:rFonts w:cs="Calibri"/>
                <w:b/>
                <w:bCs/>
                <w:spacing w:val="-2"/>
                <w:sz w:val="20"/>
              </w:rPr>
              <w:t>N</w:t>
            </w:r>
            <w:r w:rsidR="000E2739">
              <w:rPr>
                <w:rFonts w:cs="Calibri"/>
                <w:b/>
                <w:bCs/>
                <w:spacing w:val="-2"/>
                <w:sz w:val="20"/>
              </w:rPr>
              <w:t>=187</w:t>
            </w:r>
            <w:r w:rsidR="00A64B2F">
              <w:rPr>
                <w:rFonts w:cs="Calibri"/>
                <w:b/>
                <w:bCs/>
                <w:spacing w:val="-2"/>
                <w:sz w:val="20"/>
              </w:rPr>
              <w:t>)</w:t>
            </w:r>
          </w:p>
          <w:p w14:paraId="0EFA3C4D" w14:textId="73107797" w:rsidR="001E13C2" w:rsidRPr="00593CC5" w:rsidRDefault="001E13C2" w:rsidP="00CF7033">
            <w:pPr>
              <w:kinsoku w:val="0"/>
              <w:overflowPunct w:val="0"/>
              <w:autoSpaceDE w:val="0"/>
              <w:autoSpaceDN w:val="0"/>
              <w:adjustRightInd w:val="0"/>
              <w:spacing w:after="0"/>
              <w:ind w:left="792" w:right="786" w:firstLine="1"/>
              <w:rPr>
                <w:rFonts w:cs="Calibri"/>
                <w:b/>
                <w:bCs/>
                <w:spacing w:val="-2"/>
                <w:sz w:val="20"/>
              </w:rPr>
            </w:pPr>
          </w:p>
        </w:tc>
      </w:tr>
      <w:tr w:rsidR="001E13C2" w:rsidRPr="00593CC5" w14:paraId="782C3939"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532956A5" w14:textId="77777777" w:rsidR="001E13C2" w:rsidRPr="00593CC5" w:rsidRDefault="001E13C2">
            <w:pPr>
              <w:kinsoku w:val="0"/>
              <w:overflowPunct w:val="0"/>
              <w:autoSpaceDE w:val="0"/>
              <w:autoSpaceDN w:val="0"/>
              <w:adjustRightInd w:val="0"/>
              <w:spacing w:before="1" w:after="0" w:line="242" w:lineRule="exact"/>
              <w:ind w:left="108"/>
              <w:rPr>
                <w:rFonts w:cs="Calibri"/>
                <w:b/>
                <w:bCs/>
                <w:sz w:val="20"/>
              </w:rPr>
            </w:pPr>
            <w:r w:rsidRPr="00593CC5">
              <w:rPr>
                <w:rFonts w:cs="Calibri"/>
                <w:b/>
                <w:bCs/>
                <w:sz w:val="20"/>
              </w:rPr>
              <w:t>Age (Years)</w:t>
            </w:r>
          </w:p>
        </w:tc>
        <w:tc>
          <w:tcPr>
            <w:tcW w:w="2281" w:type="dxa"/>
            <w:tcBorders>
              <w:top w:val="single" w:sz="4" w:space="0" w:color="000000"/>
              <w:left w:val="single" w:sz="4" w:space="0" w:color="000000"/>
              <w:bottom w:val="single" w:sz="4" w:space="0" w:color="000000"/>
              <w:right w:val="single" w:sz="4" w:space="0" w:color="000000"/>
            </w:tcBorders>
          </w:tcPr>
          <w:p w14:paraId="73EDCDA8" w14:textId="77777777" w:rsidR="001E13C2" w:rsidRPr="00593CC5" w:rsidRDefault="001E13C2">
            <w:pPr>
              <w:kinsoku w:val="0"/>
              <w:overflowPunct w:val="0"/>
              <w:autoSpaceDE w:val="0"/>
              <w:autoSpaceDN w:val="0"/>
              <w:adjustRightInd w:val="0"/>
              <w:spacing w:after="0" w:line="240" w:lineRule="auto"/>
              <w:rPr>
                <w:sz w:val="20"/>
              </w:rPr>
            </w:pPr>
          </w:p>
        </w:tc>
        <w:tc>
          <w:tcPr>
            <w:tcW w:w="2127" w:type="dxa"/>
            <w:tcBorders>
              <w:top w:val="single" w:sz="4" w:space="0" w:color="000000"/>
              <w:left w:val="single" w:sz="4" w:space="0" w:color="000000"/>
              <w:bottom w:val="single" w:sz="4" w:space="0" w:color="000000"/>
              <w:right w:val="single" w:sz="4" w:space="0" w:color="000000"/>
            </w:tcBorders>
          </w:tcPr>
          <w:p w14:paraId="04F79E72" w14:textId="77777777" w:rsidR="001E13C2" w:rsidRPr="00593CC5" w:rsidRDefault="001E13C2">
            <w:pPr>
              <w:kinsoku w:val="0"/>
              <w:overflowPunct w:val="0"/>
              <w:autoSpaceDE w:val="0"/>
              <w:autoSpaceDN w:val="0"/>
              <w:adjustRightInd w:val="0"/>
              <w:spacing w:after="0" w:line="240" w:lineRule="auto"/>
              <w:rPr>
                <w:sz w:val="20"/>
              </w:rPr>
            </w:pPr>
          </w:p>
        </w:tc>
        <w:tc>
          <w:tcPr>
            <w:tcW w:w="2252" w:type="dxa"/>
            <w:tcBorders>
              <w:top w:val="single" w:sz="4" w:space="0" w:color="000000"/>
              <w:left w:val="single" w:sz="4" w:space="0" w:color="000000"/>
              <w:bottom w:val="single" w:sz="4" w:space="0" w:color="000000"/>
              <w:right w:val="single" w:sz="4" w:space="0" w:color="000000"/>
            </w:tcBorders>
          </w:tcPr>
          <w:p w14:paraId="2A862AFF" w14:textId="77777777" w:rsidR="001E13C2" w:rsidRPr="00593CC5" w:rsidRDefault="001E13C2">
            <w:pPr>
              <w:kinsoku w:val="0"/>
              <w:overflowPunct w:val="0"/>
              <w:autoSpaceDE w:val="0"/>
              <w:autoSpaceDN w:val="0"/>
              <w:adjustRightInd w:val="0"/>
              <w:spacing w:after="0" w:line="240" w:lineRule="auto"/>
              <w:rPr>
                <w:sz w:val="20"/>
              </w:rPr>
            </w:pPr>
          </w:p>
        </w:tc>
      </w:tr>
      <w:tr w:rsidR="001E13C2" w:rsidRPr="00593CC5" w14:paraId="689024AE"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539C2F93" w14:textId="77777777" w:rsidR="001E13C2" w:rsidRPr="00593CC5" w:rsidRDefault="001E13C2">
            <w:pPr>
              <w:kinsoku w:val="0"/>
              <w:overflowPunct w:val="0"/>
              <w:autoSpaceDE w:val="0"/>
              <w:autoSpaceDN w:val="0"/>
              <w:adjustRightInd w:val="0"/>
              <w:spacing w:before="1" w:after="0" w:line="242" w:lineRule="exact"/>
              <w:ind w:left="269"/>
              <w:rPr>
                <w:rFonts w:cs="Calibri"/>
                <w:sz w:val="20"/>
              </w:rPr>
            </w:pPr>
            <w:r w:rsidRPr="00593CC5">
              <w:rPr>
                <w:rFonts w:cs="Calibri"/>
                <w:sz w:val="20"/>
              </w:rPr>
              <w:t>Median (range) years</w:t>
            </w:r>
          </w:p>
        </w:tc>
        <w:tc>
          <w:tcPr>
            <w:tcW w:w="2281" w:type="dxa"/>
            <w:tcBorders>
              <w:top w:val="single" w:sz="4" w:space="0" w:color="000000"/>
              <w:left w:val="single" w:sz="4" w:space="0" w:color="000000"/>
              <w:bottom w:val="single" w:sz="4" w:space="0" w:color="000000"/>
              <w:right w:val="single" w:sz="4" w:space="0" w:color="000000"/>
            </w:tcBorders>
          </w:tcPr>
          <w:p w14:paraId="29D9FB96" w14:textId="77777777" w:rsidR="001E13C2" w:rsidRPr="00593CC5" w:rsidRDefault="001E13C2">
            <w:pPr>
              <w:kinsoku w:val="0"/>
              <w:overflowPunct w:val="0"/>
              <w:autoSpaceDE w:val="0"/>
              <w:autoSpaceDN w:val="0"/>
              <w:adjustRightInd w:val="0"/>
              <w:spacing w:before="1" w:after="0" w:line="242" w:lineRule="exact"/>
              <w:ind w:left="611"/>
              <w:rPr>
                <w:rFonts w:cs="Calibri"/>
                <w:sz w:val="20"/>
              </w:rPr>
            </w:pPr>
            <w:r w:rsidRPr="00593CC5">
              <w:rPr>
                <w:rFonts w:cs="Calibri"/>
                <w:sz w:val="20"/>
              </w:rPr>
              <w:t>68.0 (36, 89)</w:t>
            </w:r>
          </w:p>
        </w:tc>
        <w:tc>
          <w:tcPr>
            <w:tcW w:w="2127" w:type="dxa"/>
            <w:tcBorders>
              <w:top w:val="single" w:sz="4" w:space="0" w:color="000000"/>
              <w:left w:val="single" w:sz="4" w:space="0" w:color="000000"/>
              <w:bottom w:val="single" w:sz="4" w:space="0" w:color="000000"/>
              <w:right w:val="single" w:sz="4" w:space="0" w:color="000000"/>
            </w:tcBorders>
          </w:tcPr>
          <w:p w14:paraId="2A957386" w14:textId="77777777" w:rsidR="001E13C2" w:rsidRPr="00593CC5" w:rsidRDefault="001E13C2">
            <w:pPr>
              <w:kinsoku w:val="0"/>
              <w:overflowPunct w:val="0"/>
              <w:autoSpaceDE w:val="0"/>
              <w:autoSpaceDN w:val="0"/>
              <w:adjustRightInd w:val="0"/>
              <w:spacing w:before="1" w:after="0" w:line="242" w:lineRule="exact"/>
              <w:ind w:left="566"/>
              <w:rPr>
                <w:rFonts w:cs="Calibri"/>
                <w:sz w:val="20"/>
              </w:rPr>
            </w:pPr>
            <w:r w:rsidRPr="00593CC5">
              <w:rPr>
                <w:rFonts w:cs="Calibri"/>
                <w:sz w:val="20"/>
              </w:rPr>
              <w:t>67.0 (41, 84)</w:t>
            </w:r>
          </w:p>
        </w:tc>
        <w:tc>
          <w:tcPr>
            <w:tcW w:w="2252" w:type="dxa"/>
            <w:tcBorders>
              <w:top w:val="single" w:sz="4" w:space="0" w:color="000000"/>
              <w:left w:val="single" w:sz="4" w:space="0" w:color="000000"/>
              <w:bottom w:val="single" w:sz="4" w:space="0" w:color="000000"/>
              <w:right w:val="single" w:sz="4" w:space="0" w:color="000000"/>
            </w:tcBorders>
          </w:tcPr>
          <w:p w14:paraId="427DA0D7" w14:textId="77777777" w:rsidR="001E13C2" w:rsidRPr="00593CC5" w:rsidRDefault="001E13C2">
            <w:pPr>
              <w:kinsoku w:val="0"/>
              <w:overflowPunct w:val="0"/>
              <w:autoSpaceDE w:val="0"/>
              <w:autoSpaceDN w:val="0"/>
              <w:adjustRightInd w:val="0"/>
              <w:spacing w:before="1" w:after="0" w:line="242" w:lineRule="exact"/>
              <w:ind w:left="610"/>
              <w:rPr>
                <w:rFonts w:cs="Calibri"/>
                <w:sz w:val="20"/>
              </w:rPr>
            </w:pPr>
            <w:r w:rsidRPr="00593CC5">
              <w:rPr>
                <w:rFonts w:cs="Calibri"/>
                <w:sz w:val="20"/>
              </w:rPr>
              <w:t>68.0 (36, 89)</w:t>
            </w:r>
          </w:p>
        </w:tc>
      </w:tr>
      <w:tr w:rsidR="001E13C2" w:rsidRPr="00593CC5" w14:paraId="654FA79A"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7CDC1979" w14:textId="77777777" w:rsidR="001E13C2" w:rsidRPr="00593CC5" w:rsidRDefault="001E13C2">
            <w:pPr>
              <w:kinsoku w:val="0"/>
              <w:overflowPunct w:val="0"/>
              <w:autoSpaceDE w:val="0"/>
              <w:autoSpaceDN w:val="0"/>
              <w:adjustRightInd w:val="0"/>
              <w:spacing w:before="1" w:after="0" w:line="242" w:lineRule="exact"/>
              <w:ind w:left="245"/>
              <w:rPr>
                <w:rFonts w:cs="Calibri"/>
                <w:sz w:val="20"/>
              </w:rPr>
            </w:pPr>
            <w:r w:rsidRPr="00593CC5">
              <w:rPr>
                <w:rFonts w:cs="Calibri"/>
                <w:sz w:val="20"/>
              </w:rPr>
              <w:t>18 - &lt;65 (n (%))</w:t>
            </w:r>
          </w:p>
        </w:tc>
        <w:tc>
          <w:tcPr>
            <w:tcW w:w="2281" w:type="dxa"/>
            <w:tcBorders>
              <w:top w:val="single" w:sz="4" w:space="0" w:color="000000"/>
              <w:left w:val="single" w:sz="4" w:space="0" w:color="000000"/>
              <w:bottom w:val="single" w:sz="4" w:space="0" w:color="000000"/>
              <w:right w:val="single" w:sz="4" w:space="0" w:color="000000"/>
            </w:tcBorders>
          </w:tcPr>
          <w:p w14:paraId="22CA373D" w14:textId="77777777" w:rsidR="001E13C2" w:rsidRPr="00593CC5" w:rsidRDefault="001E13C2">
            <w:pPr>
              <w:kinsoku w:val="0"/>
              <w:overflowPunct w:val="0"/>
              <w:autoSpaceDE w:val="0"/>
              <w:autoSpaceDN w:val="0"/>
              <w:adjustRightInd w:val="0"/>
              <w:spacing w:before="1" w:after="0" w:line="242" w:lineRule="exact"/>
              <w:ind w:left="117" w:right="115"/>
              <w:jc w:val="center"/>
              <w:rPr>
                <w:rFonts w:cs="Calibri"/>
                <w:sz w:val="20"/>
              </w:rPr>
            </w:pPr>
            <w:r w:rsidRPr="00593CC5">
              <w:rPr>
                <w:rFonts w:cs="Calibri"/>
                <w:sz w:val="20"/>
              </w:rPr>
              <w:t>43 (35.0)</w:t>
            </w:r>
          </w:p>
        </w:tc>
        <w:tc>
          <w:tcPr>
            <w:tcW w:w="2127" w:type="dxa"/>
            <w:tcBorders>
              <w:top w:val="single" w:sz="4" w:space="0" w:color="000000"/>
              <w:left w:val="single" w:sz="4" w:space="0" w:color="000000"/>
              <w:bottom w:val="single" w:sz="4" w:space="0" w:color="000000"/>
              <w:right w:val="single" w:sz="4" w:space="0" w:color="000000"/>
            </w:tcBorders>
          </w:tcPr>
          <w:p w14:paraId="42B5D170" w14:textId="77777777" w:rsidR="001E13C2" w:rsidRPr="00593CC5" w:rsidRDefault="001E13C2">
            <w:pPr>
              <w:kinsoku w:val="0"/>
              <w:overflowPunct w:val="0"/>
              <w:autoSpaceDE w:val="0"/>
              <w:autoSpaceDN w:val="0"/>
              <w:adjustRightInd w:val="0"/>
              <w:spacing w:before="1" w:after="0" w:line="242" w:lineRule="exact"/>
              <w:ind w:left="162" w:right="159"/>
              <w:jc w:val="center"/>
              <w:rPr>
                <w:rFonts w:cs="Calibri"/>
                <w:sz w:val="20"/>
              </w:rPr>
            </w:pPr>
            <w:r w:rsidRPr="00593CC5">
              <w:rPr>
                <w:rFonts w:cs="Calibri"/>
                <w:sz w:val="20"/>
              </w:rPr>
              <w:t>28 (43.8)</w:t>
            </w:r>
          </w:p>
        </w:tc>
        <w:tc>
          <w:tcPr>
            <w:tcW w:w="2252" w:type="dxa"/>
            <w:tcBorders>
              <w:top w:val="single" w:sz="4" w:space="0" w:color="000000"/>
              <w:left w:val="single" w:sz="4" w:space="0" w:color="000000"/>
              <w:bottom w:val="single" w:sz="4" w:space="0" w:color="000000"/>
              <w:right w:val="single" w:sz="4" w:space="0" w:color="000000"/>
            </w:tcBorders>
          </w:tcPr>
          <w:p w14:paraId="54308AF4" w14:textId="77777777" w:rsidR="001E13C2" w:rsidRPr="00593CC5" w:rsidRDefault="001E13C2">
            <w:pPr>
              <w:kinsoku w:val="0"/>
              <w:overflowPunct w:val="0"/>
              <w:autoSpaceDE w:val="0"/>
              <w:autoSpaceDN w:val="0"/>
              <w:adjustRightInd w:val="0"/>
              <w:spacing w:before="1" w:after="0" w:line="242" w:lineRule="exact"/>
              <w:ind w:left="687" w:right="686"/>
              <w:jc w:val="center"/>
              <w:rPr>
                <w:rFonts w:cs="Calibri"/>
                <w:sz w:val="20"/>
              </w:rPr>
            </w:pPr>
            <w:r w:rsidRPr="00593CC5">
              <w:rPr>
                <w:rFonts w:cs="Calibri"/>
                <w:sz w:val="20"/>
              </w:rPr>
              <w:t>71 (38.0)</w:t>
            </w:r>
          </w:p>
        </w:tc>
      </w:tr>
      <w:tr w:rsidR="001E13C2" w:rsidRPr="00593CC5" w14:paraId="2A5FF302"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3BDDAD8A" w14:textId="77777777" w:rsidR="001E13C2" w:rsidRPr="00593CC5" w:rsidRDefault="001E13C2">
            <w:pPr>
              <w:kinsoku w:val="0"/>
              <w:overflowPunct w:val="0"/>
              <w:autoSpaceDE w:val="0"/>
              <w:autoSpaceDN w:val="0"/>
              <w:adjustRightInd w:val="0"/>
              <w:spacing w:before="1" w:after="0" w:line="242" w:lineRule="exact"/>
              <w:ind w:left="245"/>
              <w:rPr>
                <w:rFonts w:cs="Calibri"/>
                <w:sz w:val="20"/>
              </w:rPr>
            </w:pPr>
            <w:r w:rsidRPr="00593CC5">
              <w:rPr>
                <w:rFonts w:cs="Calibri"/>
                <w:sz w:val="20"/>
              </w:rPr>
              <w:t>≥65 - &lt;75 (n (%))</w:t>
            </w:r>
          </w:p>
        </w:tc>
        <w:tc>
          <w:tcPr>
            <w:tcW w:w="2281" w:type="dxa"/>
            <w:tcBorders>
              <w:top w:val="single" w:sz="4" w:space="0" w:color="000000"/>
              <w:left w:val="single" w:sz="4" w:space="0" w:color="000000"/>
              <w:bottom w:val="single" w:sz="4" w:space="0" w:color="000000"/>
              <w:right w:val="single" w:sz="4" w:space="0" w:color="000000"/>
            </w:tcBorders>
          </w:tcPr>
          <w:p w14:paraId="425764DE" w14:textId="77777777" w:rsidR="001E13C2" w:rsidRPr="00593CC5" w:rsidRDefault="001E13C2">
            <w:pPr>
              <w:kinsoku w:val="0"/>
              <w:overflowPunct w:val="0"/>
              <w:autoSpaceDE w:val="0"/>
              <w:autoSpaceDN w:val="0"/>
              <w:adjustRightInd w:val="0"/>
              <w:spacing w:before="1" w:after="0" w:line="242" w:lineRule="exact"/>
              <w:ind w:left="117" w:right="115"/>
              <w:jc w:val="center"/>
              <w:rPr>
                <w:rFonts w:cs="Calibri"/>
                <w:sz w:val="20"/>
              </w:rPr>
            </w:pPr>
            <w:r w:rsidRPr="00593CC5">
              <w:rPr>
                <w:rFonts w:cs="Calibri"/>
                <w:sz w:val="20"/>
              </w:rPr>
              <w:t>56 (45.5)</w:t>
            </w:r>
          </w:p>
        </w:tc>
        <w:tc>
          <w:tcPr>
            <w:tcW w:w="2127" w:type="dxa"/>
            <w:tcBorders>
              <w:top w:val="single" w:sz="4" w:space="0" w:color="000000"/>
              <w:left w:val="single" w:sz="4" w:space="0" w:color="000000"/>
              <w:bottom w:val="single" w:sz="4" w:space="0" w:color="000000"/>
              <w:right w:val="single" w:sz="4" w:space="0" w:color="000000"/>
            </w:tcBorders>
          </w:tcPr>
          <w:p w14:paraId="2DC57B68" w14:textId="77777777" w:rsidR="001E13C2" w:rsidRPr="00593CC5" w:rsidRDefault="001E13C2">
            <w:pPr>
              <w:kinsoku w:val="0"/>
              <w:overflowPunct w:val="0"/>
              <w:autoSpaceDE w:val="0"/>
              <w:autoSpaceDN w:val="0"/>
              <w:adjustRightInd w:val="0"/>
              <w:spacing w:before="1" w:after="0" w:line="242" w:lineRule="exact"/>
              <w:ind w:left="162" w:right="159"/>
              <w:jc w:val="center"/>
              <w:rPr>
                <w:rFonts w:cs="Calibri"/>
                <w:sz w:val="20"/>
              </w:rPr>
            </w:pPr>
            <w:r w:rsidRPr="00593CC5">
              <w:rPr>
                <w:rFonts w:cs="Calibri"/>
                <w:sz w:val="20"/>
              </w:rPr>
              <w:t>24 (37.5)</w:t>
            </w:r>
          </w:p>
        </w:tc>
        <w:tc>
          <w:tcPr>
            <w:tcW w:w="2252" w:type="dxa"/>
            <w:tcBorders>
              <w:top w:val="single" w:sz="4" w:space="0" w:color="000000"/>
              <w:left w:val="single" w:sz="4" w:space="0" w:color="000000"/>
              <w:bottom w:val="single" w:sz="4" w:space="0" w:color="000000"/>
              <w:right w:val="single" w:sz="4" w:space="0" w:color="000000"/>
            </w:tcBorders>
          </w:tcPr>
          <w:p w14:paraId="0C1C07B2" w14:textId="77777777" w:rsidR="001E13C2" w:rsidRPr="00593CC5" w:rsidRDefault="001E13C2">
            <w:pPr>
              <w:kinsoku w:val="0"/>
              <w:overflowPunct w:val="0"/>
              <w:autoSpaceDE w:val="0"/>
              <w:autoSpaceDN w:val="0"/>
              <w:adjustRightInd w:val="0"/>
              <w:spacing w:before="1" w:after="0" w:line="242" w:lineRule="exact"/>
              <w:ind w:left="687" w:right="686"/>
              <w:jc w:val="center"/>
              <w:rPr>
                <w:rFonts w:cs="Calibri"/>
                <w:sz w:val="20"/>
              </w:rPr>
            </w:pPr>
            <w:r w:rsidRPr="00593CC5">
              <w:rPr>
                <w:rFonts w:cs="Calibri"/>
                <w:sz w:val="20"/>
              </w:rPr>
              <w:t>80 (42.8)</w:t>
            </w:r>
          </w:p>
        </w:tc>
      </w:tr>
      <w:tr w:rsidR="001E13C2" w:rsidRPr="00593CC5" w14:paraId="31408683" w14:textId="77777777" w:rsidTr="0005466A">
        <w:trPr>
          <w:trHeight w:val="265"/>
        </w:trPr>
        <w:tc>
          <w:tcPr>
            <w:tcW w:w="2701" w:type="dxa"/>
            <w:tcBorders>
              <w:top w:val="single" w:sz="4" w:space="0" w:color="000000"/>
              <w:left w:val="single" w:sz="4" w:space="0" w:color="000000"/>
              <w:bottom w:val="single" w:sz="4" w:space="0" w:color="000000"/>
              <w:right w:val="single" w:sz="4" w:space="0" w:color="000000"/>
            </w:tcBorders>
          </w:tcPr>
          <w:p w14:paraId="3DFA682C" w14:textId="77777777" w:rsidR="001E13C2" w:rsidRPr="00593CC5" w:rsidRDefault="001E13C2">
            <w:pPr>
              <w:kinsoku w:val="0"/>
              <w:overflowPunct w:val="0"/>
              <w:autoSpaceDE w:val="0"/>
              <w:autoSpaceDN w:val="0"/>
              <w:adjustRightInd w:val="0"/>
              <w:spacing w:before="1" w:after="0" w:line="240" w:lineRule="auto"/>
              <w:ind w:left="245"/>
              <w:rPr>
                <w:rFonts w:cs="Calibri"/>
                <w:sz w:val="20"/>
              </w:rPr>
            </w:pPr>
            <w:r w:rsidRPr="00593CC5">
              <w:rPr>
                <w:rFonts w:cs="Calibri"/>
                <w:sz w:val="20"/>
              </w:rPr>
              <w:t>≥75 (n (%))</w:t>
            </w:r>
          </w:p>
        </w:tc>
        <w:tc>
          <w:tcPr>
            <w:tcW w:w="2281" w:type="dxa"/>
            <w:tcBorders>
              <w:top w:val="single" w:sz="4" w:space="0" w:color="000000"/>
              <w:left w:val="single" w:sz="4" w:space="0" w:color="000000"/>
              <w:bottom w:val="single" w:sz="4" w:space="0" w:color="000000"/>
              <w:right w:val="single" w:sz="4" w:space="0" w:color="000000"/>
            </w:tcBorders>
          </w:tcPr>
          <w:p w14:paraId="4A7B2EA9" w14:textId="77777777" w:rsidR="001E13C2" w:rsidRPr="00593CC5" w:rsidRDefault="001E13C2">
            <w:pPr>
              <w:kinsoku w:val="0"/>
              <w:overflowPunct w:val="0"/>
              <w:autoSpaceDE w:val="0"/>
              <w:autoSpaceDN w:val="0"/>
              <w:adjustRightInd w:val="0"/>
              <w:spacing w:before="1" w:after="0" w:line="240" w:lineRule="auto"/>
              <w:ind w:left="117" w:right="115"/>
              <w:jc w:val="center"/>
              <w:rPr>
                <w:rFonts w:cs="Calibri"/>
                <w:sz w:val="20"/>
              </w:rPr>
            </w:pPr>
            <w:r w:rsidRPr="00593CC5">
              <w:rPr>
                <w:rFonts w:cs="Calibri"/>
                <w:sz w:val="20"/>
              </w:rPr>
              <w:t>24 (19.5)</w:t>
            </w:r>
          </w:p>
        </w:tc>
        <w:tc>
          <w:tcPr>
            <w:tcW w:w="2127" w:type="dxa"/>
            <w:tcBorders>
              <w:top w:val="single" w:sz="4" w:space="0" w:color="000000"/>
              <w:left w:val="single" w:sz="4" w:space="0" w:color="000000"/>
              <w:bottom w:val="single" w:sz="4" w:space="0" w:color="000000"/>
              <w:right w:val="single" w:sz="4" w:space="0" w:color="000000"/>
            </w:tcBorders>
          </w:tcPr>
          <w:p w14:paraId="72B9D897" w14:textId="77777777" w:rsidR="001E13C2" w:rsidRPr="00593CC5" w:rsidRDefault="001E13C2">
            <w:pPr>
              <w:kinsoku w:val="0"/>
              <w:overflowPunct w:val="0"/>
              <w:autoSpaceDE w:val="0"/>
              <w:autoSpaceDN w:val="0"/>
              <w:adjustRightInd w:val="0"/>
              <w:spacing w:before="1" w:after="0" w:line="240" w:lineRule="auto"/>
              <w:ind w:left="162" w:right="159"/>
              <w:jc w:val="center"/>
              <w:rPr>
                <w:rFonts w:cs="Calibri"/>
                <w:sz w:val="20"/>
              </w:rPr>
            </w:pPr>
            <w:r w:rsidRPr="00593CC5">
              <w:rPr>
                <w:rFonts w:cs="Calibri"/>
                <w:sz w:val="20"/>
              </w:rPr>
              <w:t>12 (18.8)</w:t>
            </w:r>
          </w:p>
        </w:tc>
        <w:tc>
          <w:tcPr>
            <w:tcW w:w="2252" w:type="dxa"/>
            <w:tcBorders>
              <w:top w:val="single" w:sz="4" w:space="0" w:color="000000"/>
              <w:left w:val="single" w:sz="4" w:space="0" w:color="000000"/>
              <w:bottom w:val="single" w:sz="4" w:space="0" w:color="000000"/>
              <w:right w:val="single" w:sz="4" w:space="0" w:color="000000"/>
            </w:tcBorders>
          </w:tcPr>
          <w:p w14:paraId="5EB718D5" w14:textId="77777777" w:rsidR="001E13C2" w:rsidRPr="00593CC5" w:rsidRDefault="001E13C2">
            <w:pPr>
              <w:kinsoku w:val="0"/>
              <w:overflowPunct w:val="0"/>
              <w:autoSpaceDE w:val="0"/>
              <w:autoSpaceDN w:val="0"/>
              <w:adjustRightInd w:val="0"/>
              <w:spacing w:before="1" w:after="0" w:line="240" w:lineRule="auto"/>
              <w:ind w:left="687" w:right="686"/>
              <w:jc w:val="center"/>
              <w:rPr>
                <w:rFonts w:cs="Calibri"/>
                <w:sz w:val="20"/>
              </w:rPr>
            </w:pPr>
            <w:r w:rsidRPr="00593CC5">
              <w:rPr>
                <w:rFonts w:cs="Calibri"/>
                <w:sz w:val="20"/>
              </w:rPr>
              <w:t>36 (19.3)</w:t>
            </w:r>
          </w:p>
        </w:tc>
      </w:tr>
      <w:tr w:rsidR="001E13C2" w:rsidRPr="00593CC5" w14:paraId="379D6A3F"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13750EFB" w14:textId="77777777" w:rsidR="001E13C2" w:rsidRPr="00593CC5" w:rsidRDefault="001E13C2">
            <w:pPr>
              <w:kinsoku w:val="0"/>
              <w:overflowPunct w:val="0"/>
              <w:autoSpaceDE w:val="0"/>
              <w:autoSpaceDN w:val="0"/>
              <w:adjustRightInd w:val="0"/>
              <w:spacing w:after="0" w:line="243" w:lineRule="exact"/>
              <w:ind w:left="108"/>
              <w:rPr>
                <w:rFonts w:cs="Calibri"/>
                <w:b/>
                <w:bCs/>
                <w:sz w:val="20"/>
              </w:rPr>
            </w:pPr>
            <w:r w:rsidRPr="00593CC5">
              <w:rPr>
                <w:rFonts w:cs="Calibri"/>
                <w:b/>
                <w:bCs/>
                <w:sz w:val="20"/>
              </w:rPr>
              <w:t>Gender, n (%)</w:t>
            </w:r>
          </w:p>
        </w:tc>
        <w:tc>
          <w:tcPr>
            <w:tcW w:w="2281" w:type="dxa"/>
            <w:tcBorders>
              <w:top w:val="single" w:sz="4" w:space="0" w:color="000000"/>
              <w:left w:val="single" w:sz="4" w:space="0" w:color="000000"/>
              <w:bottom w:val="single" w:sz="4" w:space="0" w:color="000000"/>
              <w:right w:val="single" w:sz="4" w:space="0" w:color="000000"/>
            </w:tcBorders>
          </w:tcPr>
          <w:p w14:paraId="0CCC804A" w14:textId="77777777" w:rsidR="001E13C2" w:rsidRPr="00593CC5" w:rsidRDefault="001E13C2">
            <w:pPr>
              <w:kinsoku w:val="0"/>
              <w:overflowPunct w:val="0"/>
              <w:autoSpaceDE w:val="0"/>
              <w:autoSpaceDN w:val="0"/>
              <w:adjustRightInd w:val="0"/>
              <w:spacing w:after="0" w:line="240" w:lineRule="auto"/>
              <w:rPr>
                <w:sz w:val="20"/>
              </w:rPr>
            </w:pPr>
          </w:p>
        </w:tc>
        <w:tc>
          <w:tcPr>
            <w:tcW w:w="2127" w:type="dxa"/>
            <w:tcBorders>
              <w:top w:val="single" w:sz="4" w:space="0" w:color="000000"/>
              <w:left w:val="single" w:sz="4" w:space="0" w:color="000000"/>
              <w:bottom w:val="single" w:sz="4" w:space="0" w:color="000000"/>
              <w:right w:val="single" w:sz="4" w:space="0" w:color="000000"/>
            </w:tcBorders>
          </w:tcPr>
          <w:p w14:paraId="1C6246D7" w14:textId="77777777" w:rsidR="001E13C2" w:rsidRPr="00593CC5" w:rsidRDefault="001E13C2">
            <w:pPr>
              <w:kinsoku w:val="0"/>
              <w:overflowPunct w:val="0"/>
              <w:autoSpaceDE w:val="0"/>
              <w:autoSpaceDN w:val="0"/>
              <w:adjustRightInd w:val="0"/>
              <w:spacing w:after="0" w:line="240" w:lineRule="auto"/>
              <w:rPr>
                <w:sz w:val="20"/>
              </w:rPr>
            </w:pPr>
          </w:p>
        </w:tc>
        <w:tc>
          <w:tcPr>
            <w:tcW w:w="2252" w:type="dxa"/>
            <w:tcBorders>
              <w:top w:val="single" w:sz="4" w:space="0" w:color="000000"/>
              <w:left w:val="single" w:sz="4" w:space="0" w:color="000000"/>
              <w:bottom w:val="single" w:sz="4" w:space="0" w:color="000000"/>
              <w:right w:val="single" w:sz="4" w:space="0" w:color="000000"/>
            </w:tcBorders>
          </w:tcPr>
          <w:p w14:paraId="0144632D" w14:textId="77777777" w:rsidR="001E13C2" w:rsidRPr="00593CC5" w:rsidRDefault="001E13C2">
            <w:pPr>
              <w:kinsoku w:val="0"/>
              <w:overflowPunct w:val="0"/>
              <w:autoSpaceDE w:val="0"/>
              <w:autoSpaceDN w:val="0"/>
              <w:adjustRightInd w:val="0"/>
              <w:spacing w:after="0" w:line="240" w:lineRule="auto"/>
              <w:rPr>
                <w:sz w:val="20"/>
              </w:rPr>
            </w:pPr>
          </w:p>
        </w:tc>
      </w:tr>
      <w:tr w:rsidR="001E13C2" w:rsidRPr="00593CC5" w14:paraId="1DADDAAB"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2D01D5DF" w14:textId="77777777" w:rsidR="001E13C2" w:rsidRPr="00593CC5" w:rsidRDefault="001E13C2">
            <w:pPr>
              <w:kinsoku w:val="0"/>
              <w:overflowPunct w:val="0"/>
              <w:autoSpaceDE w:val="0"/>
              <w:autoSpaceDN w:val="0"/>
              <w:adjustRightInd w:val="0"/>
              <w:spacing w:before="1" w:after="0" w:line="242" w:lineRule="exact"/>
              <w:ind w:left="245"/>
              <w:rPr>
                <w:rFonts w:cs="Calibri"/>
                <w:spacing w:val="-4"/>
                <w:sz w:val="20"/>
              </w:rPr>
            </w:pPr>
            <w:r w:rsidRPr="00593CC5">
              <w:rPr>
                <w:rFonts w:cs="Calibri"/>
                <w:spacing w:val="-4"/>
                <w:sz w:val="20"/>
              </w:rPr>
              <w:t>Male</w:t>
            </w:r>
          </w:p>
        </w:tc>
        <w:tc>
          <w:tcPr>
            <w:tcW w:w="2281" w:type="dxa"/>
            <w:tcBorders>
              <w:top w:val="single" w:sz="4" w:space="0" w:color="000000"/>
              <w:left w:val="single" w:sz="4" w:space="0" w:color="000000"/>
              <w:bottom w:val="single" w:sz="4" w:space="0" w:color="000000"/>
              <w:right w:val="single" w:sz="4" w:space="0" w:color="000000"/>
            </w:tcBorders>
          </w:tcPr>
          <w:p w14:paraId="3A7688EE" w14:textId="77777777" w:rsidR="001E13C2" w:rsidRPr="00593CC5" w:rsidRDefault="001E13C2">
            <w:pPr>
              <w:kinsoku w:val="0"/>
              <w:overflowPunct w:val="0"/>
              <w:autoSpaceDE w:val="0"/>
              <w:autoSpaceDN w:val="0"/>
              <w:adjustRightInd w:val="0"/>
              <w:spacing w:before="1" w:after="0" w:line="242" w:lineRule="exact"/>
              <w:ind w:left="117" w:right="115"/>
              <w:jc w:val="center"/>
              <w:rPr>
                <w:rFonts w:cs="Calibri"/>
                <w:sz w:val="20"/>
              </w:rPr>
            </w:pPr>
            <w:r w:rsidRPr="00593CC5">
              <w:rPr>
                <w:rFonts w:cs="Calibri"/>
                <w:sz w:val="20"/>
              </w:rPr>
              <w:t>68 (55.3)</w:t>
            </w:r>
          </w:p>
        </w:tc>
        <w:tc>
          <w:tcPr>
            <w:tcW w:w="2127" w:type="dxa"/>
            <w:tcBorders>
              <w:top w:val="single" w:sz="4" w:space="0" w:color="000000"/>
              <w:left w:val="single" w:sz="4" w:space="0" w:color="000000"/>
              <w:bottom w:val="single" w:sz="4" w:space="0" w:color="000000"/>
              <w:right w:val="single" w:sz="4" w:space="0" w:color="000000"/>
            </w:tcBorders>
          </w:tcPr>
          <w:p w14:paraId="706FDFC9" w14:textId="77777777" w:rsidR="001E13C2" w:rsidRPr="00593CC5" w:rsidRDefault="001E13C2">
            <w:pPr>
              <w:kinsoku w:val="0"/>
              <w:overflowPunct w:val="0"/>
              <w:autoSpaceDE w:val="0"/>
              <w:autoSpaceDN w:val="0"/>
              <w:adjustRightInd w:val="0"/>
              <w:spacing w:before="1" w:after="0" w:line="242" w:lineRule="exact"/>
              <w:ind w:left="162" w:right="159"/>
              <w:jc w:val="center"/>
              <w:rPr>
                <w:rFonts w:cs="Calibri"/>
                <w:sz w:val="20"/>
              </w:rPr>
            </w:pPr>
            <w:r w:rsidRPr="00593CC5">
              <w:rPr>
                <w:rFonts w:cs="Calibri"/>
                <w:sz w:val="20"/>
              </w:rPr>
              <w:t>30 (46.9)</w:t>
            </w:r>
          </w:p>
        </w:tc>
        <w:tc>
          <w:tcPr>
            <w:tcW w:w="2252" w:type="dxa"/>
            <w:tcBorders>
              <w:top w:val="single" w:sz="4" w:space="0" w:color="000000"/>
              <w:left w:val="single" w:sz="4" w:space="0" w:color="000000"/>
              <w:bottom w:val="single" w:sz="4" w:space="0" w:color="000000"/>
              <w:right w:val="single" w:sz="4" w:space="0" w:color="000000"/>
            </w:tcBorders>
          </w:tcPr>
          <w:p w14:paraId="0EE90D3F" w14:textId="77777777" w:rsidR="001E13C2" w:rsidRPr="00593CC5" w:rsidRDefault="001E13C2">
            <w:pPr>
              <w:kinsoku w:val="0"/>
              <w:overflowPunct w:val="0"/>
              <w:autoSpaceDE w:val="0"/>
              <w:autoSpaceDN w:val="0"/>
              <w:adjustRightInd w:val="0"/>
              <w:spacing w:before="1" w:after="0" w:line="242" w:lineRule="exact"/>
              <w:ind w:left="687" w:right="686"/>
              <w:jc w:val="center"/>
              <w:rPr>
                <w:rFonts w:cs="Calibri"/>
                <w:sz w:val="20"/>
              </w:rPr>
            </w:pPr>
            <w:r w:rsidRPr="00593CC5">
              <w:rPr>
                <w:rFonts w:cs="Calibri"/>
                <w:sz w:val="20"/>
              </w:rPr>
              <w:t>98 (52.4)</w:t>
            </w:r>
          </w:p>
        </w:tc>
      </w:tr>
      <w:tr w:rsidR="001E13C2" w:rsidRPr="00593CC5" w14:paraId="69B6C778"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31AA8F1D" w14:textId="77777777" w:rsidR="001E13C2" w:rsidRPr="00593CC5" w:rsidRDefault="001E13C2">
            <w:pPr>
              <w:kinsoku w:val="0"/>
              <w:overflowPunct w:val="0"/>
              <w:autoSpaceDE w:val="0"/>
              <w:autoSpaceDN w:val="0"/>
              <w:adjustRightInd w:val="0"/>
              <w:spacing w:before="1" w:after="0" w:line="242" w:lineRule="exact"/>
              <w:ind w:left="245"/>
              <w:rPr>
                <w:rFonts w:cs="Calibri"/>
                <w:spacing w:val="-2"/>
                <w:sz w:val="20"/>
              </w:rPr>
            </w:pPr>
            <w:r w:rsidRPr="00593CC5">
              <w:rPr>
                <w:rFonts w:cs="Calibri"/>
                <w:spacing w:val="-2"/>
                <w:sz w:val="20"/>
              </w:rPr>
              <w:t>Female</w:t>
            </w:r>
          </w:p>
        </w:tc>
        <w:tc>
          <w:tcPr>
            <w:tcW w:w="2281" w:type="dxa"/>
            <w:tcBorders>
              <w:top w:val="single" w:sz="4" w:space="0" w:color="000000"/>
              <w:left w:val="single" w:sz="4" w:space="0" w:color="000000"/>
              <w:bottom w:val="single" w:sz="4" w:space="0" w:color="000000"/>
              <w:right w:val="single" w:sz="4" w:space="0" w:color="000000"/>
            </w:tcBorders>
          </w:tcPr>
          <w:p w14:paraId="77411FD4" w14:textId="77777777" w:rsidR="001E13C2" w:rsidRPr="00593CC5" w:rsidRDefault="001E13C2">
            <w:pPr>
              <w:kinsoku w:val="0"/>
              <w:overflowPunct w:val="0"/>
              <w:autoSpaceDE w:val="0"/>
              <w:autoSpaceDN w:val="0"/>
              <w:adjustRightInd w:val="0"/>
              <w:spacing w:before="1" w:after="0" w:line="242" w:lineRule="exact"/>
              <w:ind w:left="117" w:right="115"/>
              <w:jc w:val="center"/>
              <w:rPr>
                <w:rFonts w:cs="Calibri"/>
                <w:sz w:val="20"/>
              </w:rPr>
            </w:pPr>
            <w:r w:rsidRPr="00593CC5">
              <w:rPr>
                <w:rFonts w:cs="Calibri"/>
                <w:sz w:val="20"/>
              </w:rPr>
              <w:t>55 (44.7)</w:t>
            </w:r>
          </w:p>
        </w:tc>
        <w:tc>
          <w:tcPr>
            <w:tcW w:w="2127" w:type="dxa"/>
            <w:tcBorders>
              <w:top w:val="single" w:sz="4" w:space="0" w:color="000000"/>
              <w:left w:val="single" w:sz="4" w:space="0" w:color="000000"/>
              <w:bottom w:val="single" w:sz="4" w:space="0" w:color="000000"/>
              <w:right w:val="single" w:sz="4" w:space="0" w:color="000000"/>
            </w:tcBorders>
          </w:tcPr>
          <w:p w14:paraId="186EEF1F" w14:textId="77777777" w:rsidR="001E13C2" w:rsidRPr="00593CC5" w:rsidRDefault="001E13C2">
            <w:pPr>
              <w:kinsoku w:val="0"/>
              <w:overflowPunct w:val="0"/>
              <w:autoSpaceDE w:val="0"/>
              <w:autoSpaceDN w:val="0"/>
              <w:adjustRightInd w:val="0"/>
              <w:spacing w:before="1" w:after="0" w:line="242" w:lineRule="exact"/>
              <w:ind w:left="162" w:right="159"/>
              <w:jc w:val="center"/>
              <w:rPr>
                <w:rFonts w:cs="Calibri"/>
                <w:sz w:val="20"/>
              </w:rPr>
            </w:pPr>
            <w:r w:rsidRPr="00593CC5">
              <w:rPr>
                <w:rFonts w:cs="Calibri"/>
                <w:sz w:val="20"/>
              </w:rPr>
              <w:t>34 (53.1)</w:t>
            </w:r>
          </w:p>
        </w:tc>
        <w:tc>
          <w:tcPr>
            <w:tcW w:w="2252" w:type="dxa"/>
            <w:tcBorders>
              <w:top w:val="single" w:sz="4" w:space="0" w:color="000000"/>
              <w:left w:val="single" w:sz="4" w:space="0" w:color="000000"/>
              <w:bottom w:val="single" w:sz="4" w:space="0" w:color="000000"/>
              <w:right w:val="single" w:sz="4" w:space="0" w:color="000000"/>
            </w:tcBorders>
          </w:tcPr>
          <w:p w14:paraId="72D82956" w14:textId="77777777" w:rsidR="001E13C2" w:rsidRPr="00593CC5" w:rsidRDefault="001E13C2">
            <w:pPr>
              <w:kinsoku w:val="0"/>
              <w:overflowPunct w:val="0"/>
              <w:autoSpaceDE w:val="0"/>
              <w:autoSpaceDN w:val="0"/>
              <w:adjustRightInd w:val="0"/>
              <w:spacing w:before="1" w:after="0" w:line="242" w:lineRule="exact"/>
              <w:ind w:left="687" w:right="686"/>
              <w:jc w:val="center"/>
              <w:rPr>
                <w:rFonts w:cs="Calibri"/>
                <w:sz w:val="20"/>
              </w:rPr>
            </w:pPr>
            <w:r w:rsidRPr="00593CC5">
              <w:rPr>
                <w:rFonts w:cs="Calibri"/>
                <w:sz w:val="20"/>
              </w:rPr>
              <w:t>89 (47.6)</w:t>
            </w:r>
          </w:p>
        </w:tc>
      </w:tr>
      <w:tr w:rsidR="001E13C2" w:rsidRPr="00593CC5" w14:paraId="06566773" w14:textId="77777777" w:rsidTr="0005466A">
        <w:trPr>
          <w:trHeight w:val="264"/>
        </w:trPr>
        <w:tc>
          <w:tcPr>
            <w:tcW w:w="2701" w:type="dxa"/>
            <w:tcBorders>
              <w:top w:val="single" w:sz="4" w:space="0" w:color="000000"/>
              <w:left w:val="single" w:sz="4" w:space="0" w:color="000000"/>
              <w:bottom w:val="single" w:sz="4" w:space="0" w:color="000000"/>
              <w:right w:val="single" w:sz="4" w:space="0" w:color="000000"/>
            </w:tcBorders>
          </w:tcPr>
          <w:p w14:paraId="240F30EB" w14:textId="77777777" w:rsidR="001E13C2" w:rsidRPr="00593CC5" w:rsidRDefault="001E13C2">
            <w:pPr>
              <w:kinsoku w:val="0"/>
              <w:overflowPunct w:val="0"/>
              <w:autoSpaceDE w:val="0"/>
              <w:autoSpaceDN w:val="0"/>
              <w:adjustRightInd w:val="0"/>
              <w:spacing w:before="2" w:after="0" w:line="242" w:lineRule="exact"/>
              <w:ind w:left="108"/>
              <w:rPr>
                <w:rFonts w:cs="Calibri"/>
                <w:b/>
                <w:bCs/>
                <w:sz w:val="20"/>
              </w:rPr>
            </w:pPr>
            <w:r w:rsidRPr="00593CC5">
              <w:rPr>
                <w:rFonts w:cs="Calibri"/>
                <w:b/>
                <w:bCs/>
                <w:sz w:val="20"/>
              </w:rPr>
              <w:t>Race, n (%)</w:t>
            </w:r>
          </w:p>
        </w:tc>
        <w:tc>
          <w:tcPr>
            <w:tcW w:w="2281" w:type="dxa"/>
            <w:tcBorders>
              <w:top w:val="single" w:sz="4" w:space="0" w:color="000000"/>
              <w:left w:val="single" w:sz="4" w:space="0" w:color="000000"/>
              <w:bottom w:val="single" w:sz="4" w:space="0" w:color="000000"/>
              <w:right w:val="single" w:sz="4" w:space="0" w:color="000000"/>
            </w:tcBorders>
          </w:tcPr>
          <w:p w14:paraId="75D4778B" w14:textId="77777777" w:rsidR="001E13C2" w:rsidRPr="00593CC5" w:rsidRDefault="001E13C2">
            <w:pPr>
              <w:kinsoku w:val="0"/>
              <w:overflowPunct w:val="0"/>
              <w:autoSpaceDE w:val="0"/>
              <w:autoSpaceDN w:val="0"/>
              <w:adjustRightInd w:val="0"/>
              <w:spacing w:after="0" w:line="240" w:lineRule="auto"/>
              <w:rPr>
                <w:sz w:val="20"/>
              </w:rPr>
            </w:pPr>
          </w:p>
        </w:tc>
        <w:tc>
          <w:tcPr>
            <w:tcW w:w="2127" w:type="dxa"/>
            <w:tcBorders>
              <w:top w:val="single" w:sz="4" w:space="0" w:color="000000"/>
              <w:left w:val="single" w:sz="4" w:space="0" w:color="000000"/>
              <w:bottom w:val="single" w:sz="4" w:space="0" w:color="000000"/>
              <w:right w:val="single" w:sz="4" w:space="0" w:color="000000"/>
            </w:tcBorders>
          </w:tcPr>
          <w:p w14:paraId="72FAF6F8" w14:textId="77777777" w:rsidR="001E13C2" w:rsidRPr="00593CC5" w:rsidRDefault="001E13C2">
            <w:pPr>
              <w:kinsoku w:val="0"/>
              <w:overflowPunct w:val="0"/>
              <w:autoSpaceDE w:val="0"/>
              <w:autoSpaceDN w:val="0"/>
              <w:adjustRightInd w:val="0"/>
              <w:spacing w:after="0" w:line="240" w:lineRule="auto"/>
              <w:rPr>
                <w:sz w:val="20"/>
              </w:rPr>
            </w:pPr>
          </w:p>
        </w:tc>
        <w:tc>
          <w:tcPr>
            <w:tcW w:w="2252" w:type="dxa"/>
            <w:tcBorders>
              <w:top w:val="single" w:sz="4" w:space="0" w:color="000000"/>
              <w:left w:val="single" w:sz="4" w:space="0" w:color="000000"/>
              <w:bottom w:val="single" w:sz="4" w:space="0" w:color="000000"/>
              <w:right w:val="single" w:sz="4" w:space="0" w:color="000000"/>
            </w:tcBorders>
          </w:tcPr>
          <w:p w14:paraId="20E18274" w14:textId="77777777" w:rsidR="001E13C2" w:rsidRPr="00593CC5" w:rsidRDefault="001E13C2">
            <w:pPr>
              <w:kinsoku w:val="0"/>
              <w:overflowPunct w:val="0"/>
              <w:autoSpaceDE w:val="0"/>
              <w:autoSpaceDN w:val="0"/>
              <w:adjustRightInd w:val="0"/>
              <w:spacing w:after="0" w:line="240" w:lineRule="auto"/>
              <w:rPr>
                <w:sz w:val="20"/>
              </w:rPr>
            </w:pPr>
          </w:p>
        </w:tc>
      </w:tr>
      <w:tr w:rsidR="001E13C2" w:rsidRPr="00593CC5" w14:paraId="4826DA06"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3BCB48F2" w14:textId="77777777" w:rsidR="001E13C2" w:rsidRPr="00593CC5" w:rsidRDefault="001E13C2">
            <w:pPr>
              <w:kinsoku w:val="0"/>
              <w:overflowPunct w:val="0"/>
              <w:autoSpaceDE w:val="0"/>
              <w:autoSpaceDN w:val="0"/>
              <w:adjustRightInd w:val="0"/>
              <w:spacing w:before="1" w:after="0" w:line="242" w:lineRule="exact"/>
              <w:ind w:left="245"/>
              <w:rPr>
                <w:rFonts w:cs="Calibri"/>
                <w:spacing w:val="-2"/>
                <w:sz w:val="20"/>
              </w:rPr>
            </w:pPr>
            <w:r w:rsidRPr="00593CC5">
              <w:rPr>
                <w:rFonts w:cs="Calibri"/>
                <w:spacing w:val="-2"/>
                <w:sz w:val="20"/>
              </w:rPr>
              <w:t>White</w:t>
            </w:r>
          </w:p>
        </w:tc>
        <w:tc>
          <w:tcPr>
            <w:tcW w:w="2281" w:type="dxa"/>
            <w:tcBorders>
              <w:top w:val="single" w:sz="4" w:space="0" w:color="000000"/>
              <w:left w:val="single" w:sz="4" w:space="0" w:color="000000"/>
              <w:bottom w:val="single" w:sz="4" w:space="0" w:color="000000"/>
              <w:right w:val="single" w:sz="4" w:space="0" w:color="000000"/>
            </w:tcBorders>
          </w:tcPr>
          <w:p w14:paraId="00BA3F2A" w14:textId="77777777" w:rsidR="001E13C2" w:rsidRPr="00593CC5" w:rsidRDefault="001E13C2">
            <w:pPr>
              <w:kinsoku w:val="0"/>
              <w:overflowPunct w:val="0"/>
              <w:autoSpaceDE w:val="0"/>
              <w:autoSpaceDN w:val="0"/>
              <w:adjustRightInd w:val="0"/>
              <w:spacing w:before="1" w:after="0" w:line="242" w:lineRule="exact"/>
              <w:ind w:left="117" w:right="115"/>
              <w:jc w:val="center"/>
              <w:rPr>
                <w:rFonts w:cs="Calibri"/>
                <w:sz w:val="20"/>
              </w:rPr>
            </w:pPr>
            <w:r w:rsidRPr="00593CC5">
              <w:rPr>
                <w:rFonts w:cs="Calibri"/>
                <w:sz w:val="20"/>
              </w:rPr>
              <w:t>72 (58.5)</w:t>
            </w:r>
          </w:p>
        </w:tc>
        <w:tc>
          <w:tcPr>
            <w:tcW w:w="2127" w:type="dxa"/>
            <w:tcBorders>
              <w:top w:val="single" w:sz="4" w:space="0" w:color="000000"/>
              <w:left w:val="single" w:sz="4" w:space="0" w:color="000000"/>
              <w:bottom w:val="single" w:sz="4" w:space="0" w:color="000000"/>
              <w:right w:val="single" w:sz="4" w:space="0" w:color="000000"/>
            </w:tcBorders>
          </w:tcPr>
          <w:p w14:paraId="0415DA2B" w14:textId="77777777" w:rsidR="001E13C2" w:rsidRPr="00593CC5" w:rsidRDefault="001E13C2">
            <w:pPr>
              <w:kinsoku w:val="0"/>
              <w:overflowPunct w:val="0"/>
              <w:autoSpaceDE w:val="0"/>
              <w:autoSpaceDN w:val="0"/>
              <w:adjustRightInd w:val="0"/>
              <w:spacing w:before="1" w:after="0" w:line="242" w:lineRule="exact"/>
              <w:ind w:left="162" w:right="159"/>
              <w:jc w:val="center"/>
              <w:rPr>
                <w:rFonts w:cs="Calibri"/>
                <w:sz w:val="20"/>
              </w:rPr>
            </w:pPr>
            <w:r w:rsidRPr="00593CC5">
              <w:rPr>
                <w:rFonts w:cs="Calibri"/>
                <w:sz w:val="20"/>
              </w:rPr>
              <w:t>44 (68.8)</w:t>
            </w:r>
          </w:p>
        </w:tc>
        <w:tc>
          <w:tcPr>
            <w:tcW w:w="2252" w:type="dxa"/>
            <w:tcBorders>
              <w:top w:val="single" w:sz="4" w:space="0" w:color="000000"/>
              <w:left w:val="single" w:sz="4" w:space="0" w:color="000000"/>
              <w:bottom w:val="single" w:sz="4" w:space="0" w:color="000000"/>
              <w:right w:val="single" w:sz="4" w:space="0" w:color="000000"/>
            </w:tcBorders>
          </w:tcPr>
          <w:p w14:paraId="555F6808" w14:textId="77777777" w:rsidR="001E13C2" w:rsidRPr="00593CC5" w:rsidRDefault="001E13C2">
            <w:pPr>
              <w:kinsoku w:val="0"/>
              <w:overflowPunct w:val="0"/>
              <w:autoSpaceDE w:val="0"/>
              <w:autoSpaceDN w:val="0"/>
              <w:adjustRightInd w:val="0"/>
              <w:spacing w:before="1" w:after="0" w:line="242" w:lineRule="exact"/>
              <w:ind w:left="687" w:right="686"/>
              <w:jc w:val="center"/>
              <w:rPr>
                <w:rFonts w:cs="Calibri"/>
                <w:sz w:val="20"/>
              </w:rPr>
            </w:pPr>
            <w:r w:rsidRPr="00593CC5">
              <w:rPr>
                <w:rFonts w:cs="Calibri"/>
                <w:sz w:val="20"/>
              </w:rPr>
              <w:t>116 (62.0)</w:t>
            </w:r>
          </w:p>
        </w:tc>
      </w:tr>
      <w:tr w:rsidR="001E13C2" w:rsidRPr="00593CC5" w14:paraId="541559B9" w14:textId="77777777" w:rsidTr="0005466A">
        <w:trPr>
          <w:trHeight w:val="266"/>
        </w:trPr>
        <w:tc>
          <w:tcPr>
            <w:tcW w:w="2701" w:type="dxa"/>
            <w:tcBorders>
              <w:top w:val="single" w:sz="4" w:space="0" w:color="000000"/>
              <w:left w:val="single" w:sz="4" w:space="0" w:color="000000"/>
              <w:bottom w:val="single" w:sz="4" w:space="0" w:color="000000"/>
              <w:right w:val="single" w:sz="4" w:space="0" w:color="000000"/>
            </w:tcBorders>
          </w:tcPr>
          <w:p w14:paraId="1586EDFA" w14:textId="77777777" w:rsidR="001E13C2" w:rsidRPr="00593CC5" w:rsidRDefault="001E13C2">
            <w:pPr>
              <w:kinsoku w:val="0"/>
              <w:overflowPunct w:val="0"/>
              <w:autoSpaceDE w:val="0"/>
              <w:autoSpaceDN w:val="0"/>
              <w:adjustRightInd w:val="0"/>
              <w:spacing w:before="1" w:after="0" w:line="240" w:lineRule="auto"/>
              <w:ind w:left="245"/>
              <w:rPr>
                <w:rFonts w:cs="Calibri"/>
                <w:sz w:val="20"/>
              </w:rPr>
            </w:pPr>
            <w:r w:rsidRPr="00593CC5">
              <w:rPr>
                <w:rFonts w:cs="Calibri"/>
                <w:sz w:val="20"/>
              </w:rPr>
              <w:t>Black or African American</w:t>
            </w:r>
          </w:p>
        </w:tc>
        <w:tc>
          <w:tcPr>
            <w:tcW w:w="2281" w:type="dxa"/>
            <w:tcBorders>
              <w:top w:val="single" w:sz="4" w:space="0" w:color="000000"/>
              <w:left w:val="single" w:sz="4" w:space="0" w:color="000000"/>
              <w:bottom w:val="single" w:sz="4" w:space="0" w:color="000000"/>
              <w:right w:val="single" w:sz="4" w:space="0" w:color="000000"/>
            </w:tcBorders>
          </w:tcPr>
          <w:p w14:paraId="74644278" w14:textId="77777777" w:rsidR="001E13C2" w:rsidRPr="00593CC5" w:rsidRDefault="001E13C2">
            <w:pPr>
              <w:kinsoku w:val="0"/>
              <w:overflowPunct w:val="0"/>
              <w:autoSpaceDE w:val="0"/>
              <w:autoSpaceDN w:val="0"/>
              <w:adjustRightInd w:val="0"/>
              <w:spacing w:before="1" w:after="0" w:line="240" w:lineRule="auto"/>
              <w:ind w:left="119" w:right="114"/>
              <w:jc w:val="center"/>
              <w:rPr>
                <w:rFonts w:cs="Calibri"/>
                <w:sz w:val="20"/>
              </w:rPr>
            </w:pPr>
            <w:r w:rsidRPr="00593CC5">
              <w:rPr>
                <w:rFonts w:cs="Calibri"/>
                <w:sz w:val="20"/>
              </w:rPr>
              <w:t>9 (7.3)</w:t>
            </w:r>
          </w:p>
        </w:tc>
        <w:tc>
          <w:tcPr>
            <w:tcW w:w="2127" w:type="dxa"/>
            <w:tcBorders>
              <w:top w:val="single" w:sz="4" w:space="0" w:color="000000"/>
              <w:left w:val="single" w:sz="4" w:space="0" w:color="000000"/>
              <w:bottom w:val="single" w:sz="4" w:space="0" w:color="000000"/>
              <w:right w:val="single" w:sz="4" w:space="0" w:color="000000"/>
            </w:tcBorders>
          </w:tcPr>
          <w:p w14:paraId="4556EDB4" w14:textId="77777777" w:rsidR="001E13C2" w:rsidRPr="00593CC5" w:rsidRDefault="001E13C2">
            <w:pPr>
              <w:kinsoku w:val="0"/>
              <w:overflowPunct w:val="0"/>
              <w:autoSpaceDE w:val="0"/>
              <w:autoSpaceDN w:val="0"/>
              <w:adjustRightInd w:val="0"/>
              <w:spacing w:before="1" w:after="0" w:line="240" w:lineRule="auto"/>
              <w:ind w:left="160" w:right="159"/>
              <w:jc w:val="center"/>
              <w:rPr>
                <w:rFonts w:cs="Calibri"/>
                <w:sz w:val="20"/>
              </w:rPr>
            </w:pPr>
            <w:r w:rsidRPr="00593CC5">
              <w:rPr>
                <w:rFonts w:cs="Calibri"/>
                <w:sz w:val="20"/>
              </w:rPr>
              <w:t>2 (3.1)</w:t>
            </w:r>
          </w:p>
        </w:tc>
        <w:tc>
          <w:tcPr>
            <w:tcW w:w="2252" w:type="dxa"/>
            <w:tcBorders>
              <w:top w:val="single" w:sz="4" w:space="0" w:color="000000"/>
              <w:left w:val="single" w:sz="4" w:space="0" w:color="000000"/>
              <w:bottom w:val="single" w:sz="4" w:space="0" w:color="000000"/>
              <w:right w:val="single" w:sz="4" w:space="0" w:color="000000"/>
            </w:tcBorders>
          </w:tcPr>
          <w:p w14:paraId="32E9F2D3" w14:textId="77777777" w:rsidR="001E13C2" w:rsidRPr="00593CC5" w:rsidRDefault="001E13C2">
            <w:pPr>
              <w:kinsoku w:val="0"/>
              <w:overflowPunct w:val="0"/>
              <w:autoSpaceDE w:val="0"/>
              <w:autoSpaceDN w:val="0"/>
              <w:adjustRightInd w:val="0"/>
              <w:spacing w:before="1" w:after="0" w:line="240" w:lineRule="auto"/>
              <w:ind w:left="687" w:right="684"/>
              <w:jc w:val="center"/>
              <w:rPr>
                <w:rFonts w:cs="Calibri"/>
                <w:sz w:val="20"/>
              </w:rPr>
            </w:pPr>
            <w:r w:rsidRPr="00593CC5">
              <w:rPr>
                <w:rFonts w:cs="Calibri"/>
                <w:sz w:val="20"/>
              </w:rPr>
              <w:t>11 (5.9)</w:t>
            </w:r>
          </w:p>
        </w:tc>
      </w:tr>
      <w:tr w:rsidR="001E13C2" w:rsidRPr="00593CC5" w14:paraId="4264179A"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521FFC93" w14:textId="77777777" w:rsidR="001E13C2" w:rsidRPr="00593CC5" w:rsidRDefault="001E13C2">
            <w:pPr>
              <w:kinsoku w:val="0"/>
              <w:overflowPunct w:val="0"/>
              <w:autoSpaceDE w:val="0"/>
              <w:autoSpaceDN w:val="0"/>
              <w:adjustRightInd w:val="0"/>
              <w:spacing w:after="0" w:line="243" w:lineRule="exact"/>
              <w:ind w:left="245"/>
              <w:rPr>
                <w:rFonts w:cs="Calibri"/>
                <w:spacing w:val="-2"/>
                <w:sz w:val="20"/>
              </w:rPr>
            </w:pPr>
            <w:r w:rsidRPr="00593CC5">
              <w:rPr>
                <w:rFonts w:cs="Calibri"/>
                <w:spacing w:val="-2"/>
                <w:sz w:val="20"/>
              </w:rPr>
              <w:t>Asian</w:t>
            </w:r>
          </w:p>
        </w:tc>
        <w:tc>
          <w:tcPr>
            <w:tcW w:w="2281" w:type="dxa"/>
            <w:tcBorders>
              <w:top w:val="single" w:sz="4" w:space="0" w:color="000000"/>
              <w:left w:val="single" w:sz="4" w:space="0" w:color="000000"/>
              <w:bottom w:val="single" w:sz="4" w:space="0" w:color="000000"/>
              <w:right w:val="single" w:sz="4" w:space="0" w:color="000000"/>
            </w:tcBorders>
          </w:tcPr>
          <w:p w14:paraId="30298299" w14:textId="77777777" w:rsidR="001E13C2" w:rsidRPr="00593CC5" w:rsidRDefault="001E13C2">
            <w:pPr>
              <w:kinsoku w:val="0"/>
              <w:overflowPunct w:val="0"/>
              <w:autoSpaceDE w:val="0"/>
              <w:autoSpaceDN w:val="0"/>
              <w:adjustRightInd w:val="0"/>
              <w:spacing w:after="0" w:line="243" w:lineRule="exact"/>
              <w:ind w:left="117" w:right="115"/>
              <w:jc w:val="center"/>
              <w:rPr>
                <w:rFonts w:cs="Calibri"/>
                <w:sz w:val="20"/>
              </w:rPr>
            </w:pPr>
            <w:r w:rsidRPr="00593CC5">
              <w:rPr>
                <w:rFonts w:cs="Calibri"/>
                <w:sz w:val="20"/>
              </w:rPr>
              <w:t>16 (13.0)</w:t>
            </w:r>
          </w:p>
        </w:tc>
        <w:tc>
          <w:tcPr>
            <w:tcW w:w="2127" w:type="dxa"/>
            <w:tcBorders>
              <w:top w:val="single" w:sz="4" w:space="0" w:color="000000"/>
              <w:left w:val="single" w:sz="4" w:space="0" w:color="000000"/>
              <w:bottom w:val="single" w:sz="4" w:space="0" w:color="000000"/>
              <w:right w:val="single" w:sz="4" w:space="0" w:color="000000"/>
            </w:tcBorders>
          </w:tcPr>
          <w:p w14:paraId="4383F056" w14:textId="77777777" w:rsidR="001E13C2" w:rsidRPr="00593CC5" w:rsidRDefault="001E13C2">
            <w:pPr>
              <w:kinsoku w:val="0"/>
              <w:overflowPunct w:val="0"/>
              <w:autoSpaceDE w:val="0"/>
              <w:autoSpaceDN w:val="0"/>
              <w:adjustRightInd w:val="0"/>
              <w:spacing w:after="0" w:line="243" w:lineRule="exact"/>
              <w:ind w:left="160" w:right="159"/>
              <w:jc w:val="center"/>
              <w:rPr>
                <w:rFonts w:cs="Calibri"/>
                <w:sz w:val="20"/>
              </w:rPr>
            </w:pPr>
            <w:r w:rsidRPr="00593CC5">
              <w:rPr>
                <w:rFonts w:cs="Calibri"/>
                <w:sz w:val="20"/>
              </w:rPr>
              <w:t>1 (1.6)</w:t>
            </w:r>
          </w:p>
        </w:tc>
        <w:tc>
          <w:tcPr>
            <w:tcW w:w="2252" w:type="dxa"/>
            <w:tcBorders>
              <w:top w:val="single" w:sz="4" w:space="0" w:color="000000"/>
              <w:left w:val="single" w:sz="4" w:space="0" w:color="000000"/>
              <w:bottom w:val="single" w:sz="4" w:space="0" w:color="000000"/>
              <w:right w:val="single" w:sz="4" w:space="0" w:color="000000"/>
            </w:tcBorders>
          </w:tcPr>
          <w:p w14:paraId="37A7FB65" w14:textId="77777777" w:rsidR="001E13C2" w:rsidRPr="00593CC5" w:rsidRDefault="001E13C2">
            <w:pPr>
              <w:kinsoku w:val="0"/>
              <w:overflowPunct w:val="0"/>
              <w:autoSpaceDE w:val="0"/>
              <w:autoSpaceDN w:val="0"/>
              <w:adjustRightInd w:val="0"/>
              <w:spacing w:after="0" w:line="243" w:lineRule="exact"/>
              <w:ind w:left="687" w:right="684"/>
              <w:jc w:val="center"/>
              <w:rPr>
                <w:rFonts w:cs="Calibri"/>
                <w:sz w:val="20"/>
              </w:rPr>
            </w:pPr>
            <w:r w:rsidRPr="00593CC5">
              <w:rPr>
                <w:rFonts w:cs="Calibri"/>
                <w:sz w:val="20"/>
              </w:rPr>
              <w:t>17 (9.1)</w:t>
            </w:r>
          </w:p>
        </w:tc>
      </w:tr>
      <w:tr w:rsidR="001E13C2" w:rsidRPr="00593CC5" w14:paraId="48445C8A"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14EA347B" w14:textId="77777777" w:rsidR="001E13C2" w:rsidRPr="00593CC5" w:rsidRDefault="001E13C2">
            <w:pPr>
              <w:kinsoku w:val="0"/>
              <w:overflowPunct w:val="0"/>
              <w:autoSpaceDE w:val="0"/>
              <w:autoSpaceDN w:val="0"/>
              <w:adjustRightInd w:val="0"/>
              <w:spacing w:before="1" w:after="0" w:line="242" w:lineRule="exact"/>
              <w:ind w:left="245"/>
              <w:rPr>
                <w:rFonts w:cs="Calibri"/>
                <w:spacing w:val="-2"/>
                <w:sz w:val="20"/>
              </w:rPr>
            </w:pPr>
            <w:r w:rsidRPr="00593CC5">
              <w:rPr>
                <w:rFonts w:cs="Calibri"/>
                <w:spacing w:val="-2"/>
                <w:sz w:val="20"/>
              </w:rPr>
              <w:t>Unknown</w:t>
            </w:r>
          </w:p>
        </w:tc>
        <w:tc>
          <w:tcPr>
            <w:tcW w:w="2281" w:type="dxa"/>
            <w:tcBorders>
              <w:top w:val="single" w:sz="4" w:space="0" w:color="000000"/>
              <w:left w:val="single" w:sz="4" w:space="0" w:color="000000"/>
              <w:bottom w:val="single" w:sz="4" w:space="0" w:color="000000"/>
              <w:right w:val="single" w:sz="4" w:space="0" w:color="000000"/>
            </w:tcBorders>
          </w:tcPr>
          <w:p w14:paraId="77EC1BBC" w14:textId="77777777" w:rsidR="001E13C2" w:rsidRPr="00593CC5" w:rsidRDefault="001E13C2">
            <w:pPr>
              <w:kinsoku w:val="0"/>
              <w:overflowPunct w:val="0"/>
              <w:autoSpaceDE w:val="0"/>
              <w:autoSpaceDN w:val="0"/>
              <w:adjustRightInd w:val="0"/>
              <w:spacing w:before="1" w:after="0" w:line="242" w:lineRule="exact"/>
              <w:ind w:left="119" w:right="114"/>
              <w:jc w:val="center"/>
              <w:rPr>
                <w:rFonts w:cs="Calibri"/>
                <w:sz w:val="20"/>
              </w:rPr>
            </w:pPr>
            <w:r w:rsidRPr="00593CC5">
              <w:rPr>
                <w:rFonts w:cs="Calibri"/>
                <w:sz w:val="20"/>
              </w:rPr>
              <w:t>2 (1.6)</w:t>
            </w:r>
          </w:p>
        </w:tc>
        <w:tc>
          <w:tcPr>
            <w:tcW w:w="2127" w:type="dxa"/>
            <w:tcBorders>
              <w:top w:val="single" w:sz="4" w:space="0" w:color="000000"/>
              <w:left w:val="single" w:sz="4" w:space="0" w:color="000000"/>
              <w:bottom w:val="single" w:sz="4" w:space="0" w:color="000000"/>
              <w:right w:val="single" w:sz="4" w:space="0" w:color="000000"/>
            </w:tcBorders>
          </w:tcPr>
          <w:p w14:paraId="37F0FF52" w14:textId="77777777" w:rsidR="001E13C2" w:rsidRPr="00593CC5" w:rsidRDefault="001E13C2">
            <w:pPr>
              <w:kinsoku w:val="0"/>
              <w:overflowPunct w:val="0"/>
              <w:autoSpaceDE w:val="0"/>
              <w:autoSpaceDN w:val="0"/>
              <w:adjustRightInd w:val="0"/>
              <w:spacing w:before="1" w:after="0" w:line="242" w:lineRule="exact"/>
              <w:ind w:left="160" w:right="159"/>
              <w:jc w:val="center"/>
              <w:rPr>
                <w:rFonts w:cs="Calibri"/>
                <w:sz w:val="20"/>
              </w:rPr>
            </w:pPr>
            <w:r w:rsidRPr="00593CC5">
              <w:rPr>
                <w:rFonts w:cs="Calibri"/>
                <w:sz w:val="20"/>
              </w:rPr>
              <w:t>1 (1.6)</w:t>
            </w:r>
          </w:p>
        </w:tc>
        <w:tc>
          <w:tcPr>
            <w:tcW w:w="2252" w:type="dxa"/>
            <w:tcBorders>
              <w:top w:val="single" w:sz="4" w:space="0" w:color="000000"/>
              <w:left w:val="single" w:sz="4" w:space="0" w:color="000000"/>
              <w:bottom w:val="single" w:sz="4" w:space="0" w:color="000000"/>
              <w:right w:val="single" w:sz="4" w:space="0" w:color="000000"/>
            </w:tcBorders>
          </w:tcPr>
          <w:p w14:paraId="337FC8BA" w14:textId="77777777" w:rsidR="001E13C2" w:rsidRPr="00593CC5" w:rsidRDefault="001E13C2">
            <w:pPr>
              <w:kinsoku w:val="0"/>
              <w:overflowPunct w:val="0"/>
              <w:autoSpaceDE w:val="0"/>
              <w:autoSpaceDN w:val="0"/>
              <w:adjustRightInd w:val="0"/>
              <w:spacing w:before="1" w:after="0" w:line="242" w:lineRule="exact"/>
              <w:ind w:left="687" w:right="684"/>
              <w:jc w:val="center"/>
              <w:rPr>
                <w:rFonts w:cs="Calibri"/>
                <w:sz w:val="20"/>
              </w:rPr>
            </w:pPr>
            <w:r w:rsidRPr="00593CC5">
              <w:rPr>
                <w:rFonts w:cs="Calibri"/>
                <w:sz w:val="20"/>
              </w:rPr>
              <w:t>3 (1.6)</w:t>
            </w:r>
          </w:p>
        </w:tc>
      </w:tr>
      <w:tr w:rsidR="001E13C2" w:rsidRPr="00593CC5" w14:paraId="7A520E81"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019EF33A" w14:textId="77777777" w:rsidR="001E13C2" w:rsidRPr="00593CC5" w:rsidRDefault="001E13C2">
            <w:pPr>
              <w:kinsoku w:val="0"/>
              <w:overflowPunct w:val="0"/>
              <w:autoSpaceDE w:val="0"/>
              <w:autoSpaceDN w:val="0"/>
              <w:adjustRightInd w:val="0"/>
              <w:spacing w:before="1" w:after="0" w:line="242" w:lineRule="exact"/>
              <w:ind w:left="245"/>
              <w:rPr>
                <w:rFonts w:cs="Calibri"/>
                <w:sz w:val="20"/>
              </w:rPr>
            </w:pPr>
            <w:r w:rsidRPr="00593CC5">
              <w:rPr>
                <w:rFonts w:cs="Calibri"/>
                <w:sz w:val="20"/>
              </w:rPr>
              <w:t>Not reported</w:t>
            </w:r>
          </w:p>
        </w:tc>
        <w:tc>
          <w:tcPr>
            <w:tcW w:w="2281" w:type="dxa"/>
            <w:tcBorders>
              <w:top w:val="single" w:sz="4" w:space="0" w:color="000000"/>
              <w:left w:val="single" w:sz="4" w:space="0" w:color="000000"/>
              <w:bottom w:val="single" w:sz="4" w:space="0" w:color="000000"/>
              <w:right w:val="single" w:sz="4" w:space="0" w:color="000000"/>
            </w:tcBorders>
          </w:tcPr>
          <w:p w14:paraId="49E5AA6C" w14:textId="77777777" w:rsidR="001E13C2" w:rsidRPr="00593CC5" w:rsidRDefault="001E13C2">
            <w:pPr>
              <w:kinsoku w:val="0"/>
              <w:overflowPunct w:val="0"/>
              <w:autoSpaceDE w:val="0"/>
              <w:autoSpaceDN w:val="0"/>
              <w:adjustRightInd w:val="0"/>
              <w:spacing w:before="1" w:after="0" w:line="242" w:lineRule="exact"/>
              <w:ind w:left="117" w:right="115"/>
              <w:jc w:val="center"/>
              <w:rPr>
                <w:rFonts w:cs="Calibri"/>
                <w:sz w:val="20"/>
              </w:rPr>
            </w:pPr>
            <w:r w:rsidRPr="00593CC5">
              <w:rPr>
                <w:rFonts w:cs="Calibri"/>
                <w:sz w:val="20"/>
              </w:rPr>
              <w:t>24 (19.5)</w:t>
            </w:r>
          </w:p>
        </w:tc>
        <w:tc>
          <w:tcPr>
            <w:tcW w:w="2127" w:type="dxa"/>
            <w:tcBorders>
              <w:top w:val="single" w:sz="4" w:space="0" w:color="000000"/>
              <w:left w:val="single" w:sz="4" w:space="0" w:color="000000"/>
              <w:bottom w:val="single" w:sz="4" w:space="0" w:color="000000"/>
              <w:right w:val="single" w:sz="4" w:space="0" w:color="000000"/>
            </w:tcBorders>
          </w:tcPr>
          <w:p w14:paraId="0AC7CD7A" w14:textId="77777777" w:rsidR="001E13C2" w:rsidRPr="00593CC5" w:rsidRDefault="001E13C2">
            <w:pPr>
              <w:kinsoku w:val="0"/>
              <w:overflowPunct w:val="0"/>
              <w:autoSpaceDE w:val="0"/>
              <w:autoSpaceDN w:val="0"/>
              <w:adjustRightInd w:val="0"/>
              <w:spacing w:before="1" w:after="0" w:line="242" w:lineRule="exact"/>
              <w:ind w:left="162" w:right="159"/>
              <w:jc w:val="center"/>
              <w:rPr>
                <w:rFonts w:cs="Calibri"/>
                <w:sz w:val="20"/>
              </w:rPr>
            </w:pPr>
            <w:r w:rsidRPr="00593CC5">
              <w:rPr>
                <w:rFonts w:cs="Calibri"/>
                <w:sz w:val="20"/>
              </w:rPr>
              <w:t>16 (25.0)</w:t>
            </w:r>
          </w:p>
        </w:tc>
        <w:tc>
          <w:tcPr>
            <w:tcW w:w="2252" w:type="dxa"/>
            <w:tcBorders>
              <w:top w:val="single" w:sz="4" w:space="0" w:color="000000"/>
              <w:left w:val="single" w:sz="4" w:space="0" w:color="000000"/>
              <w:bottom w:val="single" w:sz="4" w:space="0" w:color="000000"/>
              <w:right w:val="single" w:sz="4" w:space="0" w:color="000000"/>
            </w:tcBorders>
          </w:tcPr>
          <w:p w14:paraId="2E2270E7" w14:textId="77777777" w:rsidR="001E13C2" w:rsidRPr="00593CC5" w:rsidRDefault="001E13C2">
            <w:pPr>
              <w:kinsoku w:val="0"/>
              <w:overflowPunct w:val="0"/>
              <w:autoSpaceDE w:val="0"/>
              <w:autoSpaceDN w:val="0"/>
              <w:adjustRightInd w:val="0"/>
              <w:spacing w:before="1" w:after="0" w:line="242" w:lineRule="exact"/>
              <w:ind w:left="687" w:right="686"/>
              <w:jc w:val="center"/>
              <w:rPr>
                <w:rFonts w:cs="Calibri"/>
                <w:sz w:val="20"/>
              </w:rPr>
            </w:pPr>
            <w:r w:rsidRPr="00593CC5">
              <w:rPr>
                <w:rFonts w:cs="Calibri"/>
                <w:sz w:val="20"/>
              </w:rPr>
              <w:t>40 (21.4)</w:t>
            </w:r>
          </w:p>
        </w:tc>
      </w:tr>
      <w:tr w:rsidR="001E13C2" w:rsidRPr="00593CC5" w14:paraId="1BDED2A9"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1A065D73" w14:textId="77777777" w:rsidR="001E13C2" w:rsidRPr="00593CC5" w:rsidRDefault="001E13C2">
            <w:pPr>
              <w:kinsoku w:val="0"/>
              <w:overflowPunct w:val="0"/>
              <w:autoSpaceDE w:val="0"/>
              <w:autoSpaceDN w:val="0"/>
              <w:adjustRightInd w:val="0"/>
              <w:spacing w:before="1" w:after="0" w:line="242" w:lineRule="exact"/>
              <w:ind w:left="108"/>
              <w:rPr>
                <w:rFonts w:cs="Calibri"/>
                <w:b/>
                <w:bCs/>
                <w:sz w:val="20"/>
              </w:rPr>
            </w:pPr>
            <w:r w:rsidRPr="00593CC5">
              <w:rPr>
                <w:rFonts w:cs="Calibri"/>
                <w:b/>
                <w:bCs/>
                <w:sz w:val="20"/>
              </w:rPr>
              <w:t>Disease Stage (R-ISS)</w:t>
            </w:r>
          </w:p>
        </w:tc>
        <w:tc>
          <w:tcPr>
            <w:tcW w:w="2281" w:type="dxa"/>
            <w:tcBorders>
              <w:top w:val="single" w:sz="4" w:space="0" w:color="000000"/>
              <w:left w:val="single" w:sz="4" w:space="0" w:color="000000"/>
              <w:bottom w:val="single" w:sz="4" w:space="0" w:color="000000"/>
              <w:right w:val="single" w:sz="4" w:space="0" w:color="000000"/>
            </w:tcBorders>
          </w:tcPr>
          <w:p w14:paraId="013BC7D8" w14:textId="77777777" w:rsidR="001E13C2" w:rsidRPr="00593CC5" w:rsidRDefault="001E13C2">
            <w:pPr>
              <w:kinsoku w:val="0"/>
              <w:overflowPunct w:val="0"/>
              <w:autoSpaceDE w:val="0"/>
              <w:autoSpaceDN w:val="0"/>
              <w:adjustRightInd w:val="0"/>
              <w:spacing w:after="0" w:line="240" w:lineRule="auto"/>
              <w:rPr>
                <w:sz w:val="20"/>
              </w:rPr>
            </w:pPr>
          </w:p>
        </w:tc>
        <w:tc>
          <w:tcPr>
            <w:tcW w:w="2127" w:type="dxa"/>
            <w:tcBorders>
              <w:top w:val="single" w:sz="4" w:space="0" w:color="000000"/>
              <w:left w:val="single" w:sz="4" w:space="0" w:color="000000"/>
              <w:bottom w:val="single" w:sz="4" w:space="0" w:color="000000"/>
              <w:right w:val="single" w:sz="4" w:space="0" w:color="000000"/>
            </w:tcBorders>
          </w:tcPr>
          <w:p w14:paraId="6D6E4C62" w14:textId="77777777" w:rsidR="001E13C2" w:rsidRPr="00593CC5" w:rsidRDefault="001E13C2">
            <w:pPr>
              <w:kinsoku w:val="0"/>
              <w:overflowPunct w:val="0"/>
              <w:autoSpaceDE w:val="0"/>
              <w:autoSpaceDN w:val="0"/>
              <w:adjustRightInd w:val="0"/>
              <w:spacing w:after="0" w:line="240" w:lineRule="auto"/>
              <w:rPr>
                <w:sz w:val="20"/>
              </w:rPr>
            </w:pPr>
          </w:p>
        </w:tc>
        <w:tc>
          <w:tcPr>
            <w:tcW w:w="2252" w:type="dxa"/>
            <w:tcBorders>
              <w:top w:val="single" w:sz="4" w:space="0" w:color="000000"/>
              <w:left w:val="single" w:sz="4" w:space="0" w:color="000000"/>
              <w:bottom w:val="single" w:sz="4" w:space="0" w:color="000000"/>
              <w:right w:val="single" w:sz="4" w:space="0" w:color="000000"/>
            </w:tcBorders>
          </w:tcPr>
          <w:p w14:paraId="3B753E2B" w14:textId="77777777" w:rsidR="001E13C2" w:rsidRPr="00593CC5" w:rsidRDefault="001E13C2">
            <w:pPr>
              <w:kinsoku w:val="0"/>
              <w:overflowPunct w:val="0"/>
              <w:autoSpaceDE w:val="0"/>
              <w:autoSpaceDN w:val="0"/>
              <w:adjustRightInd w:val="0"/>
              <w:spacing w:after="0" w:line="240" w:lineRule="auto"/>
              <w:rPr>
                <w:sz w:val="20"/>
              </w:rPr>
            </w:pPr>
          </w:p>
        </w:tc>
      </w:tr>
      <w:tr w:rsidR="001E13C2" w:rsidRPr="00593CC5" w14:paraId="270EB5C0" w14:textId="77777777" w:rsidTr="0005466A">
        <w:trPr>
          <w:trHeight w:val="266"/>
        </w:trPr>
        <w:tc>
          <w:tcPr>
            <w:tcW w:w="2701" w:type="dxa"/>
            <w:tcBorders>
              <w:top w:val="single" w:sz="4" w:space="0" w:color="000000"/>
              <w:left w:val="single" w:sz="4" w:space="0" w:color="000000"/>
              <w:bottom w:val="single" w:sz="4" w:space="0" w:color="000000"/>
              <w:right w:val="single" w:sz="4" w:space="0" w:color="000000"/>
            </w:tcBorders>
          </w:tcPr>
          <w:p w14:paraId="4E446B78" w14:textId="77777777" w:rsidR="001E13C2" w:rsidRPr="00593CC5" w:rsidRDefault="001E13C2">
            <w:pPr>
              <w:kinsoku w:val="0"/>
              <w:overflowPunct w:val="0"/>
              <w:autoSpaceDE w:val="0"/>
              <w:autoSpaceDN w:val="0"/>
              <w:adjustRightInd w:val="0"/>
              <w:spacing w:before="1" w:after="0" w:line="240" w:lineRule="auto"/>
              <w:ind w:left="245"/>
              <w:rPr>
                <w:rFonts w:cs="Calibri"/>
                <w:w w:val="99"/>
                <w:sz w:val="20"/>
              </w:rPr>
            </w:pPr>
            <w:r w:rsidRPr="00593CC5">
              <w:rPr>
                <w:rFonts w:cs="Calibri"/>
                <w:w w:val="99"/>
                <w:sz w:val="20"/>
              </w:rPr>
              <w:t>I</w:t>
            </w:r>
          </w:p>
        </w:tc>
        <w:tc>
          <w:tcPr>
            <w:tcW w:w="2281" w:type="dxa"/>
            <w:tcBorders>
              <w:top w:val="single" w:sz="4" w:space="0" w:color="000000"/>
              <w:left w:val="single" w:sz="4" w:space="0" w:color="000000"/>
              <w:bottom w:val="single" w:sz="4" w:space="0" w:color="000000"/>
              <w:right w:val="single" w:sz="4" w:space="0" w:color="000000"/>
            </w:tcBorders>
          </w:tcPr>
          <w:p w14:paraId="31DBBEC6" w14:textId="77777777" w:rsidR="001E13C2" w:rsidRPr="00593CC5" w:rsidRDefault="001E13C2">
            <w:pPr>
              <w:kinsoku w:val="0"/>
              <w:overflowPunct w:val="0"/>
              <w:autoSpaceDE w:val="0"/>
              <w:autoSpaceDN w:val="0"/>
              <w:adjustRightInd w:val="0"/>
              <w:spacing w:before="1" w:after="0" w:line="240" w:lineRule="auto"/>
              <w:ind w:left="191" w:right="186"/>
              <w:jc w:val="center"/>
              <w:rPr>
                <w:rFonts w:cs="Calibri"/>
                <w:sz w:val="20"/>
              </w:rPr>
            </w:pPr>
            <w:r w:rsidRPr="00593CC5">
              <w:rPr>
                <w:rFonts w:cs="Calibri"/>
                <w:sz w:val="20"/>
              </w:rPr>
              <w:t>28 (22.8)</w:t>
            </w:r>
          </w:p>
        </w:tc>
        <w:tc>
          <w:tcPr>
            <w:tcW w:w="2127" w:type="dxa"/>
            <w:tcBorders>
              <w:top w:val="single" w:sz="4" w:space="0" w:color="000000"/>
              <w:left w:val="single" w:sz="4" w:space="0" w:color="000000"/>
              <w:bottom w:val="single" w:sz="4" w:space="0" w:color="000000"/>
              <w:right w:val="single" w:sz="4" w:space="0" w:color="000000"/>
            </w:tcBorders>
          </w:tcPr>
          <w:p w14:paraId="56328626" w14:textId="77777777" w:rsidR="001E13C2" w:rsidRPr="00593CC5" w:rsidRDefault="001E13C2">
            <w:pPr>
              <w:kinsoku w:val="0"/>
              <w:overflowPunct w:val="0"/>
              <w:autoSpaceDE w:val="0"/>
              <w:autoSpaceDN w:val="0"/>
              <w:adjustRightInd w:val="0"/>
              <w:spacing w:before="1" w:after="0" w:line="240" w:lineRule="auto"/>
              <w:ind w:right="738"/>
              <w:jc w:val="right"/>
              <w:rPr>
                <w:rFonts w:cs="Calibri"/>
                <w:sz w:val="20"/>
              </w:rPr>
            </w:pPr>
            <w:r w:rsidRPr="00593CC5">
              <w:rPr>
                <w:rFonts w:cs="Calibri"/>
                <w:sz w:val="20"/>
              </w:rPr>
              <w:t>11 (17.2)</w:t>
            </w:r>
          </w:p>
        </w:tc>
        <w:tc>
          <w:tcPr>
            <w:tcW w:w="2252" w:type="dxa"/>
            <w:tcBorders>
              <w:top w:val="single" w:sz="4" w:space="0" w:color="000000"/>
              <w:left w:val="single" w:sz="4" w:space="0" w:color="000000"/>
              <w:bottom w:val="single" w:sz="4" w:space="0" w:color="000000"/>
              <w:right w:val="single" w:sz="4" w:space="0" w:color="000000"/>
            </w:tcBorders>
          </w:tcPr>
          <w:p w14:paraId="6B513FEF" w14:textId="77777777" w:rsidR="001E13C2" w:rsidRPr="00593CC5" w:rsidRDefault="001E13C2">
            <w:pPr>
              <w:kinsoku w:val="0"/>
              <w:overflowPunct w:val="0"/>
              <w:autoSpaceDE w:val="0"/>
              <w:autoSpaceDN w:val="0"/>
              <w:adjustRightInd w:val="0"/>
              <w:spacing w:before="1" w:after="0" w:line="240" w:lineRule="auto"/>
              <w:ind w:left="191" w:right="186"/>
              <w:jc w:val="center"/>
              <w:rPr>
                <w:rFonts w:cs="Calibri"/>
                <w:sz w:val="20"/>
              </w:rPr>
            </w:pPr>
            <w:r w:rsidRPr="00593CC5">
              <w:rPr>
                <w:rFonts w:cs="Calibri"/>
                <w:sz w:val="20"/>
              </w:rPr>
              <w:t>39 (20.9)</w:t>
            </w:r>
          </w:p>
        </w:tc>
      </w:tr>
      <w:tr w:rsidR="001E13C2" w:rsidRPr="00593CC5" w14:paraId="60EE4900"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7A5F5F63" w14:textId="77777777" w:rsidR="001E13C2" w:rsidRPr="00593CC5" w:rsidRDefault="001E13C2">
            <w:pPr>
              <w:kinsoku w:val="0"/>
              <w:overflowPunct w:val="0"/>
              <w:autoSpaceDE w:val="0"/>
              <w:autoSpaceDN w:val="0"/>
              <w:adjustRightInd w:val="0"/>
              <w:spacing w:after="0" w:line="243" w:lineRule="exact"/>
              <w:ind w:left="245"/>
              <w:rPr>
                <w:rFonts w:cs="Calibri"/>
                <w:spacing w:val="-6"/>
                <w:sz w:val="20"/>
              </w:rPr>
            </w:pPr>
            <w:r w:rsidRPr="00593CC5">
              <w:rPr>
                <w:rFonts w:cs="Calibri"/>
                <w:spacing w:val="-6"/>
                <w:sz w:val="20"/>
              </w:rPr>
              <w:t>II</w:t>
            </w:r>
          </w:p>
        </w:tc>
        <w:tc>
          <w:tcPr>
            <w:tcW w:w="2281" w:type="dxa"/>
            <w:tcBorders>
              <w:top w:val="single" w:sz="4" w:space="0" w:color="000000"/>
              <w:left w:val="single" w:sz="4" w:space="0" w:color="000000"/>
              <w:bottom w:val="single" w:sz="4" w:space="0" w:color="000000"/>
              <w:right w:val="single" w:sz="4" w:space="0" w:color="000000"/>
            </w:tcBorders>
          </w:tcPr>
          <w:p w14:paraId="37DB5499" w14:textId="77777777" w:rsidR="001E13C2" w:rsidRPr="00593CC5" w:rsidRDefault="001E13C2">
            <w:pPr>
              <w:kinsoku w:val="0"/>
              <w:overflowPunct w:val="0"/>
              <w:autoSpaceDE w:val="0"/>
              <w:autoSpaceDN w:val="0"/>
              <w:adjustRightInd w:val="0"/>
              <w:spacing w:after="0" w:line="243" w:lineRule="exact"/>
              <w:ind w:left="191" w:right="186"/>
              <w:jc w:val="center"/>
              <w:rPr>
                <w:rFonts w:cs="Calibri"/>
                <w:sz w:val="20"/>
              </w:rPr>
            </w:pPr>
            <w:r w:rsidRPr="00593CC5">
              <w:rPr>
                <w:rFonts w:cs="Calibri"/>
                <w:sz w:val="20"/>
              </w:rPr>
              <w:t>68 (55.3)</w:t>
            </w:r>
          </w:p>
        </w:tc>
        <w:tc>
          <w:tcPr>
            <w:tcW w:w="2127" w:type="dxa"/>
            <w:tcBorders>
              <w:top w:val="single" w:sz="4" w:space="0" w:color="000000"/>
              <w:left w:val="single" w:sz="4" w:space="0" w:color="000000"/>
              <w:bottom w:val="single" w:sz="4" w:space="0" w:color="000000"/>
              <w:right w:val="single" w:sz="4" w:space="0" w:color="000000"/>
            </w:tcBorders>
          </w:tcPr>
          <w:p w14:paraId="74494054" w14:textId="77777777" w:rsidR="001E13C2" w:rsidRPr="00593CC5" w:rsidRDefault="001E13C2">
            <w:pPr>
              <w:kinsoku w:val="0"/>
              <w:overflowPunct w:val="0"/>
              <w:autoSpaceDE w:val="0"/>
              <w:autoSpaceDN w:val="0"/>
              <w:adjustRightInd w:val="0"/>
              <w:spacing w:after="0" w:line="243" w:lineRule="exact"/>
              <w:ind w:right="738"/>
              <w:jc w:val="right"/>
              <w:rPr>
                <w:rFonts w:cs="Calibri"/>
                <w:sz w:val="20"/>
              </w:rPr>
            </w:pPr>
            <w:r w:rsidRPr="00593CC5">
              <w:rPr>
                <w:rFonts w:cs="Calibri"/>
                <w:sz w:val="20"/>
              </w:rPr>
              <w:t>36 (56.3)</w:t>
            </w:r>
          </w:p>
        </w:tc>
        <w:tc>
          <w:tcPr>
            <w:tcW w:w="2252" w:type="dxa"/>
            <w:tcBorders>
              <w:top w:val="single" w:sz="4" w:space="0" w:color="000000"/>
              <w:left w:val="single" w:sz="4" w:space="0" w:color="000000"/>
              <w:bottom w:val="single" w:sz="4" w:space="0" w:color="000000"/>
              <w:right w:val="single" w:sz="4" w:space="0" w:color="000000"/>
            </w:tcBorders>
          </w:tcPr>
          <w:p w14:paraId="3935D30C" w14:textId="77777777" w:rsidR="001E13C2" w:rsidRPr="00593CC5" w:rsidRDefault="001E13C2">
            <w:pPr>
              <w:kinsoku w:val="0"/>
              <w:overflowPunct w:val="0"/>
              <w:autoSpaceDE w:val="0"/>
              <w:autoSpaceDN w:val="0"/>
              <w:adjustRightInd w:val="0"/>
              <w:spacing w:after="0" w:line="243" w:lineRule="exact"/>
              <w:ind w:left="191" w:right="186"/>
              <w:jc w:val="center"/>
              <w:rPr>
                <w:rFonts w:cs="Calibri"/>
                <w:sz w:val="20"/>
              </w:rPr>
            </w:pPr>
            <w:r w:rsidRPr="00593CC5">
              <w:rPr>
                <w:rFonts w:cs="Calibri"/>
                <w:sz w:val="20"/>
              </w:rPr>
              <w:t>104 (55.6)</w:t>
            </w:r>
          </w:p>
        </w:tc>
      </w:tr>
      <w:tr w:rsidR="001E13C2" w:rsidRPr="00593CC5" w14:paraId="2FF63E76"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30737671" w14:textId="77777777" w:rsidR="001E13C2" w:rsidRPr="00593CC5" w:rsidRDefault="001E13C2">
            <w:pPr>
              <w:kinsoku w:val="0"/>
              <w:overflowPunct w:val="0"/>
              <w:autoSpaceDE w:val="0"/>
              <w:autoSpaceDN w:val="0"/>
              <w:adjustRightInd w:val="0"/>
              <w:spacing w:before="1" w:after="0" w:line="242" w:lineRule="exact"/>
              <w:ind w:left="245"/>
              <w:rPr>
                <w:rFonts w:cs="Calibri"/>
                <w:spacing w:val="-4"/>
                <w:sz w:val="20"/>
              </w:rPr>
            </w:pPr>
            <w:r w:rsidRPr="00593CC5">
              <w:rPr>
                <w:rFonts w:cs="Calibri"/>
                <w:spacing w:val="-4"/>
                <w:sz w:val="20"/>
              </w:rPr>
              <w:t>III</w:t>
            </w:r>
          </w:p>
        </w:tc>
        <w:tc>
          <w:tcPr>
            <w:tcW w:w="2281" w:type="dxa"/>
            <w:tcBorders>
              <w:top w:val="single" w:sz="4" w:space="0" w:color="000000"/>
              <w:left w:val="single" w:sz="4" w:space="0" w:color="000000"/>
              <w:bottom w:val="single" w:sz="4" w:space="0" w:color="000000"/>
              <w:right w:val="single" w:sz="4" w:space="0" w:color="000000"/>
            </w:tcBorders>
          </w:tcPr>
          <w:p w14:paraId="5893A70A"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19 (15.4)</w:t>
            </w:r>
          </w:p>
        </w:tc>
        <w:tc>
          <w:tcPr>
            <w:tcW w:w="2127" w:type="dxa"/>
            <w:tcBorders>
              <w:top w:val="single" w:sz="4" w:space="0" w:color="000000"/>
              <w:left w:val="single" w:sz="4" w:space="0" w:color="000000"/>
              <w:bottom w:val="single" w:sz="4" w:space="0" w:color="000000"/>
              <w:right w:val="single" w:sz="4" w:space="0" w:color="000000"/>
            </w:tcBorders>
          </w:tcPr>
          <w:p w14:paraId="337C0A3E" w14:textId="77777777" w:rsidR="001E13C2" w:rsidRPr="00593CC5" w:rsidRDefault="001E13C2">
            <w:pPr>
              <w:kinsoku w:val="0"/>
              <w:overflowPunct w:val="0"/>
              <w:autoSpaceDE w:val="0"/>
              <w:autoSpaceDN w:val="0"/>
              <w:adjustRightInd w:val="0"/>
              <w:spacing w:before="1" w:after="0" w:line="242" w:lineRule="exact"/>
              <w:ind w:right="738"/>
              <w:jc w:val="right"/>
              <w:rPr>
                <w:rFonts w:cs="Calibri"/>
                <w:sz w:val="20"/>
              </w:rPr>
            </w:pPr>
            <w:r w:rsidRPr="00593CC5">
              <w:rPr>
                <w:rFonts w:cs="Calibri"/>
                <w:sz w:val="20"/>
              </w:rPr>
              <w:t>15 (23.4)</w:t>
            </w:r>
          </w:p>
        </w:tc>
        <w:tc>
          <w:tcPr>
            <w:tcW w:w="2252" w:type="dxa"/>
            <w:tcBorders>
              <w:top w:val="single" w:sz="4" w:space="0" w:color="000000"/>
              <w:left w:val="single" w:sz="4" w:space="0" w:color="000000"/>
              <w:bottom w:val="single" w:sz="4" w:space="0" w:color="000000"/>
              <w:right w:val="single" w:sz="4" w:space="0" w:color="000000"/>
            </w:tcBorders>
          </w:tcPr>
          <w:p w14:paraId="38A1BDAC"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34 (18.2)</w:t>
            </w:r>
          </w:p>
        </w:tc>
      </w:tr>
      <w:tr w:rsidR="001E13C2" w:rsidRPr="00593CC5" w14:paraId="09B4E56A"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14C6F994" w14:textId="77777777" w:rsidR="001E13C2" w:rsidRPr="00593CC5" w:rsidRDefault="001E13C2">
            <w:pPr>
              <w:kinsoku w:val="0"/>
              <w:overflowPunct w:val="0"/>
              <w:autoSpaceDE w:val="0"/>
              <w:autoSpaceDN w:val="0"/>
              <w:adjustRightInd w:val="0"/>
              <w:spacing w:before="1" w:after="0" w:line="242" w:lineRule="exact"/>
              <w:ind w:left="245"/>
              <w:rPr>
                <w:rFonts w:cs="Calibri"/>
                <w:spacing w:val="-2"/>
                <w:sz w:val="20"/>
              </w:rPr>
            </w:pPr>
            <w:r w:rsidRPr="00593CC5">
              <w:rPr>
                <w:rFonts w:cs="Calibri"/>
                <w:spacing w:val="-2"/>
                <w:sz w:val="20"/>
              </w:rPr>
              <w:t>Unknown</w:t>
            </w:r>
          </w:p>
        </w:tc>
        <w:tc>
          <w:tcPr>
            <w:tcW w:w="2281" w:type="dxa"/>
            <w:tcBorders>
              <w:top w:val="single" w:sz="4" w:space="0" w:color="000000"/>
              <w:left w:val="single" w:sz="4" w:space="0" w:color="000000"/>
              <w:bottom w:val="single" w:sz="4" w:space="0" w:color="000000"/>
              <w:right w:val="single" w:sz="4" w:space="0" w:color="000000"/>
            </w:tcBorders>
          </w:tcPr>
          <w:p w14:paraId="30616BE6" w14:textId="77777777" w:rsidR="001E13C2" w:rsidRPr="00593CC5" w:rsidRDefault="001E13C2">
            <w:pPr>
              <w:kinsoku w:val="0"/>
              <w:overflowPunct w:val="0"/>
              <w:autoSpaceDE w:val="0"/>
              <w:autoSpaceDN w:val="0"/>
              <w:adjustRightInd w:val="0"/>
              <w:spacing w:before="1" w:after="0" w:line="242" w:lineRule="exact"/>
              <w:ind w:left="193" w:right="186"/>
              <w:jc w:val="center"/>
              <w:rPr>
                <w:rFonts w:cs="Calibri"/>
                <w:sz w:val="20"/>
              </w:rPr>
            </w:pPr>
            <w:r w:rsidRPr="00593CC5">
              <w:rPr>
                <w:rFonts w:cs="Calibri"/>
                <w:sz w:val="20"/>
              </w:rPr>
              <w:t>8 (6.5)</w:t>
            </w:r>
          </w:p>
        </w:tc>
        <w:tc>
          <w:tcPr>
            <w:tcW w:w="2127" w:type="dxa"/>
            <w:tcBorders>
              <w:top w:val="single" w:sz="4" w:space="0" w:color="000000"/>
              <w:left w:val="single" w:sz="4" w:space="0" w:color="000000"/>
              <w:bottom w:val="single" w:sz="4" w:space="0" w:color="000000"/>
              <w:right w:val="single" w:sz="4" w:space="0" w:color="000000"/>
            </w:tcBorders>
          </w:tcPr>
          <w:p w14:paraId="247514D2" w14:textId="77777777" w:rsidR="001E13C2" w:rsidRPr="00593CC5" w:rsidRDefault="001E13C2">
            <w:pPr>
              <w:kinsoku w:val="0"/>
              <w:overflowPunct w:val="0"/>
              <w:autoSpaceDE w:val="0"/>
              <w:autoSpaceDN w:val="0"/>
              <w:adjustRightInd w:val="0"/>
              <w:spacing w:before="1" w:after="0" w:line="242" w:lineRule="exact"/>
              <w:ind w:left="194" w:right="186"/>
              <w:jc w:val="center"/>
              <w:rPr>
                <w:rFonts w:cs="Calibri"/>
                <w:sz w:val="20"/>
              </w:rPr>
            </w:pPr>
            <w:r w:rsidRPr="00593CC5">
              <w:rPr>
                <w:rFonts w:cs="Calibri"/>
                <w:sz w:val="20"/>
              </w:rPr>
              <w:t>2 (3.1)</w:t>
            </w:r>
          </w:p>
        </w:tc>
        <w:tc>
          <w:tcPr>
            <w:tcW w:w="2252" w:type="dxa"/>
            <w:tcBorders>
              <w:top w:val="single" w:sz="4" w:space="0" w:color="000000"/>
              <w:left w:val="single" w:sz="4" w:space="0" w:color="000000"/>
              <w:bottom w:val="single" w:sz="4" w:space="0" w:color="000000"/>
              <w:right w:val="single" w:sz="4" w:space="0" w:color="000000"/>
            </w:tcBorders>
          </w:tcPr>
          <w:p w14:paraId="3AAC93F5" w14:textId="77777777" w:rsidR="001E13C2" w:rsidRPr="00593CC5" w:rsidRDefault="001E13C2">
            <w:pPr>
              <w:kinsoku w:val="0"/>
              <w:overflowPunct w:val="0"/>
              <w:autoSpaceDE w:val="0"/>
              <w:autoSpaceDN w:val="0"/>
              <w:adjustRightInd w:val="0"/>
              <w:spacing w:before="1" w:after="0" w:line="242" w:lineRule="exact"/>
              <w:ind w:left="194" w:right="186"/>
              <w:jc w:val="center"/>
              <w:rPr>
                <w:rFonts w:cs="Calibri"/>
                <w:sz w:val="20"/>
              </w:rPr>
            </w:pPr>
            <w:r w:rsidRPr="00593CC5">
              <w:rPr>
                <w:rFonts w:cs="Calibri"/>
                <w:sz w:val="20"/>
              </w:rPr>
              <w:t>10 (5.3)</w:t>
            </w:r>
          </w:p>
        </w:tc>
      </w:tr>
      <w:tr w:rsidR="001E13C2" w:rsidRPr="00593CC5" w14:paraId="68BA26E1"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7BD1CAF4" w14:textId="77777777" w:rsidR="001E13C2" w:rsidRPr="00593CC5" w:rsidRDefault="001E13C2">
            <w:pPr>
              <w:kinsoku w:val="0"/>
              <w:overflowPunct w:val="0"/>
              <w:autoSpaceDE w:val="0"/>
              <w:autoSpaceDN w:val="0"/>
              <w:adjustRightInd w:val="0"/>
              <w:spacing w:before="1" w:after="0" w:line="242" w:lineRule="exact"/>
              <w:ind w:left="108"/>
              <w:rPr>
                <w:rFonts w:cs="Calibri"/>
                <w:b/>
                <w:bCs/>
                <w:sz w:val="20"/>
              </w:rPr>
            </w:pPr>
            <w:r w:rsidRPr="00593CC5">
              <w:rPr>
                <w:rFonts w:cs="Calibri"/>
                <w:b/>
                <w:bCs/>
                <w:sz w:val="20"/>
              </w:rPr>
              <w:t>ECOG Performance Status</w:t>
            </w:r>
          </w:p>
        </w:tc>
        <w:tc>
          <w:tcPr>
            <w:tcW w:w="2281" w:type="dxa"/>
            <w:tcBorders>
              <w:top w:val="single" w:sz="4" w:space="0" w:color="000000"/>
              <w:left w:val="single" w:sz="4" w:space="0" w:color="000000"/>
              <w:bottom w:val="single" w:sz="4" w:space="0" w:color="000000"/>
              <w:right w:val="single" w:sz="4" w:space="0" w:color="000000"/>
            </w:tcBorders>
          </w:tcPr>
          <w:p w14:paraId="3A63DC5D" w14:textId="77777777" w:rsidR="001E13C2" w:rsidRPr="00593CC5" w:rsidRDefault="001E13C2">
            <w:pPr>
              <w:kinsoku w:val="0"/>
              <w:overflowPunct w:val="0"/>
              <w:autoSpaceDE w:val="0"/>
              <w:autoSpaceDN w:val="0"/>
              <w:adjustRightInd w:val="0"/>
              <w:spacing w:after="0" w:line="240" w:lineRule="auto"/>
              <w:rPr>
                <w:sz w:val="20"/>
              </w:rPr>
            </w:pPr>
          </w:p>
        </w:tc>
        <w:tc>
          <w:tcPr>
            <w:tcW w:w="2127" w:type="dxa"/>
            <w:tcBorders>
              <w:top w:val="single" w:sz="4" w:space="0" w:color="000000"/>
              <w:left w:val="single" w:sz="4" w:space="0" w:color="000000"/>
              <w:bottom w:val="single" w:sz="4" w:space="0" w:color="000000"/>
              <w:right w:val="single" w:sz="4" w:space="0" w:color="000000"/>
            </w:tcBorders>
          </w:tcPr>
          <w:p w14:paraId="2409C104" w14:textId="77777777" w:rsidR="001E13C2" w:rsidRPr="00593CC5" w:rsidRDefault="001E13C2">
            <w:pPr>
              <w:kinsoku w:val="0"/>
              <w:overflowPunct w:val="0"/>
              <w:autoSpaceDE w:val="0"/>
              <w:autoSpaceDN w:val="0"/>
              <w:adjustRightInd w:val="0"/>
              <w:spacing w:after="0" w:line="240" w:lineRule="auto"/>
              <w:rPr>
                <w:sz w:val="20"/>
              </w:rPr>
            </w:pPr>
          </w:p>
        </w:tc>
        <w:tc>
          <w:tcPr>
            <w:tcW w:w="2252" w:type="dxa"/>
            <w:tcBorders>
              <w:top w:val="single" w:sz="4" w:space="0" w:color="000000"/>
              <w:left w:val="single" w:sz="4" w:space="0" w:color="000000"/>
              <w:bottom w:val="single" w:sz="4" w:space="0" w:color="000000"/>
              <w:right w:val="single" w:sz="4" w:space="0" w:color="000000"/>
            </w:tcBorders>
          </w:tcPr>
          <w:p w14:paraId="253E7924" w14:textId="77777777" w:rsidR="001E13C2" w:rsidRPr="00593CC5" w:rsidRDefault="001E13C2">
            <w:pPr>
              <w:kinsoku w:val="0"/>
              <w:overflowPunct w:val="0"/>
              <w:autoSpaceDE w:val="0"/>
              <w:autoSpaceDN w:val="0"/>
              <w:adjustRightInd w:val="0"/>
              <w:spacing w:after="0" w:line="240" w:lineRule="auto"/>
              <w:rPr>
                <w:sz w:val="20"/>
              </w:rPr>
            </w:pPr>
          </w:p>
        </w:tc>
      </w:tr>
      <w:tr w:rsidR="001E13C2" w:rsidRPr="00593CC5" w14:paraId="4F171FEB"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4872668C" w14:textId="77777777" w:rsidR="001E13C2" w:rsidRPr="00593CC5" w:rsidRDefault="001E13C2">
            <w:pPr>
              <w:kinsoku w:val="0"/>
              <w:overflowPunct w:val="0"/>
              <w:autoSpaceDE w:val="0"/>
              <w:autoSpaceDN w:val="0"/>
              <w:adjustRightInd w:val="0"/>
              <w:spacing w:before="1" w:after="0" w:line="242" w:lineRule="exact"/>
              <w:ind w:left="245"/>
              <w:rPr>
                <w:rFonts w:cs="Calibri"/>
                <w:w w:val="99"/>
                <w:sz w:val="20"/>
              </w:rPr>
            </w:pPr>
            <w:r w:rsidRPr="00593CC5">
              <w:rPr>
                <w:rFonts w:cs="Calibri"/>
                <w:w w:val="99"/>
                <w:sz w:val="20"/>
              </w:rPr>
              <w:lastRenderedPageBreak/>
              <w:t>0</w:t>
            </w:r>
          </w:p>
        </w:tc>
        <w:tc>
          <w:tcPr>
            <w:tcW w:w="2281" w:type="dxa"/>
            <w:tcBorders>
              <w:top w:val="single" w:sz="4" w:space="0" w:color="000000"/>
              <w:left w:val="single" w:sz="4" w:space="0" w:color="000000"/>
              <w:bottom w:val="single" w:sz="4" w:space="0" w:color="000000"/>
              <w:right w:val="single" w:sz="4" w:space="0" w:color="000000"/>
            </w:tcBorders>
          </w:tcPr>
          <w:p w14:paraId="67D4D668"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45 (36.6)</w:t>
            </w:r>
          </w:p>
        </w:tc>
        <w:tc>
          <w:tcPr>
            <w:tcW w:w="2127" w:type="dxa"/>
            <w:tcBorders>
              <w:top w:val="single" w:sz="4" w:space="0" w:color="000000"/>
              <w:left w:val="single" w:sz="4" w:space="0" w:color="000000"/>
              <w:bottom w:val="single" w:sz="4" w:space="0" w:color="000000"/>
              <w:right w:val="single" w:sz="4" w:space="0" w:color="000000"/>
            </w:tcBorders>
          </w:tcPr>
          <w:p w14:paraId="6B3253E8" w14:textId="77777777" w:rsidR="001E13C2" w:rsidRPr="00593CC5" w:rsidRDefault="001E13C2">
            <w:pPr>
              <w:kinsoku w:val="0"/>
              <w:overflowPunct w:val="0"/>
              <w:autoSpaceDE w:val="0"/>
              <w:autoSpaceDN w:val="0"/>
              <w:adjustRightInd w:val="0"/>
              <w:spacing w:before="1" w:after="0" w:line="242" w:lineRule="exact"/>
              <w:ind w:right="738"/>
              <w:jc w:val="right"/>
              <w:rPr>
                <w:rFonts w:cs="Calibri"/>
                <w:sz w:val="20"/>
              </w:rPr>
            </w:pPr>
            <w:r w:rsidRPr="00593CC5">
              <w:rPr>
                <w:rFonts w:cs="Calibri"/>
                <w:sz w:val="20"/>
              </w:rPr>
              <w:t>20 (31.3)</w:t>
            </w:r>
          </w:p>
        </w:tc>
        <w:tc>
          <w:tcPr>
            <w:tcW w:w="2252" w:type="dxa"/>
            <w:tcBorders>
              <w:top w:val="single" w:sz="4" w:space="0" w:color="000000"/>
              <w:left w:val="single" w:sz="4" w:space="0" w:color="000000"/>
              <w:bottom w:val="single" w:sz="4" w:space="0" w:color="000000"/>
              <w:right w:val="single" w:sz="4" w:space="0" w:color="000000"/>
            </w:tcBorders>
          </w:tcPr>
          <w:p w14:paraId="04C9DC5A" w14:textId="77777777" w:rsidR="001E13C2" w:rsidRPr="00593CC5" w:rsidRDefault="001E13C2">
            <w:pPr>
              <w:kinsoku w:val="0"/>
              <w:overflowPunct w:val="0"/>
              <w:autoSpaceDE w:val="0"/>
              <w:autoSpaceDN w:val="0"/>
              <w:adjustRightInd w:val="0"/>
              <w:spacing w:before="1" w:after="0" w:line="242" w:lineRule="exact"/>
              <w:ind w:left="192" w:right="186"/>
              <w:jc w:val="center"/>
              <w:rPr>
                <w:rFonts w:cs="Calibri"/>
                <w:sz w:val="20"/>
              </w:rPr>
            </w:pPr>
            <w:r w:rsidRPr="00593CC5">
              <w:rPr>
                <w:rFonts w:cs="Calibri"/>
                <w:sz w:val="20"/>
              </w:rPr>
              <w:t>65 (34.8)</w:t>
            </w:r>
          </w:p>
        </w:tc>
      </w:tr>
      <w:tr w:rsidR="001E13C2" w:rsidRPr="00593CC5" w14:paraId="04526B11" w14:textId="77777777" w:rsidTr="0005466A">
        <w:trPr>
          <w:trHeight w:val="265"/>
        </w:trPr>
        <w:tc>
          <w:tcPr>
            <w:tcW w:w="2701" w:type="dxa"/>
            <w:tcBorders>
              <w:top w:val="single" w:sz="4" w:space="0" w:color="000000"/>
              <w:left w:val="single" w:sz="4" w:space="0" w:color="000000"/>
              <w:bottom w:val="single" w:sz="4" w:space="0" w:color="000000"/>
              <w:right w:val="single" w:sz="4" w:space="0" w:color="000000"/>
            </w:tcBorders>
          </w:tcPr>
          <w:p w14:paraId="45304F31" w14:textId="77777777" w:rsidR="001E13C2" w:rsidRPr="00593CC5" w:rsidRDefault="001E13C2">
            <w:pPr>
              <w:kinsoku w:val="0"/>
              <w:overflowPunct w:val="0"/>
              <w:autoSpaceDE w:val="0"/>
              <w:autoSpaceDN w:val="0"/>
              <w:adjustRightInd w:val="0"/>
              <w:spacing w:before="1" w:after="0" w:line="240" w:lineRule="auto"/>
              <w:ind w:left="245"/>
              <w:rPr>
                <w:rFonts w:cs="Calibri"/>
                <w:w w:val="99"/>
                <w:sz w:val="20"/>
              </w:rPr>
            </w:pPr>
            <w:r w:rsidRPr="00593CC5">
              <w:rPr>
                <w:rFonts w:cs="Calibri"/>
                <w:w w:val="99"/>
                <w:sz w:val="20"/>
              </w:rPr>
              <w:t>1</w:t>
            </w:r>
          </w:p>
        </w:tc>
        <w:tc>
          <w:tcPr>
            <w:tcW w:w="2281" w:type="dxa"/>
            <w:tcBorders>
              <w:top w:val="single" w:sz="4" w:space="0" w:color="000000"/>
              <w:left w:val="single" w:sz="4" w:space="0" w:color="000000"/>
              <w:bottom w:val="single" w:sz="4" w:space="0" w:color="000000"/>
              <w:right w:val="single" w:sz="4" w:space="0" w:color="000000"/>
            </w:tcBorders>
          </w:tcPr>
          <w:p w14:paraId="695AD5F4" w14:textId="77777777" w:rsidR="001E13C2" w:rsidRPr="00593CC5" w:rsidRDefault="001E13C2">
            <w:pPr>
              <w:kinsoku w:val="0"/>
              <w:overflowPunct w:val="0"/>
              <w:autoSpaceDE w:val="0"/>
              <w:autoSpaceDN w:val="0"/>
              <w:adjustRightInd w:val="0"/>
              <w:spacing w:before="1" w:after="0" w:line="240" w:lineRule="auto"/>
              <w:ind w:left="191" w:right="186"/>
              <w:jc w:val="center"/>
              <w:rPr>
                <w:rFonts w:cs="Calibri"/>
                <w:sz w:val="20"/>
              </w:rPr>
            </w:pPr>
            <w:r w:rsidRPr="00593CC5">
              <w:rPr>
                <w:rFonts w:cs="Calibri"/>
                <w:sz w:val="20"/>
              </w:rPr>
              <w:t>71 (57.7)</w:t>
            </w:r>
          </w:p>
        </w:tc>
        <w:tc>
          <w:tcPr>
            <w:tcW w:w="2127" w:type="dxa"/>
            <w:tcBorders>
              <w:top w:val="single" w:sz="4" w:space="0" w:color="000000"/>
              <w:left w:val="single" w:sz="4" w:space="0" w:color="000000"/>
              <w:bottom w:val="single" w:sz="4" w:space="0" w:color="000000"/>
              <w:right w:val="single" w:sz="4" w:space="0" w:color="000000"/>
            </w:tcBorders>
          </w:tcPr>
          <w:p w14:paraId="5CCED299" w14:textId="77777777" w:rsidR="001E13C2" w:rsidRPr="00593CC5" w:rsidRDefault="001E13C2">
            <w:pPr>
              <w:kinsoku w:val="0"/>
              <w:overflowPunct w:val="0"/>
              <w:autoSpaceDE w:val="0"/>
              <w:autoSpaceDN w:val="0"/>
              <w:adjustRightInd w:val="0"/>
              <w:spacing w:before="1" w:after="0" w:line="240" w:lineRule="auto"/>
              <w:ind w:right="738"/>
              <w:jc w:val="right"/>
              <w:rPr>
                <w:rFonts w:cs="Calibri"/>
                <w:sz w:val="20"/>
              </w:rPr>
            </w:pPr>
            <w:r w:rsidRPr="00593CC5">
              <w:rPr>
                <w:rFonts w:cs="Calibri"/>
                <w:sz w:val="20"/>
              </w:rPr>
              <w:t>40 (62.5)</w:t>
            </w:r>
          </w:p>
        </w:tc>
        <w:tc>
          <w:tcPr>
            <w:tcW w:w="2252" w:type="dxa"/>
            <w:tcBorders>
              <w:top w:val="single" w:sz="4" w:space="0" w:color="000000"/>
              <w:left w:val="single" w:sz="4" w:space="0" w:color="000000"/>
              <w:bottom w:val="single" w:sz="4" w:space="0" w:color="000000"/>
              <w:right w:val="single" w:sz="4" w:space="0" w:color="000000"/>
            </w:tcBorders>
          </w:tcPr>
          <w:p w14:paraId="05721313" w14:textId="77777777" w:rsidR="001E13C2" w:rsidRPr="00593CC5" w:rsidRDefault="001E13C2">
            <w:pPr>
              <w:kinsoku w:val="0"/>
              <w:overflowPunct w:val="0"/>
              <w:autoSpaceDE w:val="0"/>
              <w:autoSpaceDN w:val="0"/>
              <w:adjustRightInd w:val="0"/>
              <w:spacing w:before="1" w:after="0" w:line="240" w:lineRule="auto"/>
              <w:ind w:left="191" w:right="186"/>
              <w:jc w:val="center"/>
              <w:rPr>
                <w:rFonts w:cs="Calibri"/>
                <w:sz w:val="20"/>
              </w:rPr>
            </w:pPr>
            <w:r w:rsidRPr="00593CC5">
              <w:rPr>
                <w:rFonts w:cs="Calibri"/>
                <w:sz w:val="20"/>
              </w:rPr>
              <w:t>111 (59.4)</w:t>
            </w:r>
          </w:p>
        </w:tc>
      </w:tr>
      <w:tr w:rsidR="001E13C2" w:rsidRPr="00593CC5" w14:paraId="1302FF32" w14:textId="77777777" w:rsidTr="0005466A">
        <w:trPr>
          <w:trHeight w:val="264"/>
        </w:trPr>
        <w:tc>
          <w:tcPr>
            <w:tcW w:w="2701" w:type="dxa"/>
            <w:tcBorders>
              <w:top w:val="single" w:sz="4" w:space="0" w:color="000000"/>
              <w:left w:val="single" w:sz="4" w:space="0" w:color="000000"/>
              <w:bottom w:val="single" w:sz="4" w:space="0" w:color="000000"/>
              <w:right w:val="single" w:sz="4" w:space="0" w:color="000000"/>
            </w:tcBorders>
          </w:tcPr>
          <w:p w14:paraId="68E21043" w14:textId="77777777" w:rsidR="001E13C2" w:rsidRPr="00593CC5" w:rsidRDefault="001E13C2">
            <w:pPr>
              <w:kinsoku w:val="0"/>
              <w:overflowPunct w:val="0"/>
              <w:autoSpaceDE w:val="0"/>
              <w:autoSpaceDN w:val="0"/>
              <w:adjustRightInd w:val="0"/>
              <w:spacing w:after="0" w:line="244" w:lineRule="exact"/>
              <w:ind w:left="245"/>
              <w:rPr>
                <w:rFonts w:cs="Calibri"/>
                <w:w w:val="99"/>
                <w:sz w:val="20"/>
              </w:rPr>
            </w:pPr>
            <w:r w:rsidRPr="00593CC5">
              <w:rPr>
                <w:rFonts w:cs="Calibri"/>
                <w:w w:val="99"/>
                <w:sz w:val="20"/>
              </w:rPr>
              <w:t>2</w:t>
            </w:r>
          </w:p>
        </w:tc>
        <w:tc>
          <w:tcPr>
            <w:tcW w:w="2281" w:type="dxa"/>
            <w:tcBorders>
              <w:top w:val="single" w:sz="4" w:space="0" w:color="000000"/>
              <w:left w:val="single" w:sz="4" w:space="0" w:color="000000"/>
              <w:bottom w:val="single" w:sz="4" w:space="0" w:color="000000"/>
              <w:right w:val="single" w:sz="4" w:space="0" w:color="000000"/>
            </w:tcBorders>
          </w:tcPr>
          <w:p w14:paraId="4396D72C" w14:textId="77777777" w:rsidR="001E13C2" w:rsidRPr="00593CC5" w:rsidRDefault="001E13C2">
            <w:pPr>
              <w:kinsoku w:val="0"/>
              <w:overflowPunct w:val="0"/>
              <w:autoSpaceDE w:val="0"/>
              <w:autoSpaceDN w:val="0"/>
              <w:adjustRightInd w:val="0"/>
              <w:spacing w:after="0" w:line="244" w:lineRule="exact"/>
              <w:ind w:left="193" w:right="186"/>
              <w:jc w:val="center"/>
              <w:rPr>
                <w:rFonts w:cs="Calibri"/>
                <w:sz w:val="20"/>
              </w:rPr>
            </w:pPr>
            <w:r w:rsidRPr="00593CC5">
              <w:rPr>
                <w:rFonts w:cs="Calibri"/>
                <w:sz w:val="20"/>
              </w:rPr>
              <w:t>7 (5.7)</w:t>
            </w:r>
          </w:p>
        </w:tc>
        <w:tc>
          <w:tcPr>
            <w:tcW w:w="2127" w:type="dxa"/>
            <w:tcBorders>
              <w:top w:val="single" w:sz="4" w:space="0" w:color="000000"/>
              <w:left w:val="single" w:sz="4" w:space="0" w:color="000000"/>
              <w:bottom w:val="single" w:sz="4" w:space="0" w:color="000000"/>
              <w:right w:val="single" w:sz="4" w:space="0" w:color="000000"/>
            </w:tcBorders>
          </w:tcPr>
          <w:p w14:paraId="0CC97DFE" w14:textId="77777777" w:rsidR="001E13C2" w:rsidRPr="00593CC5" w:rsidRDefault="001E13C2">
            <w:pPr>
              <w:kinsoku w:val="0"/>
              <w:overflowPunct w:val="0"/>
              <w:autoSpaceDE w:val="0"/>
              <w:autoSpaceDN w:val="0"/>
              <w:adjustRightInd w:val="0"/>
              <w:spacing w:after="0" w:line="244" w:lineRule="exact"/>
              <w:ind w:left="194" w:right="186"/>
              <w:jc w:val="center"/>
              <w:rPr>
                <w:rFonts w:cs="Calibri"/>
                <w:sz w:val="20"/>
              </w:rPr>
            </w:pPr>
            <w:r w:rsidRPr="00593CC5">
              <w:rPr>
                <w:rFonts w:cs="Calibri"/>
                <w:sz w:val="20"/>
              </w:rPr>
              <w:t>4 (6.3)</w:t>
            </w:r>
          </w:p>
        </w:tc>
        <w:tc>
          <w:tcPr>
            <w:tcW w:w="2252" w:type="dxa"/>
            <w:tcBorders>
              <w:top w:val="single" w:sz="4" w:space="0" w:color="000000"/>
              <w:left w:val="single" w:sz="4" w:space="0" w:color="000000"/>
              <w:bottom w:val="single" w:sz="4" w:space="0" w:color="000000"/>
              <w:right w:val="single" w:sz="4" w:space="0" w:color="000000"/>
            </w:tcBorders>
          </w:tcPr>
          <w:p w14:paraId="28F325EF" w14:textId="77777777" w:rsidR="001E13C2" w:rsidRPr="00593CC5" w:rsidRDefault="001E13C2">
            <w:pPr>
              <w:kinsoku w:val="0"/>
              <w:overflowPunct w:val="0"/>
              <w:autoSpaceDE w:val="0"/>
              <w:autoSpaceDN w:val="0"/>
              <w:adjustRightInd w:val="0"/>
              <w:spacing w:after="0" w:line="244" w:lineRule="exact"/>
              <w:ind w:left="194" w:right="186"/>
              <w:jc w:val="center"/>
              <w:rPr>
                <w:rFonts w:cs="Calibri"/>
                <w:sz w:val="20"/>
              </w:rPr>
            </w:pPr>
            <w:r w:rsidRPr="00593CC5">
              <w:rPr>
                <w:rFonts w:cs="Calibri"/>
                <w:sz w:val="20"/>
              </w:rPr>
              <w:t>11 (5.9)</w:t>
            </w:r>
          </w:p>
        </w:tc>
      </w:tr>
      <w:tr w:rsidR="001E13C2" w:rsidRPr="00593CC5" w14:paraId="2D9482D6"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7504CB92" w14:textId="77777777" w:rsidR="001E13C2" w:rsidRPr="00593CC5" w:rsidRDefault="001E13C2">
            <w:pPr>
              <w:kinsoku w:val="0"/>
              <w:overflowPunct w:val="0"/>
              <w:autoSpaceDE w:val="0"/>
              <w:autoSpaceDN w:val="0"/>
              <w:adjustRightInd w:val="0"/>
              <w:spacing w:before="1" w:after="0" w:line="242" w:lineRule="exact"/>
              <w:ind w:left="245"/>
              <w:rPr>
                <w:rFonts w:cs="Calibri"/>
                <w:w w:val="99"/>
                <w:sz w:val="20"/>
              </w:rPr>
            </w:pPr>
            <w:r w:rsidRPr="00593CC5">
              <w:rPr>
                <w:rFonts w:cs="Calibri"/>
                <w:w w:val="99"/>
                <w:sz w:val="20"/>
              </w:rPr>
              <w:t>3</w:t>
            </w:r>
          </w:p>
        </w:tc>
        <w:tc>
          <w:tcPr>
            <w:tcW w:w="2281" w:type="dxa"/>
            <w:tcBorders>
              <w:top w:val="single" w:sz="4" w:space="0" w:color="000000"/>
              <w:left w:val="single" w:sz="4" w:space="0" w:color="000000"/>
              <w:bottom w:val="single" w:sz="4" w:space="0" w:color="000000"/>
              <w:right w:val="single" w:sz="4" w:space="0" w:color="000000"/>
            </w:tcBorders>
          </w:tcPr>
          <w:p w14:paraId="540298E6" w14:textId="77777777" w:rsidR="001E13C2" w:rsidRPr="00593CC5" w:rsidRDefault="001E13C2">
            <w:pPr>
              <w:kinsoku w:val="0"/>
              <w:overflowPunct w:val="0"/>
              <w:autoSpaceDE w:val="0"/>
              <w:autoSpaceDN w:val="0"/>
              <w:adjustRightInd w:val="0"/>
              <w:spacing w:before="1" w:after="0" w:line="242" w:lineRule="exact"/>
              <w:ind w:right="33"/>
              <w:jc w:val="center"/>
              <w:rPr>
                <w:rFonts w:cs="Calibri"/>
                <w:w w:val="99"/>
                <w:sz w:val="20"/>
              </w:rPr>
            </w:pPr>
            <w:r w:rsidRPr="00593CC5">
              <w:rPr>
                <w:rFonts w:cs="Calibri"/>
                <w:w w:val="99"/>
                <w:sz w:val="20"/>
              </w:rPr>
              <w:t>0</w:t>
            </w:r>
          </w:p>
        </w:tc>
        <w:tc>
          <w:tcPr>
            <w:tcW w:w="2127" w:type="dxa"/>
            <w:tcBorders>
              <w:top w:val="single" w:sz="4" w:space="0" w:color="000000"/>
              <w:left w:val="single" w:sz="4" w:space="0" w:color="000000"/>
              <w:bottom w:val="single" w:sz="4" w:space="0" w:color="000000"/>
              <w:right w:val="single" w:sz="4" w:space="0" w:color="000000"/>
            </w:tcBorders>
          </w:tcPr>
          <w:p w14:paraId="02B088F3" w14:textId="77777777" w:rsidR="001E13C2" w:rsidRPr="00593CC5" w:rsidRDefault="001E13C2">
            <w:pPr>
              <w:kinsoku w:val="0"/>
              <w:overflowPunct w:val="0"/>
              <w:autoSpaceDE w:val="0"/>
              <w:autoSpaceDN w:val="0"/>
              <w:adjustRightInd w:val="0"/>
              <w:spacing w:before="1" w:after="0" w:line="242" w:lineRule="exact"/>
              <w:ind w:right="33"/>
              <w:jc w:val="center"/>
              <w:rPr>
                <w:rFonts w:cs="Calibri"/>
                <w:w w:val="99"/>
                <w:sz w:val="20"/>
              </w:rPr>
            </w:pPr>
            <w:r w:rsidRPr="00593CC5">
              <w:rPr>
                <w:rFonts w:cs="Calibri"/>
                <w:w w:val="99"/>
                <w:sz w:val="20"/>
              </w:rPr>
              <w:t>0</w:t>
            </w:r>
          </w:p>
        </w:tc>
        <w:tc>
          <w:tcPr>
            <w:tcW w:w="2252" w:type="dxa"/>
            <w:tcBorders>
              <w:top w:val="single" w:sz="4" w:space="0" w:color="000000"/>
              <w:left w:val="single" w:sz="4" w:space="0" w:color="000000"/>
              <w:bottom w:val="single" w:sz="4" w:space="0" w:color="000000"/>
              <w:right w:val="single" w:sz="4" w:space="0" w:color="000000"/>
            </w:tcBorders>
          </w:tcPr>
          <w:p w14:paraId="49827A24" w14:textId="77777777" w:rsidR="001E13C2" w:rsidRPr="00593CC5" w:rsidRDefault="001E13C2">
            <w:pPr>
              <w:kinsoku w:val="0"/>
              <w:overflowPunct w:val="0"/>
              <w:autoSpaceDE w:val="0"/>
              <w:autoSpaceDN w:val="0"/>
              <w:adjustRightInd w:val="0"/>
              <w:spacing w:before="1" w:after="0" w:line="242" w:lineRule="exact"/>
              <w:ind w:right="31"/>
              <w:jc w:val="center"/>
              <w:rPr>
                <w:rFonts w:cs="Calibri"/>
                <w:w w:val="99"/>
                <w:sz w:val="20"/>
              </w:rPr>
            </w:pPr>
            <w:r w:rsidRPr="00593CC5">
              <w:rPr>
                <w:rFonts w:cs="Calibri"/>
                <w:w w:val="99"/>
                <w:sz w:val="20"/>
              </w:rPr>
              <w:t>0</w:t>
            </w:r>
          </w:p>
        </w:tc>
      </w:tr>
      <w:tr w:rsidR="001E13C2" w:rsidRPr="00593CC5" w14:paraId="1CD5D670" w14:textId="77777777" w:rsidTr="0005466A">
        <w:trPr>
          <w:trHeight w:val="513"/>
        </w:trPr>
        <w:tc>
          <w:tcPr>
            <w:tcW w:w="2701" w:type="dxa"/>
            <w:tcBorders>
              <w:top w:val="single" w:sz="4" w:space="0" w:color="000000"/>
              <w:left w:val="single" w:sz="4" w:space="0" w:color="000000"/>
              <w:bottom w:val="single" w:sz="4" w:space="0" w:color="000000"/>
              <w:right w:val="single" w:sz="4" w:space="0" w:color="000000"/>
            </w:tcBorders>
          </w:tcPr>
          <w:p w14:paraId="356C085C" w14:textId="77777777" w:rsidR="001E13C2" w:rsidRPr="00593CC5" w:rsidRDefault="001E13C2">
            <w:pPr>
              <w:kinsoku w:val="0"/>
              <w:overflowPunct w:val="0"/>
              <w:autoSpaceDE w:val="0"/>
              <w:autoSpaceDN w:val="0"/>
              <w:adjustRightInd w:val="0"/>
              <w:spacing w:before="1" w:after="0" w:line="240" w:lineRule="auto"/>
              <w:ind w:left="108" w:right="288"/>
              <w:rPr>
                <w:rFonts w:cs="Calibri"/>
                <w:b/>
                <w:bCs/>
                <w:sz w:val="20"/>
              </w:rPr>
            </w:pPr>
            <w:r w:rsidRPr="00593CC5">
              <w:rPr>
                <w:rFonts w:cs="Calibri"/>
                <w:b/>
                <w:bCs/>
                <w:sz w:val="20"/>
              </w:rPr>
              <w:t>Baseline</w:t>
            </w:r>
            <w:r w:rsidRPr="00593CC5">
              <w:rPr>
                <w:rFonts w:cs="Calibri"/>
                <w:b/>
                <w:bCs/>
                <w:spacing w:val="-12"/>
                <w:sz w:val="20"/>
              </w:rPr>
              <w:t xml:space="preserve"> </w:t>
            </w:r>
            <w:r w:rsidRPr="00593CC5">
              <w:rPr>
                <w:rFonts w:cs="Calibri"/>
                <w:b/>
                <w:bCs/>
                <w:sz w:val="20"/>
              </w:rPr>
              <w:t>bone</w:t>
            </w:r>
            <w:r w:rsidRPr="00593CC5">
              <w:rPr>
                <w:rFonts w:cs="Calibri"/>
                <w:b/>
                <w:bCs/>
                <w:spacing w:val="-11"/>
                <w:sz w:val="20"/>
              </w:rPr>
              <w:t xml:space="preserve"> </w:t>
            </w:r>
            <w:r w:rsidRPr="00593CC5">
              <w:rPr>
                <w:rFonts w:cs="Calibri"/>
                <w:b/>
                <w:bCs/>
                <w:sz w:val="20"/>
              </w:rPr>
              <w:t>marrow plasma cells</w:t>
            </w:r>
          </w:p>
        </w:tc>
        <w:tc>
          <w:tcPr>
            <w:tcW w:w="2281" w:type="dxa"/>
            <w:tcBorders>
              <w:top w:val="single" w:sz="4" w:space="0" w:color="000000"/>
              <w:left w:val="single" w:sz="4" w:space="0" w:color="000000"/>
              <w:bottom w:val="single" w:sz="4" w:space="0" w:color="000000"/>
              <w:right w:val="single" w:sz="4" w:space="0" w:color="000000"/>
            </w:tcBorders>
          </w:tcPr>
          <w:p w14:paraId="0C89893E" w14:textId="77777777" w:rsidR="001E13C2" w:rsidRPr="00593CC5" w:rsidRDefault="001E13C2">
            <w:pPr>
              <w:kinsoku w:val="0"/>
              <w:overflowPunct w:val="0"/>
              <w:autoSpaceDE w:val="0"/>
              <w:autoSpaceDN w:val="0"/>
              <w:adjustRightInd w:val="0"/>
              <w:spacing w:after="0" w:line="240" w:lineRule="auto"/>
              <w:rPr>
                <w:sz w:val="20"/>
              </w:rPr>
            </w:pPr>
          </w:p>
        </w:tc>
        <w:tc>
          <w:tcPr>
            <w:tcW w:w="2127" w:type="dxa"/>
            <w:tcBorders>
              <w:top w:val="single" w:sz="4" w:space="0" w:color="000000"/>
              <w:left w:val="single" w:sz="4" w:space="0" w:color="000000"/>
              <w:bottom w:val="single" w:sz="4" w:space="0" w:color="000000"/>
              <w:right w:val="single" w:sz="4" w:space="0" w:color="000000"/>
            </w:tcBorders>
          </w:tcPr>
          <w:p w14:paraId="1362BE82" w14:textId="77777777" w:rsidR="001E13C2" w:rsidRPr="00593CC5" w:rsidRDefault="001E13C2">
            <w:pPr>
              <w:kinsoku w:val="0"/>
              <w:overflowPunct w:val="0"/>
              <w:autoSpaceDE w:val="0"/>
              <w:autoSpaceDN w:val="0"/>
              <w:adjustRightInd w:val="0"/>
              <w:spacing w:after="0" w:line="240" w:lineRule="auto"/>
              <w:rPr>
                <w:sz w:val="20"/>
              </w:rPr>
            </w:pPr>
          </w:p>
        </w:tc>
        <w:tc>
          <w:tcPr>
            <w:tcW w:w="2252" w:type="dxa"/>
            <w:tcBorders>
              <w:top w:val="single" w:sz="4" w:space="0" w:color="000000"/>
              <w:left w:val="single" w:sz="4" w:space="0" w:color="000000"/>
              <w:bottom w:val="single" w:sz="4" w:space="0" w:color="000000"/>
              <w:right w:val="single" w:sz="4" w:space="0" w:color="000000"/>
            </w:tcBorders>
          </w:tcPr>
          <w:p w14:paraId="4E33306E" w14:textId="77777777" w:rsidR="001E13C2" w:rsidRPr="00593CC5" w:rsidRDefault="001E13C2">
            <w:pPr>
              <w:kinsoku w:val="0"/>
              <w:overflowPunct w:val="0"/>
              <w:autoSpaceDE w:val="0"/>
              <w:autoSpaceDN w:val="0"/>
              <w:adjustRightInd w:val="0"/>
              <w:spacing w:after="0" w:line="240" w:lineRule="auto"/>
              <w:rPr>
                <w:sz w:val="20"/>
              </w:rPr>
            </w:pPr>
          </w:p>
        </w:tc>
      </w:tr>
      <w:tr w:rsidR="001E13C2" w:rsidRPr="00593CC5" w14:paraId="538ABC06"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52903E6F" w14:textId="77777777" w:rsidR="001E13C2" w:rsidRPr="00593CC5" w:rsidRDefault="001E13C2">
            <w:pPr>
              <w:kinsoku w:val="0"/>
              <w:overflowPunct w:val="0"/>
              <w:autoSpaceDE w:val="0"/>
              <w:autoSpaceDN w:val="0"/>
              <w:adjustRightInd w:val="0"/>
              <w:spacing w:before="1" w:after="0" w:line="242" w:lineRule="exact"/>
              <w:ind w:left="245"/>
              <w:rPr>
                <w:rFonts w:cs="Calibri"/>
                <w:sz w:val="20"/>
              </w:rPr>
            </w:pPr>
            <w:r w:rsidRPr="00593CC5">
              <w:rPr>
                <w:rFonts w:cs="Calibri"/>
                <w:sz w:val="20"/>
              </w:rPr>
              <w:t>&lt; 50%</w:t>
            </w:r>
          </w:p>
        </w:tc>
        <w:tc>
          <w:tcPr>
            <w:tcW w:w="2281" w:type="dxa"/>
            <w:tcBorders>
              <w:top w:val="single" w:sz="4" w:space="0" w:color="000000"/>
              <w:left w:val="single" w:sz="4" w:space="0" w:color="000000"/>
              <w:bottom w:val="single" w:sz="4" w:space="0" w:color="000000"/>
              <w:right w:val="single" w:sz="4" w:space="0" w:color="000000"/>
            </w:tcBorders>
          </w:tcPr>
          <w:p w14:paraId="02B80790"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89 (72.4)</w:t>
            </w:r>
          </w:p>
        </w:tc>
        <w:tc>
          <w:tcPr>
            <w:tcW w:w="2127" w:type="dxa"/>
            <w:tcBorders>
              <w:top w:val="single" w:sz="4" w:space="0" w:color="000000"/>
              <w:left w:val="single" w:sz="4" w:space="0" w:color="000000"/>
              <w:bottom w:val="single" w:sz="4" w:space="0" w:color="000000"/>
              <w:right w:val="single" w:sz="4" w:space="0" w:color="000000"/>
            </w:tcBorders>
          </w:tcPr>
          <w:p w14:paraId="6906CD9E" w14:textId="77777777" w:rsidR="001E13C2" w:rsidRPr="00593CC5" w:rsidRDefault="001E13C2">
            <w:pPr>
              <w:kinsoku w:val="0"/>
              <w:overflowPunct w:val="0"/>
              <w:autoSpaceDE w:val="0"/>
              <w:autoSpaceDN w:val="0"/>
              <w:adjustRightInd w:val="0"/>
              <w:spacing w:before="1" w:after="0" w:line="242" w:lineRule="exact"/>
              <w:ind w:right="738"/>
              <w:jc w:val="right"/>
              <w:rPr>
                <w:rFonts w:cs="Calibri"/>
                <w:sz w:val="20"/>
              </w:rPr>
            </w:pPr>
            <w:r w:rsidRPr="00593CC5">
              <w:rPr>
                <w:rFonts w:cs="Calibri"/>
                <w:sz w:val="20"/>
              </w:rPr>
              <w:t>44 (68.8)</w:t>
            </w:r>
          </w:p>
        </w:tc>
        <w:tc>
          <w:tcPr>
            <w:tcW w:w="2252" w:type="dxa"/>
            <w:tcBorders>
              <w:top w:val="single" w:sz="4" w:space="0" w:color="000000"/>
              <w:left w:val="single" w:sz="4" w:space="0" w:color="000000"/>
              <w:bottom w:val="single" w:sz="4" w:space="0" w:color="000000"/>
              <w:right w:val="single" w:sz="4" w:space="0" w:color="000000"/>
            </w:tcBorders>
          </w:tcPr>
          <w:p w14:paraId="450B09FB"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133 (71.1)</w:t>
            </w:r>
          </w:p>
        </w:tc>
      </w:tr>
      <w:tr w:rsidR="001E13C2" w:rsidRPr="00593CC5" w14:paraId="68F46E8F"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0C5C03DB" w14:textId="77777777" w:rsidR="001E13C2" w:rsidRPr="00593CC5" w:rsidRDefault="001E13C2">
            <w:pPr>
              <w:kinsoku w:val="0"/>
              <w:overflowPunct w:val="0"/>
              <w:autoSpaceDE w:val="0"/>
              <w:autoSpaceDN w:val="0"/>
              <w:adjustRightInd w:val="0"/>
              <w:spacing w:before="1" w:after="0" w:line="242" w:lineRule="exact"/>
              <w:ind w:left="245"/>
              <w:rPr>
                <w:rFonts w:cs="Calibri"/>
                <w:spacing w:val="-4"/>
                <w:sz w:val="20"/>
              </w:rPr>
            </w:pPr>
            <w:r w:rsidRPr="00593CC5">
              <w:rPr>
                <w:rFonts w:cs="Calibri"/>
                <w:spacing w:val="-4"/>
                <w:sz w:val="20"/>
              </w:rPr>
              <w:t>≥50%</w:t>
            </w:r>
          </w:p>
        </w:tc>
        <w:tc>
          <w:tcPr>
            <w:tcW w:w="2281" w:type="dxa"/>
            <w:tcBorders>
              <w:top w:val="single" w:sz="4" w:space="0" w:color="000000"/>
              <w:left w:val="single" w:sz="4" w:space="0" w:color="000000"/>
              <w:bottom w:val="single" w:sz="4" w:space="0" w:color="000000"/>
              <w:right w:val="single" w:sz="4" w:space="0" w:color="000000"/>
            </w:tcBorders>
          </w:tcPr>
          <w:p w14:paraId="410C9B96"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26 (21.1)</w:t>
            </w:r>
          </w:p>
        </w:tc>
        <w:tc>
          <w:tcPr>
            <w:tcW w:w="2127" w:type="dxa"/>
            <w:tcBorders>
              <w:top w:val="single" w:sz="4" w:space="0" w:color="000000"/>
              <w:left w:val="single" w:sz="4" w:space="0" w:color="000000"/>
              <w:bottom w:val="single" w:sz="4" w:space="0" w:color="000000"/>
              <w:right w:val="single" w:sz="4" w:space="0" w:color="000000"/>
            </w:tcBorders>
          </w:tcPr>
          <w:p w14:paraId="1BB997B8" w14:textId="77777777" w:rsidR="001E13C2" w:rsidRPr="00593CC5" w:rsidRDefault="001E13C2">
            <w:pPr>
              <w:kinsoku w:val="0"/>
              <w:overflowPunct w:val="0"/>
              <w:autoSpaceDE w:val="0"/>
              <w:autoSpaceDN w:val="0"/>
              <w:adjustRightInd w:val="0"/>
              <w:spacing w:before="1" w:after="0" w:line="242" w:lineRule="exact"/>
              <w:ind w:right="738"/>
              <w:jc w:val="right"/>
              <w:rPr>
                <w:rFonts w:cs="Calibri"/>
                <w:sz w:val="20"/>
              </w:rPr>
            </w:pPr>
            <w:r w:rsidRPr="00593CC5">
              <w:rPr>
                <w:rFonts w:cs="Calibri"/>
                <w:sz w:val="20"/>
              </w:rPr>
              <w:t>11 (17.2)</w:t>
            </w:r>
          </w:p>
        </w:tc>
        <w:tc>
          <w:tcPr>
            <w:tcW w:w="2252" w:type="dxa"/>
            <w:tcBorders>
              <w:top w:val="single" w:sz="4" w:space="0" w:color="000000"/>
              <w:left w:val="single" w:sz="4" w:space="0" w:color="000000"/>
              <w:bottom w:val="single" w:sz="4" w:space="0" w:color="000000"/>
              <w:right w:val="single" w:sz="4" w:space="0" w:color="000000"/>
            </w:tcBorders>
          </w:tcPr>
          <w:p w14:paraId="39FE3999"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37 (19.8)</w:t>
            </w:r>
          </w:p>
        </w:tc>
      </w:tr>
      <w:tr w:rsidR="001E13C2" w:rsidRPr="00593CC5" w14:paraId="3E96FB2B"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044244D6" w14:textId="77777777" w:rsidR="001E13C2" w:rsidRPr="00593CC5" w:rsidRDefault="001E13C2">
            <w:pPr>
              <w:kinsoku w:val="0"/>
              <w:overflowPunct w:val="0"/>
              <w:autoSpaceDE w:val="0"/>
              <w:autoSpaceDN w:val="0"/>
              <w:adjustRightInd w:val="0"/>
              <w:spacing w:before="1" w:after="0" w:line="242" w:lineRule="exact"/>
              <w:ind w:left="245"/>
              <w:rPr>
                <w:rFonts w:cs="Calibri"/>
                <w:spacing w:val="-2"/>
                <w:sz w:val="20"/>
              </w:rPr>
            </w:pPr>
            <w:r w:rsidRPr="00593CC5">
              <w:rPr>
                <w:rFonts w:cs="Calibri"/>
                <w:spacing w:val="-2"/>
                <w:sz w:val="20"/>
              </w:rPr>
              <w:t>Missing</w:t>
            </w:r>
          </w:p>
        </w:tc>
        <w:tc>
          <w:tcPr>
            <w:tcW w:w="2281" w:type="dxa"/>
            <w:tcBorders>
              <w:top w:val="single" w:sz="4" w:space="0" w:color="000000"/>
              <w:left w:val="single" w:sz="4" w:space="0" w:color="000000"/>
              <w:bottom w:val="single" w:sz="4" w:space="0" w:color="000000"/>
              <w:right w:val="single" w:sz="4" w:space="0" w:color="000000"/>
            </w:tcBorders>
          </w:tcPr>
          <w:p w14:paraId="7D5773E5" w14:textId="77777777" w:rsidR="001E13C2" w:rsidRPr="00593CC5" w:rsidRDefault="001E13C2">
            <w:pPr>
              <w:kinsoku w:val="0"/>
              <w:overflowPunct w:val="0"/>
              <w:autoSpaceDE w:val="0"/>
              <w:autoSpaceDN w:val="0"/>
              <w:adjustRightInd w:val="0"/>
              <w:spacing w:before="1" w:after="0" w:line="242" w:lineRule="exact"/>
              <w:ind w:left="193" w:right="186"/>
              <w:jc w:val="center"/>
              <w:rPr>
                <w:rFonts w:cs="Calibri"/>
                <w:sz w:val="20"/>
              </w:rPr>
            </w:pPr>
            <w:r w:rsidRPr="00593CC5">
              <w:rPr>
                <w:rFonts w:cs="Calibri"/>
                <w:sz w:val="20"/>
              </w:rPr>
              <w:t>8 (6.5)</w:t>
            </w:r>
          </w:p>
        </w:tc>
        <w:tc>
          <w:tcPr>
            <w:tcW w:w="2127" w:type="dxa"/>
            <w:tcBorders>
              <w:top w:val="single" w:sz="4" w:space="0" w:color="000000"/>
              <w:left w:val="single" w:sz="4" w:space="0" w:color="000000"/>
              <w:bottom w:val="single" w:sz="4" w:space="0" w:color="000000"/>
              <w:right w:val="single" w:sz="4" w:space="0" w:color="000000"/>
            </w:tcBorders>
          </w:tcPr>
          <w:p w14:paraId="1F061433" w14:textId="77777777" w:rsidR="001E13C2" w:rsidRPr="00593CC5" w:rsidRDefault="001E13C2">
            <w:pPr>
              <w:kinsoku w:val="0"/>
              <w:overflowPunct w:val="0"/>
              <w:autoSpaceDE w:val="0"/>
              <w:autoSpaceDN w:val="0"/>
              <w:adjustRightInd w:val="0"/>
              <w:spacing w:before="1" w:after="0" w:line="242" w:lineRule="exact"/>
              <w:ind w:right="788"/>
              <w:jc w:val="right"/>
              <w:rPr>
                <w:rFonts w:cs="Calibri"/>
                <w:sz w:val="20"/>
              </w:rPr>
            </w:pPr>
            <w:r w:rsidRPr="00593CC5">
              <w:rPr>
                <w:rFonts w:cs="Calibri"/>
                <w:sz w:val="20"/>
              </w:rPr>
              <w:t>9 (14.1)</w:t>
            </w:r>
          </w:p>
        </w:tc>
        <w:tc>
          <w:tcPr>
            <w:tcW w:w="2252" w:type="dxa"/>
            <w:tcBorders>
              <w:top w:val="single" w:sz="4" w:space="0" w:color="000000"/>
              <w:left w:val="single" w:sz="4" w:space="0" w:color="000000"/>
              <w:bottom w:val="single" w:sz="4" w:space="0" w:color="000000"/>
              <w:right w:val="single" w:sz="4" w:space="0" w:color="000000"/>
            </w:tcBorders>
          </w:tcPr>
          <w:p w14:paraId="4741B3AE" w14:textId="77777777" w:rsidR="001E13C2" w:rsidRPr="00593CC5" w:rsidRDefault="001E13C2">
            <w:pPr>
              <w:kinsoku w:val="0"/>
              <w:overflowPunct w:val="0"/>
              <w:autoSpaceDE w:val="0"/>
              <w:autoSpaceDN w:val="0"/>
              <w:adjustRightInd w:val="0"/>
              <w:spacing w:before="1" w:after="0" w:line="242" w:lineRule="exact"/>
              <w:ind w:left="194" w:right="186"/>
              <w:jc w:val="center"/>
              <w:rPr>
                <w:rFonts w:cs="Calibri"/>
                <w:sz w:val="20"/>
              </w:rPr>
            </w:pPr>
            <w:r w:rsidRPr="00593CC5">
              <w:rPr>
                <w:rFonts w:cs="Calibri"/>
                <w:sz w:val="20"/>
              </w:rPr>
              <w:t>17 (9.1)</w:t>
            </w:r>
          </w:p>
        </w:tc>
      </w:tr>
      <w:tr w:rsidR="001E13C2" w:rsidRPr="00593CC5" w14:paraId="361E454D"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412E7C1C" w14:textId="77777777" w:rsidR="001E13C2" w:rsidRPr="00593CC5" w:rsidRDefault="001E13C2">
            <w:pPr>
              <w:kinsoku w:val="0"/>
              <w:overflowPunct w:val="0"/>
              <w:autoSpaceDE w:val="0"/>
              <w:autoSpaceDN w:val="0"/>
              <w:adjustRightInd w:val="0"/>
              <w:spacing w:before="1" w:after="0" w:line="242" w:lineRule="exact"/>
              <w:ind w:left="108"/>
              <w:rPr>
                <w:rFonts w:cs="Calibri"/>
                <w:b/>
                <w:bCs/>
                <w:sz w:val="20"/>
              </w:rPr>
            </w:pPr>
            <w:r w:rsidRPr="00593CC5">
              <w:rPr>
                <w:rFonts w:cs="Calibri"/>
                <w:b/>
                <w:bCs/>
                <w:sz w:val="20"/>
              </w:rPr>
              <w:t>Cytogenetic Risk</w:t>
            </w:r>
          </w:p>
        </w:tc>
        <w:tc>
          <w:tcPr>
            <w:tcW w:w="2281" w:type="dxa"/>
            <w:tcBorders>
              <w:top w:val="single" w:sz="4" w:space="0" w:color="000000"/>
              <w:left w:val="single" w:sz="4" w:space="0" w:color="000000"/>
              <w:bottom w:val="single" w:sz="4" w:space="0" w:color="000000"/>
              <w:right w:val="single" w:sz="4" w:space="0" w:color="000000"/>
            </w:tcBorders>
          </w:tcPr>
          <w:p w14:paraId="2F5C0FB2" w14:textId="77777777" w:rsidR="001E13C2" w:rsidRPr="00593CC5" w:rsidRDefault="001E13C2">
            <w:pPr>
              <w:kinsoku w:val="0"/>
              <w:overflowPunct w:val="0"/>
              <w:autoSpaceDE w:val="0"/>
              <w:autoSpaceDN w:val="0"/>
              <w:adjustRightInd w:val="0"/>
              <w:spacing w:after="0" w:line="240" w:lineRule="auto"/>
              <w:rPr>
                <w:sz w:val="20"/>
              </w:rPr>
            </w:pPr>
          </w:p>
        </w:tc>
        <w:tc>
          <w:tcPr>
            <w:tcW w:w="2127" w:type="dxa"/>
            <w:tcBorders>
              <w:top w:val="single" w:sz="4" w:space="0" w:color="000000"/>
              <w:left w:val="single" w:sz="4" w:space="0" w:color="000000"/>
              <w:bottom w:val="single" w:sz="4" w:space="0" w:color="000000"/>
              <w:right w:val="single" w:sz="4" w:space="0" w:color="000000"/>
            </w:tcBorders>
          </w:tcPr>
          <w:p w14:paraId="79D2EB1D" w14:textId="77777777" w:rsidR="001E13C2" w:rsidRPr="00593CC5" w:rsidRDefault="001E13C2">
            <w:pPr>
              <w:kinsoku w:val="0"/>
              <w:overflowPunct w:val="0"/>
              <w:autoSpaceDE w:val="0"/>
              <w:autoSpaceDN w:val="0"/>
              <w:adjustRightInd w:val="0"/>
              <w:spacing w:after="0" w:line="240" w:lineRule="auto"/>
              <w:rPr>
                <w:sz w:val="20"/>
              </w:rPr>
            </w:pPr>
          </w:p>
        </w:tc>
        <w:tc>
          <w:tcPr>
            <w:tcW w:w="2252" w:type="dxa"/>
            <w:tcBorders>
              <w:top w:val="single" w:sz="4" w:space="0" w:color="000000"/>
              <w:left w:val="single" w:sz="4" w:space="0" w:color="000000"/>
              <w:bottom w:val="single" w:sz="4" w:space="0" w:color="000000"/>
              <w:right w:val="single" w:sz="4" w:space="0" w:color="000000"/>
            </w:tcBorders>
          </w:tcPr>
          <w:p w14:paraId="2B92B45E" w14:textId="77777777" w:rsidR="001E13C2" w:rsidRPr="00593CC5" w:rsidRDefault="001E13C2">
            <w:pPr>
              <w:kinsoku w:val="0"/>
              <w:overflowPunct w:val="0"/>
              <w:autoSpaceDE w:val="0"/>
              <w:autoSpaceDN w:val="0"/>
              <w:adjustRightInd w:val="0"/>
              <w:spacing w:after="0" w:line="240" w:lineRule="auto"/>
              <w:rPr>
                <w:sz w:val="20"/>
              </w:rPr>
            </w:pPr>
          </w:p>
        </w:tc>
      </w:tr>
      <w:tr w:rsidR="001E13C2" w:rsidRPr="00593CC5" w14:paraId="21C84891" w14:textId="77777777" w:rsidTr="0005466A">
        <w:trPr>
          <w:trHeight w:val="266"/>
        </w:trPr>
        <w:tc>
          <w:tcPr>
            <w:tcW w:w="2701" w:type="dxa"/>
            <w:tcBorders>
              <w:top w:val="single" w:sz="4" w:space="0" w:color="000000"/>
              <w:left w:val="single" w:sz="4" w:space="0" w:color="000000"/>
              <w:bottom w:val="single" w:sz="4" w:space="0" w:color="000000"/>
              <w:right w:val="single" w:sz="4" w:space="0" w:color="000000"/>
            </w:tcBorders>
          </w:tcPr>
          <w:p w14:paraId="42557BEE" w14:textId="77777777" w:rsidR="001E13C2" w:rsidRPr="00593CC5" w:rsidRDefault="001E13C2">
            <w:pPr>
              <w:kinsoku w:val="0"/>
              <w:overflowPunct w:val="0"/>
              <w:autoSpaceDE w:val="0"/>
              <w:autoSpaceDN w:val="0"/>
              <w:adjustRightInd w:val="0"/>
              <w:spacing w:before="1" w:after="0" w:line="240" w:lineRule="auto"/>
              <w:ind w:left="245"/>
              <w:rPr>
                <w:rFonts w:cs="Calibri"/>
                <w:sz w:val="20"/>
              </w:rPr>
            </w:pPr>
            <w:r w:rsidRPr="00593CC5">
              <w:rPr>
                <w:rFonts w:cs="Calibri"/>
                <w:sz w:val="20"/>
              </w:rPr>
              <w:t>Standard Risk</w:t>
            </w:r>
          </w:p>
        </w:tc>
        <w:tc>
          <w:tcPr>
            <w:tcW w:w="2281" w:type="dxa"/>
            <w:tcBorders>
              <w:top w:val="single" w:sz="4" w:space="0" w:color="000000"/>
              <w:left w:val="single" w:sz="4" w:space="0" w:color="000000"/>
              <w:bottom w:val="single" w:sz="4" w:space="0" w:color="000000"/>
              <w:right w:val="single" w:sz="4" w:space="0" w:color="000000"/>
            </w:tcBorders>
          </w:tcPr>
          <w:p w14:paraId="648034F2" w14:textId="77777777" w:rsidR="001E13C2" w:rsidRPr="00593CC5" w:rsidRDefault="001E13C2">
            <w:pPr>
              <w:kinsoku w:val="0"/>
              <w:overflowPunct w:val="0"/>
              <w:autoSpaceDE w:val="0"/>
              <w:autoSpaceDN w:val="0"/>
              <w:adjustRightInd w:val="0"/>
              <w:spacing w:before="1" w:after="0" w:line="240" w:lineRule="auto"/>
              <w:ind w:left="191" w:right="186"/>
              <w:jc w:val="center"/>
              <w:rPr>
                <w:rFonts w:cs="Calibri"/>
                <w:sz w:val="20"/>
              </w:rPr>
            </w:pPr>
            <w:r w:rsidRPr="00593CC5">
              <w:rPr>
                <w:rFonts w:cs="Calibri"/>
                <w:sz w:val="20"/>
              </w:rPr>
              <w:t>83 (67.5)</w:t>
            </w:r>
          </w:p>
        </w:tc>
        <w:tc>
          <w:tcPr>
            <w:tcW w:w="2127" w:type="dxa"/>
            <w:tcBorders>
              <w:top w:val="single" w:sz="4" w:space="0" w:color="000000"/>
              <w:left w:val="single" w:sz="4" w:space="0" w:color="000000"/>
              <w:bottom w:val="single" w:sz="4" w:space="0" w:color="000000"/>
              <w:right w:val="single" w:sz="4" w:space="0" w:color="000000"/>
            </w:tcBorders>
          </w:tcPr>
          <w:p w14:paraId="257C1FCD" w14:textId="77777777" w:rsidR="001E13C2" w:rsidRPr="00593CC5" w:rsidRDefault="001E13C2">
            <w:pPr>
              <w:kinsoku w:val="0"/>
              <w:overflowPunct w:val="0"/>
              <w:autoSpaceDE w:val="0"/>
              <w:autoSpaceDN w:val="0"/>
              <w:adjustRightInd w:val="0"/>
              <w:spacing w:before="1" w:after="0" w:line="240" w:lineRule="auto"/>
              <w:ind w:right="738"/>
              <w:jc w:val="right"/>
              <w:rPr>
                <w:rFonts w:cs="Calibri"/>
                <w:sz w:val="20"/>
              </w:rPr>
            </w:pPr>
            <w:r w:rsidRPr="00593CC5">
              <w:rPr>
                <w:rFonts w:cs="Calibri"/>
                <w:sz w:val="20"/>
              </w:rPr>
              <w:t>42 (65.6)</w:t>
            </w:r>
          </w:p>
        </w:tc>
        <w:tc>
          <w:tcPr>
            <w:tcW w:w="2252" w:type="dxa"/>
            <w:tcBorders>
              <w:top w:val="single" w:sz="4" w:space="0" w:color="000000"/>
              <w:left w:val="single" w:sz="4" w:space="0" w:color="000000"/>
              <w:bottom w:val="single" w:sz="4" w:space="0" w:color="000000"/>
              <w:right w:val="single" w:sz="4" w:space="0" w:color="000000"/>
            </w:tcBorders>
          </w:tcPr>
          <w:p w14:paraId="25DCC6ED" w14:textId="77777777" w:rsidR="001E13C2" w:rsidRPr="00593CC5" w:rsidRDefault="001E13C2">
            <w:pPr>
              <w:kinsoku w:val="0"/>
              <w:overflowPunct w:val="0"/>
              <w:autoSpaceDE w:val="0"/>
              <w:autoSpaceDN w:val="0"/>
              <w:adjustRightInd w:val="0"/>
              <w:spacing w:before="1" w:after="0" w:line="240" w:lineRule="auto"/>
              <w:ind w:left="191" w:right="186"/>
              <w:jc w:val="center"/>
              <w:rPr>
                <w:rFonts w:cs="Calibri"/>
                <w:sz w:val="20"/>
              </w:rPr>
            </w:pPr>
            <w:r w:rsidRPr="00593CC5">
              <w:rPr>
                <w:rFonts w:cs="Calibri"/>
                <w:sz w:val="20"/>
              </w:rPr>
              <w:t>125 (66.8)</w:t>
            </w:r>
          </w:p>
        </w:tc>
      </w:tr>
      <w:tr w:rsidR="001E13C2" w:rsidRPr="00593CC5" w14:paraId="0EB4BF68"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1B94ADAE" w14:textId="77777777" w:rsidR="001E13C2" w:rsidRPr="00593CC5" w:rsidRDefault="001E13C2">
            <w:pPr>
              <w:kinsoku w:val="0"/>
              <w:overflowPunct w:val="0"/>
              <w:autoSpaceDE w:val="0"/>
              <w:autoSpaceDN w:val="0"/>
              <w:adjustRightInd w:val="0"/>
              <w:spacing w:before="1" w:after="0" w:line="242" w:lineRule="exact"/>
              <w:ind w:left="245"/>
              <w:rPr>
                <w:rFonts w:cs="Calibri"/>
                <w:spacing w:val="-2"/>
                <w:sz w:val="20"/>
              </w:rPr>
            </w:pPr>
            <w:r w:rsidRPr="00593CC5">
              <w:rPr>
                <w:rFonts w:cs="Calibri"/>
                <w:spacing w:val="-2"/>
                <w:sz w:val="20"/>
              </w:rPr>
              <w:t>High-Risk</w:t>
            </w:r>
          </w:p>
        </w:tc>
        <w:tc>
          <w:tcPr>
            <w:tcW w:w="2281" w:type="dxa"/>
            <w:tcBorders>
              <w:top w:val="single" w:sz="4" w:space="0" w:color="000000"/>
              <w:left w:val="single" w:sz="4" w:space="0" w:color="000000"/>
              <w:bottom w:val="single" w:sz="4" w:space="0" w:color="000000"/>
              <w:right w:val="single" w:sz="4" w:space="0" w:color="000000"/>
            </w:tcBorders>
          </w:tcPr>
          <w:p w14:paraId="31D7BF3C"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31 (25.2)</w:t>
            </w:r>
          </w:p>
        </w:tc>
        <w:tc>
          <w:tcPr>
            <w:tcW w:w="2127" w:type="dxa"/>
            <w:tcBorders>
              <w:top w:val="single" w:sz="4" w:space="0" w:color="000000"/>
              <w:left w:val="single" w:sz="4" w:space="0" w:color="000000"/>
              <w:bottom w:val="single" w:sz="4" w:space="0" w:color="000000"/>
              <w:right w:val="single" w:sz="4" w:space="0" w:color="000000"/>
            </w:tcBorders>
          </w:tcPr>
          <w:p w14:paraId="3CD01E2A" w14:textId="77777777" w:rsidR="001E13C2" w:rsidRPr="00593CC5" w:rsidRDefault="001E13C2">
            <w:pPr>
              <w:kinsoku w:val="0"/>
              <w:overflowPunct w:val="0"/>
              <w:autoSpaceDE w:val="0"/>
              <w:autoSpaceDN w:val="0"/>
              <w:adjustRightInd w:val="0"/>
              <w:spacing w:before="1" w:after="0" w:line="242" w:lineRule="exact"/>
              <w:ind w:right="738"/>
              <w:jc w:val="right"/>
              <w:rPr>
                <w:rFonts w:cs="Calibri"/>
                <w:sz w:val="20"/>
              </w:rPr>
            </w:pPr>
            <w:r w:rsidRPr="00593CC5">
              <w:rPr>
                <w:rFonts w:cs="Calibri"/>
                <w:sz w:val="20"/>
              </w:rPr>
              <w:t>13 (20.3)</w:t>
            </w:r>
          </w:p>
        </w:tc>
        <w:tc>
          <w:tcPr>
            <w:tcW w:w="2252" w:type="dxa"/>
            <w:tcBorders>
              <w:top w:val="single" w:sz="4" w:space="0" w:color="000000"/>
              <w:left w:val="single" w:sz="4" w:space="0" w:color="000000"/>
              <w:bottom w:val="single" w:sz="4" w:space="0" w:color="000000"/>
              <w:right w:val="single" w:sz="4" w:space="0" w:color="000000"/>
            </w:tcBorders>
          </w:tcPr>
          <w:p w14:paraId="17220209"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44 (23.5)</w:t>
            </w:r>
          </w:p>
        </w:tc>
      </w:tr>
      <w:tr w:rsidR="001E13C2" w:rsidRPr="00593CC5" w14:paraId="1A589B00"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471FABBB" w14:textId="77777777" w:rsidR="001E13C2" w:rsidRPr="00593CC5" w:rsidRDefault="001E13C2">
            <w:pPr>
              <w:kinsoku w:val="0"/>
              <w:overflowPunct w:val="0"/>
              <w:autoSpaceDE w:val="0"/>
              <w:autoSpaceDN w:val="0"/>
              <w:adjustRightInd w:val="0"/>
              <w:spacing w:before="1" w:after="0" w:line="242" w:lineRule="exact"/>
              <w:ind w:left="245"/>
              <w:rPr>
                <w:rFonts w:cs="Calibri"/>
                <w:spacing w:val="-2"/>
                <w:sz w:val="20"/>
              </w:rPr>
            </w:pPr>
            <w:r w:rsidRPr="00593CC5">
              <w:rPr>
                <w:rFonts w:cs="Calibri"/>
                <w:spacing w:val="-2"/>
                <w:sz w:val="20"/>
              </w:rPr>
              <w:t>Missing</w:t>
            </w:r>
          </w:p>
        </w:tc>
        <w:tc>
          <w:tcPr>
            <w:tcW w:w="2281" w:type="dxa"/>
            <w:tcBorders>
              <w:top w:val="single" w:sz="4" w:space="0" w:color="000000"/>
              <w:left w:val="single" w:sz="4" w:space="0" w:color="000000"/>
              <w:bottom w:val="single" w:sz="4" w:space="0" w:color="000000"/>
              <w:right w:val="single" w:sz="4" w:space="0" w:color="000000"/>
            </w:tcBorders>
          </w:tcPr>
          <w:p w14:paraId="250C128E" w14:textId="77777777" w:rsidR="001E13C2" w:rsidRPr="00593CC5" w:rsidRDefault="001E13C2">
            <w:pPr>
              <w:kinsoku w:val="0"/>
              <w:overflowPunct w:val="0"/>
              <w:autoSpaceDE w:val="0"/>
              <w:autoSpaceDN w:val="0"/>
              <w:adjustRightInd w:val="0"/>
              <w:spacing w:before="1" w:after="0" w:line="242" w:lineRule="exact"/>
              <w:ind w:left="193" w:right="186"/>
              <w:jc w:val="center"/>
              <w:rPr>
                <w:rFonts w:cs="Calibri"/>
                <w:sz w:val="20"/>
              </w:rPr>
            </w:pPr>
            <w:r w:rsidRPr="00593CC5">
              <w:rPr>
                <w:rFonts w:cs="Calibri"/>
                <w:sz w:val="20"/>
              </w:rPr>
              <w:t>9 (7.3)</w:t>
            </w:r>
          </w:p>
        </w:tc>
        <w:tc>
          <w:tcPr>
            <w:tcW w:w="2127" w:type="dxa"/>
            <w:tcBorders>
              <w:top w:val="single" w:sz="4" w:space="0" w:color="000000"/>
              <w:left w:val="single" w:sz="4" w:space="0" w:color="000000"/>
              <w:bottom w:val="single" w:sz="4" w:space="0" w:color="000000"/>
              <w:right w:val="single" w:sz="4" w:space="0" w:color="000000"/>
            </w:tcBorders>
          </w:tcPr>
          <w:p w14:paraId="5B30A175" w14:textId="77777777" w:rsidR="001E13C2" w:rsidRPr="00593CC5" w:rsidRDefault="001E13C2">
            <w:pPr>
              <w:kinsoku w:val="0"/>
              <w:overflowPunct w:val="0"/>
              <w:autoSpaceDE w:val="0"/>
              <w:autoSpaceDN w:val="0"/>
              <w:adjustRightInd w:val="0"/>
              <w:spacing w:before="1" w:after="0" w:line="242" w:lineRule="exact"/>
              <w:ind w:right="788"/>
              <w:jc w:val="right"/>
              <w:rPr>
                <w:rFonts w:cs="Calibri"/>
                <w:sz w:val="20"/>
              </w:rPr>
            </w:pPr>
            <w:r w:rsidRPr="00593CC5">
              <w:rPr>
                <w:rFonts w:cs="Calibri"/>
                <w:sz w:val="20"/>
              </w:rPr>
              <w:t>9 (14.1)</w:t>
            </w:r>
          </w:p>
        </w:tc>
        <w:tc>
          <w:tcPr>
            <w:tcW w:w="2252" w:type="dxa"/>
            <w:tcBorders>
              <w:top w:val="single" w:sz="4" w:space="0" w:color="000000"/>
              <w:left w:val="single" w:sz="4" w:space="0" w:color="000000"/>
              <w:bottom w:val="single" w:sz="4" w:space="0" w:color="000000"/>
              <w:right w:val="single" w:sz="4" w:space="0" w:color="000000"/>
            </w:tcBorders>
          </w:tcPr>
          <w:p w14:paraId="73AEF778" w14:textId="77777777" w:rsidR="001E13C2" w:rsidRPr="00593CC5" w:rsidRDefault="001E13C2">
            <w:pPr>
              <w:kinsoku w:val="0"/>
              <w:overflowPunct w:val="0"/>
              <w:autoSpaceDE w:val="0"/>
              <w:autoSpaceDN w:val="0"/>
              <w:adjustRightInd w:val="0"/>
              <w:spacing w:before="1" w:after="0" w:line="242" w:lineRule="exact"/>
              <w:ind w:left="194" w:right="186"/>
              <w:jc w:val="center"/>
              <w:rPr>
                <w:rFonts w:cs="Calibri"/>
                <w:sz w:val="20"/>
              </w:rPr>
            </w:pPr>
            <w:r w:rsidRPr="00593CC5">
              <w:rPr>
                <w:rFonts w:cs="Calibri"/>
                <w:sz w:val="20"/>
              </w:rPr>
              <w:t>18 (9.6)</w:t>
            </w:r>
          </w:p>
        </w:tc>
      </w:tr>
      <w:tr w:rsidR="001E13C2" w:rsidRPr="00593CC5" w14:paraId="06300994" w14:textId="77777777" w:rsidTr="0005466A">
        <w:trPr>
          <w:trHeight w:val="467"/>
        </w:trPr>
        <w:tc>
          <w:tcPr>
            <w:tcW w:w="2701" w:type="dxa"/>
            <w:tcBorders>
              <w:top w:val="single" w:sz="4" w:space="0" w:color="000000"/>
              <w:left w:val="single" w:sz="4" w:space="0" w:color="000000"/>
              <w:bottom w:val="single" w:sz="4" w:space="0" w:color="000000"/>
              <w:right w:val="single" w:sz="4" w:space="0" w:color="000000"/>
            </w:tcBorders>
          </w:tcPr>
          <w:p w14:paraId="543F11C3" w14:textId="77777777" w:rsidR="001E13C2" w:rsidRPr="00593CC5" w:rsidRDefault="001E13C2">
            <w:pPr>
              <w:kinsoku w:val="0"/>
              <w:overflowPunct w:val="0"/>
              <w:autoSpaceDE w:val="0"/>
              <w:autoSpaceDN w:val="0"/>
              <w:adjustRightInd w:val="0"/>
              <w:spacing w:after="0"/>
              <w:ind w:left="108" w:right="288"/>
              <w:rPr>
                <w:rFonts w:cs="Calibri"/>
                <w:b/>
                <w:bCs/>
                <w:spacing w:val="-4"/>
                <w:sz w:val="20"/>
              </w:rPr>
            </w:pPr>
            <w:r w:rsidRPr="00593CC5">
              <w:rPr>
                <w:rFonts w:cs="Calibri"/>
                <w:b/>
                <w:bCs/>
                <w:sz w:val="20"/>
              </w:rPr>
              <w:t>Extramedullary</w:t>
            </w:r>
            <w:r w:rsidRPr="00593CC5">
              <w:rPr>
                <w:rFonts w:cs="Calibri"/>
                <w:b/>
                <w:bCs/>
                <w:spacing w:val="-12"/>
                <w:sz w:val="20"/>
              </w:rPr>
              <w:t xml:space="preserve"> </w:t>
            </w:r>
            <w:r w:rsidRPr="00593CC5">
              <w:rPr>
                <w:rFonts w:cs="Calibri"/>
                <w:b/>
                <w:bCs/>
                <w:sz w:val="20"/>
              </w:rPr>
              <w:t>Disease</w:t>
            </w:r>
            <w:r w:rsidRPr="00593CC5">
              <w:rPr>
                <w:rFonts w:cs="Calibri"/>
                <w:b/>
                <w:bCs/>
                <w:spacing w:val="-11"/>
                <w:sz w:val="20"/>
              </w:rPr>
              <w:t xml:space="preserve"> </w:t>
            </w:r>
            <w:r w:rsidRPr="00593CC5">
              <w:rPr>
                <w:rFonts w:cs="Calibri"/>
                <w:b/>
                <w:bCs/>
                <w:sz w:val="20"/>
              </w:rPr>
              <w:t xml:space="preserve">by </w:t>
            </w:r>
            <w:r w:rsidRPr="00593CC5">
              <w:rPr>
                <w:rFonts w:cs="Calibri"/>
                <w:b/>
                <w:bCs/>
                <w:spacing w:val="-4"/>
                <w:sz w:val="20"/>
              </w:rPr>
              <w:t>BICR</w:t>
            </w:r>
          </w:p>
        </w:tc>
        <w:tc>
          <w:tcPr>
            <w:tcW w:w="2281" w:type="dxa"/>
            <w:tcBorders>
              <w:top w:val="single" w:sz="4" w:space="0" w:color="000000"/>
              <w:left w:val="single" w:sz="4" w:space="0" w:color="000000"/>
              <w:bottom w:val="single" w:sz="4" w:space="0" w:color="000000"/>
              <w:right w:val="single" w:sz="4" w:space="0" w:color="000000"/>
            </w:tcBorders>
          </w:tcPr>
          <w:p w14:paraId="1299399D" w14:textId="77777777" w:rsidR="001E13C2" w:rsidRPr="00593CC5" w:rsidRDefault="001E13C2">
            <w:pPr>
              <w:kinsoku w:val="0"/>
              <w:overflowPunct w:val="0"/>
              <w:autoSpaceDE w:val="0"/>
              <w:autoSpaceDN w:val="0"/>
              <w:adjustRightInd w:val="0"/>
              <w:spacing w:after="0" w:line="240" w:lineRule="auto"/>
              <w:rPr>
                <w:sz w:val="20"/>
              </w:rPr>
            </w:pPr>
          </w:p>
        </w:tc>
        <w:tc>
          <w:tcPr>
            <w:tcW w:w="2127" w:type="dxa"/>
            <w:tcBorders>
              <w:top w:val="single" w:sz="4" w:space="0" w:color="000000"/>
              <w:left w:val="single" w:sz="4" w:space="0" w:color="000000"/>
              <w:bottom w:val="single" w:sz="4" w:space="0" w:color="000000"/>
              <w:right w:val="single" w:sz="4" w:space="0" w:color="000000"/>
            </w:tcBorders>
          </w:tcPr>
          <w:p w14:paraId="1B43F25C" w14:textId="77777777" w:rsidR="001E13C2" w:rsidRPr="00593CC5" w:rsidRDefault="001E13C2">
            <w:pPr>
              <w:kinsoku w:val="0"/>
              <w:overflowPunct w:val="0"/>
              <w:autoSpaceDE w:val="0"/>
              <w:autoSpaceDN w:val="0"/>
              <w:adjustRightInd w:val="0"/>
              <w:spacing w:after="0" w:line="240" w:lineRule="auto"/>
              <w:rPr>
                <w:sz w:val="20"/>
              </w:rPr>
            </w:pPr>
          </w:p>
        </w:tc>
        <w:tc>
          <w:tcPr>
            <w:tcW w:w="2252" w:type="dxa"/>
            <w:tcBorders>
              <w:top w:val="single" w:sz="4" w:space="0" w:color="000000"/>
              <w:left w:val="single" w:sz="4" w:space="0" w:color="000000"/>
              <w:bottom w:val="single" w:sz="4" w:space="0" w:color="000000"/>
              <w:right w:val="single" w:sz="4" w:space="0" w:color="000000"/>
            </w:tcBorders>
          </w:tcPr>
          <w:p w14:paraId="18B5815A" w14:textId="77777777" w:rsidR="001E13C2" w:rsidRPr="00593CC5" w:rsidRDefault="001E13C2">
            <w:pPr>
              <w:kinsoku w:val="0"/>
              <w:overflowPunct w:val="0"/>
              <w:autoSpaceDE w:val="0"/>
              <w:autoSpaceDN w:val="0"/>
              <w:adjustRightInd w:val="0"/>
              <w:spacing w:after="0" w:line="240" w:lineRule="auto"/>
              <w:rPr>
                <w:sz w:val="20"/>
              </w:rPr>
            </w:pPr>
          </w:p>
        </w:tc>
      </w:tr>
      <w:tr w:rsidR="001E13C2" w:rsidRPr="00593CC5" w14:paraId="5C86551E" w14:textId="77777777" w:rsidTr="0005466A">
        <w:trPr>
          <w:trHeight w:val="243"/>
        </w:trPr>
        <w:tc>
          <w:tcPr>
            <w:tcW w:w="2701" w:type="dxa"/>
            <w:tcBorders>
              <w:top w:val="single" w:sz="4" w:space="0" w:color="000000"/>
              <w:left w:val="single" w:sz="4" w:space="0" w:color="000000"/>
              <w:bottom w:val="single" w:sz="4" w:space="0" w:color="000000"/>
              <w:right w:val="single" w:sz="4" w:space="0" w:color="000000"/>
            </w:tcBorders>
          </w:tcPr>
          <w:p w14:paraId="7BEC28DC" w14:textId="77777777" w:rsidR="001E13C2" w:rsidRPr="00593CC5" w:rsidRDefault="001E13C2">
            <w:pPr>
              <w:kinsoku w:val="0"/>
              <w:overflowPunct w:val="0"/>
              <w:autoSpaceDE w:val="0"/>
              <w:autoSpaceDN w:val="0"/>
              <w:adjustRightInd w:val="0"/>
              <w:spacing w:after="0" w:line="223" w:lineRule="exact"/>
              <w:ind w:left="290"/>
              <w:rPr>
                <w:rFonts w:cs="Calibri"/>
                <w:spacing w:val="-4"/>
                <w:sz w:val="20"/>
              </w:rPr>
            </w:pPr>
            <w:r w:rsidRPr="00593CC5">
              <w:rPr>
                <w:rFonts w:cs="Calibri"/>
                <w:spacing w:val="-4"/>
                <w:sz w:val="20"/>
              </w:rPr>
              <w:t>Yes</w:t>
            </w:r>
          </w:p>
        </w:tc>
        <w:tc>
          <w:tcPr>
            <w:tcW w:w="2281" w:type="dxa"/>
            <w:tcBorders>
              <w:top w:val="single" w:sz="4" w:space="0" w:color="000000"/>
              <w:left w:val="single" w:sz="4" w:space="0" w:color="000000"/>
              <w:bottom w:val="single" w:sz="4" w:space="0" w:color="000000"/>
              <w:right w:val="single" w:sz="4" w:space="0" w:color="000000"/>
            </w:tcBorders>
          </w:tcPr>
          <w:p w14:paraId="2DE885AC" w14:textId="77777777" w:rsidR="001E13C2" w:rsidRPr="00593CC5" w:rsidRDefault="001E13C2">
            <w:pPr>
              <w:kinsoku w:val="0"/>
              <w:overflowPunct w:val="0"/>
              <w:autoSpaceDE w:val="0"/>
              <w:autoSpaceDN w:val="0"/>
              <w:adjustRightInd w:val="0"/>
              <w:spacing w:after="0" w:line="223" w:lineRule="exact"/>
              <w:ind w:left="191" w:right="186"/>
              <w:jc w:val="center"/>
              <w:rPr>
                <w:rFonts w:cs="Calibri"/>
                <w:sz w:val="20"/>
              </w:rPr>
            </w:pPr>
            <w:r w:rsidRPr="00593CC5">
              <w:rPr>
                <w:rFonts w:cs="Calibri"/>
                <w:sz w:val="20"/>
              </w:rPr>
              <w:t>39 (31.7)</w:t>
            </w:r>
          </w:p>
        </w:tc>
        <w:tc>
          <w:tcPr>
            <w:tcW w:w="2127" w:type="dxa"/>
            <w:tcBorders>
              <w:top w:val="single" w:sz="4" w:space="0" w:color="000000"/>
              <w:left w:val="single" w:sz="4" w:space="0" w:color="000000"/>
              <w:bottom w:val="single" w:sz="4" w:space="0" w:color="000000"/>
              <w:right w:val="single" w:sz="4" w:space="0" w:color="000000"/>
            </w:tcBorders>
          </w:tcPr>
          <w:p w14:paraId="4C5CD3CD" w14:textId="77777777" w:rsidR="001E13C2" w:rsidRPr="00593CC5" w:rsidRDefault="001E13C2">
            <w:pPr>
              <w:kinsoku w:val="0"/>
              <w:overflowPunct w:val="0"/>
              <w:autoSpaceDE w:val="0"/>
              <w:autoSpaceDN w:val="0"/>
              <w:adjustRightInd w:val="0"/>
              <w:spacing w:after="0" w:line="223" w:lineRule="exact"/>
              <w:ind w:right="738"/>
              <w:jc w:val="right"/>
              <w:rPr>
                <w:rFonts w:cs="Calibri"/>
                <w:sz w:val="20"/>
              </w:rPr>
            </w:pPr>
            <w:r w:rsidRPr="00593CC5">
              <w:rPr>
                <w:rFonts w:cs="Calibri"/>
                <w:sz w:val="20"/>
              </w:rPr>
              <w:t>37 (57.8)</w:t>
            </w:r>
          </w:p>
        </w:tc>
        <w:tc>
          <w:tcPr>
            <w:tcW w:w="2252" w:type="dxa"/>
            <w:tcBorders>
              <w:top w:val="single" w:sz="4" w:space="0" w:color="000000"/>
              <w:left w:val="single" w:sz="4" w:space="0" w:color="000000"/>
              <w:bottom w:val="single" w:sz="4" w:space="0" w:color="000000"/>
              <w:right w:val="single" w:sz="4" w:space="0" w:color="000000"/>
            </w:tcBorders>
          </w:tcPr>
          <w:p w14:paraId="203641C8" w14:textId="77777777" w:rsidR="001E13C2" w:rsidRPr="00593CC5" w:rsidRDefault="001E13C2">
            <w:pPr>
              <w:kinsoku w:val="0"/>
              <w:overflowPunct w:val="0"/>
              <w:autoSpaceDE w:val="0"/>
              <w:autoSpaceDN w:val="0"/>
              <w:adjustRightInd w:val="0"/>
              <w:spacing w:after="0" w:line="223" w:lineRule="exact"/>
              <w:ind w:left="192" w:right="186"/>
              <w:jc w:val="center"/>
              <w:rPr>
                <w:rFonts w:cs="Calibri"/>
                <w:sz w:val="20"/>
              </w:rPr>
            </w:pPr>
            <w:r w:rsidRPr="00593CC5">
              <w:rPr>
                <w:rFonts w:cs="Calibri"/>
                <w:sz w:val="20"/>
              </w:rPr>
              <w:t>76 (40.6)</w:t>
            </w:r>
          </w:p>
        </w:tc>
      </w:tr>
      <w:tr w:rsidR="001E13C2" w:rsidRPr="00593CC5" w14:paraId="3A687296"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287C5A55" w14:textId="77777777" w:rsidR="001E13C2" w:rsidRPr="00593CC5" w:rsidRDefault="001E13C2">
            <w:pPr>
              <w:kinsoku w:val="0"/>
              <w:overflowPunct w:val="0"/>
              <w:autoSpaceDE w:val="0"/>
              <w:autoSpaceDN w:val="0"/>
              <w:adjustRightInd w:val="0"/>
              <w:spacing w:before="1" w:after="0" w:line="242" w:lineRule="exact"/>
              <w:ind w:left="290"/>
              <w:rPr>
                <w:rFonts w:cs="Calibri"/>
                <w:spacing w:val="-6"/>
                <w:sz w:val="20"/>
              </w:rPr>
            </w:pPr>
            <w:r w:rsidRPr="00593CC5">
              <w:rPr>
                <w:rFonts w:cs="Calibri"/>
                <w:spacing w:val="-6"/>
                <w:sz w:val="20"/>
              </w:rPr>
              <w:t>No</w:t>
            </w:r>
          </w:p>
        </w:tc>
        <w:tc>
          <w:tcPr>
            <w:tcW w:w="2281" w:type="dxa"/>
            <w:tcBorders>
              <w:top w:val="single" w:sz="4" w:space="0" w:color="000000"/>
              <w:left w:val="single" w:sz="4" w:space="0" w:color="000000"/>
              <w:bottom w:val="single" w:sz="4" w:space="0" w:color="000000"/>
              <w:right w:val="single" w:sz="4" w:space="0" w:color="000000"/>
            </w:tcBorders>
          </w:tcPr>
          <w:p w14:paraId="45A24113"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84 (68.3)</w:t>
            </w:r>
          </w:p>
        </w:tc>
        <w:tc>
          <w:tcPr>
            <w:tcW w:w="2127" w:type="dxa"/>
            <w:tcBorders>
              <w:top w:val="single" w:sz="4" w:space="0" w:color="000000"/>
              <w:left w:val="single" w:sz="4" w:space="0" w:color="000000"/>
              <w:bottom w:val="single" w:sz="4" w:space="0" w:color="000000"/>
              <w:right w:val="single" w:sz="4" w:space="0" w:color="000000"/>
            </w:tcBorders>
          </w:tcPr>
          <w:p w14:paraId="7CA759B4" w14:textId="77777777" w:rsidR="001E13C2" w:rsidRPr="00593CC5" w:rsidRDefault="001E13C2">
            <w:pPr>
              <w:kinsoku w:val="0"/>
              <w:overflowPunct w:val="0"/>
              <w:autoSpaceDE w:val="0"/>
              <w:autoSpaceDN w:val="0"/>
              <w:adjustRightInd w:val="0"/>
              <w:spacing w:before="1" w:after="0" w:line="242" w:lineRule="exact"/>
              <w:ind w:right="738"/>
              <w:jc w:val="right"/>
              <w:rPr>
                <w:rFonts w:cs="Calibri"/>
                <w:sz w:val="20"/>
              </w:rPr>
            </w:pPr>
            <w:r w:rsidRPr="00593CC5">
              <w:rPr>
                <w:rFonts w:cs="Calibri"/>
                <w:sz w:val="20"/>
              </w:rPr>
              <w:t>27 (42.2)</w:t>
            </w:r>
          </w:p>
        </w:tc>
        <w:tc>
          <w:tcPr>
            <w:tcW w:w="2252" w:type="dxa"/>
            <w:tcBorders>
              <w:top w:val="single" w:sz="4" w:space="0" w:color="000000"/>
              <w:left w:val="single" w:sz="4" w:space="0" w:color="000000"/>
              <w:bottom w:val="single" w:sz="4" w:space="0" w:color="000000"/>
              <w:right w:val="single" w:sz="4" w:space="0" w:color="000000"/>
            </w:tcBorders>
          </w:tcPr>
          <w:p w14:paraId="3B294C7F" w14:textId="77777777" w:rsidR="001E13C2" w:rsidRPr="00593CC5" w:rsidRDefault="001E13C2">
            <w:pPr>
              <w:kinsoku w:val="0"/>
              <w:overflowPunct w:val="0"/>
              <w:autoSpaceDE w:val="0"/>
              <w:autoSpaceDN w:val="0"/>
              <w:adjustRightInd w:val="0"/>
              <w:spacing w:before="1" w:after="0" w:line="242" w:lineRule="exact"/>
              <w:ind w:left="192" w:right="186"/>
              <w:jc w:val="center"/>
              <w:rPr>
                <w:rFonts w:cs="Calibri"/>
                <w:sz w:val="20"/>
              </w:rPr>
            </w:pPr>
            <w:r w:rsidRPr="00593CC5">
              <w:rPr>
                <w:rFonts w:cs="Calibri"/>
                <w:sz w:val="20"/>
              </w:rPr>
              <w:t>111 (59.4)</w:t>
            </w:r>
          </w:p>
        </w:tc>
      </w:tr>
      <w:tr w:rsidR="001E13C2" w:rsidRPr="00593CC5" w14:paraId="49D073AC" w14:textId="77777777" w:rsidTr="0005466A">
        <w:trPr>
          <w:trHeight w:val="280"/>
        </w:trPr>
        <w:tc>
          <w:tcPr>
            <w:tcW w:w="2701" w:type="dxa"/>
            <w:tcBorders>
              <w:top w:val="single" w:sz="4" w:space="0" w:color="000000"/>
              <w:left w:val="single" w:sz="4" w:space="0" w:color="000000"/>
              <w:bottom w:val="single" w:sz="4" w:space="0" w:color="000000"/>
              <w:right w:val="single" w:sz="4" w:space="0" w:color="000000"/>
            </w:tcBorders>
          </w:tcPr>
          <w:p w14:paraId="5400C526" w14:textId="77777777" w:rsidR="001E13C2" w:rsidRPr="00593CC5" w:rsidRDefault="001E13C2">
            <w:pPr>
              <w:kinsoku w:val="0"/>
              <w:overflowPunct w:val="0"/>
              <w:autoSpaceDE w:val="0"/>
              <w:autoSpaceDN w:val="0"/>
              <w:adjustRightInd w:val="0"/>
              <w:spacing w:before="1" w:after="0" w:line="240" w:lineRule="auto"/>
              <w:ind w:left="108"/>
              <w:rPr>
                <w:rFonts w:cs="Calibri"/>
                <w:b/>
                <w:bCs/>
                <w:sz w:val="20"/>
              </w:rPr>
            </w:pPr>
            <w:r w:rsidRPr="00593CC5">
              <w:rPr>
                <w:rFonts w:cs="Calibri"/>
                <w:b/>
                <w:bCs/>
                <w:sz w:val="20"/>
              </w:rPr>
              <w:t>Number Prior Lines of</w:t>
            </w:r>
          </w:p>
        </w:tc>
        <w:tc>
          <w:tcPr>
            <w:tcW w:w="2281" w:type="dxa"/>
            <w:tcBorders>
              <w:top w:val="single" w:sz="4" w:space="0" w:color="000000"/>
              <w:left w:val="single" w:sz="4" w:space="0" w:color="000000"/>
              <w:bottom w:val="single" w:sz="4" w:space="0" w:color="000000"/>
              <w:right w:val="single" w:sz="4" w:space="0" w:color="000000"/>
            </w:tcBorders>
          </w:tcPr>
          <w:p w14:paraId="3C9828C8" w14:textId="77777777" w:rsidR="001E13C2" w:rsidRPr="00593CC5" w:rsidRDefault="001E13C2">
            <w:pPr>
              <w:kinsoku w:val="0"/>
              <w:overflowPunct w:val="0"/>
              <w:autoSpaceDE w:val="0"/>
              <w:autoSpaceDN w:val="0"/>
              <w:adjustRightInd w:val="0"/>
              <w:spacing w:after="0" w:line="240" w:lineRule="auto"/>
              <w:rPr>
                <w:sz w:val="20"/>
              </w:rPr>
            </w:pPr>
          </w:p>
        </w:tc>
        <w:tc>
          <w:tcPr>
            <w:tcW w:w="2127" w:type="dxa"/>
            <w:tcBorders>
              <w:top w:val="single" w:sz="4" w:space="0" w:color="000000"/>
              <w:left w:val="single" w:sz="4" w:space="0" w:color="000000"/>
              <w:bottom w:val="single" w:sz="4" w:space="0" w:color="000000"/>
              <w:right w:val="single" w:sz="4" w:space="0" w:color="000000"/>
            </w:tcBorders>
          </w:tcPr>
          <w:p w14:paraId="346162AA" w14:textId="77777777" w:rsidR="001E13C2" w:rsidRPr="00593CC5" w:rsidRDefault="001E13C2">
            <w:pPr>
              <w:kinsoku w:val="0"/>
              <w:overflowPunct w:val="0"/>
              <w:autoSpaceDE w:val="0"/>
              <w:autoSpaceDN w:val="0"/>
              <w:adjustRightInd w:val="0"/>
              <w:spacing w:after="0" w:line="240" w:lineRule="auto"/>
              <w:rPr>
                <w:sz w:val="20"/>
              </w:rPr>
            </w:pPr>
          </w:p>
        </w:tc>
        <w:tc>
          <w:tcPr>
            <w:tcW w:w="2252" w:type="dxa"/>
            <w:tcBorders>
              <w:top w:val="single" w:sz="4" w:space="0" w:color="000000"/>
              <w:left w:val="single" w:sz="4" w:space="0" w:color="000000"/>
              <w:bottom w:val="single" w:sz="4" w:space="0" w:color="000000"/>
              <w:right w:val="single" w:sz="4" w:space="0" w:color="000000"/>
            </w:tcBorders>
          </w:tcPr>
          <w:p w14:paraId="1712DDB7" w14:textId="77777777" w:rsidR="001E13C2" w:rsidRPr="00593CC5" w:rsidRDefault="001E13C2">
            <w:pPr>
              <w:kinsoku w:val="0"/>
              <w:overflowPunct w:val="0"/>
              <w:autoSpaceDE w:val="0"/>
              <w:autoSpaceDN w:val="0"/>
              <w:adjustRightInd w:val="0"/>
              <w:spacing w:after="0" w:line="240" w:lineRule="auto"/>
              <w:rPr>
                <w:sz w:val="20"/>
              </w:rPr>
            </w:pPr>
          </w:p>
        </w:tc>
      </w:tr>
      <w:tr w:rsidR="001E13C2" w:rsidRPr="00593CC5" w14:paraId="3D066B98"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5CF25E2E" w14:textId="77777777" w:rsidR="001E13C2" w:rsidRPr="00593CC5" w:rsidRDefault="001E13C2">
            <w:pPr>
              <w:kinsoku w:val="0"/>
              <w:overflowPunct w:val="0"/>
              <w:autoSpaceDE w:val="0"/>
              <w:autoSpaceDN w:val="0"/>
              <w:adjustRightInd w:val="0"/>
              <w:spacing w:before="1" w:after="0" w:line="242" w:lineRule="exact"/>
              <w:ind w:left="269"/>
              <w:rPr>
                <w:rFonts w:cs="Calibri"/>
                <w:sz w:val="20"/>
              </w:rPr>
            </w:pPr>
            <w:r w:rsidRPr="00593CC5">
              <w:rPr>
                <w:rFonts w:cs="Calibri"/>
                <w:sz w:val="20"/>
              </w:rPr>
              <w:t>Median (range) prior lines</w:t>
            </w:r>
          </w:p>
        </w:tc>
        <w:tc>
          <w:tcPr>
            <w:tcW w:w="2281" w:type="dxa"/>
            <w:tcBorders>
              <w:top w:val="single" w:sz="4" w:space="0" w:color="000000"/>
              <w:left w:val="single" w:sz="4" w:space="0" w:color="000000"/>
              <w:bottom w:val="single" w:sz="4" w:space="0" w:color="000000"/>
              <w:right w:val="single" w:sz="4" w:space="0" w:color="000000"/>
            </w:tcBorders>
          </w:tcPr>
          <w:p w14:paraId="5913FC9A" w14:textId="77777777" w:rsidR="001E13C2" w:rsidRPr="00593CC5" w:rsidRDefault="001E13C2">
            <w:pPr>
              <w:kinsoku w:val="0"/>
              <w:overflowPunct w:val="0"/>
              <w:autoSpaceDE w:val="0"/>
              <w:autoSpaceDN w:val="0"/>
              <w:adjustRightInd w:val="0"/>
              <w:spacing w:before="1" w:after="0" w:line="242" w:lineRule="exact"/>
              <w:ind w:left="700"/>
              <w:rPr>
                <w:rFonts w:cs="Calibri"/>
                <w:sz w:val="20"/>
              </w:rPr>
            </w:pPr>
            <w:r w:rsidRPr="00593CC5">
              <w:rPr>
                <w:rFonts w:cs="Calibri"/>
                <w:sz w:val="20"/>
              </w:rPr>
              <w:t>5.0 (2, 22)</w:t>
            </w:r>
          </w:p>
        </w:tc>
        <w:tc>
          <w:tcPr>
            <w:tcW w:w="2127" w:type="dxa"/>
            <w:tcBorders>
              <w:top w:val="single" w:sz="4" w:space="0" w:color="000000"/>
              <w:left w:val="single" w:sz="4" w:space="0" w:color="000000"/>
              <w:bottom w:val="single" w:sz="4" w:space="0" w:color="000000"/>
              <w:right w:val="single" w:sz="4" w:space="0" w:color="000000"/>
            </w:tcBorders>
          </w:tcPr>
          <w:p w14:paraId="6ECE7D61" w14:textId="77777777" w:rsidR="001E13C2" w:rsidRPr="00593CC5" w:rsidRDefault="001E13C2">
            <w:pPr>
              <w:kinsoku w:val="0"/>
              <w:overflowPunct w:val="0"/>
              <w:autoSpaceDE w:val="0"/>
              <w:autoSpaceDN w:val="0"/>
              <w:adjustRightInd w:val="0"/>
              <w:spacing w:before="1" w:after="0" w:line="242" w:lineRule="exact"/>
              <w:ind w:right="690"/>
              <w:jc w:val="right"/>
              <w:rPr>
                <w:rFonts w:cs="Calibri"/>
                <w:sz w:val="20"/>
              </w:rPr>
            </w:pPr>
            <w:r w:rsidRPr="00593CC5">
              <w:rPr>
                <w:rFonts w:cs="Calibri"/>
                <w:sz w:val="20"/>
              </w:rPr>
              <w:t>7.5 (3, 19)</w:t>
            </w:r>
          </w:p>
        </w:tc>
        <w:tc>
          <w:tcPr>
            <w:tcW w:w="2252" w:type="dxa"/>
            <w:tcBorders>
              <w:top w:val="single" w:sz="4" w:space="0" w:color="000000"/>
              <w:left w:val="single" w:sz="4" w:space="0" w:color="000000"/>
              <w:bottom w:val="single" w:sz="4" w:space="0" w:color="000000"/>
              <w:right w:val="single" w:sz="4" w:space="0" w:color="000000"/>
            </w:tcBorders>
          </w:tcPr>
          <w:p w14:paraId="02ACDF7D" w14:textId="77777777" w:rsidR="001E13C2" w:rsidRPr="00593CC5" w:rsidRDefault="001E13C2">
            <w:pPr>
              <w:kinsoku w:val="0"/>
              <w:overflowPunct w:val="0"/>
              <w:autoSpaceDE w:val="0"/>
              <w:autoSpaceDN w:val="0"/>
              <w:adjustRightInd w:val="0"/>
              <w:spacing w:before="1" w:after="0" w:line="242" w:lineRule="exact"/>
              <w:ind w:left="700"/>
              <w:rPr>
                <w:rFonts w:cs="Calibri"/>
                <w:sz w:val="20"/>
              </w:rPr>
            </w:pPr>
            <w:r w:rsidRPr="00593CC5">
              <w:rPr>
                <w:rFonts w:cs="Calibri"/>
                <w:sz w:val="20"/>
              </w:rPr>
              <w:t>5.0 (2, 22)</w:t>
            </w:r>
          </w:p>
        </w:tc>
      </w:tr>
      <w:tr w:rsidR="001E13C2" w:rsidRPr="00593CC5" w14:paraId="56365244"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3A5A6E01" w14:textId="77777777" w:rsidR="001E13C2" w:rsidRPr="00593CC5" w:rsidRDefault="001E13C2">
            <w:pPr>
              <w:kinsoku w:val="0"/>
              <w:overflowPunct w:val="0"/>
              <w:autoSpaceDE w:val="0"/>
              <w:autoSpaceDN w:val="0"/>
              <w:adjustRightInd w:val="0"/>
              <w:spacing w:before="1" w:after="0" w:line="242" w:lineRule="exact"/>
              <w:ind w:left="108"/>
              <w:rPr>
                <w:rFonts w:cs="Calibri"/>
                <w:b/>
                <w:bCs/>
                <w:sz w:val="20"/>
              </w:rPr>
            </w:pPr>
            <w:r w:rsidRPr="00593CC5">
              <w:rPr>
                <w:rFonts w:cs="Calibri"/>
                <w:b/>
                <w:bCs/>
                <w:sz w:val="20"/>
              </w:rPr>
              <w:t>Prior BCMA-targeted therapy</w:t>
            </w:r>
          </w:p>
        </w:tc>
        <w:tc>
          <w:tcPr>
            <w:tcW w:w="2281" w:type="dxa"/>
            <w:tcBorders>
              <w:top w:val="single" w:sz="4" w:space="0" w:color="000000"/>
              <w:left w:val="single" w:sz="4" w:space="0" w:color="000000"/>
              <w:bottom w:val="single" w:sz="4" w:space="0" w:color="000000"/>
              <w:right w:val="single" w:sz="4" w:space="0" w:color="000000"/>
            </w:tcBorders>
          </w:tcPr>
          <w:p w14:paraId="3A3AE74B" w14:textId="77777777" w:rsidR="001E13C2" w:rsidRPr="00593CC5" w:rsidRDefault="001E13C2">
            <w:pPr>
              <w:kinsoku w:val="0"/>
              <w:overflowPunct w:val="0"/>
              <w:autoSpaceDE w:val="0"/>
              <w:autoSpaceDN w:val="0"/>
              <w:adjustRightInd w:val="0"/>
              <w:spacing w:before="1" w:after="0" w:line="242" w:lineRule="exact"/>
              <w:ind w:left="7"/>
              <w:jc w:val="center"/>
              <w:rPr>
                <w:rFonts w:cs="Calibri"/>
                <w:w w:val="99"/>
                <w:sz w:val="20"/>
              </w:rPr>
            </w:pPr>
            <w:r w:rsidRPr="00593CC5">
              <w:rPr>
                <w:rFonts w:cs="Calibri"/>
                <w:w w:val="99"/>
                <w:sz w:val="20"/>
              </w:rPr>
              <w:t>0</w:t>
            </w:r>
          </w:p>
        </w:tc>
        <w:tc>
          <w:tcPr>
            <w:tcW w:w="2127" w:type="dxa"/>
            <w:tcBorders>
              <w:top w:val="single" w:sz="4" w:space="0" w:color="000000"/>
              <w:left w:val="single" w:sz="4" w:space="0" w:color="000000"/>
              <w:bottom w:val="single" w:sz="4" w:space="0" w:color="000000"/>
              <w:right w:val="single" w:sz="4" w:space="0" w:color="000000"/>
            </w:tcBorders>
          </w:tcPr>
          <w:p w14:paraId="00C7F44D" w14:textId="77777777" w:rsidR="001E13C2" w:rsidRPr="00593CC5" w:rsidRDefault="001E13C2">
            <w:pPr>
              <w:kinsoku w:val="0"/>
              <w:overflowPunct w:val="0"/>
              <w:autoSpaceDE w:val="0"/>
              <w:autoSpaceDN w:val="0"/>
              <w:adjustRightInd w:val="0"/>
              <w:spacing w:before="1" w:after="0" w:line="242" w:lineRule="exact"/>
              <w:ind w:right="688"/>
              <w:jc w:val="right"/>
              <w:rPr>
                <w:rFonts w:cs="Calibri"/>
                <w:sz w:val="20"/>
              </w:rPr>
            </w:pPr>
            <w:r w:rsidRPr="00593CC5">
              <w:rPr>
                <w:rFonts w:cs="Calibri"/>
                <w:sz w:val="20"/>
              </w:rPr>
              <w:t>64 (100.0)</w:t>
            </w:r>
          </w:p>
        </w:tc>
        <w:tc>
          <w:tcPr>
            <w:tcW w:w="2252" w:type="dxa"/>
            <w:tcBorders>
              <w:top w:val="single" w:sz="4" w:space="0" w:color="000000"/>
              <w:left w:val="single" w:sz="4" w:space="0" w:color="000000"/>
              <w:bottom w:val="single" w:sz="4" w:space="0" w:color="000000"/>
              <w:right w:val="single" w:sz="4" w:space="0" w:color="000000"/>
            </w:tcBorders>
          </w:tcPr>
          <w:p w14:paraId="11F3EF77"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64 (34.2)</w:t>
            </w:r>
          </w:p>
        </w:tc>
      </w:tr>
      <w:tr w:rsidR="001E13C2" w:rsidRPr="00593CC5" w14:paraId="5510A82E"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7CFEDC38" w14:textId="77777777" w:rsidR="001E13C2" w:rsidRPr="00593CC5" w:rsidRDefault="001E13C2">
            <w:pPr>
              <w:kinsoku w:val="0"/>
              <w:overflowPunct w:val="0"/>
              <w:autoSpaceDE w:val="0"/>
              <w:autoSpaceDN w:val="0"/>
              <w:adjustRightInd w:val="0"/>
              <w:spacing w:before="1" w:after="0" w:line="242" w:lineRule="exact"/>
              <w:ind w:left="269"/>
              <w:rPr>
                <w:rFonts w:cs="Calibri"/>
                <w:spacing w:val="-4"/>
                <w:sz w:val="20"/>
              </w:rPr>
            </w:pPr>
            <w:r w:rsidRPr="00593CC5">
              <w:rPr>
                <w:rFonts w:cs="Calibri"/>
                <w:spacing w:val="-4"/>
                <w:sz w:val="20"/>
              </w:rPr>
              <w:t>ADC</w:t>
            </w:r>
          </w:p>
        </w:tc>
        <w:tc>
          <w:tcPr>
            <w:tcW w:w="2281" w:type="dxa"/>
            <w:tcBorders>
              <w:top w:val="single" w:sz="4" w:space="0" w:color="000000"/>
              <w:left w:val="single" w:sz="4" w:space="0" w:color="000000"/>
              <w:bottom w:val="single" w:sz="4" w:space="0" w:color="000000"/>
              <w:right w:val="single" w:sz="4" w:space="0" w:color="000000"/>
            </w:tcBorders>
          </w:tcPr>
          <w:p w14:paraId="58534CE0" w14:textId="77777777" w:rsidR="001E13C2" w:rsidRPr="00593CC5" w:rsidRDefault="001E13C2">
            <w:pPr>
              <w:kinsoku w:val="0"/>
              <w:overflowPunct w:val="0"/>
              <w:autoSpaceDE w:val="0"/>
              <w:autoSpaceDN w:val="0"/>
              <w:adjustRightInd w:val="0"/>
              <w:spacing w:before="1" w:after="0" w:line="242" w:lineRule="exact"/>
              <w:ind w:left="7"/>
              <w:jc w:val="center"/>
              <w:rPr>
                <w:rFonts w:cs="Calibri"/>
                <w:w w:val="99"/>
                <w:sz w:val="20"/>
              </w:rPr>
            </w:pPr>
            <w:r w:rsidRPr="00593CC5">
              <w:rPr>
                <w:rFonts w:cs="Calibri"/>
                <w:w w:val="99"/>
                <w:sz w:val="20"/>
              </w:rPr>
              <w:t>0</w:t>
            </w:r>
          </w:p>
        </w:tc>
        <w:tc>
          <w:tcPr>
            <w:tcW w:w="2127" w:type="dxa"/>
            <w:tcBorders>
              <w:top w:val="single" w:sz="4" w:space="0" w:color="000000"/>
              <w:left w:val="single" w:sz="4" w:space="0" w:color="000000"/>
              <w:bottom w:val="single" w:sz="4" w:space="0" w:color="000000"/>
              <w:right w:val="single" w:sz="4" w:space="0" w:color="000000"/>
            </w:tcBorders>
          </w:tcPr>
          <w:p w14:paraId="0EB90305" w14:textId="77777777" w:rsidR="001E13C2" w:rsidRPr="00593CC5" w:rsidRDefault="001E13C2">
            <w:pPr>
              <w:kinsoku w:val="0"/>
              <w:overflowPunct w:val="0"/>
              <w:autoSpaceDE w:val="0"/>
              <w:autoSpaceDN w:val="0"/>
              <w:adjustRightInd w:val="0"/>
              <w:spacing w:before="1" w:after="0" w:line="242" w:lineRule="exact"/>
              <w:ind w:right="738"/>
              <w:jc w:val="right"/>
              <w:rPr>
                <w:rFonts w:cs="Calibri"/>
                <w:sz w:val="20"/>
              </w:rPr>
            </w:pPr>
            <w:r w:rsidRPr="00593CC5">
              <w:rPr>
                <w:rFonts w:cs="Calibri"/>
                <w:sz w:val="20"/>
              </w:rPr>
              <w:t>46 (71.9)</w:t>
            </w:r>
          </w:p>
        </w:tc>
        <w:tc>
          <w:tcPr>
            <w:tcW w:w="2252" w:type="dxa"/>
            <w:tcBorders>
              <w:top w:val="single" w:sz="4" w:space="0" w:color="000000"/>
              <w:left w:val="single" w:sz="4" w:space="0" w:color="000000"/>
              <w:bottom w:val="single" w:sz="4" w:space="0" w:color="000000"/>
              <w:right w:val="single" w:sz="4" w:space="0" w:color="000000"/>
            </w:tcBorders>
          </w:tcPr>
          <w:p w14:paraId="6AB5A1E4" w14:textId="77777777" w:rsidR="001E13C2" w:rsidRPr="00593CC5" w:rsidRDefault="001E13C2">
            <w:pPr>
              <w:kinsoku w:val="0"/>
              <w:overflowPunct w:val="0"/>
              <w:autoSpaceDE w:val="0"/>
              <w:autoSpaceDN w:val="0"/>
              <w:adjustRightInd w:val="0"/>
              <w:spacing w:before="1" w:after="0" w:line="242" w:lineRule="exact"/>
              <w:ind w:left="192" w:right="186"/>
              <w:jc w:val="center"/>
              <w:rPr>
                <w:rFonts w:cs="Calibri"/>
                <w:sz w:val="20"/>
              </w:rPr>
            </w:pPr>
            <w:r w:rsidRPr="00593CC5">
              <w:rPr>
                <w:rFonts w:cs="Calibri"/>
                <w:sz w:val="20"/>
              </w:rPr>
              <w:t>46 (24.6)</w:t>
            </w:r>
          </w:p>
        </w:tc>
      </w:tr>
      <w:tr w:rsidR="001E13C2" w:rsidRPr="00593CC5" w14:paraId="15B0541E" w14:textId="77777777" w:rsidTr="0005466A">
        <w:trPr>
          <w:trHeight w:val="266"/>
        </w:trPr>
        <w:tc>
          <w:tcPr>
            <w:tcW w:w="2701" w:type="dxa"/>
            <w:tcBorders>
              <w:top w:val="single" w:sz="4" w:space="0" w:color="000000"/>
              <w:left w:val="single" w:sz="4" w:space="0" w:color="000000"/>
              <w:bottom w:val="single" w:sz="4" w:space="0" w:color="000000"/>
              <w:right w:val="single" w:sz="4" w:space="0" w:color="000000"/>
            </w:tcBorders>
          </w:tcPr>
          <w:p w14:paraId="7B10CC51" w14:textId="77777777" w:rsidR="001E13C2" w:rsidRPr="00593CC5" w:rsidRDefault="001E13C2">
            <w:pPr>
              <w:kinsoku w:val="0"/>
              <w:overflowPunct w:val="0"/>
              <w:autoSpaceDE w:val="0"/>
              <w:autoSpaceDN w:val="0"/>
              <w:adjustRightInd w:val="0"/>
              <w:spacing w:before="1" w:after="0" w:line="240" w:lineRule="auto"/>
              <w:ind w:left="269"/>
              <w:rPr>
                <w:rFonts w:cs="Calibri"/>
                <w:spacing w:val="-2"/>
                <w:sz w:val="20"/>
              </w:rPr>
            </w:pPr>
            <w:r w:rsidRPr="00593CC5">
              <w:rPr>
                <w:rFonts w:cs="Calibri"/>
                <w:spacing w:val="-2"/>
                <w:sz w:val="20"/>
              </w:rPr>
              <w:t>CAR-T</w:t>
            </w:r>
          </w:p>
        </w:tc>
        <w:tc>
          <w:tcPr>
            <w:tcW w:w="2281" w:type="dxa"/>
            <w:tcBorders>
              <w:top w:val="single" w:sz="4" w:space="0" w:color="000000"/>
              <w:left w:val="single" w:sz="4" w:space="0" w:color="000000"/>
              <w:bottom w:val="single" w:sz="4" w:space="0" w:color="000000"/>
              <w:right w:val="single" w:sz="4" w:space="0" w:color="000000"/>
            </w:tcBorders>
          </w:tcPr>
          <w:p w14:paraId="4E7B36F0" w14:textId="77777777" w:rsidR="001E13C2" w:rsidRPr="00593CC5" w:rsidRDefault="001E13C2">
            <w:pPr>
              <w:kinsoku w:val="0"/>
              <w:overflowPunct w:val="0"/>
              <w:autoSpaceDE w:val="0"/>
              <w:autoSpaceDN w:val="0"/>
              <w:adjustRightInd w:val="0"/>
              <w:spacing w:before="1" w:after="0" w:line="240" w:lineRule="auto"/>
              <w:ind w:left="7"/>
              <w:jc w:val="center"/>
              <w:rPr>
                <w:rFonts w:cs="Calibri"/>
                <w:w w:val="99"/>
                <w:sz w:val="20"/>
              </w:rPr>
            </w:pPr>
            <w:r w:rsidRPr="00593CC5">
              <w:rPr>
                <w:rFonts w:cs="Calibri"/>
                <w:w w:val="99"/>
                <w:sz w:val="20"/>
              </w:rPr>
              <w:t>0</w:t>
            </w:r>
          </w:p>
        </w:tc>
        <w:tc>
          <w:tcPr>
            <w:tcW w:w="2127" w:type="dxa"/>
            <w:tcBorders>
              <w:top w:val="single" w:sz="4" w:space="0" w:color="000000"/>
              <w:left w:val="single" w:sz="4" w:space="0" w:color="000000"/>
              <w:bottom w:val="single" w:sz="4" w:space="0" w:color="000000"/>
              <w:right w:val="single" w:sz="4" w:space="0" w:color="000000"/>
            </w:tcBorders>
          </w:tcPr>
          <w:p w14:paraId="67F7643C" w14:textId="77777777" w:rsidR="001E13C2" w:rsidRPr="00593CC5" w:rsidRDefault="001E13C2">
            <w:pPr>
              <w:kinsoku w:val="0"/>
              <w:overflowPunct w:val="0"/>
              <w:autoSpaceDE w:val="0"/>
              <w:autoSpaceDN w:val="0"/>
              <w:adjustRightInd w:val="0"/>
              <w:spacing w:before="1" w:after="0" w:line="240" w:lineRule="auto"/>
              <w:ind w:right="738"/>
              <w:jc w:val="right"/>
              <w:rPr>
                <w:rFonts w:cs="Calibri"/>
                <w:sz w:val="20"/>
              </w:rPr>
            </w:pPr>
            <w:r w:rsidRPr="00593CC5">
              <w:rPr>
                <w:rFonts w:cs="Calibri"/>
                <w:sz w:val="20"/>
              </w:rPr>
              <w:t>21 (32.8)</w:t>
            </w:r>
          </w:p>
        </w:tc>
        <w:tc>
          <w:tcPr>
            <w:tcW w:w="2252" w:type="dxa"/>
            <w:tcBorders>
              <w:top w:val="single" w:sz="4" w:space="0" w:color="000000"/>
              <w:left w:val="single" w:sz="4" w:space="0" w:color="000000"/>
              <w:bottom w:val="single" w:sz="4" w:space="0" w:color="000000"/>
              <w:right w:val="single" w:sz="4" w:space="0" w:color="000000"/>
            </w:tcBorders>
          </w:tcPr>
          <w:p w14:paraId="18CD43D7" w14:textId="77777777" w:rsidR="001E13C2" w:rsidRPr="00593CC5" w:rsidRDefault="001E13C2">
            <w:pPr>
              <w:kinsoku w:val="0"/>
              <w:overflowPunct w:val="0"/>
              <w:autoSpaceDE w:val="0"/>
              <w:autoSpaceDN w:val="0"/>
              <w:adjustRightInd w:val="0"/>
              <w:spacing w:before="1" w:after="0" w:line="240" w:lineRule="auto"/>
              <w:ind w:left="191" w:right="186"/>
              <w:jc w:val="center"/>
              <w:rPr>
                <w:rFonts w:cs="Calibri"/>
                <w:sz w:val="20"/>
              </w:rPr>
            </w:pPr>
            <w:r w:rsidRPr="00593CC5">
              <w:rPr>
                <w:rFonts w:cs="Calibri"/>
                <w:sz w:val="20"/>
              </w:rPr>
              <w:t>21 (11.2)</w:t>
            </w:r>
          </w:p>
        </w:tc>
      </w:tr>
      <w:tr w:rsidR="001E13C2" w:rsidRPr="00593CC5" w14:paraId="262E2D0E"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2897C18A" w14:textId="77777777" w:rsidR="001E13C2" w:rsidRPr="00593CC5" w:rsidRDefault="001E13C2">
            <w:pPr>
              <w:kinsoku w:val="0"/>
              <w:overflowPunct w:val="0"/>
              <w:autoSpaceDE w:val="0"/>
              <w:autoSpaceDN w:val="0"/>
              <w:adjustRightInd w:val="0"/>
              <w:spacing w:after="0" w:line="243" w:lineRule="exact"/>
              <w:ind w:left="269"/>
              <w:rPr>
                <w:rFonts w:cs="Calibri"/>
                <w:sz w:val="20"/>
              </w:rPr>
            </w:pPr>
            <w:r w:rsidRPr="00593CC5">
              <w:rPr>
                <w:rFonts w:cs="Calibri"/>
                <w:sz w:val="20"/>
              </w:rPr>
              <w:t>ADC and CAR-T</w:t>
            </w:r>
          </w:p>
        </w:tc>
        <w:tc>
          <w:tcPr>
            <w:tcW w:w="2281" w:type="dxa"/>
            <w:tcBorders>
              <w:top w:val="single" w:sz="4" w:space="0" w:color="000000"/>
              <w:left w:val="single" w:sz="4" w:space="0" w:color="000000"/>
              <w:bottom w:val="single" w:sz="4" w:space="0" w:color="000000"/>
              <w:right w:val="single" w:sz="4" w:space="0" w:color="000000"/>
            </w:tcBorders>
          </w:tcPr>
          <w:p w14:paraId="60E89F47" w14:textId="77777777" w:rsidR="001E13C2" w:rsidRPr="00593CC5" w:rsidRDefault="001E13C2">
            <w:pPr>
              <w:kinsoku w:val="0"/>
              <w:overflowPunct w:val="0"/>
              <w:autoSpaceDE w:val="0"/>
              <w:autoSpaceDN w:val="0"/>
              <w:adjustRightInd w:val="0"/>
              <w:spacing w:after="0" w:line="243" w:lineRule="exact"/>
              <w:ind w:left="7"/>
              <w:jc w:val="center"/>
              <w:rPr>
                <w:rFonts w:cs="Calibri"/>
                <w:w w:val="99"/>
                <w:sz w:val="20"/>
              </w:rPr>
            </w:pPr>
            <w:r w:rsidRPr="00593CC5">
              <w:rPr>
                <w:rFonts w:cs="Calibri"/>
                <w:w w:val="99"/>
                <w:sz w:val="20"/>
              </w:rPr>
              <w:t>0</w:t>
            </w:r>
          </w:p>
        </w:tc>
        <w:tc>
          <w:tcPr>
            <w:tcW w:w="2127" w:type="dxa"/>
            <w:tcBorders>
              <w:top w:val="single" w:sz="4" w:space="0" w:color="000000"/>
              <w:left w:val="single" w:sz="4" w:space="0" w:color="000000"/>
              <w:bottom w:val="single" w:sz="4" w:space="0" w:color="000000"/>
              <w:right w:val="single" w:sz="4" w:space="0" w:color="000000"/>
            </w:tcBorders>
          </w:tcPr>
          <w:p w14:paraId="57333FF5" w14:textId="77777777" w:rsidR="001E13C2" w:rsidRPr="00593CC5" w:rsidRDefault="001E13C2">
            <w:pPr>
              <w:kinsoku w:val="0"/>
              <w:overflowPunct w:val="0"/>
              <w:autoSpaceDE w:val="0"/>
              <w:autoSpaceDN w:val="0"/>
              <w:adjustRightInd w:val="0"/>
              <w:spacing w:after="0" w:line="243" w:lineRule="exact"/>
              <w:ind w:left="194" w:right="186"/>
              <w:jc w:val="center"/>
              <w:rPr>
                <w:rFonts w:cs="Calibri"/>
                <w:sz w:val="20"/>
              </w:rPr>
            </w:pPr>
            <w:r w:rsidRPr="00593CC5">
              <w:rPr>
                <w:rFonts w:cs="Calibri"/>
                <w:sz w:val="20"/>
              </w:rPr>
              <w:t>3 (4.7)</w:t>
            </w:r>
          </w:p>
        </w:tc>
        <w:tc>
          <w:tcPr>
            <w:tcW w:w="2252" w:type="dxa"/>
            <w:tcBorders>
              <w:top w:val="single" w:sz="4" w:space="0" w:color="000000"/>
              <w:left w:val="single" w:sz="4" w:space="0" w:color="000000"/>
              <w:bottom w:val="single" w:sz="4" w:space="0" w:color="000000"/>
              <w:right w:val="single" w:sz="4" w:space="0" w:color="000000"/>
            </w:tcBorders>
          </w:tcPr>
          <w:p w14:paraId="642979AF" w14:textId="77777777" w:rsidR="001E13C2" w:rsidRPr="00593CC5" w:rsidRDefault="001E13C2">
            <w:pPr>
              <w:kinsoku w:val="0"/>
              <w:overflowPunct w:val="0"/>
              <w:autoSpaceDE w:val="0"/>
              <w:autoSpaceDN w:val="0"/>
              <w:adjustRightInd w:val="0"/>
              <w:spacing w:after="0" w:line="243" w:lineRule="exact"/>
              <w:ind w:left="195" w:right="186"/>
              <w:jc w:val="center"/>
              <w:rPr>
                <w:rFonts w:cs="Calibri"/>
                <w:sz w:val="20"/>
              </w:rPr>
            </w:pPr>
            <w:r w:rsidRPr="00593CC5">
              <w:rPr>
                <w:rFonts w:cs="Calibri"/>
                <w:sz w:val="20"/>
              </w:rPr>
              <w:t>3 (1.6)</w:t>
            </w:r>
          </w:p>
        </w:tc>
      </w:tr>
      <w:tr w:rsidR="001E13C2" w:rsidRPr="00593CC5" w14:paraId="71896462"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54833CF0" w14:textId="77777777" w:rsidR="001E13C2" w:rsidRPr="00593CC5" w:rsidRDefault="001E13C2">
            <w:pPr>
              <w:kinsoku w:val="0"/>
              <w:overflowPunct w:val="0"/>
              <w:autoSpaceDE w:val="0"/>
              <w:autoSpaceDN w:val="0"/>
              <w:adjustRightInd w:val="0"/>
              <w:spacing w:before="1" w:after="0" w:line="242" w:lineRule="exact"/>
              <w:ind w:left="269"/>
              <w:rPr>
                <w:rFonts w:cs="Calibri"/>
                <w:sz w:val="20"/>
              </w:rPr>
            </w:pPr>
            <w:r w:rsidRPr="00593CC5">
              <w:rPr>
                <w:rFonts w:cs="Calibri"/>
                <w:sz w:val="20"/>
              </w:rPr>
              <w:t>Anti-BCMA Bispecific</w:t>
            </w:r>
          </w:p>
        </w:tc>
        <w:tc>
          <w:tcPr>
            <w:tcW w:w="2281" w:type="dxa"/>
            <w:tcBorders>
              <w:top w:val="single" w:sz="4" w:space="0" w:color="000000"/>
              <w:left w:val="single" w:sz="4" w:space="0" w:color="000000"/>
              <w:bottom w:val="single" w:sz="4" w:space="0" w:color="000000"/>
              <w:right w:val="single" w:sz="4" w:space="0" w:color="000000"/>
            </w:tcBorders>
          </w:tcPr>
          <w:p w14:paraId="49C5AEA2" w14:textId="77777777" w:rsidR="001E13C2" w:rsidRPr="00593CC5" w:rsidRDefault="001E13C2">
            <w:pPr>
              <w:kinsoku w:val="0"/>
              <w:overflowPunct w:val="0"/>
              <w:autoSpaceDE w:val="0"/>
              <w:autoSpaceDN w:val="0"/>
              <w:adjustRightInd w:val="0"/>
              <w:spacing w:before="1" w:after="0" w:line="242" w:lineRule="exact"/>
              <w:ind w:left="7"/>
              <w:jc w:val="center"/>
              <w:rPr>
                <w:rFonts w:cs="Calibri"/>
                <w:w w:val="99"/>
                <w:sz w:val="20"/>
              </w:rPr>
            </w:pPr>
            <w:r w:rsidRPr="00593CC5">
              <w:rPr>
                <w:rFonts w:cs="Calibri"/>
                <w:w w:val="99"/>
                <w:sz w:val="20"/>
              </w:rPr>
              <w:t>0</w:t>
            </w:r>
          </w:p>
        </w:tc>
        <w:tc>
          <w:tcPr>
            <w:tcW w:w="2127" w:type="dxa"/>
            <w:tcBorders>
              <w:top w:val="single" w:sz="4" w:space="0" w:color="000000"/>
              <w:left w:val="single" w:sz="4" w:space="0" w:color="000000"/>
              <w:bottom w:val="single" w:sz="4" w:space="0" w:color="000000"/>
              <w:right w:val="single" w:sz="4" w:space="0" w:color="000000"/>
            </w:tcBorders>
          </w:tcPr>
          <w:p w14:paraId="3FC968D3" w14:textId="77777777" w:rsidR="001E13C2" w:rsidRPr="00593CC5" w:rsidRDefault="001E13C2">
            <w:pPr>
              <w:kinsoku w:val="0"/>
              <w:overflowPunct w:val="0"/>
              <w:autoSpaceDE w:val="0"/>
              <w:autoSpaceDN w:val="0"/>
              <w:adjustRightInd w:val="0"/>
              <w:spacing w:before="1" w:after="0" w:line="242" w:lineRule="exact"/>
              <w:ind w:left="194" w:right="186"/>
              <w:jc w:val="center"/>
              <w:rPr>
                <w:rFonts w:cs="Calibri"/>
                <w:sz w:val="20"/>
              </w:rPr>
            </w:pPr>
            <w:r w:rsidRPr="00593CC5">
              <w:rPr>
                <w:rFonts w:cs="Calibri"/>
                <w:sz w:val="20"/>
              </w:rPr>
              <w:t>1 (1.6)</w:t>
            </w:r>
          </w:p>
        </w:tc>
        <w:tc>
          <w:tcPr>
            <w:tcW w:w="2252" w:type="dxa"/>
            <w:tcBorders>
              <w:top w:val="single" w:sz="4" w:space="0" w:color="000000"/>
              <w:left w:val="single" w:sz="4" w:space="0" w:color="000000"/>
              <w:bottom w:val="single" w:sz="4" w:space="0" w:color="000000"/>
              <w:right w:val="single" w:sz="4" w:space="0" w:color="000000"/>
            </w:tcBorders>
          </w:tcPr>
          <w:p w14:paraId="2CC736AD" w14:textId="77777777" w:rsidR="001E13C2" w:rsidRPr="00593CC5" w:rsidRDefault="001E13C2">
            <w:pPr>
              <w:kinsoku w:val="0"/>
              <w:overflowPunct w:val="0"/>
              <w:autoSpaceDE w:val="0"/>
              <w:autoSpaceDN w:val="0"/>
              <w:adjustRightInd w:val="0"/>
              <w:spacing w:before="1" w:after="0" w:line="242" w:lineRule="exact"/>
              <w:ind w:left="195" w:right="186"/>
              <w:jc w:val="center"/>
              <w:rPr>
                <w:rFonts w:cs="Calibri"/>
                <w:sz w:val="20"/>
              </w:rPr>
            </w:pPr>
            <w:r w:rsidRPr="00593CC5">
              <w:rPr>
                <w:rFonts w:cs="Calibri"/>
                <w:sz w:val="20"/>
              </w:rPr>
              <w:t>1 (0.5)</w:t>
            </w:r>
          </w:p>
        </w:tc>
      </w:tr>
      <w:tr w:rsidR="001E13C2" w:rsidRPr="00593CC5" w14:paraId="641F00B8"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3EDD0621" w14:textId="77777777" w:rsidR="001E13C2" w:rsidRPr="00593CC5" w:rsidRDefault="001E13C2">
            <w:pPr>
              <w:kinsoku w:val="0"/>
              <w:overflowPunct w:val="0"/>
              <w:autoSpaceDE w:val="0"/>
              <w:autoSpaceDN w:val="0"/>
              <w:adjustRightInd w:val="0"/>
              <w:spacing w:before="1" w:after="0" w:line="242" w:lineRule="exact"/>
              <w:ind w:left="108"/>
              <w:rPr>
                <w:rFonts w:cs="Calibri"/>
                <w:b/>
                <w:bCs/>
                <w:sz w:val="20"/>
              </w:rPr>
            </w:pPr>
            <w:r w:rsidRPr="00593CC5">
              <w:rPr>
                <w:rFonts w:cs="Calibri"/>
                <w:b/>
                <w:bCs/>
                <w:sz w:val="20"/>
              </w:rPr>
              <w:t>Triple-class exposed</w:t>
            </w:r>
          </w:p>
        </w:tc>
        <w:tc>
          <w:tcPr>
            <w:tcW w:w="2281" w:type="dxa"/>
            <w:tcBorders>
              <w:top w:val="single" w:sz="4" w:space="0" w:color="000000"/>
              <w:left w:val="single" w:sz="4" w:space="0" w:color="000000"/>
              <w:bottom w:val="single" w:sz="4" w:space="0" w:color="000000"/>
              <w:right w:val="single" w:sz="4" w:space="0" w:color="000000"/>
            </w:tcBorders>
          </w:tcPr>
          <w:p w14:paraId="4040E3A6"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123 (100.00)</w:t>
            </w:r>
          </w:p>
        </w:tc>
        <w:tc>
          <w:tcPr>
            <w:tcW w:w="2127" w:type="dxa"/>
            <w:tcBorders>
              <w:top w:val="single" w:sz="4" w:space="0" w:color="000000"/>
              <w:left w:val="single" w:sz="4" w:space="0" w:color="000000"/>
              <w:bottom w:val="single" w:sz="4" w:space="0" w:color="000000"/>
              <w:right w:val="single" w:sz="4" w:space="0" w:color="000000"/>
            </w:tcBorders>
          </w:tcPr>
          <w:p w14:paraId="146A31F9" w14:textId="77777777" w:rsidR="001E13C2" w:rsidRPr="00593CC5" w:rsidRDefault="001E13C2">
            <w:pPr>
              <w:kinsoku w:val="0"/>
              <w:overflowPunct w:val="0"/>
              <w:autoSpaceDE w:val="0"/>
              <w:autoSpaceDN w:val="0"/>
              <w:adjustRightInd w:val="0"/>
              <w:spacing w:before="1" w:after="0" w:line="242" w:lineRule="exact"/>
              <w:ind w:right="688"/>
              <w:jc w:val="right"/>
              <w:rPr>
                <w:rFonts w:cs="Calibri"/>
                <w:sz w:val="20"/>
              </w:rPr>
            </w:pPr>
            <w:r w:rsidRPr="00593CC5">
              <w:rPr>
                <w:rFonts w:cs="Calibri"/>
                <w:sz w:val="20"/>
              </w:rPr>
              <w:t>64 (100.0)</w:t>
            </w:r>
          </w:p>
        </w:tc>
        <w:tc>
          <w:tcPr>
            <w:tcW w:w="2252" w:type="dxa"/>
            <w:tcBorders>
              <w:top w:val="single" w:sz="4" w:space="0" w:color="000000"/>
              <w:left w:val="single" w:sz="4" w:space="0" w:color="000000"/>
              <w:bottom w:val="single" w:sz="4" w:space="0" w:color="000000"/>
              <w:right w:val="single" w:sz="4" w:space="0" w:color="000000"/>
            </w:tcBorders>
          </w:tcPr>
          <w:p w14:paraId="490BC8B1"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187 (100.0)</w:t>
            </w:r>
          </w:p>
        </w:tc>
      </w:tr>
      <w:tr w:rsidR="001E13C2" w:rsidRPr="00593CC5" w14:paraId="04FFEE78"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146B8B8E" w14:textId="77777777" w:rsidR="001E13C2" w:rsidRPr="00593CC5" w:rsidRDefault="001E13C2">
            <w:pPr>
              <w:kinsoku w:val="0"/>
              <w:overflowPunct w:val="0"/>
              <w:autoSpaceDE w:val="0"/>
              <w:autoSpaceDN w:val="0"/>
              <w:adjustRightInd w:val="0"/>
              <w:spacing w:before="1" w:after="0" w:line="242" w:lineRule="exact"/>
              <w:ind w:left="108"/>
              <w:rPr>
                <w:rFonts w:cs="Calibri"/>
                <w:b/>
                <w:bCs/>
                <w:sz w:val="20"/>
              </w:rPr>
            </w:pPr>
            <w:r w:rsidRPr="00593CC5">
              <w:rPr>
                <w:rFonts w:cs="Calibri"/>
                <w:b/>
                <w:bCs/>
                <w:sz w:val="20"/>
              </w:rPr>
              <w:t>Penta-class exposed</w:t>
            </w:r>
          </w:p>
        </w:tc>
        <w:tc>
          <w:tcPr>
            <w:tcW w:w="2281" w:type="dxa"/>
            <w:tcBorders>
              <w:top w:val="single" w:sz="4" w:space="0" w:color="000000"/>
              <w:left w:val="single" w:sz="4" w:space="0" w:color="000000"/>
              <w:bottom w:val="single" w:sz="4" w:space="0" w:color="000000"/>
              <w:right w:val="single" w:sz="4" w:space="0" w:color="000000"/>
            </w:tcBorders>
          </w:tcPr>
          <w:p w14:paraId="7CD591F6"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87 (70.7)</w:t>
            </w:r>
          </w:p>
        </w:tc>
        <w:tc>
          <w:tcPr>
            <w:tcW w:w="2127" w:type="dxa"/>
            <w:tcBorders>
              <w:top w:val="single" w:sz="4" w:space="0" w:color="000000"/>
              <w:left w:val="single" w:sz="4" w:space="0" w:color="000000"/>
              <w:bottom w:val="single" w:sz="4" w:space="0" w:color="000000"/>
              <w:right w:val="single" w:sz="4" w:space="0" w:color="000000"/>
            </w:tcBorders>
          </w:tcPr>
          <w:p w14:paraId="284D803B" w14:textId="77777777" w:rsidR="001E13C2" w:rsidRPr="00593CC5" w:rsidRDefault="001E13C2">
            <w:pPr>
              <w:kinsoku w:val="0"/>
              <w:overflowPunct w:val="0"/>
              <w:autoSpaceDE w:val="0"/>
              <w:autoSpaceDN w:val="0"/>
              <w:adjustRightInd w:val="0"/>
              <w:spacing w:before="1" w:after="0" w:line="242" w:lineRule="exact"/>
              <w:ind w:right="738"/>
              <w:jc w:val="right"/>
              <w:rPr>
                <w:rFonts w:cs="Calibri"/>
                <w:sz w:val="20"/>
              </w:rPr>
            </w:pPr>
            <w:r w:rsidRPr="00593CC5">
              <w:rPr>
                <w:rFonts w:cs="Calibri"/>
                <w:sz w:val="20"/>
              </w:rPr>
              <w:t>54 (84.4)</w:t>
            </w:r>
          </w:p>
        </w:tc>
        <w:tc>
          <w:tcPr>
            <w:tcW w:w="2252" w:type="dxa"/>
            <w:tcBorders>
              <w:top w:val="single" w:sz="4" w:space="0" w:color="000000"/>
              <w:left w:val="single" w:sz="4" w:space="0" w:color="000000"/>
              <w:bottom w:val="single" w:sz="4" w:space="0" w:color="000000"/>
              <w:right w:val="single" w:sz="4" w:space="0" w:color="000000"/>
            </w:tcBorders>
          </w:tcPr>
          <w:p w14:paraId="403D26A2"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141 (75.4)</w:t>
            </w:r>
          </w:p>
        </w:tc>
      </w:tr>
      <w:tr w:rsidR="001E13C2" w:rsidRPr="00593CC5" w14:paraId="45B40205" w14:textId="77777777" w:rsidTr="0005466A">
        <w:trPr>
          <w:trHeight w:val="263"/>
        </w:trPr>
        <w:tc>
          <w:tcPr>
            <w:tcW w:w="2701" w:type="dxa"/>
            <w:tcBorders>
              <w:top w:val="single" w:sz="4" w:space="0" w:color="000000"/>
              <w:left w:val="single" w:sz="4" w:space="0" w:color="000000"/>
              <w:bottom w:val="single" w:sz="4" w:space="0" w:color="000000"/>
              <w:right w:val="single" w:sz="4" w:space="0" w:color="000000"/>
            </w:tcBorders>
          </w:tcPr>
          <w:p w14:paraId="696C2E5C" w14:textId="77777777" w:rsidR="001E13C2" w:rsidRPr="00593CC5" w:rsidRDefault="001E13C2">
            <w:pPr>
              <w:kinsoku w:val="0"/>
              <w:overflowPunct w:val="0"/>
              <w:autoSpaceDE w:val="0"/>
              <w:autoSpaceDN w:val="0"/>
              <w:adjustRightInd w:val="0"/>
              <w:spacing w:before="1" w:after="0" w:line="242" w:lineRule="exact"/>
              <w:ind w:left="108"/>
              <w:rPr>
                <w:rFonts w:cs="Calibri"/>
                <w:b/>
                <w:bCs/>
                <w:sz w:val="20"/>
              </w:rPr>
            </w:pPr>
            <w:r w:rsidRPr="00593CC5">
              <w:rPr>
                <w:rFonts w:cs="Calibri"/>
                <w:b/>
                <w:bCs/>
                <w:sz w:val="20"/>
              </w:rPr>
              <w:t>Triple-class refractory</w:t>
            </w:r>
          </w:p>
        </w:tc>
        <w:tc>
          <w:tcPr>
            <w:tcW w:w="2281" w:type="dxa"/>
            <w:tcBorders>
              <w:top w:val="single" w:sz="4" w:space="0" w:color="000000"/>
              <w:left w:val="single" w:sz="4" w:space="0" w:color="000000"/>
              <w:bottom w:val="single" w:sz="4" w:space="0" w:color="000000"/>
              <w:right w:val="single" w:sz="4" w:space="0" w:color="000000"/>
            </w:tcBorders>
          </w:tcPr>
          <w:p w14:paraId="763B652C" w14:textId="77777777" w:rsidR="001E13C2" w:rsidRPr="00593CC5" w:rsidRDefault="001E13C2">
            <w:pPr>
              <w:kinsoku w:val="0"/>
              <w:overflowPunct w:val="0"/>
              <w:autoSpaceDE w:val="0"/>
              <w:autoSpaceDN w:val="0"/>
              <w:adjustRightInd w:val="0"/>
              <w:spacing w:before="1" w:after="0" w:line="242" w:lineRule="exact"/>
              <w:ind w:left="191" w:right="186"/>
              <w:jc w:val="center"/>
              <w:rPr>
                <w:rFonts w:cs="Calibri"/>
                <w:sz w:val="20"/>
              </w:rPr>
            </w:pPr>
            <w:r w:rsidRPr="00593CC5">
              <w:rPr>
                <w:rFonts w:cs="Calibri"/>
                <w:sz w:val="20"/>
              </w:rPr>
              <w:t>119 (96.7)</w:t>
            </w:r>
          </w:p>
        </w:tc>
        <w:tc>
          <w:tcPr>
            <w:tcW w:w="2127" w:type="dxa"/>
            <w:tcBorders>
              <w:top w:val="single" w:sz="4" w:space="0" w:color="000000"/>
              <w:left w:val="single" w:sz="4" w:space="0" w:color="000000"/>
              <w:bottom w:val="single" w:sz="4" w:space="0" w:color="000000"/>
              <w:right w:val="single" w:sz="4" w:space="0" w:color="000000"/>
            </w:tcBorders>
          </w:tcPr>
          <w:p w14:paraId="5FA53C73" w14:textId="77777777" w:rsidR="001E13C2" w:rsidRPr="00593CC5" w:rsidRDefault="001E13C2">
            <w:pPr>
              <w:kinsoku w:val="0"/>
              <w:overflowPunct w:val="0"/>
              <w:autoSpaceDE w:val="0"/>
              <w:autoSpaceDN w:val="0"/>
              <w:adjustRightInd w:val="0"/>
              <w:spacing w:before="1" w:after="0" w:line="242" w:lineRule="exact"/>
              <w:ind w:right="738"/>
              <w:jc w:val="right"/>
              <w:rPr>
                <w:rFonts w:cs="Calibri"/>
                <w:sz w:val="20"/>
              </w:rPr>
            </w:pPr>
            <w:r w:rsidRPr="00593CC5">
              <w:rPr>
                <w:rFonts w:cs="Calibri"/>
                <w:sz w:val="20"/>
              </w:rPr>
              <w:t>62 (96.9)</w:t>
            </w:r>
          </w:p>
        </w:tc>
        <w:tc>
          <w:tcPr>
            <w:tcW w:w="2252" w:type="dxa"/>
            <w:tcBorders>
              <w:top w:val="single" w:sz="4" w:space="0" w:color="000000"/>
              <w:left w:val="single" w:sz="4" w:space="0" w:color="000000"/>
              <w:bottom w:val="single" w:sz="4" w:space="0" w:color="000000"/>
              <w:right w:val="single" w:sz="4" w:space="0" w:color="000000"/>
            </w:tcBorders>
          </w:tcPr>
          <w:p w14:paraId="610CDE2B" w14:textId="77777777" w:rsidR="001E13C2" w:rsidRPr="00593CC5" w:rsidRDefault="001E13C2">
            <w:pPr>
              <w:kinsoku w:val="0"/>
              <w:overflowPunct w:val="0"/>
              <w:autoSpaceDE w:val="0"/>
              <w:autoSpaceDN w:val="0"/>
              <w:adjustRightInd w:val="0"/>
              <w:spacing w:before="1" w:after="0" w:line="242" w:lineRule="exact"/>
              <w:ind w:left="192" w:right="186"/>
              <w:jc w:val="center"/>
              <w:rPr>
                <w:rFonts w:cs="Calibri"/>
                <w:sz w:val="20"/>
              </w:rPr>
            </w:pPr>
            <w:r w:rsidRPr="00593CC5">
              <w:rPr>
                <w:rFonts w:cs="Calibri"/>
                <w:sz w:val="20"/>
              </w:rPr>
              <w:t>181 (96.8)</w:t>
            </w:r>
          </w:p>
        </w:tc>
      </w:tr>
      <w:tr w:rsidR="001E13C2" w:rsidRPr="00593CC5" w14:paraId="69CD5EE7" w14:textId="77777777" w:rsidTr="0005466A">
        <w:trPr>
          <w:trHeight w:val="739"/>
        </w:trPr>
        <w:tc>
          <w:tcPr>
            <w:tcW w:w="2701" w:type="dxa"/>
            <w:tcBorders>
              <w:top w:val="single" w:sz="4" w:space="0" w:color="000000"/>
              <w:left w:val="single" w:sz="4" w:space="0" w:color="000000"/>
              <w:bottom w:val="single" w:sz="4" w:space="0" w:color="000000"/>
              <w:right w:val="single" w:sz="4" w:space="0" w:color="000000"/>
            </w:tcBorders>
          </w:tcPr>
          <w:p w14:paraId="25BE50F6" w14:textId="77777777" w:rsidR="001E13C2" w:rsidRPr="00593CC5" w:rsidRDefault="001E13C2">
            <w:pPr>
              <w:kinsoku w:val="0"/>
              <w:overflowPunct w:val="0"/>
              <w:autoSpaceDE w:val="0"/>
              <w:autoSpaceDN w:val="0"/>
              <w:adjustRightInd w:val="0"/>
              <w:spacing w:before="1" w:after="0" w:line="240" w:lineRule="auto"/>
              <w:ind w:left="108"/>
              <w:rPr>
                <w:rFonts w:cs="Calibri"/>
                <w:b/>
                <w:bCs/>
                <w:sz w:val="20"/>
              </w:rPr>
            </w:pPr>
            <w:r w:rsidRPr="00593CC5">
              <w:rPr>
                <w:rFonts w:cs="Calibri"/>
                <w:b/>
                <w:bCs/>
                <w:sz w:val="20"/>
              </w:rPr>
              <w:t>Penta-drug Refractory</w:t>
            </w:r>
          </w:p>
          <w:p w14:paraId="1134AA5D" w14:textId="77777777" w:rsidR="001E13C2" w:rsidRPr="00593CC5" w:rsidRDefault="001E13C2">
            <w:pPr>
              <w:kinsoku w:val="0"/>
              <w:overflowPunct w:val="0"/>
              <w:autoSpaceDE w:val="0"/>
              <w:autoSpaceDN w:val="0"/>
              <w:adjustRightInd w:val="0"/>
              <w:spacing w:after="0"/>
              <w:ind w:left="108" w:right="288"/>
              <w:rPr>
                <w:rFonts w:cs="Calibri"/>
                <w:b/>
                <w:bCs/>
                <w:sz w:val="20"/>
              </w:rPr>
            </w:pPr>
            <w:r w:rsidRPr="00593CC5">
              <w:rPr>
                <w:rFonts w:cs="Calibri"/>
                <w:b/>
                <w:bCs/>
                <w:sz w:val="20"/>
              </w:rPr>
              <w:t>(refractory</w:t>
            </w:r>
            <w:r w:rsidRPr="00593CC5">
              <w:rPr>
                <w:rFonts w:cs="Calibri"/>
                <w:b/>
                <w:bCs/>
                <w:spacing w:val="-9"/>
                <w:sz w:val="20"/>
              </w:rPr>
              <w:t xml:space="preserve"> </w:t>
            </w:r>
            <w:r w:rsidRPr="00593CC5">
              <w:rPr>
                <w:rFonts w:cs="Calibri"/>
                <w:b/>
                <w:bCs/>
                <w:sz w:val="20"/>
              </w:rPr>
              <w:t>to</w:t>
            </w:r>
            <w:r w:rsidRPr="00593CC5">
              <w:rPr>
                <w:rFonts w:cs="Calibri"/>
                <w:b/>
                <w:bCs/>
                <w:spacing w:val="-8"/>
                <w:sz w:val="20"/>
              </w:rPr>
              <w:t xml:space="preserve"> </w:t>
            </w:r>
            <w:r w:rsidRPr="00593CC5">
              <w:rPr>
                <w:rFonts w:cs="Calibri"/>
                <w:b/>
                <w:bCs/>
                <w:sz w:val="20"/>
              </w:rPr>
              <w:t>at</w:t>
            </w:r>
            <w:r w:rsidRPr="00593CC5">
              <w:rPr>
                <w:rFonts w:cs="Calibri"/>
                <w:b/>
                <w:bCs/>
                <w:spacing w:val="-8"/>
                <w:sz w:val="20"/>
              </w:rPr>
              <w:t xml:space="preserve"> </w:t>
            </w:r>
            <w:r w:rsidRPr="00593CC5">
              <w:rPr>
                <w:rFonts w:cs="Calibri"/>
                <w:b/>
                <w:bCs/>
                <w:sz w:val="20"/>
              </w:rPr>
              <w:t>least</w:t>
            </w:r>
            <w:r w:rsidRPr="00593CC5">
              <w:rPr>
                <w:rFonts w:cs="Calibri"/>
                <w:b/>
                <w:bCs/>
                <w:spacing w:val="-8"/>
                <w:sz w:val="20"/>
              </w:rPr>
              <w:t xml:space="preserve"> </w:t>
            </w:r>
            <w:r w:rsidRPr="00593CC5">
              <w:rPr>
                <w:rFonts w:cs="Calibri"/>
                <w:b/>
                <w:bCs/>
                <w:sz w:val="20"/>
              </w:rPr>
              <w:t>2</w:t>
            </w:r>
            <w:r w:rsidRPr="00593CC5">
              <w:rPr>
                <w:rFonts w:cs="Calibri"/>
                <w:b/>
                <w:bCs/>
                <w:spacing w:val="-9"/>
                <w:sz w:val="20"/>
              </w:rPr>
              <w:t xml:space="preserve"> </w:t>
            </w:r>
            <w:r w:rsidRPr="00593CC5">
              <w:rPr>
                <w:rFonts w:cs="Calibri"/>
                <w:b/>
                <w:bCs/>
                <w:sz w:val="20"/>
              </w:rPr>
              <w:t xml:space="preserve">PIs, 2 </w:t>
            </w:r>
            <w:proofErr w:type="spellStart"/>
            <w:r w:rsidRPr="00593CC5">
              <w:rPr>
                <w:rFonts w:cs="Calibri"/>
                <w:b/>
                <w:bCs/>
                <w:sz w:val="20"/>
              </w:rPr>
              <w:t>IMiDs</w:t>
            </w:r>
            <w:proofErr w:type="spellEnd"/>
            <w:r w:rsidRPr="00593CC5">
              <w:rPr>
                <w:rFonts w:cs="Calibri"/>
                <w:b/>
                <w:bCs/>
                <w:sz w:val="20"/>
              </w:rPr>
              <w:t xml:space="preserve"> and 1 anti-CD38)</w:t>
            </w:r>
          </w:p>
        </w:tc>
        <w:tc>
          <w:tcPr>
            <w:tcW w:w="2281" w:type="dxa"/>
            <w:tcBorders>
              <w:top w:val="single" w:sz="4" w:space="0" w:color="000000"/>
              <w:left w:val="single" w:sz="4" w:space="0" w:color="000000"/>
              <w:bottom w:val="single" w:sz="4" w:space="0" w:color="000000"/>
              <w:right w:val="single" w:sz="4" w:space="0" w:color="000000"/>
            </w:tcBorders>
          </w:tcPr>
          <w:p w14:paraId="2C785FB8" w14:textId="77777777" w:rsidR="001E13C2" w:rsidRPr="00593CC5" w:rsidRDefault="001E13C2">
            <w:pPr>
              <w:kinsoku w:val="0"/>
              <w:overflowPunct w:val="0"/>
              <w:autoSpaceDE w:val="0"/>
              <w:autoSpaceDN w:val="0"/>
              <w:adjustRightInd w:val="0"/>
              <w:spacing w:before="1" w:after="0" w:line="240" w:lineRule="auto"/>
              <w:ind w:left="191" w:right="186"/>
              <w:jc w:val="center"/>
              <w:rPr>
                <w:rFonts w:cs="Calibri"/>
                <w:sz w:val="20"/>
              </w:rPr>
            </w:pPr>
            <w:r w:rsidRPr="00593CC5">
              <w:rPr>
                <w:rFonts w:cs="Calibri"/>
                <w:sz w:val="20"/>
              </w:rPr>
              <w:t>52 (42.3)</w:t>
            </w:r>
          </w:p>
        </w:tc>
        <w:tc>
          <w:tcPr>
            <w:tcW w:w="2127" w:type="dxa"/>
            <w:tcBorders>
              <w:top w:val="single" w:sz="4" w:space="0" w:color="000000"/>
              <w:left w:val="single" w:sz="4" w:space="0" w:color="000000"/>
              <w:bottom w:val="single" w:sz="4" w:space="0" w:color="000000"/>
              <w:right w:val="single" w:sz="4" w:space="0" w:color="000000"/>
            </w:tcBorders>
          </w:tcPr>
          <w:p w14:paraId="20FCD696" w14:textId="77777777" w:rsidR="001E13C2" w:rsidRPr="00593CC5" w:rsidRDefault="001E13C2">
            <w:pPr>
              <w:kinsoku w:val="0"/>
              <w:overflowPunct w:val="0"/>
              <w:autoSpaceDE w:val="0"/>
              <w:autoSpaceDN w:val="0"/>
              <w:adjustRightInd w:val="0"/>
              <w:spacing w:before="1" w:after="0" w:line="240" w:lineRule="auto"/>
              <w:ind w:right="738"/>
              <w:jc w:val="right"/>
              <w:rPr>
                <w:rFonts w:cs="Calibri"/>
                <w:sz w:val="20"/>
              </w:rPr>
            </w:pPr>
            <w:r w:rsidRPr="00593CC5">
              <w:rPr>
                <w:rFonts w:cs="Calibri"/>
                <w:sz w:val="20"/>
              </w:rPr>
              <w:t>33 (51.6)</w:t>
            </w:r>
          </w:p>
        </w:tc>
        <w:tc>
          <w:tcPr>
            <w:tcW w:w="2252" w:type="dxa"/>
            <w:tcBorders>
              <w:top w:val="single" w:sz="4" w:space="0" w:color="000000"/>
              <w:left w:val="single" w:sz="4" w:space="0" w:color="000000"/>
              <w:bottom w:val="single" w:sz="4" w:space="0" w:color="000000"/>
              <w:right w:val="single" w:sz="4" w:space="0" w:color="000000"/>
            </w:tcBorders>
          </w:tcPr>
          <w:p w14:paraId="1EC0E993" w14:textId="77777777" w:rsidR="001E13C2" w:rsidRPr="00593CC5" w:rsidRDefault="001E13C2">
            <w:pPr>
              <w:kinsoku w:val="0"/>
              <w:overflowPunct w:val="0"/>
              <w:autoSpaceDE w:val="0"/>
              <w:autoSpaceDN w:val="0"/>
              <w:adjustRightInd w:val="0"/>
              <w:spacing w:before="1" w:after="0" w:line="240" w:lineRule="auto"/>
              <w:ind w:left="191" w:right="186"/>
              <w:jc w:val="center"/>
              <w:rPr>
                <w:rFonts w:cs="Calibri"/>
                <w:sz w:val="20"/>
              </w:rPr>
            </w:pPr>
            <w:r w:rsidRPr="00593CC5">
              <w:rPr>
                <w:rFonts w:cs="Calibri"/>
                <w:sz w:val="20"/>
              </w:rPr>
              <w:t>85 (45.5)</w:t>
            </w:r>
          </w:p>
        </w:tc>
      </w:tr>
      <w:tr w:rsidR="001E13C2" w:rsidRPr="00593CC5" w14:paraId="41A38E86" w14:textId="77777777" w:rsidTr="0005466A">
        <w:trPr>
          <w:trHeight w:val="611"/>
        </w:trPr>
        <w:tc>
          <w:tcPr>
            <w:tcW w:w="2701" w:type="dxa"/>
            <w:tcBorders>
              <w:top w:val="single" w:sz="4" w:space="0" w:color="000000"/>
              <w:left w:val="single" w:sz="4" w:space="0" w:color="000000"/>
              <w:bottom w:val="single" w:sz="4" w:space="0" w:color="000000"/>
              <w:right w:val="single" w:sz="4" w:space="0" w:color="000000"/>
            </w:tcBorders>
          </w:tcPr>
          <w:p w14:paraId="06BEAE18" w14:textId="77777777" w:rsidR="001E13C2" w:rsidRPr="00593CC5" w:rsidRDefault="001E13C2">
            <w:pPr>
              <w:kinsoku w:val="0"/>
              <w:overflowPunct w:val="0"/>
              <w:autoSpaceDE w:val="0"/>
              <w:autoSpaceDN w:val="0"/>
              <w:adjustRightInd w:val="0"/>
              <w:spacing w:before="1" w:after="0" w:line="240" w:lineRule="auto"/>
              <w:ind w:left="108" w:right="288"/>
              <w:rPr>
                <w:rFonts w:cs="Calibri"/>
                <w:b/>
                <w:bCs/>
                <w:spacing w:val="-2"/>
                <w:sz w:val="20"/>
              </w:rPr>
            </w:pPr>
            <w:r w:rsidRPr="00593CC5">
              <w:rPr>
                <w:rFonts w:cs="Calibri"/>
                <w:b/>
                <w:bCs/>
                <w:sz w:val="20"/>
              </w:rPr>
              <w:t>Refractory</w:t>
            </w:r>
            <w:r w:rsidRPr="00593CC5">
              <w:rPr>
                <w:rFonts w:cs="Calibri"/>
                <w:b/>
                <w:bCs/>
                <w:spacing w:val="-11"/>
                <w:sz w:val="20"/>
              </w:rPr>
              <w:t xml:space="preserve"> </w:t>
            </w:r>
            <w:r w:rsidRPr="00593CC5">
              <w:rPr>
                <w:rFonts w:cs="Calibri"/>
                <w:b/>
                <w:bCs/>
                <w:sz w:val="20"/>
              </w:rPr>
              <w:t>to</w:t>
            </w:r>
            <w:r w:rsidRPr="00593CC5">
              <w:rPr>
                <w:rFonts w:cs="Calibri"/>
                <w:b/>
                <w:bCs/>
                <w:spacing w:val="-10"/>
                <w:sz w:val="20"/>
              </w:rPr>
              <w:t xml:space="preserve"> </w:t>
            </w:r>
            <w:r w:rsidRPr="00593CC5">
              <w:rPr>
                <w:rFonts w:cs="Calibri"/>
                <w:b/>
                <w:bCs/>
                <w:sz w:val="20"/>
              </w:rPr>
              <w:t>last</w:t>
            </w:r>
            <w:r w:rsidRPr="00593CC5">
              <w:rPr>
                <w:rFonts w:cs="Calibri"/>
                <w:b/>
                <w:bCs/>
                <w:spacing w:val="-10"/>
                <w:sz w:val="20"/>
              </w:rPr>
              <w:t xml:space="preserve"> </w:t>
            </w:r>
            <w:r w:rsidRPr="00593CC5">
              <w:rPr>
                <w:rFonts w:cs="Calibri"/>
                <w:b/>
                <w:bCs/>
                <w:sz w:val="20"/>
              </w:rPr>
              <w:t>line</w:t>
            </w:r>
            <w:r w:rsidRPr="00593CC5">
              <w:rPr>
                <w:rFonts w:cs="Calibri"/>
                <w:b/>
                <w:bCs/>
                <w:spacing w:val="-10"/>
                <w:sz w:val="20"/>
              </w:rPr>
              <w:t xml:space="preserve"> </w:t>
            </w:r>
            <w:r w:rsidRPr="00593CC5">
              <w:rPr>
                <w:rFonts w:cs="Calibri"/>
                <w:b/>
                <w:bCs/>
                <w:sz w:val="20"/>
              </w:rPr>
              <w:t xml:space="preserve">of </w:t>
            </w:r>
            <w:r w:rsidRPr="00593CC5">
              <w:rPr>
                <w:rFonts w:cs="Calibri"/>
                <w:b/>
                <w:bCs/>
                <w:spacing w:val="-2"/>
                <w:sz w:val="20"/>
              </w:rPr>
              <w:t>therapy</w:t>
            </w:r>
          </w:p>
        </w:tc>
        <w:tc>
          <w:tcPr>
            <w:tcW w:w="2281" w:type="dxa"/>
            <w:tcBorders>
              <w:top w:val="single" w:sz="4" w:space="0" w:color="000000"/>
              <w:left w:val="single" w:sz="4" w:space="0" w:color="000000"/>
              <w:bottom w:val="single" w:sz="4" w:space="0" w:color="000000"/>
              <w:right w:val="single" w:sz="4" w:space="0" w:color="000000"/>
            </w:tcBorders>
          </w:tcPr>
          <w:p w14:paraId="5C2990F4" w14:textId="77777777" w:rsidR="001E13C2" w:rsidRPr="00593CC5" w:rsidRDefault="001E13C2">
            <w:pPr>
              <w:kinsoku w:val="0"/>
              <w:overflowPunct w:val="0"/>
              <w:autoSpaceDE w:val="0"/>
              <w:autoSpaceDN w:val="0"/>
              <w:adjustRightInd w:val="0"/>
              <w:spacing w:before="1" w:after="0" w:line="240" w:lineRule="auto"/>
              <w:ind w:left="191" w:right="186"/>
              <w:jc w:val="center"/>
              <w:rPr>
                <w:rFonts w:cs="Calibri"/>
                <w:sz w:val="20"/>
              </w:rPr>
            </w:pPr>
            <w:r w:rsidRPr="00593CC5">
              <w:rPr>
                <w:rFonts w:cs="Calibri"/>
                <w:sz w:val="20"/>
              </w:rPr>
              <w:t>118 (95.9)</w:t>
            </w:r>
          </w:p>
        </w:tc>
        <w:tc>
          <w:tcPr>
            <w:tcW w:w="2127" w:type="dxa"/>
            <w:tcBorders>
              <w:top w:val="single" w:sz="4" w:space="0" w:color="000000"/>
              <w:left w:val="single" w:sz="4" w:space="0" w:color="000000"/>
              <w:bottom w:val="single" w:sz="4" w:space="0" w:color="000000"/>
              <w:right w:val="single" w:sz="4" w:space="0" w:color="000000"/>
            </w:tcBorders>
          </w:tcPr>
          <w:p w14:paraId="41AAD05C" w14:textId="77777777" w:rsidR="001E13C2" w:rsidRPr="00593CC5" w:rsidRDefault="001E13C2">
            <w:pPr>
              <w:kinsoku w:val="0"/>
              <w:overflowPunct w:val="0"/>
              <w:autoSpaceDE w:val="0"/>
              <w:autoSpaceDN w:val="0"/>
              <w:adjustRightInd w:val="0"/>
              <w:spacing w:before="1" w:after="0" w:line="240" w:lineRule="auto"/>
              <w:ind w:right="738"/>
              <w:jc w:val="right"/>
              <w:rPr>
                <w:rFonts w:cs="Calibri"/>
                <w:sz w:val="20"/>
              </w:rPr>
            </w:pPr>
            <w:r w:rsidRPr="00593CC5">
              <w:rPr>
                <w:rFonts w:cs="Calibri"/>
                <w:sz w:val="20"/>
              </w:rPr>
              <w:t>56 (87.5)</w:t>
            </w:r>
          </w:p>
        </w:tc>
        <w:tc>
          <w:tcPr>
            <w:tcW w:w="2252" w:type="dxa"/>
            <w:tcBorders>
              <w:top w:val="single" w:sz="4" w:space="0" w:color="000000"/>
              <w:left w:val="single" w:sz="4" w:space="0" w:color="000000"/>
              <w:bottom w:val="single" w:sz="4" w:space="0" w:color="000000"/>
              <w:right w:val="single" w:sz="4" w:space="0" w:color="000000"/>
            </w:tcBorders>
          </w:tcPr>
          <w:p w14:paraId="51082C97" w14:textId="77777777" w:rsidR="001E13C2" w:rsidRPr="00593CC5" w:rsidRDefault="001E13C2">
            <w:pPr>
              <w:kinsoku w:val="0"/>
              <w:overflowPunct w:val="0"/>
              <w:autoSpaceDE w:val="0"/>
              <w:autoSpaceDN w:val="0"/>
              <w:adjustRightInd w:val="0"/>
              <w:spacing w:before="1" w:after="0" w:line="240" w:lineRule="auto"/>
              <w:ind w:left="191" w:right="186"/>
              <w:jc w:val="center"/>
              <w:rPr>
                <w:rFonts w:cs="Calibri"/>
                <w:sz w:val="20"/>
              </w:rPr>
            </w:pPr>
            <w:r w:rsidRPr="00593CC5">
              <w:rPr>
                <w:rFonts w:cs="Calibri"/>
                <w:sz w:val="20"/>
              </w:rPr>
              <w:t>174 (93.0)</w:t>
            </w:r>
          </w:p>
        </w:tc>
      </w:tr>
    </w:tbl>
    <w:p w14:paraId="3A9F7336" w14:textId="77777777" w:rsidR="001E13C2" w:rsidRDefault="001E13C2" w:rsidP="001E13C2">
      <w:pPr>
        <w:pStyle w:val="Default"/>
        <w:rPr>
          <w:color w:val="7030A0"/>
          <w:sz w:val="22"/>
          <w:szCs w:val="22"/>
        </w:rPr>
      </w:pPr>
    </w:p>
    <w:p w14:paraId="1213B1DE" w14:textId="77777777" w:rsidR="001E13C2" w:rsidRDefault="001E13C2" w:rsidP="002041DA">
      <w:r>
        <w:t>In Cohort A, 17.1% had received 3 prior lines of anticancer therapy, 26.8% 4 lines, 17.9% 5 lines, 13.0% 6 lines, 8.1% 7 lines, 3.3% 8 lines, 3.3% 9 lines, 4.1% received 10 lines and 2.4% received &gt;10 prior lines of anticancer therapy. In Cohort B patients were more heavily pre-treated, with 76.6% having received more than 5 prior lines of therapy and 15.6% have received more than 10 prior lines of therapy.</w:t>
      </w:r>
    </w:p>
    <w:p w14:paraId="3921E815" w14:textId="77777777" w:rsidR="0030656B" w:rsidRDefault="001E13C2" w:rsidP="002041DA">
      <w:r>
        <w:t>Across the study</w:t>
      </w:r>
      <w:r w:rsidR="008828B7">
        <w:t>,</w:t>
      </w:r>
      <w:r>
        <w:t xml:space="preserve"> the </w:t>
      </w:r>
      <w:proofErr w:type="gramStart"/>
      <w:r>
        <w:t>most commonly used</w:t>
      </w:r>
      <w:proofErr w:type="gramEnd"/>
      <w:r w:rsidR="0030656B">
        <w:t>:</w:t>
      </w:r>
    </w:p>
    <w:p w14:paraId="00EEC698" w14:textId="77777777" w:rsidR="0030656B" w:rsidRPr="00524001" w:rsidRDefault="001E13C2" w:rsidP="00524001">
      <w:pPr>
        <w:pStyle w:val="ListBullet"/>
      </w:pPr>
      <w:proofErr w:type="spellStart"/>
      <w:r w:rsidRPr="00524001">
        <w:t>IMiDs</w:t>
      </w:r>
      <w:proofErr w:type="spellEnd"/>
      <w:r w:rsidRPr="00524001">
        <w:t xml:space="preserve"> were lenalidomide (97.9%) and pomalidomide (89.1%)</w:t>
      </w:r>
    </w:p>
    <w:p w14:paraId="24201177" w14:textId="77777777" w:rsidR="0030656B" w:rsidRPr="00524001" w:rsidRDefault="001E13C2" w:rsidP="00524001">
      <w:pPr>
        <w:pStyle w:val="ListBullet"/>
      </w:pPr>
      <w:r w:rsidRPr="00524001">
        <w:t>proteasome inhibitors were bortezomib (96.8%) and carfilzomib (79.7%)</w:t>
      </w:r>
    </w:p>
    <w:p w14:paraId="656F245F" w14:textId="77777777" w:rsidR="00DF09AD" w:rsidRPr="00524001" w:rsidRDefault="001E13C2" w:rsidP="00524001">
      <w:pPr>
        <w:pStyle w:val="ListBullet"/>
      </w:pPr>
      <w:r w:rsidRPr="00524001">
        <w:t xml:space="preserve">anti-CD38 was daratumumab (92.5%). </w:t>
      </w:r>
    </w:p>
    <w:p w14:paraId="16955B5D" w14:textId="5D281309" w:rsidR="001E13C2" w:rsidRPr="009112DC" w:rsidRDefault="001E13C2" w:rsidP="00DF09AD">
      <w:pPr>
        <w:pStyle w:val="ListBullet"/>
        <w:numPr>
          <w:ilvl w:val="0"/>
          <w:numId w:val="0"/>
        </w:numPr>
      </w:pPr>
      <w:r>
        <w:t>Approximately 73.3% had received an autologous stem cell transplant.</w:t>
      </w:r>
    </w:p>
    <w:p w14:paraId="7ADEAC0A" w14:textId="77777777" w:rsidR="001E13C2" w:rsidRDefault="001E13C2" w:rsidP="000B12A2">
      <w:pPr>
        <w:pStyle w:val="Heading6"/>
      </w:pPr>
      <w:r>
        <w:lastRenderedPageBreak/>
        <w:t>Results</w:t>
      </w:r>
    </w:p>
    <w:p w14:paraId="4B7AF0BF" w14:textId="77777777" w:rsidR="001E13C2" w:rsidRPr="007419FA" w:rsidRDefault="001E13C2" w:rsidP="007419FA">
      <w:pPr>
        <w:pStyle w:val="Heading6"/>
        <w:rPr>
          <w:b w:val="0"/>
          <w:bCs w:val="0"/>
        </w:rPr>
      </w:pPr>
      <w:r w:rsidRPr="007419FA">
        <w:rPr>
          <w:b w:val="0"/>
          <w:bCs w:val="0"/>
        </w:rPr>
        <w:t>Results from 16 April 2023 Data Cut Off</w:t>
      </w:r>
    </w:p>
    <w:p w14:paraId="4672A5A1" w14:textId="05556629" w:rsidR="001E13C2" w:rsidRDefault="001E13C2" w:rsidP="001E13C2">
      <w:r>
        <w:t xml:space="preserve">On 31 July 2023, the sponsor provided an efficacy data update from the 16 April 2023 data cut. The median follow-up was 15.9 (range: 0.23, 26.18) months for Cohort A and 9.89 months (0.3, 18.4) for Cohort B. The Cohort A results are pivotal to the indication and are </w:t>
      </w:r>
      <w:r w:rsidR="00887C84">
        <w:t>shown in Table 7.</w:t>
      </w:r>
    </w:p>
    <w:p w14:paraId="3748EDF3" w14:textId="73D34420" w:rsidR="001E13C2" w:rsidRDefault="001E13C2" w:rsidP="00887C84">
      <w:pPr>
        <w:pStyle w:val="TableTitle"/>
      </w:pPr>
      <w:r>
        <w:t xml:space="preserve">Table </w:t>
      </w:r>
      <w:r w:rsidR="00887C84">
        <w:t>7:</w:t>
      </w:r>
      <w:r>
        <w:t xml:space="preserve"> Study C1071003 Main </w:t>
      </w:r>
      <w:r w:rsidR="00664EE2">
        <w:t>e</w:t>
      </w:r>
      <w:r>
        <w:t xml:space="preserve">fficacy </w:t>
      </w:r>
      <w:r w:rsidR="00664EE2">
        <w:t>o</w:t>
      </w:r>
      <w:r>
        <w:t xml:space="preserve">utcomes – 16 April 2023 </w:t>
      </w:r>
      <w:r w:rsidR="00664EE2">
        <w:t>d</w:t>
      </w:r>
      <w:r>
        <w:t>at</w:t>
      </w:r>
      <w:r w:rsidR="00664EE2">
        <w:t>a</w:t>
      </w:r>
      <w:r>
        <w:t xml:space="preserve"> </w:t>
      </w:r>
      <w:r w:rsidR="00664EE2">
        <w:t>c</w:t>
      </w:r>
      <w:r>
        <w:t>ut-</w:t>
      </w:r>
      <w:r w:rsidR="00664EE2">
        <w:t>o</w:t>
      </w:r>
      <w:r>
        <w:t>ff</w:t>
      </w:r>
    </w:p>
    <w:tbl>
      <w:tblPr>
        <w:tblStyle w:val="TableGrid"/>
        <w:tblW w:w="9209" w:type="dxa"/>
        <w:tblLook w:val="04A0" w:firstRow="1" w:lastRow="0" w:firstColumn="1" w:lastColumn="0" w:noHBand="0" w:noVBand="1"/>
      </w:tblPr>
      <w:tblGrid>
        <w:gridCol w:w="4390"/>
        <w:gridCol w:w="4819"/>
      </w:tblGrid>
      <w:tr w:rsidR="001E13C2" w14:paraId="7608AC30" w14:textId="77777777">
        <w:tc>
          <w:tcPr>
            <w:tcW w:w="4390" w:type="dxa"/>
          </w:tcPr>
          <w:p w14:paraId="03DD62AA" w14:textId="77777777" w:rsidR="001E13C2" w:rsidRDefault="001E13C2">
            <w:pPr>
              <w:rPr>
                <w:b/>
                <w:bCs/>
              </w:rPr>
            </w:pPr>
            <w:r>
              <w:rPr>
                <w:b/>
                <w:bCs/>
              </w:rPr>
              <w:t xml:space="preserve">Parameter </w:t>
            </w:r>
          </w:p>
        </w:tc>
        <w:tc>
          <w:tcPr>
            <w:tcW w:w="4819" w:type="dxa"/>
          </w:tcPr>
          <w:p w14:paraId="5F1ED000" w14:textId="77777777" w:rsidR="001E13C2" w:rsidRDefault="001E13C2">
            <w:pPr>
              <w:jc w:val="center"/>
              <w:rPr>
                <w:b/>
                <w:bCs/>
              </w:rPr>
            </w:pPr>
            <w:r>
              <w:rPr>
                <w:b/>
                <w:bCs/>
              </w:rPr>
              <w:t>Cohort A</w:t>
            </w:r>
          </w:p>
          <w:p w14:paraId="3C1E6B57" w14:textId="77777777" w:rsidR="001E13C2" w:rsidRPr="001E6D81" w:rsidRDefault="001E13C2">
            <w:pPr>
              <w:jc w:val="center"/>
            </w:pPr>
            <w:r>
              <w:t>(n=123)</w:t>
            </w:r>
          </w:p>
        </w:tc>
      </w:tr>
      <w:tr w:rsidR="001E13C2" w:rsidRPr="0026230F" w14:paraId="291157F0" w14:textId="77777777">
        <w:tc>
          <w:tcPr>
            <w:tcW w:w="4390" w:type="dxa"/>
          </w:tcPr>
          <w:p w14:paraId="45C2A77F" w14:textId="77777777" w:rsidR="001E13C2" w:rsidRPr="006E11CA" w:rsidRDefault="001E13C2">
            <w:pPr>
              <w:rPr>
                <w:rFonts w:cs="Calibri"/>
                <w:b/>
                <w:bCs/>
                <w:szCs w:val="22"/>
              </w:rPr>
            </w:pPr>
            <w:r w:rsidRPr="006E11CA">
              <w:rPr>
                <w:rFonts w:cs="Calibri"/>
                <w:b/>
                <w:bCs/>
                <w:szCs w:val="22"/>
              </w:rPr>
              <w:t>Best Overall response, n%</w:t>
            </w:r>
          </w:p>
          <w:p w14:paraId="57A088EE" w14:textId="77777777" w:rsidR="001E13C2" w:rsidRPr="006E11CA" w:rsidRDefault="001E13C2">
            <w:pPr>
              <w:ind w:left="720"/>
              <w:rPr>
                <w:rFonts w:cs="Calibri"/>
                <w:szCs w:val="22"/>
              </w:rPr>
            </w:pPr>
            <w:r w:rsidRPr="006E11CA">
              <w:rPr>
                <w:rFonts w:cs="Calibri"/>
                <w:szCs w:val="22"/>
              </w:rPr>
              <w:t>Stringent Complete Response (</w:t>
            </w:r>
            <w:proofErr w:type="spellStart"/>
            <w:r w:rsidRPr="006E11CA">
              <w:rPr>
                <w:rFonts w:cs="Calibri"/>
                <w:szCs w:val="22"/>
              </w:rPr>
              <w:t>sCR</w:t>
            </w:r>
            <w:proofErr w:type="spellEnd"/>
            <w:r w:rsidRPr="006E11CA">
              <w:rPr>
                <w:rFonts w:cs="Calibri"/>
                <w:szCs w:val="22"/>
              </w:rPr>
              <w:t>)</w:t>
            </w:r>
          </w:p>
          <w:p w14:paraId="44B1EB7A" w14:textId="77777777" w:rsidR="001E13C2" w:rsidRPr="006E11CA" w:rsidRDefault="001E13C2">
            <w:pPr>
              <w:ind w:left="720"/>
              <w:rPr>
                <w:rFonts w:cs="Calibri"/>
                <w:szCs w:val="22"/>
              </w:rPr>
            </w:pPr>
            <w:r w:rsidRPr="006E11CA">
              <w:rPr>
                <w:rFonts w:cs="Calibri"/>
                <w:szCs w:val="22"/>
              </w:rPr>
              <w:t>Complete Response (CR)</w:t>
            </w:r>
          </w:p>
          <w:p w14:paraId="78A37910" w14:textId="77777777" w:rsidR="001E13C2" w:rsidRPr="006E11CA" w:rsidRDefault="001E13C2">
            <w:pPr>
              <w:ind w:left="720"/>
              <w:rPr>
                <w:rFonts w:cs="Calibri"/>
                <w:szCs w:val="22"/>
              </w:rPr>
            </w:pPr>
            <w:r w:rsidRPr="006E11CA">
              <w:rPr>
                <w:rFonts w:cs="Calibri"/>
                <w:szCs w:val="22"/>
              </w:rPr>
              <w:t>Very Good Partial Response (VGPR)</w:t>
            </w:r>
          </w:p>
          <w:p w14:paraId="32686189" w14:textId="77777777" w:rsidR="001E13C2" w:rsidRPr="006E11CA" w:rsidRDefault="001E13C2">
            <w:pPr>
              <w:ind w:left="720"/>
              <w:rPr>
                <w:rFonts w:cs="Calibri"/>
                <w:szCs w:val="22"/>
              </w:rPr>
            </w:pPr>
            <w:r w:rsidRPr="006E11CA">
              <w:rPr>
                <w:rFonts w:cs="Calibri"/>
                <w:szCs w:val="22"/>
              </w:rPr>
              <w:t>Partial Response (PR)</w:t>
            </w:r>
          </w:p>
          <w:p w14:paraId="69728F05" w14:textId="77777777" w:rsidR="001E13C2" w:rsidRPr="006E11CA" w:rsidRDefault="001E13C2">
            <w:pPr>
              <w:ind w:left="720"/>
              <w:rPr>
                <w:rFonts w:cs="Calibri"/>
                <w:szCs w:val="22"/>
              </w:rPr>
            </w:pPr>
            <w:r w:rsidRPr="006E11CA">
              <w:rPr>
                <w:rFonts w:cs="Calibri"/>
                <w:szCs w:val="22"/>
              </w:rPr>
              <w:t>Minimal Response (MR)</w:t>
            </w:r>
          </w:p>
          <w:p w14:paraId="6AE5B33E" w14:textId="77777777" w:rsidR="001E13C2" w:rsidRPr="006E11CA" w:rsidRDefault="001E13C2">
            <w:pPr>
              <w:ind w:left="720"/>
              <w:rPr>
                <w:rFonts w:cs="Calibri"/>
                <w:szCs w:val="22"/>
              </w:rPr>
            </w:pPr>
            <w:r w:rsidRPr="006E11CA">
              <w:rPr>
                <w:rFonts w:cs="Calibri"/>
                <w:szCs w:val="22"/>
              </w:rPr>
              <w:t>Stable Disease (SD)</w:t>
            </w:r>
          </w:p>
          <w:p w14:paraId="091A381B" w14:textId="77777777" w:rsidR="001E13C2" w:rsidRPr="006E11CA" w:rsidRDefault="001E13C2">
            <w:pPr>
              <w:ind w:left="720"/>
              <w:rPr>
                <w:rFonts w:cs="Calibri"/>
                <w:szCs w:val="22"/>
              </w:rPr>
            </w:pPr>
            <w:r w:rsidRPr="006E11CA">
              <w:rPr>
                <w:rFonts w:cs="Calibri"/>
                <w:szCs w:val="22"/>
              </w:rPr>
              <w:t>Progressive Disease (PD)</w:t>
            </w:r>
          </w:p>
          <w:p w14:paraId="4DE70A8C" w14:textId="77777777" w:rsidR="001E13C2" w:rsidRPr="006E11CA" w:rsidRDefault="001E13C2">
            <w:pPr>
              <w:ind w:left="720"/>
              <w:rPr>
                <w:rFonts w:cs="Calibri"/>
                <w:szCs w:val="22"/>
              </w:rPr>
            </w:pPr>
            <w:r w:rsidRPr="006E11CA">
              <w:rPr>
                <w:rFonts w:cs="Calibri"/>
                <w:szCs w:val="22"/>
              </w:rPr>
              <w:t>Not evaluable (NE)</w:t>
            </w:r>
          </w:p>
        </w:tc>
        <w:tc>
          <w:tcPr>
            <w:tcW w:w="4819" w:type="dxa"/>
          </w:tcPr>
          <w:p w14:paraId="338C732E" w14:textId="77777777" w:rsidR="001E13C2" w:rsidRPr="006E11CA" w:rsidRDefault="001E13C2">
            <w:pPr>
              <w:rPr>
                <w:rFonts w:cs="Calibri"/>
                <w:b/>
                <w:bCs/>
                <w:color w:val="7030A0"/>
                <w:szCs w:val="22"/>
              </w:rPr>
            </w:pPr>
          </w:p>
          <w:p w14:paraId="2E2B68C7" w14:textId="77777777" w:rsidR="001E13C2" w:rsidRPr="006E11CA" w:rsidRDefault="001E13C2">
            <w:pPr>
              <w:jc w:val="center"/>
              <w:rPr>
                <w:rFonts w:cs="Calibri"/>
                <w:szCs w:val="22"/>
              </w:rPr>
            </w:pPr>
            <w:r w:rsidRPr="006E11CA">
              <w:rPr>
                <w:rFonts w:cs="Calibri"/>
                <w:szCs w:val="22"/>
              </w:rPr>
              <w:t>15.4%</w:t>
            </w:r>
          </w:p>
          <w:p w14:paraId="525F758E" w14:textId="77777777" w:rsidR="001E13C2" w:rsidRPr="006E11CA" w:rsidRDefault="001E13C2">
            <w:pPr>
              <w:jc w:val="center"/>
              <w:rPr>
                <w:rFonts w:cs="Calibri"/>
                <w:szCs w:val="22"/>
              </w:rPr>
            </w:pPr>
            <w:r w:rsidRPr="006E11CA">
              <w:rPr>
                <w:rFonts w:cs="Calibri"/>
                <w:szCs w:val="22"/>
              </w:rPr>
              <w:t>20.3%</w:t>
            </w:r>
          </w:p>
          <w:p w14:paraId="332DAB91" w14:textId="77777777" w:rsidR="001E13C2" w:rsidRPr="006E11CA" w:rsidRDefault="001E13C2">
            <w:pPr>
              <w:jc w:val="center"/>
              <w:rPr>
                <w:rFonts w:cs="Calibri"/>
                <w:szCs w:val="22"/>
              </w:rPr>
            </w:pPr>
            <w:r w:rsidRPr="006E11CA">
              <w:rPr>
                <w:rFonts w:cs="Calibri"/>
                <w:szCs w:val="22"/>
              </w:rPr>
              <w:t>20.3%</w:t>
            </w:r>
          </w:p>
          <w:p w14:paraId="7A1BB17D" w14:textId="77777777" w:rsidR="001E13C2" w:rsidRPr="006E11CA" w:rsidRDefault="001E13C2">
            <w:pPr>
              <w:jc w:val="center"/>
              <w:rPr>
                <w:rFonts w:cs="Calibri"/>
                <w:szCs w:val="22"/>
              </w:rPr>
            </w:pPr>
            <w:r w:rsidRPr="006E11CA">
              <w:rPr>
                <w:rFonts w:cs="Calibri"/>
                <w:szCs w:val="22"/>
              </w:rPr>
              <w:t>4.9%</w:t>
            </w:r>
          </w:p>
          <w:p w14:paraId="1375041F" w14:textId="77777777" w:rsidR="001E13C2" w:rsidRPr="006E11CA" w:rsidRDefault="001E13C2">
            <w:pPr>
              <w:jc w:val="center"/>
              <w:rPr>
                <w:rFonts w:cs="Calibri"/>
                <w:szCs w:val="22"/>
              </w:rPr>
            </w:pPr>
            <w:r w:rsidRPr="006E11CA">
              <w:rPr>
                <w:rFonts w:cs="Calibri"/>
                <w:szCs w:val="22"/>
              </w:rPr>
              <w:t>0</w:t>
            </w:r>
          </w:p>
          <w:p w14:paraId="0B2BC88C" w14:textId="77777777" w:rsidR="001E13C2" w:rsidRPr="006E11CA" w:rsidRDefault="001E13C2">
            <w:pPr>
              <w:jc w:val="center"/>
              <w:rPr>
                <w:rFonts w:cs="Calibri"/>
                <w:szCs w:val="22"/>
              </w:rPr>
            </w:pPr>
            <w:r w:rsidRPr="006E11CA">
              <w:rPr>
                <w:rFonts w:cs="Calibri"/>
                <w:szCs w:val="22"/>
              </w:rPr>
              <w:t>17.1%</w:t>
            </w:r>
          </w:p>
          <w:p w14:paraId="29B94793" w14:textId="77777777" w:rsidR="001E13C2" w:rsidRPr="006E11CA" w:rsidRDefault="001E13C2">
            <w:pPr>
              <w:jc w:val="center"/>
              <w:rPr>
                <w:rFonts w:cs="Calibri"/>
                <w:szCs w:val="22"/>
              </w:rPr>
            </w:pPr>
            <w:r w:rsidRPr="006E11CA">
              <w:rPr>
                <w:rFonts w:cs="Calibri"/>
                <w:szCs w:val="22"/>
              </w:rPr>
              <w:t>17.9%</w:t>
            </w:r>
          </w:p>
          <w:p w14:paraId="43FBAC64" w14:textId="77777777" w:rsidR="001E13C2" w:rsidRPr="006E11CA" w:rsidRDefault="001E13C2">
            <w:pPr>
              <w:jc w:val="center"/>
              <w:rPr>
                <w:rFonts w:cs="Calibri"/>
                <w:b/>
                <w:bCs/>
                <w:color w:val="7030A0"/>
                <w:szCs w:val="22"/>
              </w:rPr>
            </w:pPr>
            <w:r w:rsidRPr="006E11CA">
              <w:rPr>
                <w:rFonts w:cs="Calibri"/>
                <w:szCs w:val="22"/>
              </w:rPr>
              <w:t>4.1%</w:t>
            </w:r>
          </w:p>
        </w:tc>
      </w:tr>
      <w:tr w:rsidR="001E13C2" w14:paraId="671A8E0D" w14:textId="77777777">
        <w:tc>
          <w:tcPr>
            <w:tcW w:w="4390" w:type="dxa"/>
          </w:tcPr>
          <w:p w14:paraId="19676356" w14:textId="77777777" w:rsidR="001E13C2" w:rsidRPr="00F25BA5" w:rsidRDefault="001E13C2">
            <w:pPr>
              <w:rPr>
                <w:rFonts w:ascii="Calibri" w:hAnsi="Calibri" w:cs="Calibri"/>
                <w:b/>
                <w:bCs/>
              </w:rPr>
            </w:pPr>
            <w:r w:rsidRPr="00F25BA5">
              <w:rPr>
                <w:rFonts w:ascii="Calibri" w:hAnsi="Calibri" w:cs="Calibri"/>
                <w:b/>
                <w:bCs/>
              </w:rPr>
              <w:t>Objective Response Rate (</w:t>
            </w:r>
            <w:proofErr w:type="spellStart"/>
            <w:r w:rsidRPr="00F25BA5">
              <w:rPr>
                <w:rFonts w:ascii="Calibri" w:hAnsi="Calibri" w:cs="Calibri"/>
                <w:b/>
                <w:bCs/>
              </w:rPr>
              <w:t>sCR+CR+VGPR</w:t>
            </w:r>
            <w:proofErr w:type="spellEnd"/>
            <w:r w:rsidRPr="00F25BA5">
              <w:rPr>
                <w:rFonts w:ascii="Calibri" w:hAnsi="Calibri" w:cs="Calibri"/>
                <w:b/>
                <w:bCs/>
              </w:rPr>
              <w:t>+ PR)</w:t>
            </w:r>
          </w:p>
        </w:tc>
        <w:tc>
          <w:tcPr>
            <w:tcW w:w="4819" w:type="dxa"/>
          </w:tcPr>
          <w:p w14:paraId="2E5AA938" w14:textId="77777777" w:rsidR="001E13C2" w:rsidRPr="00E154DC" w:rsidRDefault="001E13C2">
            <w:pPr>
              <w:jc w:val="center"/>
              <w:rPr>
                <w:rFonts w:ascii="Calibri" w:hAnsi="Calibri" w:cs="Calibri"/>
                <w:b/>
                <w:bCs/>
                <w:color w:val="7030A0"/>
              </w:rPr>
            </w:pPr>
            <w:r w:rsidRPr="003231FC">
              <w:rPr>
                <w:rFonts w:ascii="Calibri" w:hAnsi="Calibri" w:cs="Calibri"/>
                <w:b/>
                <w:bCs/>
              </w:rPr>
              <w:t>61.0%</w:t>
            </w:r>
            <w:r>
              <w:rPr>
                <w:rFonts w:ascii="Calibri" w:hAnsi="Calibri" w:cs="Calibri"/>
                <w:b/>
                <w:bCs/>
              </w:rPr>
              <w:t xml:space="preserve"> </w:t>
            </w:r>
            <w:r w:rsidRPr="003231FC">
              <w:rPr>
                <w:rFonts w:ascii="Calibri" w:hAnsi="Calibri" w:cs="Calibri"/>
                <w:b/>
                <w:bCs/>
              </w:rPr>
              <w:t>(95% CI:</w:t>
            </w:r>
            <w:r>
              <w:rPr>
                <w:rFonts w:ascii="Calibri" w:hAnsi="Calibri" w:cs="Calibri"/>
                <w:b/>
                <w:bCs/>
              </w:rPr>
              <w:t xml:space="preserve"> </w:t>
            </w:r>
            <w:r w:rsidRPr="003231FC">
              <w:rPr>
                <w:rFonts w:ascii="Calibri" w:hAnsi="Calibri" w:cs="Calibri"/>
                <w:b/>
                <w:bCs/>
              </w:rPr>
              <w:t>51.8%, 69.6%)</w:t>
            </w:r>
          </w:p>
        </w:tc>
      </w:tr>
      <w:tr w:rsidR="001E13C2" w14:paraId="3ADBCA57" w14:textId="77777777">
        <w:tc>
          <w:tcPr>
            <w:tcW w:w="4390" w:type="dxa"/>
          </w:tcPr>
          <w:p w14:paraId="00C87838" w14:textId="77777777" w:rsidR="001E13C2" w:rsidRPr="00F25BA5" w:rsidRDefault="001E13C2">
            <w:pPr>
              <w:rPr>
                <w:rFonts w:ascii="Calibri" w:hAnsi="Calibri" w:cs="Calibri"/>
                <w:b/>
                <w:bCs/>
              </w:rPr>
            </w:pPr>
            <w:r w:rsidRPr="00F25BA5">
              <w:rPr>
                <w:rFonts w:ascii="Calibri" w:hAnsi="Calibri" w:cs="Calibri"/>
                <w:b/>
                <w:bCs/>
              </w:rPr>
              <w:t>Complete Response Rate (</w:t>
            </w:r>
            <w:proofErr w:type="spellStart"/>
            <w:r w:rsidRPr="00F25BA5">
              <w:rPr>
                <w:rFonts w:ascii="Calibri" w:hAnsi="Calibri" w:cs="Calibri"/>
                <w:b/>
                <w:bCs/>
              </w:rPr>
              <w:t>sCR+CR</w:t>
            </w:r>
            <w:proofErr w:type="spellEnd"/>
            <w:r w:rsidRPr="00F25BA5">
              <w:rPr>
                <w:rFonts w:ascii="Calibri" w:hAnsi="Calibri" w:cs="Calibri"/>
                <w:b/>
                <w:bCs/>
              </w:rPr>
              <w:t>)</w:t>
            </w:r>
          </w:p>
        </w:tc>
        <w:tc>
          <w:tcPr>
            <w:tcW w:w="4819" w:type="dxa"/>
          </w:tcPr>
          <w:p w14:paraId="25B8BA9C" w14:textId="77777777" w:rsidR="001E13C2" w:rsidRPr="00E154DC" w:rsidRDefault="001E13C2">
            <w:pPr>
              <w:jc w:val="center"/>
              <w:rPr>
                <w:rFonts w:ascii="Calibri" w:hAnsi="Calibri" w:cs="Calibri"/>
                <w:b/>
                <w:bCs/>
                <w:color w:val="7030A0"/>
              </w:rPr>
            </w:pPr>
            <w:r w:rsidRPr="00597A58">
              <w:rPr>
                <w:rFonts w:ascii="Calibri" w:hAnsi="Calibri" w:cs="Calibri"/>
                <w:b/>
                <w:bCs/>
              </w:rPr>
              <w:t>35.8%</w:t>
            </w:r>
            <w:r>
              <w:rPr>
                <w:rFonts w:ascii="Calibri" w:hAnsi="Calibri" w:cs="Calibri"/>
                <w:b/>
                <w:bCs/>
              </w:rPr>
              <w:t xml:space="preserve"> </w:t>
            </w:r>
            <w:r w:rsidRPr="00597A58">
              <w:rPr>
                <w:rFonts w:ascii="Calibri" w:hAnsi="Calibri" w:cs="Calibri"/>
                <w:b/>
                <w:bCs/>
              </w:rPr>
              <w:t>(95% CI: 27.3%, 44.9%)</w:t>
            </w:r>
          </w:p>
        </w:tc>
      </w:tr>
    </w:tbl>
    <w:p w14:paraId="66F6D0B7" w14:textId="77777777" w:rsidR="00243DC9" w:rsidRDefault="00243DC9" w:rsidP="001E13C2"/>
    <w:p w14:paraId="1CEE3E84" w14:textId="744D7469" w:rsidR="001E13C2" w:rsidRDefault="001E13C2" w:rsidP="001E13C2">
      <w:r>
        <w:t xml:space="preserve">In Cohort A, among responders, the median (range) follow-up from time of initial response was 15.21 (2.4, 24.21) months. Among the 75 responders, the median time to first response was 1.22 months (range 0.9, 7.4 months), and the median duration of response had not yet been reached (95% CI: NE, NE). </w:t>
      </w:r>
    </w:p>
    <w:p w14:paraId="7AE11415" w14:textId="412A5488" w:rsidR="001E13C2" w:rsidRDefault="001E13C2" w:rsidP="001E13C2">
      <w:r>
        <w:t>Minimal residual disease (sensitivity 10</w:t>
      </w:r>
      <w:r>
        <w:rPr>
          <w:vertAlign w:val="superscript"/>
        </w:rPr>
        <w:t>-5</w:t>
      </w:r>
      <w:r>
        <w:t>) was reported as follows</w:t>
      </w:r>
      <w:r w:rsidR="00E1118D">
        <w:t>.</w:t>
      </w:r>
    </w:p>
    <w:p w14:paraId="27CC6A6F" w14:textId="77777777" w:rsidR="001E13C2" w:rsidRDefault="001E13C2" w:rsidP="00243DC9">
      <w:pPr>
        <w:pStyle w:val="ListBullet"/>
      </w:pPr>
      <w:r>
        <w:t>Overall population: 21.1% (95% CI: 14.3, 29.42)</w:t>
      </w:r>
    </w:p>
    <w:p w14:paraId="681BE117" w14:textId="77777777" w:rsidR="001E13C2" w:rsidRPr="000D0565" w:rsidRDefault="001E13C2" w:rsidP="00243DC9">
      <w:pPr>
        <w:pStyle w:val="ListBullet"/>
      </w:pPr>
      <w:r>
        <w:t xml:space="preserve">Patients with </w:t>
      </w:r>
      <w:proofErr w:type="spellStart"/>
      <w:r>
        <w:t>sCR</w:t>
      </w:r>
      <w:proofErr w:type="spellEnd"/>
      <w:r>
        <w:t xml:space="preserve"> or CR and evaluable sample (n=29): 89.7% (95% CI: 72.65, 97.81)</w:t>
      </w:r>
    </w:p>
    <w:p w14:paraId="1097151C" w14:textId="77777777" w:rsidR="001E13C2" w:rsidRDefault="001E13C2" w:rsidP="001E13C2">
      <w:r>
        <w:t xml:space="preserve">In Cohort B, among responders, the median (range) follow up was 13.42 months (2.43, 16.95).  The ORR was 34.4% (95% CI: 22.9, 47.3), with 10.9% achieving CR or </w:t>
      </w:r>
      <w:proofErr w:type="spellStart"/>
      <w:r>
        <w:t>sCR</w:t>
      </w:r>
      <w:proofErr w:type="spellEnd"/>
      <w:r>
        <w:t>, and 32.8% achieving VGPR or better. Only two patients had samples evaluable for MRD negativity limiting conclusions that can be drawn.</w:t>
      </w:r>
    </w:p>
    <w:p w14:paraId="0F11A047" w14:textId="77777777" w:rsidR="001E13C2" w:rsidRDefault="001E13C2" w:rsidP="001E13C2">
      <w:r>
        <w:t xml:space="preserve">The median (range) follow-up from time of initial response was 13.42 (2.43, 16.95) months. Among the responders, the median time to first response was 1.92 months (range 0.92, 6.74) and the median duration of response had not yet been reached (95% CI: 11.8, NE). </w:t>
      </w:r>
    </w:p>
    <w:p w14:paraId="323E73C0" w14:textId="5705FB2F" w:rsidR="001E13C2" w:rsidRPr="007419FA" w:rsidRDefault="001E13C2" w:rsidP="007419FA">
      <w:pPr>
        <w:pStyle w:val="Heading6"/>
        <w:rPr>
          <w:b w:val="0"/>
          <w:bCs w:val="0"/>
        </w:rPr>
      </w:pPr>
      <w:r w:rsidRPr="007419FA">
        <w:rPr>
          <w:b w:val="0"/>
          <w:bCs w:val="0"/>
        </w:rPr>
        <w:t xml:space="preserve">Results from 14 October 2022 </w:t>
      </w:r>
      <w:r w:rsidR="00655298">
        <w:rPr>
          <w:b w:val="0"/>
          <w:bCs w:val="0"/>
        </w:rPr>
        <w:t>d</w:t>
      </w:r>
      <w:r w:rsidRPr="007419FA">
        <w:rPr>
          <w:b w:val="0"/>
          <w:bCs w:val="0"/>
        </w:rPr>
        <w:t xml:space="preserve">ata </w:t>
      </w:r>
      <w:r w:rsidR="00655298">
        <w:rPr>
          <w:b w:val="0"/>
          <w:bCs w:val="0"/>
        </w:rPr>
        <w:t>c</w:t>
      </w:r>
      <w:r w:rsidRPr="007419FA">
        <w:rPr>
          <w:b w:val="0"/>
          <w:bCs w:val="0"/>
        </w:rPr>
        <w:t>ut</w:t>
      </w:r>
      <w:r w:rsidR="00FA275A">
        <w:rPr>
          <w:b w:val="0"/>
          <w:bCs w:val="0"/>
        </w:rPr>
        <w:t>-</w:t>
      </w:r>
      <w:r w:rsidR="00655298">
        <w:rPr>
          <w:b w:val="0"/>
          <w:bCs w:val="0"/>
        </w:rPr>
        <w:t>o</w:t>
      </w:r>
      <w:r w:rsidRPr="007419FA">
        <w:rPr>
          <w:b w:val="0"/>
          <w:bCs w:val="0"/>
        </w:rPr>
        <w:t>ff</w:t>
      </w:r>
    </w:p>
    <w:p w14:paraId="20EB49D2" w14:textId="580C9CBE" w:rsidR="001E13C2" w:rsidRDefault="001E13C2" w:rsidP="00243DC9">
      <w:pPr>
        <w:pStyle w:val="TableTitle"/>
      </w:pPr>
      <w:r>
        <w:t xml:space="preserve">Table </w:t>
      </w:r>
      <w:r w:rsidR="00243DC9">
        <w:t>8:</w:t>
      </w:r>
      <w:r>
        <w:t xml:space="preserve"> Study C1071003 Efficacy findings 14 October 2022 </w:t>
      </w:r>
      <w:r w:rsidR="00655298">
        <w:t>d</w:t>
      </w:r>
      <w:r>
        <w:t xml:space="preserve">ata </w:t>
      </w:r>
      <w:r w:rsidR="00655298">
        <w:t>c</w:t>
      </w:r>
      <w:r>
        <w:t>ut-off</w:t>
      </w:r>
    </w:p>
    <w:tbl>
      <w:tblPr>
        <w:tblStyle w:val="TableGrid"/>
        <w:tblW w:w="9493" w:type="dxa"/>
        <w:tblLook w:val="04A0" w:firstRow="1" w:lastRow="0" w:firstColumn="1" w:lastColumn="0" w:noHBand="0" w:noVBand="1"/>
      </w:tblPr>
      <w:tblGrid>
        <w:gridCol w:w="4673"/>
        <w:gridCol w:w="2410"/>
        <w:gridCol w:w="2410"/>
      </w:tblGrid>
      <w:tr w:rsidR="001E13C2" w14:paraId="2AC9D1E2" w14:textId="77777777">
        <w:tc>
          <w:tcPr>
            <w:tcW w:w="4673" w:type="dxa"/>
          </w:tcPr>
          <w:p w14:paraId="7D7BB22F" w14:textId="77777777" w:rsidR="001E13C2" w:rsidRPr="00243DC9" w:rsidRDefault="001E13C2">
            <w:pPr>
              <w:rPr>
                <w:rFonts w:cs="Calibri"/>
                <w:b/>
                <w:bCs/>
              </w:rPr>
            </w:pPr>
            <w:r w:rsidRPr="00243DC9">
              <w:rPr>
                <w:rFonts w:cs="Calibri"/>
                <w:b/>
                <w:bCs/>
              </w:rPr>
              <w:t xml:space="preserve">Parameter </w:t>
            </w:r>
          </w:p>
        </w:tc>
        <w:tc>
          <w:tcPr>
            <w:tcW w:w="2410" w:type="dxa"/>
          </w:tcPr>
          <w:p w14:paraId="0D6FBE6C" w14:textId="77777777" w:rsidR="001E13C2" w:rsidRPr="00243DC9" w:rsidRDefault="001E13C2">
            <w:pPr>
              <w:jc w:val="center"/>
              <w:rPr>
                <w:rFonts w:cs="Calibri"/>
                <w:b/>
                <w:bCs/>
              </w:rPr>
            </w:pPr>
            <w:r w:rsidRPr="00243DC9">
              <w:rPr>
                <w:rFonts w:cs="Calibri"/>
                <w:b/>
                <w:bCs/>
              </w:rPr>
              <w:t>Cohort A</w:t>
            </w:r>
          </w:p>
          <w:p w14:paraId="12E8E6C4" w14:textId="77777777" w:rsidR="001E13C2" w:rsidRPr="00243DC9" w:rsidRDefault="001E13C2">
            <w:pPr>
              <w:jc w:val="center"/>
              <w:rPr>
                <w:rFonts w:cs="Calibri"/>
              </w:rPr>
            </w:pPr>
            <w:r w:rsidRPr="00243DC9">
              <w:rPr>
                <w:rFonts w:cs="Calibri"/>
              </w:rPr>
              <w:t>(n=123)</w:t>
            </w:r>
          </w:p>
        </w:tc>
        <w:tc>
          <w:tcPr>
            <w:tcW w:w="2410" w:type="dxa"/>
          </w:tcPr>
          <w:p w14:paraId="0BE9A328" w14:textId="77777777" w:rsidR="001E13C2" w:rsidRPr="00243DC9" w:rsidRDefault="001E13C2">
            <w:pPr>
              <w:jc w:val="center"/>
              <w:rPr>
                <w:rFonts w:cs="Calibri"/>
                <w:b/>
                <w:bCs/>
              </w:rPr>
            </w:pPr>
            <w:r w:rsidRPr="00243DC9">
              <w:rPr>
                <w:rFonts w:cs="Calibri"/>
                <w:b/>
                <w:bCs/>
              </w:rPr>
              <w:t>Cohort B</w:t>
            </w:r>
          </w:p>
          <w:p w14:paraId="1D24E09E" w14:textId="77777777" w:rsidR="001E13C2" w:rsidRPr="00243DC9" w:rsidRDefault="001E13C2">
            <w:pPr>
              <w:jc w:val="center"/>
              <w:rPr>
                <w:rFonts w:cs="Calibri"/>
              </w:rPr>
            </w:pPr>
            <w:r w:rsidRPr="00243DC9">
              <w:rPr>
                <w:rFonts w:cs="Calibri"/>
              </w:rPr>
              <w:t>(n=64)</w:t>
            </w:r>
          </w:p>
        </w:tc>
      </w:tr>
      <w:tr w:rsidR="001E13C2" w14:paraId="3859CDF9" w14:textId="77777777">
        <w:tc>
          <w:tcPr>
            <w:tcW w:w="4673" w:type="dxa"/>
          </w:tcPr>
          <w:p w14:paraId="1B85A5B1" w14:textId="77777777" w:rsidR="001E13C2" w:rsidRPr="00243DC9" w:rsidRDefault="001E13C2">
            <w:pPr>
              <w:rPr>
                <w:rFonts w:cs="Calibri"/>
                <w:b/>
                <w:bCs/>
              </w:rPr>
            </w:pPr>
            <w:r w:rsidRPr="00243DC9">
              <w:rPr>
                <w:rFonts w:cs="Calibri"/>
                <w:b/>
                <w:bCs/>
              </w:rPr>
              <w:t>Best Overall response, n%</w:t>
            </w:r>
          </w:p>
          <w:p w14:paraId="713241ED" w14:textId="77777777" w:rsidR="001E13C2" w:rsidRPr="00243DC9" w:rsidRDefault="001E13C2">
            <w:pPr>
              <w:ind w:left="720"/>
              <w:rPr>
                <w:rFonts w:cs="Calibri"/>
              </w:rPr>
            </w:pPr>
            <w:r w:rsidRPr="00243DC9">
              <w:rPr>
                <w:rFonts w:cs="Calibri"/>
              </w:rPr>
              <w:t>Stringent Complete Response (</w:t>
            </w:r>
            <w:proofErr w:type="spellStart"/>
            <w:r w:rsidRPr="00243DC9">
              <w:rPr>
                <w:rFonts w:cs="Calibri"/>
              </w:rPr>
              <w:t>sCR</w:t>
            </w:r>
            <w:proofErr w:type="spellEnd"/>
            <w:r w:rsidRPr="00243DC9">
              <w:rPr>
                <w:rFonts w:cs="Calibri"/>
              </w:rPr>
              <w:t>)</w:t>
            </w:r>
          </w:p>
          <w:p w14:paraId="30181E01" w14:textId="77777777" w:rsidR="001E13C2" w:rsidRPr="00243DC9" w:rsidRDefault="001E13C2">
            <w:pPr>
              <w:ind w:left="720"/>
              <w:rPr>
                <w:rFonts w:cs="Calibri"/>
              </w:rPr>
            </w:pPr>
            <w:r w:rsidRPr="00243DC9">
              <w:rPr>
                <w:rFonts w:cs="Calibri"/>
              </w:rPr>
              <w:t>Complete Response (CR)</w:t>
            </w:r>
          </w:p>
          <w:p w14:paraId="2843DE69" w14:textId="77777777" w:rsidR="001E13C2" w:rsidRPr="00243DC9" w:rsidRDefault="001E13C2">
            <w:pPr>
              <w:ind w:left="720"/>
              <w:rPr>
                <w:rFonts w:cs="Calibri"/>
              </w:rPr>
            </w:pPr>
            <w:r w:rsidRPr="00243DC9">
              <w:rPr>
                <w:rFonts w:cs="Calibri"/>
              </w:rPr>
              <w:t>Very Good Partial Response (VGPR)</w:t>
            </w:r>
          </w:p>
          <w:p w14:paraId="4EB83803" w14:textId="77777777" w:rsidR="001E13C2" w:rsidRPr="00243DC9" w:rsidRDefault="001E13C2">
            <w:pPr>
              <w:ind w:left="720"/>
              <w:rPr>
                <w:rFonts w:cs="Calibri"/>
              </w:rPr>
            </w:pPr>
            <w:r w:rsidRPr="00243DC9">
              <w:rPr>
                <w:rFonts w:cs="Calibri"/>
              </w:rPr>
              <w:t>Partial Response (PR)</w:t>
            </w:r>
          </w:p>
          <w:p w14:paraId="0C49AB14" w14:textId="77777777" w:rsidR="001E13C2" w:rsidRPr="00243DC9" w:rsidRDefault="001E13C2">
            <w:pPr>
              <w:ind w:left="720"/>
              <w:rPr>
                <w:rFonts w:cs="Calibri"/>
              </w:rPr>
            </w:pPr>
            <w:r w:rsidRPr="00243DC9">
              <w:rPr>
                <w:rFonts w:cs="Calibri"/>
              </w:rPr>
              <w:t>Minimal Response (MR)</w:t>
            </w:r>
          </w:p>
          <w:p w14:paraId="0134C588" w14:textId="77777777" w:rsidR="001E13C2" w:rsidRPr="00243DC9" w:rsidRDefault="001E13C2">
            <w:pPr>
              <w:ind w:left="720"/>
              <w:rPr>
                <w:rFonts w:cs="Calibri"/>
              </w:rPr>
            </w:pPr>
            <w:r w:rsidRPr="00243DC9">
              <w:rPr>
                <w:rFonts w:cs="Calibri"/>
              </w:rPr>
              <w:t>Stable Disease (SD)</w:t>
            </w:r>
          </w:p>
          <w:p w14:paraId="608AACC6" w14:textId="77777777" w:rsidR="001E13C2" w:rsidRPr="00243DC9" w:rsidRDefault="001E13C2">
            <w:pPr>
              <w:ind w:left="720"/>
              <w:rPr>
                <w:rFonts w:cs="Calibri"/>
              </w:rPr>
            </w:pPr>
            <w:r w:rsidRPr="00243DC9">
              <w:rPr>
                <w:rFonts w:cs="Calibri"/>
              </w:rPr>
              <w:t>Progressive Disease (PD)</w:t>
            </w:r>
          </w:p>
          <w:p w14:paraId="431314E0" w14:textId="77777777" w:rsidR="001E13C2" w:rsidRPr="00243DC9" w:rsidRDefault="001E13C2">
            <w:pPr>
              <w:ind w:left="720"/>
              <w:rPr>
                <w:rFonts w:cs="Calibri"/>
              </w:rPr>
            </w:pPr>
            <w:r w:rsidRPr="00243DC9">
              <w:rPr>
                <w:rFonts w:cs="Calibri"/>
              </w:rPr>
              <w:lastRenderedPageBreak/>
              <w:t>Not evaluable (NE)</w:t>
            </w:r>
          </w:p>
        </w:tc>
        <w:tc>
          <w:tcPr>
            <w:tcW w:w="2410" w:type="dxa"/>
          </w:tcPr>
          <w:p w14:paraId="4E14BEB9" w14:textId="77777777" w:rsidR="001E13C2" w:rsidRPr="00243DC9" w:rsidRDefault="001E13C2">
            <w:pPr>
              <w:rPr>
                <w:rFonts w:cs="Calibri"/>
                <w:b/>
                <w:bCs/>
              </w:rPr>
            </w:pPr>
          </w:p>
          <w:p w14:paraId="0CE5A7E3" w14:textId="77777777" w:rsidR="001E13C2" w:rsidRPr="00243DC9" w:rsidRDefault="001E13C2">
            <w:pPr>
              <w:jc w:val="center"/>
              <w:rPr>
                <w:rFonts w:cs="Calibri"/>
              </w:rPr>
            </w:pPr>
            <w:r w:rsidRPr="00243DC9">
              <w:rPr>
                <w:rFonts w:cs="Calibri"/>
              </w:rPr>
              <w:t>13.0%</w:t>
            </w:r>
          </w:p>
          <w:p w14:paraId="6166596C" w14:textId="77777777" w:rsidR="001E13C2" w:rsidRPr="00243DC9" w:rsidRDefault="001E13C2">
            <w:pPr>
              <w:jc w:val="center"/>
              <w:rPr>
                <w:rFonts w:cs="Calibri"/>
              </w:rPr>
            </w:pPr>
            <w:r w:rsidRPr="00243DC9">
              <w:rPr>
                <w:rFonts w:cs="Calibri"/>
              </w:rPr>
              <w:t>14.6%</w:t>
            </w:r>
          </w:p>
          <w:p w14:paraId="2E8179A6" w14:textId="77777777" w:rsidR="001E13C2" w:rsidRPr="00243DC9" w:rsidRDefault="001E13C2">
            <w:pPr>
              <w:jc w:val="center"/>
              <w:rPr>
                <w:rFonts w:cs="Calibri"/>
              </w:rPr>
            </w:pPr>
            <w:r w:rsidRPr="00243DC9">
              <w:rPr>
                <w:rFonts w:cs="Calibri"/>
              </w:rPr>
              <w:t>27.6%</w:t>
            </w:r>
          </w:p>
          <w:p w14:paraId="3824A0FC" w14:textId="77777777" w:rsidR="001E13C2" w:rsidRPr="00243DC9" w:rsidRDefault="001E13C2">
            <w:pPr>
              <w:jc w:val="center"/>
              <w:rPr>
                <w:rFonts w:cs="Calibri"/>
              </w:rPr>
            </w:pPr>
            <w:r w:rsidRPr="00243DC9">
              <w:rPr>
                <w:rFonts w:cs="Calibri"/>
              </w:rPr>
              <w:t>5.7%</w:t>
            </w:r>
          </w:p>
          <w:p w14:paraId="7040A88E" w14:textId="77777777" w:rsidR="001E13C2" w:rsidRPr="00243DC9" w:rsidRDefault="001E13C2">
            <w:pPr>
              <w:jc w:val="center"/>
              <w:rPr>
                <w:rFonts w:cs="Calibri"/>
              </w:rPr>
            </w:pPr>
            <w:r w:rsidRPr="00243DC9">
              <w:rPr>
                <w:rFonts w:cs="Calibri"/>
              </w:rPr>
              <w:t>0</w:t>
            </w:r>
          </w:p>
          <w:p w14:paraId="7B8F3496" w14:textId="77777777" w:rsidR="001E13C2" w:rsidRPr="00243DC9" w:rsidRDefault="001E13C2">
            <w:pPr>
              <w:jc w:val="center"/>
              <w:rPr>
                <w:rFonts w:cs="Calibri"/>
              </w:rPr>
            </w:pPr>
            <w:r w:rsidRPr="00243DC9">
              <w:rPr>
                <w:rFonts w:cs="Calibri"/>
              </w:rPr>
              <w:t>17.1%</w:t>
            </w:r>
          </w:p>
          <w:p w14:paraId="3FE15900" w14:textId="77777777" w:rsidR="001E13C2" w:rsidRPr="00243DC9" w:rsidRDefault="001E13C2">
            <w:pPr>
              <w:jc w:val="center"/>
              <w:rPr>
                <w:rFonts w:cs="Calibri"/>
              </w:rPr>
            </w:pPr>
            <w:r w:rsidRPr="00243DC9">
              <w:rPr>
                <w:rFonts w:cs="Calibri"/>
              </w:rPr>
              <w:t>17.9%</w:t>
            </w:r>
          </w:p>
          <w:p w14:paraId="43202E3D" w14:textId="77777777" w:rsidR="001E13C2" w:rsidRPr="00243DC9" w:rsidRDefault="001E13C2">
            <w:pPr>
              <w:jc w:val="center"/>
              <w:rPr>
                <w:rFonts w:cs="Calibri"/>
                <w:b/>
                <w:bCs/>
              </w:rPr>
            </w:pPr>
            <w:r w:rsidRPr="00243DC9">
              <w:rPr>
                <w:rFonts w:cs="Calibri"/>
              </w:rPr>
              <w:lastRenderedPageBreak/>
              <w:t>4.1%</w:t>
            </w:r>
          </w:p>
        </w:tc>
        <w:tc>
          <w:tcPr>
            <w:tcW w:w="2410" w:type="dxa"/>
          </w:tcPr>
          <w:p w14:paraId="449AC0D0" w14:textId="77777777" w:rsidR="001E13C2" w:rsidRPr="00243DC9" w:rsidRDefault="001E13C2">
            <w:pPr>
              <w:jc w:val="center"/>
              <w:rPr>
                <w:rFonts w:cs="Calibri"/>
              </w:rPr>
            </w:pPr>
          </w:p>
          <w:p w14:paraId="7FE3BF8E" w14:textId="77777777" w:rsidR="001E13C2" w:rsidRPr="00243DC9" w:rsidRDefault="001E13C2">
            <w:pPr>
              <w:jc w:val="center"/>
              <w:rPr>
                <w:rFonts w:cs="Calibri"/>
              </w:rPr>
            </w:pPr>
            <w:r w:rsidRPr="00243DC9">
              <w:rPr>
                <w:rFonts w:cs="Calibri"/>
              </w:rPr>
              <w:t>0</w:t>
            </w:r>
          </w:p>
          <w:p w14:paraId="5F389C2D" w14:textId="77777777" w:rsidR="001E13C2" w:rsidRPr="00243DC9" w:rsidRDefault="001E13C2">
            <w:pPr>
              <w:jc w:val="center"/>
              <w:rPr>
                <w:rFonts w:cs="Calibri"/>
              </w:rPr>
            </w:pPr>
            <w:r w:rsidRPr="00243DC9">
              <w:rPr>
                <w:rFonts w:cs="Calibri"/>
              </w:rPr>
              <w:t>7.8%</w:t>
            </w:r>
          </w:p>
          <w:p w14:paraId="19CC5247" w14:textId="77777777" w:rsidR="001E13C2" w:rsidRPr="00243DC9" w:rsidRDefault="001E13C2">
            <w:pPr>
              <w:jc w:val="center"/>
              <w:rPr>
                <w:rFonts w:cs="Calibri"/>
              </w:rPr>
            </w:pPr>
            <w:r w:rsidRPr="00243DC9">
              <w:rPr>
                <w:rFonts w:cs="Calibri"/>
              </w:rPr>
              <w:t>25.0%</w:t>
            </w:r>
          </w:p>
          <w:p w14:paraId="4E7D1ECC" w14:textId="77777777" w:rsidR="001E13C2" w:rsidRPr="00243DC9" w:rsidRDefault="001E13C2">
            <w:pPr>
              <w:jc w:val="center"/>
              <w:rPr>
                <w:rFonts w:cs="Calibri"/>
              </w:rPr>
            </w:pPr>
            <w:r w:rsidRPr="00243DC9">
              <w:rPr>
                <w:rFonts w:cs="Calibri"/>
              </w:rPr>
              <w:t>1.6%</w:t>
            </w:r>
          </w:p>
          <w:p w14:paraId="31134A02" w14:textId="77777777" w:rsidR="001E13C2" w:rsidRPr="00243DC9" w:rsidRDefault="001E13C2">
            <w:pPr>
              <w:jc w:val="center"/>
              <w:rPr>
                <w:rFonts w:cs="Calibri"/>
              </w:rPr>
            </w:pPr>
            <w:r w:rsidRPr="00243DC9">
              <w:rPr>
                <w:rFonts w:cs="Calibri"/>
              </w:rPr>
              <w:t>0</w:t>
            </w:r>
          </w:p>
          <w:p w14:paraId="4C0AF6A8" w14:textId="77777777" w:rsidR="001E13C2" w:rsidRPr="00243DC9" w:rsidRDefault="001E13C2">
            <w:pPr>
              <w:jc w:val="center"/>
              <w:rPr>
                <w:rFonts w:cs="Calibri"/>
              </w:rPr>
            </w:pPr>
            <w:r w:rsidRPr="00243DC9">
              <w:rPr>
                <w:rFonts w:cs="Calibri"/>
              </w:rPr>
              <w:t>26.6%</w:t>
            </w:r>
          </w:p>
          <w:p w14:paraId="5BA57341" w14:textId="77777777" w:rsidR="001E13C2" w:rsidRPr="00243DC9" w:rsidRDefault="001E13C2">
            <w:pPr>
              <w:jc w:val="center"/>
              <w:rPr>
                <w:rFonts w:cs="Calibri"/>
              </w:rPr>
            </w:pPr>
            <w:r w:rsidRPr="00243DC9">
              <w:rPr>
                <w:rFonts w:cs="Calibri"/>
              </w:rPr>
              <w:t>28.1%</w:t>
            </w:r>
          </w:p>
          <w:p w14:paraId="754377DA" w14:textId="77777777" w:rsidR="001E13C2" w:rsidRPr="00243DC9" w:rsidRDefault="001E13C2">
            <w:pPr>
              <w:jc w:val="center"/>
              <w:rPr>
                <w:rFonts w:cs="Calibri"/>
              </w:rPr>
            </w:pPr>
            <w:r w:rsidRPr="00243DC9">
              <w:rPr>
                <w:rFonts w:cs="Calibri"/>
              </w:rPr>
              <w:lastRenderedPageBreak/>
              <w:t>10.9%</w:t>
            </w:r>
          </w:p>
        </w:tc>
      </w:tr>
      <w:tr w:rsidR="001E13C2" w14:paraId="3EC4F8D6" w14:textId="77777777">
        <w:tc>
          <w:tcPr>
            <w:tcW w:w="4673" w:type="dxa"/>
          </w:tcPr>
          <w:p w14:paraId="683F92F6" w14:textId="77777777" w:rsidR="001E13C2" w:rsidRPr="00243DC9" w:rsidRDefault="001E13C2">
            <w:pPr>
              <w:rPr>
                <w:rFonts w:cs="Calibri"/>
                <w:b/>
                <w:bCs/>
              </w:rPr>
            </w:pPr>
            <w:r w:rsidRPr="00243DC9">
              <w:rPr>
                <w:rFonts w:cs="Calibri"/>
                <w:b/>
                <w:bCs/>
              </w:rPr>
              <w:lastRenderedPageBreak/>
              <w:t>Objective Response Rate (</w:t>
            </w:r>
            <w:proofErr w:type="spellStart"/>
            <w:r w:rsidRPr="00243DC9">
              <w:rPr>
                <w:rFonts w:cs="Calibri"/>
                <w:b/>
                <w:bCs/>
              </w:rPr>
              <w:t>sCR+CR+VGPR</w:t>
            </w:r>
            <w:proofErr w:type="spellEnd"/>
            <w:r w:rsidRPr="00243DC9">
              <w:rPr>
                <w:rFonts w:cs="Calibri"/>
                <w:b/>
                <w:bCs/>
              </w:rPr>
              <w:t>+ PR)</w:t>
            </w:r>
          </w:p>
        </w:tc>
        <w:tc>
          <w:tcPr>
            <w:tcW w:w="2410" w:type="dxa"/>
          </w:tcPr>
          <w:p w14:paraId="69F5C879" w14:textId="77777777" w:rsidR="001E13C2" w:rsidRPr="00243DC9" w:rsidRDefault="001E13C2">
            <w:pPr>
              <w:jc w:val="center"/>
              <w:rPr>
                <w:rFonts w:cs="Calibri"/>
                <w:b/>
                <w:bCs/>
              </w:rPr>
            </w:pPr>
            <w:r w:rsidRPr="00243DC9">
              <w:rPr>
                <w:rFonts w:cs="Calibri"/>
                <w:b/>
                <w:bCs/>
              </w:rPr>
              <w:t>61.0%</w:t>
            </w:r>
          </w:p>
          <w:p w14:paraId="1518B362" w14:textId="77777777" w:rsidR="001E13C2" w:rsidRPr="00243DC9" w:rsidRDefault="001E13C2">
            <w:pPr>
              <w:jc w:val="center"/>
              <w:rPr>
                <w:rFonts w:cs="Calibri"/>
                <w:b/>
                <w:bCs/>
              </w:rPr>
            </w:pPr>
            <w:r w:rsidRPr="00243DC9">
              <w:rPr>
                <w:rFonts w:cs="Calibri"/>
                <w:b/>
                <w:bCs/>
              </w:rPr>
              <w:t>(95% CI:51.8%, 69.9%)</w:t>
            </w:r>
          </w:p>
        </w:tc>
        <w:tc>
          <w:tcPr>
            <w:tcW w:w="2410" w:type="dxa"/>
          </w:tcPr>
          <w:p w14:paraId="6FA67FE1" w14:textId="77777777" w:rsidR="001E13C2" w:rsidRPr="00243DC9" w:rsidRDefault="001E13C2">
            <w:pPr>
              <w:jc w:val="center"/>
              <w:rPr>
                <w:rFonts w:cs="Calibri"/>
                <w:b/>
                <w:bCs/>
              </w:rPr>
            </w:pPr>
            <w:r w:rsidRPr="00243DC9">
              <w:rPr>
                <w:rFonts w:cs="Calibri"/>
                <w:b/>
                <w:bCs/>
              </w:rPr>
              <w:t>34.4%</w:t>
            </w:r>
          </w:p>
          <w:p w14:paraId="6184CD4D" w14:textId="77777777" w:rsidR="001E13C2" w:rsidRPr="00243DC9" w:rsidRDefault="001E13C2">
            <w:pPr>
              <w:jc w:val="center"/>
              <w:rPr>
                <w:rFonts w:cs="Calibri"/>
                <w:b/>
                <w:bCs/>
              </w:rPr>
            </w:pPr>
            <w:r w:rsidRPr="00243DC9">
              <w:rPr>
                <w:rFonts w:cs="Calibri"/>
                <w:b/>
                <w:bCs/>
              </w:rPr>
              <w:t>(95% CI:22.9%, 47.3%)</w:t>
            </w:r>
          </w:p>
        </w:tc>
      </w:tr>
      <w:tr w:rsidR="001E13C2" w14:paraId="08D93233" w14:textId="77777777">
        <w:tc>
          <w:tcPr>
            <w:tcW w:w="4673" w:type="dxa"/>
          </w:tcPr>
          <w:p w14:paraId="258AF8DE" w14:textId="77777777" w:rsidR="001E13C2" w:rsidRPr="00243DC9" w:rsidRDefault="001E13C2">
            <w:pPr>
              <w:rPr>
                <w:rFonts w:cs="Calibri"/>
                <w:b/>
                <w:bCs/>
              </w:rPr>
            </w:pPr>
            <w:r w:rsidRPr="00243DC9">
              <w:rPr>
                <w:rFonts w:cs="Calibri"/>
                <w:b/>
                <w:bCs/>
              </w:rPr>
              <w:t>Complete Response Rate (</w:t>
            </w:r>
            <w:proofErr w:type="spellStart"/>
            <w:r w:rsidRPr="00243DC9">
              <w:rPr>
                <w:rFonts w:cs="Calibri"/>
                <w:b/>
                <w:bCs/>
              </w:rPr>
              <w:t>sCR+CR</w:t>
            </w:r>
            <w:proofErr w:type="spellEnd"/>
            <w:r w:rsidRPr="00243DC9">
              <w:rPr>
                <w:rFonts w:cs="Calibri"/>
                <w:b/>
                <w:bCs/>
              </w:rPr>
              <w:t>)</w:t>
            </w:r>
          </w:p>
        </w:tc>
        <w:tc>
          <w:tcPr>
            <w:tcW w:w="2410" w:type="dxa"/>
          </w:tcPr>
          <w:p w14:paraId="5F7A2F4B" w14:textId="77777777" w:rsidR="001E13C2" w:rsidRPr="00243DC9" w:rsidRDefault="001E13C2">
            <w:pPr>
              <w:jc w:val="center"/>
              <w:rPr>
                <w:rFonts w:cs="Calibri"/>
                <w:b/>
                <w:bCs/>
              </w:rPr>
            </w:pPr>
            <w:r w:rsidRPr="00243DC9">
              <w:rPr>
                <w:rFonts w:cs="Calibri"/>
                <w:b/>
                <w:bCs/>
              </w:rPr>
              <w:t>27.6%</w:t>
            </w:r>
          </w:p>
          <w:p w14:paraId="6D75377F" w14:textId="77777777" w:rsidR="001E13C2" w:rsidRPr="00243DC9" w:rsidRDefault="001E13C2">
            <w:pPr>
              <w:jc w:val="center"/>
              <w:rPr>
                <w:rFonts w:cs="Calibri"/>
                <w:b/>
                <w:bCs/>
              </w:rPr>
            </w:pPr>
            <w:r w:rsidRPr="00243DC9">
              <w:rPr>
                <w:rFonts w:cs="Calibri"/>
                <w:b/>
                <w:bCs/>
              </w:rPr>
              <w:t>(95% CI: 20.0%, 36.4%)</w:t>
            </w:r>
          </w:p>
        </w:tc>
        <w:tc>
          <w:tcPr>
            <w:tcW w:w="2410" w:type="dxa"/>
          </w:tcPr>
          <w:p w14:paraId="44DEE884" w14:textId="77777777" w:rsidR="001E13C2" w:rsidRPr="00243DC9" w:rsidRDefault="001E13C2">
            <w:pPr>
              <w:jc w:val="center"/>
              <w:rPr>
                <w:rFonts w:cs="Calibri"/>
                <w:b/>
                <w:bCs/>
              </w:rPr>
            </w:pPr>
            <w:r w:rsidRPr="00243DC9">
              <w:rPr>
                <w:rFonts w:cs="Calibri"/>
                <w:b/>
                <w:bCs/>
              </w:rPr>
              <w:t>7.8%</w:t>
            </w:r>
          </w:p>
          <w:p w14:paraId="368AE0A7" w14:textId="77777777" w:rsidR="001E13C2" w:rsidRPr="00243DC9" w:rsidRDefault="001E13C2">
            <w:pPr>
              <w:jc w:val="center"/>
              <w:rPr>
                <w:rFonts w:cs="Calibri"/>
                <w:b/>
                <w:bCs/>
              </w:rPr>
            </w:pPr>
            <w:r w:rsidRPr="00243DC9">
              <w:rPr>
                <w:rFonts w:cs="Calibri"/>
                <w:b/>
                <w:bCs/>
              </w:rPr>
              <w:t>(95% CI:2.6%, 17.3%)</w:t>
            </w:r>
          </w:p>
        </w:tc>
      </w:tr>
    </w:tbl>
    <w:p w14:paraId="0F67859A" w14:textId="0B391D03" w:rsidR="001E13C2" w:rsidRDefault="001E13C2" w:rsidP="00243DC9">
      <w:r w:rsidRPr="00CD32BE">
        <w:t>At the time of the analysis</w:t>
      </w:r>
      <w:r w:rsidR="00A247D5">
        <w:t>,</w:t>
      </w:r>
      <w:r>
        <w:t xml:space="preserve"> 17.9% of </w:t>
      </w:r>
      <w:r w:rsidR="000319CD">
        <w:t xml:space="preserve">responders in </w:t>
      </w:r>
      <w:r>
        <w:t xml:space="preserve">Cohort A and 18.8% of </w:t>
      </w:r>
      <w:r w:rsidR="000319CD">
        <w:t xml:space="preserve">responders in </w:t>
      </w:r>
      <w:r>
        <w:t xml:space="preserve">Cohort B </w:t>
      </w:r>
      <w:r w:rsidR="00347E53">
        <w:t>were</w:t>
      </w:r>
      <w:r w:rsidR="00347E53" w:rsidRPr="00652E22">
        <w:t xml:space="preserve"> still on</w:t>
      </w:r>
      <w:r w:rsidR="00347E53">
        <w:noBreakHyphen/>
      </w:r>
      <w:r w:rsidR="00347E53" w:rsidRPr="00652E22">
        <w:t xml:space="preserve">treatment </w:t>
      </w:r>
      <w:r w:rsidR="00347E53" w:rsidRPr="002A4BEC">
        <w:t xml:space="preserve">without progression and </w:t>
      </w:r>
      <w:r>
        <w:t xml:space="preserve">a confirmed complete response, and 2.4% of </w:t>
      </w:r>
      <w:r w:rsidR="002D7E53">
        <w:t xml:space="preserve">responders in </w:t>
      </w:r>
      <w:r>
        <w:t xml:space="preserve">Cohort A </w:t>
      </w:r>
      <w:r w:rsidR="002D7E53">
        <w:t>were</w:t>
      </w:r>
      <w:r w:rsidR="002D7E53" w:rsidRPr="00652E22">
        <w:t xml:space="preserve"> still on</w:t>
      </w:r>
      <w:r w:rsidR="002D7E53">
        <w:noBreakHyphen/>
      </w:r>
      <w:r w:rsidR="002D7E53" w:rsidRPr="00652E22">
        <w:t xml:space="preserve">treatment </w:t>
      </w:r>
      <w:r w:rsidR="002D7E53" w:rsidRPr="002A4BEC">
        <w:t>without progression</w:t>
      </w:r>
      <w:r w:rsidR="002D7E53">
        <w:t xml:space="preserve"> and</w:t>
      </w:r>
      <w:r>
        <w:t xml:space="preserve"> a </w:t>
      </w:r>
      <w:r w:rsidR="00FA06AF">
        <w:t xml:space="preserve">confirmed </w:t>
      </w:r>
      <w:r>
        <w:t>VGPR.</w:t>
      </w:r>
    </w:p>
    <w:p w14:paraId="117D2BD5" w14:textId="1CF755E7" w:rsidR="001E13C2" w:rsidRDefault="001E13C2" w:rsidP="00243DC9">
      <w:r>
        <w:t xml:space="preserve">The study was not designed for comparison of subgroups, so the analysis conducted using data from the 14 October 2022 data cut off, presented </w:t>
      </w:r>
      <w:r w:rsidR="00CF5BEE">
        <w:t>in Table 9</w:t>
      </w:r>
      <w:r>
        <w:t>, is considered exploratory.</w:t>
      </w:r>
    </w:p>
    <w:p w14:paraId="51E5975A" w14:textId="6773D2FD" w:rsidR="001E13C2" w:rsidRDefault="001E13C2" w:rsidP="00B01FE4">
      <w:pPr>
        <w:pStyle w:val="TableTitle"/>
        <w:spacing w:before="240"/>
      </w:pPr>
      <w:r>
        <w:lastRenderedPageBreak/>
        <w:t xml:space="preserve">Table </w:t>
      </w:r>
      <w:r w:rsidR="00243DC9">
        <w:t>9:</w:t>
      </w:r>
      <w:r>
        <w:t xml:space="preserve"> Study C1071003 Cohort A </w:t>
      </w:r>
      <w:r w:rsidR="00AE54ED">
        <w:t>f</w:t>
      </w:r>
      <w:r>
        <w:t xml:space="preserve">orest </w:t>
      </w:r>
      <w:r w:rsidR="00AE54ED">
        <w:t>p</w:t>
      </w:r>
      <w:r>
        <w:t xml:space="preserve">lot – </w:t>
      </w:r>
      <w:r w:rsidR="00AE54ED">
        <w:t>s</w:t>
      </w:r>
      <w:r>
        <w:t xml:space="preserve">ubgroup </w:t>
      </w:r>
      <w:r w:rsidR="00AE54ED">
        <w:t>a</w:t>
      </w:r>
      <w:r>
        <w:t xml:space="preserve">nalysis by selected baseline characteristic – 14 October 2022 </w:t>
      </w:r>
      <w:r w:rsidR="00AE54ED">
        <w:t>d</w:t>
      </w:r>
      <w:r>
        <w:t xml:space="preserve">ata </w:t>
      </w:r>
      <w:r w:rsidR="00AE54ED">
        <w:t>c</w:t>
      </w:r>
      <w:r>
        <w:t>ut</w:t>
      </w:r>
      <w:r w:rsidR="00FA275A">
        <w:t>-</w:t>
      </w:r>
      <w:r w:rsidR="00AE54ED">
        <w:t>o</w:t>
      </w:r>
      <w:r>
        <w:t>ff</w:t>
      </w:r>
    </w:p>
    <w:p w14:paraId="6FEC3A39" w14:textId="3BE22BBF" w:rsidR="001E13C2" w:rsidRDefault="001E13C2" w:rsidP="001E13C2">
      <w:r w:rsidRPr="00EA54A4">
        <w:rPr>
          <w:noProof/>
        </w:rPr>
        <w:drawing>
          <wp:inline distT="0" distB="0" distL="0" distR="0" wp14:anchorId="6B56C256" wp14:editId="253D1E9D">
            <wp:extent cx="5184476" cy="7083800"/>
            <wp:effectExtent l="0" t="0" r="0" b="3175"/>
            <wp:docPr id="5" name="Picture 5" descr="This table presents a forest plot for Study C1071003, focusing on Cohort A. It includes subgroup analysis by selected baseline characteristics, with data cut-off on 14 Octo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table presents a forest plot for Study C1071003, focusing on Cohort A. It includes subgroup analysis by selected baseline characteristics, with data cut-off on 14 October 2022.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3434" cy="7150694"/>
                    </a:xfrm>
                    <a:prstGeom prst="rect">
                      <a:avLst/>
                    </a:prstGeom>
                    <a:noFill/>
                    <a:ln>
                      <a:noFill/>
                    </a:ln>
                  </pic:spPr>
                </pic:pic>
              </a:graphicData>
            </a:graphic>
          </wp:inline>
        </w:drawing>
      </w:r>
    </w:p>
    <w:p w14:paraId="786935B4" w14:textId="77777777" w:rsidR="00B01FE4" w:rsidRDefault="00B01FE4" w:rsidP="001E13C2"/>
    <w:p w14:paraId="54829770" w14:textId="31DFF93C" w:rsidR="001E13C2" w:rsidRDefault="001E13C2" w:rsidP="001E13C2">
      <w:r>
        <w:t xml:space="preserve">While the findings for patients with extramedullary disease </w:t>
      </w:r>
      <w:proofErr w:type="gramStart"/>
      <w:r>
        <w:t>were appear</w:t>
      </w:r>
      <w:proofErr w:type="gramEnd"/>
      <w:r>
        <w:t xml:space="preserve"> less favourable than those without, the null for ORR with EMD was set at ≤12%. </w:t>
      </w:r>
    </w:p>
    <w:p w14:paraId="30F891E9" w14:textId="7322176F" w:rsidR="001E13C2" w:rsidRPr="00CF37D9" w:rsidRDefault="001E13C2" w:rsidP="001E13C2">
      <w:r>
        <w:t xml:space="preserve">In Cohort B, for patients who had received prior CAR-T or prior ADC ORR was 42.9% (95% CI: 21.8, 66.0) and 28.3% (95% CI: 16.0, 43.5), respectively. Differences in prognostic baseline characteristics between the </w:t>
      </w:r>
      <w:r w:rsidR="0067779F">
        <w:t>2</w:t>
      </w:r>
      <w:r>
        <w:t xml:space="preserve"> groups were noted, limiting conclusions that could be drawn.</w:t>
      </w:r>
    </w:p>
    <w:p w14:paraId="4B02528A" w14:textId="77777777" w:rsidR="001E13C2" w:rsidRPr="00E06AB3" w:rsidRDefault="001E13C2" w:rsidP="0067779F">
      <w:pPr>
        <w:ind w:firstLine="720"/>
        <w:rPr>
          <w:i/>
          <w:iCs/>
        </w:rPr>
      </w:pPr>
      <w:r w:rsidRPr="00E06AB3">
        <w:rPr>
          <w:i/>
          <w:iCs/>
        </w:rPr>
        <w:t>Evidence to support reduced frequency dosing for responders after 24 weeks of treatment.</w:t>
      </w:r>
    </w:p>
    <w:p w14:paraId="33254922" w14:textId="77777777" w:rsidR="001E13C2" w:rsidRDefault="001E13C2" w:rsidP="001E13C2">
      <w:r>
        <w:lastRenderedPageBreak/>
        <w:t>The most robust evidence to support this dosing instruction is derived from Cohort A patients. This was assessed using the October 2022 data cut.</w:t>
      </w:r>
    </w:p>
    <w:p w14:paraId="3500658A" w14:textId="59C1D8C5" w:rsidR="001E13C2" w:rsidRPr="00A02A2D" w:rsidRDefault="001E13C2" w:rsidP="001E13C2">
      <w:r>
        <w:t>QSP virtual patient simulation supported the transition from QW to Q2W dosing for responders.</w:t>
      </w:r>
    </w:p>
    <w:p w14:paraId="6B442470" w14:textId="73ADE092" w:rsidR="001E13C2" w:rsidRDefault="001E13C2" w:rsidP="001E13C2">
      <w:pPr>
        <w:pStyle w:val="Heading5"/>
      </w:pPr>
      <w:r>
        <w:t xml:space="preserve">Supportive </w:t>
      </w:r>
      <w:r w:rsidR="00FA275A">
        <w:t>s</w:t>
      </w:r>
      <w:r>
        <w:t>tudies</w:t>
      </w:r>
    </w:p>
    <w:p w14:paraId="3036DD91" w14:textId="77777777" w:rsidR="001E13C2" w:rsidRPr="00840221" w:rsidRDefault="001E13C2" w:rsidP="001E13C2">
      <w:r>
        <w:t>Supportive studies were included in the submission. Pharmacology data from the PK studies were incorporated into the main clinical pharmacology analyses.</w:t>
      </w:r>
    </w:p>
    <w:p w14:paraId="43DEC756" w14:textId="77777777" w:rsidR="001E13C2" w:rsidRDefault="001E13C2" w:rsidP="001E13C2">
      <w:pPr>
        <w:pStyle w:val="Heading6"/>
      </w:pPr>
      <w:r>
        <w:t>Study C1071001</w:t>
      </w:r>
    </w:p>
    <w:p w14:paraId="549208E8" w14:textId="21BE3427" w:rsidR="001E13C2" w:rsidRDefault="001E13C2" w:rsidP="001E13C2">
      <w:r>
        <w:t xml:space="preserve">This was a phase 1 open-label, multidose, multicentre, dose escalation, safety PK and PD study of </w:t>
      </w:r>
      <w:proofErr w:type="spellStart"/>
      <w:r>
        <w:t>elranatamab</w:t>
      </w:r>
      <w:proofErr w:type="spellEnd"/>
      <w:r>
        <w:t xml:space="preserve"> as a single agent and in combination with lenalidomide, pomalidomide or dexamethasone in 101 adult patients with advanced RRMM. The single dose components included exploration of </w:t>
      </w:r>
      <w:proofErr w:type="spellStart"/>
      <w:r>
        <w:t>elranatamab</w:t>
      </w:r>
      <w:proofErr w:type="spellEnd"/>
      <w:r>
        <w:t xml:space="preserve"> IV doses 0.1 to 50 µg/kg, SC doses of 80 to 1000 µg/kg, the introduction of priming doses, including a 44 mg SC priming dose before a 76 mg SC QW full dose regimen.</w:t>
      </w:r>
    </w:p>
    <w:p w14:paraId="016C7DE2" w14:textId="77777777" w:rsidR="001E13C2" w:rsidRDefault="001E13C2" w:rsidP="001E13C2">
      <w:pPr>
        <w:pStyle w:val="Heading6"/>
      </w:pPr>
      <w:r>
        <w:t>Study C1071002</w:t>
      </w:r>
    </w:p>
    <w:p w14:paraId="3A25F329" w14:textId="77777777" w:rsidR="001E13C2" w:rsidRPr="00971C40" w:rsidRDefault="001E13C2" w:rsidP="001E13C2">
      <w:r>
        <w:t>This was a phase 1, open-label study conducted in Japanese patients with advanced RRMM that enrolled 4 patients.</w:t>
      </w:r>
    </w:p>
    <w:p w14:paraId="5CEE3E3E" w14:textId="77777777" w:rsidR="001E13C2" w:rsidRDefault="001E13C2" w:rsidP="001E13C2">
      <w:pPr>
        <w:pStyle w:val="Heading6"/>
      </w:pPr>
      <w:r>
        <w:t>Study C1071009</w:t>
      </w:r>
    </w:p>
    <w:p w14:paraId="3AD6A75E" w14:textId="1DAD7069" w:rsidR="001E13C2" w:rsidRPr="00C3166A" w:rsidRDefault="001E13C2" w:rsidP="001E13C2">
      <w:r>
        <w:t xml:space="preserve">This was </w:t>
      </w:r>
      <w:r w:rsidR="00DD7AFA">
        <w:t>p</w:t>
      </w:r>
      <w:r>
        <w:t xml:space="preserve">hase 1/2, open-label, multicentre study to evaluate a dosing regimen with 2 step-up priming doses and longer dosing intervals of </w:t>
      </w:r>
      <w:proofErr w:type="spellStart"/>
      <w:r>
        <w:t>elranatamab</w:t>
      </w:r>
      <w:proofErr w:type="spellEnd"/>
      <w:r>
        <w:t xml:space="preserve"> monotherapy in 76 patients with RRMM. The primary objective of the study was to assess the rate of Grade ≥2 CRS with the studied regimens</w:t>
      </w:r>
      <w:r w:rsidR="00DD7AFA">
        <w:t>.</w:t>
      </w:r>
    </w:p>
    <w:p w14:paraId="57DF88A1" w14:textId="77777777" w:rsidR="001E13C2" w:rsidRDefault="001E13C2" w:rsidP="001E13C2">
      <w:pPr>
        <w:pStyle w:val="Heading4"/>
      </w:pPr>
      <w:bookmarkStart w:id="52" w:name="_Toc181631313"/>
      <w:r w:rsidRPr="00AA53F4">
        <w:t>Safety</w:t>
      </w:r>
      <w:bookmarkEnd w:id="52"/>
    </w:p>
    <w:p w14:paraId="0C01B9ED" w14:textId="2EB7FF24" w:rsidR="00C62C8F" w:rsidRDefault="001E13C2" w:rsidP="00EB35EC">
      <w:r w:rsidRPr="00016650">
        <w:rPr>
          <w:iCs/>
        </w:rPr>
        <w:t xml:space="preserve">Safety </w:t>
      </w:r>
      <w:r w:rsidR="00C62C8F">
        <w:rPr>
          <w:iCs/>
        </w:rPr>
        <w:t xml:space="preserve">data </w:t>
      </w:r>
      <w:r w:rsidRPr="00016650">
        <w:rPr>
          <w:iCs/>
        </w:rPr>
        <w:t xml:space="preserve">was collected from 265 patients who had received at least one subcutaneous 1mg/kg dose or 76 mg SC. </w:t>
      </w:r>
      <w:r>
        <w:rPr>
          <w:iCs/>
        </w:rPr>
        <w:t xml:space="preserve">The sponsor presented the safety information using </w:t>
      </w:r>
      <w:r w:rsidR="003C2D36">
        <w:rPr>
          <w:iCs/>
        </w:rPr>
        <w:t xml:space="preserve">3 </w:t>
      </w:r>
      <w:r>
        <w:rPr>
          <w:iCs/>
        </w:rPr>
        <w:t>safety pools. Pool 1 included safety data from 18</w:t>
      </w:r>
      <w:r w:rsidR="00A85B05">
        <w:rPr>
          <w:iCs/>
        </w:rPr>
        <w:t xml:space="preserve">3 patients from </w:t>
      </w:r>
      <w:r w:rsidR="00FA13B7">
        <w:rPr>
          <w:iCs/>
        </w:rPr>
        <w:t>s</w:t>
      </w:r>
      <w:r>
        <w:rPr>
          <w:iCs/>
        </w:rPr>
        <w:t>tudy C1071003</w:t>
      </w:r>
      <w:r w:rsidR="00FA13B7">
        <w:rPr>
          <w:iCs/>
        </w:rPr>
        <w:t xml:space="preserve"> (</w:t>
      </w:r>
      <w:r w:rsidR="00031948">
        <w:rPr>
          <w:iCs/>
        </w:rPr>
        <w:t>phase 2 MagnetisMM-3 study) who received the recommended priming regimen of step</w:t>
      </w:r>
      <w:r w:rsidR="0022789B">
        <w:rPr>
          <w:iCs/>
        </w:rPr>
        <w:t>-</w:t>
      </w:r>
      <w:r w:rsidR="00031948">
        <w:rPr>
          <w:iCs/>
        </w:rPr>
        <w:t>up dosing</w:t>
      </w:r>
      <w:r w:rsidR="0022789B">
        <w:rPr>
          <w:iCs/>
        </w:rPr>
        <w:t xml:space="preserve"> 12</w:t>
      </w:r>
      <w:r w:rsidR="001D211E">
        <w:rPr>
          <w:iCs/>
        </w:rPr>
        <w:t>mg and 32mg</w:t>
      </w:r>
      <w:r w:rsidR="00031948">
        <w:rPr>
          <w:iCs/>
        </w:rPr>
        <w:t xml:space="preserve">. </w:t>
      </w:r>
      <w:r>
        <w:rPr>
          <w:iCs/>
        </w:rPr>
        <w:t xml:space="preserve">Pool 2 </w:t>
      </w:r>
      <w:r w:rsidR="00031948">
        <w:rPr>
          <w:iCs/>
        </w:rPr>
        <w:t>includ</w:t>
      </w:r>
      <w:r w:rsidR="001D211E">
        <w:rPr>
          <w:iCs/>
        </w:rPr>
        <w:t>ed</w:t>
      </w:r>
      <w:r w:rsidR="00031948">
        <w:rPr>
          <w:iCs/>
        </w:rPr>
        <w:t xml:space="preserve"> </w:t>
      </w:r>
      <w:r>
        <w:rPr>
          <w:iCs/>
        </w:rPr>
        <w:t>other patients who received 1 mg/kg or 76 mg SC regardless of the priming dose regimen</w:t>
      </w:r>
      <w:r w:rsidR="001D211E">
        <w:rPr>
          <w:iCs/>
        </w:rPr>
        <w:t>,</w:t>
      </w:r>
      <w:r>
        <w:rPr>
          <w:iCs/>
        </w:rPr>
        <w:t xml:space="preserve"> and Pool 3 included all patients who received at least one dose of </w:t>
      </w:r>
      <w:proofErr w:type="spellStart"/>
      <w:r>
        <w:rPr>
          <w:iCs/>
        </w:rPr>
        <w:t>elranatamab</w:t>
      </w:r>
      <w:proofErr w:type="spellEnd"/>
      <w:r>
        <w:rPr>
          <w:iCs/>
        </w:rPr>
        <w:t xml:space="preserve"> (Pool 1 + Pool 2).</w:t>
      </w:r>
      <w:r w:rsidR="00EB35EC">
        <w:rPr>
          <w:iCs/>
        </w:rPr>
        <w:t xml:space="preserve">  </w:t>
      </w:r>
      <w:r w:rsidR="00C62C8F">
        <w:t>Results for</w:t>
      </w:r>
      <w:r w:rsidR="008836E6">
        <w:t xml:space="preserve"> patients </w:t>
      </w:r>
      <w:r w:rsidR="003C2D36">
        <w:t xml:space="preserve">who received the recommended </w:t>
      </w:r>
      <w:r>
        <w:t>step-up dosing regimen</w:t>
      </w:r>
      <w:r w:rsidR="008836E6">
        <w:t xml:space="preserve"> (Pool 1)</w:t>
      </w:r>
      <w:r w:rsidR="00C62C8F">
        <w:t>,</w:t>
      </w:r>
      <w:r>
        <w:t xml:space="preserve"> are considered the most relevant for establishing the safety of </w:t>
      </w:r>
      <w:proofErr w:type="spellStart"/>
      <w:r>
        <w:t>elranatamab</w:t>
      </w:r>
      <w:proofErr w:type="spellEnd"/>
      <w:r>
        <w:t xml:space="preserve"> for the proposed use. </w:t>
      </w:r>
    </w:p>
    <w:p w14:paraId="7431AF4E" w14:textId="601EAAB1" w:rsidR="001E13C2" w:rsidRDefault="001E13C2" w:rsidP="001E13C2">
      <w:r>
        <w:t xml:space="preserve">On 31 July 2023, the sponsor provided a top-line safety data update from the 16 April 2023 data cut from study C1071003. </w:t>
      </w:r>
    </w:p>
    <w:p w14:paraId="311F28DD" w14:textId="77777777" w:rsidR="001E13C2" w:rsidRDefault="001E13C2" w:rsidP="001E13C2">
      <w:r>
        <w:t xml:space="preserve">The median duration of exposure was 4.1 months, (range 0.03, 20.27) months, and of those 42% had received treatment for 6 months or more. </w:t>
      </w:r>
    </w:p>
    <w:p w14:paraId="136F84EC" w14:textId="77777777" w:rsidR="001E13C2" w:rsidRDefault="001E13C2" w:rsidP="001E13C2">
      <w:r>
        <w:t xml:space="preserve">All patients reported a treatment emergent adverse event (TEAE). Permanent discontinuation of the study drug due to adverse events was reported for 22.4% of patients, while 73.8% had a dose interruption and 23.0% had a dose reduction due to adverse event. </w:t>
      </w:r>
    </w:p>
    <w:p w14:paraId="384B1505" w14:textId="77777777" w:rsidR="001E13C2" w:rsidRDefault="001E13C2" w:rsidP="001E13C2">
      <w:r>
        <w:t xml:space="preserve">Of the TEAEs, the </w:t>
      </w:r>
      <w:proofErr w:type="gramStart"/>
      <w:r>
        <w:t>most commonly reported</w:t>
      </w:r>
      <w:proofErr w:type="gramEnd"/>
      <w:r>
        <w:t xml:space="preserve"> (≥15%) were cytokine release syndrome (57.9%), neutropenia (36.1%), anaemia (26.8%), lymphopenia (24.0%), injection site reaction (21.9%), thrombocytopenia (19.7%), headache (19.1%) fatigue (16.4%), and decreased appetite (15.4%). </w:t>
      </w:r>
    </w:p>
    <w:p w14:paraId="33723F01" w14:textId="77777777" w:rsidR="001E13C2" w:rsidRDefault="001E13C2" w:rsidP="001E13C2">
      <w:r>
        <w:lastRenderedPageBreak/>
        <w:t>Grade 3 or 4 AEs were reported in 68.3%. The common events occurring in ≥10% of patients were neutropenia (43.2%), anaemia (42.6%), lymphopenia (27.9%), thrombocytopenia (26.2%), and leukopenia (12.6%).</w:t>
      </w:r>
    </w:p>
    <w:p w14:paraId="40E7C934" w14:textId="77777777" w:rsidR="001E13C2" w:rsidRDefault="001E13C2" w:rsidP="001E13C2">
      <w:r>
        <w:t>AEs with a fatal outcome were reported in 23.0%. Events reported for more than one patient were disease progression (5.5%), septic shock (2.7%), COVID-19 pneumonia (2.2%), plasma cell myeloma (3.3%), acute respiratory distress syndrome (1.1%). Of these events in 6 (3.3%) patients were considered treatment related, and included one event each of cardiac arrest, failure to thrive, septic shock, pseudomonal pneumonia, adenoviral pneumonia, adenoviral infection, adenoviral hepatitis.</w:t>
      </w:r>
    </w:p>
    <w:p w14:paraId="171EA071" w14:textId="77777777" w:rsidR="001E13C2" w:rsidRDefault="001E13C2" w:rsidP="001E13C2">
      <w:r>
        <w:t xml:space="preserve">Serious adverse events (SAEs) were reported in 74.9%. Aside from disease progression, those occurring in ≥3% were COVID-19 pneumonia (13.1%), cytokine release syndrome (12.6%), pneumonia (9.8%), sepsis (4.9%), COVID-19 (4.4%), anaemia (4.4%), septic shock (3.8%), pneumocystis </w:t>
      </w:r>
      <w:proofErr w:type="spellStart"/>
      <w:r>
        <w:t>jiroveci</w:t>
      </w:r>
      <w:proofErr w:type="spellEnd"/>
      <w:r>
        <w:t xml:space="preserve"> (3.8%), acute kidney injury (3.8%).</w:t>
      </w:r>
    </w:p>
    <w:p w14:paraId="0CFDCCA5" w14:textId="77777777" w:rsidR="001E13C2" w:rsidRDefault="001E13C2" w:rsidP="0001678A">
      <w:pPr>
        <w:pStyle w:val="Heading5"/>
      </w:pPr>
      <w:r>
        <w:t>Cytokine Release Syndrome (CRS)</w:t>
      </w:r>
    </w:p>
    <w:p w14:paraId="7FA09541" w14:textId="13873660" w:rsidR="001E13C2" w:rsidRDefault="001E13C2" w:rsidP="001E13C2">
      <w:r>
        <w:t xml:space="preserve">CRS was reported as an AE for 57.9% of patients in study C1071003. Among those patients, 130 events were reported. </w:t>
      </w:r>
    </w:p>
    <w:p w14:paraId="4E8ACB1C" w14:textId="5DB1646C" w:rsidR="001E13C2" w:rsidRDefault="001E13C2" w:rsidP="001E13C2">
      <w:r>
        <w:t xml:space="preserve">Grade 1 events were reported for 43.7%, 13.7% had a Grade 2 event and 0.5% had a Grade 3 event. More than one CRS event was experienced by 24 patients (13.1%). CRS was reported as a SAE in 12.6%. Only </w:t>
      </w:r>
      <w:r w:rsidR="00481FD3">
        <w:t>one</w:t>
      </w:r>
      <w:r>
        <w:t xml:space="preserve"> patient permanently discontinued due to CRS. </w:t>
      </w:r>
    </w:p>
    <w:p w14:paraId="3D9ECB9C" w14:textId="77777777" w:rsidR="001E13C2" w:rsidRDefault="001E13C2" w:rsidP="001E13C2">
      <w:r>
        <w:t xml:space="preserve">Around 43% reported CRS events with the first dose, 19.1% with the second dose, 7.1% with the third dose, and 3 patients (1.6%) with subsequent doses. The Grade 3 event occurred with the first dose. </w:t>
      </w:r>
    </w:p>
    <w:p w14:paraId="0FF602BB" w14:textId="77777777" w:rsidR="001E13C2" w:rsidRPr="0017350D" w:rsidRDefault="001E13C2" w:rsidP="001E13C2">
      <w:r>
        <w:t xml:space="preserve">An IL-6 inhibitor and/or steroid use was at the discretion of the investigator. Systemic treatment with either corticosteroids or tocilizumab was received by 38.7% of patients with events; IL-6 inhibitor in 33.3% and corticosteroids in 15.1%. </w:t>
      </w:r>
    </w:p>
    <w:p w14:paraId="6BD3785A" w14:textId="77777777" w:rsidR="001E13C2" w:rsidRDefault="001E13C2" w:rsidP="0001678A">
      <w:pPr>
        <w:pStyle w:val="Heading5"/>
      </w:pPr>
      <w:r>
        <w:t>ICANS</w:t>
      </w:r>
    </w:p>
    <w:p w14:paraId="2ABD0C48" w14:textId="3BA04EB4" w:rsidR="001E13C2" w:rsidRDefault="001E13C2" w:rsidP="001E13C2">
      <w:r>
        <w:t>ICANS was reported as an adverse events for 3.3% (6 patients. Of those 6 patients, 1 (0.5%) had a Grade 1 event, three had a Grade 2 event (1.6%) and two (1.1%) had a grade 3 events. There were no Grade 4 or 5 events. Most patients had a single event</w:t>
      </w:r>
      <w:r w:rsidR="00647412">
        <w:t>,</w:t>
      </w:r>
      <w:r>
        <w:t xml:space="preserve"> but </w:t>
      </w:r>
      <w:r w:rsidR="00647412">
        <w:t>2</w:t>
      </w:r>
      <w:r>
        <w:t xml:space="preserve"> patients had recurrent events. For the </w:t>
      </w:r>
      <w:r w:rsidR="00647412">
        <w:t>4</w:t>
      </w:r>
      <w:r>
        <w:t xml:space="preserve"> patients with single events all occurred concurrently with a CRS event. For patients with recurrent events, CRS occurred with the first ICANS event. Five patients had an event with the first step up dose, and one of those, had a further event with the subsequent dose. One patient had their first event with the first 76 mg dose and had recurrent events after the 4</w:t>
      </w:r>
      <w:r w:rsidRPr="00D02B14">
        <w:rPr>
          <w:vertAlign w:val="superscript"/>
        </w:rPr>
        <w:t>th</w:t>
      </w:r>
      <w:r>
        <w:t xml:space="preserve"> and 6</w:t>
      </w:r>
      <w:r w:rsidRPr="00D02B14">
        <w:rPr>
          <w:vertAlign w:val="superscript"/>
        </w:rPr>
        <w:t>th</w:t>
      </w:r>
      <w:r>
        <w:t xml:space="preserve"> doses. The patients with the Grade 3 events permanently discontinued </w:t>
      </w:r>
      <w:proofErr w:type="spellStart"/>
      <w:r>
        <w:t>elranatamab</w:t>
      </w:r>
      <w:proofErr w:type="spellEnd"/>
      <w:r>
        <w:t>, and another patient had a dose interruption.</w:t>
      </w:r>
    </w:p>
    <w:p w14:paraId="318CFC1A" w14:textId="77777777" w:rsidR="001E13C2" w:rsidRDefault="001E13C2" w:rsidP="001E13C2">
      <w:r>
        <w:t>The median time to onset after the previous dose was 3 days and all events had resolved within 18 days (median of 2 days).</w:t>
      </w:r>
    </w:p>
    <w:p w14:paraId="08B0320A" w14:textId="1EE20731" w:rsidR="001E13C2" w:rsidRDefault="001E13C2" w:rsidP="001E13C2">
      <w:r>
        <w:t xml:space="preserve">Four patients received corticosteroids, two patients received an IL-6 inhibitor, </w:t>
      </w:r>
      <w:r w:rsidR="00D03CCD">
        <w:t>2</w:t>
      </w:r>
      <w:r>
        <w:t xml:space="preserve"> patients received </w:t>
      </w:r>
      <w:proofErr w:type="spellStart"/>
      <w:r>
        <w:t>leviteracetam</w:t>
      </w:r>
      <w:proofErr w:type="spellEnd"/>
      <w:r>
        <w:t>, and one patient received anakinra.</w:t>
      </w:r>
    </w:p>
    <w:p w14:paraId="6A7C4CC6" w14:textId="77777777" w:rsidR="001E13C2" w:rsidRDefault="001E13C2" w:rsidP="0001678A">
      <w:pPr>
        <w:pStyle w:val="Heading5"/>
      </w:pPr>
      <w:r>
        <w:t>Neurological toxicity</w:t>
      </w:r>
    </w:p>
    <w:p w14:paraId="3D9A290A" w14:textId="7BB400E6" w:rsidR="001E13C2" w:rsidRPr="00E108E2" w:rsidRDefault="001E13C2" w:rsidP="001E13C2">
      <w:r>
        <w:t>Headache (19.1%), encephalopathy (13.1%), peripheral neuropathy (21.3%) and Guillain Barre Syndrome (0.5%) were reported neurological adverse events.</w:t>
      </w:r>
    </w:p>
    <w:p w14:paraId="5E2527B1" w14:textId="77777777" w:rsidR="001E13C2" w:rsidRDefault="001E13C2" w:rsidP="0001678A">
      <w:pPr>
        <w:pStyle w:val="Heading5"/>
      </w:pPr>
      <w:r>
        <w:lastRenderedPageBreak/>
        <w:t>Opportunistic infections</w:t>
      </w:r>
    </w:p>
    <w:p w14:paraId="5270A0F1" w14:textId="5AE69F58" w:rsidR="001E13C2" w:rsidRPr="00AE38CB" w:rsidRDefault="001E13C2" w:rsidP="001E13C2">
      <w:r>
        <w:t xml:space="preserve">Opportunistic infections occurred in 12.0% of patients. CMV reactivation, pneumocystis </w:t>
      </w:r>
      <w:proofErr w:type="spellStart"/>
      <w:r>
        <w:t>jiroveci</w:t>
      </w:r>
      <w:proofErr w:type="spellEnd"/>
      <w:r>
        <w:t xml:space="preserve"> and bronchopulmonary aspergillosis all occurred in more than one patient.</w:t>
      </w:r>
    </w:p>
    <w:p w14:paraId="45DB301E" w14:textId="77777777" w:rsidR="001E13C2" w:rsidRDefault="001E13C2" w:rsidP="0001678A">
      <w:pPr>
        <w:pStyle w:val="Heading5"/>
      </w:pPr>
      <w:r>
        <w:t>Injection site reactions</w:t>
      </w:r>
    </w:p>
    <w:p w14:paraId="04D1BE54" w14:textId="77777777" w:rsidR="001E13C2" w:rsidRPr="00A7002A" w:rsidRDefault="001E13C2" w:rsidP="001E13C2">
      <w:r>
        <w:t>Injection site reactions were reported in 42.3% of patients overall and 37.2% of Pool 1. These were mostly local and had resolved.</w:t>
      </w:r>
    </w:p>
    <w:p w14:paraId="7D7F3E4E" w14:textId="77777777" w:rsidR="001E13C2" w:rsidRPr="00010758" w:rsidRDefault="001E13C2" w:rsidP="00CD12D2">
      <w:pPr>
        <w:pStyle w:val="Heading5"/>
      </w:pPr>
      <w:r>
        <w:t>Other (</w:t>
      </w:r>
      <w:r w:rsidRPr="00E44442">
        <w:t xml:space="preserve">e.g. </w:t>
      </w:r>
      <w:r>
        <w:t>c</w:t>
      </w:r>
      <w:r w:rsidRPr="00E44442">
        <w:t>ompanion diagnostic</w:t>
      </w:r>
      <w:r>
        <w:t xml:space="preserve"> considerations</w:t>
      </w:r>
      <w:r w:rsidRPr="00E44442">
        <w:t xml:space="preserve">, drug delivery device) </w:t>
      </w:r>
    </w:p>
    <w:p w14:paraId="15863378" w14:textId="0E8E4128" w:rsidR="001E13C2" w:rsidRDefault="001E13C2" w:rsidP="001E13C2">
      <w:pPr>
        <w:rPr>
          <w:i/>
          <w:color w:val="657C9C" w:themeColor="text2" w:themeTint="BF"/>
        </w:rPr>
      </w:pPr>
      <w:r>
        <w:t xml:space="preserve">The submission did not rely on </w:t>
      </w:r>
      <w:r w:rsidR="00143CCA">
        <w:t>r</w:t>
      </w:r>
      <w:r>
        <w:t xml:space="preserve">eal </w:t>
      </w:r>
      <w:r w:rsidR="00143CCA">
        <w:t>w</w:t>
      </w:r>
      <w:r>
        <w:t xml:space="preserve">orld </w:t>
      </w:r>
      <w:r w:rsidR="00143CCA">
        <w:t>d</w:t>
      </w:r>
      <w:r>
        <w:t>ata.</w:t>
      </w:r>
      <w:r w:rsidR="00CD12D2">
        <w:t xml:space="preserve"> </w:t>
      </w:r>
      <w:r>
        <w:t>There are no specific companion diagnostic or drug delivery system considerations of relevance for this submission.</w:t>
      </w:r>
      <w:r w:rsidRPr="00225706">
        <w:rPr>
          <w:i/>
          <w:color w:val="657C9C" w:themeColor="text2" w:themeTint="BF"/>
        </w:rPr>
        <w:t xml:space="preserve"> </w:t>
      </w:r>
    </w:p>
    <w:p w14:paraId="2858B006" w14:textId="4EC87E41" w:rsidR="00C22214" w:rsidRDefault="00C22214" w:rsidP="00C22214">
      <w:pPr>
        <w:pStyle w:val="Heading3"/>
        <w:rPr>
          <w:lang w:eastAsia="en-AU"/>
        </w:rPr>
      </w:pPr>
      <w:bookmarkStart w:id="53" w:name="_Toc103679298"/>
      <w:bookmarkStart w:id="54" w:name="_Toc181631314"/>
      <w:r>
        <w:rPr>
          <w:lang w:eastAsia="en-AU"/>
        </w:rPr>
        <w:t xml:space="preserve">Risk </w:t>
      </w:r>
      <w:r w:rsidR="007F6103">
        <w:rPr>
          <w:lang w:eastAsia="en-AU"/>
        </w:rPr>
        <w:t>M</w:t>
      </w:r>
      <w:r>
        <w:rPr>
          <w:lang w:eastAsia="en-AU"/>
        </w:rPr>
        <w:t xml:space="preserve">anagement </w:t>
      </w:r>
      <w:r w:rsidR="007F6103">
        <w:rPr>
          <w:lang w:eastAsia="en-AU"/>
        </w:rPr>
        <w:t>P</w:t>
      </w:r>
      <w:r>
        <w:rPr>
          <w:lang w:eastAsia="en-AU"/>
        </w:rPr>
        <w:t>lan</w:t>
      </w:r>
      <w:bookmarkEnd w:id="50"/>
      <w:bookmarkEnd w:id="53"/>
      <w:r w:rsidR="007F6103">
        <w:rPr>
          <w:lang w:eastAsia="en-AU"/>
        </w:rPr>
        <w:t xml:space="preserve"> (RMP) evaluation</w:t>
      </w:r>
      <w:bookmarkEnd w:id="54"/>
      <w:r w:rsidR="007F6103">
        <w:rPr>
          <w:lang w:eastAsia="en-AU"/>
        </w:rPr>
        <w:t xml:space="preserve"> </w:t>
      </w:r>
    </w:p>
    <w:p w14:paraId="39F3CD1D" w14:textId="455AF0B8" w:rsidR="0072003B" w:rsidRDefault="00C22214" w:rsidP="00C22214">
      <w:pPr>
        <w:rPr>
          <w:szCs w:val="22"/>
        </w:rPr>
      </w:pPr>
      <w:bookmarkStart w:id="55" w:name="_Toc247691531"/>
      <w:bookmarkStart w:id="56" w:name="_Toc314842515"/>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8B1CB5" w:rsidRPr="008B1CB5">
        <w:rPr>
          <w:szCs w:val="22"/>
        </w:rPr>
        <w:t xml:space="preserve">Table </w:t>
      </w:r>
      <w:r w:rsidR="00003B5B">
        <w:rPr>
          <w:noProof/>
          <w:szCs w:val="22"/>
        </w:rPr>
        <w:t>10</w:t>
      </w:r>
      <w:r w:rsidR="003B149C" w:rsidRPr="003B149C">
        <w:rPr>
          <w:szCs w:val="22"/>
        </w:rPr>
        <w:fldChar w:fldCharType="end"/>
      </w:r>
      <w:r w:rsidR="008C49C6" w:rsidRPr="003B149C">
        <w:rPr>
          <w:szCs w:val="22"/>
        </w:rPr>
        <w:t>.</w:t>
      </w:r>
      <w:r w:rsidR="0072003B" w:rsidRPr="00BD5DBD">
        <w:rPr>
          <w:szCs w:val="22"/>
        </w:rPr>
        <w:t xml:space="preserve"> </w:t>
      </w:r>
    </w:p>
    <w:p w14:paraId="56B51A93" w14:textId="77342049" w:rsidR="006A277A" w:rsidRDefault="00C22214" w:rsidP="00C22214">
      <w:pPr>
        <w:pStyle w:val="TableTitle"/>
      </w:pPr>
      <w:bookmarkStart w:id="57" w:name="_Ref97629131"/>
      <w:r>
        <w:t xml:space="preserve">Table </w:t>
      </w:r>
      <w:bookmarkEnd w:id="57"/>
      <w:r w:rsidR="00003B5B">
        <w:t>10</w:t>
      </w:r>
      <w:r>
        <w:t>: Summary of safety concerns</w:t>
      </w:r>
    </w:p>
    <w:tbl>
      <w:tblPr>
        <w:tblStyle w:val="TableTGAblue2023"/>
        <w:tblW w:w="9067" w:type="dxa"/>
        <w:tblLayout w:type="fixed"/>
        <w:tblLook w:val="04A0" w:firstRow="1" w:lastRow="0" w:firstColumn="1" w:lastColumn="0" w:noHBand="0" w:noVBand="1"/>
      </w:tblPr>
      <w:tblGrid>
        <w:gridCol w:w="3681"/>
        <w:gridCol w:w="5386"/>
      </w:tblGrid>
      <w:tr w:rsidR="00587822" w:rsidRPr="007A1992" w14:paraId="359A0C59" w14:textId="77777777" w:rsidTr="00587822">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067" w:type="dxa"/>
            <w:gridSpan w:val="2"/>
            <w:vMerge w:val="restart"/>
          </w:tcPr>
          <w:p w14:paraId="24B1F090" w14:textId="77777777" w:rsidR="00587822" w:rsidRPr="00127A74" w:rsidRDefault="00587822" w:rsidP="0005466A">
            <w:pPr>
              <w:spacing w:after="0" w:line="240" w:lineRule="auto"/>
              <w:jc w:val="center"/>
            </w:pPr>
            <w:r w:rsidRPr="00127A74">
              <w:t>Summary of safety concerns</w:t>
            </w:r>
          </w:p>
        </w:tc>
      </w:tr>
      <w:tr w:rsidR="00587822" w:rsidRPr="007A1992" w14:paraId="12411E68" w14:textId="77777777" w:rsidTr="00587822">
        <w:trPr>
          <w:trHeight w:val="404"/>
        </w:trPr>
        <w:tc>
          <w:tcPr>
            <w:cnfStyle w:val="001000000000" w:firstRow="0" w:lastRow="0" w:firstColumn="1" w:lastColumn="0" w:oddVBand="0" w:evenVBand="0" w:oddHBand="0" w:evenHBand="0" w:firstRowFirstColumn="0" w:firstRowLastColumn="0" w:lastRowFirstColumn="0" w:lastRowLastColumn="0"/>
            <w:tcW w:w="9067" w:type="dxa"/>
            <w:gridSpan w:val="2"/>
            <w:vMerge/>
          </w:tcPr>
          <w:p w14:paraId="71D88F2A" w14:textId="77777777" w:rsidR="00587822" w:rsidRPr="00127A74" w:rsidRDefault="00587822" w:rsidP="00127A74"/>
        </w:tc>
      </w:tr>
      <w:tr w:rsidR="00A520A5" w:rsidRPr="007A1992" w14:paraId="05599231" w14:textId="77777777" w:rsidTr="00587822">
        <w:trPr>
          <w:trHeight w:val="137"/>
        </w:trPr>
        <w:tc>
          <w:tcPr>
            <w:cnfStyle w:val="001000000000" w:firstRow="0" w:lastRow="0" w:firstColumn="1" w:lastColumn="0" w:oddVBand="0" w:evenVBand="0" w:oddHBand="0" w:evenHBand="0" w:firstRowFirstColumn="0" w:firstRowLastColumn="0" w:lastRowFirstColumn="0" w:lastRowLastColumn="0"/>
            <w:tcW w:w="3681" w:type="dxa"/>
            <w:vMerge w:val="restart"/>
          </w:tcPr>
          <w:p w14:paraId="67382D75" w14:textId="77777777" w:rsidR="00A520A5" w:rsidRPr="00FA12AF" w:rsidRDefault="00A520A5" w:rsidP="00A520A5">
            <w:pPr>
              <w:rPr>
                <w:b/>
                <w:bCs/>
                <w:szCs w:val="22"/>
              </w:rPr>
            </w:pPr>
            <w:r w:rsidRPr="00FA12AF">
              <w:rPr>
                <w:b/>
                <w:bCs/>
                <w:szCs w:val="22"/>
              </w:rPr>
              <w:t>Important identified risks</w:t>
            </w:r>
          </w:p>
        </w:tc>
        <w:tc>
          <w:tcPr>
            <w:tcW w:w="5386" w:type="dxa"/>
          </w:tcPr>
          <w:p w14:paraId="7134CBC0" w14:textId="250D3B3C" w:rsidR="00A520A5" w:rsidRPr="00FA12AF" w:rsidRDefault="00A520A5" w:rsidP="00A520A5">
            <w:pPr>
              <w:cnfStyle w:val="000000000000" w:firstRow="0" w:lastRow="0" w:firstColumn="0" w:lastColumn="0" w:oddVBand="0" w:evenVBand="0" w:oddHBand="0" w:evenHBand="0" w:firstRowFirstColumn="0" w:firstRowLastColumn="0" w:lastRowFirstColumn="0" w:lastRowLastColumn="0"/>
              <w:rPr>
                <w:szCs w:val="22"/>
              </w:rPr>
            </w:pPr>
            <w:r w:rsidRPr="00FA12AF">
              <w:rPr>
                <w:rFonts w:eastAsiaTheme="minorHAnsi"/>
                <w:szCs w:val="22"/>
              </w:rPr>
              <w:t>Cytokine Release Syndrome (CRS)</w:t>
            </w:r>
          </w:p>
        </w:tc>
      </w:tr>
      <w:tr w:rsidR="00A520A5" w:rsidRPr="007A1992" w14:paraId="3B513B31" w14:textId="77777777" w:rsidTr="00587822">
        <w:trPr>
          <w:trHeight w:val="94"/>
        </w:trPr>
        <w:tc>
          <w:tcPr>
            <w:cnfStyle w:val="001000000000" w:firstRow="0" w:lastRow="0" w:firstColumn="1" w:lastColumn="0" w:oddVBand="0" w:evenVBand="0" w:oddHBand="0" w:evenHBand="0" w:firstRowFirstColumn="0" w:firstRowLastColumn="0" w:lastRowFirstColumn="0" w:lastRowLastColumn="0"/>
            <w:tcW w:w="3681" w:type="dxa"/>
            <w:vMerge/>
          </w:tcPr>
          <w:p w14:paraId="584A0D09" w14:textId="77777777" w:rsidR="00A520A5" w:rsidRPr="00FA12AF" w:rsidRDefault="00A520A5" w:rsidP="00A520A5">
            <w:pPr>
              <w:rPr>
                <w:b/>
                <w:bCs/>
                <w:szCs w:val="22"/>
              </w:rPr>
            </w:pPr>
          </w:p>
        </w:tc>
        <w:tc>
          <w:tcPr>
            <w:tcW w:w="5386" w:type="dxa"/>
          </w:tcPr>
          <w:p w14:paraId="2BE2E4B1" w14:textId="07A643A4" w:rsidR="00A520A5" w:rsidRPr="00FA12AF" w:rsidRDefault="00A520A5" w:rsidP="00A520A5">
            <w:pPr>
              <w:cnfStyle w:val="000000000000" w:firstRow="0" w:lastRow="0" w:firstColumn="0" w:lastColumn="0" w:oddVBand="0" w:evenVBand="0" w:oddHBand="0" w:evenHBand="0" w:firstRowFirstColumn="0" w:firstRowLastColumn="0" w:lastRowFirstColumn="0" w:lastRowLastColumn="0"/>
              <w:rPr>
                <w:szCs w:val="22"/>
              </w:rPr>
            </w:pPr>
            <w:r w:rsidRPr="00FA12AF">
              <w:rPr>
                <w:rFonts w:eastAsiaTheme="minorHAnsi"/>
                <w:szCs w:val="22"/>
              </w:rPr>
              <w:t>Neurologic</w:t>
            </w:r>
            <w:r w:rsidRPr="00FA12AF">
              <w:rPr>
                <w:rFonts w:eastAsiaTheme="minorHAnsi"/>
                <w:spacing w:val="-8"/>
                <w:szCs w:val="22"/>
              </w:rPr>
              <w:t xml:space="preserve"> </w:t>
            </w:r>
            <w:r w:rsidRPr="00FA12AF">
              <w:rPr>
                <w:rFonts w:eastAsiaTheme="minorHAnsi"/>
                <w:szCs w:val="22"/>
              </w:rPr>
              <w:t>toxicity</w:t>
            </w:r>
            <w:r w:rsidRPr="00FA12AF">
              <w:rPr>
                <w:rFonts w:eastAsiaTheme="minorHAnsi"/>
                <w:spacing w:val="-8"/>
                <w:szCs w:val="22"/>
              </w:rPr>
              <w:t xml:space="preserve"> </w:t>
            </w:r>
            <w:r w:rsidRPr="00FA12AF">
              <w:rPr>
                <w:rFonts w:eastAsiaTheme="minorHAnsi"/>
                <w:szCs w:val="22"/>
              </w:rPr>
              <w:t>including</w:t>
            </w:r>
            <w:r w:rsidRPr="00FA12AF">
              <w:rPr>
                <w:rFonts w:eastAsiaTheme="minorHAnsi"/>
                <w:spacing w:val="-8"/>
                <w:szCs w:val="22"/>
              </w:rPr>
              <w:t xml:space="preserve"> </w:t>
            </w:r>
            <w:r w:rsidRPr="00FA12AF">
              <w:rPr>
                <w:rFonts w:eastAsiaTheme="minorHAnsi"/>
                <w:szCs w:val="22"/>
              </w:rPr>
              <w:t>Immune</w:t>
            </w:r>
            <w:r w:rsidRPr="00FA12AF">
              <w:rPr>
                <w:rFonts w:eastAsiaTheme="minorHAnsi"/>
                <w:spacing w:val="-8"/>
                <w:szCs w:val="22"/>
              </w:rPr>
              <w:t xml:space="preserve"> </w:t>
            </w:r>
            <w:r w:rsidRPr="00FA12AF">
              <w:rPr>
                <w:rFonts w:eastAsiaTheme="minorHAnsi"/>
                <w:szCs w:val="22"/>
              </w:rPr>
              <w:t>effector</w:t>
            </w:r>
            <w:r w:rsidRPr="00FA12AF">
              <w:rPr>
                <w:rFonts w:eastAsiaTheme="minorHAnsi"/>
                <w:spacing w:val="-8"/>
                <w:szCs w:val="22"/>
              </w:rPr>
              <w:t xml:space="preserve"> </w:t>
            </w:r>
            <w:r w:rsidRPr="00FA12AF">
              <w:rPr>
                <w:rFonts w:eastAsiaTheme="minorHAnsi"/>
                <w:szCs w:val="22"/>
              </w:rPr>
              <w:t>Cell-Associated Neurotoxicity Syndrome (ICANS)</w:t>
            </w:r>
          </w:p>
        </w:tc>
      </w:tr>
      <w:tr w:rsidR="00A520A5" w:rsidRPr="007A1992" w14:paraId="083BC492" w14:textId="77777777" w:rsidTr="00587822">
        <w:trPr>
          <w:trHeight w:val="187"/>
        </w:trPr>
        <w:tc>
          <w:tcPr>
            <w:cnfStyle w:val="001000000000" w:firstRow="0" w:lastRow="0" w:firstColumn="1" w:lastColumn="0" w:oddVBand="0" w:evenVBand="0" w:oddHBand="0" w:evenHBand="0" w:firstRowFirstColumn="0" w:firstRowLastColumn="0" w:lastRowFirstColumn="0" w:lastRowLastColumn="0"/>
            <w:tcW w:w="3681" w:type="dxa"/>
            <w:vMerge/>
          </w:tcPr>
          <w:p w14:paraId="365887B1" w14:textId="77777777" w:rsidR="00A520A5" w:rsidRPr="00FA12AF" w:rsidRDefault="00A520A5" w:rsidP="00A520A5">
            <w:pPr>
              <w:rPr>
                <w:b/>
                <w:bCs/>
                <w:szCs w:val="22"/>
              </w:rPr>
            </w:pPr>
          </w:p>
        </w:tc>
        <w:tc>
          <w:tcPr>
            <w:tcW w:w="5386" w:type="dxa"/>
          </w:tcPr>
          <w:p w14:paraId="7D5A5050" w14:textId="107DB210" w:rsidR="00A520A5" w:rsidRPr="00FA12AF" w:rsidRDefault="00A520A5" w:rsidP="00A520A5">
            <w:pPr>
              <w:cnfStyle w:val="000000000000" w:firstRow="0" w:lastRow="0" w:firstColumn="0" w:lastColumn="0" w:oddVBand="0" w:evenVBand="0" w:oddHBand="0" w:evenHBand="0" w:firstRowFirstColumn="0" w:firstRowLastColumn="0" w:lastRowFirstColumn="0" w:lastRowLastColumn="0"/>
              <w:rPr>
                <w:szCs w:val="22"/>
              </w:rPr>
            </w:pPr>
            <w:r w:rsidRPr="00FA12AF">
              <w:rPr>
                <w:rFonts w:eastAsiaTheme="minorHAnsi"/>
                <w:szCs w:val="22"/>
              </w:rPr>
              <w:t>Serious infections</w:t>
            </w:r>
          </w:p>
        </w:tc>
      </w:tr>
      <w:tr w:rsidR="00FA12AF" w:rsidRPr="007A1992" w14:paraId="176B93B3" w14:textId="77777777" w:rsidTr="002B066D">
        <w:trPr>
          <w:trHeight w:val="530"/>
        </w:trPr>
        <w:tc>
          <w:tcPr>
            <w:cnfStyle w:val="001000000000" w:firstRow="0" w:lastRow="0" w:firstColumn="1" w:lastColumn="0" w:oddVBand="0" w:evenVBand="0" w:oddHBand="0" w:evenHBand="0" w:firstRowFirstColumn="0" w:firstRowLastColumn="0" w:lastRowFirstColumn="0" w:lastRowLastColumn="0"/>
            <w:tcW w:w="3681" w:type="dxa"/>
          </w:tcPr>
          <w:p w14:paraId="77F0DB3E" w14:textId="77777777" w:rsidR="00FA12AF" w:rsidRPr="00FA12AF" w:rsidRDefault="00FA12AF" w:rsidP="00A520A5">
            <w:pPr>
              <w:rPr>
                <w:b/>
                <w:bCs/>
                <w:szCs w:val="22"/>
              </w:rPr>
            </w:pPr>
            <w:r w:rsidRPr="00FA12AF">
              <w:rPr>
                <w:b/>
                <w:bCs/>
                <w:szCs w:val="22"/>
              </w:rPr>
              <w:t>Important potential risks</w:t>
            </w:r>
          </w:p>
        </w:tc>
        <w:tc>
          <w:tcPr>
            <w:tcW w:w="5386" w:type="dxa"/>
          </w:tcPr>
          <w:p w14:paraId="6E17E14A" w14:textId="4124CE3A" w:rsidR="00FA12AF" w:rsidRPr="00FA12AF" w:rsidRDefault="00FA12AF" w:rsidP="00A520A5">
            <w:pPr>
              <w:cnfStyle w:val="000000000000" w:firstRow="0" w:lastRow="0" w:firstColumn="0" w:lastColumn="0" w:oddVBand="0" w:evenVBand="0" w:oddHBand="0" w:evenHBand="0" w:firstRowFirstColumn="0" w:firstRowLastColumn="0" w:lastRowFirstColumn="0" w:lastRowLastColumn="0"/>
              <w:rPr>
                <w:szCs w:val="22"/>
              </w:rPr>
            </w:pPr>
            <w:r w:rsidRPr="00FA12AF">
              <w:rPr>
                <w:rFonts w:eastAsiaTheme="minorHAnsi"/>
                <w:spacing w:val="-4"/>
                <w:szCs w:val="22"/>
              </w:rPr>
              <w:t>None</w:t>
            </w:r>
          </w:p>
        </w:tc>
      </w:tr>
      <w:tr w:rsidR="00FA12AF" w:rsidRPr="007A1992" w14:paraId="74C5E610" w14:textId="77777777" w:rsidTr="00FA12AF">
        <w:trPr>
          <w:trHeight w:val="524"/>
        </w:trPr>
        <w:tc>
          <w:tcPr>
            <w:cnfStyle w:val="001000000000" w:firstRow="0" w:lastRow="0" w:firstColumn="1" w:lastColumn="0" w:oddVBand="0" w:evenVBand="0" w:oddHBand="0" w:evenHBand="0" w:firstRowFirstColumn="0" w:firstRowLastColumn="0" w:lastRowFirstColumn="0" w:lastRowLastColumn="0"/>
            <w:tcW w:w="3681" w:type="dxa"/>
          </w:tcPr>
          <w:p w14:paraId="262C65E3" w14:textId="77777777" w:rsidR="00FA12AF" w:rsidRPr="00FA12AF" w:rsidRDefault="00FA12AF" w:rsidP="00A520A5">
            <w:pPr>
              <w:rPr>
                <w:b/>
                <w:bCs/>
                <w:szCs w:val="22"/>
              </w:rPr>
            </w:pPr>
            <w:r w:rsidRPr="00FA12AF">
              <w:rPr>
                <w:b/>
                <w:bCs/>
                <w:szCs w:val="22"/>
              </w:rPr>
              <w:t>Missing information</w:t>
            </w:r>
          </w:p>
        </w:tc>
        <w:tc>
          <w:tcPr>
            <w:tcW w:w="5386" w:type="dxa"/>
          </w:tcPr>
          <w:p w14:paraId="104D79CD" w14:textId="165DDA49" w:rsidR="00FA12AF" w:rsidRPr="00FA12AF" w:rsidRDefault="00FA12AF" w:rsidP="00A520A5">
            <w:pPr>
              <w:cnfStyle w:val="000000000000" w:firstRow="0" w:lastRow="0" w:firstColumn="0" w:lastColumn="0" w:oddVBand="0" w:evenVBand="0" w:oddHBand="0" w:evenHBand="0" w:firstRowFirstColumn="0" w:firstRowLastColumn="0" w:lastRowFirstColumn="0" w:lastRowLastColumn="0"/>
              <w:rPr>
                <w:szCs w:val="22"/>
              </w:rPr>
            </w:pPr>
            <w:r w:rsidRPr="00FA12AF">
              <w:rPr>
                <w:rFonts w:eastAsiaTheme="minorHAnsi"/>
                <w:szCs w:val="22"/>
              </w:rPr>
              <w:t>Long term safety</w:t>
            </w:r>
          </w:p>
        </w:tc>
      </w:tr>
    </w:tbl>
    <w:p w14:paraId="4EE78F7F" w14:textId="77777777" w:rsidR="0005466A" w:rsidRDefault="0005466A" w:rsidP="00D879EB">
      <w:pPr>
        <w:rPr>
          <w:iCs/>
        </w:rPr>
      </w:pPr>
    </w:p>
    <w:p w14:paraId="445B2677" w14:textId="55D7B27F" w:rsidR="00D879EB" w:rsidRDefault="00D879EB" w:rsidP="00D879EB">
      <w:pPr>
        <w:rPr>
          <w:iCs/>
        </w:rPr>
      </w:pPr>
      <w:r>
        <w:rPr>
          <w:iCs/>
        </w:rPr>
        <w:t xml:space="preserve">The evaluator recommended a Patient Alert Card. </w:t>
      </w:r>
    </w:p>
    <w:p w14:paraId="77DF8216" w14:textId="77777777" w:rsidR="00D879EB" w:rsidRDefault="00D879EB" w:rsidP="00D879EB">
      <w:pPr>
        <w:rPr>
          <w:iCs/>
        </w:rPr>
      </w:pPr>
      <w:r w:rsidRPr="00693FD5">
        <w:rPr>
          <w:iCs/>
        </w:rPr>
        <w:t>Matters referred to the Delegate for resolution raised in the RMP evaluation report have been incorporated into the considerations of this Delegate’s Overview, so are not discussed separately in this section.</w:t>
      </w:r>
    </w:p>
    <w:p w14:paraId="671A43E5" w14:textId="204ECC1E" w:rsidR="00C06375" w:rsidRPr="00D23139" w:rsidRDefault="00D879EB" w:rsidP="00C06375">
      <w:r>
        <w:rPr>
          <w:iCs/>
        </w:rPr>
        <w:t xml:space="preserve">The RMP evaluator has made recommendations regarding the conditions of registration. The recommendations have been </w:t>
      </w:r>
      <w:proofErr w:type="gramStart"/>
      <w:r>
        <w:rPr>
          <w:iCs/>
        </w:rPr>
        <w:t>taken into account</w:t>
      </w:r>
      <w:proofErr w:type="gramEnd"/>
      <w:r>
        <w:rPr>
          <w:iCs/>
        </w:rPr>
        <w:t xml:space="preserve">, and the proposed conditions of registration are </w:t>
      </w:r>
      <w:r w:rsidR="00FA275A">
        <w:rPr>
          <w:iCs/>
        </w:rPr>
        <w:t>included</w:t>
      </w:r>
      <w:r>
        <w:rPr>
          <w:iCs/>
        </w:rPr>
        <w:t xml:space="preserve"> in </w:t>
      </w:r>
      <w:hyperlink w:anchor="_Specific_conditions_of" w:history="1">
        <w:r w:rsidR="00C06375" w:rsidRPr="00C06375">
          <w:rPr>
            <w:rStyle w:val="Hyperlink"/>
          </w:rPr>
          <w:t>Specific conditions of registration applying to these goods</w:t>
        </w:r>
      </w:hyperlink>
      <w:r w:rsidR="00C06375">
        <w:t>.</w:t>
      </w:r>
    </w:p>
    <w:p w14:paraId="3EBC4C08" w14:textId="781F0103" w:rsidR="00A24115" w:rsidRDefault="00A24115" w:rsidP="00A24115">
      <w:pPr>
        <w:rPr>
          <w:szCs w:val="22"/>
        </w:rPr>
      </w:pPr>
      <w:bookmarkStart w:id="58" w:name="_Toc98931932"/>
      <w:bookmarkEnd w:id="55"/>
      <w:bookmarkEnd w:id="56"/>
      <w:r w:rsidRPr="00BD5DBD">
        <w:rPr>
          <w:szCs w:val="22"/>
        </w:rPr>
        <w:t>The TGA may request an updated RMP at any stage of a product's life</w:t>
      </w:r>
      <w:r w:rsidR="003623DF">
        <w:rPr>
          <w:szCs w:val="22"/>
        </w:rPr>
        <w:t xml:space="preserve"> </w:t>
      </w:r>
      <w:r w:rsidRPr="00BD5DBD">
        <w:rPr>
          <w:szCs w:val="22"/>
        </w:rPr>
        <w:t>cycle, during both the</w:t>
      </w:r>
      <w:r w:rsidR="0005466A">
        <w:rPr>
          <w:szCs w:val="22"/>
        </w:rPr>
        <w:t xml:space="preserve"> </w:t>
      </w:r>
      <w:r w:rsidR="0005466A">
        <w:rPr>
          <w:szCs w:val="22"/>
        </w:rPr>
        <w:br/>
      </w:r>
      <w:r w:rsidRPr="00BD5DBD">
        <w:rPr>
          <w:szCs w:val="22"/>
        </w:rPr>
        <w:t xml:space="preserve">pre-approval and post-approval phases. </w:t>
      </w:r>
      <w:r w:rsidR="003623DF">
        <w:rPr>
          <w:szCs w:val="22"/>
        </w:rPr>
        <w:t>More</w:t>
      </w:r>
      <w:r w:rsidRPr="00BD5DBD">
        <w:rPr>
          <w:szCs w:val="22"/>
        </w:rPr>
        <w:t xml:space="preserve"> information </w:t>
      </w:r>
      <w:r w:rsidR="003623DF">
        <w:rPr>
          <w:szCs w:val="22"/>
        </w:rPr>
        <w:t>on</w:t>
      </w:r>
      <w:r w:rsidRPr="00BD5DBD">
        <w:rPr>
          <w:szCs w:val="22"/>
        </w:rPr>
        <w:t xml:space="preserve"> the TGA’s risk management approach can be found in </w:t>
      </w:r>
      <w:hyperlink r:id="rId31" w:history="1">
        <w:r w:rsidRPr="00BD5DBD">
          <w:rPr>
            <w:rStyle w:val="Hyperlink"/>
            <w:szCs w:val="22"/>
          </w:rPr>
          <w:t>risk management plans for medicines and biologicals</w:t>
        </w:r>
      </w:hyperlink>
      <w:r w:rsidRPr="00BD5DBD">
        <w:rPr>
          <w:szCs w:val="22"/>
        </w:rPr>
        <w:t xml:space="preserve"> and </w:t>
      </w:r>
      <w:hyperlink r:id="rId32" w:history="1">
        <w:r w:rsidRPr="00BD5DBD">
          <w:rPr>
            <w:rStyle w:val="Hyperlink"/>
            <w:szCs w:val="22"/>
          </w:rPr>
          <w:t>the TGA's risk management approach</w:t>
        </w:r>
      </w:hyperlink>
      <w:r w:rsidRPr="00BD5DBD">
        <w:rPr>
          <w:szCs w:val="22"/>
        </w:rPr>
        <w:t xml:space="preserve">. Information on the </w:t>
      </w:r>
      <w:hyperlink r:id="rId33" w:history="1">
        <w:r w:rsidRPr="00BD5DBD">
          <w:rPr>
            <w:rStyle w:val="Hyperlink"/>
            <w:szCs w:val="22"/>
          </w:rPr>
          <w:t>Australia</w:t>
        </w:r>
        <w:r>
          <w:rPr>
            <w:rStyle w:val="Hyperlink"/>
            <w:szCs w:val="22"/>
          </w:rPr>
          <w:t>-</w:t>
        </w:r>
        <w:r w:rsidRPr="00BD5DBD">
          <w:rPr>
            <w:rStyle w:val="Hyperlink"/>
            <w:szCs w:val="22"/>
          </w:rPr>
          <w:t>specific annex</w:t>
        </w:r>
      </w:hyperlink>
      <w:r w:rsidRPr="00BD5DBD">
        <w:rPr>
          <w:szCs w:val="22"/>
        </w:rPr>
        <w:t xml:space="preserve"> (</w:t>
      </w:r>
      <w:hyperlink r:id="rId34" w:history="1">
        <w:r w:rsidRPr="00BD5DBD">
          <w:rPr>
            <w:rStyle w:val="Hyperlink"/>
            <w:szCs w:val="22"/>
          </w:rPr>
          <w:t>ASA</w:t>
        </w:r>
      </w:hyperlink>
      <w:r w:rsidRPr="00BD5DBD">
        <w:rPr>
          <w:szCs w:val="22"/>
        </w:rPr>
        <w:t>) can be found on the TGA website.</w:t>
      </w:r>
    </w:p>
    <w:p w14:paraId="77DE2655" w14:textId="77777777" w:rsidR="00C22214" w:rsidRDefault="00C22214" w:rsidP="000912CF">
      <w:pPr>
        <w:pStyle w:val="Heading3"/>
      </w:pPr>
      <w:bookmarkStart w:id="59" w:name="_Toc181631315"/>
      <w:r>
        <w:lastRenderedPageBreak/>
        <w:t>Delegate’s considerations</w:t>
      </w:r>
      <w:bookmarkEnd w:id="58"/>
      <w:bookmarkEnd w:id="59"/>
    </w:p>
    <w:p w14:paraId="748B09FB" w14:textId="77777777" w:rsidR="005F369B" w:rsidRDefault="005F369B" w:rsidP="005F369B">
      <w:bookmarkStart w:id="60" w:name="_Toc98931933"/>
      <w:r>
        <w:t xml:space="preserve">The Sponsor is seeking provisional registration for </w:t>
      </w:r>
      <w:proofErr w:type="spellStart"/>
      <w:r>
        <w:t>elranatamab</w:t>
      </w:r>
      <w:proofErr w:type="spellEnd"/>
      <w:r>
        <w:t xml:space="preserve"> as monotherapy in the fourth line setting for relapsed or refractory MM.</w:t>
      </w:r>
    </w:p>
    <w:p w14:paraId="150AE10A" w14:textId="77777777" w:rsidR="005F369B" w:rsidRDefault="005F369B" w:rsidP="005F369B">
      <w:r>
        <w:t>The clinical evidence is of a type consistent with preliminary clinical evidence seen with provisional registration submissions. In MM, ORR has previously been accepted in the provisional registration setting as an endpoint that demonstrates activity of a medicine and that might reasonably predict clinical benefit.</w:t>
      </w:r>
    </w:p>
    <w:p w14:paraId="5D68040A" w14:textId="77777777" w:rsidR="005F369B" w:rsidRDefault="005F369B" w:rsidP="005F369B">
      <w:r>
        <w:t xml:space="preserve">The main clinical study provides data to support use in a specific subset of MM patients: those with relapse or refractory disease whose disease had been refractory to each of an </w:t>
      </w:r>
      <w:proofErr w:type="spellStart"/>
      <w:r>
        <w:t>IMiD</w:t>
      </w:r>
      <w:proofErr w:type="spellEnd"/>
      <w:r>
        <w:t xml:space="preserve">, a PI and an anti-CD-38 antibody. </w:t>
      </w:r>
    </w:p>
    <w:p w14:paraId="7A6FD171" w14:textId="77777777" w:rsidR="005F369B" w:rsidRPr="00A6355C" w:rsidRDefault="005F369B" w:rsidP="005F369B">
      <w:pPr>
        <w:rPr>
          <w:iCs/>
        </w:rPr>
      </w:pPr>
      <w:r>
        <w:t xml:space="preserve">The main patient cohort (Cohort A) included 123 participants who had not previously received anti-BCMA therapy. At the 16 April 2023 data cut the ORR was 61% </w:t>
      </w:r>
      <w:r w:rsidRPr="00A214ED">
        <w:rPr>
          <w:iCs/>
        </w:rPr>
        <w:t xml:space="preserve">(95% CI: </w:t>
      </w:r>
      <w:r>
        <w:rPr>
          <w:iCs/>
        </w:rPr>
        <w:t>51.8</w:t>
      </w:r>
      <w:r w:rsidRPr="00A214ED">
        <w:rPr>
          <w:iCs/>
        </w:rPr>
        <w:t>%, 6</w:t>
      </w:r>
      <w:r>
        <w:rPr>
          <w:iCs/>
        </w:rPr>
        <w:t>9.6</w:t>
      </w:r>
      <w:r w:rsidRPr="00A214ED">
        <w:rPr>
          <w:iCs/>
        </w:rPr>
        <w:t>%)</w:t>
      </w:r>
      <w:r>
        <w:rPr>
          <w:iCs/>
        </w:rPr>
        <w:t>, with stringent Complete Response (</w:t>
      </w:r>
      <w:proofErr w:type="spellStart"/>
      <w:r>
        <w:rPr>
          <w:iCs/>
        </w:rPr>
        <w:t>sCR</w:t>
      </w:r>
      <w:proofErr w:type="spellEnd"/>
      <w:r>
        <w:rPr>
          <w:iCs/>
        </w:rPr>
        <w:t>) and Complete Response (CR) achieved by 15.4% and 20.3% of participants, respectively</w:t>
      </w:r>
      <w:r w:rsidRPr="00A214ED">
        <w:rPr>
          <w:iCs/>
        </w:rPr>
        <w:t xml:space="preserve">. The median duration of response (DOR) was not </w:t>
      </w:r>
      <w:r>
        <w:rPr>
          <w:iCs/>
        </w:rPr>
        <w:t>estimable</w:t>
      </w:r>
      <w:r w:rsidRPr="00A214ED">
        <w:rPr>
          <w:iCs/>
        </w:rPr>
        <w:t>.</w:t>
      </w:r>
      <w:r>
        <w:rPr>
          <w:iCs/>
        </w:rPr>
        <w:t xml:space="preserve"> The </w:t>
      </w:r>
      <w:r>
        <w:t xml:space="preserve">additional follow up from the October 2022 data cut of the same study shows for some participants responses deepen with time. Although of lesser magnitude, there was evidence of benefit in patients with extramedullary disease. A diminished response is not unexpected in this subgroup, based on historical data. MRD negativity was not evaluable for all participants, but the outcomes were encouraging and supportive of the clinical benefit of </w:t>
      </w:r>
      <w:proofErr w:type="spellStart"/>
      <w:r>
        <w:t>elranatamab</w:t>
      </w:r>
      <w:proofErr w:type="spellEnd"/>
      <w:r>
        <w:t xml:space="preserve"> in this highly refractory cohort of MM patients.</w:t>
      </w:r>
    </w:p>
    <w:p w14:paraId="2EC2C5C7" w14:textId="77777777" w:rsidR="005F369B" w:rsidRDefault="005F369B" w:rsidP="005F369B">
      <w:r>
        <w:t xml:space="preserve">An important clinical question is whether there is activity in patients who have already received a BCMA-directed therapy. Cohort B addresses this question.  Data from the 64 enrolled participants showed an ORR of 34.4% (95% CI: 22.9, 47.3), with 10.9% achieving CR or </w:t>
      </w:r>
      <w:proofErr w:type="spellStart"/>
      <w:r>
        <w:t>sCR</w:t>
      </w:r>
      <w:proofErr w:type="spellEnd"/>
      <w:r>
        <w:t>, and 32.8% achieving VGPR or better after a median (range) follow up of 13.42 months (2.43, 16.95). The ORR in this cohort is greater than the prespecified threshold of ORR of 15%. The proposed indication is silent on prior anti-BCMA treatment, and this is appropriate given the response rate in this cohort.</w:t>
      </w:r>
    </w:p>
    <w:p w14:paraId="012A2229" w14:textId="77777777" w:rsidR="005F369B" w:rsidRDefault="005F369B" w:rsidP="005F369B">
      <w:r>
        <w:t>The impact of dose interruption can be an uncertainty with early clinical data. Dose interruptions occurred for over 70% of participants, and dose interruptions are likely during treatment in the clinical setting. The estimate of clinical benefit (ORR) shows a sufficient effect size even with those dose interruptions to provide preliminary evidence of efficacy.</w:t>
      </w:r>
    </w:p>
    <w:p w14:paraId="486D4195" w14:textId="77777777" w:rsidR="005F369B" w:rsidRDefault="005F369B" w:rsidP="005F369B">
      <w:r>
        <w:t xml:space="preserve">Uncertainties with the efficacy include, but are not limited to, uncertain durability of effect. Study C1071003 is ongoing, and more data will become available with time. It is uncertain where </w:t>
      </w:r>
      <w:proofErr w:type="spellStart"/>
      <w:r>
        <w:t>elranatamab</w:t>
      </w:r>
      <w:proofErr w:type="spellEnd"/>
      <w:r>
        <w:t xml:space="preserve"> should be optimally placed in the clinical algorithm for multiple myeloma, and whether its use places limitations on next subsequent therapy is yet to be fully characterised. These are limitations to the efficacy conclusions that can be drawn but this level of uncertainty is acceptable in the setting of provisional registration. </w:t>
      </w:r>
    </w:p>
    <w:p w14:paraId="2279BDEF" w14:textId="77777777" w:rsidR="005F369B" w:rsidRDefault="005F369B" w:rsidP="005F369B">
      <w:r>
        <w:t>The safety assessment of the proposed dosing regimen and proposed population was derived from the 187 participants in Study C1071003, of whom 42% had received at least 6 months treatment. All patients experienced at least one adverse event, Grade 3 or 4 events were reported in 68.4%, and there were fatal events unrelated to disease progression.</w:t>
      </w:r>
    </w:p>
    <w:p w14:paraId="5D366C33" w14:textId="77777777" w:rsidR="0005466A" w:rsidRDefault="005F369B" w:rsidP="005F369B">
      <w:r>
        <w:t xml:space="preserve">Based on the mechanism of action and evidence of clinical safety from related medicines, </w:t>
      </w:r>
      <w:r w:rsidRPr="005929A8">
        <w:t>CRS</w:t>
      </w:r>
      <w:r>
        <w:t xml:space="preserve"> and ICANS are expected safety issues with </w:t>
      </w:r>
      <w:proofErr w:type="spellStart"/>
      <w:r>
        <w:t>elranatamab</w:t>
      </w:r>
      <w:proofErr w:type="spellEnd"/>
      <w:r>
        <w:t>. Both are potentially life</w:t>
      </w:r>
      <w:r w:rsidR="0078342B">
        <w:t>-</w:t>
      </w:r>
      <w:r>
        <w:t xml:space="preserve">threatening events. Mitigation strategies that will continue with the use of </w:t>
      </w:r>
      <w:proofErr w:type="spellStart"/>
      <w:r>
        <w:t>elranatamab</w:t>
      </w:r>
      <w:proofErr w:type="spellEnd"/>
      <w:r>
        <w:t xml:space="preserve"> outside the clinical trial setting include step up dosing at initiation of treatment and if there is a dose delay. Step-up dosing after a dose delay is discussed in a later part of this session. Pre-treatment prior to step-up dosing and the first full dose of </w:t>
      </w:r>
      <w:proofErr w:type="spellStart"/>
      <w:r>
        <w:t>elranatamab</w:t>
      </w:r>
      <w:proofErr w:type="spellEnd"/>
      <w:r>
        <w:t xml:space="preserve"> is recommended in the draft PI. </w:t>
      </w:r>
    </w:p>
    <w:p w14:paraId="33783FBC" w14:textId="5876B624" w:rsidR="005F369B" w:rsidRPr="005929A8" w:rsidRDefault="005F369B" w:rsidP="005F369B">
      <w:r>
        <w:lastRenderedPageBreak/>
        <w:t>Warnings statements in the PI and CMI and a Patient Alert Card are all proposed as risk mitigation strategies. A major difference between the risk mitigation in clinical trials and the risk mitigation in clinical use is that there is no recommendation for in-patient care during the initiation of treatment. Whether risk mitigation and risk communication strategies are adequate for the more frequently encountered event of CRS is discussed further in this overview and is the subject of the Delegate’s question to the ACM.</w:t>
      </w:r>
    </w:p>
    <w:p w14:paraId="2731D4D5" w14:textId="77777777" w:rsidR="005F369B" w:rsidRDefault="005F369B" w:rsidP="005F369B">
      <w:r>
        <w:t xml:space="preserve">Among other events, </w:t>
      </w:r>
      <w:proofErr w:type="spellStart"/>
      <w:r>
        <w:t>cytopenias</w:t>
      </w:r>
      <w:proofErr w:type="spellEnd"/>
      <w:r>
        <w:t xml:space="preserve"> were common. The sponsor does not consider these to be a specific off-target effect, rather a consequence of the targeting of BCMA expressing cells in the bone marrow. Pro-inflammatory chemokine and cytokine production as part of the local immune response can result in sequestration or the lack of production of neutrophils and hence reduced circulating cells. The sponsor also notes contributions to bone marrow health in general from patient age, secondary infection, disease burden and residual bone marrow toxicities from prior multiple myeloma therapies. The Delegate notes </w:t>
      </w:r>
      <w:proofErr w:type="spellStart"/>
      <w:r>
        <w:t>cytopenias</w:t>
      </w:r>
      <w:proofErr w:type="spellEnd"/>
      <w:r>
        <w:t xml:space="preserve"> are also a consequence of disease infiltration from myeloma cells. Febrile neutropenia occurred in 2.7% of participants. Infections included pneumonia and urosepsis. Septic shock and infection associated with death were reported in small numbers. </w:t>
      </w:r>
      <w:proofErr w:type="spellStart"/>
      <w:r>
        <w:t>Cytopenias</w:t>
      </w:r>
      <w:proofErr w:type="spellEnd"/>
      <w:r>
        <w:t xml:space="preserve"> and their management are familiar to health professionals assessing patients with haematological malignancies under treatment. The proposed PI statements appear adequate to mitigate this risk. </w:t>
      </w:r>
    </w:p>
    <w:p w14:paraId="3DBEB86F" w14:textId="77777777" w:rsidR="005F369B" w:rsidRDefault="005F369B" w:rsidP="005F369B">
      <w:proofErr w:type="spellStart"/>
      <w:r>
        <w:t>Elranatamab</w:t>
      </w:r>
      <w:proofErr w:type="spellEnd"/>
      <w:r>
        <w:t xml:space="preserve"> does not appear to be strongly immunogenic. There are insufficient data to fully understand any impact of ADAs and neutralising antibodies on efficacy or safety currently.</w:t>
      </w:r>
    </w:p>
    <w:p w14:paraId="58B657FC" w14:textId="3FBCFF88" w:rsidR="005F369B" w:rsidRDefault="005F369B" w:rsidP="00B5779C">
      <w:pPr>
        <w:pStyle w:val="Heading5"/>
      </w:pPr>
      <w:r>
        <w:t xml:space="preserve">Clinical </w:t>
      </w:r>
      <w:r w:rsidR="00FA275A">
        <w:t>d</w:t>
      </w:r>
      <w:r>
        <w:t xml:space="preserve">evelopment </w:t>
      </w:r>
      <w:r w:rsidR="00FA275A">
        <w:t>p</w:t>
      </w:r>
      <w:r>
        <w:t>lan</w:t>
      </w:r>
    </w:p>
    <w:p w14:paraId="665A3A55" w14:textId="3E275875" w:rsidR="005F369B" w:rsidRDefault="005F369B" w:rsidP="005F369B">
      <w:r>
        <w:t>Study C1071005 (Magneti</w:t>
      </w:r>
      <w:r w:rsidR="00295497">
        <w:t>s</w:t>
      </w:r>
      <w:r>
        <w:t xml:space="preserve">MM-5) is the main study proposed to confirm the clinical benefit of </w:t>
      </w:r>
      <w:proofErr w:type="spellStart"/>
      <w:r>
        <w:t>elranatamab</w:t>
      </w:r>
      <w:proofErr w:type="spellEnd"/>
      <w:r>
        <w:t xml:space="preserve"> in RRMM. It is an open-label, 3-arm, multicentre, randomised Phase 3 study to evaluate the efficacy and safety of </w:t>
      </w:r>
      <w:proofErr w:type="spellStart"/>
      <w:r>
        <w:t>elranatamab</w:t>
      </w:r>
      <w:proofErr w:type="spellEnd"/>
      <w:r>
        <w:t xml:space="preserve"> monotherapy vs </w:t>
      </w:r>
      <w:proofErr w:type="spellStart"/>
      <w:r>
        <w:t>elranatamab</w:t>
      </w:r>
      <w:proofErr w:type="spellEnd"/>
      <w:r>
        <w:t xml:space="preserve"> + daratumumab vs daratumumab + pomalidomide + dexamethasone in patients with RRMM who have received at least 1 prior line of therapy including lenalidomide and a proteasome inhibitor. </w:t>
      </w:r>
    </w:p>
    <w:p w14:paraId="2E7CBC47" w14:textId="29022072" w:rsidR="005F369B" w:rsidRDefault="005F369B" w:rsidP="005F369B">
      <w:r>
        <w:t xml:space="preserve">The study will be conducted in </w:t>
      </w:r>
      <w:r w:rsidR="00AB1285">
        <w:t>2</w:t>
      </w:r>
      <w:r>
        <w:t xml:space="preserve"> Parts. Part 1 will examine dose limiting toxicities, safety, and tolerability of </w:t>
      </w:r>
      <w:proofErr w:type="spellStart"/>
      <w:r>
        <w:t>elranatamab</w:t>
      </w:r>
      <w:proofErr w:type="spellEnd"/>
      <w:r>
        <w:t xml:space="preserve"> + daratumumab to determine the recommended phase 3 doses (RP3D) for the combination in Part 2 of the study (RP3D). </w:t>
      </w:r>
    </w:p>
    <w:p w14:paraId="024FAAC4" w14:textId="77777777" w:rsidR="005F369B" w:rsidRDefault="005F369B" w:rsidP="005F369B">
      <w:r>
        <w:t xml:space="preserve">The primary endpoint of Part 2 will be PFS per BICR per IMWG for </w:t>
      </w:r>
      <w:proofErr w:type="spellStart"/>
      <w:r>
        <w:t>elranatamab</w:t>
      </w:r>
      <w:proofErr w:type="spellEnd"/>
      <w:r>
        <w:t xml:space="preserve"> monotherapy (Arm A) vs daratumumab + pomalidomide + dexamethasone (Arm C). </w:t>
      </w:r>
      <w:proofErr w:type="spellStart"/>
      <w:r>
        <w:t>Elranatamab</w:t>
      </w:r>
      <w:proofErr w:type="spellEnd"/>
      <w:r>
        <w:t xml:space="preserve"> (Arm B) vs Arm C will be an exploratory analysis.</w:t>
      </w:r>
    </w:p>
    <w:p w14:paraId="2EE20C1F" w14:textId="77777777" w:rsidR="005F369B" w:rsidRDefault="005F369B" w:rsidP="005F369B">
      <w:r>
        <w:t xml:space="preserve">The Clinical Study Plan is dated February 2023. It has a projected primary completion date of the study of Q4 2024, and projected last patient last visit of Q4 2025. The study was underway at that time and 281 patients had been randomised. </w:t>
      </w:r>
    </w:p>
    <w:p w14:paraId="30F7BF3B" w14:textId="77777777" w:rsidR="005F369B" w:rsidRDefault="005F369B" w:rsidP="005F369B">
      <w:r>
        <w:t xml:space="preserve">A specific safety concern has arisen in Arm B of the study. In early cycles increased mortality in compared the comparator Arm C, mostly due to infection was noted. This arm is closed to further enrolment. Monotherapy with </w:t>
      </w:r>
      <w:proofErr w:type="spellStart"/>
      <w:r>
        <w:t>elranatamab</w:t>
      </w:r>
      <w:proofErr w:type="spellEnd"/>
      <w:r>
        <w:t xml:space="preserve"> was to be offered to patients who had completed fewer than three cycles of therapy, and ongoing randomised Arm B treatment would continue only if patients remained on treatment, if they had already successfully completed at least 3 months of study treatment, and re-signed consent. </w:t>
      </w:r>
    </w:p>
    <w:p w14:paraId="2B6FF63A" w14:textId="234973B7" w:rsidR="005F369B" w:rsidRDefault="005F369B" w:rsidP="005F369B">
      <w:r>
        <w:t xml:space="preserve">The sponsor will be asked to provide an update on the enrolment of the study as a whole and status of Arm B of the study. A comparison of Arm A with Arm C could be acceptable approach to the confirmation of clinical benefit. </w:t>
      </w:r>
    </w:p>
    <w:p w14:paraId="71BA47AD" w14:textId="314F3963" w:rsidR="005F369B" w:rsidRPr="00B5779C" w:rsidRDefault="005F369B" w:rsidP="00B5779C">
      <w:pPr>
        <w:pStyle w:val="Heading5"/>
      </w:pPr>
      <w:r w:rsidRPr="00B5779C">
        <w:lastRenderedPageBreak/>
        <w:t xml:space="preserve">Key </w:t>
      </w:r>
      <w:r w:rsidR="00FA275A">
        <w:t>is</w:t>
      </w:r>
      <w:r w:rsidRPr="00B5779C">
        <w:t xml:space="preserve">sues for the </w:t>
      </w:r>
      <w:r w:rsidR="00FA275A">
        <w:t>s</w:t>
      </w:r>
      <w:r w:rsidRPr="00B5779C">
        <w:t>ubmission</w:t>
      </w:r>
    </w:p>
    <w:p w14:paraId="125CAFAA" w14:textId="6C2895E2" w:rsidR="005F369B" w:rsidRDefault="005F369B" w:rsidP="005F369B">
      <w:r>
        <w:t>Based solely on the assessments of the clinical evidence of benefit, the clinical evidence of harms</w:t>
      </w:r>
      <w:r w:rsidR="00E30E54">
        <w:t>,</w:t>
      </w:r>
      <w:r>
        <w:t xml:space="preserve"> and the uncertainty associated with each in the context of the provisional registration</w:t>
      </w:r>
      <w:r w:rsidR="00E30E54">
        <w:t>,</w:t>
      </w:r>
      <w:r>
        <w:t xml:space="preserve"> the Delegate finds there is sufficient clinical benefit in this highly refractory MM population to outweigh the uncertainties and harms. </w:t>
      </w:r>
    </w:p>
    <w:p w14:paraId="08CBB67F" w14:textId="77777777" w:rsidR="005F369B" w:rsidRDefault="005F369B" w:rsidP="005F369B">
      <w:r>
        <w:t xml:space="preserve">However, the Delegate notes there are outstanding issues for the submission that require resolution, including the quality issue that currently precludes approval. </w:t>
      </w:r>
    </w:p>
    <w:p w14:paraId="0A24E049" w14:textId="1ACED800" w:rsidR="005F369B" w:rsidRDefault="005F369B" w:rsidP="00B5779C">
      <w:pPr>
        <w:pStyle w:val="Heading5"/>
      </w:pPr>
      <w:r>
        <w:t xml:space="preserve">Unresolved </w:t>
      </w:r>
      <w:r w:rsidR="00FA275A">
        <w:t>q</w:t>
      </w:r>
      <w:r>
        <w:t xml:space="preserve">uality </w:t>
      </w:r>
      <w:r w:rsidR="00FA275A">
        <w:t>i</w:t>
      </w:r>
      <w:r>
        <w:t xml:space="preserve">ssues </w:t>
      </w:r>
      <w:r w:rsidR="00FA275A">
        <w:t>p</w:t>
      </w:r>
      <w:r>
        <w:t xml:space="preserve">recluding </w:t>
      </w:r>
      <w:r w:rsidR="00FA275A">
        <w:t>a</w:t>
      </w:r>
      <w:r>
        <w:t>pproval</w:t>
      </w:r>
    </w:p>
    <w:p w14:paraId="43BD0232" w14:textId="349F6728" w:rsidR="005F369B" w:rsidRPr="008A5C2B" w:rsidRDefault="005F369B" w:rsidP="005F369B">
      <w:r>
        <w:rPr>
          <w:iCs/>
        </w:rPr>
        <w:t>The preliminary nature of the data for provisional registration is limited to the clinical data. The quality of the medicine must be established in the same way that it is established for a fully registered medicine. GMP certification for all manufacturing sites is a requirement to satisfactorily establish the quality of the product. GMP certification is not in place for all sites</w:t>
      </w:r>
      <w:r w:rsidR="004D1FD4">
        <w:rPr>
          <w:iCs/>
        </w:rPr>
        <w:t>,</w:t>
      </w:r>
      <w:r>
        <w:rPr>
          <w:iCs/>
        </w:rPr>
        <w:t xml:space="preserve"> and this is needed to establish quality and for the submission to proceed.</w:t>
      </w:r>
    </w:p>
    <w:p w14:paraId="450A226A" w14:textId="77777777" w:rsidR="005F369B" w:rsidRDefault="005F369B" w:rsidP="00B5779C">
      <w:pPr>
        <w:pStyle w:val="Heading5"/>
      </w:pPr>
      <w:r>
        <w:t>Boxed Warning for CRS</w:t>
      </w:r>
    </w:p>
    <w:p w14:paraId="2BB220B9" w14:textId="77777777" w:rsidR="007A433B" w:rsidRDefault="005F369B" w:rsidP="005F369B">
      <w:r w:rsidRPr="00F804E9">
        <w:t>The US FDA has required a REMS with a restricted access program</w:t>
      </w:r>
      <w:r>
        <w:t xml:space="preserve"> that restricts distribution of, and access to </w:t>
      </w:r>
      <w:proofErr w:type="spellStart"/>
      <w:r>
        <w:t>elranatamab</w:t>
      </w:r>
      <w:proofErr w:type="spellEnd"/>
      <w:r>
        <w:t xml:space="preserve"> that includes dispensing only by trained pharmacists and prescription only by trained physicians. </w:t>
      </w:r>
    </w:p>
    <w:p w14:paraId="30D705B7" w14:textId="6A35C421" w:rsidR="005F369B" w:rsidRDefault="005F369B" w:rsidP="005F369B">
      <w:proofErr w:type="spellStart"/>
      <w:r>
        <w:t>Elranatamab</w:t>
      </w:r>
      <w:proofErr w:type="spellEnd"/>
      <w:r>
        <w:t xml:space="preserve"> is a new, subcutaneously administered medicine with significant and potentially life-threatening toxicities that may begin with non-specific symptoms and where a high index of suspicion is needed to recognise these conditions early. The health professionals first assessing and treating patients in an out-patient and emergency setting are unlikely to be representatives of the patient’s haematology team</w:t>
      </w:r>
      <w:r w:rsidR="000830A7">
        <w:t>. T</w:t>
      </w:r>
      <w:r>
        <w:t>herefore</w:t>
      </w:r>
      <w:r w:rsidR="00634461">
        <w:t>,</w:t>
      </w:r>
      <w:r>
        <w:t xml:space="preserve"> the Elrexfio PI needs to quickly alert treating health professionals to the urgently actionable and potentially unexpected adverse events for </w:t>
      </w:r>
      <w:proofErr w:type="spellStart"/>
      <w:r>
        <w:t>elranatamab</w:t>
      </w:r>
      <w:proofErr w:type="spellEnd"/>
      <w:r>
        <w:t xml:space="preserve">. </w:t>
      </w:r>
    </w:p>
    <w:p w14:paraId="440302B7" w14:textId="77777777" w:rsidR="005F369B" w:rsidRDefault="005F369B" w:rsidP="005F369B">
      <w:r>
        <w:t xml:space="preserve">There is a Risk Management Plan. Routine risk minimisation through the PI and CMI and additional risk minimisation through a Patient Alert Card underpin the risk mitigation for this risk. The evaluator proposed a boxed warning, but the Sponsor has expressed a view that the currently proposed strategies to are sufficient to reduce the risk without one, referencing the absence of this requirement in the EU. </w:t>
      </w:r>
    </w:p>
    <w:p w14:paraId="428BFA07" w14:textId="6B9E20E9" w:rsidR="005F369B" w:rsidRPr="00051461" w:rsidRDefault="005F369B" w:rsidP="005F369B">
      <w:r>
        <w:t>The PI recommends the patient remain within proximity of a healthcare facility to allow monitoring for 48 hours.</w:t>
      </w:r>
      <w:r>
        <w:rPr>
          <w:iCs/>
        </w:rPr>
        <w:t xml:space="preserve"> </w:t>
      </w:r>
      <w:r>
        <w:t>In the Australian context</w:t>
      </w:r>
      <w:r w:rsidR="007A433B">
        <w:t>,</w:t>
      </w:r>
      <w:r>
        <w:t xml:space="preserve"> that instruction is ambiguous as proximity is a relative concept. The nearest healthcare facility may not be the healthcare facility that administered the </w:t>
      </w:r>
      <w:proofErr w:type="spellStart"/>
      <w:r>
        <w:t>elranatamab</w:t>
      </w:r>
      <w:proofErr w:type="spellEnd"/>
      <w:r>
        <w:t xml:space="preserve"> dose, and not all healthcare facilities have staff trained in the recognition and management of CRS or are equipped to deal with it. The Patient Card and warnings in the CMI are both risk mitigation tools, but both have limitations. The ACM advised a boxed warning for CRS for </w:t>
      </w:r>
      <w:proofErr w:type="spellStart"/>
      <w:r>
        <w:t>teclistamab</w:t>
      </w:r>
      <w:proofErr w:type="spellEnd"/>
      <w:r>
        <w:t>,</w:t>
      </w:r>
      <w:r w:rsidRPr="00BB5592">
        <w:t xml:space="preserve"> </w:t>
      </w:r>
      <w:r>
        <w:t xml:space="preserve">and one is in place. Within the limitations of cross-trial comparison, the reasons for concern given the context of use appear </w:t>
      </w:r>
      <w:proofErr w:type="gramStart"/>
      <w:r>
        <w:t>similar to</w:t>
      </w:r>
      <w:proofErr w:type="gramEnd"/>
      <w:r>
        <w:t xml:space="preserve"> those for </w:t>
      </w:r>
      <w:proofErr w:type="spellStart"/>
      <w:r>
        <w:t>teclistamab</w:t>
      </w:r>
      <w:proofErr w:type="spellEnd"/>
      <w:r>
        <w:t xml:space="preserve">, and the Delegate does not see a compelling case to manage the risk communication for these </w:t>
      </w:r>
      <w:r w:rsidR="001B160C">
        <w:t>2</w:t>
      </w:r>
      <w:r>
        <w:t xml:space="preserve"> medicines differently. ACM advice</w:t>
      </w:r>
      <w:r w:rsidR="001B160C">
        <w:t xml:space="preserve"> is sought</w:t>
      </w:r>
      <w:r>
        <w:t xml:space="preserve"> on this matter</w:t>
      </w:r>
      <w:r w:rsidR="001B160C">
        <w:t>.</w:t>
      </w:r>
    </w:p>
    <w:p w14:paraId="20567B01" w14:textId="77777777" w:rsidR="00FC1691" w:rsidRDefault="00FC1691">
      <w:pPr>
        <w:rPr>
          <w:rFonts w:ascii="Arial" w:eastAsia="Times New Roman" w:hAnsi="Arial" w:cs="Times New Roman"/>
          <w:b/>
          <w:bCs/>
          <w:i/>
          <w:color w:val="001871"/>
          <w:sz w:val="26"/>
          <w:szCs w:val="26"/>
        </w:rPr>
      </w:pPr>
      <w:r>
        <w:br w:type="page"/>
      </w:r>
    </w:p>
    <w:p w14:paraId="0F03A654" w14:textId="70705414" w:rsidR="005F369B" w:rsidRDefault="005F369B" w:rsidP="00B5779C">
      <w:pPr>
        <w:pStyle w:val="Heading5"/>
      </w:pPr>
      <w:r>
        <w:lastRenderedPageBreak/>
        <w:t>Indicatio</w:t>
      </w:r>
      <w:r w:rsidR="003E05C7">
        <w:t>n</w:t>
      </w:r>
    </w:p>
    <w:p w14:paraId="1A109872" w14:textId="77777777" w:rsidR="005F369B" w:rsidRDefault="005F369B" w:rsidP="005F369B">
      <w:r>
        <w:t>The sponsor proposes the following indication:</w:t>
      </w:r>
    </w:p>
    <w:p w14:paraId="09B4FC2C" w14:textId="77777777" w:rsidR="005F369B" w:rsidRPr="00532249" w:rsidRDefault="005F369B" w:rsidP="005F369B">
      <w:pPr>
        <w:ind w:left="720"/>
        <w:rPr>
          <w:i/>
          <w:iCs/>
        </w:rPr>
      </w:pPr>
      <w:r w:rsidRPr="00532249">
        <w:rPr>
          <w:i/>
          <w:iCs/>
        </w:rPr>
        <w:t>ELREXFIO has provisional approval in Australia and is indicated for the treatment of adult patients with relapsed or refractory multiple myeloma who have received at least 3 prior therapies, including a proteasome inhibitor, an immunomodulatory agent and an anti-CD-38 monoclonal antibody.</w:t>
      </w:r>
    </w:p>
    <w:p w14:paraId="7F3AE4A5" w14:textId="77777777" w:rsidR="005F369B" w:rsidRPr="00532249" w:rsidRDefault="005F369B" w:rsidP="005F369B">
      <w:pPr>
        <w:ind w:left="720"/>
        <w:rPr>
          <w:i/>
          <w:iCs/>
        </w:rPr>
      </w:pPr>
      <w:r w:rsidRPr="00532249">
        <w:rPr>
          <w:i/>
          <w:iCs/>
        </w:rPr>
        <w:t xml:space="preserve">The decision to approve this indication has been made </w:t>
      </w:r>
      <w:proofErr w:type="gramStart"/>
      <w:r w:rsidRPr="00532249">
        <w:rPr>
          <w:i/>
          <w:iCs/>
        </w:rPr>
        <w:t>on the basis of</w:t>
      </w:r>
      <w:proofErr w:type="gramEnd"/>
      <w:r w:rsidRPr="00532249">
        <w:rPr>
          <w:i/>
          <w:iCs/>
        </w:rPr>
        <w:t xml:space="preserve"> the overall response rate in a single arm study. Continued approval of this indication depends on verification and description of benefit in confirmatory trials.</w:t>
      </w:r>
    </w:p>
    <w:p w14:paraId="116284C8" w14:textId="544FBEBD" w:rsidR="005F369B" w:rsidRDefault="005F369B" w:rsidP="005F369B">
      <w:r>
        <w:t xml:space="preserve">The proposed indication requires the patient to have received </w:t>
      </w:r>
      <w:r w:rsidR="003E05C7">
        <w:t>3</w:t>
      </w:r>
      <w:r>
        <w:t xml:space="preserve"> prior therapies. Consistent with previous indications in this setting, this aspect of the indication statement is understood to reflect the need to have received at least </w:t>
      </w:r>
      <w:r w:rsidR="003E05C7">
        <w:t>3</w:t>
      </w:r>
      <w:r>
        <w:t xml:space="preserve"> lines of therapy and at least </w:t>
      </w:r>
      <w:r w:rsidR="003E05C7">
        <w:t>3</w:t>
      </w:r>
      <w:r>
        <w:t xml:space="preserve"> classes of therapy. </w:t>
      </w:r>
    </w:p>
    <w:p w14:paraId="0B8CA36F" w14:textId="77777777" w:rsidR="005F369B" w:rsidRDefault="005F369B" w:rsidP="005F369B">
      <w:r>
        <w:t xml:space="preserve">In Study C1071003, 95.6% of the studied population were refractory to their last treatment. This should be reflected in the indication statement. </w:t>
      </w:r>
    </w:p>
    <w:p w14:paraId="2D668456" w14:textId="0E5FCEB2" w:rsidR="005F369B" w:rsidRDefault="005F369B" w:rsidP="005F369B">
      <w:r>
        <w:t>In further support of this position, the Delegate notes the Sponsor’s statement in a response to another Project ORBIS partner dated 14 August 2023</w:t>
      </w:r>
      <w:r w:rsidR="003E05C7">
        <w:t xml:space="preserve">, </w:t>
      </w:r>
      <w:r>
        <w:t xml:space="preserve">which suggests the Elrexfio indication should </w:t>
      </w:r>
      <w:r w:rsidR="003E05C7">
        <w:t>be</w:t>
      </w:r>
      <w:r>
        <w:t>:</w:t>
      </w:r>
    </w:p>
    <w:p w14:paraId="50EF94C2" w14:textId="1EDFDFAC" w:rsidR="005F369B" w:rsidRPr="00771C64" w:rsidRDefault="00771C64" w:rsidP="004B4FD3">
      <w:pPr>
        <w:ind w:left="357"/>
        <w:rPr>
          <w:rFonts w:cs="Calibri"/>
          <w:i/>
          <w:iCs/>
          <w:szCs w:val="22"/>
        </w:rPr>
      </w:pPr>
      <w:proofErr w:type="spellStart"/>
      <w:r w:rsidRPr="00771C64">
        <w:rPr>
          <w:rFonts w:cs="Calibri"/>
          <w:i/>
          <w:iCs/>
          <w:szCs w:val="22"/>
        </w:rPr>
        <w:t>E</w:t>
      </w:r>
      <w:r w:rsidR="005F369B" w:rsidRPr="00771C64">
        <w:rPr>
          <w:rFonts w:cs="Calibri"/>
          <w:i/>
          <w:iCs/>
          <w:szCs w:val="22"/>
        </w:rPr>
        <w:t>lfexfio</w:t>
      </w:r>
      <w:proofErr w:type="spellEnd"/>
      <w:r w:rsidR="005F369B" w:rsidRPr="00771C64">
        <w:rPr>
          <w:rFonts w:cs="Calibri"/>
          <w:i/>
          <w:iCs/>
          <w:szCs w:val="22"/>
        </w:rPr>
        <w:t xml:space="preserve"> (</w:t>
      </w:r>
      <w:proofErr w:type="spellStart"/>
      <w:r w:rsidR="005F369B" w:rsidRPr="00771C64">
        <w:rPr>
          <w:rFonts w:cs="Calibri"/>
          <w:i/>
          <w:iCs/>
          <w:szCs w:val="22"/>
        </w:rPr>
        <w:t>elranatamab</w:t>
      </w:r>
      <w:proofErr w:type="spellEnd"/>
      <w:r w:rsidR="005F369B" w:rsidRPr="00771C64">
        <w:rPr>
          <w:rFonts w:cs="Calibri"/>
          <w:i/>
          <w:iCs/>
          <w:szCs w:val="22"/>
        </w:rPr>
        <w:t xml:space="preserve"> solution for injection is a B-cell maturation antigen (BCMA)-directed and CD3-directed bispecific antibody for:</w:t>
      </w:r>
    </w:p>
    <w:p w14:paraId="122AB530" w14:textId="0D948EF2" w:rsidR="005F369B" w:rsidRPr="007A433B" w:rsidRDefault="005F369B" w:rsidP="007A433B">
      <w:pPr>
        <w:adjustRightInd w:val="0"/>
        <w:snapToGrid w:val="0"/>
        <w:spacing w:before="180" w:after="180" w:line="240" w:lineRule="atLeast"/>
        <w:ind w:left="360"/>
        <w:rPr>
          <w:rFonts w:cs="Calibri"/>
          <w:i/>
          <w:iCs/>
          <w:szCs w:val="22"/>
        </w:rPr>
      </w:pPr>
      <w:r w:rsidRPr="007A433B">
        <w:rPr>
          <w:rFonts w:cs="Calibri"/>
          <w:i/>
          <w:iCs/>
          <w:szCs w:val="22"/>
        </w:rPr>
        <w:t>The treatment of adult patients with relapsed or refractory multiple myeloma who have received at least 3 prior therapies including a proteasome inhibitor, an immunomodulatory agent and an anti-CD38 antibody and who have demonstrated disease progression on the last therapy</w:t>
      </w:r>
      <w:r w:rsidR="005E6B1D" w:rsidRPr="007A433B">
        <w:rPr>
          <w:rFonts w:cs="Calibri"/>
          <w:i/>
          <w:iCs/>
          <w:szCs w:val="22"/>
        </w:rPr>
        <w:t>.</w:t>
      </w:r>
    </w:p>
    <w:p w14:paraId="0B75BCB2" w14:textId="75E66E3F" w:rsidR="005F369B" w:rsidRDefault="005F369B" w:rsidP="005E6B1D">
      <w:r>
        <w:t xml:space="preserve">The Delegate agrees with this expressed position of the Sponsor. </w:t>
      </w:r>
      <w:proofErr w:type="gramStart"/>
      <w:r>
        <w:t>Taking into account</w:t>
      </w:r>
      <w:proofErr w:type="gramEnd"/>
      <w:r>
        <w:t xml:space="preserve"> the typical construction of an indication statement in Australia, the Delegate proposes the indication will </w:t>
      </w:r>
      <w:r w:rsidR="003E05C7">
        <w:t>be</w:t>
      </w:r>
      <w:r>
        <w:t>:</w:t>
      </w:r>
    </w:p>
    <w:p w14:paraId="3ED4AC5D" w14:textId="77777777" w:rsidR="005F369B" w:rsidRPr="004B4FD3" w:rsidRDefault="005F369B" w:rsidP="004B4FD3">
      <w:pPr>
        <w:ind w:left="357"/>
        <w:rPr>
          <w:i/>
          <w:iCs/>
        </w:rPr>
      </w:pPr>
      <w:r w:rsidRPr="004B4FD3">
        <w:rPr>
          <w:i/>
          <w:iCs/>
        </w:rPr>
        <w:t>ELREXFIO is indicated as monotherapy for the treatment of adult patients with relapsed or refractory multiple myeloma, who have received at least three prior therapies, including an immunomodulatory agent, a proteasome inhibitor, and an anti-CD38 antibody and have demonstrated disease progression on the last therapy.</w:t>
      </w:r>
    </w:p>
    <w:p w14:paraId="7FE5525C" w14:textId="77777777" w:rsidR="005F369B" w:rsidRDefault="005F369B" w:rsidP="004B4FD3">
      <w:pPr>
        <w:ind w:left="357"/>
        <w:rPr>
          <w:i/>
          <w:iCs/>
        </w:rPr>
      </w:pPr>
      <w:r>
        <w:rPr>
          <w:i/>
          <w:iCs/>
        </w:rPr>
        <w:t xml:space="preserve">The decision to approve this indication has been made </w:t>
      </w:r>
      <w:proofErr w:type="gramStart"/>
      <w:r>
        <w:rPr>
          <w:i/>
          <w:iCs/>
        </w:rPr>
        <w:t>on the basis of</w:t>
      </w:r>
      <w:proofErr w:type="gramEnd"/>
      <w:r>
        <w:rPr>
          <w:i/>
          <w:iCs/>
        </w:rPr>
        <w:t xml:space="preserve"> the overall response rate in a single arm study. Continued approval of this indication depends on verification and description of benefit in confirmatory trials.</w:t>
      </w:r>
    </w:p>
    <w:p w14:paraId="3916F296" w14:textId="77777777" w:rsidR="00C22214" w:rsidRDefault="00C22214" w:rsidP="000912CF">
      <w:pPr>
        <w:pStyle w:val="Heading3"/>
      </w:pPr>
      <w:bookmarkStart w:id="61" w:name="_Toc181631316"/>
      <w:r w:rsidRPr="00D23139">
        <w:t>Proposed action</w:t>
      </w:r>
      <w:bookmarkEnd w:id="60"/>
      <w:bookmarkEnd w:id="61"/>
    </w:p>
    <w:p w14:paraId="410CAB14" w14:textId="3152D2C0" w:rsidR="00635F4C" w:rsidRPr="00C27A19" w:rsidRDefault="00635F4C" w:rsidP="00635F4C">
      <w:pPr>
        <w:pStyle w:val="Instructions"/>
        <w:rPr>
          <w:i w:val="0"/>
          <w:iCs/>
          <w:color w:val="auto"/>
        </w:rPr>
      </w:pPr>
      <w:bookmarkStart w:id="62" w:name="_Toc98931934"/>
      <w:r>
        <w:rPr>
          <w:i w:val="0"/>
          <w:iCs/>
          <w:color w:val="auto"/>
        </w:rPr>
        <w:t>The Delegate is of the view that it is likely all</w:t>
      </w:r>
      <w:r w:rsidR="0070294B">
        <w:rPr>
          <w:i w:val="0"/>
          <w:iCs/>
          <w:color w:val="auto"/>
        </w:rPr>
        <w:t xml:space="preserve"> </w:t>
      </w:r>
      <w:r>
        <w:rPr>
          <w:i w:val="0"/>
          <w:iCs/>
          <w:color w:val="auto"/>
        </w:rPr>
        <w:t>the outstanding issues for the submission are resolvable within the current submission. Once the issues are resolved, the Delegate considers the submission could be approved.</w:t>
      </w:r>
    </w:p>
    <w:p w14:paraId="1E0BFE53" w14:textId="77777777" w:rsidR="00635F4C" w:rsidRDefault="00635F4C" w:rsidP="00635F4C">
      <w:pPr>
        <w:pStyle w:val="Instructions"/>
        <w:rPr>
          <w:i w:val="0"/>
          <w:iCs/>
          <w:color w:val="auto"/>
        </w:rPr>
      </w:pPr>
      <w:r>
        <w:rPr>
          <w:i w:val="0"/>
          <w:iCs/>
          <w:color w:val="auto"/>
        </w:rPr>
        <w:t xml:space="preserve">However, for reasons outlined above, the Delegate is not currently </w:t>
      </w:r>
      <w:proofErr w:type="gramStart"/>
      <w:r>
        <w:rPr>
          <w:i w:val="0"/>
          <w:iCs/>
          <w:color w:val="auto"/>
        </w:rPr>
        <w:t>in a position</w:t>
      </w:r>
      <w:proofErr w:type="gramEnd"/>
      <w:r>
        <w:rPr>
          <w:i w:val="0"/>
          <w:iCs/>
          <w:color w:val="auto"/>
        </w:rPr>
        <w:t xml:space="preserve"> to approve the medicine.  </w:t>
      </w:r>
    </w:p>
    <w:bookmarkEnd w:id="62"/>
    <w:p w14:paraId="5A4A6030" w14:textId="77777777" w:rsidR="00FC1691" w:rsidRDefault="00FC1691">
      <w:pPr>
        <w:rPr>
          <w:rFonts w:ascii="Arial" w:eastAsia="Times New Roman" w:hAnsi="Arial" w:cs="Times New Roman"/>
          <w:b/>
          <w:bCs/>
          <w:color w:val="001871"/>
          <w:sz w:val="32"/>
          <w:szCs w:val="32"/>
        </w:rPr>
      </w:pPr>
      <w:r>
        <w:br w:type="page"/>
      </w:r>
    </w:p>
    <w:p w14:paraId="0D171812" w14:textId="30B99308" w:rsidR="00C22214" w:rsidRDefault="00C22214" w:rsidP="00043D69">
      <w:pPr>
        <w:pStyle w:val="Heading3"/>
      </w:pPr>
      <w:bookmarkStart w:id="63" w:name="_Toc181631317"/>
      <w:r>
        <w:lastRenderedPageBreak/>
        <w:t>Independent expert advice</w:t>
      </w:r>
      <w:bookmarkEnd w:id="63"/>
    </w:p>
    <w:p w14:paraId="4A031B64" w14:textId="77777777" w:rsidR="00C22214" w:rsidRDefault="00C22214" w:rsidP="00C22214">
      <w:pPr>
        <w:rPr>
          <w:szCs w:val="22"/>
        </w:rPr>
      </w:pPr>
      <w:r w:rsidRPr="00BD5DBD">
        <w:rPr>
          <w:szCs w:val="22"/>
        </w:rPr>
        <w:t>The Delegate received the following independent expert advice.</w:t>
      </w:r>
    </w:p>
    <w:p w14:paraId="318CFABC" w14:textId="1932959F" w:rsidR="00C22214" w:rsidRPr="00F73346" w:rsidRDefault="00C22214" w:rsidP="00C22214">
      <w:pPr>
        <w:pStyle w:val="Heading4"/>
      </w:pPr>
      <w:bookmarkStart w:id="64" w:name="_Toc98931936"/>
      <w:bookmarkStart w:id="65" w:name="_Toc181631318"/>
      <w:bookmarkStart w:id="66" w:name="_Toc247691532"/>
      <w:bookmarkStart w:id="67" w:name="_Toc314842516"/>
      <w:r w:rsidRPr="00F73346">
        <w:t>Advisory Committee</w:t>
      </w:r>
      <w:r w:rsidR="003E4145">
        <w:t xml:space="preserve"> on Medicines (ACM)</w:t>
      </w:r>
      <w:r w:rsidRPr="00F73346">
        <w:t xml:space="preserve"> considerations</w:t>
      </w:r>
      <w:bookmarkEnd w:id="64"/>
      <w:bookmarkEnd w:id="65"/>
    </w:p>
    <w:p w14:paraId="087BB9CB" w14:textId="3F941314" w:rsidR="00C22214" w:rsidRPr="00BD5DBD" w:rsidRDefault="00C22214" w:rsidP="00C22214">
      <w:pPr>
        <w:rPr>
          <w:bCs/>
          <w:szCs w:val="22"/>
        </w:rPr>
      </w:pPr>
      <w:r w:rsidRPr="00BD5DBD">
        <w:rPr>
          <w:bCs/>
          <w:szCs w:val="22"/>
        </w:rPr>
        <w:t xml:space="preserve">The </w:t>
      </w:r>
      <w:hyperlink r:id="rId35"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1BFE694C" w:rsidR="00C22214" w:rsidRPr="00F73346" w:rsidRDefault="003A21D2" w:rsidP="00C22214">
      <w:pPr>
        <w:pStyle w:val="Heading5"/>
      </w:pPr>
      <w:r>
        <w:t>ACM</w:t>
      </w:r>
      <w:r w:rsidR="00F33922">
        <w:t xml:space="preserve"> advice</w:t>
      </w:r>
      <w:r w:rsidR="00C22214" w:rsidRPr="00F73346">
        <w:t xml:space="preserve"> to the Delegate</w:t>
      </w:r>
    </w:p>
    <w:p w14:paraId="414C500E" w14:textId="77777777" w:rsidR="00D12B81" w:rsidRDefault="00D12B81" w:rsidP="00D12B81">
      <w:r>
        <w:t xml:space="preserve">The ACM advised the following in response to the Delegate’s specific request for advice: </w:t>
      </w:r>
    </w:p>
    <w:p w14:paraId="7F5C430B" w14:textId="242069D8" w:rsidR="00D12B81" w:rsidRPr="00DA704F" w:rsidRDefault="00D12B81" w:rsidP="00DF62BC">
      <w:pPr>
        <w:pStyle w:val="Numberbullet0"/>
        <w:rPr>
          <w:b/>
          <w:bCs/>
          <w:i/>
          <w:iCs/>
        </w:rPr>
      </w:pPr>
      <w:r w:rsidRPr="00DA704F">
        <w:rPr>
          <w:b/>
          <w:bCs/>
          <w:i/>
          <w:iCs/>
        </w:rPr>
        <w:t xml:space="preserve">CRS events were reported for </w:t>
      </w:r>
      <w:proofErr w:type="spellStart"/>
      <w:r w:rsidRPr="00DA704F">
        <w:rPr>
          <w:b/>
          <w:bCs/>
          <w:i/>
          <w:iCs/>
        </w:rPr>
        <w:t>elranatamab</w:t>
      </w:r>
      <w:proofErr w:type="spellEnd"/>
      <w:r w:rsidRPr="00DA704F">
        <w:rPr>
          <w:b/>
          <w:bCs/>
          <w:i/>
          <w:iCs/>
        </w:rPr>
        <w:t xml:space="preserve"> more frequently during the initiation of treatment. The sponsor proposes that patients will not be hospitalised for the step-up doses as they were in the clinical trials. Warnings in Section 4.4 of the Elrexfio PI are proposed as is a patient card. Is a boxed warning also warranted as an additional risk communication measure? Should a boxed warning for CRS be imposed for the class of bispecific anti-BCMA anti-CD3 antibodies? </w:t>
      </w:r>
    </w:p>
    <w:p w14:paraId="37A74B9E" w14:textId="77777777" w:rsidR="00D12B81" w:rsidRDefault="00D12B81" w:rsidP="00D12B81">
      <w:r>
        <w:t xml:space="preserve">The ACM noted that while CRS (and ICANS) are expected safety issues for </w:t>
      </w:r>
      <w:proofErr w:type="spellStart"/>
      <w:r>
        <w:t>elranatamab</w:t>
      </w:r>
      <w:proofErr w:type="spellEnd"/>
      <w:r>
        <w:t xml:space="preserve">, they are both potentially life threatening and require early recognition, rapid treatment and appropriate risk mitigation strategies. </w:t>
      </w:r>
    </w:p>
    <w:p w14:paraId="280CC02C" w14:textId="1028CB83" w:rsidR="00D12B81" w:rsidRDefault="00D12B81" w:rsidP="00D12B81">
      <w:r>
        <w:t xml:space="preserve">The ACM noted that CRS occurred in 57.9% of patients in the pivotal study. Most events occurred during one of the initial 3 doses, with the third dose being the first full treatment dose but 3 patients (1.6%) had a CRS event after a subsequent dose. Given that bispecific anti-BCMA anti-CD3 antibodies are a newer treatment option and outside of the haematology/oncology profession there may be limited knowledge of the adverse event profile of these antibodies, the ACM recommended in-patient administration of the first 3 doses. </w:t>
      </w:r>
    </w:p>
    <w:p w14:paraId="0C350E50" w14:textId="289A1AEF" w:rsidR="00D12B81" w:rsidRDefault="00D12B81" w:rsidP="00D12B81">
      <w:r>
        <w:t xml:space="preserve">The ACM noted there is a risk </w:t>
      </w:r>
      <w:r w:rsidR="008B761A">
        <w:t xml:space="preserve">of </w:t>
      </w:r>
      <w:r>
        <w:t xml:space="preserve">patients presenting with the symptoms of CRS outside of the treatment centre could have the diagnosis confused with febrile neutropenia or sepsis. </w:t>
      </w:r>
    </w:p>
    <w:p w14:paraId="6A72BA9F" w14:textId="77777777" w:rsidR="00D12B81" w:rsidRDefault="00D12B81" w:rsidP="00D12B81">
      <w:r>
        <w:t xml:space="preserve">The ACM advised that education and information regarding the safety profile of this class of bispecific anti-BCMA anti-CD3 antibodies is critical, and the boxed warning is an important example of this. </w:t>
      </w:r>
    </w:p>
    <w:p w14:paraId="4E6E625E" w14:textId="77777777" w:rsidR="00D12B81" w:rsidRDefault="00D12B81" w:rsidP="00D12B81">
      <w:r>
        <w:t xml:space="preserve">The ACM advised that a boxed warning for CRS should be included in the PI for </w:t>
      </w:r>
      <w:proofErr w:type="spellStart"/>
      <w:r>
        <w:t>elranatamab</w:t>
      </w:r>
      <w:proofErr w:type="spellEnd"/>
      <w:r>
        <w:t xml:space="preserve">, and that the medicine should be included in the Black Triangle Scheme. </w:t>
      </w:r>
    </w:p>
    <w:p w14:paraId="7BC08C9B" w14:textId="77777777" w:rsidR="00D12B81" w:rsidRDefault="00D12B81" w:rsidP="00D12B81">
      <w:r>
        <w:t xml:space="preserve">The ACM also considered the risk of ICANS with bispecific anti-BCMA anti-CD3 antibodies and was of the view that a boxed warning, in addition to the warnings and precautions included in the PI, is needed to mitigate the risk. </w:t>
      </w:r>
    </w:p>
    <w:p w14:paraId="1E4427C5" w14:textId="77777777" w:rsidR="00D12B81" w:rsidRDefault="00D12B81" w:rsidP="00D12B81">
      <w:r>
        <w:t xml:space="preserve">The ACM advised that a boxed warning for CRS and ICANS should be included in the PI for all bispecific anti-CD3 antibodies and CAR-T cells for haematological malignancies, as part of education and familiarisation with this class of medicines. While clinicians in tertiary centres will become familiar with the safety profile of these medicines, patients with CRS or ICANS may present in a variety of healthcare settings; the prominent boxed warning on page 1 of the Product Information will assist with early recognition and treatment. </w:t>
      </w:r>
    </w:p>
    <w:p w14:paraId="302619A7" w14:textId="37B66C83" w:rsidR="00F33922" w:rsidRDefault="00D12B81" w:rsidP="00B20BEF">
      <w:r>
        <w:t>The ACM also encouraged the inclusion of management protocols for CRS and ICANS in relevant guidelines (i.e., triaging sepsis guidelines).</w:t>
      </w:r>
    </w:p>
    <w:p w14:paraId="5291EA2A" w14:textId="55D4CFCB" w:rsidR="00C22214" w:rsidRDefault="00125E94" w:rsidP="00C22214">
      <w:pPr>
        <w:pStyle w:val="Heading5"/>
      </w:pPr>
      <w:r>
        <w:lastRenderedPageBreak/>
        <w:t>ACM c</w:t>
      </w:r>
      <w:r w:rsidR="00C22214" w:rsidRPr="00F73346">
        <w:t>onclusion</w:t>
      </w:r>
    </w:p>
    <w:p w14:paraId="4CF636C0" w14:textId="07A2AD00" w:rsidR="00125E94" w:rsidRDefault="00125E94" w:rsidP="00125E94">
      <w:r>
        <w:t>The ACM considered this product to have an overall positive benefit-risk profile for provisional registration</w:t>
      </w:r>
      <w:r w:rsidR="00FE7492">
        <w:t xml:space="preserve">. </w:t>
      </w:r>
    </w:p>
    <w:p w14:paraId="307F236C" w14:textId="23C77EC8" w:rsidR="00C22214" w:rsidRPr="002E238E" w:rsidRDefault="001F64BE" w:rsidP="00C22214">
      <w:pPr>
        <w:pStyle w:val="Heading2"/>
      </w:pPr>
      <w:bookmarkStart w:id="68" w:name="_Toc181631319"/>
      <w:bookmarkEnd w:id="66"/>
      <w:bookmarkEnd w:id="67"/>
      <w:r>
        <w:t>R</w:t>
      </w:r>
      <w:r w:rsidR="00FE7492">
        <w:t>egulatory decision</w:t>
      </w:r>
      <w:bookmarkEnd w:id="68"/>
    </w:p>
    <w:p w14:paraId="3DF08DAA" w14:textId="350CF8D2" w:rsidR="00CF2996" w:rsidRDefault="00C22214" w:rsidP="0006104E">
      <w:pPr>
        <w:rPr>
          <w:shd w:val="clear" w:color="auto" w:fill="FFFFFF"/>
        </w:rPr>
      </w:pPr>
      <w:r w:rsidRPr="0017005C">
        <w:t xml:space="preserve">Based on </w:t>
      </w:r>
      <w:r w:rsidR="001B186E">
        <w:t>the</w:t>
      </w:r>
      <w:r w:rsidRPr="0017005C">
        <w:t xml:space="preserve"> </w:t>
      </w:r>
      <w:r w:rsidR="00207984">
        <w:t>assessment</w:t>
      </w:r>
      <w:r w:rsidRPr="0017005C">
        <w:t xml:space="preserve"> of quality, safety, and efficacy, the TGA </w:t>
      </w:r>
      <w:r w:rsidR="00B46DFB">
        <w:t>decided to</w:t>
      </w:r>
      <w:r w:rsidR="00A06ECB">
        <w:t xml:space="preserve"> </w:t>
      </w:r>
      <w:r w:rsidR="00A06ECB" w:rsidRPr="007A2554">
        <w:t>provisionally</w:t>
      </w:r>
      <w:r w:rsidRPr="007A2554">
        <w:t xml:space="preserve"> regist</w:t>
      </w:r>
      <w:r w:rsidR="00B46DFB" w:rsidRPr="007A2554">
        <w:t>er</w:t>
      </w:r>
      <w:r w:rsidRPr="0017005C">
        <w:t xml:space="preserve"> </w:t>
      </w:r>
      <w:r w:rsidR="001B186E" w:rsidRPr="007D2A26">
        <w:rPr>
          <w:shd w:val="clear" w:color="auto" w:fill="FFFFFF"/>
        </w:rPr>
        <w:t>Elrexfio (</w:t>
      </w:r>
      <w:proofErr w:type="spellStart"/>
      <w:r w:rsidR="001B186E" w:rsidRPr="007D2A26">
        <w:rPr>
          <w:shd w:val="clear" w:color="auto" w:fill="FFFFFF"/>
        </w:rPr>
        <w:t>elranatamab</w:t>
      </w:r>
      <w:proofErr w:type="spellEnd"/>
      <w:r w:rsidR="001B186E" w:rsidRPr="007D2A26">
        <w:rPr>
          <w:shd w:val="clear" w:color="auto" w:fill="FFFFFF"/>
        </w:rPr>
        <w:t xml:space="preserve">) 44 mg/1.1 mL </w:t>
      </w:r>
      <w:r w:rsidR="00BA51CA">
        <w:rPr>
          <w:shd w:val="clear" w:color="auto" w:fill="FFFFFF"/>
        </w:rPr>
        <w:t xml:space="preserve">solution for injection </w:t>
      </w:r>
      <w:r w:rsidR="00CF2996">
        <w:rPr>
          <w:shd w:val="clear" w:color="auto" w:fill="FFFFFF"/>
        </w:rPr>
        <w:t xml:space="preserve">vial </w:t>
      </w:r>
      <w:r w:rsidR="003B1A18">
        <w:rPr>
          <w:shd w:val="clear" w:color="auto" w:fill="FFFFFF"/>
        </w:rPr>
        <w:t xml:space="preserve">and </w:t>
      </w:r>
      <w:r w:rsidR="00BA51CA" w:rsidRPr="007D2A26">
        <w:rPr>
          <w:shd w:val="clear" w:color="auto" w:fill="FFFFFF"/>
        </w:rPr>
        <w:t>Elrexfio (</w:t>
      </w:r>
      <w:proofErr w:type="spellStart"/>
      <w:r w:rsidR="00BA51CA" w:rsidRPr="007D2A26">
        <w:rPr>
          <w:shd w:val="clear" w:color="auto" w:fill="FFFFFF"/>
        </w:rPr>
        <w:t>elranatamab</w:t>
      </w:r>
      <w:proofErr w:type="spellEnd"/>
      <w:r w:rsidR="00BA51CA" w:rsidRPr="007D2A26">
        <w:rPr>
          <w:shd w:val="clear" w:color="auto" w:fill="FFFFFF"/>
        </w:rPr>
        <w:t xml:space="preserve">) </w:t>
      </w:r>
      <w:r w:rsidR="003B1A18" w:rsidRPr="007D2A26">
        <w:rPr>
          <w:shd w:val="clear" w:color="auto" w:fill="FFFFFF"/>
        </w:rPr>
        <w:t xml:space="preserve">76 mg/1.9 mL </w:t>
      </w:r>
      <w:r w:rsidR="001B186E" w:rsidRPr="007D2A26">
        <w:rPr>
          <w:shd w:val="clear" w:color="auto" w:fill="FFFFFF"/>
        </w:rPr>
        <w:t xml:space="preserve">solution for injection </w:t>
      </w:r>
      <w:r w:rsidR="00CF2996">
        <w:rPr>
          <w:shd w:val="clear" w:color="auto" w:fill="FFFFFF"/>
        </w:rPr>
        <w:t>vial.</w:t>
      </w:r>
    </w:p>
    <w:p w14:paraId="061B7FC5" w14:textId="77777777" w:rsidR="004E6DA7" w:rsidRDefault="004E6DA7" w:rsidP="004E6DA7">
      <w:r>
        <w:t>The provisionally approved indications for the medicines are:</w:t>
      </w:r>
    </w:p>
    <w:p w14:paraId="680160E9" w14:textId="62531F2E" w:rsidR="004E6DA7" w:rsidRPr="004E6DA7" w:rsidRDefault="004E6DA7" w:rsidP="004E6DA7">
      <w:pPr>
        <w:ind w:left="720"/>
        <w:contextualSpacing/>
        <w:rPr>
          <w:i/>
          <w:iCs/>
        </w:rPr>
      </w:pPr>
      <w:r w:rsidRPr="004E6DA7">
        <w:rPr>
          <w:i/>
          <w:iCs/>
        </w:rPr>
        <w:t>E</w:t>
      </w:r>
      <w:r>
        <w:rPr>
          <w:i/>
          <w:iCs/>
        </w:rPr>
        <w:t>lrexfio</w:t>
      </w:r>
      <w:r w:rsidRPr="004E6DA7">
        <w:rPr>
          <w:i/>
          <w:iCs/>
        </w:rPr>
        <w:t xml:space="preserve"> has </w:t>
      </w:r>
      <w:r w:rsidRPr="007A2554">
        <w:rPr>
          <w:rFonts w:ascii="Cambria-BoldItalic" w:hAnsi="Cambria-BoldItalic" w:cs="Cambria-BoldItalic"/>
          <w:i/>
          <w:iCs/>
        </w:rPr>
        <w:t>provisional approval</w:t>
      </w:r>
      <w:r w:rsidRPr="004E6DA7">
        <w:rPr>
          <w:rFonts w:ascii="Cambria-BoldItalic" w:hAnsi="Cambria-BoldItalic" w:cs="Cambria-BoldItalic"/>
          <w:b/>
          <w:bCs/>
          <w:i/>
          <w:iCs/>
        </w:rPr>
        <w:t xml:space="preserve"> </w:t>
      </w:r>
      <w:r w:rsidRPr="004E6DA7">
        <w:rPr>
          <w:i/>
          <w:iCs/>
        </w:rPr>
        <w:t>in Australia and is indicated for the treatment of</w:t>
      </w:r>
    </w:p>
    <w:p w14:paraId="17EFBB44" w14:textId="77777777" w:rsidR="004E6DA7" w:rsidRPr="004E6DA7" w:rsidRDefault="004E6DA7" w:rsidP="004E6DA7">
      <w:pPr>
        <w:ind w:left="720"/>
        <w:contextualSpacing/>
        <w:rPr>
          <w:i/>
          <w:iCs/>
        </w:rPr>
      </w:pPr>
      <w:r w:rsidRPr="004E6DA7">
        <w:rPr>
          <w:i/>
          <w:iCs/>
        </w:rPr>
        <w:t>adult patients with relapsed or refractory multiple myeloma who have received at least</w:t>
      </w:r>
    </w:p>
    <w:p w14:paraId="62EFD367" w14:textId="77777777" w:rsidR="004E6DA7" w:rsidRPr="004E6DA7" w:rsidRDefault="004E6DA7" w:rsidP="004E6DA7">
      <w:pPr>
        <w:ind w:left="720"/>
        <w:contextualSpacing/>
        <w:rPr>
          <w:i/>
          <w:iCs/>
        </w:rPr>
      </w:pPr>
      <w:r w:rsidRPr="004E6DA7">
        <w:rPr>
          <w:i/>
          <w:iCs/>
        </w:rPr>
        <w:t>3 prior therapies, including a proteasome inhibitor, an immunomodulatory agent, and</w:t>
      </w:r>
    </w:p>
    <w:p w14:paraId="258DFCFF" w14:textId="77777777" w:rsidR="004E6DA7" w:rsidRPr="004E6DA7" w:rsidRDefault="004E6DA7" w:rsidP="004E6DA7">
      <w:pPr>
        <w:ind w:left="720"/>
        <w:contextualSpacing/>
        <w:rPr>
          <w:i/>
          <w:iCs/>
        </w:rPr>
      </w:pPr>
      <w:r w:rsidRPr="004E6DA7">
        <w:rPr>
          <w:i/>
          <w:iCs/>
        </w:rPr>
        <w:t>an anti-CD38 monoclonal antibody and have demonstrated disease progression on the</w:t>
      </w:r>
    </w:p>
    <w:p w14:paraId="532F8FAA" w14:textId="77777777" w:rsidR="004E6DA7" w:rsidRPr="004E6DA7" w:rsidRDefault="004E6DA7" w:rsidP="004E6DA7">
      <w:pPr>
        <w:ind w:left="720"/>
        <w:contextualSpacing/>
        <w:rPr>
          <w:i/>
          <w:iCs/>
        </w:rPr>
      </w:pPr>
      <w:r w:rsidRPr="004E6DA7">
        <w:rPr>
          <w:i/>
          <w:iCs/>
        </w:rPr>
        <w:t>last therapy.</w:t>
      </w:r>
    </w:p>
    <w:p w14:paraId="79401B6A" w14:textId="77777777" w:rsidR="004E6DA7" w:rsidRPr="004E6DA7" w:rsidRDefault="004E6DA7" w:rsidP="004E6DA7">
      <w:pPr>
        <w:ind w:left="720"/>
        <w:contextualSpacing/>
        <w:rPr>
          <w:i/>
          <w:iCs/>
        </w:rPr>
      </w:pPr>
    </w:p>
    <w:p w14:paraId="62A73C1B" w14:textId="4237FF0B" w:rsidR="004E6DA7" w:rsidRPr="004E6DA7" w:rsidRDefault="004E6DA7" w:rsidP="004E6DA7">
      <w:pPr>
        <w:ind w:left="720"/>
        <w:contextualSpacing/>
        <w:rPr>
          <w:i/>
          <w:iCs/>
        </w:rPr>
      </w:pPr>
      <w:r w:rsidRPr="004E6DA7">
        <w:rPr>
          <w:i/>
          <w:iCs/>
        </w:rPr>
        <w:t xml:space="preserve">The decision to approve this indication has been made </w:t>
      </w:r>
      <w:proofErr w:type="gramStart"/>
      <w:r w:rsidRPr="004E6DA7">
        <w:rPr>
          <w:i/>
          <w:iCs/>
        </w:rPr>
        <w:t>on the basis of</w:t>
      </w:r>
      <w:proofErr w:type="gramEnd"/>
      <w:r w:rsidRPr="004E6DA7">
        <w:rPr>
          <w:i/>
          <w:iCs/>
        </w:rPr>
        <w:t xml:space="preserve"> the overall</w:t>
      </w:r>
    </w:p>
    <w:p w14:paraId="44B9BF5C" w14:textId="77777777" w:rsidR="004E6DA7" w:rsidRPr="004E6DA7" w:rsidRDefault="004E6DA7" w:rsidP="004E6DA7">
      <w:pPr>
        <w:ind w:left="720"/>
        <w:contextualSpacing/>
        <w:rPr>
          <w:i/>
          <w:iCs/>
        </w:rPr>
      </w:pPr>
      <w:r w:rsidRPr="004E6DA7">
        <w:rPr>
          <w:i/>
          <w:iCs/>
        </w:rPr>
        <w:t>response rate in a single arm study. Continued approval of this indication depends on</w:t>
      </w:r>
    </w:p>
    <w:p w14:paraId="4E0363AA" w14:textId="24EF0750" w:rsidR="00CF2996" w:rsidRPr="004E6DA7" w:rsidRDefault="004E6DA7" w:rsidP="004E6DA7">
      <w:pPr>
        <w:ind w:left="720"/>
        <w:contextualSpacing/>
        <w:rPr>
          <w:i/>
          <w:iCs/>
          <w:shd w:val="clear" w:color="auto" w:fill="FFFFFF"/>
        </w:rPr>
      </w:pPr>
      <w:r w:rsidRPr="004E6DA7">
        <w:rPr>
          <w:i/>
          <w:iCs/>
        </w:rPr>
        <w:t>verification and description of benefit in confirmatory trials.</w:t>
      </w:r>
    </w:p>
    <w:p w14:paraId="0D732DA4" w14:textId="77777777" w:rsidR="00854D98" w:rsidRPr="00D23139" w:rsidRDefault="00854D98" w:rsidP="00854D98">
      <w:pPr>
        <w:pStyle w:val="Heading3"/>
      </w:pPr>
      <w:bookmarkStart w:id="69" w:name="_Specific_conditions_of"/>
      <w:bookmarkStart w:id="70" w:name="_Toc103679301"/>
      <w:bookmarkStart w:id="71" w:name="_Toc181631320"/>
      <w:bookmarkEnd w:id="69"/>
      <w:r w:rsidRPr="00D23139">
        <w:t>Specific conditions of registration applying to these goods</w:t>
      </w:r>
      <w:bookmarkEnd w:id="70"/>
      <w:bookmarkEnd w:id="71"/>
    </w:p>
    <w:p w14:paraId="0BE7AFA6" w14:textId="14933669" w:rsidR="001036EC" w:rsidRDefault="001036EC" w:rsidP="00187BA9">
      <w:pPr>
        <w:contextualSpacing/>
      </w:pPr>
      <w:r>
        <w:t>Elrexfio (</w:t>
      </w:r>
      <w:proofErr w:type="spellStart"/>
      <w:r>
        <w:t>elranatamab</w:t>
      </w:r>
      <w:proofErr w:type="spellEnd"/>
      <w:r>
        <w:t>) is to be included in the Black Triangle Scheme. The PI and CMI</w:t>
      </w:r>
    </w:p>
    <w:p w14:paraId="524A2FC5" w14:textId="1345C250" w:rsidR="001036EC" w:rsidRDefault="001036EC" w:rsidP="00187BA9">
      <w:pPr>
        <w:contextualSpacing/>
      </w:pPr>
      <w:r>
        <w:t>for Elrexfio must include the black triangle symbol and mandatory accompanying</w:t>
      </w:r>
    </w:p>
    <w:p w14:paraId="50D9BB27" w14:textId="2C93FAD1" w:rsidR="00880D2D" w:rsidRDefault="001036EC" w:rsidP="006435A5">
      <w:pPr>
        <w:contextualSpacing/>
      </w:pPr>
      <w:r>
        <w:t xml:space="preserve">text for </w:t>
      </w:r>
      <w:r w:rsidR="009247EC">
        <w:t>5</w:t>
      </w:r>
      <w:r>
        <w:t xml:space="preserve"> years, or the product’s entire period of provisional registration, whichever</w:t>
      </w:r>
      <w:r w:rsidR="00E24E6B">
        <w:t xml:space="preserve"> </w:t>
      </w:r>
      <w:r>
        <w:t>is longer.</w:t>
      </w:r>
      <w:r w:rsidR="00800451">
        <w:t xml:space="preserve"> </w:t>
      </w:r>
      <w:r w:rsidR="00800451" w:rsidRPr="00EF65C9">
        <w:t>The black triangle is a visual reminder to encourage health practitioners and patients to report a problem or side effect with this medicine.</w:t>
      </w:r>
      <w:r w:rsidR="00880D2D">
        <w:t xml:space="preserve"> </w:t>
      </w:r>
    </w:p>
    <w:p w14:paraId="76D6E1A8" w14:textId="68465C43" w:rsidR="00880D2D" w:rsidRDefault="00544737" w:rsidP="00451BA4">
      <w:r w:rsidRPr="00451BA4">
        <w:t xml:space="preserve">The Elrexfio RMP </w:t>
      </w:r>
      <w:r w:rsidR="00C179B5" w:rsidRPr="00451BA4">
        <w:t>and routine pharmacovigil</w:t>
      </w:r>
      <w:r w:rsidR="005112A7" w:rsidRPr="00451BA4">
        <w:t xml:space="preserve">ance </w:t>
      </w:r>
      <w:r w:rsidRPr="00451BA4">
        <w:t>will be implemented in Australia.</w:t>
      </w:r>
      <w:r w:rsidR="002D0D9F" w:rsidRPr="00451BA4">
        <w:t xml:space="preserve"> </w:t>
      </w:r>
      <w:r w:rsidR="005112A7" w:rsidRPr="00451BA4">
        <w:t>Routine pharmacovigilance includes the submission of periodic safety update reports</w:t>
      </w:r>
      <w:r w:rsidR="00FC4182" w:rsidRPr="00451BA4">
        <w:t xml:space="preserve"> </w:t>
      </w:r>
      <w:r w:rsidR="005112A7" w:rsidRPr="00451BA4">
        <w:t>(PSURs).</w:t>
      </w:r>
      <w:r w:rsidR="00CA1A8D" w:rsidRPr="00451BA4">
        <w:t xml:space="preserve"> </w:t>
      </w:r>
      <w:r w:rsidR="00FC4182" w:rsidRPr="00451BA4">
        <w:t>PSURs</w:t>
      </w:r>
      <w:r w:rsidR="005112A7" w:rsidRPr="00451BA4">
        <w:t xml:space="preserve"> are to at least meet the requirements for PSURs as described in the</w:t>
      </w:r>
      <w:r w:rsidR="0012756F">
        <w:t xml:space="preserve"> </w:t>
      </w:r>
      <w:r w:rsidR="005112A7" w:rsidRPr="00451BA4">
        <w:t>European Medicines Agency’s Guideline on good pharmacovigilance practices (GVP)</w:t>
      </w:r>
      <w:r w:rsidR="0012756F">
        <w:t xml:space="preserve"> </w:t>
      </w:r>
      <w:r w:rsidR="005112A7" w:rsidRPr="00451BA4">
        <w:t>Module VII-periodic safety update report (Rev 1), Part VII.B Structures and processes.</w:t>
      </w:r>
      <w:r w:rsidR="006E56BD">
        <w:t xml:space="preserve"> </w:t>
      </w:r>
      <w:r w:rsidR="001178BF" w:rsidRPr="00451BA4">
        <w:t>S</w:t>
      </w:r>
      <w:r w:rsidR="005112A7" w:rsidRPr="00451BA4">
        <w:t xml:space="preserve">ubmission of a PSUR does </w:t>
      </w:r>
      <w:r w:rsidR="005112A7" w:rsidRPr="00164445">
        <w:t xml:space="preserve">not </w:t>
      </w:r>
      <w:r w:rsidR="005112A7" w:rsidRPr="00451BA4">
        <w:t>constitute an application to vary the</w:t>
      </w:r>
      <w:r w:rsidR="001178BF" w:rsidRPr="00451BA4">
        <w:t xml:space="preserve"> product </w:t>
      </w:r>
      <w:r w:rsidR="005112A7" w:rsidRPr="00451BA4">
        <w:t>registration.</w:t>
      </w:r>
    </w:p>
    <w:p w14:paraId="4825DD80" w14:textId="22AF0293" w:rsidR="00DD0949" w:rsidRDefault="00BE7236" w:rsidP="00451BA4">
      <w:r w:rsidRPr="00451BA4">
        <w:t>All batches of E</w:t>
      </w:r>
      <w:r w:rsidR="00F60BCD">
        <w:t>lrexfio</w:t>
      </w:r>
      <w:r w:rsidRPr="00451BA4">
        <w:t xml:space="preserve"> </w:t>
      </w:r>
      <w:r w:rsidR="00EA5378">
        <w:t>(</w:t>
      </w:r>
      <w:proofErr w:type="spellStart"/>
      <w:r w:rsidRPr="00451BA4">
        <w:t>elranatamab</w:t>
      </w:r>
      <w:proofErr w:type="spellEnd"/>
      <w:r w:rsidR="00EA5378">
        <w:t>)</w:t>
      </w:r>
      <w:r w:rsidRPr="00451BA4">
        <w:t xml:space="preserve"> supplied in Australia must comply with the</w:t>
      </w:r>
      <w:r w:rsidR="00880D2D">
        <w:t xml:space="preserve"> </w:t>
      </w:r>
      <w:r w:rsidRPr="00451BA4">
        <w:t>product details and specifications approved during evaluation and detailed in the</w:t>
      </w:r>
      <w:r w:rsidR="006D6819">
        <w:t xml:space="preserve"> </w:t>
      </w:r>
      <w:r w:rsidRPr="00451BA4">
        <w:t>Certified Product Details (CPD).</w:t>
      </w:r>
    </w:p>
    <w:p w14:paraId="58DF04EF" w14:textId="7A7FC5D3" w:rsidR="000036F8" w:rsidRDefault="00BE7236" w:rsidP="001E1D06">
      <w:pPr>
        <w:contextualSpacing/>
      </w:pPr>
      <w:r w:rsidRPr="00451BA4">
        <w:t>When requested by the TGA, the Sponsor should be prepared to provide product</w:t>
      </w:r>
      <w:r w:rsidR="00BA54CA">
        <w:t xml:space="preserve"> </w:t>
      </w:r>
      <w:r w:rsidRPr="00451BA4">
        <w:t>samples, specified reference materials and documentary evidence to enable the TGA</w:t>
      </w:r>
      <w:r w:rsidR="00BA54CA">
        <w:t xml:space="preserve"> </w:t>
      </w:r>
      <w:r w:rsidRPr="00451BA4">
        <w:t>to conduct laboratory testing on the Product. Outcomes of laboratory testing are</w:t>
      </w:r>
      <w:r w:rsidR="00BA54CA">
        <w:t xml:space="preserve"> </w:t>
      </w:r>
      <w:r w:rsidRPr="00451BA4">
        <w:t>published biannually in the TGA Database of Laboratory Testing Results</w:t>
      </w:r>
      <w:r w:rsidR="00BA54CA">
        <w:t xml:space="preserve"> </w:t>
      </w:r>
      <w:hyperlink r:id="rId36" w:history="1">
        <w:r w:rsidR="00BA54CA" w:rsidRPr="00DA77B8">
          <w:rPr>
            <w:rStyle w:val="Hyperlink"/>
          </w:rPr>
          <w:t>http://www.tga.gov.au/ws-labs-index</w:t>
        </w:r>
      </w:hyperlink>
      <w:r w:rsidR="00BA54CA">
        <w:t xml:space="preserve"> </w:t>
      </w:r>
      <w:r w:rsidRPr="00451BA4">
        <w:t>and periodically in testing reports on the TGA</w:t>
      </w:r>
      <w:r w:rsidR="00BA54CA">
        <w:t xml:space="preserve"> </w:t>
      </w:r>
      <w:r w:rsidRPr="00451BA4">
        <w:t>website.</w:t>
      </w:r>
    </w:p>
    <w:p w14:paraId="60C3478D" w14:textId="13FA12E0" w:rsidR="006C5A15" w:rsidRDefault="008A7737" w:rsidP="008A7737">
      <w:pPr>
        <w:pStyle w:val="ListBullet"/>
        <w:numPr>
          <w:ilvl w:val="0"/>
          <w:numId w:val="0"/>
        </w:numPr>
      </w:pPr>
      <w:r>
        <w:t>The</w:t>
      </w:r>
      <w:r w:rsidR="006C5A15" w:rsidRPr="00451BA4">
        <w:t xml:space="preserve"> final clinical study report </w:t>
      </w:r>
      <w:r>
        <w:t xml:space="preserve">(CSR) </w:t>
      </w:r>
      <w:r w:rsidR="006C5A15" w:rsidRPr="00451BA4">
        <w:t xml:space="preserve">for Study C1071003 </w:t>
      </w:r>
      <w:r>
        <w:t xml:space="preserve">is to be submitted </w:t>
      </w:r>
      <w:r w:rsidR="006C5A15" w:rsidRPr="00451BA4">
        <w:t>to the TGA for</w:t>
      </w:r>
      <w:r>
        <w:t xml:space="preserve"> e</w:t>
      </w:r>
      <w:r w:rsidR="006C5A15" w:rsidRPr="00451BA4">
        <w:t>valuation.</w:t>
      </w:r>
    </w:p>
    <w:p w14:paraId="67A9F7AE" w14:textId="6543EE2F" w:rsidR="003B2887" w:rsidRPr="00451BA4" w:rsidRDefault="003B2887" w:rsidP="008A7737">
      <w:pPr>
        <w:pStyle w:val="ListBullet"/>
        <w:numPr>
          <w:ilvl w:val="0"/>
          <w:numId w:val="0"/>
        </w:numPr>
      </w:pPr>
      <w:r w:rsidRPr="00451BA4">
        <w:rPr>
          <w:rFonts w:cstheme="minorBidi"/>
        </w:rPr>
        <w:t>Study C1071005 (M</w:t>
      </w:r>
      <w:r w:rsidR="00673053">
        <w:rPr>
          <w:rFonts w:cstheme="minorBidi"/>
        </w:rPr>
        <w:t>agnetisMM</w:t>
      </w:r>
      <w:r w:rsidRPr="00451BA4">
        <w:rPr>
          <w:rFonts w:cstheme="minorBidi"/>
        </w:rPr>
        <w:t>-5</w:t>
      </w:r>
      <w:r w:rsidR="00A16F40">
        <w:rPr>
          <w:rFonts w:cstheme="minorBidi"/>
        </w:rPr>
        <w:t xml:space="preserve">) is to be </w:t>
      </w:r>
      <w:proofErr w:type="gramStart"/>
      <w:r w:rsidR="00A16F40">
        <w:rPr>
          <w:rFonts w:cstheme="minorBidi"/>
        </w:rPr>
        <w:t>conducted</w:t>
      </w:r>
      <w:proofErr w:type="gramEnd"/>
      <w:r w:rsidR="00A16F40">
        <w:rPr>
          <w:rFonts w:cstheme="minorBidi"/>
        </w:rPr>
        <w:t xml:space="preserve"> and </w:t>
      </w:r>
      <w:r w:rsidR="0098458B">
        <w:rPr>
          <w:rFonts w:cstheme="minorBidi"/>
        </w:rPr>
        <w:t xml:space="preserve">the clinical </w:t>
      </w:r>
      <w:r w:rsidR="00A16F40">
        <w:rPr>
          <w:rFonts w:cstheme="minorBidi"/>
        </w:rPr>
        <w:t>data submi</w:t>
      </w:r>
      <w:r w:rsidR="0098458B">
        <w:rPr>
          <w:rFonts w:cstheme="minorBidi"/>
        </w:rPr>
        <w:t xml:space="preserve">tted to </w:t>
      </w:r>
      <w:r w:rsidR="003E05C7">
        <w:rPr>
          <w:rFonts w:cstheme="minorBidi"/>
        </w:rPr>
        <w:t xml:space="preserve">the </w:t>
      </w:r>
      <w:r w:rsidR="0098458B">
        <w:rPr>
          <w:rFonts w:cstheme="minorBidi"/>
        </w:rPr>
        <w:t xml:space="preserve">TGA for evaluation. </w:t>
      </w:r>
    </w:p>
    <w:p w14:paraId="451DC3FC" w14:textId="402FAFC8" w:rsidR="00C22214" w:rsidRDefault="006F1494" w:rsidP="00C22214">
      <w:pPr>
        <w:pStyle w:val="Heading2"/>
      </w:pPr>
      <w:bookmarkStart w:id="72" w:name="_Toc103679303"/>
      <w:bookmarkStart w:id="73" w:name="_Toc181631321"/>
      <w:r>
        <w:lastRenderedPageBreak/>
        <w:t xml:space="preserve">Attachment - </w:t>
      </w:r>
      <w:r w:rsidR="00C22214">
        <w:t>Product Information</w:t>
      </w:r>
      <w:bookmarkEnd w:id="72"/>
      <w:r w:rsidR="006F7BF8">
        <w:t xml:space="preserve"> (PI)</w:t>
      </w:r>
      <w:bookmarkEnd w:id="73"/>
      <w:r w:rsidR="006F7BF8">
        <w:t xml:space="preserve"> </w:t>
      </w:r>
    </w:p>
    <w:p w14:paraId="269E95CA" w14:textId="0D9EB19D" w:rsidR="006F7BF8" w:rsidRDefault="006F7BF8" w:rsidP="006F7BF8">
      <w:pPr>
        <w:rPr>
          <w:rStyle w:val="Hyperlink"/>
          <w:szCs w:val="22"/>
        </w:rPr>
      </w:pPr>
      <w:r w:rsidRPr="00BD5DBD">
        <w:rPr>
          <w:szCs w:val="22"/>
        </w:rPr>
        <w:t xml:space="preserve">The </w:t>
      </w:r>
      <w:hyperlink r:id="rId37" w:history="1">
        <w:r w:rsidRPr="00BD5DBD">
          <w:rPr>
            <w:rStyle w:val="Hyperlink"/>
            <w:szCs w:val="22"/>
          </w:rPr>
          <w:t>Product Information</w:t>
        </w:r>
      </w:hyperlink>
      <w:r w:rsidRPr="00BD5DBD">
        <w:rPr>
          <w:szCs w:val="22"/>
        </w:rPr>
        <w:t xml:space="preserve"> (</w:t>
      </w:r>
      <w:hyperlink r:id="rId38" w:history="1">
        <w:r w:rsidRPr="00BD5DBD">
          <w:rPr>
            <w:rStyle w:val="Hyperlink"/>
            <w:szCs w:val="22"/>
          </w:rPr>
          <w:t>PI</w:t>
        </w:r>
      </w:hyperlink>
      <w:r w:rsidRPr="00BD5DBD">
        <w:rPr>
          <w:szCs w:val="22"/>
        </w:rPr>
        <w:t>) approved with th</w:t>
      </w:r>
      <w:r w:rsidR="00594FF9">
        <w:rPr>
          <w:szCs w:val="22"/>
        </w:rPr>
        <w:t>is</w:t>
      </w:r>
      <w:r w:rsidRPr="00BD5DBD">
        <w:rPr>
          <w:szCs w:val="22"/>
        </w:rPr>
        <w:t xml:space="preserve"> submission</w:t>
      </w:r>
      <w:r w:rsidRPr="0017005C">
        <w:rPr>
          <w:szCs w:val="22"/>
        </w:rPr>
        <w:t xml:space="preserve"> </w:t>
      </w:r>
      <w:r w:rsidR="006F6C8A">
        <w:rPr>
          <w:szCs w:val="22"/>
        </w:rPr>
        <w:t xml:space="preserve">is at Attachment 1. It </w:t>
      </w:r>
      <w:r>
        <w:t xml:space="preserve">may have been superseded. </w:t>
      </w:r>
      <w:r w:rsidR="003E05C7">
        <w:rPr>
          <w:szCs w:val="22"/>
        </w:rPr>
        <w:t>To view the</w:t>
      </w:r>
      <w:r w:rsidRPr="00BD5DBD">
        <w:rPr>
          <w:szCs w:val="22"/>
        </w:rPr>
        <w:t xml:space="preserve"> </w:t>
      </w:r>
      <w:r>
        <w:rPr>
          <w:szCs w:val="22"/>
        </w:rPr>
        <w:t xml:space="preserve">current </w:t>
      </w:r>
      <w:r w:rsidRPr="00BD5DBD">
        <w:rPr>
          <w:szCs w:val="22"/>
        </w:rPr>
        <w:t xml:space="preserve">PI and </w:t>
      </w:r>
      <w:hyperlink r:id="rId39" w:history="1">
        <w:r w:rsidRPr="00BD5DBD">
          <w:rPr>
            <w:rStyle w:val="Hyperlink"/>
            <w:szCs w:val="22"/>
          </w:rPr>
          <w:t>Consumer Medicines Information</w:t>
        </w:r>
      </w:hyperlink>
      <w:r w:rsidRPr="00BD5DBD">
        <w:rPr>
          <w:szCs w:val="22"/>
        </w:rPr>
        <w:t xml:space="preserve"> (CMI), </w:t>
      </w:r>
      <w:r w:rsidR="009A1AAE">
        <w:rPr>
          <w:szCs w:val="22"/>
        </w:rPr>
        <w:t xml:space="preserve">use </w:t>
      </w:r>
      <w:r w:rsidRPr="00BD5DBD">
        <w:rPr>
          <w:szCs w:val="22"/>
        </w:rPr>
        <w:t xml:space="preserve">the TGA </w:t>
      </w:r>
      <w:hyperlink r:id="rId40"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1"/>
          <w:footerReference w:type="default" r:id="rId42"/>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7"/>
          <w:bookmarkEnd w:id="8"/>
          <w:p w14:paraId="7E090B86" w14:textId="77777777" w:rsidR="00F02AEC" w:rsidRPr="00215D48" w:rsidRDefault="00F02AEC" w:rsidP="007452E8">
            <w:pPr>
              <w:pStyle w:val="TGASignoff"/>
            </w:pPr>
            <w:r w:rsidRPr="00215D48">
              <w:lastRenderedPageBreak/>
              <w:t>Therapeutic Goods Administration</w:t>
            </w:r>
          </w:p>
        </w:tc>
      </w:tr>
      <w:tr w:rsidR="00F02AEC" w:rsidRPr="00367FA7"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Pr="0096751E" w:rsidRDefault="00F02AEC">
            <w:pPr>
              <w:pStyle w:val="Address"/>
              <w:jc w:val="center"/>
              <w:rPr>
                <w:sz w:val="22"/>
                <w:szCs w:val="22"/>
                <w:lang w:val="fr-FR"/>
              </w:rPr>
            </w:pPr>
            <w:proofErr w:type="gramStart"/>
            <w:r w:rsidRPr="0096751E">
              <w:rPr>
                <w:lang w:val="fr-FR"/>
              </w:rPr>
              <w:t>Email:</w:t>
            </w:r>
            <w:proofErr w:type="gramEnd"/>
            <w:r w:rsidRPr="0096751E">
              <w:rPr>
                <w:lang w:val="fr-FR"/>
              </w:rPr>
              <w:t xml:space="preserve"> </w:t>
            </w:r>
            <w:hyperlink r:id="rId43" w:history="1">
              <w:r w:rsidRPr="0096751E">
                <w:rPr>
                  <w:rStyle w:val="Hyperlink"/>
                  <w:lang w:val="fr-FR"/>
                </w:rPr>
                <w:t>info@tga.gov.au</w:t>
              </w:r>
            </w:hyperlink>
            <w:r w:rsidRPr="0096751E">
              <w:rPr>
                <w:lang w:val="fr-FR"/>
              </w:rPr>
              <w:t xml:space="preserve">  Phone: 1800 020 653  Fax: 02 6203 1605</w:t>
            </w:r>
          </w:p>
          <w:p w14:paraId="4533D80F" w14:textId="1519D7A3" w:rsidR="00F02AEC" w:rsidRPr="0096751E" w:rsidRDefault="00F02AEC">
            <w:pPr>
              <w:pStyle w:val="Address"/>
              <w:jc w:val="center"/>
              <w:rPr>
                <w:rStyle w:val="Hyperlink"/>
                <w:b/>
                <w:color w:val="auto"/>
                <w:sz w:val="22"/>
                <w:lang w:val="fr-FR"/>
              </w:rPr>
            </w:pPr>
            <w:hyperlink r:id="rId44" w:history="1">
              <w:r w:rsidRPr="0096751E">
                <w:rPr>
                  <w:rStyle w:val="Hyperlink"/>
                  <w:b/>
                  <w:lang w:val="fr-FR"/>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rsidP="009A1AAE"/>
    <w:sectPr w:rsidR="007452E8" w:rsidSect="007452E8">
      <w:headerReference w:type="first" r:id="rId45"/>
      <w:footerReference w:type="first" r:id="rId4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01EE5B" w14:textId="77777777" w:rsidR="005835CF" w:rsidRDefault="005835CF" w:rsidP="00F02AEC">
      <w:pPr>
        <w:spacing w:after="0" w:line="240" w:lineRule="auto"/>
      </w:pPr>
      <w:r>
        <w:separator/>
      </w:r>
    </w:p>
  </w:endnote>
  <w:endnote w:type="continuationSeparator" w:id="0">
    <w:p w14:paraId="3336B5D0" w14:textId="77777777" w:rsidR="005835CF" w:rsidRDefault="005835CF" w:rsidP="00F02AEC">
      <w:pPr>
        <w:spacing w:after="0" w:line="240" w:lineRule="auto"/>
      </w:pPr>
      <w:r>
        <w:continuationSeparator/>
      </w:r>
    </w:p>
  </w:endnote>
  <w:endnote w:type="continuationNotice" w:id="1">
    <w:p w14:paraId="2836660A" w14:textId="77777777" w:rsidR="005835CF" w:rsidRDefault="005835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Italic">
    <w:altName w:val="Cambria"/>
    <w:panose1 w:val="00000000000000000000"/>
    <w:charset w:val="00"/>
    <w:family w:val="roman"/>
    <w:notTrueType/>
    <w:pitch w:val="default"/>
    <w:sig w:usb0="00000003" w:usb1="00000000" w:usb2="00000000" w:usb3="00000000" w:csb0="00000001" w:csb1="00000000"/>
  </w:font>
  <w:font w:name="Cambria-BoldItalic">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FBFEE84" w:rsidR="007452E8" w:rsidRPr="004A3084" w:rsidRDefault="007452E8" w:rsidP="007452E8">
          <w:pPr>
            <w:pStyle w:val="Footer"/>
          </w:pPr>
          <w:r w:rsidRPr="00487162">
            <w:t>AusPA</w:t>
          </w:r>
          <w:r>
            <w:t xml:space="preserve">R </w:t>
          </w:r>
          <w:r w:rsidR="00AB6F93">
            <w:t>–</w:t>
          </w:r>
          <w:r>
            <w:t xml:space="preserve"> </w:t>
          </w:r>
          <w:r w:rsidR="0071093C">
            <w:t>Elrexfio</w:t>
          </w:r>
          <w:r w:rsidR="00AB6F93">
            <w:t xml:space="preserve"> </w:t>
          </w:r>
          <w:r>
            <w:t>-</w:t>
          </w:r>
          <w:r w:rsidRPr="00460036">
            <w:t xml:space="preserve"> </w:t>
          </w:r>
          <w:proofErr w:type="spellStart"/>
          <w:r w:rsidR="00F174EB">
            <w:t>elranatamab</w:t>
          </w:r>
          <w:proofErr w:type="spellEnd"/>
          <w:r w:rsidRPr="00460036">
            <w:t xml:space="preserve"> </w:t>
          </w:r>
          <w:r w:rsidR="00902AA7">
            <w:t>–</w:t>
          </w:r>
          <w:r>
            <w:t xml:space="preserve"> </w:t>
          </w:r>
          <w:r w:rsidR="00902AA7">
            <w:t>Pfizer Australia Pty Ltd</w:t>
          </w:r>
          <w:r>
            <w:t xml:space="preserve"> - </w:t>
          </w:r>
          <w:r w:rsidR="00902AA7">
            <w:t>PM-2023-01920-1-6</w:t>
          </w:r>
          <w:r>
            <w:br/>
          </w:r>
          <w:r w:rsidR="004F3D0E">
            <w:t>Date of finalisation: 31 October</w:t>
          </w:r>
          <w:r w:rsidR="009013B0">
            <w:t xml:space="preserve">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10B3C" w14:textId="77777777" w:rsidR="005835CF" w:rsidRDefault="005835CF" w:rsidP="00F02AEC">
      <w:pPr>
        <w:spacing w:after="0" w:line="240" w:lineRule="auto"/>
      </w:pPr>
      <w:r>
        <w:separator/>
      </w:r>
    </w:p>
  </w:footnote>
  <w:footnote w:type="continuationSeparator" w:id="0">
    <w:p w14:paraId="420AC72A" w14:textId="77777777" w:rsidR="005835CF" w:rsidRDefault="005835CF" w:rsidP="00F02AEC">
      <w:pPr>
        <w:spacing w:after="0" w:line="240" w:lineRule="auto"/>
      </w:pPr>
      <w:r>
        <w:continuationSeparator/>
      </w:r>
    </w:p>
  </w:footnote>
  <w:footnote w:type="continuationNotice" w:id="1">
    <w:p w14:paraId="0DEA8307" w14:textId="77777777" w:rsidR="005835CF" w:rsidRDefault="005835CF">
      <w:pPr>
        <w:spacing w:after="0" w:line="240" w:lineRule="auto"/>
      </w:pPr>
    </w:p>
  </w:footnote>
  <w:footnote w:id="2">
    <w:p w14:paraId="05F88ECB" w14:textId="395BFC6E" w:rsidR="00B63D2D" w:rsidRPr="002A7712" w:rsidRDefault="00B63D2D" w:rsidP="00D2429F">
      <w:pPr>
        <w:pStyle w:val="EndnoteText"/>
        <w:rPr>
          <w:sz w:val="17"/>
          <w:szCs w:val="17"/>
        </w:rPr>
      </w:pPr>
      <w:r>
        <w:rPr>
          <w:rStyle w:val="FootnoteReference"/>
        </w:rPr>
        <w:footnoteRef/>
      </w:r>
      <w:r>
        <w:t xml:space="preserve"> </w:t>
      </w:r>
      <w:r w:rsidR="00D4611C" w:rsidRPr="002A7712">
        <w:rPr>
          <w:sz w:val="17"/>
          <w:szCs w:val="17"/>
        </w:rPr>
        <w:t xml:space="preserve">Palumbo A Anderson K </w:t>
      </w:r>
      <w:r w:rsidR="00D4611C" w:rsidRPr="002A7712">
        <w:rPr>
          <w:i/>
          <w:iCs/>
          <w:sz w:val="17"/>
          <w:szCs w:val="17"/>
        </w:rPr>
        <w:t xml:space="preserve">Multiple Myeloma </w:t>
      </w:r>
      <w:r w:rsidR="00D4611C" w:rsidRPr="002A7712">
        <w:rPr>
          <w:sz w:val="17"/>
          <w:szCs w:val="17"/>
        </w:rPr>
        <w:t>N Engl J Med 2011;264(11):1046-1060</w:t>
      </w:r>
    </w:p>
  </w:footnote>
  <w:footnote w:id="3">
    <w:p w14:paraId="6C832DB1" w14:textId="6B78F71B" w:rsidR="00477F9F" w:rsidRPr="002A7712" w:rsidRDefault="00477F9F" w:rsidP="00EC48D7">
      <w:pPr>
        <w:pStyle w:val="EndnoteText"/>
        <w:rPr>
          <w:sz w:val="17"/>
          <w:szCs w:val="17"/>
        </w:rPr>
      </w:pPr>
      <w:r w:rsidRPr="002A7712">
        <w:rPr>
          <w:rStyle w:val="FootnoteReference"/>
          <w:sz w:val="17"/>
          <w:szCs w:val="17"/>
        </w:rPr>
        <w:footnoteRef/>
      </w:r>
      <w:r w:rsidRPr="002A7712">
        <w:rPr>
          <w:sz w:val="17"/>
          <w:szCs w:val="17"/>
        </w:rPr>
        <w:t xml:space="preserve"> </w:t>
      </w:r>
      <w:r w:rsidR="00F92F2D" w:rsidRPr="002A7712">
        <w:rPr>
          <w:sz w:val="17"/>
          <w:szCs w:val="17"/>
        </w:rPr>
        <w:t>Overview of Cancer in Australia 2023 Australian Institute of Health and Welfare (</w:t>
      </w:r>
      <w:hyperlink r:id="rId1" w:history="1">
        <w:r w:rsidR="00F92F2D" w:rsidRPr="002A7712">
          <w:rPr>
            <w:color w:val="0000FF"/>
            <w:sz w:val="17"/>
            <w:szCs w:val="17"/>
            <w:u w:val="single"/>
          </w:rPr>
          <w:t>Cancer data in Australia, Overview of cancer in Australia, 2023 - Australian Institute of Health and Welfare (aihw.gov.au)</w:t>
        </w:r>
      </w:hyperlink>
      <w:r w:rsidR="00F92F2D" w:rsidRPr="002A7712">
        <w:rPr>
          <w:sz w:val="17"/>
          <w:szCs w:val="17"/>
        </w:rPr>
        <w:t>) accessed 28 January 2024</w:t>
      </w:r>
    </w:p>
  </w:footnote>
  <w:footnote w:id="4">
    <w:p w14:paraId="167F8BEC" w14:textId="27D5B669" w:rsidR="00784246" w:rsidRDefault="00784246">
      <w:pPr>
        <w:pStyle w:val="FootnoteText"/>
      </w:pPr>
      <w:r>
        <w:rPr>
          <w:rStyle w:val="FootnoteReference"/>
        </w:rPr>
        <w:footnoteRef/>
      </w:r>
      <w:r>
        <w:t xml:space="preserve"> </w:t>
      </w:r>
      <w:r w:rsidR="004E5162" w:rsidRPr="00145477">
        <w:rPr>
          <w:highlight w:val="lightGray"/>
        </w:rPr>
        <w:t>MSAG Myeloma Clinical Practice Guideline 2022</w:t>
      </w:r>
      <w:hyperlink r:id="rId2" w:anchor=":~:text=This%20guideline%20is%20a%20consensus%20established%20by%20the,this%20guideline%20are%20as%20outlined%20in%20table%201" w:history="1">
        <w:r w:rsidR="004E5162" w:rsidRPr="00145477">
          <w:rPr>
            <w:rStyle w:val="Hyperlink"/>
            <w:highlight w:val="lightGray"/>
          </w:rPr>
          <w:t>myeloma_clinical_practice_guideline_oct19.pdf</w:t>
        </w:r>
      </w:hyperlink>
    </w:p>
  </w:footnote>
  <w:footnote w:id="5">
    <w:p w14:paraId="4ABCB830" w14:textId="74041285" w:rsidR="00220E19" w:rsidRDefault="00220E19" w:rsidP="0066247D">
      <w:pPr>
        <w:pStyle w:val="EndnoteText"/>
      </w:pPr>
      <w:r w:rsidRPr="002A7712">
        <w:rPr>
          <w:rStyle w:val="FootnoteReference"/>
          <w:sz w:val="17"/>
          <w:szCs w:val="17"/>
        </w:rPr>
        <w:footnoteRef/>
      </w:r>
      <w:r w:rsidRPr="002A7712">
        <w:rPr>
          <w:sz w:val="17"/>
          <w:szCs w:val="17"/>
        </w:rPr>
        <w:t xml:space="preserve"> </w:t>
      </w:r>
      <w:r w:rsidR="002A7712" w:rsidRPr="002A7712">
        <w:rPr>
          <w:sz w:val="17"/>
          <w:szCs w:val="17"/>
        </w:rPr>
        <w:t xml:space="preserve">Cancer Data in Australia; AIHW-can-122-CDiA Book 1a – cancer incidence (age standardised rates and 5-year age groups) downloaded from </w:t>
      </w:r>
      <w:hyperlink r:id="rId3" w:history="1">
        <w:r w:rsidR="002A7712" w:rsidRPr="002A7712">
          <w:rPr>
            <w:color w:val="0000FF"/>
            <w:sz w:val="17"/>
            <w:szCs w:val="17"/>
            <w:u w:val="single"/>
          </w:rPr>
          <w:t>Cancer data in Australia, Data - Australian Institute of Health and Welfare (aihw.gov.au)</w:t>
        </w:r>
      </w:hyperlink>
    </w:p>
  </w:footnote>
  <w:footnote w:id="6">
    <w:p w14:paraId="53091FD3" w14:textId="0E8A468E" w:rsidR="004E197E" w:rsidRPr="001877BE" w:rsidRDefault="004E197E" w:rsidP="001877BE">
      <w:pPr>
        <w:pStyle w:val="EndnoteText"/>
        <w:rPr>
          <w:sz w:val="17"/>
          <w:szCs w:val="17"/>
        </w:rPr>
      </w:pPr>
      <w:r>
        <w:rPr>
          <w:rStyle w:val="FootnoteReference"/>
        </w:rPr>
        <w:footnoteRef/>
      </w:r>
      <w:r>
        <w:t xml:space="preserve"> </w:t>
      </w:r>
      <w:r w:rsidR="0066247D" w:rsidRPr="001877BE">
        <w:rPr>
          <w:sz w:val="17"/>
          <w:szCs w:val="17"/>
        </w:rPr>
        <w:t xml:space="preserve">Rajumkumar SV, Merlini G, San Miguel JF </w:t>
      </w:r>
      <w:r w:rsidR="0066247D" w:rsidRPr="001877BE">
        <w:rPr>
          <w:i/>
          <w:iCs/>
          <w:sz w:val="17"/>
          <w:szCs w:val="17"/>
        </w:rPr>
        <w:t xml:space="preserve">Haematological </w:t>
      </w:r>
      <w:proofErr w:type="gramStart"/>
      <w:r w:rsidR="0066247D" w:rsidRPr="001877BE">
        <w:rPr>
          <w:i/>
          <w:iCs/>
          <w:sz w:val="17"/>
          <w:szCs w:val="17"/>
        </w:rPr>
        <w:t>cancer :Redefining</w:t>
      </w:r>
      <w:proofErr w:type="gramEnd"/>
      <w:r w:rsidR="0066247D" w:rsidRPr="001877BE">
        <w:rPr>
          <w:i/>
          <w:iCs/>
          <w:sz w:val="17"/>
          <w:szCs w:val="17"/>
        </w:rPr>
        <w:t xml:space="preserve"> Myeloma </w:t>
      </w:r>
      <w:r w:rsidR="0066247D" w:rsidRPr="001877BE">
        <w:rPr>
          <w:sz w:val="17"/>
          <w:szCs w:val="17"/>
        </w:rPr>
        <w:t>Nat Rev Clin Oncol 2012;9:494-496</w:t>
      </w:r>
    </w:p>
  </w:footnote>
  <w:footnote w:id="7">
    <w:p w14:paraId="211B0565" w14:textId="77777777" w:rsidR="001877BE" w:rsidRPr="001877BE" w:rsidRDefault="00411578" w:rsidP="001877BE">
      <w:pPr>
        <w:pStyle w:val="EndnoteText"/>
        <w:rPr>
          <w:sz w:val="17"/>
          <w:szCs w:val="17"/>
        </w:rPr>
      </w:pPr>
      <w:r w:rsidRPr="001877BE">
        <w:rPr>
          <w:rStyle w:val="FootnoteReference"/>
          <w:sz w:val="17"/>
          <w:szCs w:val="17"/>
        </w:rPr>
        <w:footnoteRef/>
      </w:r>
      <w:r w:rsidRPr="001877BE">
        <w:rPr>
          <w:sz w:val="17"/>
          <w:szCs w:val="17"/>
        </w:rPr>
        <w:t xml:space="preserve"> </w:t>
      </w:r>
      <w:r w:rsidR="001877BE" w:rsidRPr="001877BE">
        <w:rPr>
          <w:sz w:val="17"/>
          <w:szCs w:val="17"/>
        </w:rPr>
        <w:t xml:space="preserve">Landgren O, Kyle RA, Pfeiffer RM et al </w:t>
      </w:r>
      <w:r w:rsidR="001877BE" w:rsidRPr="001877BE">
        <w:rPr>
          <w:i/>
          <w:iCs/>
          <w:sz w:val="17"/>
          <w:szCs w:val="17"/>
        </w:rPr>
        <w:t xml:space="preserve">monoclonal Gammopathy of Undetermined Significance (MGUS) consistently precedes multiple myeloma: a prospective study </w:t>
      </w:r>
      <w:r w:rsidR="001877BE" w:rsidRPr="001877BE">
        <w:rPr>
          <w:sz w:val="17"/>
          <w:szCs w:val="17"/>
        </w:rPr>
        <w:t>Blood 2009;113:5412-5417</w:t>
      </w:r>
    </w:p>
    <w:p w14:paraId="52CFFF40" w14:textId="24AAB601" w:rsidR="00411578" w:rsidRDefault="00411578">
      <w:pPr>
        <w:pStyle w:val="FootnoteText"/>
      </w:pPr>
    </w:p>
  </w:footnote>
  <w:footnote w:id="8">
    <w:p w14:paraId="0261CCE6" w14:textId="1C707C0E" w:rsidR="00665B02" w:rsidRDefault="008A01DB" w:rsidP="00130F2D">
      <w:pPr>
        <w:pStyle w:val="EndnoteText"/>
      </w:pPr>
      <w:r>
        <w:rPr>
          <w:rStyle w:val="FootnoteReference"/>
        </w:rPr>
        <w:footnoteRef/>
      </w:r>
      <w:r>
        <w:t xml:space="preserve"> </w:t>
      </w:r>
      <w:r w:rsidR="00665B02">
        <w:t xml:space="preserve">American Cancer Society: Survival Rates for Multiple Myeloma </w:t>
      </w:r>
      <w:hyperlink r:id="rId4" w:history="1">
        <w:r w:rsidR="00665B02">
          <w:rPr>
            <w:rStyle w:val="Hyperlink"/>
          </w:rPr>
          <w:t>Survival Rates for Multiple Myeloma | American Cancer Society</w:t>
        </w:r>
      </w:hyperlink>
      <w:r w:rsidR="00665B02">
        <w:t>, accessed 28 January 2024.</w:t>
      </w:r>
    </w:p>
  </w:footnote>
  <w:footnote w:id="9">
    <w:p w14:paraId="29710BBF" w14:textId="22E6A578" w:rsidR="000D37FA" w:rsidRDefault="00130F2D" w:rsidP="000D37FA">
      <w:pPr>
        <w:pStyle w:val="EndnoteText"/>
      </w:pPr>
      <w:r>
        <w:rPr>
          <w:rStyle w:val="FootnoteReference"/>
        </w:rPr>
        <w:footnoteRef/>
      </w:r>
      <w:r>
        <w:t xml:space="preserve"> </w:t>
      </w:r>
      <w:r w:rsidR="000D37FA" w:rsidRPr="0070294B">
        <w:t>MSAG Myeloma Clinical Practice Guideline 2022</w:t>
      </w:r>
      <w:r w:rsidR="004916E0" w:rsidRPr="0070294B">
        <w:t xml:space="preserve"> </w:t>
      </w:r>
      <w:hyperlink r:id="rId5" w:anchor=":~:text=This%20guideline%20is%20a%20consensus%20established%20by%20the,this%20guideline%20are%20as%20outlined%20in%20table%201" w:history="1">
        <w:r w:rsidR="004916E0" w:rsidRPr="0070294B">
          <w:rPr>
            <w:rStyle w:val="Hyperlink"/>
          </w:rPr>
          <w:t>My</w:t>
        </w:r>
        <w:r w:rsidR="000D37FA" w:rsidRPr="0070294B">
          <w:rPr>
            <w:rStyle w:val="Hyperlink"/>
          </w:rPr>
          <w:t>eloma_clinical_practice_guideline_oct19.pdf</w:t>
        </w:r>
      </w:hyperlink>
    </w:p>
    <w:p w14:paraId="73983C56" w14:textId="70DC5DEC" w:rsidR="00130F2D" w:rsidRDefault="00130F2D">
      <w:pPr>
        <w:pStyle w:val="FootnoteText"/>
      </w:pPr>
    </w:p>
  </w:footnote>
  <w:footnote w:id="10">
    <w:p w14:paraId="41ED2CFF" w14:textId="3F686F0D" w:rsidR="00EF5405" w:rsidRPr="00875B8F" w:rsidRDefault="006C7C7F" w:rsidP="00EF5405">
      <w:pPr>
        <w:pStyle w:val="EndnoteText"/>
      </w:pPr>
      <w:r>
        <w:rPr>
          <w:rStyle w:val="FootnoteReference"/>
        </w:rPr>
        <w:footnoteRef/>
      </w:r>
      <w:r>
        <w:t xml:space="preserve"> </w:t>
      </w:r>
      <w:r w:rsidR="00EF5405">
        <w:t xml:space="preserve">Kumar SK, Callander NS, Adekola K et al </w:t>
      </w:r>
      <w:r w:rsidR="00EF5405">
        <w:rPr>
          <w:i/>
          <w:iCs/>
        </w:rPr>
        <w:t xml:space="preserve">Multiple Myeloma, Version 2.2024, NCCN Clinical Practice Guidelines in Oncology </w:t>
      </w:r>
      <w:r w:rsidR="00EF5405">
        <w:t>J</w:t>
      </w:r>
      <w:r w:rsidR="00573F5B">
        <w:t xml:space="preserve">ournal of the </w:t>
      </w:r>
      <w:r w:rsidR="00EF5405">
        <w:t>Nat</w:t>
      </w:r>
      <w:r w:rsidR="00573F5B">
        <w:t xml:space="preserve">ional </w:t>
      </w:r>
      <w:r w:rsidR="00EF5405">
        <w:t>Compr</w:t>
      </w:r>
      <w:r w:rsidR="00573F5B">
        <w:t>ehensive</w:t>
      </w:r>
      <w:r w:rsidR="00EF5405">
        <w:t xml:space="preserve"> Canc</w:t>
      </w:r>
      <w:r w:rsidR="00573F5B">
        <w:t>er</w:t>
      </w:r>
      <w:r w:rsidR="00EF5405">
        <w:t xml:space="preserve"> Netw</w:t>
      </w:r>
      <w:r w:rsidR="00573F5B">
        <w:t>ork</w:t>
      </w:r>
      <w:r w:rsidR="001B7717">
        <w:t>:</w:t>
      </w:r>
      <w:r w:rsidR="0007645B">
        <w:t xml:space="preserve"> </w:t>
      </w:r>
      <w:r w:rsidR="001B7717">
        <w:t>JNCCN</w:t>
      </w:r>
      <w:r w:rsidR="00EF5405">
        <w:t xml:space="preserve"> 2023;21(12):1281-1301</w:t>
      </w:r>
    </w:p>
    <w:p w14:paraId="61706497" w14:textId="42E3FFAA" w:rsidR="006C7C7F" w:rsidRDefault="006C7C7F">
      <w:pPr>
        <w:pStyle w:val="FootnoteText"/>
      </w:pPr>
    </w:p>
  </w:footnote>
  <w:footnote w:id="11">
    <w:p w14:paraId="3A460358" w14:textId="0421E772" w:rsidR="00536375" w:rsidRDefault="00536375">
      <w:pPr>
        <w:pStyle w:val="FootnoteText"/>
      </w:pPr>
      <w:r w:rsidRPr="0070294B">
        <w:rPr>
          <w:rStyle w:val="FootnoteReference"/>
          <w:color w:val="auto"/>
        </w:rPr>
        <w:footnoteRef/>
      </w:r>
      <w:r w:rsidRPr="0070294B">
        <w:rPr>
          <w:color w:val="auto"/>
        </w:rPr>
        <w:t xml:space="preserve"> </w:t>
      </w:r>
      <w:r w:rsidR="00DE44CA" w:rsidRPr="0070294B">
        <w:rPr>
          <w:color w:val="auto"/>
          <w:highlight w:val="lightGray"/>
        </w:rPr>
        <w:t xml:space="preserve">Carvykti (ciltacabtagene autoleucel) Product Information </w:t>
      </w:r>
      <w:hyperlink r:id="rId6" w:history="1">
        <w:r w:rsidR="00DE44CA" w:rsidRPr="005A6A4E">
          <w:rPr>
            <w:rStyle w:val="Hyperlink"/>
            <w:highlight w:val="lightGray"/>
          </w:rPr>
          <w:t>pdf (tga.gov.au)</w:t>
        </w:r>
      </w:hyperlink>
    </w:p>
  </w:footnote>
  <w:footnote w:id="12">
    <w:p w14:paraId="14E68500" w14:textId="486BEE6E" w:rsidR="00225D51" w:rsidRPr="0070294B" w:rsidRDefault="00225D51" w:rsidP="0043501B">
      <w:pPr>
        <w:pStyle w:val="EndnoteText"/>
        <w:rPr>
          <w:sz w:val="17"/>
          <w:szCs w:val="17"/>
        </w:rPr>
      </w:pPr>
      <w:r w:rsidRPr="001205D1">
        <w:rPr>
          <w:rStyle w:val="FootnoteReference"/>
          <w:color w:val="333F48"/>
          <w:sz w:val="17"/>
        </w:rPr>
        <w:footnoteRef/>
      </w:r>
      <w:r w:rsidRPr="001205D1">
        <w:rPr>
          <w:rStyle w:val="FootnoteReference"/>
          <w:color w:val="333F48"/>
          <w:sz w:val="17"/>
        </w:rPr>
        <w:t xml:space="preserve"> </w:t>
      </w:r>
      <w:r w:rsidR="00A04795" w:rsidRPr="0070294B">
        <w:rPr>
          <w:sz w:val="17"/>
          <w:szCs w:val="17"/>
          <w:highlight w:val="lightGray"/>
        </w:rPr>
        <w:t xml:space="preserve">Tecvayli (teclistamab) Product Information </w:t>
      </w:r>
      <w:hyperlink r:id="rId7" w:history="1">
        <w:r w:rsidR="00A04795" w:rsidRPr="0070294B">
          <w:rPr>
            <w:rStyle w:val="Hyperlink"/>
            <w:sz w:val="17"/>
            <w:szCs w:val="17"/>
            <w:highlight w:val="lightGray"/>
          </w:rPr>
          <w:t>pdf (tga.gov.au)</w:t>
        </w:r>
      </w:hyperlink>
    </w:p>
  </w:footnote>
  <w:footnote w:id="13">
    <w:p w14:paraId="2DEE783C" w14:textId="5348C34D" w:rsidR="00E80890" w:rsidRDefault="00E80890">
      <w:pPr>
        <w:pStyle w:val="FootnoteText"/>
      </w:pPr>
      <w:r>
        <w:rPr>
          <w:rStyle w:val="FootnoteReference"/>
        </w:rPr>
        <w:footnoteRef/>
      </w:r>
      <w:r>
        <w:t xml:space="preserve"> </w:t>
      </w:r>
      <w:r w:rsidR="004B6B87" w:rsidRPr="0070294B">
        <w:rPr>
          <w:color w:val="auto"/>
          <w:highlight w:val="lightGray"/>
        </w:rPr>
        <w:t xml:space="preserve">Xpovio (selinexor) Product Information </w:t>
      </w:r>
      <w:hyperlink r:id="rId8" w:history="1">
        <w:r w:rsidR="004B6B87" w:rsidRPr="0093329D">
          <w:rPr>
            <w:rStyle w:val="Hyperlink"/>
            <w:highlight w:val="lightGray"/>
          </w:rPr>
          <w:t>Product Information (tga.gov.au)</w:t>
        </w:r>
      </w:hyperlink>
    </w:p>
  </w:footnote>
  <w:footnote w:id="14">
    <w:p w14:paraId="224CD836" w14:textId="161B396C" w:rsidR="00500D68" w:rsidRDefault="00500D68">
      <w:pPr>
        <w:pStyle w:val="FootnoteText"/>
      </w:pPr>
      <w:r>
        <w:rPr>
          <w:rStyle w:val="FootnoteReference"/>
        </w:rPr>
        <w:footnoteRef/>
      </w:r>
      <w:r>
        <w:t xml:space="preserve"> </w:t>
      </w:r>
      <w:r w:rsidR="00AD0111" w:rsidRPr="00AD0111">
        <w:t xml:space="preserve"> </w:t>
      </w:r>
      <w:r w:rsidR="00AD0111">
        <w:t>In this report the ‘</w:t>
      </w:r>
      <w:r w:rsidR="00AD0111" w:rsidRPr="00C133A3">
        <w:t>Delegate</w:t>
      </w:r>
      <w:r w:rsidR="00AD0111">
        <w:t>’</w:t>
      </w:r>
      <w:r w:rsidR="00AD0111" w:rsidRPr="00C133A3">
        <w:t xml:space="preserve"> </w:t>
      </w:r>
      <w:r w:rsidR="00AD0111">
        <w:t xml:space="preserve">is the </w:t>
      </w:r>
      <w:r w:rsidR="00AD0111" w:rsidRPr="00C133A3">
        <w:t xml:space="preserve">Delegate of the Secretary of the Department of Health and Aged Care who </w:t>
      </w:r>
      <w:r w:rsidR="00AD0111">
        <w:t>decided the submission</w:t>
      </w:r>
      <w:r w:rsidR="00AD0111" w:rsidRPr="00C133A3">
        <w:t xml:space="preserve"> under section 25 of the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5437D5"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44E49"/>
    <w:multiLevelType w:val="hybridMultilevel"/>
    <w:tmpl w:val="FF5E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9D262B"/>
    <w:multiLevelType w:val="hybridMultilevel"/>
    <w:tmpl w:val="16FAE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90C6042"/>
    <w:multiLevelType w:val="hybridMultilevel"/>
    <w:tmpl w:val="43A6C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403258"/>
    <w:multiLevelType w:val="hybridMultilevel"/>
    <w:tmpl w:val="B85628A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1536AB"/>
    <w:multiLevelType w:val="hybridMultilevel"/>
    <w:tmpl w:val="5964A5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6" w15:restartNumberingAfterBreak="0">
    <w:nsid w:val="62E1248D"/>
    <w:multiLevelType w:val="hybridMultilevel"/>
    <w:tmpl w:val="186C7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BA1233"/>
    <w:multiLevelType w:val="hybridMultilevel"/>
    <w:tmpl w:val="C7CEA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286487"/>
    <w:multiLevelType w:val="hybridMultilevel"/>
    <w:tmpl w:val="99A01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49A0CE2"/>
    <w:multiLevelType w:val="hybridMultilevel"/>
    <w:tmpl w:val="C3D44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8C46F8"/>
    <w:multiLevelType w:val="hybridMultilevel"/>
    <w:tmpl w:val="D4263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22" w15:restartNumberingAfterBreak="0">
    <w:nsid w:val="7F720292"/>
    <w:multiLevelType w:val="hybridMultilevel"/>
    <w:tmpl w:val="B762A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997172">
    <w:abstractNumId w:val="4"/>
  </w:num>
  <w:num w:numId="2" w16cid:durableId="1856573705">
    <w:abstractNumId w:val="1"/>
  </w:num>
  <w:num w:numId="3" w16cid:durableId="357703499">
    <w:abstractNumId w:val="3"/>
  </w:num>
  <w:num w:numId="4" w16cid:durableId="1869176708">
    <w:abstractNumId w:val="14"/>
  </w:num>
  <w:num w:numId="5" w16cid:durableId="1652950129">
    <w:abstractNumId w:val="7"/>
  </w:num>
  <w:num w:numId="6" w16cid:durableId="1053193207">
    <w:abstractNumId w:val="12"/>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3"/>
  </w:num>
  <w:num w:numId="9" w16cid:durableId="173421270">
    <w:abstractNumId w:val="2"/>
  </w:num>
  <w:num w:numId="10" w16cid:durableId="2108043357">
    <w:abstractNumId w:val="6"/>
  </w:num>
  <w:num w:numId="11" w16cid:durableId="1725904230">
    <w:abstractNumId w:val="11"/>
  </w:num>
  <w:num w:numId="12" w16cid:durableId="141579354">
    <w:abstractNumId w:val="15"/>
  </w:num>
  <w:num w:numId="13" w16cid:durableId="283735081">
    <w:abstractNumId w:val="21"/>
  </w:num>
  <w:num w:numId="14" w16cid:durableId="294217673">
    <w:abstractNumId w:val="10"/>
  </w:num>
  <w:num w:numId="15" w16cid:durableId="1007714112">
    <w:abstractNumId w:val="22"/>
  </w:num>
  <w:num w:numId="16" w16cid:durableId="1856310725">
    <w:abstractNumId w:val="19"/>
  </w:num>
  <w:num w:numId="17" w16cid:durableId="1650090663">
    <w:abstractNumId w:val="18"/>
  </w:num>
  <w:num w:numId="18" w16cid:durableId="1717506153">
    <w:abstractNumId w:val="4"/>
  </w:num>
  <w:num w:numId="19" w16cid:durableId="686062422">
    <w:abstractNumId w:val="4"/>
  </w:num>
  <w:num w:numId="20" w16cid:durableId="2064714613">
    <w:abstractNumId w:val="4"/>
  </w:num>
  <w:num w:numId="21" w16cid:durableId="321547150">
    <w:abstractNumId w:val="16"/>
  </w:num>
  <w:num w:numId="22" w16cid:durableId="1177692047">
    <w:abstractNumId w:val="17"/>
  </w:num>
  <w:num w:numId="23" w16cid:durableId="1867057338">
    <w:abstractNumId w:val="0"/>
  </w:num>
  <w:num w:numId="24" w16cid:durableId="1223832032">
    <w:abstractNumId w:val="5"/>
  </w:num>
  <w:num w:numId="25" w16cid:durableId="1788617417">
    <w:abstractNumId w:val="4"/>
  </w:num>
  <w:num w:numId="26" w16cid:durableId="846022923">
    <w:abstractNumId w:val="9"/>
  </w:num>
  <w:num w:numId="27" w16cid:durableId="795097828">
    <w:abstractNumId w:val="20"/>
  </w:num>
  <w:num w:numId="28" w16cid:durableId="730541209">
    <w:abstractNumId w:val="8"/>
  </w:num>
  <w:num w:numId="29" w16cid:durableId="2016414295">
    <w:abstractNumId w:val="4"/>
  </w:num>
  <w:num w:numId="30" w16cid:durableId="20878028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A3D"/>
    <w:rsid w:val="000036F8"/>
    <w:rsid w:val="0000399B"/>
    <w:rsid w:val="00003B5B"/>
    <w:rsid w:val="00004431"/>
    <w:rsid w:val="00005062"/>
    <w:rsid w:val="00005DAD"/>
    <w:rsid w:val="0001064C"/>
    <w:rsid w:val="000119C8"/>
    <w:rsid w:val="0001384A"/>
    <w:rsid w:val="0001678A"/>
    <w:rsid w:val="00026127"/>
    <w:rsid w:val="00026C3C"/>
    <w:rsid w:val="00026FF8"/>
    <w:rsid w:val="00031380"/>
    <w:rsid w:val="00031948"/>
    <w:rsid w:val="000319CD"/>
    <w:rsid w:val="00032A0F"/>
    <w:rsid w:val="00040D8D"/>
    <w:rsid w:val="00043D69"/>
    <w:rsid w:val="00046423"/>
    <w:rsid w:val="0005466A"/>
    <w:rsid w:val="0006104E"/>
    <w:rsid w:val="000640BD"/>
    <w:rsid w:val="00065839"/>
    <w:rsid w:val="00065FDF"/>
    <w:rsid w:val="00067F09"/>
    <w:rsid w:val="000716A5"/>
    <w:rsid w:val="00074A3D"/>
    <w:rsid w:val="0007645B"/>
    <w:rsid w:val="00077844"/>
    <w:rsid w:val="000830A7"/>
    <w:rsid w:val="00090510"/>
    <w:rsid w:val="000912CF"/>
    <w:rsid w:val="000917AE"/>
    <w:rsid w:val="0009274C"/>
    <w:rsid w:val="00094B81"/>
    <w:rsid w:val="000975AA"/>
    <w:rsid w:val="000A6BB2"/>
    <w:rsid w:val="000B12A2"/>
    <w:rsid w:val="000B6B15"/>
    <w:rsid w:val="000B6B97"/>
    <w:rsid w:val="000B7F02"/>
    <w:rsid w:val="000C009F"/>
    <w:rsid w:val="000C1EF9"/>
    <w:rsid w:val="000C25A7"/>
    <w:rsid w:val="000D04D2"/>
    <w:rsid w:val="000D37FA"/>
    <w:rsid w:val="000D78EC"/>
    <w:rsid w:val="000D7934"/>
    <w:rsid w:val="000E162D"/>
    <w:rsid w:val="000E2597"/>
    <w:rsid w:val="000E2739"/>
    <w:rsid w:val="000E6746"/>
    <w:rsid w:val="000F7B51"/>
    <w:rsid w:val="00101BEE"/>
    <w:rsid w:val="00101CE6"/>
    <w:rsid w:val="00101FB1"/>
    <w:rsid w:val="001036EC"/>
    <w:rsid w:val="0010558A"/>
    <w:rsid w:val="001101FF"/>
    <w:rsid w:val="00112C8D"/>
    <w:rsid w:val="00113F9F"/>
    <w:rsid w:val="001178BF"/>
    <w:rsid w:val="001205D1"/>
    <w:rsid w:val="00121144"/>
    <w:rsid w:val="0012473C"/>
    <w:rsid w:val="00125E94"/>
    <w:rsid w:val="00127387"/>
    <w:rsid w:val="0012756F"/>
    <w:rsid w:val="00127A74"/>
    <w:rsid w:val="00130F2D"/>
    <w:rsid w:val="0013132F"/>
    <w:rsid w:val="00132D72"/>
    <w:rsid w:val="0013306D"/>
    <w:rsid w:val="0013528C"/>
    <w:rsid w:val="00137009"/>
    <w:rsid w:val="00143B72"/>
    <w:rsid w:val="00143CCA"/>
    <w:rsid w:val="001442A2"/>
    <w:rsid w:val="001468CA"/>
    <w:rsid w:val="0014746B"/>
    <w:rsid w:val="001500A8"/>
    <w:rsid w:val="001500E2"/>
    <w:rsid w:val="00155D85"/>
    <w:rsid w:val="00161DAA"/>
    <w:rsid w:val="00164445"/>
    <w:rsid w:val="00165D28"/>
    <w:rsid w:val="001678BA"/>
    <w:rsid w:val="0017005C"/>
    <w:rsid w:val="00171C30"/>
    <w:rsid w:val="00175919"/>
    <w:rsid w:val="00175CD8"/>
    <w:rsid w:val="00182BD8"/>
    <w:rsid w:val="001867A3"/>
    <w:rsid w:val="001877BE"/>
    <w:rsid w:val="00187BA9"/>
    <w:rsid w:val="001925B4"/>
    <w:rsid w:val="00193C9B"/>
    <w:rsid w:val="00196175"/>
    <w:rsid w:val="00197934"/>
    <w:rsid w:val="001A0A66"/>
    <w:rsid w:val="001A76F9"/>
    <w:rsid w:val="001B06FF"/>
    <w:rsid w:val="001B160C"/>
    <w:rsid w:val="001B1703"/>
    <w:rsid w:val="001B186E"/>
    <w:rsid w:val="001B7717"/>
    <w:rsid w:val="001C1C2E"/>
    <w:rsid w:val="001C31A1"/>
    <w:rsid w:val="001C3E3B"/>
    <w:rsid w:val="001C3FA2"/>
    <w:rsid w:val="001C5EE2"/>
    <w:rsid w:val="001D0077"/>
    <w:rsid w:val="001D1E00"/>
    <w:rsid w:val="001D211E"/>
    <w:rsid w:val="001D70C0"/>
    <w:rsid w:val="001E13C2"/>
    <w:rsid w:val="001E1D06"/>
    <w:rsid w:val="001E407B"/>
    <w:rsid w:val="001E4F2E"/>
    <w:rsid w:val="001E74F5"/>
    <w:rsid w:val="001E7C1E"/>
    <w:rsid w:val="001E7FC6"/>
    <w:rsid w:val="001F0961"/>
    <w:rsid w:val="001F1E97"/>
    <w:rsid w:val="001F2502"/>
    <w:rsid w:val="001F4713"/>
    <w:rsid w:val="001F5772"/>
    <w:rsid w:val="001F64BE"/>
    <w:rsid w:val="001F70A5"/>
    <w:rsid w:val="001F755D"/>
    <w:rsid w:val="0020235D"/>
    <w:rsid w:val="0020369B"/>
    <w:rsid w:val="002041DA"/>
    <w:rsid w:val="0020623D"/>
    <w:rsid w:val="00207984"/>
    <w:rsid w:val="00207B4D"/>
    <w:rsid w:val="002117B1"/>
    <w:rsid w:val="00215CA4"/>
    <w:rsid w:val="00217BF5"/>
    <w:rsid w:val="00217CCE"/>
    <w:rsid w:val="002203B1"/>
    <w:rsid w:val="00220E19"/>
    <w:rsid w:val="00225D51"/>
    <w:rsid w:val="0022692A"/>
    <w:rsid w:val="00226F39"/>
    <w:rsid w:val="0022789B"/>
    <w:rsid w:val="00231805"/>
    <w:rsid w:val="002334AD"/>
    <w:rsid w:val="00237ED1"/>
    <w:rsid w:val="00241B60"/>
    <w:rsid w:val="00243DC9"/>
    <w:rsid w:val="00246207"/>
    <w:rsid w:val="00247B52"/>
    <w:rsid w:val="0025056C"/>
    <w:rsid w:val="0025785B"/>
    <w:rsid w:val="00257969"/>
    <w:rsid w:val="0026230F"/>
    <w:rsid w:val="00262C66"/>
    <w:rsid w:val="00271DAB"/>
    <w:rsid w:val="0027760A"/>
    <w:rsid w:val="00280048"/>
    <w:rsid w:val="0028489E"/>
    <w:rsid w:val="002848DE"/>
    <w:rsid w:val="0028794E"/>
    <w:rsid w:val="00292D46"/>
    <w:rsid w:val="00295497"/>
    <w:rsid w:val="002A5841"/>
    <w:rsid w:val="002A73A5"/>
    <w:rsid w:val="002A7712"/>
    <w:rsid w:val="002B066D"/>
    <w:rsid w:val="002B1EDF"/>
    <w:rsid w:val="002B2061"/>
    <w:rsid w:val="002B3B91"/>
    <w:rsid w:val="002B3FF3"/>
    <w:rsid w:val="002B4DAA"/>
    <w:rsid w:val="002B77BD"/>
    <w:rsid w:val="002C1232"/>
    <w:rsid w:val="002C1E44"/>
    <w:rsid w:val="002C5C92"/>
    <w:rsid w:val="002C5E29"/>
    <w:rsid w:val="002C770E"/>
    <w:rsid w:val="002D0478"/>
    <w:rsid w:val="002D0D9F"/>
    <w:rsid w:val="002D584A"/>
    <w:rsid w:val="002D7127"/>
    <w:rsid w:val="002D7E53"/>
    <w:rsid w:val="002E4A3E"/>
    <w:rsid w:val="002F599E"/>
    <w:rsid w:val="003008D8"/>
    <w:rsid w:val="0030096D"/>
    <w:rsid w:val="00301D9A"/>
    <w:rsid w:val="003031D8"/>
    <w:rsid w:val="00303959"/>
    <w:rsid w:val="0030656B"/>
    <w:rsid w:val="00306E72"/>
    <w:rsid w:val="00312AC3"/>
    <w:rsid w:val="00314430"/>
    <w:rsid w:val="00314F87"/>
    <w:rsid w:val="003163BC"/>
    <w:rsid w:val="00316B3D"/>
    <w:rsid w:val="00317905"/>
    <w:rsid w:val="00321CAF"/>
    <w:rsid w:val="0032351A"/>
    <w:rsid w:val="00324B33"/>
    <w:rsid w:val="0032540E"/>
    <w:rsid w:val="00327488"/>
    <w:rsid w:val="00336FE1"/>
    <w:rsid w:val="00342C6D"/>
    <w:rsid w:val="00342D56"/>
    <w:rsid w:val="003456E7"/>
    <w:rsid w:val="00346EC2"/>
    <w:rsid w:val="00347181"/>
    <w:rsid w:val="003477F9"/>
    <w:rsid w:val="00347E53"/>
    <w:rsid w:val="00347E5E"/>
    <w:rsid w:val="0035444D"/>
    <w:rsid w:val="00356D62"/>
    <w:rsid w:val="00361AA7"/>
    <w:rsid w:val="003623DF"/>
    <w:rsid w:val="00363EE3"/>
    <w:rsid w:val="00366152"/>
    <w:rsid w:val="00366847"/>
    <w:rsid w:val="00366942"/>
    <w:rsid w:val="00367FA7"/>
    <w:rsid w:val="003735F3"/>
    <w:rsid w:val="00374729"/>
    <w:rsid w:val="00376670"/>
    <w:rsid w:val="00386240"/>
    <w:rsid w:val="00387298"/>
    <w:rsid w:val="00387984"/>
    <w:rsid w:val="00395140"/>
    <w:rsid w:val="003A21D2"/>
    <w:rsid w:val="003A2422"/>
    <w:rsid w:val="003A4331"/>
    <w:rsid w:val="003A79DC"/>
    <w:rsid w:val="003B149C"/>
    <w:rsid w:val="003B1A18"/>
    <w:rsid w:val="003B2887"/>
    <w:rsid w:val="003B3BE6"/>
    <w:rsid w:val="003B639F"/>
    <w:rsid w:val="003C0FDB"/>
    <w:rsid w:val="003C1192"/>
    <w:rsid w:val="003C2D36"/>
    <w:rsid w:val="003C3845"/>
    <w:rsid w:val="003C55E2"/>
    <w:rsid w:val="003C63D5"/>
    <w:rsid w:val="003C654F"/>
    <w:rsid w:val="003C7AA8"/>
    <w:rsid w:val="003D3D5D"/>
    <w:rsid w:val="003D71A1"/>
    <w:rsid w:val="003D721F"/>
    <w:rsid w:val="003E05C7"/>
    <w:rsid w:val="003E1227"/>
    <w:rsid w:val="003E14EB"/>
    <w:rsid w:val="003E4145"/>
    <w:rsid w:val="003E4E62"/>
    <w:rsid w:val="003F499D"/>
    <w:rsid w:val="003F5A7F"/>
    <w:rsid w:val="003F6D27"/>
    <w:rsid w:val="0040096F"/>
    <w:rsid w:val="00401590"/>
    <w:rsid w:val="004032EA"/>
    <w:rsid w:val="00410DE0"/>
    <w:rsid w:val="00411578"/>
    <w:rsid w:val="004140E4"/>
    <w:rsid w:val="004165BC"/>
    <w:rsid w:val="0041688F"/>
    <w:rsid w:val="00417213"/>
    <w:rsid w:val="00421378"/>
    <w:rsid w:val="00422B8F"/>
    <w:rsid w:val="0042376F"/>
    <w:rsid w:val="004246B8"/>
    <w:rsid w:val="004248F1"/>
    <w:rsid w:val="00426C9E"/>
    <w:rsid w:val="00433318"/>
    <w:rsid w:val="0043501B"/>
    <w:rsid w:val="00440790"/>
    <w:rsid w:val="00442A56"/>
    <w:rsid w:val="004444B0"/>
    <w:rsid w:val="0045060B"/>
    <w:rsid w:val="00451499"/>
    <w:rsid w:val="00451BA4"/>
    <w:rsid w:val="00461CE1"/>
    <w:rsid w:val="004626FF"/>
    <w:rsid w:val="00467C17"/>
    <w:rsid w:val="00470A52"/>
    <w:rsid w:val="00471BD5"/>
    <w:rsid w:val="00474D52"/>
    <w:rsid w:val="0047708E"/>
    <w:rsid w:val="00477B7E"/>
    <w:rsid w:val="00477C4E"/>
    <w:rsid w:val="00477F07"/>
    <w:rsid w:val="00477F9F"/>
    <w:rsid w:val="00481503"/>
    <w:rsid w:val="00481D12"/>
    <w:rsid w:val="00481FD3"/>
    <w:rsid w:val="004854A6"/>
    <w:rsid w:val="004916E0"/>
    <w:rsid w:val="00491A55"/>
    <w:rsid w:val="00494C3E"/>
    <w:rsid w:val="00497DF1"/>
    <w:rsid w:val="004A318E"/>
    <w:rsid w:val="004A57E8"/>
    <w:rsid w:val="004B0B0A"/>
    <w:rsid w:val="004B3081"/>
    <w:rsid w:val="004B4A09"/>
    <w:rsid w:val="004B4F80"/>
    <w:rsid w:val="004B4FD3"/>
    <w:rsid w:val="004B54E2"/>
    <w:rsid w:val="004B5AD5"/>
    <w:rsid w:val="004B6B87"/>
    <w:rsid w:val="004C40E7"/>
    <w:rsid w:val="004C41CE"/>
    <w:rsid w:val="004C5A3E"/>
    <w:rsid w:val="004C631B"/>
    <w:rsid w:val="004C7A8D"/>
    <w:rsid w:val="004D1FD4"/>
    <w:rsid w:val="004D2F00"/>
    <w:rsid w:val="004D31D8"/>
    <w:rsid w:val="004D5388"/>
    <w:rsid w:val="004E197E"/>
    <w:rsid w:val="004E5162"/>
    <w:rsid w:val="004E6DA7"/>
    <w:rsid w:val="004E7F16"/>
    <w:rsid w:val="004F18EC"/>
    <w:rsid w:val="004F2AEF"/>
    <w:rsid w:val="004F34DC"/>
    <w:rsid w:val="004F365A"/>
    <w:rsid w:val="004F3D0E"/>
    <w:rsid w:val="004F78B4"/>
    <w:rsid w:val="00500D68"/>
    <w:rsid w:val="00510FB6"/>
    <w:rsid w:val="005112A7"/>
    <w:rsid w:val="00514957"/>
    <w:rsid w:val="005173B8"/>
    <w:rsid w:val="00524001"/>
    <w:rsid w:val="00525E00"/>
    <w:rsid w:val="0053377D"/>
    <w:rsid w:val="00535DFE"/>
    <w:rsid w:val="00536375"/>
    <w:rsid w:val="005373B5"/>
    <w:rsid w:val="00537AB7"/>
    <w:rsid w:val="00540907"/>
    <w:rsid w:val="0054097D"/>
    <w:rsid w:val="00541F57"/>
    <w:rsid w:val="005437D5"/>
    <w:rsid w:val="00544737"/>
    <w:rsid w:val="00544DE6"/>
    <w:rsid w:val="00545198"/>
    <w:rsid w:val="0054669B"/>
    <w:rsid w:val="00553CFE"/>
    <w:rsid w:val="005540E4"/>
    <w:rsid w:val="005567B8"/>
    <w:rsid w:val="00560804"/>
    <w:rsid w:val="005610D1"/>
    <w:rsid w:val="00562F42"/>
    <w:rsid w:val="005647C8"/>
    <w:rsid w:val="005653EE"/>
    <w:rsid w:val="00565739"/>
    <w:rsid w:val="0056766D"/>
    <w:rsid w:val="00570950"/>
    <w:rsid w:val="00573F5B"/>
    <w:rsid w:val="00575215"/>
    <w:rsid w:val="00580EB9"/>
    <w:rsid w:val="005835CF"/>
    <w:rsid w:val="00584760"/>
    <w:rsid w:val="0058575E"/>
    <w:rsid w:val="00587822"/>
    <w:rsid w:val="0058783C"/>
    <w:rsid w:val="00590DAD"/>
    <w:rsid w:val="005911AE"/>
    <w:rsid w:val="005926E2"/>
    <w:rsid w:val="0059313A"/>
    <w:rsid w:val="00593CC5"/>
    <w:rsid w:val="00594FF9"/>
    <w:rsid w:val="005A2B4F"/>
    <w:rsid w:val="005A54EA"/>
    <w:rsid w:val="005B00FA"/>
    <w:rsid w:val="005B023F"/>
    <w:rsid w:val="005B02A2"/>
    <w:rsid w:val="005B0B7C"/>
    <w:rsid w:val="005B1417"/>
    <w:rsid w:val="005B1EC2"/>
    <w:rsid w:val="005B69CF"/>
    <w:rsid w:val="005C1065"/>
    <w:rsid w:val="005C2B24"/>
    <w:rsid w:val="005C3F07"/>
    <w:rsid w:val="005C476B"/>
    <w:rsid w:val="005C4B46"/>
    <w:rsid w:val="005C5BAE"/>
    <w:rsid w:val="005C5DC5"/>
    <w:rsid w:val="005D2089"/>
    <w:rsid w:val="005D54A7"/>
    <w:rsid w:val="005D7514"/>
    <w:rsid w:val="005E0FC6"/>
    <w:rsid w:val="005E1A7B"/>
    <w:rsid w:val="005E231F"/>
    <w:rsid w:val="005E4B14"/>
    <w:rsid w:val="005E4C71"/>
    <w:rsid w:val="005E5F99"/>
    <w:rsid w:val="005E6B1D"/>
    <w:rsid w:val="005E71E7"/>
    <w:rsid w:val="005F2429"/>
    <w:rsid w:val="005F369B"/>
    <w:rsid w:val="00601728"/>
    <w:rsid w:val="00602D6E"/>
    <w:rsid w:val="00603807"/>
    <w:rsid w:val="00605A98"/>
    <w:rsid w:val="00605C05"/>
    <w:rsid w:val="00611351"/>
    <w:rsid w:val="0061217D"/>
    <w:rsid w:val="00614453"/>
    <w:rsid w:val="00617B81"/>
    <w:rsid w:val="006277A1"/>
    <w:rsid w:val="00633BD7"/>
    <w:rsid w:val="00634461"/>
    <w:rsid w:val="00634580"/>
    <w:rsid w:val="00634884"/>
    <w:rsid w:val="006351D9"/>
    <w:rsid w:val="00635F4C"/>
    <w:rsid w:val="00637130"/>
    <w:rsid w:val="006378D6"/>
    <w:rsid w:val="00637F0E"/>
    <w:rsid w:val="006423F2"/>
    <w:rsid w:val="006435A5"/>
    <w:rsid w:val="00647412"/>
    <w:rsid w:val="00650234"/>
    <w:rsid w:val="00650808"/>
    <w:rsid w:val="00655298"/>
    <w:rsid w:val="0066044B"/>
    <w:rsid w:val="0066247D"/>
    <w:rsid w:val="006630AA"/>
    <w:rsid w:val="00663544"/>
    <w:rsid w:val="00664EE2"/>
    <w:rsid w:val="006653E7"/>
    <w:rsid w:val="00665B02"/>
    <w:rsid w:val="00666539"/>
    <w:rsid w:val="00666911"/>
    <w:rsid w:val="00673053"/>
    <w:rsid w:val="00675251"/>
    <w:rsid w:val="00675EF2"/>
    <w:rsid w:val="00675F81"/>
    <w:rsid w:val="00676B87"/>
    <w:rsid w:val="0067779F"/>
    <w:rsid w:val="0068143E"/>
    <w:rsid w:val="00681855"/>
    <w:rsid w:val="006838E9"/>
    <w:rsid w:val="0068507D"/>
    <w:rsid w:val="00686312"/>
    <w:rsid w:val="00691AF2"/>
    <w:rsid w:val="00692B80"/>
    <w:rsid w:val="00692CCC"/>
    <w:rsid w:val="00692CCD"/>
    <w:rsid w:val="00692D51"/>
    <w:rsid w:val="00694DD7"/>
    <w:rsid w:val="0069636B"/>
    <w:rsid w:val="006A1762"/>
    <w:rsid w:val="006A1F0B"/>
    <w:rsid w:val="006A277A"/>
    <w:rsid w:val="006A5973"/>
    <w:rsid w:val="006B10C6"/>
    <w:rsid w:val="006B66F0"/>
    <w:rsid w:val="006B6993"/>
    <w:rsid w:val="006B7126"/>
    <w:rsid w:val="006C5A15"/>
    <w:rsid w:val="006C6B86"/>
    <w:rsid w:val="006C7C7F"/>
    <w:rsid w:val="006D4553"/>
    <w:rsid w:val="006D4A35"/>
    <w:rsid w:val="006D6819"/>
    <w:rsid w:val="006D6B44"/>
    <w:rsid w:val="006D6E4E"/>
    <w:rsid w:val="006E11CA"/>
    <w:rsid w:val="006E1C41"/>
    <w:rsid w:val="006E27FE"/>
    <w:rsid w:val="006E5557"/>
    <w:rsid w:val="006E56BD"/>
    <w:rsid w:val="006E5AEE"/>
    <w:rsid w:val="006F1494"/>
    <w:rsid w:val="006F1D40"/>
    <w:rsid w:val="006F2E35"/>
    <w:rsid w:val="006F6C8A"/>
    <w:rsid w:val="006F7BF8"/>
    <w:rsid w:val="00701110"/>
    <w:rsid w:val="0070294B"/>
    <w:rsid w:val="00702B00"/>
    <w:rsid w:val="00702E91"/>
    <w:rsid w:val="0070330F"/>
    <w:rsid w:val="00703624"/>
    <w:rsid w:val="007046ED"/>
    <w:rsid w:val="00705A6F"/>
    <w:rsid w:val="00706BF1"/>
    <w:rsid w:val="007072A1"/>
    <w:rsid w:val="0071093C"/>
    <w:rsid w:val="00710BC5"/>
    <w:rsid w:val="007121CA"/>
    <w:rsid w:val="007146B6"/>
    <w:rsid w:val="0072003B"/>
    <w:rsid w:val="00721059"/>
    <w:rsid w:val="007211E6"/>
    <w:rsid w:val="0072208A"/>
    <w:rsid w:val="007220C4"/>
    <w:rsid w:val="0072597E"/>
    <w:rsid w:val="00730DD6"/>
    <w:rsid w:val="00732361"/>
    <w:rsid w:val="007357B9"/>
    <w:rsid w:val="007419FA"/>
    <w:rsid w:val="00741AB9"/>
    <w:rsid w:val="00742D03"/>
    <w:rsid w:val="00744216"/>
    <w:rsid w:val="007452E8"/>
    <w:rsid w:val="00746990"/>
    <w:rsid w:val="00747093"/>
    <w:rsid w:val="00750D70"/>
    <w:rsid w:val="00754C32"/>
    <w:rsid w:val="007575D0"/>
    <w:rsid w:val="007614B8"/>
    <w:rsid w:val="0076517A"/>
    <w:rsid w:val="007653C9"/>
    <w:rsid w:val="007662E0"/>
    <w:rsid w:val="0077055C"/>
    <w:rsid w:val="00770BF1"/>
    <w:rsid w:val="0077131E"/>
    <w:rsid w:val="00771C64"/>
    <w:rsid w:val="00776E9C"/>
    <w:rsid w:val="007770D7"/>
    <w:rsid w:val="007816D8"/>
    <w:rsid w:val="0078342B"/>
    <w:rsid w:val="00784150"/>
    <w:rsid w:val="00784246"/>
    <w:rsid w:val="00793272"/>
    <w:rsid w:val="0079499A"/>
    <w:rsid w:val="00794B64"/>
    <w:rsid w:val="007967C3"/>
    <w:rsid w:val="007A0A33"/>
    <w:rsid w:val="007A2554"/>
    <w:rsid w:val="007A433B"/>
    <w:rsid w:val="007A5A3F"/>
    <w:rsid w:val="007B04DE"/>
    <w:rsid w:val="007B0AE6"/>
    <w:rsid w:val="007B514D"/>
    <w:rsid w:val="007B7A9B"/>
    <w:rsid w:val="007C0F0B"/>
    <w:rsid w:val="007C2648"/>
    <w:rsid w:val="007C537C"/>
    <w:rsid w:val="007C57BC"/>
    <w:rsid w:val="007C6957"/>
    <w:rsid w:val="007D04CA"/>
    <w:rsid w:val="007D0A2B"/>
    <w:rsid w:val="007D12A1"/>
    <w:rsid w:val="007D15B2"/>
    <w:rsid w:val="007D2A26"/>
    <w:rsid w:val="007D3D6E"/>
    <w:rsid w:val="007D40E5"/>
    <w:rsid w:val="007D4138"/>
    <w:rsid w:val="007E3C0D"/>
    <w:rsid w:val="007E4178"/>
    <w:rsid w:val="007E57CF"/>
    <w:rsid w:val="007E673B"/>
    <w:rsid w:val="007F0A77"/>
    <w:rsid w:val="007F0CAA"/>
    <w:rsid w:val="007F1E37"/>
    <w:rsid w:val="007F50D3"/>
    <w:rsid w:val="007F6103"/>
    <w:rsid w:val="007F6B1F"/>
    <w:rsid w:val="00800451"/>
    <w:rsid w:val="00804897"/>
    <w:rsid w:val="008172A7"/>
    <w:rsid w:val="00820CFB"/>
    <w:rsid w:val="00821927"/>
    <w:rsid w:val="00823095"/>
    <w:rsid w:val="00830846"/>
    <w:rsid w:val="008329DB"/>
    <w:rsid w:val="00834F35"/>
    <w:rsid w:val="008361C5"/>
    <w:rsid w:val="0083628F"/>
    <w:rsid w:val="00837AB9"/>
    <w:rsid w:val="00845E60"/>
    <w:rsid w:val="00846484"/>
    <w:rsid w:val="0085002E"/>
    <w:rsid w:val="00850637"/>
    <w:rsid w:val="00854893"/>
    <w:rsid w:val="00854D98"/>
    <w:rsid w:val="00856E35"/>
    <w:rsid w:val="0085751E"/>
    <w:rsid w:val="00860139"/>
    <w:rsid w:val="00860B29"/>
    <w:rsid w:val="008622E8"/>
    <w:rsid w:val="008645EE"/>
    <w:rsid w:val="00870144"/>
    <w:rsid w:val="00870C3B"/>
    <w:rsid w:val="008725D7"/>
    <w:rsid w:val="00873D7A"/>
    <w:rsid w:val="00874400"/>
    <w:rsid w:val="00877CB3"/>
    <w:rsid w:val="008804CF"/>
    <w:rsid w:val="00880D2D"/>
    <w:rsid w:val="008828B7"/>
    <w:rsid w:val="00882988"/>
    <w:rsid w:val="00882D58"/>
    <w:rsid w:val="00882F19"/>
    <w:rsid w:val="008836E6"/>
    <w:rsid w:val="00883D35"/>
    <w:rsid w:val="00884569"/>
    <w:rsid w:val="00886E6B"/>
    <w:rsid w:val="00887A51"/>
    <w:rsid w:val="00887C84"/>
    <w:rsid w:val="00890D9B"/>
    <w:rsid w:val="00891C6C"/>
    <w:rsid w:val="00893CCD"/>
    <w:rsid w:val="008964B3"/>
    <w:rsid w:val="008967A2"/>
    <w:rsid w:val="008A01DB"/>
    <w:rsid w:val="008A3A41"/>
    <w:rsid w:val="008A761F"/>
    <w:rsid w:val="008A7737"/>
    <w:rsid w:val="008B1CB5"/>
    <w:rsid w:val="008B40D9"/>
    <w:rsid w:val="008B761A"/>
    <w:rsid w:val="008C2D69"/>
    <w:rsid w:val="008C49C6"/>
    <w:rsid w:val="008C754C"/>
    <w:rsid w:val="008D10A9"/>
    <w:rsid w:val="008D56C9"/>
    <w:rsid w:val="008D6A54"/>
    <w:rsid w:val="008E1C0A"/>
    <w:rsid w:val="008E2585"/>
    <w:rsid w:val="008E2D7A"/>
    <w:rsid w:val="008E38E8"/>
    <w:rsid w:val="008E752C"/>
    <w:rsid w:val="008F3215"/>
    <w:rsid w:val="008F4A62"/>
    <w:rsid w:val="008F6932"/>
    <w:rsid w:val="008F7256"/>
    <w:rsid w:val="009013B0"/>
    <w:rsid w:val="00902AA7"/>
    <w:rsid w:val="00903179"/>
    <w:rsid w:val="00903762"/>
    <w:rsid w:val="0090424C"/>
    <w:rsid w:val="0090605E"/>
    <w:rsid w:val="009108CE"/>
    <w:rsid w:val="00914BAC"/>
    <w:rsid w:val="00915A9F"/>
    <w:rsid w:val="0091719C"/>
    <w:rsid w:val="00920BFE"/>
    <w:rsid w:val="009212E6"/>
    <w:rsid w:val="009247EC"/>
    <w:rsid w:val="00925EF8"/>
    <w:rsid w:val="00926559"/>
    <w:rsid w:val="00930D58"/>
    <w:rsid w:val="00931826"/>
    <w:rsid w:val="00933989"/>
    <w:rsid w:val="00934345"/>
    <w:rsid w:val="00935AAA"/>
    <w:rsid w:val="0095010B"/>
    <w:rsid w:val="0095031E"/>
    <w:rsid w:val="00950F8B"/>
    <w:rsid w:val="0095345B"/>
    <w:rsid w:val="0095402B"/>
    <w:rsid w:val="00954297"/>
    <w:rsid w:val="00960A56"/>
    <w:rsid w:val="00966EF1"/>
    <w:rsid w:val="00967223"/>
    <w:rsid w:val="0096751E"/>
    <w:rsid w:val="00967525"/>
    <w:rsid w:val="009751F7"/>
    <w:rsid w:val="0098350E"/>
    <w:rsid w:val="0098458B"/>
    <w:rsid w:val="009862BC"/>
    <w:rsid w:val="009925FE"/>
    <w:rsid w:val="00993CF4"/>
    <w:rsid w:val="0099404F"/>
    <w:rsid w:val="00996FA5"/>
    <w:rsid w:val="009A03A3"/>
    <w:rsid w:val="009A1AAE"/>
    <w:rsid w:val="009A546C"/>
    <w:rsid w:val="009B0EA5"/>
    <w:rsid w:val="009B5662"/>
    <w:rsid w:val="009C1F6D"/>
    <w:rsid w:val="009C2211"/>
    <w:rsid w:val="009C2AB2"/>
    <w:rsid w:val="009C3E98"/>
    <w:rsid w:val="009C40E8"/>
    <w:rsid w:val="009C45C5"/>
    <w:rsid w:val="009C5275"/>
    <w:rsid w:val="009D5228"/>
    <w:rsid w:val="009D772B"/>
    <w:rsid w:val="009E07DB"/>
    <w:rsid w:val="009E0F79"/>
    <w:rsid w:val="009E21F5"/>
    <w:rsid w:val="009E4F98"/>
    <w:rsid w:val="009E6858"/>
    <w:rsid w:val="009E6F8C"/>
    <w:rsid w:val="009E7D8D"/>
    <w:rsid w:val="009F2917"/>
    <w:rsid w:val="009F405F"/>
    <w:rsid w:val="00A01C56"/>
    <w:rsid w:val="00A02D8C"/>
    <w:rsid w:val="00A04795"/>
    <w:rsid w:val="00A06ECB"/>
    <w:rsid w:val="00A10999"/>
    <w:rsid w:val="00A11E20"/>
    <w:rsid w:val="00A16F40"/>
    <w:rsid w:val="00A2403A"/>
    <w:rsid w:val="00A24115"/>
    <w:rsid w:val="00A247D5"/>
    <w:rsid w:val="00A32C50"/>
    <w:rsid w:val="00A358E7"/>
    <w:rsid w:val="00A4380B"/>
    <w:rsid w:val="00A46B08"/>
    <w:rsid w:val="00A515AF"/>
    <w:rsid w:val="00A51A2D"/>
    <w:rsid w:val="00A520A5"/>
    <w:rsid w:val="00A5596B"/>
    <w:rsid w:val="00A63C07"/>
    <w:rsid w:val="00A63D9B"/>
    <w:rsid w:val="00A64B2F"/>
    <w:rsid w:val="00A674B8"/>
    <w:rsid w:val="00A704DC"/>
    <w:rsid w:val="00A83F5E"/>
    <w:rsid w:val="00A85B05"/>
    <w:rsid w:val="00A90DE3"/>
    <w:rsid w:val="00A93DC6"/>
    <w:rsid w:val="00A9411A"/>
    <w:rsid w:val="00A95856"/>
    <w:rsid w:val="00AA05A0"/>
    <w:rsid w:val="00AA26AB"/>
    <w:rsid w:val="00AA4A4B"/>
    <w:rsid w:val="00AA535F"/>
    <w:rsid w:val="00AA6682"/>
    <w:rsid w:val="00AB0613"/>
    <w:rsid w:val="00AB1285"/>
    <w:rsid w:val="00AB5580"/>
    <w:rsid w:val="00AB6F93"/>
    <w:rsid w:val="00AB7C5C"/>
    <w:rsid w:val="00AB7CBF"/>
    <w:rsid w:val="00AC2973"/>
    <w:rsid w:val="00AD0111"/>
    <w:rsid w:val="00AD4912"/>
    <w:rsid w:val="00AD4C72"/>
    <w:rsid w:val="00AD4CDA"/>
    <w:rsid w:val="00AD5451"/>
    <w:rsid w:val="00AE0FE2"/>
    <w:rsid w:val="00AE1947"/>
    <w:rsid w:val="00AE46B3"/>
    <w:rsid w:val="00AE54ED"/>
    <w:rsid w:val="00AE691F"/>
    <w:rsid w:val="00AF1C8B"/>
    <w:rsid w:val="00AF20A8"/>
    <w:rsid w:val="00AF299B"/>
    <w:rsid w:val="00AF2BC3"/>
    <w:rsid w:val="00AF7E43"/>
    <w:rsid w:val="00B01FE4"/>
    <w:rsid w:val="00B02AE0"/>
    <w:rsid w:val="00B05326"/>
    <w:rsid w:val="00B101CC"/>
    <w:rsid w:val="00B14545"/>
    <w:rsid w:val="00B14E60"/>
    <w:rsid w:val="00B17BA2"/>
    <w:rsid w:val="00B20BEF"/>
    <w:rsid w:val="00B2339C"/>
    <w:rsid w:val="00B26DC3"/>
    <w:rsid w:val="00B30B9D"/>
    <w:rsid w:val="00B3694B"/>
    <w:rsid w:val="00B4266C"/>
    <w:rsid w:val="00B4574D"/>
    <w:rsid w:val="00B458D5"/>
    <w:rsid w:val="00B45B92"/>
    <w:rsid w:val="00B468E1"/>
    <w:rsid w:val="00B46BC0"/>
    <w:rsid w:val="00B46DFB"/>
    <w:rsid w:val="00B5141B"/>
    <w:rsid w:val="00B52481"/>
    <w:rsid w:val="00B55681"/>
    <w:rsid w:val="00B56036"/>
    <w:rsid w:val="00B5779C"/>
    <w:rsid w:val="00B57AAD"/>
    <w:rsid w:val="00B63D2D"/>
    <w:rsid w:val="00B65196"/>
    <w:rsid w:val="00B72B16"/>
    <w:rsid w:val="00B74A00"/>
    <w:rsid w:val="00B77825"/>
    <w:rsid w:val="00B80408"/>
    <w:rsid w:val="00B81397"/>
    <w:rsid w:val="00B82CCB"/>
    <w:rsid w:val="00B83DEB"/>
    <w:rsid w:val="00B84198"/>
    <w:rsid w:val="00B85C7F"/>
    <w:rsid w:val="00B925DB"/>
    <w:rsid w:val="00B93D69"/>
    <w:rsid w:val="00B94CBE"/>
    <w:rsid w:val="00B967FF"/>
    <w:rsid w:val="00B974B9"/>
    <w:rsid w:val="00BA3F1C"/>
    <w:rsid w:val="00BA3F6D"/>
    <w:rsid w:val="00BA4BE6"/>
    <w:rsid w:val="00BA4FC0"/>
    <w:rsid w:val="00BA51CA"/>
    <w:rsid w:val="00BA54CA"/>
    <w:rsid w:val="00BA61E0"/>
    <w:rsid w:val="00BA7F7D"/>
    <w:rsid w:val="00BB0F74"/>
    <w:rsid w:val="00BB1C14"/>
    <w:rsid w:val="00BB679F"/>
    <w:rsid w:val="00BB6847"/>
    <w:rsid w:val="00BB7AB6"/>
    <w:rsid w:val="00BB7F8F"/>
    <w:rsid w:val="00BC716A"/>
    <w:rsid w:val="00BD07DF"/>
    <w:rsid w:val="00BD26F4"/>
    <w:rsid w:val="00BD3731"/>
    <w:rsid w:val="00BD5DBD"/>
    <w:rsid w:val="00BD5DF6"/>
    <w:rsid w:val="00BE0041"/>
    <w:rsid w:val="00BE35B2"/>
    <w:rsid w:val="00BE640F"/>
    <w:rsid w:val="00BE7236"/>
    <w:rsid w:val="00BF4638"/>
    <w:rsid w:val="00BF6834"/>
    <w:rsid w:val="00C0258F"/>
    <w:rsid w:val="00C059D0"/>
    <w:rsid w:val="00C05D7E"/>
    <w:rsid w:val="00C06375"/>
    <w:rsid w:val="00C071AE"/>
    <w:rsid w:val="00C07551"/>
    <w:rsid w:val="00C1096A"/>
    <w:rsid w:val="00C1109F"/>
    <w:rsid w:val="00C11EC5"/>
    <w:rsid w:val="00C12D65"/>
    <w:rsid w:val="00C133AB"/>
    <w:rsid w:val="00C14046"/>
    <w:rsid w:val="00C15386"/>
    <w:rsid w:val="00C179B5"/>
    <w:rsid w:val="00C20B56"/>
    <w:rsid w:val="00C22214"/>
    <w:rsid w:val="00C26F72"/>
    <w:rsid w:val="00C309A7"/>
    <w:rsid w:val="00C32F6D"/>
    <w:rsid w:val="00C335AB"/>
    <w:rsid w:val="00C342E4"/>
    <w:rsid w:val="00C407AB"/>
    <w:rsid w:val="00C41FF6"/>
    <w:rsid w:val="00C44568"/>
    <w:rsid w:val="00C52B7B"/>
    <w:rsid w:val="00C547CD"/>
    <w:rsid w:val="00C570FF"/>
    <w:rsid w:val="00C57CEA"/>
    <w:rsid w:val="00C60FEC"/>
    <w:rsid w:val="00C62C8F"/>
    <w:rsid w:val="00C62EFF"/>
    <w:rsid w:val="00C6574E"/>
    <w:rsid w:val="00C660D2"/>
    <w:rsid w:val="00C6628E"/>
    <w:rsid w:val="00C707FD"/>
    <w:rsid w:val="00C71E72"/>
    <w:rsid w:val="00C74BF3"/>
    <w:rsid w:val="00C76DEB"/>
    <w:rsid w:val="00C816C6"/>
    <w:rsid w:val="00C81CAF"/>
    <w:rsid w:val="00C84C95"/>
    <w:rsid w:val="00C863A7"/>
    <w:rsid w:val="00C912F4"/>
    <w:rsid w:val="00C9155A"/>
    <w:rsid w:val="00C9156F"/>
    <w:rsid w:val="00C9581A"/>
    <w:rsid w:val="00C97D29"/>
    <w:rsid w:val="00CA1A8D"/>
    <w:rsid w:val="00CA1FAD"/>
    <w:rsid w:val="00CA456F"/>
    <w:rsid w:val="00CB0550"/>
    <w:rsid w:val="00CB2CA7"/>
    <w:rsid w:val="00CB6813"/>
    <w:rsid w:val="00CB7A37"/>
    <w:rsid w:val="00CC5C8B"/>
    <w:rsid w:val="00CD0DB0"/>
    <w:rsid w:val="00CD12D2"/>
    <w:rsid w:val="00CD4A33"/>
    <w:rsid w:val="00CD550D"/>
    <w:rsid w:val="00CD7BC5"/>
    <w:rsid w:val="00CE2597"/>
    <w:rsid w:val="00CE30C8"/>
    <w:rsid w:val="00CE3223"/>
    <w:rsid w:val="00CE659F"/>
    <w:rsid w:val="00CE6895"/>
    <w:rsid w:val="00CF2879"/>
    <w:rsid w:val="00CF2996"/>
    <w:rsid w:val="00CF2F8C"/>
    <w:rsid w:val="00CF5BEE"/>
    <w:rsid w:val="00CF64A0"/>
    <w:rsid w:val="00CF6A55"/>
    <w:rsid w:val="00CF6DC6"/>
    <w:rsid w:val="00CF6DCF"/>
    <w:rsid w:val="00CF7033"/>
    <w:rsid w:val="00CF778C"/>
    <w:rsid w:val="00D01DDB"/>
    <w:rsid w:val="00D03CCD"/>
    <w:rsid w:val="00D078BE"/>
    <w:rsid w:val="00D128E6"/>
    <w:rsid w:val="00D12B81"/>
    <w:rsid w:val="00D13F8A"/>
    <w:rsid w:val="00D16F60"/>
    <w:rsid w:val="00D21BFB"/>
    <w:rsid w:val="00D22981"/>
    <w:rsid w:val="00D2429F"/>
    <w:rsid w:val="00D3349B"/>
    <w:rsid w:val="00D3531A"/>
    <w:rsid w:val="00D40A54"/>
    <w:rsid w:val="00D424A8"/>
    <w:rsid w:val="00D4611C"/>
    <w:rsid w:val="00D4612D"/>
    <w:rsid w:val="00D51F43"/>
    <w:rsid w:val="00D6036F"/>
    <w:rsid w:val="00D6039D"/>
    <w:rsid w:val="00D62877"/>
    <w:rsid w:val="00D63760"/>
    <w:rsid w:val="00D63A71"/>
    <w:rsid w:val="00D6703F"/>
    <w:rsid w:val="00D734EB"/>
    <w:rsid w:val="00D73CE8"/>
    <w:rsid w:val="00D8162D"/>
    <w:rsid w:val="00D82713"/>
    <w:rsid w:val="00D83ECA"/>
    <w:rsid w:val="00D84351"/>
    <w:rsid w:val="00D843BC"/>
    <w:rsid w:val="00D86F00"/>
    <w:rsid w:val="00D879EB"/>
    <w:rsid w:val="00D914B2"/>
    <w:rsid w:val="00D918D5"/>
    <w:rsid w:val="00D94C8E"/>
    <w:rsid w:val="00D97A5F"/>
    <w:rsid w:val="00DA623A"/>
    <w:rsid w:val="00DA704F"/>
    <w:rsid w:val="00DB1372"/>
    <w:rsid w:val="00DB192C"/>
    <w:rsid w:val="00DB1CF3"/>
    <w:rsid w:val="00DB2626"/>
    <w:rsid w:val="00DB29DF"/>
    <w:rsid w:val="00DB449B"/>
    <w:rsid w:val="00DB4BDD"/>
    <w:rsid w:val="00DB5425"/>
    <w:rsid w:val="00DB72A6"/>
    <w:rsid w:val="00DC285A"/>
    <w:rsid w:val="00DC6611"/>
    <w:rsid w:val="00DD079E"/>
    <w:rsid w:val="00DD0949"/>
    <w:rsid w:val="00DD0B0A"/>
    <w:rsid w:val="00DD2F8E"/>
    <w:rsid w:val="00DD7AFA"/>
    <w:rsid w:val="00DE1344"/>
    <w:rsid w:val="00DE2F30"/>
    <w:rsid w:val="00DE44CA"/>
    <w:rsid w:val="00DE738F"/>
    <w:rsid w:val="00DF09AD"/>
    <w:rsid w:val="00DF5BFE"/>
    <w:rsid w:val="00DF62BC"/>
    <w:rsid w:val="00DF74FD"/>
    <w:rsid w:val="00E01859"/>
    <w:rsid w:val="00E0281F"/>
    <w:rsid w:val="00E0523F"/>
    <w:rsid w:val="00E05B3F"/>
    <w:rsid w:val="00E06503"/>
    <w:rsid w:val="00E07F4C"/>
    <w:rsid w:val="00E1117A"/>
    <w:rsid w:val="00E1118D"/>
    <w:rsid w:val="00E135F3"/>
    <w:rsid w:val="00E15ED3"/>
    <w:rsid w:val="00E20AA0"/>
    <w:rsid w:val="00E23E50"/>
    <w:rsid w:val="00E24E6B"/>
    <w:rsid w:val="00E26213"/>
    <w:rsid w:val="00E274DF"/>
    <w:rsid w:val="00E30E54"/>
    <w:rsid w:val="00E34D66"/>
    <w:rsid w:val="00E362C4"/>
    <w:rsid w:val="00E365DF"/>
    <w:rsid w:val="00E366B4"/>
    <w:rsid w:val="00E37F7C"/>
    <w:rsid w:val="00E4204D"/>
    <w:rsid w:val="00E44485"/>
    <w:rsid w:val="00E44F2B"/>
    <w:rsid w:val="00E4606A"/>
    <w:rsid w:val="00E462AE"/>
    <w:rsid w:val="00E46CC2"/>
    <w:rsid w:val="00E47E0C"/>
    <w:rsid w:val="00E51813"/>
    <w:rsid w:val="00E52C0B"/>
    <w:rsid w:val="00E537DD"/>
    <w:rsid w:val="00E53D3F"/>
    <w:rsid w:val="00E5579B"/>
    <w:rsid w:val="00E560B3"/>
    <w:rsid w:val="00E572AA"/>
    <w:rsid w:val="00E572F7"/>
    <w:rsid w:val="00E57796"/>
    <w:rsid w:val="00E577C1"/>
    <w:rsid w:val="00E57FF4"/>
    <w:rsid w:val="00E61B6D"/>
    <w:rsid w:val="00E679D1"/>
    <w:rsid w:val="00E67C1C"/>
    <w:rsid w:val="00E70C83"/>
    <w:rsid w:val="00E73CC3"/>
    <w:rsid w:val="00E80890"/>
    <w:rsid w:val="00E8392E"/>
    <w:rsid w:val="00E9190F"/>
    <w:rsid w:val="00E91F11"/>
    <w:rsid w:val="00E92966"/>
    <w:rsid w:val="00E952E9"/>
    <w:rsid w:val="00E9706D"/>
    <w:rsid w:val="00EA0EE3"/>
    <w:rsid w:val="00EA3AF4"/>
    <w:rsid w:val="00EA48ED"/>
    <w:rsid w:val="00EA5378"/>
    <w:rsid w:val="00EB35EC"/>
    <w:rsid w:val="00EB3949"/>
    <w:rsid w:val="00EB626A"/>
    <w:rsid w:val="00EC00B1"/>
    <w:rsid w:val="00EC3746"/>
    <w:rsid w:val="00EC48D7"/>
    <w:rsid w:val="00EC73C8"/>
    <w:rsid w:val="00ED6D6E"/>
    <w:rsid w:val="00EE36ED"/>
    <w:rsid w:val="00EE4492"/>
    <w:rsid w:val="00EE61B1"/>
    <w:rsid w:val="00EE6315"/>
    <w:rsid w:val="00EF3F0B"/>
    <w:rsid w:val="00EF5405"/>
    <w:rsid w:val="00EF5583"/>
    <w:rsid w:val="00EF65C9"/>
    <w:rsid w:val="00F01E09"/>
    <w:rsid w:val="00F0289D"/>
    <w:rsid w:val="00F02AEC"/>
    <w:rsid w:val="00F07572"/>
    <w:rsid w:val="00F144BD"/>
    <w:rsid w:val="00F147D3"/>
    <w:rsid w:val="00F14D4A"/>
    <w:rsid w:val="00F157FC"/>
    <w:rsid w:val="00F174EB"/>
    <w:rsid w:val="00F23B7E"/>
    <w:rsid w:val="00F27A87"/>
    <w:rsid w:val="00F30AF3"/>
    <w:rsid w:val="00F33922"/>
    <w:rsid w:val="00F35CA3"/>
    <w:rsid w:val="00F36464"/>
    <w:rsid w:val="00F40163"/>
    <w:rsid w:val="00F43CD1"/>
    <w:rsid w:val="00F45AE0"/>
    <w:rsid w:val="00F60BCD"/>
    <w:rsid w:val="00F60CF2"/>
    <w:rsid w:val="00F61496"/>
    <w:rsid w:val="00F657B4"/>
    <w:rsid w:val="00F672A1"/>
    <w:rsid w:val="00F7649F"/>
    <w:rsid w:val="00F8083B"/>
    <w:rsid w:val="00F865A7"/>
    <w:rsid w:val="00F92F2D"/>
    <w:rsid w:val="00F94586"/>
    <w:rsid w:val="00FA06AF"/>
    <w:rsid w:val="00FA0754"/>
    <w:rsid w:val="00FA07D8"/>
    <w:rsid w:val="00FA12AF"/>
    <w:rsid w:val="00FA13B7"/>
    <w:rsid w:val="00FA1BC9"/>
    <w:rsid w:val="00FA275A"/>
    <w:rsid w:val="00FA49C3"/>
    <w:rsid w:val="00FB236E"/>
    <w:rsid w:val="00FB3F7B"/>
    <w:rsid w:val="00FB4C2A"/>
    <w:rsid w:val="00FB6326"/>
    <w:rsid w:val="00FC0474"/>
    <w:rsid w:val="00FC1691"/>
    <w:rsid w:val="00FC2107"/>
    <w:rsid w:val="00FC3CF5"/>
    <w:rsid w:val="00FC4182"/>
    <w:rsid w:val="00FC48FE"/>
    <w:rsid w:val="00FC529D"/>
    <w:rsid w:val="00FC6F56"/>
    <w:rsid w:val="00FD1C7A"/>
    <w:rsid w:val="00FD38F9"/>
    <w:rsid w:val="00FD5436"/>
    <w:rsid w:val="00FD5DEC"/>
    <w:rsid w:val="00FD6F0B"/>
    <w:rsid w:val="00FE087C"/>
    <w:rsid w:val="00FE17F3"/>
    <w:rsid w:val="00FE2256"/>
    <w:rsid w:val="00FE3379"/>
    <w:rsid w:val="00FE47EE"/>
    <w:rsid w:val="00FE7492"/>
    <w:rsid w:val="00FE79A0"/>
    <w:rsid w:val="00FF0939"/>
    <w:rsid w:val="00FF6435"/>
    <w:rsid w:val="00FF75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2E61368C-BE8B-48F0-A877-C1FA5B701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7C26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E07F4C"/>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EndnoteText">
    <w:name w:val="endnote text"/>
    <w:basedOn w:val="Normal"/>
    <w:link w:val="EndnoteTextChar"/>
    <w:uiPriority w:val="99"/>
    <w:unhideWhenUsed/>
    <w:rsid w:val="001E7C1E"/>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rsid w:val="001E7C1E"/>
    <w:rPr>
      <w:rFonts w:ascii="Cambria" w:eastAsia="Cambria" w:hAnsi="Cambria" w:cs="Times New Roman"/>
    </w:rPr>
  </w:style>
  <w:style w:type="character" w:styleId="EndnoteReference">
    <w:name w:val="endnote reference"/>
    <w:basedOn w:val="DefaultParagraphFont"/>
    <w:uiPriority w:val="99"/>
    <w:semiHidden/>
    <w:unhideWhenUsed/>
    <w:rsid w:val="001E7C1E"/>
    <w:rPr>
      <w:vertAlign w:val="superscript"/>
    </w:rPr>
  </w:style>
  <w:style w:type="paragraph" w:customStyle="1" w:styleId="Default">
    <w:name w:val="Default"/>
    <w:rsid w:val="001E13C2"/>
    <w:pPr>
      <w:autoSpaceDE w:val="0"/>
      <w:autoSpaceDN w:val="0"/>
      <w:adjustRightInd w:val="0"/>
      <w:spacing w:after="0" w:line="240" w:lineRule="auto"/>
    </w:pPr>
    <w:rPr>
      <w:rFonts w:ascii="Arial" w:hAnsi="Arial" w:cs="Arial"/>
      <w:color w:val="000000"/>
      <w:sz w:val="24"/>
      <w:szCs w:val="24"/>
    </w:rPr>
  </w:style>
  <w:style w:type="character" w:customStyle="1" w:styleId="Heading7Char">
    <w:name w:val="Heading 7 Char"/>
    <w:basedOn w:val="DefaultParagraphFont"/>
    <w:link w:val="Heading7"/>
    <w:uiPriority w:val="9"/>
    <w:rsid w:val="00E07F4C"/>
    <w:rPr>
      <w:rFonts w:asciiTheme="majorHAnsi" w:eastAsiaTheme="majorEastAsia" w:hAnsiTheme="majorHAnsi" w:cstheme="majorBidi"/>
      <w:i/>
      <w:iCs/>
      <w:color w:val="1F3763" w:themeColor="accent1" w:themeShade="7F"/>
      <w:sz w:val="22"/>
    </w:rPr>
  </w:style>
  <w:style w:type="character" w:customStyle="1" w:styleId="Heading1Char">
    <w:name w:val="Heading 1 Char"/>
    <w:basedOn w:val="DefaultParagraphFont"/>
    <w:link w:val="Heading1"/>
    <w:uiPriority w:val="9"/>
    <w:rsid w:val="007C264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2954370">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ga.gov.au/australian-public-assessment-report-auspar-guidance" TargetMode="External"/><Relationship Id="rId26" Type="http://schemas.openxmlformats.org/officeDocument/2006/relationships/hyperlink" Target="https://www.tga.gov.au/resources/resource/reference-material/provisional-determination" TargetMode="External"/><Relationship Id="rId39" Type="http://schemas.openxmlformats.org/officeDocument/2006/relationships/hyperlink" Target="https://www.tga.gov.au/products/australian-register-therapeutic-goods-artg/consumer-medicines-information-cmi" TargetMode="External"/><Relationship Id="rId3" Type="http://schemas.openxmlformats.org/officeDocument/2006/relationships/customXml" Target="../customXml/item3.xml"/><Relationship Id="rId21" Type="http://schemas.openxmlformats.org/officeDocument/2006/relationships/hyperlink" Target="https://www.tga.gov.au/black-triangle-scheme" TargetMode="External"/><Relationship Id="rId34" Type="http://schemas.openxmlformats.org/officeDocument/2006/relationships/hyperlink" Target="https://www.tga.gov.au/resources/resource/guidance/risk-management-plans-medicines-and-biologicals/australia-specific-annex-eu-rmp" TargetMode="External"/><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tga.gov.au/products/australian-register-therapeutic-goods-artg" TargetMode="External"/><Relationship Id="rId25" Type="http://schemas.openxmlformats.org/officeDocument/2006/relationships/image" Target="media/image5.png"/><Relationship Id="rId33" Type="http://schemas.openxmlformats.org/officeDocument/2006/relationships/hyperlink" Target="https://www.tga.gov.au/resources/resource/guidance/risk-management-plans-medicines-and-biologicals/australia-specific-annex-eu-rmp" TargetMode="External"/><Relationship Id="rId38" Type="http://schemas.openxmlformats.org/officeDocument/2006/relationships/hyperlink" Target="https://www.tga.gov.au/products/australian-register-therapeutic-goods-artg/product-information-one"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tga.gov.au/" TargetMode="External"/><Relationship Id="rId20" Type="http://schemas.openxmlformats.org/officeDocument/2006/relationships/hyperlink" Target="https://www.tga.gov.au/resources/artg/408213" TargetMode="External"/><Relationship Id="rId29" Type="http://schemas.openxmlformats.org/officeDocument/2006/relationships/image" Target="media/image7.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tga.gov.au/tgas-risk-management-approach" TargetMode="External"/><Relationship Id="rId37" Type="http://schemas.openxmlformats.org/officeDocument/2006/relationships/hyperlink" Target="https://www.tga.gov.au/products/australian-register-therapeutic-goods-artg/product-information-one" TargetMode="External"/><Relationship Id="rId40" Type="http://schemas.openxmlformats.org/officeDocument/2006/relationships/hyperlink" Target="https://www.tga.gov.au/picmi-search-facility"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products/australian-register-therapeutic-goods-artg/consumer-medicines-information-cmi" TargetMode="External"/><Relationship Id="rId28" Type="http://schemas.openxmlformats.org/officeDocument/2006/relationships/image" Target="media/image6.emf"/><Relationship Id="rId36" Type="http://schemas.openxmlformats.org/officeDocument/2006/relationships/hyperlink" Target="http://www.tga.gov.au/ws-labs-index" TargetMode="External"/><Relationship Id="rId10" Type="http://schemas.openxmlformats.org/officeDocument/2006/relationships/endnotes" Target="endnotes.xml"/><Relationship Id="rId19" Type="http://schemas.openxmlformats.org/officeDocument/2006/relationships/hyperlink" Target="mailto:tga.copyright@tga.gov.au" TargetMode="External"/><Relationship Id="rId31" Type="http://schemas.openxmlformats.org/officeDocument/2006/relationships/hyperlink" Target="https://www.tga.gov.au/publication/risk-management-plans-medicines-and-biologicals" TargetMode="External"/><Relationship Id="rId44"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icmi-search-facility" TargetMode="External"/><Relationship Id="rId27" Type="http://schemas.openxmlformats.org/officeDocument/2006/relationships/hyperlink" Target="https://www.tga.gov.au/resources/resource/reference-material/gmp-clearance-guidance" TargetMode="External"/><Relationship Id="rId30" Type="http://schemas.openxmlformats.org/officeDocument/2006/relationships/image" Target="media/image8.emf"/><Relationship Id="rId35" Type="http://schemas.openxmlformats.org/officeDocument/2006/relationships/hyperlink" Target="https://www.tga.gov.au/committee/advisory-committee-medicines-acm" TargetMode="External"/><Relationship Id="rId43" Type="http://schemas.openxmlformats.org/officeDocument/2006/relationships/hyperlink" Target="mailto:info@tga.gov.au"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bs.tga.gov.au/ebs/picmi/picmirepository.nsf/pdf?OpenAgent&amp;id=CP-2022-PI-01224-1" TargetMode="External"/><Relationship Id="rId3" Type="http://schemas.openxmlformats.org/officeDocument/2006/relationships/hyperlink" Target="https://www.aihw.gov.au/reports/cancer/cancer-data-in-australia/data" TargetMode="External"/><Relationship Id="rId7" Type="http://schemas.openxmlformats.org/officeDocument/2006/relationships/hyperlink" Target="https://www.ebs.tga.gov.au/ebs/picmi/picmirepository.nsf/pdf?OpenAgent&amp;id=CP-2023-PI-01800-1&amp;d=20240128172310101" TargetMode="External"/><Relationship Id="rId2" Type="http://schemas.openxmlformats.org/officeDocument/2006/relationships/hyperlink" Target="https://myeloma.org.au/wp-content/uploads/2019/10/myeloma_clinical_practice_guideline_oct19.pdf" TargetMode="External"/><Relationship Id="rId1" Type="http://schemas.openxmlformats.org/officeDocument/2006/relationships/hyperlink" Target="https://www.aihw.gov.au/reports/cancer/cancer-data-in-australia/contents/overview-of-cancer-in-australia-2023" TargetMode="External"/><Relationship Id="rId6" Type="http://schemas.openxmlformats.org/officeDocument/2006/relationships/hyperlink" Target="https://www.ebs.tga.gov.au/ebs/picmi/picmirepository.nsf/pdf?OpenAgent&amp;id=CP-2023-PI-01764-1" TargetMode="External"/><Relationship Id="rId5" Type="http://schemas.openxmlformats.org/officeDocument/2006/relationships/hyperlink" Target="https://myeloma.org.au/wp-content/uploads/2019/10/myeloma_clinical_practice_guideline_oct19.pdf" TargetMode="External"/><Relationship Id="rId4" Type="http://schemas.openxmlformats.org/officeDocument/2006/relationships/hyperlink" Target="https://www.cancer.org/cancer/types/multiple-myeloma/detection-diagnosis-staging/survival-rates.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3A1B31C2C4104DA86F7E80BDD7C50C" ma:contentTypeVersion="19" ma:contentTypeDescription="Create a new document." ma:contentTypeScope="" ma:versionID="4bd5ae927277f1fd15f28fb21f6ab0f6">
  <xsd:schema xmlns:xsd="http://www.w3.org/2001/XMLSchema" xmlns:xs="http://www.w3.org/2001/XMLSchema" xmlns:p="http://schemas.microsoft.com/office/2006/metadata/properties" xmlns:ns2="870790eb-330f-4b07-ad75-685b22052996" xmlns:ns3="1390a2a6-ea58-4dcd-9a6a-81b48c8cae48" targetNamespace="http://schemas.microsoft.com/office/2006/metadata/properties" ma:root="true" ma:fieldsID="0184479df21d4e640d38b68b1d9e71e9" ns2:_="" ns3:_="">
    <xsd:import namespace="870790eb-330f-4b07-ad75-685b22052996"/>
    <xsd:import namespace="1390a2a6-ea58-4dcd-9a6a-81b48c8cae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790eb-330f-4b07-ad75-685b22052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9dd247-5f48-452a-8dc4-ff9a39258e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Notes" ma:index="25" nillable="true" ma:displayName="Notes" ma:format="Dropdown" ma:internalName="Notes">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90a2a6-ea58-4dcd-9a6a-81b48c8cae4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724202-c0fd-40d3-9e7c-bd942e8d838e}" ma:internalName="TaxCatchAll" ma:showField="CatchAllData" ma:web="1390a2a6-ea58-4dcd-9a6a-81b48c8cae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870790eb-330f-4b07-ad75-685b22052996" xsi:nil="true"/>
    <TaxCatchAll xmlns="1390a2a6-ea58-4dcd-9a6a-81b48c8cae48" xsi:nil="true"/>
    <lcf76f155ced4ddcb4097134ff3c332f xmlns="870790eb-330f-4b07-ad75-685b2205299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EA60C-9E32-440F-91A5-A3593F6ED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790eb-330f-4b07-ad75-685b22052996"/>
    <ds:schemaRef ds:uri="1390a2a6-ea58-4dcd-9a6a-81b48c8cae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A1F042-751E-4061-93B9-F6249C80F784}">
  <ds:schemaRefs>
    <ds:schemaRef ds:uri="http://schemas.microsoft.com/sharepoint/v3/contenttype/forms"/>
  </ds:schemaRefs>
</ds:datastoreItem>
</file>

<file path=customXml/itemProps3.xml><?xml version="1.0" encoding="utf-8"?>
<ds:datastoreItem xmlns:ds="http://schemas.openxmlformats.org/officeDocument/2006/customXml" ds:itemID="{18AAA05A-898F-4B90-8188-4F20AB4A2F94}">
  <ds:schemaRefs>
    <ds:schemaRef ds:uri="http://schemas.microsoft.com/office/2006/metadata/properties"/>
    <ds:schemaRef ds:uri="http://schemas.microsoft.com/office/infopath/2007/PartnerControls"/>
    <ds:schemaRef ds:uri="870790eb-330f-4b07-ad75-685b22052996"/>
    <ds:schemaRef ds:uri="1390a2a6-ea58-4dcd-9a6a-81b48c8cae48"/>
  </ds:schemaRefs>
</ds:datastoreItem>
</file>

<file path=customXml/itemProps4.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11964</Words>
  <Characters>68197</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80001</CharactersWithSpaces>
  <SharedDoc>false</SharedDoc>
  <HLinks>
    <vt:vector size="360" baseType="variant">
      <vt:variant>
        <vt:i4>3473445</vt:i4>
      </vt:variant>
      <vt:variant>
        <vt:i4>243</vt:i4>
      </vt:variant>
      <vt:variant>
        <vt:i4>0</vt:i4>
      </vt:variant>
      <vt:variant>
        <vt:i4>5</vt:i4>
      </vt:variant>
      <vt:variant>
        <vt:lpwstr>https://www.tga.gov.au/</vt:lpwstr>
      </vt:variant>
      <vt:variant>
        <vt:lpwstr/>
      </vt:variant>
      <vt:variant>
        <vt:i4>5242926</vt:i4>
      </vt:variant>
      <vt:variant>
        <vt:i4>240</vt:i4>
      </vt:variant>
      <vt:variant>
        <vt:i4>0</vt:i4>
      </vt:variant>
      <vt:variant>
        <vt:i4>5</vt:i4>
      </vt:variant>
      <vt:variant>
        <vt:lpwstr>mailto:info@tga.gov.au</vt:lpwstr>
      </vt:variant>
      <vt:variant>
        <vt:lpwstr/>
      </vt:variant>
      <vt:variant>
        <vt:i4>720961</vt:i4>
      </vt:variant>
      <vt:variant>
        <vt:i4>237</vt:i4>
      </vt:variant>
      <vt:variant>
        <vt:i4>0</vt:i4>
      </vt:variant>
      <vt:variant>
        <vt:i4>5</vt:i4>
      </vt:variant>
      <vt:variant>
        <vt:lpwstr>https://www.tga.gov.au/picmi-search-facility</vt:lpwstr>
      </vt:variant>
      <vt:variant>
        <vt:lpwstr/>
      </vt:variant>
      <vt:variant>
        <vt:i4>983049</vt:i4>
      </vt:variant>
      <vt:variant>
        <vt:i4>234</vt:i4>
      </vt:variant>
      <vt:variant>
        <vt:i4>0</vt:i4>
      </vt:variant>
      <vt:variant>
        <vt:i4>5</vt:i4>
      </vt:variant>
      <vt:variant>
        <vt:lpwstr>https://www.tga.gov.au/products/australian-register-therapeutic-goods-artg/consumer-medicines-information-cmi</vt:lpwstr>
      </vt:variant>
      <vt:variant>
        <vt:lpwstr/>
      </vt:variant>
      <vt:variant>
        <vt:i4>2752617</vt:i4>
      </vt:variant>
      <vt:variant>
        <vt:i4>231</vt:i4>
      </vt:variant>
      <vt:variant>
        <vt:i4>0</vt:i4>
      </vt:variant>
      <vt:variant>
        <vt:i4>5</vt:i4>
      </vt:variant>
      <vt:variant>
        <vt:lpwstr>https://www.tga.gov.au/products/australian-register-therapeutic-goods-artg/product-information-one</vt:lpwstr>
      </vt:variant>
      <vt:variant>
        <vt:lpwstr/>
      </vt:variant>
      <vt:variant>
        <vt:i4>2752617</vt:i4>
      </vt:variant>
      <vt:variant>
        <vt:i4>228</vt:i4>
      </vt:variant>
      <vt:variant>
        <vt:i4>0</vt:i4>
      </vt:variant>
      <vt:variant>
        <vt:i4>5</vt:i4>
      </vt:variant>
      <vt:variant>
        <vt:lpwstr>https://www.tga.gov.au/products/australian-register-therapeutic-goods-artg/product-information-one</vt:lpwstr>
      </vt:variant>
      <vt:variant>
        <vt:lpwstr/>
      </vt:variant>
      <vt:variant>
        <vt:i4>3801192</vt:i4>
      </vt:variant>
      <vt:variant>
        <vt:i4>225</vt:i4>
      </vt:variant>
      <vt:variant>
        <vt:i4>0</vt:i4>
      </vt:variant>
      <vt:variant>
        <vt:i4>5</vt:i4>
      </vt:variant>
      <vt:variant>
        <vt:lpwstr>http://www.tga.gov.au/ws-labs-index</vt:lpwstr>
      </vt:variant>
      <vt:variant>
        <vt:lpwstr/>
      </vt:variant>
      <vt:variant>
        <vt:i4>524365</vt:i4>
      </vt:variant>
      <vt:variant>
        <vt:i4>222</vt:i4>
      </vt:variant>
      <vt:variant>
        <vt:i4>0</vt:i4>
      </vt:variant>
      <vt:variant>
        <vt:i4>5</vt:i4>
      </vt:variant>
      <vt:variant>
        <vt:lpwstr>https://www.tga.gov.au/committee/advisory-committee-medicines-acm</vt:lpwstr>
      </vt:variant>
      <vt:variant>
        <vt:lpwstr/>
      </vt:variant>
      <vt:variant>
        <vt:i4>2424877</vt:i4>
      </vt:variant>
      <vt:variant>
        <vt:i4>219</vt:i4>
      </vt:variant>
      <vt:variant>
        <vt:i4>0</vt:i4>
      </vt:variant>
      <vt:variant>
        <vt:i4>5</vt:i4>
      </vt:variant>
      <vt:variant>
        <vt:lpwstr>https://www.tga.gov.au/resources/resource/guidance/risk-management-plans-medicines-and-biologicals/australia-specific-annex-eu-rmp</vt:lpwstr>
      </vt:variant>
      <vt:variant>
        <vt:lpwstr/>
      </vt:variant>
      <vt:variant>
        <vt:i4>2424877</vt:i4>
      </vt:variant>
      <vt:variant>
        <vt:i4>216</vt:i4>
      </vt:variant>
      <vt:variant>
        <vt:i4>0</vt:i4>
      </vt:variant>
      <vt:variant>
        <vt:i4>5</vt:i4>
      </vt:variant>
      <vt:variant>
        <vt:lpwstr>https://www.tga.gov.au/resources/resource/guidance/risk-management-plans-medicines-and-biologicals/australia-specific-annex-eu-rmp</vt:lpwstr>
      </vt:variant>
      <vt:variant>
        <vt:lpwstr/>
      </vt:variant>
      <vt:variant>
        <vt:i4>5111899</vt:i4>
      </vt:variant>
      <vt:variant>
        <vt:i4>213</vt:i4>
      </vt:variant>
      <vt:variant>
        <vt:i4>0</vt:i4>
      </vt:variant>
      <vt:variant>
        <vt:i4>5</vt:i4>
      </vt:variant>
      <vt:variant>
        <vt:lpwstr>https://www.tga.gov.au/tgas-risk-management-approach</vt:lpwstr>
      </vt:variant>
      <vt:variant>
        <vt:lpwstr/>
      </vt:variant>
      <vt:variant>
        <vt:i4>7929888</vt:i4>
      </vt:variant>
      <vt:variant>
        <vt:i4>210</vt:i4>
      </vt:variant>
      <vt:variant>
        <vt:i4>0</vt:i4>
      </vt:variant>
      <vt:variant>
        <vt:i4>5</vt:i4>
      </vt:variant>
      <vt:variant>
        <vt:lpwstr>https://www.tga.gov.au/publication/risk-management-plans-medicines-and-biologicals</vt:lpwstr>
      </vt:variant>
      <vt:variant>
        <vt:lpwstr/>
      </vt:variant>
      <vt:variant>
        <vt:i4>4522101</vt:i4>
      </vt:variant>
      <vt:variant>
        <vt:i4>207</vt:i4>
      </vt:variant>
      <vt:variant>
        <vt:i4>0</vt:i4>
      </vt:variant>
      <vt:variant>
        <vt:i4>5</vt:i4>
      </vt:variant>
      <vt:variant>
        <vt:lpwstr/>
      </vt:variant>
      <vt:variant>
        <vt:lpwstr>_Specific_conditions_of</vt:lpwstr>
      </vt:variant>
      <vt:variant>
        <vt:i4>4522101</vt:i4>
      </vt:variant>
      <vt:variant>
        <vt:i4>201</vt:i4>
      </vt:variant>
      <vt:variant>
        <vt:i4>0</vt:i4>
      </vt:variant>
      <vt:variant>
        <vt:i4>5</vt:i4>
      </vt:variant>
      <vt:variant>
        <vt:lpwstr/>
      </vt:variant>
      <vt:variant>
        <vt:lpwstr>_Specific_conditions_of</vt:lpwstr>
      </vt:variant>
      <vt:variant>
        <vt:i4>3932259</vt:i4>
      </vt:variant>
      <vt:variant>
        <vt:i4>198</vt:i4>
      </vt:variant>
      <vt:variant>
        <vt:i4>0</vt:i4>
      </vt:variant>
      <vt:variant>
        <vt:i4>5</vt:i4>
      </vt:variant>
      <vt:variant>
        <vt:lpwstr>https://www.tga.gov.au/resources/resource/reference-material/gmp-clearance-guidance</vt:lpwstr>
      </vt:variant>
      <vt:variant>
        <vt:lpwstr>:~:text=This%20guidance%20is%20for%20sponsors%20seeking%20to%20obtain%20Good%20Manufacturing</vt:lpwstr>
      </vt:variant>
      <vt:variant>
        <vt:i4>1114136</vt:i4>
      </vt:variant>
      <vt:variant>
        <vt:i4>195</vt:i4>
      </vt:variant>
      <vt:variant>
        <vt:i4>0</vt:i4>
      </vt:variant>
      <vt:variant>
        <vt:i4>5</vt:i4>
      </vt:variant>
      <vt:variant>
        <vt:lpwstr>https://www.tga.gov.au/resources/resource/reference-material/provisional-determination</vt:lpwstr>
      </vt:variant>
      <vt:variant>
        <vt:lpwstr>:~:text=Determination%20is%20a%20formal%20process%20that%20allows%20us%20to%20make</vt:lpwstr>
      </vt:variant>
      <vt:variant>
        <vt:i4>983049</vt:i4>
      </vt:variant>
      <vt:variant>
        <vt:i4>186</vt:i4>
      </vt:variant>
      <vt:variant>
        <vt:i4>0</vt:i4>
      </vt:variant>
      <vt:variant>
        <vt:i4>5</vt:i4>
      </vt:variant>
      <vt:variant>
        <vt:lpwstr>https://www.tga.gov.au/products/australian-register-therapeutic-goods-artg/consumer-medicines-information-cmi</vt:lpwstr>
      </vt:variant>
      <vt:variant>
        <vt:lpwstr/>
      </vt:variant>
      <vt:variant>
        <vt:i4>720961</vt:i4>
      </vt:variant>
      <vt:variant>
        <vt:i4>183</vt:i4>
      </vt:variant>
      <vt:variant>
        <vt:i4>0</vt:i4>
      </vt:variant>
      <vt:variant>
        <vt:i4>5</vt:i4>
      </vt:variant>
      <vt:variant>
        <vt:lpwstr>https://www.tga.gov.au/picmi-search-facility</vt:lpwstr>
      </vt:variant>
      <vt:variant>
        <vt:lpwstr/>
      </vt:variant>
      <vt:variant>
        <vt:i4>786511</vt:i4>
      </vt:variant>
      <vt:variant>
        <vt:i4>180</vt:i4>
      </vt:variant>
      <vt:variant>
        <vt:i4>0</vt:i4>
      </vt:variant>
      <vt:variant>
        <vt:i4>5</vt:i4>
      </vt:variant>
      <vt:variant>
        <vt:lpwstr>https://www.tga.gov.au/black-triangle-scheme</vt:lpwstr>
      </vt:variant>
      <vt:variant>
        <vt:lpwstr/>
      </vt:variant>
      <vt:variant>
        <vt:i4>5898256</vt:i4>
      </vt:variant>
      <vt:variant>
        <vt:i4>177</vt:i4>
      </vt:variant>
      <vt:variant>
        <vt:i4>0</vt:i4>
      </vt:variant>
      <vt:variant>
        <vt:i4>5</vt:i4>
      </vt:variant>
      <vt:variant>
        <vt:lpwstr>https://www.tga.gov.au/resources/artg/408213</vt:lpwstr>
      </vt:variant>
      <vt:variant>
        <vt:lpwstr/>
      </vt:variant>
      <vt:variant>
        <vt:i4>8323175</vt:i4>
      </vt:variant>
      <vt:variant>
        <vt:i4>174</vt:i4>
      </vt:variant>
      <vt:variant>
        <vt:i4>0</vt:i4>
      </vt:variant>
      <vt:variant>
        <vt:i4>5</vt:i4>
      </vt:variant>
      <vt:variant>
        <vt:lpwstr>https://www.tga.gov.au/prescription-medicines-registration-new-chemical-entities-australia</vt:lpwstr>
      </vt:variant>
      <vt:variant>
        <vt:lpwstr>:~:text=Each%20year,%20TGA%20registers%20approximately%2040%20new%20prescription</vt:lpwstr>
      </vt:variant>
      <vt:variant>
        <vt:i4>1245242</vt:i4>
      </vt:variant>
      <vt:variant>
        <vt:i4>167</vt:i4>
      </vt:variant>
      <vt:variant>
        <vt:i4>0</vt:i4>
      </vt:variant>
      <vt:variant>
        <vt:i4>5</vt:i4>
      </vt:variant>
      <vt:variant>
        <vt:lpwstr/>
      </vt:variant>
      <vt:variant>
        <vt:lpwstr>_Toc178261502</vt:lpwstr>
      </vt:variant>
      <vt:variant>
        <vt:i4>1245242</vt:i4>
      </vt:variant>
      <vt:variant>
        <vt:i4>161</vt:i4>
      </vt:variant>
      <vt:variant>
        <vt:i4>0</vt:i4>
      </vt:variant>
      <vt:variant>
        <vt:i4>5</vt:i4>
      </vt:variant>
      <vt:variant>
        <vt:lpwstr/>
      </vt:variant>
      <vt:variant>
        <vt:lpwstr>_Toc178261501</vt:lpwstr>
      </vt:variant>
      <vt:variant>
        <vt:i4>1245242</vt:i4>
      </vt:variant>
      <vt:variant>
        <vt:i4>155</vt:i4>
      </vt:variant>
      <vt:variant>
        <vt:i4>0</vt:i4>
      </vt:variant>
      <vt:variant>
        <vt:i4>5</vt:i4>
      </vt:variant>
      <vt:variant>
        <vt:lpwstr/>
      </vt:variant>
      <vt:variant>
        <vt:lpwstr>_Toc178261500</vt:lpwstr>
      </vt:variant>
      <vt:variant>
        <vt:i4>1703995</vt:i4>
      </vt:variant>
      <vt:variant>
        <vt:i4>149</vt:i4>
      </vt:variant>
      <vt:variant>
        <vt:i4>0</vt:i4>
      </vt:variant>
      <vt:variant>
        <vt:i4>5</vt:i4>
      </vt:variant>
      <vt:variant>
        <vt:lpwstr/>
      </vt:variant>
      <vt:variant>
        <vt:lpwstr>_Toc178261499</vt:lpwstr>
      </vt:variant>
      <vt:variant>
        <vt:i4>1703995</vt:i4>
      </vt:variant>
      <vt:variant>
        <vt:i4>143</vt:i4>
      </vt:variant>
      <vt:variant>
        <vt:i4>0</vt:i4>
      </vt:variant>
      <vt:variant>
        <vt:i4>5</vt:i4>
      </vt:variant>
      <vt:variant>
        <vt:lpwstr/>
      </vt:variant>
      <vt:variant>
        <vt:lpwstr>_Toc178261498</vt:lpwstr>
      </vt:variant>
      <vt:variant>
        <vt:i4>1703995</vt:i4>
      </vt:variant>
      <vt:variant>
        <vt:i4>137</vt:i4>
      </vt:variant>
      <vt:variant>
        <vt:i4>0</vt:i4>
      </vt:variant>
      <vt:variant>
        <vt:i4>5</vt:i4>
      </vt:variant>
      <vt:variant>
        <vt:lpwstr/>
      </vt:variant>
      <vt:variant>
        <vt:lpwstr>_Toc178261497</vt:lpwstr>
      </vt:variant>
      <vt:variant>
        <vt:i4>1703995</vt:i4>
      </vt:variant>
      <vt:variant>
        <vt:i4>131</vt:i4>
      </vt:variant>
      <vt:variant>
        <vt:i4>0</vt:i4>
      </vt:variant>
      <vt:variant>
        <vt:i4>5</vt:i4>
      </vt:variant>
      <vt:variant>
        <vt:lpwstr/>
      </vt:variant>
      <vt:variant>
        <vt:lpwstr>_Toc178261496</vt:lpwstr>
      </vt:variant>
      <vt:variant>
        <vt:i4>1703995</vt:i4>
      </vt:variant>
      <vt:variant>
        <vt:i4>125</vt:i4>
      </vt:variant>
      <vt:variant>
        <vt:i4>0</vt:i4>
      </vt:variant>
      <vt:variant>
        <vt:i4>5</vt:i4>
      </vt:variant>
      <vt:variant>
        <vt:lpwstr/>
      </vt:variant>
      <vt:variant>
        <vt:lpwstr>_Toc178261495</vt:lpwstr>
      </vt:variant>
      <vt:variant>
        <vt:i4>1703995</vt:i4>
      </vt:variant>
      <vt:variant>
        <vt:i4>119</vt:i4>
      </vt:variant>
      <vt:variant>
        <vt:i4>0</vt:i4>
      </vt:variant>
      <vt:variant>
        <vt:i4>5</vt:i4>
      </vt:variant>
      <vt:variant>
        <vt:lpwstr/>
      </vt:variant>
      <vt:variant>
        <vt:lpwstr>_Toc178261494</vt:lpwstr>
      </vt:variant>
      <vt:variant>
        <vt:i4>1703995</vt:i4>
      </vt:variant>
      <vt:variant>
        <vt:i4>113</vt:i4>
      </vt:variant>
      <vt:variant>
        <vt:i4>0</vt:i4>
      </vt:variant>
      <vt:variant>
        <vt:i4>5</vt:i4>
      </vt:variant>
      <vt:variant>
        <vt:lpwstr/>
      </vt:variant>
      <vt:variant>
        <vt:lpwstr>_Toc178261493</vt:lpwstr>
      </vt:variant>
      <vt:variant>
        <vt:i4>1703995</vt:i4>
      </vt:variant>
      <vt:variant>
        <vt:i4>107</vt:i4>
      </vt:variant>
      <vt:variant>
        <vt:i4>0</vt:i4>
      </vt:variant>
      <vt:variant>
        <vt:i4>5</vt:i4>
      </vt:variant>
      <vt:variant>
        <vt:lpwstr/>
      </vt:variant>
      <vt:variant>
        <vt:lpwstr>_Toc178261492</vt:lpwstr>
      </vt:variant>
      <vt:variant>
        <vt:i4>1703995</vt:i4>
      </vt:variant>
      <vt:variant>
        <vt:i4>101</vt:i4>
      </vt:variant>
      <vt:variant>
        <vt:i4>0</vt:i4>
      </vt:variant>
      <vt:variant>
        <vt:i4>5</vt:i4>
      </vt:variant>
      <vt:variant>
        <vt:lpwstr/>
      </vt:variant>
      <vt:variant>
        <vt:lpwstr>_Toc178261491</vt:lpwstr>
      </vt:variant>
      <vt:variant>
        <vt:i4>1703995</vt:i4>
      </vt:variant>
      <vt:variant>
        <vt:i4>95</vt:i4>
      </vt:variant>
      <vt:variant>
        <vt:i4>0</vt:i4>
      </vt:variant>
      <vt:variant>
        <vt:i4>5</vt:i4>
      </vt:variant>
      <vt:variant>
        <vt:lpwstr/>
      </vt:variant>
      <vt:variant>
        <vt:lpwstr>_Toc178261490</vt:lpwstr>
      </vt:variant>
      <vt:variant>
        <vt:i4>1769531</vt:i4>
      </vt:variant>
      <vt:variant>
        <vt:i4>89</vt:i4>
      </vt:variant>
      <vt:variant>
        <vt:i4>0</vt:i4>
      </vt:variant>
      <vt:variant>
        <vt:i4>5</vt:i4>
      </vt:variant>
      <vt:variant>
        <vt:lpwstr/>
      </vt:variant>
      <vt:variant>
        <vt:lpwstr>_Toc178261489</vt:lpwstr>
      </vt:variant>
      <vt:variant>
        <vt:i4>1769531</vt:i4>
      </vt:variant>
      <vt:variant>
        <vt:i4>83</vt:i4>
      </vt:variant>
      <vt:variant>
        <vt:i4>0</vt:i4>
      </vt:variant>
      <vt:variant>
        <vt:i4>5</vt:i4>
      </vt:variant>
      <vt:variant>
        <vt:lpwstr/>
      </vt:variant>
      <vt:variant>
        <vt:lpwstr>_Toc178261488</vt:lpwstr>
      </vt:variant>
      <vt:variant>
        <vt:i4>1769531</vt:i4>
      </vt:variant>
      <vt:variant>
        <vt:i4>77</vt:i4>
      </vt:variant>
      <vt:variant>
        <vt:i4>0</vt:i4>
      </vt:variant>
      <vt:variant>
        <vt:i4>5</vt:i4>
      </vt:variant>
      <vt:variant>
        <vt:lpwstr/>
      </vt:variant>
      <vt:variant>
        <vt:lpwstr>_Toc178261487</vt:lpwstr>
      </vt:variant>
      <vt:variant>
        <vt:i4>1769531</vt:i4>
      </vt:variant>
      <vt:variant>
        <vt:i4>71</vt:i4>
      </vt:variant>
      <vt:variant>
        <vt:i4>0</vt:i4>
      </vt:variant>
      <vt:variant>
        <vt:i4>5</vt:i4>
      </vt:variant>
      <vt:variant>
        <vt:lpwstr/>
      </vt:variant>
      <vt:variant>
        <vt:lpwstr>_Toc178261486</vt:lpwstr>
      </vt:variant>
      <vt:variant>
        <vt:i4>1769531</vt:i4>
      </vt:variant>
      <vt:variant>
        <vt:i4>65</vt:i4>
      </vt:variant>
      <vt:variant>
        <vt:i4>0</vt:i4>
      </vt:variant>
      <vt:variant>
        <vt:i4>5</vt:i4>
      </vt:variant>
      <vt:variant>
        <vt:lpwstr/>
      </vt:variant>
      <vt:variant>
        <vt:lpwstr>_Toc178261485</vt:lpwstr>
      </vt:variant>
      <vt:variant>
        <vt:i4>1769531</vt:i4>
      </vt:variant>
      <vt:variant>
        <vt:i4>59</vt:i4>
      </vt:variant>
      <vt:variant>
        <vt:i4>0</vt:i4>
      </vt:variant>
      <vt:variant>
        <vt:i4>5</vt:i4>
      </vt:variant>
      <vt:variant>
        <vt:lpwstr/>
      </vt:variant>
      <vt:variant>
        <vt:lpwstr>_Toc178261484</vt:lpwstr>
      </vt:variant>
      <vt:variant>
        <vt:i4>1769531</vt:i4>
      </vt:variant>
      <vt:variant>
        <vt:i4>53</vt:i4>
      </vt:variant>
      <vt:variant>
        <vt:i4>0</vt:i4>
      </vt:variant>
      <vt:variant>
        <vt:i4>5</vt:i4>
      </vt:variant>
      <vt:variant>
        <vt:lpwstr/>
      </vt:variant>
      <vt:variant>
        <vt:lpwstr>_Toc178261483</vt:lpwstr>
      </vt:variant>
      <vt:variant>
        <vt:i4>1769531</vt:i4>
      </vt:variant>
      <vt:variant>
        <vt:i4>47</vt:i4>
      </vt:variant>
      <vt:variant>
        <vt:i4>0</vt:i4>
      </vt:variant>
      <vt:variant>
        <vt:i4>5</vt:i4>
      </vt:variant>
      <vt:variant>
        <vt:lpwstr/>
      </vt:variant>
      <vt:variant>
        <vt:lpwstr>_Toc178261482</vt:lpwstr>
      </vt:variant>
      <vt:variant>
        <vt:i4>1769531</vt:i4>
      </vt:variant>
      <vt:variant>
        <vt:i4>41</vt:i4>
      </vt:variant>
      <vt:variant>
        <vt:i4>0</vt:i4>
      </vt:variant>
      <vt:variant>
        <vt:i4>5</vt:i4>
      </vt:variant>
      <vt:variant>
        <vt:lpwstr/>
      </vt:variant>
      <vt:variant>
        <vt:lpwstr>_Toc178261481</vt:lpwstr>
      </vt:variant>
      <vt:variant>
        <vt:i4>1769531</vt:i4>
      </vt:variant>
      <vt:variant>
        <vt:i4>35</vt:i4>
      </vt:variant>
      <vt:variant>
        <vt:i4>0</vt:i4>
      </vt:variant>
      <vt:variant>
        <vt:i4>5</vt:i4>
      </vt:variant>
      <vt:variant>
        <vt:lpwstr/>
      </vt:variant>
      <vt:variant>
        <vt:lpwstr>_Toc178261480</vt:lpwstr>
      </vt:variant>
      <vt:variant>
        <vt:i4>1310779</vt:i4>
      </vt:variant>
      <vt:variant>
        <vt:i4>29</vt:i4>
      </vt:variant>
      <vt:variant>
        <vt:i4>0</vt:i4>
      </vt:variant>
      <vt:variant>
        <vt:i4>5</vt:i4>
      </vt:variant>
      <vt:variant>
        <vt:lpwstr/>
      </vt:variant>
      <vt:variant>
        <vt:lpwstr>_Toc178261479</vt:lpwstr>
      </vt:variant>
      <vt:variant>
        <vt:i4>1310779</vt:i4>
      </vt:variant>
      <vt:variant>
        <vt:i4>23</vt:i4>
      </vt:variant>
      <vt:variant>
        <vt:i4>0</vt:i4>
      </vt:variant>
      <vt:variant>
        <vt:i4>5</vt:i4>
      </vt:variant>
      <vt:variant>
        <vt:lpwstr/>
      </vt:variant>
      <vt:variant>
        <vt:lpwstr>_Toc178261478</vt:lpwstr>
      </vt:variant>
      <vt:variant>
        <vt:i4>1310779</vt:i4>
      </vt:variant>
      <vt:variant>
        <vt:i4>17</vt:i4>
      </vt:variant>
      <vt:variant>
        <vt:i4>0</vt:i4>
      </vt:variant>
      <vt:variant>
        <vt:i4>5</vt:i4>
      </vt:variant>
      <vt:variant>
        <vt:lpwstr/>
      </vt:variant>
      <vt:variant>
        <vt:lpwstr>_Toc178261477</vt:lpwstr>
      </vt:variant>
      <vt:variant>
        <vt:i4>6291548</vt:i4>
      </vt:variant>
      <vt:variant>
        <vt:i4>12</vt:i4>
      </vt:variant>
      <vt:variant>
        <vt:i4>0</vt:i4>
      </vt:variant>
      <vt:variant>
        <vt:i4>5</vt:i4>
      </vt:variant>
      <vt:variant>
        <vt:lpwstr>mailto:tga.copyright@tga.gov.au</vt:lpwstr>
      </vt:variant>
      <vt:variant>
        <vt:lpwstr/>
      </vt:variant>
      <vt:variant>
        <vt:i4>7995497</vt:i4>
      </vt:variant>
      <vt:variant>
        <vt:i4>9</vt:i4>
      </vt:variant>
      <vt:variant>
        <vt:i4>0</vt:i4>
      </vt:variant>
      <vt:variant>
        <vt:i4>5</vt:i4>
      </vt:variant>
      <vt:variant>
        <vt:lpwstr>https://www.tga.gov.au/australian-public-assessment-report-auspar-guidance</vt:lpwstr>
      </vt:variant>
      <vt:variant>
        <vt:lpwstr/>
      </vt:variant>
      <vt:variant>
        <vt:i4>2424874</vt:i4>
      </vt:variant>
      <vt:variant>
        <vt:i4>6</vt:i4>
      </vt:variant>
      <vt:variant>
        <vt:i4>0</vt:i4>
      </vt:variant>
      <vt:variant>
        <vt:i4>5</vt:i4>
      </vt:variant>
      <vt:variant>
        <vt:lpwstr>https://www.tga.gov.au/products/australian-register-therapeutic-goods-artg</vt:lpwstr>
      </vt:variant>
      <vt:variant>
        <vt:lpwstr/>
      </vt:variant>
      <vt:variant>
        <vt:i4>3473445</vt:i4>
      </vt:variant>
      <vt:variant>
        <vt:i4>3</vt:i4>
      </vt:variant>
      <vt:variant>
        <vt:i4>0</vt:i4>
      </vt:variant>
      <vt:variant>
        <vt:i4>5</vt:i4>
      </vt:variant>
      <vt:variant>
        <vt:lpwstr>https://www.tga.gov.au/</vt:lpwstr>
      </vt:variant>
      <vt:variant>
        <vt:lpwstr/>
      </vt:variant>
      <vt:variant>
        <vt:i4>3473445</vt:i4>
      </vt:variant>
      <vt:variant>
        <vt:i4>0</vt:i4>
      </vt:variant>
      <vt:variant>
        <vt:i4>0</vt:i4>
      </vt:variant>
      <vt:variant>
        <vt:i4>5</vt:i4>
      </vt:variant>
      <vt:variant>
        <vt:lpwstr>https://www.tga.gov.au/</vt:lpwstr>
      </vt:variant>
      <vt:variant>
        <vt:lpwstr/>
      </vt:variant>
      <vt:variant>
        <vt:i4>1638474</vt:i4>
      </vt:variant>
      <vt:variant>
        <vt:i4>21</vt:i4>
      </vt:variant>
      <vt:variant>
        <vt:i4>0</vt:i4>
      </vt:variant>
      <vt:variant>
        <vt:i4>5</vt:i4>
      </vt:variant>
      <vt:variant>
        <vt:lpwstr>https://www.ebs.tga.gov.au/ebs/picmi/picmirepository.nsf/pdf?OpenAgent&amp;id=CP-2022-PI-01224-1</vt:lpwstr>
      </vt:variant>
      <vt:variant>
        <vt:lpwstr/>
      </vt:variant>
      <vt:variant>
        <vt:i4>4391003</vt:i4>
      </vt:variant>
      <vt:variant>
        <vt:i4>18</vt:i4>
      </vt:variant>
      <vt:variant>
        <vt:i4>0</vt:i4>
      </vt:variant>
      <vt:variant>
        <vt:i4>5</vt:i4>
      </vt:variant>
      <vt:variant>
        <vt:lpwstr>https://www.ebs.tga.gov.au/ebs/picmi/picmirepository.nsf/pdf?OpenAgent&amp;id=CP-2023-PI-01800-1&amp;d=20240128172310101</vt:lpwstr>
      </vt:variant>
      <vt:variant>
        <vt:lpwstr/>
      </vt:variant>
      <vt:variant>
        <vt:i4>1835087</vt:i4>
      </vt:variant>
      <vt:variant>
        <vt:i4>15</vt:i4>
      </vt:variant>
      <vt:variant>
        <vt:i4>0</vt:i4>
      </vt:variant>
      <vt:variant>
        <vt:i4>5</vt:i4>
      </vt:variant>
      <vt:variant>
        <vt:lpwstr>https://www.ebs.tga.gov.au/ebs/picmi/picmirepository.nsf/pdf?OpenAgent&amp;id=CP-2023-PI-01764-1</vt:lpwstr>
      </vt:variant>
      <vt:variant>
        <vt:lpwstr/>
      </vt:variant>
      <vt:variant>
        <vt:i4>6488115</vt:i4>
      </vt:variant>
      <vt:variant>
        <vt:i4>12</vt:i4>
      </vt:variant>
      <vt:variant>
        <vt:i4>0</vt:i4>
      </vt:variant>
      <vt:variant>
        <vt:i4>5</vt:i4>
      </vt:variant>
      <vt:variant>
        <vt:lpwstr>https://myeloma.org.au/wp-content/uploads/2019/10/myeloma_clinical_practice_guideline_oct19.pdf</vt:lpwstr>
      </vt:variant>
      <vt:variant>
        <vt:lpwstr>:~:text=This%20guideline%20is%20a%20consensus%20established%20by%20the,this%20guideline%20are%20as%20outlined%20in%20table%201</vt:lpwstr>
      </vt:variant>
      <vt:variant>
        <vt:i4>4390922</vt:i4>
      </vt:variant>
      <vt:variant>
        <vt:i4>9</vt:i4>
      </vt:variant>
      <vt:variant>
        <vt:i4>0</vt:i4>
      </vt:variant>
      <vt:variant>
        <vt:i4>5</vt:i4>
      </vt:variant>
      <vt:variant>
        <vt:lpwstr>https://www.cancer.org/cancer/types/multiple-myeloma/detection-diagnosis-staging/survival-rates.html</vt:lpwstr>
      </vt:variant>
      <vt:variant>
        <vt:lpwstr/>
      </vt:variant>
      <vt:variant>
        <vt:i4>983113</vt:i4>
      </vt:variant>
      <vt:variant>
        <vt:i4>6</vt:i4>
      </vt:variant>
      <vt:variant>
        <vt:i4>0</vt:i4>
      </vt:variant>
      <vt:variant>
        <vt:i4>5</vt:i4>
      </vt:variant>
      <vt:variant>
        <vt:lpwstr>https://www.aihw.gov.au/reports/cancer/cancer-data-in-australia/data</vt:lpwstr>
      </vt:variant>
      <vt:variant>
        <vt:lpwstr/>
      </vt:variant>
      <vt:variant>
        <vt:i4>6488115</vt:i4>
      </vt:variant>
      <vt:variant>
        <vt:i4>3</vt:i4>
      </vt:variant>
      <vt:variant>
        <vt:i4>0</vt:i4>
      </vt:variant>
      <vt:variant>
        <vt:i4>5</vt:i4>
      </vt:variant>
      <vt:variant>
        <vt:lpwstr>https://myeloma.org.au/wp-content/uploads/2019/10/myeloma_clinical_practice_guideline_oct19.pdf</vt:lpwstr>
      </vt:variant>
      <vt:variant>
        <vt:lpwstr>:~:text=This%20guideline%20is%20a%20consensus%20established%20by%20the,this%20guideline%20are%20as%20outlined%20in%20table%201</vt:lpwstr>
      </vt:variant>
      <vt:variant>
        <vt:i4>1900562</vt:i4>
      </vt:variant>
      <vt:variant>
        <vt:i4>0</vt:i4>
      </vt:variant>
      <vt:variant>
        <vt:i4>0</vt:i4>
      </vt:variant>
      <vt:variant>
        <vt:i4>5</vt:i4>
      </vt:variant>
      <vt:variant>
        <vt:lpwstr>https://www.aihw.gov.au/reports/cancer/cancer-data-in-australia/contents/overview-of-cancer-in-australia-2023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Elrexfio</dc:title>
  <dc:subject>Prescription medicines</dc:subject>
  <dc:creator>Therapeutic Goods Administration</dc:creator>
  <cp:keywords/>
  <dc:description/>
  <cp:lastModifiedBy>LACK, Janet</cp:lastModifiedBy>
  <cp:revision>3</cp:revision>
  <dcterms:created xsi:type="dcterms:W3CDTF">2024-12-17T23:08:00Z</dcterms:created>
  <dcterms:modified xsi:type="dcterms:W3CDTF">2024-12-17T23:09:00Z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0x0101009A3A1B31C2C4104DA86F7E80BDD7C50C</vt:lpwstr>
  </property>
  <property fmtid="{D5CDD505-2E9C-101B-9397-08002B2CF9AE}" pid="3" name="MSIP_Label_4791b42f-c435-42ca-9531-75a3f42aae3d_Enabled">
    <vt:lpwstr>true</vt:lpwstr>
  </property>
  <property fmtid="{D5CDD505-2E9C-101B-9397-08002B2CF9AE}" pid="4" name="MSIP_Label_4791b42f-c435-42ca-9531-75a3f42aae3d_SetDate">
    <vt:lpwstr>2024-10-03T15:37:09Z</vt:lpwstr>
  </property>
  <property fmtid="{D5CDD505-2E9C-101B-9397-08002B2CF9AE}" pid="5" name="MSIP_Label_4791b42f-c435-42ca-9531-75a3f42aae3d_Method">
    <vt:lpwstr>Privileged</vt:lpwstr>
  </property>
  <property fmtid="{D5CDD505-2E9C-101B-9397-08002B2CF9AE}" pid="6" name="MSIP_Label_4791b42f-c435-42ca-9531-75a3f42aae3d_Name">
    <vt:lpwstr>4791b42f-c435-42ca-9531-75a3f42aae3d</vt:lpwstr>
  </property>
  <property fmtid="{D5CDD505-2E9C-101B-9397-08002B2CF9AE}" pid="7" name="MSIP_Label_4791b42f-c435-42ca-9531-75a3f42aae3d_SiteId">
    <vt:lpwstr>7a916015-20ae-4ad1-9170-eefd915e9272</vt:lpwstr>
  </property>
  <property fmtid="{D5CDD505-2E9C-101B-9397-08002B2CF9AE}" pid="8" name="MSIP_Label_4791b42f-c435-42ca-9531-75a3f42aae3d_ActionId">
    <vt:lpwstr>bfaa20f9-be9b-4ecb-897b-3c17b3f08bdb</vt:lpwstr>
  </property>
  <property fmtid="{D5CDD505-2E9C-101B-9397-08002B2CF9AE}" pid="9" name="MSIP_Label_4791b42f-c435-42ca-9531-75a3f42aae3d_ContentBits">
    <vt:lpwstr>0</vt:lpwstr>
  </property>
  <property fmtid="{D5CDD505-2E9C-101B-9397-08002B2CF9AE}" pid="10" name="MediaServiceImageTags">
    <vt:lpwstr/>
  </property>
</Properties>
</file>