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10473F5C" w:rsidR="00F02AEC" w:rsidRPr="00215D48" w:rsidRDefault="00457050" w:rsidP="002B29B2">
            <w:pPr>
              <w:pStyle w:val="Title"/>
            </w:pPr>
            <w:bookmarkStart w:id="0" w:name="_Toc178244700"/>
            <w:bookmarkStart w:id="1" w:name="_Toc185508602"/>
            <w:r>
              <w:t>Notice of final decisions to amend (or not amend) the current Poisons Standard</w:t>
            </w:r>
            <w:bookmarkEnd w:id="0"/>
            <w:bookmarkEnd w:id="1"/>
          </w:p>
        </w:tc>
      </w:tr>
      <w:tr w:rsidR="00F02AEC" w:rsidRPr="00215D48" w14:paraId="5819680E" w14:textId="77777777" w:rsidTr="002B29B2">
        <w:trPr>
          <w:trHeight w:val="1916"/>
        </w:trPr>
        <w:tc>
          <w:tcPr>
            <w:tcW w:w="8720" w:type="dxa"/>
          </w:tcPr>
          <w:p w14:paraId="54DDB299" w14:textId="4EF4A889" w:rsidR="00F02AEC" w:rsidRPr="00215D48" w:rsidRDefault="00DE1519" w:rsidP="00D1612F">
            <w:pPr>
              <w:pStyle w:val="Subtitle"/>
              <w:ind w:left="0"/>
            </w:pPr>
            <w:r w:rsidRPr="00DE1519">
              <w:t>16</w:t>
            </w:r>
            <w:r w:rsidR="00457050" w:rsidRPr="00DE1519">
              <w:t xml:space="preserve"> </w:t>
            </w:r>
            <w:r w:rsidR="004B6AF6" w:rsidRPr="00DE1519">
              <w:t>December</w:t>
            </w:r>
            <w:r w:rsidR="00454694" w:rsidRPr="00DE1519">
              <w:t xml:space="preserve"> 2024</w:t>
            </w:r>
          </w:p>
        </w:tc>
      </w:tr>
      <w:tr w:rsidR="00F02AEC" w:rsidRPr="00215D48" w14:paraId="2DBDA257" w14:textId="77777777" w:rsidTr="002B29B2">
        <w:tc>
          <w:tcPr>
            <w:tcW w:w="8720" w:type="dxa"/>
          </w:tcPr>
          <w:p w14:paraId="61B9BE12" w14:textId="2524F034" w:rsidR="00F02AEC" w:rsidRPr="00215D48" w:rsidRDefault="00F02AEC" w:rsidP="00967490">
            <w:pPr>
              <w:pStyle w:val="Date"/>
            </w:pPr>
          </w:p>
        </w:tc>
      </w:tr>
    </w:tbl>
    <w:p w14:paraId="5F09A95D" w14:textId="77777777" w:rsidR="00F02AEC" w:rsidRPr="00215D48" w:rsidRDefault="00F02AEC" w:rsidP="00B521FB">
      <w:pPr>
        <w:pStyle w:val="ListBullet"/>
        <w:sectPr w:rsidR="00F02AEC" w:rsidRPr="00215D48" w:rsidSect="00CB0550">
          <w:footerReference w:type="default" r:id="rId8"/>
          <w:headerReference w:type="first" r:id="rId9"/>
          <w:pgSz w:w="11906" w:h="16838"/>
          <w:pgMar w:top="1440" w:right="1440" w:bottom="1440" w:left="1440" w:header="708" w:footer="708" w:gutter="0"/>
          <w:cols w:space="708"/>
          <w:titlePg/>
          <w:docGrid w:linePitch="360"/>
        </w:sectPr>
      </w:pPr>
    </w:p>
    <w:p w14:paraId="10B332C0" w14:textId="77777777" w:rsidR="00F02AEC" w:rsidRPr="00DE78C9" w:rsidRDefault="00F02AEC" w:rsidP="00DE78C9">
      <w:pPr>
        <w:rPr>
          <w:b/>
          <w:bCs/>
          <w:sz w:val="16"/>
          <w:szCs w:val="16"/>
        </w:rPr>
      </w:pPr>
      <w:r w:rsidRPr="00DE78C9">
        <w:rPr>
          <w:b/>
          <w:bCs/>
          <w:sz w:val="16"/>
          <w:szCs w:val="16"/>
        </w:rPr>
        <w:lastRenderedPageBreak/>
        <w:t>Copyright</w:t>
      </w:r>
    </w:p>
    <w:p w14:paraId="5671087C" w14:textId="237B17DA" w:rsidR="00175CD8" w:rsidRDefault="00F02AEC" w:rsidP="00DE78C9">
      <w:pPr>
        <w:rPr>
          <w:sz w:val="16"/>
          <w:szCs w:val="16"/>
        </w:rPr>
      </w:pPr>
      <w:r w:rsidRPr="00DE78C9">
        <w:rPr>
          <w:sz w:val="16"/>
          <w:szCs w:val="16"/>
        </w:rPr>
        <w:t>© Commonwealth of Australia 202</w:t>
      </w:r>
      <w:r w:rsidR="00B521FB">
        <w:rPr>
          <w:sz w:val="16"/>
          <w:szCs w:val="16"/>
        </w:rPr>
        <w:t>4</w:t>
      </w:r>
      <w:r w:rsidRPr="00DE78C9">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E78C9">
        <w:rPr>
          <w:i/>
          <w:sz w:val="16"/>
          <w:szCs w:val="16"/>
        </w:rPr>
        <w:t>Copyright Act 1968</w:t>
      </w:r>
      <w:r w:rsidRPr="00DE78C9">
        <w:rPr>
          <w:sz w:val="16"/>
          <w:szCs w:val="16"/>
        </w:rPr>
        <w:t xml:space="preserve"> or allowed by this copyright notice, all other rights are </w:t>
      </w:r>
      <w:proofErr w:type="gramStart"/>
      <w:r w:rsidRPr="00DE78C9">
        <w:rPr>
          <w:sz w:val="16"/>
          <w:szCs w:val="16"/>
        </w:rPr>
        <w:t>reserved</w:t>
      </w:r>
      <w:proofErr w:type="gramEnd"/>
      <w:r w:rsidRPr="00DE78C9">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0" w:history="1">
        <w:r w:rsidRPr="00DE78C9">
          <w:rPr>
            <w:rStyle w:val="Hyperlink"/>
            <w:rFonts w:cs="Arial"/>
            <w:sz w:val="16"/>
            <w:szCs w:val="16"/>
          </w:rPr>
          <w:t>tga.copyright@tga.gov.au</w:t>
        </w:r>
      </w:hyperlink>
      <w:r w:rsidRPr="00DE78C9">
        <w:rPr>
          <w:sz w:val="16"/>
          <w:szCs w:val="16"/>
        </w:rPr>
        <w:t>.</w:t>
      </w:r>
    </w:p>
    <w:bookmarkStart w:id="2" w:name="_Toc178244701" w:displacedByCustomXml="next"/>
    <w:bookmarkStart w:id="3" w:name="_Toc185508603" w:displacedByCustomXml="next"/>
    <w:sdt>
      <w:sdtPr>
        <w:rPr>
          <w:rFonts w:ascii="Cambria" w:eastAsiaTheme="minorHAnsi" w:hAnsi="Cambria" w:cstheme="minorBidi"/>
          <w:b w:val="0"/>
          <w:color w:val="auto"/>
          <w:sz w:val="22"/>
        </w:rPr>
        <w:id w:val="21514769"/>
        <w:docPartObj>
          <w:docPartGallery w:val="Table of Contents"/>
          <w:docPartUnique/>
        </w:docPartObj>
      </w:sdtPr>
      <w:sdtEndPr>
        <w:rPr>
          <w:rFonts w:ascii="Arial" w:hAnsi="Arial"/>
          <w:color w:val="000000" w:themeColor="text1"/>
          <w:sz w:val="20"/>
        </w:rPr>
      </w:sdtEndPr>
      <w:sdtContent>
        <w:p w14:paraId="495F5FE1" w14:textId="77777777" w:rsidR="00F02AEC" w:rsidRPr="00215D48" w:rsidRDefault="00F02AEC" w:rsidP="00967490">
          <w:pPr>
            <w:pStyle w:val="NonTOCheading2"/>
          </w:pPr>
          <w:r w:rsidRPr="00215D48">
            <w:t>Contents</w:t>
          </w:r>
          <w:bookmarkEnd w:id="3"/>
          <w:bookmarkEnd w:id="2"/>
        </w:p>
        <w:p w14:paraId="34A8F11A" w14:textId="56F07A67" w:rsidR="001408D6" w:rsidRDefault="002B5C5B">
          <w:pPr>
            <w:pStyle w:val="TOC1"/>
            <w:rPr>
              <w:rFonts w:asciiTheme="minorHAnsi" w:eastAsiaTheme="minorEastAsia" w:hAnsiTheme="minorHAnsi" w:cstheme="minorBidi"/>
              <w:b w:val="0"/>
              <w:noProof/>
              <w:color w:val="auto"/>
              <w:kern w:val="2"/>
              <w:sz w:val="24"/>
              <w:szCs w:val="24"/>
              <w:lang w:eastAsia="en-AU"/>
              <w14:ligatures w14:val="standardContextual"/>
            </w:rPr>
          </w:pPr>
          <w:r>
            <w:fldChar w:fldCharType="begin"/>
          </w:r>
          <w:r>
            <w:instrText xml:space="preserve"> TOC \o "1-1" \h \z \u \t "Heading 2,1,Heading 3,2,Legal Subheading,2,Non TOC heading 2,2" </w:instrText>
          </w:r>
          <w:r>
            <w:fldChar w:fldCharType="separate"/>
          </w:r>
          <w:hyperlink w:anchor="_Toc185508602" w:history="1">
            <w:r w:rsidR="001408D6" w:rsidRPr="002B2E6B">
              <w:rPr>
                <w:rStyle w:val="Hyperlink"/>
                <w:noProof/>
              </w:rPr>
              <w:t>Notice of final decisions to amend (or not amend) the current Poisons Standard</w:t>
            </w:r>
            <w:r w:rsidR="001408D6">
              <w:rPr>
                <w:noProof/>
                <w:webHidden/>
              </w:rPr>
              <w:tab/>
            </w:r>
            <w:r w:rsidR="001408D6">
              <w:rPr>
                <w:noProof/>
                <w:webHidden/>
              </w:rPr>
              <w:fldChar w:fldCharType="begin"/>
            </w:r>
            <w:r w:rsidR="001408D6">
              <w:rPr>
                <w:noProof/>
                <w:webHidden/>
              </w:rPr>
              <w:instrText xml:space="preserve"> PAGEREF _Toc185508602 \h </w:instrText>
            </w:r>
            <w:r w:rsidR="001408D6">
              <w:rPr>
                <w:noProof/>
                <w:webHidden/>
              </w:rPr>
            </w:r>
            <w:r w:rsidR="001408D6">
              <w:rPr>
                <w:noProof/>
                <w:webHidden/>
              </w:rPr>
              <w:fldChar w:fldCharType="separate"/>
            </w:r>
            <w:r w:rsidR="001408D6">
              <w:rPr>
                <w:noProof/>
                <w:webHidden/>
              </w:rPr>
              <w:t>1</w:t>
            </w:r>
            <w:r w:rsidR="001408D6">
              <w:rPr>
                <w:noProof/>
                <w:webHidden/>
              </w:rPr>
              <w:fldChar w:fldCharType="end"/>
            </w:r>
          </w:hyperlink>
        </w:p>
        <w:p w14:paraId="503647A3" w14:textId="03302455"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03" w:history="1">
            <w:r w:rsidRPr="002B2E6B">
              <w:rPr>
                <w:rStyle w:val="Hyperlink"/>
                <w:noProof/>
              </w:rPr>
              <w:t>Contents</w:t>
            </w:r>
            <w:r>
              <w:rPr>
                <w:noProof/>
                <w:webHidden/>
              </w:rPr>
              <w:tab/>
            </w:r>
            <w:r>
              <w:rPr>
                <w:noProof/>
                <w:webHidden/>
              </w:rPr>
              <w:fldChar w:fldCharType="begin"/>
            </w:r>
            <w:r>
              <w:rPr>
                <w:noProof/>
                <w:webHidden/>
              </w:rPr>
              <w:instrText xml:space="preserve"> PAGEREF _Toc185508603 \h </w:instrText>
            </w:r>
            <w:r>
              <w:rPr>
                <w:noProof/>
                <w:webHidden/>
              </w:rPr>
            </w:r>
            <w:r>
              <w:rPr>
                <w:noProof/>
                <w:webHidden/>
              </w:rPr>
              <w:fldChar w:fldCharType="separate"/>
            </w:r>
            <w:r>
              <w:rPr>
                <w:noProof/>
                <w:webHidden/>
              </w:rPr>
              <w:t>3</w:t>
            </w:r>
            <w:r>
              <w:rPr>
                <w:noProof/>
                <w:webHidden/>
              </w:rPr>
              <w:fldChar w:fldCharType="end"/>
            </w:r>
          </w:hyperlink>
        </w:p>
        <w:p w14:paraId="4D672636" w14:textId="16C34C4C"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04" w:history="1">
            <w:r w:rsidRPr="002B2E6B">
              <w:rPr>
                <w:rStyle w:val="Hyperlink"/>
                <w:noProof/>
              </w:rPr>
              <w:t>Notice of final decisions to amend (or not amend) the current Poisons Standard</w:t>
            </w:r>
            <w:r>
              <w:rPr>
                <w:noProof/>
                <w:webHidden/>
              </w:rPr>
              <w:tab/>
            </w:r>
            <w:r>
              <w:rPr>
                <w:noProof/>
                <w:webHidden/>
              </w:rPr>
              <w:fldChar w:fldCharType="begin"/>
            </w:r>
            <w:r>
              <w:rPr>
                <w:noProof/>
                <w:webHidden/>
              </w:rPr>
              <w:instrText xml:space="preserve"> PAGEREF _Toc185508604 \h </w:instrText>
            </w:r>
            <w:r>
              <w:rPr>
                <w:noProof/>
                <w:webHidden/>
              </w:rPr>
            </w:r>
            <w:r>
              <w:rPr>
                <w:noProof/>
                <w:webHidden/>
              </w:rPr>
              <w:fldChar w:fldCharType="separate"/>
            </w:r>
            <w:r>
              <w:rPr>
                <w:noProof/>
                <w:webHidden/>
              </w:rPr>
              <w:t>5</w:t>
            </w:r>
            <w:r>
              <w:rPr>
                <w:noProof/>
                <w:webHidden/>
              </w:rPr>
              <w:fldChar w:fldCharType="end"/>
            </w:r>
          </w:hyperlink>
        </w:p>
        <w:p w14:paraId="0931B1F9" w14:textId="198CCB30"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05" w:history="1">
            <w:r w:rsidRPr="002B2E6B">
              <w:rPr>
                <w:rStyle w:val="Hyperlink"/>
                <w:noProof/>
              </w:rPr>
              <w:t>Final decisions on proposed amendments referred to the Advisory Committee on Medicines Scheduling (ACMS #45, June 2024)</w:t>
            </w:r>
            <w:r>
              <w:rPr>
                <w:noProof/>
                <w:webHidden/>
              </w:rPr>
              <w:tab/>
            </w:r>
            <w:r>
              <w:rPr>
                <w:noProof/>
                <w:webHidden/>
              </w:rPr>
              <w:fldChar w:fldCharType="begin"/>
            </w:r>
            <w:r>
              <w:rPr>
                <w:noProof/>
                <w:webHidden/>
              </w:rPr>
              <w:instrText xml:space="preserve"> PAGEREF _Toc185508605 \h </w:instrText>
            </w:r>
            <w:r>
              <w:rPr>
                <w:noProof/>
                <w:webHidden/>
              </w:rPr>
            </w:r>
            <w:r>
              <w:rPr>
                <w:noProof/>
                <w:webHidden/>
              </w:rPr>
              <w:fldChar w:fldCharType="separate"/>
            </w:r>
            <w:r>
              <w:rPr>
                <w:noProof/>
                <w:webHidden/>
              </w:rPr>
              <w:t>6</w:t>
            </w:r>
            <w:r>
              <w:rPr>
                <w:noProof/>
                <w:webHidden/>
              </w:rPr>
              <w:fldChar w:fldCharType="end"/>
            </w:r>
          </w:hyperlink>
        </w:p>
        <w:p w14:paraId="52855474" w14:textId="17B610B7"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06" w:history="1">
            <w:r w:rsidRPr="002B2E6B">
              <w:rPr>
                <w:rStyle w:val="Hyperlink"/>
                <w:noProof/>
              </w:rPr>
              <w:t>Final decision in relation to sildenafil</w:t>
            </w:r>
            <w:r>
              <w:rPr>
                <w:noProof/>
                <w:webHidden/>
              </w:rPr>
              <w:tab/>
            </w:r>
            <w:r>
              <w:rPr>
                <w:noProof/>
                <w:webHidden/>
              </w:rPr>
              <w:fldChar w:fldCharType="begin"/>
            </w:r>
            <w:r>
              <w:rPr>
                <w:noProof/>
                <w:webHidden/>
              </w:rPr>
              <w:instrText xml:space="preserve"> PAGEREF _Toc185508606 \h </w:instrText>
            </w:r>
            <w:r>
              <w:rPr>
                <w:noProof/>
                <w:webHidden/>
              </w:rPr>
            </w:r>
            <w:r>
              <w:rPr>
                <w:noProof/>
                <w:webHidden/>
              </w:rPr>
              <w:fldChar w:fldCharType="separate"/>
            </w:r>
            <w:r>
              <w:rPr>
                <w:noProof/>
                <w:webHidden/>
              </w:rPr>
              <w:t>6</w:t>
            </w:r>
            <w:r>
              <w:rPr>
                <w:noProof/>
                <w:webHidden/>
              </w:rPr>
              <w:fldChar w:fldCharType="end"/>
            </w:r>
          </w:hyperlink>
        </w:p>
        <w:p w14:paraId="6005CC6B" w14:textId="37C903BE"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07" w:history="1">
            <w:r w:rsidRPr="002B2E6B">
              <w:rPr>
                <w:rStyle w:val="Hyperlink"/>
                <w:noProof/>
              </w:rPr>
              <w:t>Final decisions on proposed amendments referred to the Advisory Committee on Chemicals Scheduling (ACCS #39, June 2024)</w:t>
            </w:r>
            <w:r>
              <w:rPr>
                <w:noProof/>
                <w:webHidden/>
              </w:rPr>
              <w:tab/>
            </w:r>
            <w:r>
              <w:rPr>
                <w:noProof/>
                <w:webHidden/>
              </w:rPr>
              <w:fldChar w:fldCharType="begin"/>
            </w:r>
            <w:r>
              <w:rPr>
                <w:noProof/>
                <w:webHidden/>
              </w:rPr>
              <w:instrText xml:space="preserve"> PAGEREF _Toc185508607 \h </w:instrText>
            </w:r>
            <w:r>
              <w:rPr>
                <w:noProof/>
                <w:webHidden/>
              </w:rPr>
            </w:r>
            <w:r>
              <w:rPr>
                <w:noProof/>
                <w:webHidden/>
              </w:rPr>
              <w:fldChar w:fldCharType="separate"/>
            </w:r>
            <w:r>
              <w:rPr>
                <w:noProof/>
                <w:webHidden/>
              </w:rPr>
              <w:t>8</w:t>
            </w:r>
            <w:r>
              <w:rPr>
                <w:noProof/>
                <w:webHidden/>
              </w:rPr>
              <w:fldChar w:fldCharType="end"/>
            </w:r>
          </w:hyperlink>
        </w:p>
        <w:p w14:paraId="597FFC63" w14:textId="3430D7DA"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08" w:history="1">
            <w:r w:rsidRPr="002B2E6B">
              <w:rPr>
                <w:rStyle w:val="Hyperlink"/>
                <w:noProof/>
              </w:rPr>
              <w:t>Final decision in relation to allyl esters</w:t>
            </w:r>
            <w:r>
              <w:rPr>
                <w:noProof/>
                <w:webHidden/>
              </w:rPr>
              <w:tab/>
            </w:r>
            <w:r>
              <w:rPr>
                <w:noProof/>
                <w:webHidden/>
              </w:rPr>
              <w:fldChar w:fldCharType="begin"/>
            </w:r>
            <w:r>
              <w:rPr>
                <w:noProof/>
                <w:webHidden/>
              </w:rPr>
              <w:instrText xml:space="preserve"> PAGEREF _Toc185508608 \h </w:instrText>
            </w:r>
            <w:r>
              <w:rPr>
                <w:noProof/>
                <w:webHidden/>
              </w:rPr>
            </w:r>
            <w:r>
              <w:rPr>
                <w:noProof/>
                <w:webHidden/>
              </w:rPr>
              <w:fldChar w:fldCharType="separate"/>
            </w:r>
            <w:r>
              <w:rPr>
                <w:noProof/>
                <w:webHidden/>
              </w:rPr>
              <w:t>8</w:t>
            </w:r>
            <w:r>
              <w:rPr>
                <w:noProof/>
                <w:webHidden/>
              </w:rPr>
              <w:fldChar w:fldCharType="end"/>
            </w:r>
          </w:hyperlink>
        </w:p>
        <w:p w14:paraId="1E0241CD" w14:textId="3BE00529"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09" w:history="1">
            <w:r w:rsidRPr="002B2E6B">
              <w:rPr>
                <w:rStyle w:val="Hyperlink"/>
                <w:noProof/>
              </w:rPr>
              <w:t>Final decision in relation to glyoxylic acid</w:t>
            </w:r>
            <w:r>
              <w:rPr>
                <w:noProof/>
                <w:webHidden/>
              </w:rPr>
              <w:tab/>
            </w:r>
            <w:r>
              <w:rPr>
                <w:noProof/>
                <w:webHidden/>
              </w:rPr>
              <w:fldChar w:fldCharType="begin"/>
            </w:r>
            <w:r>
              <w:rPr>
                <w:noProof/>
                <w:webHidden/>
              </w:rPr>
              <w:instrText xml:space="preserve"> PAGEREF _Toc185508609 \h </w:instrText>
            </w:r>
            <w:r>
              <w:rPr>
                <w:noProof/>
                <w:webHidden/>
              </w:rPr>
            </w:r>
            <w:r>
              <w:rPr>
                <w:noProof/>
                <w:webHidden/>
              </w:rPr>
              <w:fldChar w:fldCharType="separate"/>
            </w:r>
            <w:r>
              <w:rPr>
                <w:noProof/>
                <w:webHidden/>
              </w:rPr>
              <w:t>10</w:t>
            </w:r>
            <w:r>
              <w:rPr>
                <w:noProof/>
                <w:webHidden/>
              </w:rPr>
              <w:fldChar w:fldCharType="end"/>
            </w:r>
          </w:hyperlink>
        </w:p>
        <w:p w14:paraId="57A31529" w14:textId="12F93387"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10" w:history="1">
            <w:r w:rsidRPr="002B2E6B">
              <w:rPr>
                <w:rStyle w:val="Hyperlink"/>
                <w:noProof/>
              </w:rPr>
              <w:t>Final decisions on proposed amendments referred to the Advisory Committee on Medicines and Chemicals Scheduling in joint session (Joint ACMS-ACCS #37, June 2024)</w:t>
            </w:r>
            <w:r>
              <w:rPr>
                <w:noProof/>
                <w:webHidden/>
              </w:rPr>
              <w:tab/>
            </w:r>
            <w:r>
              <w:rPr>
                <w:noProof/>
                <w:webHidden/>
              </w:rPr>
              <w:fldChar w:fldCharType="begin"/>
            </w:r>
            <w:r>
              <w:rPr>
                <w:noProof/>
                <w:webHidden/>
              </w:rPr>
              <w:instrText xml:space="preserve"> PAGEREF _Toc185508610 \h </w:instrText>
            </w:r>
            <w:r>
              <w:rPr>
                <w:noProof/>
                <w:webHidden/>
              </w:rPr>
            </w:r>
            <w:r>
              <w:rPr>
                <w:noProof/>
                <w:webHidden/>
              </w:rPr>
              <w:fldChar w:fldCharType="separate"/>
            </w:r>
            <w:r>
              <w:rPr>
                <w:noProof/>
                <w:webHidden/>
              </w:rPr>
              <w:t>13</w:t>
            </w:r>
            <w:r>
              <w:rPr>
                <w:noProof/>
                <w:webHidden/>
              </w:rPr>
              <w:fldChar w:fldCharType="end"/>
            </w:r>
          </w:hyperlink>
        </w:p>
        <w:p w14:paraId="266FAEDF" w14:textId="0CD336A4"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1" w:history="1">
            <w:r w:rsidRPr="002B2E6B">
              <w:rPr>
                <w:rStyle w:val="Hyperlink"/>
                <w:noProof/>
              </w:rPr>
              <w:t>Final decision in relation to sulfonamides</w:t>
            </w:r>
            <w:r>
              <w:rPr>
                <w:noProof/>
                <w:webHidden/>
              </w:rPr>
              <w:tab/>
            </w:r>
            <w:r>
              <w:rPr>
                <w:noProof/>
                <w:webHidden/>
              </w:rPr>
              <w:fldChar w:fldCharType="begin"/>
            </w:r>
            <w:r>
              <w:rPr>
                <w:noProof/>
                <w:webHidden/>
              </w:rPr>
              <w:instrText xml:space="preserve"> PAGEREF _Toc185508611 \h </w:instrText>
            </w:r>
            <w:r>
              <w:rPr>
                <w:noProof/>
                <w:webHidden/>
              </w:rPr>
            </w:r>
            <w:r>
              <w:rPr>
                <w:noProof/>
                <w:webHidden/>
              </w:rPr>
              <w:fldChar w:fldCharType="separate"/>
            </w:r>
            <w:r>
              <w:rPr>
                <w:noProof/>
                <w:webHidden/>
              </w:rPr>
              <w:t>13</w:t>
            </w:r>
            <w:r>
              <w:rPr>
                <w:noProof/>
                <w:webHidden/>
              </w:rPr>
              <w:fldChar w:fldCharType="end"/>
            </w:r>
          </w:hyperlink>
        </w:p>
        <w:p w14:paraId="259466D9" w14:textId="585A8D6C"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12" w:history="1">
            <w:r w:rsidRPr="002B2E6B">
              <w:rPr>
                <w:rStyle w:val="Hyperlink"/>
                <w:noProof/>
              </w:rPr>
              <w:t>Final decisions on proposed amendments to the current Poisons Standard under regulation 42ZCZU and 42ZCZW</w:t>
            </w:r>
            <w:r>
              <w:rPr>
                <w:noProof/>
                <w:webHidden/>
              </w:rPr>
              <w:tab/>
            </w:r>
            <w:r>
              <w:rPr>
                <w:noProof/>
                <w:webHidden/>
              </w:rPr>
              <w:fldChar w:fldCharType="begin"/>
            </w:r>
            <w:r>
              <w:rPr>
                <w:noProof/>
                <w:webHidden/>
              </w:rPr>
              <w:instrText xml:space="preserve"> PAGEREF _Toc185508612 \h </w:instrText>
            </w:r>
            <w:r>
              <w:rPr>
                <w:noProof/>
                <w:webHidden/>
              </w:rPr>
            </w:r>
            <w:r>
              <w:rPr>
                <w:noProof/>
                <w:webHidden/>
              </w:rPr>
              <w:fldChar w:fldCharType="separate"/>
            </w:r>
            <w:r>
              <w:rPr>
                <w:noProof/>
                <w:webHidden/>
              </w:rPr>
              <w:t>15</w:t>
            </w:r>
            <w:r>
              <w:rPr>
                <w:noProof/>
                <w:webHidden/>
              </w:rPr>
              <w:fldChar w:fldCharType="end"/>
            </w:r>
          </w:hyperlink>
        </w:p>
        <w:p w14:paraId="493A5166" w14:textId="1F54E47C"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3" w:history="1">
            <w:r w:rsidRPr="002B2E6B">
              <w:rPr>
                <w:rStyle w:val="Hyperlink"/>
                <w:noProof/>
              </w:rPr>
              <w:t>Final decision in relation to fluoride</w:t>
            </w:r>
            <w:r>
              <w:rPr>
                <w:noProof/>
                <w:webHidden/>
              </w:rPr>
              <w:tab/>
            </w:r>
            <w:r>
              <w:rPr>
                <w:noProof/>
                <w:webHidden/>
              </w:rPr>
              <w:fldChar w:fldCharType="begin"/>
            </w:r>
            <w:r>
              <w:rPr>
                <w:noProof/>
                <w:webHidden/>
              </w:rPr>
              <w:instrText xml:space="preserve"> PAGEREF _Toc185508613 \h </w:instrText>
            </w:r>
            <w:r>
              <w:rPr>
                <w:noProof/>
                <w:webHidden/>
              </w:rPr>
            </w:r>
            <w:r>
              <w:rPr>
                <w:noProof/>
                <w:webHidden/>
              </w:rPr>
              <w:fldChar w:fldCharType="separate"/>
            </w:r>
            <w:r>
              <w:rPr>
                <w:noProof/>
                <w:webHidden/>
              </w:rPr>
              <w:t>15</w:t>
            </w:r>
            <w:r>
              <w:rPr>
                <w:noProof/>
                <w:webHidden/>
              </w:rPr>
              <w:fldChar w:fldCharType="end"/>
            </w:r>
          </w:hyperlink>
        </w:p>
        <w:p w14:paraId="5D51833B" w14:textId="3A94F17C"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4" w:history="1">
            <w:r w:rsidRPr="002B2E6B">
              <w:rPr>
                <w:rStyle w:val="Hyperlink"/>
                <w:noProof/>
              </w:rPr>
              <w:t>Final decision in relation to molidustat</w:t>
            </w:r>
            <w:r>
              <w:rPr>
                <w:noProof/>
                <w:webHidden/>
              </w:rPr>
              <w:tab/>
            </w:r>
            <w:r>
              <w:rPr>
                <w:noProof/>
                <w:webHidden/>
              </w:rPr>
              <w:fldChar w:fldCharType="begin"/>
            </w:r>
            <w:r>
              <w:rPr>
                <w:noProof/>
                <w:webHidden/>
              </w:rPr>
              <w:instrText xml:space="preserve"> PAGEREF _Toc185508614 \h </w:instrText>
            </w:r>
            <w:r>
              <w:rPr>
                <w:noProof/>
                <w:webHidden/>
              </w:rPr>
            </w:r>
            <w:r>
              <w:rPr>
                <w:noProof/>
                <w:webHidden/>
              </w:rPr>
              <w:fldChar w:fldCharType="separate"/>
            </w:r>
            <w:r>
              <w:rPr>
                <w:noProof/>
                <w:webHidden/>
              </w:rPr>
              <w:t>20</w:t>
            </w:r>
            <w:r>
              <w:rPr>
                <w:noProof/>
                <w:webHidden/>
              </w:rPr>
              <w:fldChar w:fldCharType="end"/>
            </w:r>
          </w:hyperlink>
        </w:p>
        <w:p w14:paraId="1B244BB9" w14:textId="3EA066F1"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5" w:history="1">
            <w:r w:rsidRPr="002B2E6B">
              <w:rPr>
                <w:rStyle w:val="Hyperlink"/>
                <w:noProof/>
              </w:rPr>
              <w:t>Final decision in relation to desloratidine</w:t>
            </w:r>
            <w:r>
              <w:rPr>
                <w:noProof/>
                <w:webHidden/>
              </w:rPr>
              <w:tab/>
            </w:r>
            <w:r>
              <w:rPr>
                <w:noProof/>
                <w:webHidden/>
              </w:rPr>
              <w:fldChar w:fldCharType="begin"/>
            </w:r>
            <w:r>
              <w:rPr>
                <w:noProof/>
                <w:webHidden/>
              </w:rPr>
              <w:instrText xml:space="preserve"> PAGEREF _Toc185508615 \h </w:instrText>
            </w:r>
            <w:r>
              <w:rPr>
                <w:noProof/>
                <w:webHidden/>
              </w:rPr>
            </w:r>
            <w:r>
              <w:rPr>
                <w:noProof/>
                <w:webHidden/>
              </w:rPr>
              <w:fldChar w:fldCharType="separate"/>
            </w:r>
            <w:r>
              <w:rPr>
                <w:noProof/>
                <w:webHidden/>
              </w:rPr>
              <w:t>23</w:t>
            </w:r>
            <w:r>
              <w:rPr>
                <w:noProof/>
                <w:webHidden/>
              </w:rPr>
              <w:fldChar w:fldCharType="end"/>
            </w:r>
          </w:hyperlink>
        </w:p>
        <w:p w14:paraId="5A79B127" w14:textId="535CE36D" w:rsidR="001408D6" w:rsidRDefault="001408D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08616" w:history="1">
            <w:r w:rsidRPr="002B2E6B">
              <w:rPr>
                <w:rStyle w:val="Hyperlink"/>
                <w:noProof/>
              </w:rPr>
              <w:t>Amendments to the Poison Standard in relation to New Chemical Entities (NCEs)</w:t>
            </w:r>
            <w:r>
              <w:rPr>
                <w:noProof/>
                <w:webHidden/>
              </w:rPr>
              <w:tab/>
            </w:r>
            <w:r>
              <w:rPr>
                <w:noProof/>
                <w:webHidden/>
              </w:rPr>
              <w:fldChar w:fldCharType="begin"/>
            </w:r>
            <w:r>
              <w:rPr>
                <w:noProof/>
                <w:webHidden/>
              </w:rPr>
              <w:instrText xml:space="preserve"> PAGEREF _Toc185508616 \h </w:instrText>
            </w:r>
            <w:r>
              <w:rPr>
                <w:noProof/>
                <w:webHidden/>
              </w:rPr>
            </w:r>
            <w:r>
              <w:rPr>
                <w:noProof/>
                <w:webHidden/>
              </w:rPr>
              <w:fldChar w:fldCharType="separate"/>
            </w:r>
            <w:r>
              <w:rPr>
                <w:noProof/>
                <w:webHidden/>
              </w:rPr>
              <w:t>26</w:t>
            </w:r>
            <w:r>
              <w:rPr>
                <w:noProof/>
                <w:webHidden/>
              </w:rPr>
              <w:fldChar w:fldCharType="end"/>
            </w:r>
          </w:hyperlink>
        </w:p>
        <w:p w14:paraId="098E00CF" w14:textId="34668902"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7" w:history="1">
            <w:r w:rsidRPr="002B2E6B">
              <w:rPr>
                <w:rStyle w:val="Hyperlink"/>
                <w:noProof/>
              </w:rPr>
              <w:t>Fedratinib</w:t>
            </w:r>
            <w:r>
              <w:rPr>
                <w:noProof/>
                <w:webHidden/>
              </w:rPr>
              <w:tab/>
            </w:r>
            <w:r>
              <w:rPr>
                <w:noProof/>
                <w:webHidden/>
              </w:rPr>
              <w:fldChar w:fldCharType="begin"/>
            </w:r>
            <w:r>
              <w:rPr>
                <w:noProof/>
                <w:webHidden/>
              </w:rPr>
              <w:instrText xml:space="preserve"> PAGEREF _Toc185508617 \h </w:instrText>
            </w:r>
            <w:r>
              <w:rPr>
                <w:noProof/>
                <w:webHidden/>
              </w:rPr>
            </w:r>
            <w:r>
              <w:rPr>
                <w:noProof/>
                <w:webHidden/>
              </w:rPr>
              <w:fldChar w:fldCharType="separate"/>
            </w:r>
            <w:r>
              <w:rPr>
                <w:noProof/>
                <w:webHidden/>
              </w:rPr>
              <w:t>26</w:t>
            </w:r>
            <w:r>
              <w:rPr>
                <w:noProof/>
                <w:webHidden/>
              </w:rPr>
              <w:fldChar w:fldCharType="end"/>
            </w:r>
          </w:hyperlink>
        </w:p>
        <w:p w14:paraId="27C1BE4C" w14:textId="5E1EF89C"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8" w:history="1">
            <w:r w:rsidRPr="002B2E6B">
              <w:rPr>
                <w:rStyle w:val="Hyperlink"/>
                <w:noProof/>
              </w:rPr>
              <w:t>Momelotinib</w:t>
            </w:r>
            <w:r>
              <w:rPr>
                <w:noProof/>
                <w:webHidden/>
              </w:rPr>
              <w:tab/>
            </w:r>
            <w:r>
              <w:rPr>
                <w:noProof/>
                <w:webHidden/>
              </w:rPr>
              <w:fldChar w:fldCharType="begin"/>
            </w:r>
            <w:r>
              <w:rPr>
                <w:noProof/>
                <w:webHidden/>
              </w:rPr>
              <w:instrText xml:space="preserve"> PAGEREF _Toc185508618 \h </w:instrText>
            </w:r>
            <w:r>
              <w:rPr>
                <w:noProof/>
                <w:webHidden/>
              </w:rPr>
            </w:r>
            <w:r>
              <w:rPr>
                <w:noProof/>
                <w:webHidden/>
              </w:rPr>
              <w:fldChar w:fldCharType="separate"/>
            </w:r>
            <w:r>
              <w:rPr>
                <w:noProof/>
                <w:webHidden/>
              </w:rPr>
              <w:t>26</w:t>
            </w:r>
            <w:r>
              <w:rPr>
                <w:noProof/>
                <w:webHidden/>
              </w:rPr>
              <w:fldChar w:fldCharType="end"/>
            </w:r>
          </w:hyperlink>
        </w:p>
        <w:p w14:paraId="4EAE2CD2" w14:textId="57AF9CEE"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19" w:history="1">
            <w:r w:rsidRPr="002B2E6B">
              <w:rPr>
                <w:rStyle w:val="Hyperlink"/>
                <w:noProof/>
              </w:rPr>
              <w:t>Abaloparatide</w:t>
            </w:r>
            <w:r>
              <w:rPr>
                <w:noProof/>
                <w:webHidden/>
              </w:rPr>
              <w:tab/>
            </w:r>
            <w:r>
              <w:rPr>
                <w:noProof/>
                <w:webHidden/>
              </w:rPr>
              <w:fldChar w:fldCharType="begin"/>
            </w:r>
            <w:r>
              <w:rPr>
                <w:noProof/>
                <w:webHidden/>
              </w:rPr>
              <w:instrText xml:space="preserve"> PAGEREF _Toc185508619 \h </w:instrText>
            </w:r>
            <w:r>
              <w:rPr>
                <w:noProof/>
                <w:webHidden/>
              </w:rPr>
            </w:r>
            <w:r>
              <w:rPr>
                <w:noProof/>
                <w:webHidden/>
              </w:rPr>
              <w:fldChar w:fldCharType="separate"/>
            </w:r>
            <w:r>
              <w:rPr>
                <w:noProof/>
                <w:webHidden/>
              </w:rPr>
              <w:t>26</w:t>
            </w:r>
            <w:r>
              <w:rPr>
                <w:noProof/>
                <w:webHidden/>
              </w:rPr>
              <w:fldChar w:fldCharType="end"/>
            </w:r>
          </w:hyperlink>
        </w:p>
        <w:p w14:paraId="0AFA4B82" w14:textId="44D5AE3A"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0" w:history="1">
            <w:r w:rsidRPr="002B2E6B">
              <w:rPr>
                <w:rStyle w:val="Hyperlink"/>
                <w:noProof/>
              </w:rPr>
              <w:t>Efgartigimod alfa</w:t>
            </w:r>
            <w:r>
              <w:rPr>
                <w:noProof/>
                <w:webHidden/>
              </w:rPr>
              <w:tab/>
            </w:r>
            <w:r>
              <w:rPr>
                <w:noProof/>
                <w:webHidden/>
              </w:rPr>
              <w:fldChar w:fldCharType="begin"/>
            </w:r>
            <w:r>
              <w:rPr>
                <w:noProof/>
                <w:webHidden/>
              </w:rPr>
              <w:instrText xml:space="preserve"> PAGEREF _Toc185508620 \h </w:instrText>
            </w:r>
            <w:r>
              <w:rPr>
                <w:noProof/>
                <w:webHidden/>
              </w:rPr>
            </w:r>
            <w:r>
              <w:rPr>
                <w:noProof/>
                <w:webHidden/>
              </w:rPr>
              <w:fldChar w:fldCharType="separate"/>
            </w:r>
            <w:r>
              <w:rPr>
                <w:noProof/>
                <w:webHidden/>
              </w:rPr>
              <w:t>26</w:t>
            </w:r>
            <w:r>
              <w:rPr>
                <w:noProof/>
                <w:webHidden/>
              </w:rPr>
              <w:fldChar w:fldCharType="end"/>
            </w:r>
          </w:hyperlink>
        </w:p>
        <w:p w14:paraId="3F2F7E30" w14:textId="6A32EF38"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1" w:history="1">
            <w:r w:rsidRPr="002B2E6B">
              <w:rPr>
                <w:rStyle w:val="Hyperlink"/>
                <w:noProof/>
              </w:rPr>
              <w:t>Dexrazoxane</w:t>
            </w:r>
            <w:r>
              <w:rPr>
                <w:noProof/>
                <w:webHidden/>
              </w:rPr>
              <w:tab/>
            </w:r>
            <w:r>
              <w:rPr>
                <w:noProof/>
                <w:webHidden/>
              </w:rPr>
              <w:fldChar w:fldCharType="begin"/>
            </w:r>
            <w:r>
              <w:rPr>
                <w:noProof/>
                <w:webHidden/>
              </w:rPr>
              <w:instrText xml:space="preserve"> PAGEREF _Toc185508621 \h </w:instrText>
            </w:r>
            <w:r>
              <w:rPr>
                <w:noProof/>
                <w:webHidden/>
              </w:rPr>
            </w:r>
            <w:r>
              <w:rPr>
                <w:noProof/>
                <w:webHidden/>
              </w:rPr>
              <w:fldChar w:fldCharType="separate"/>
            </w:r>
            <w:r>
              <w:rPr>
                <w:noProof/>
                <w:webHidden/>
              </w:rPr>
              <w:t>27</w:t>
            </w:r>
            <w:r>
              <w:rPr>
                <w:noProof/>
                <w:webHidden/>
              </w:rPr>
              <w:fldChar w:fldCharType="end"/>
            </w:r>
          </w:hyperlink>
        </w:p>
        <w:p w14:paraId="1C08C79D" w14:textId="5922E8C5"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2" w:history="1">
            <w:r w:rsidRPr="002B2E6B">
              <w:rPr>
                <w:rStyle w:val="Hyperlink"/>
                <w:noProof/>
              </w:rPr>
              <w:t>Zolbetuximab</w:t>
            </w:r>
            <w:r>
              <w:rPr>
                <w:noProof/>
                <w:webHidden/>
              </w:rPr>
              <w:tab/>
            </w:r>
            <w:r>
              <w:rPr>
                <w:noProof/>
                <w:webHidden/>
              </w:rPr>
              <w:fldChar w:fldCharType="begin"/>
            </w:r>
            <w:r>
              <w:rPr>
                <w:noProof/>
                <w:webHidden/>
              </w:rPr>
              <w:instrText xml:space="preserve"> PAGEREF _Toc185508622 \h </w:instrText>
            </w:r>
            <w:r>
              <w:rPr>
                <w:noProof/>
                <w:webHidden/>
              </w:rPr>
            </w:r>
            <w:r>
              <w:rPr>
                <w:noProof/>
                <w:webHidden/>
              </w:rPr>
              <w:fldChar w:fldCharType="separate"/>
            </w:r>
            <w:r>
              <w:rPr>
                <w:noProof/>
                <w:webHidden/>
              </w:rPr>
              <w:t>27</w:t>
            </w:r>
            <w:r>
              <w:rPr>
                <w:noProof/>
                <w:webHidden/>
              </w:rPr>
              <w:fldChar w:fldCharType="end"/>
            </w:r>
          </w:hyperlink>
        </w:p>
        <w:p w14:paraId="17DE9327" w14:textId="0376EF69"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3" w:history="1">
            <w:r w:rsidRPr="002B2E6B">
              <w:rPr>
                <w:rStyle w:val="Hyperlink"/>
                <w:noProof/>
              </w:rPr>
              <w:t>Marstacimab</w:t>
            </w:r>
            <w:r>
              <w:rPr>
                <w:noProof/>
                <w:webHidden/>
              </w:rPr>
              <w:tab/>
            </w:r>
            <w:r>
              <w:rPr>
                <w:noProof/>
                <w:webHidden/>
              </w:rPr>
              <w:fldChar w:fldCharType="begin"/>
            </w:r>
            <w:r>
              <w:rPr>
                <w:noProof/>
                <w:webHidden/>
              </w:rPr>
              <w:instrText xml:space="preserve"> PAGEREF _Toc185508623 \h </w:instrText>
            </w:r>
            <w:r>
              <w:rPr>
                <w:noProof/>
                <w:webHidden/>
              </w:rPr>
            </w:r>
            <w:r>
              <w:rPr>
                <w:noProof/>
                <w:webHidden/>
              </w:rPr>
              <w:fldChar w:fldCharType="separate"/>
            </w:r>
            <w:r>
              <w:rPr>
                <w:noProof/>
                <w:webHidden/>
              </w:rPr>
              <w:t>27</w:t>
            </w:r>
            <w:r>
              <w:rPr>
                <w:noProof/>
                <w:webHidden/>
              </w:rPr>
              <w:fldChar w:fldCharType="end"/>
            </w:r>
          </w:hyperlink>
        </w:p>
        <w:p w14:paraId="50BFECB9" w14:textId="519DF30C"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4" w:history="1">
            <w:r w:rsidRPr="002B2E6B">
              <w:rPr>
                <w:rStyle w:val="Hyperlink"/>
                <w:noProof/>
              </w:rPr>
              <w:t>Rozanolixizumab</w:t>
            </w:r>
            <w:r>
              <w:rPr>
                <w:noProof/>
                <w:webHidden/>
              </w:rPr>
              <w:tab/>
            </w:r>
            <w:r>
              <w:rPr>
                <w:noProof/>
                <w:webHidden/>
              </w:rPr>
              <w:fldChar w:fldCharType="begin"/>
            </w:r>
            <w:r>
              <w:rPr>
                <w:noProof/>
                <w:webHidden/>
              </w:rPr>
              <w:instrText xml:space="preserve"> PAGEREF _Toc185508624 \h </w:instrText>
            </w:r>
            <w:r>
              <w:rPr>
                <w:noProof/>
                <w:webHidden/>
              </w:rPr>
            </w:r>
            <w:r>
              <w:rPr>
                <w:noProof/>
                <w:webHidden/>
              </w:rPr>
              <w:fldChar w:fldCharType="separate"/>
            </w:r>
            <w:r>
              <w:rPr>
                <w:noProof/>
                <w:webHidden/>
              </w:rPr>
              <w:t>27</w:t>
            </w:r>
            <w:r>
              <w:rPr>
                <w:noProof/>
                <w:webHidden/>
              </w:rPr>
              <w:fldChar w:fldCharType="end"/>
            </w:r>
          </w:hyperlink>
        </w:p>
        <w:p w14:paraId="6DE95FD4" w14:textId="13761183"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5" w:history="1">
            <w:r w:rsidRPr="002B2E6B">
              <w:rPr>
                <w:rStyle w:val="Hyperlink"/>
                <w:noProof/>
              </w:rPr>
              <w:t>Elacestrant dihydrochloride</w:t>
            </w:r>
            <w:r>
              <w:rPr>
                <w:noProof/>
                <w:webHidden/>
              </w:rPr>
              <w:tab/>
            </w:r>
            <w:r>
              <w:rPr>
                <w:noProof/>
                <w:webHidden/>
              </w:rPr>
              <w:fldChar w:fldCharType="begin"/>
            </w:r>
            <w:r>
              <w:rPr>
                <w:noProof/>
                <w:webHidden/>
              </w:rPr>
              <w:instrText xml:space="preserve"> PAGEREF _Toc185508625 \h </w:instrText>
            </w:r>
            <w:r>
              <w:rPr>
                <w:noProof/>
                <w:webHidden/>
              </w:rPr>
            </w:r>
            <w:r>
              <w:rPr>
                <w:noProof/>
                <w:webHidden/>
              </w:rPr>
              <w:fldChar w:fldCharType="separate"/>
            </w:r>
            <w:r>
              <w:rPr>
                <w:noProof/>
                <w:webHidden/>
              </w:rPr>
              <w:t>27</w:t>
            </w:r>
            <w:r>
              <w:rPr>
                <w:noProof/>
                <w:webHidden/>
              </w:rPr>
              <w:fldChar w:fldCharType="end"/>
            </w:r>
          </w:hyperlink>
        </w:p>
        <w:p w14:paraId="2D0E3410" w14:textId="41B90726"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6" w:history="1">
            <w:r w:rsidRPr="002B2E6B">
              <w:rPr>
                <w:rStyle w:val="Hyperlink"/>
                <w:noProof/>
              </w:rPr>
              <w:t>Cipaglucosidase alfa</w:t>
            </w:r>
            <w:r>
              <w:rPr>
                <w:noProof/>
                <w:webHidden/>
              </w:rPr>
              <w:tab/>
            </w:r>
            <w:r>
              <w:rPr>
                <w:noProof/>
                <w:webHidden/>
              </w:rPr>
              <w:fldChar w:fldCharType="begin"/>
            </w:r>
            <w:r>
              <w:rPr>
                <w:noProof/>
                <w:webHidden/>
              </w:rPr>
              <w:instrText xml:space="preserve"> PAGEREF _Toc185508626 \h </w:instrText>
            </w:r>
            <w:r>
              <w:rPr>
                <w:noProof/>
                <w:webHidden/>
              </w:rPr>
            </w:r>
            <w:r>
              <w:rPr>
                <w:noProof/>
                <w:webHidden/>
              </w:rPr>
              <w:fldChar w:fldCharType="separate"/>
            </w:r>
            <w:r>
              <w:rPr>
                <w:noProof/>
                <w:webHidden/>
              </w:rPr>
              <w:t>28</w:t>
            </w:r>
            <w:r>
              <w:rPr>
                <w:noProof/>
                <w:webHidden/>
              </w:rPr>
              <w:fldChar w:fldCharType="end"/>
            </w:r>
          </w:hyperlink>
        </w:p>
        <w:p w14:paraId="14F020F5" w14:textId="17614624"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7" w:history="1">
            <w:r w:rsidRPr="002B2E6B">
              <w:rPr>
                <w:rStyle w:val="Hyperlink"/>
                <w:noProof/>
              </w:rPr>
              <w:t>Inebilizumab</w:t>
            </w:r>
            <w:r>
              <w:rPr>
                <w:noProof/>
                <w:webHidden/>
              </w:rPr>
              <w:tab/>
            </w:r>
            <w:r>
              <w:rPr>
                <w:noProof/>
                <w:webHidden/>
              </w:rPr>
              <w:fldChar w:fldCharType="begin"/>
            </w:r>
            <w:r>
              <w:rPr>
                <w:noProof/>
                <w:webHidden/>
              </w:rPr>
              <w:instrText xml:space="preserve"> PAGEREF _Toc185508627 \h </w:instrText>
            </w:r>
            <w:r>
              <w:rPr>
                <w:noProof/>
                <w:webHidden/>
              </w:rPr>
            </w:r>
            <w:r>
              <w:rPr>
                <w:noProof/>
                <w:webHidden/>
              </w:rPr>
              <w:fldChar w:fldCharType="separate"/>
            </w:r>
            <w:r>
              <w:rPr>
                <w:noProof/>
                <w:webHidden/>
              </w:rPr>
              <w:t>28</w:t>
            </w:r>
            <w:r>
              <w:rPr>
                <w:noProof/>
                <w:webHidden/>
              </w:rPr>
              <w:fldChar w:fldCharType="end"/>
            </w:r>
          </w:hyperlink>
        </w:p>
        <w:p w14:paraId="5B2D13FF" w14:textId="00BE7DCE"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8" w:history="1">
            <w:r w:rsidRPr="002B2E6B">
              <w:rPr>
                <w:rStyle w:val="Hyperlink"/>
                <w:noProof/>
              </w:rPr>
              <w:t>Palopegteriparatide</w:t>
            </w:r>
            <w:r>
              <w:rPr>
                <w:noProof/>
                <w:webHidden/>
              </w:rPr>
              <w:tab/>
            </w:r>
            <w:r>
              <w:rPr>
                <w:noProof/>
                <w:webHidden/>
              </w:rPr>
              <w:fldChar w:fldCharType="begin"/>
            </w:r>
            <w:r>
              <w:rPr>
                <w:noProof/>
                <w:webHidden/>
              </w:rPr>
              <w:instrText xml:space="preserve"> PAGEREF _Toc185508628 \h </w:instrText>
            </w:r>
            <w:r>
              <w:rPr>
                <w:noProof/>
                <w:webHidden/>
              </w:rPr>
            </w:r>
            <w:r>
              <w:rPr>
                <w:noProof/>
                <w:webHidden/>
              </w:rPr>
              <w:fldChar w:fldCharType="separate"/>
            </w:r>
            <w:r>
              <w:rPr>
                <w:noProof/>
                <w:webHidden/>
              </w:rPr>
              <w:t>28</w:t>
            </w:r>
            <w:r>
              <w:rPr>
                <w:noProof/>
                <w:webHidden/>
              </w:rPr>
              <w:fldChar w:fldCharType="end"/>
            </w:r>
          </w:hyperlink>
        </w:p>
        <w:p w14:paraId="6B64F1EE" w14:textId="113BD043"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29" w:history="1">
            <w:r w:rsidRPr="002B2E6B">
              <w:rPr>
                <w:rStyle w:val="Hyperlink"/>
                <w:noProof/>
              </w:rPr>
              <w:t>Garadacimab</w:t>
            </w:r>
            <w:r>
              <w:rPr>
                <w:noProof/>
                <w:webHidden/>
              </w:rPr>
              <w:tab/>
            </w:r>
            <w:r>
              <w:rPr>
                <w:noProof/>
                <w:webHidden/>
              </w:rPr>
              <w:fldChar w:fldCharType="begin"/>
            </w:r>
            <w:r>
              <w:rPr>
                <w:noProof/>
                <w:webHidden/>
              </w:rPr>
              <w:instrText xml:space="preserve"> PAGEREF _Toc185508629 \h </w:instrText>
            </w:r>
            <w:r>
              <w:rPr>
                <w:noProof/>
                <w:webHidden/>
              </w:rPr>
            </w:r>
            <w:r>
              <w:rPr>
                <w:noProof/>
                <w:webHidden/>
              </w:rPr>
              <w:fldChar w:fldCharType="separate"/>
            </w:r>
            <w:r>
              <w:rPr>
                <w:noProof/>
                <w:webHidden/>
              </w:rPr>
              <w:t>28</w:t>
            </w:r>
            <w:r>
              <w:rPr>
                <w:noProof/>
                <w:webHidden/>
              </w:rPr>
              <w:fldChar w:fldCharType="end"/>
            </w:r>
          </w:hyperlink>
        </w:p>
        <w:p w14:paraId="1AA21E91" w14:textId="50DDF0AF" w:rsidR="001408D6" w:rsidRDefault="001408D6">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5508630" w:history="1">
            <w:r w:rsidRPr="002B2E6B">
              <w:rPr>
                <w:rStyle w:val="Hyperlink"/>
                <w:noProof/>
              </w:rPr>
              <w:t>Sodium citrate dihydrate</w:t>
            </w:r>
            <w:r>
              <w:rPr>
                <w:noProof/>
                <w:webHidden/>
              </w:rPr>
              <w:tab/>
            </w:r>
            <w:r>
              <w:rPr>
                <w:noProof/>
                <w:webHidden/>
              </w:rPr>
              <w:fldChar w:fldCharType="begin"/>
            </w:r>
            <w:r>
              <w:rPr>
                <w:noProof/>
                <w:webHidden/>
              </w:rPr>
              <w:instrText xml:space="preserve"> PAGEREF _Toc185508630 \h </w:instrText>
            </w:r>
            <w:r>
              <w:rPr>
                <w:noProof/>
                <w:webHidden/>
              </w:rPr>
            </w:r>
            <w:r>
              <w:rPr>
                <w:noProof/>
                <w:webHidden/>
              </w:rPr>
              <w:fldChar w:fldCharType="separate"/>
            </w:r>
            <w:r>
              <w:rPr>
                <w:noProof/>
                <w:webHidden/>
              </w:rPr>
              <w:t>28</w:t>
            </w:r>
            <w:r>
              <w:rPr>
                <w:noProof/>
                <w:webHidden/>
              </w:rPr>
              <w:fldChar w:fldCharType="end"/>
            </w:r>
          </w:hyperlink>
        </w:p>
        <w:p w14:paraId="09B05728" w14:textId="587B51C1" w:rsidR="00F02AEC" w:rsidRPr="00215D48" w:rsidRDefault="002B5C5B" w:rsidP="00967490">
          <w:r>
            <w:fldChar w:fldCharType="end"/>
          </w:r>
        </w:p>
      </w:sdtContent>
    </w:sdt>
    <w:p w14:paraId="4D0C412B" w14:textId="77777777" w:rsidR="00F02AEC" w:rsidRPr="00215D48" w:rsidRDefault="00F02AEC" w:rsidP="00967490">
      <w:r w:rsidRPr="00215D48">
        <w:br w:type="page"/>
      </w:r>
    </w:p>
    <w:p w14:paraId="3A06BE1E" w14:textId="77777777" w:rsidR="00457050" w:rsidRPr="00BC2009" w:rsidRDefault="00457050" w:rsidP="00967490">
      <w:pPr>
        <w:pStyle w:val="Heading2"/>
      </w:pPr>
      <w:bookmarkStart w:id="4" w:name="_Toc97640261"/>
      <w:bookmarkStart w:id="5" w:name="_Toc185508604"/>
      <w:r w:rsidRPr="00597B50">
        <w:lastRenderedPageBreak/>
        <w:t>Notice of final decisions to amend (or not amend) the current Poisons Standard</w:t>
      </w:r>
      <w:bookmarkEnd w:id="4"/>
      <w:bookmarkEnd w:id="5"/>
      <w:r w:rsidRPr="00597B50">
        <w:t xml:space="preserve"> </w:t>
      </w:r>
    </w:p>
    <w:p w14:paraId="2FB850E1" w14:textId="4BB6B3F2" w:rsidR="00457050" w:rsidRPr="00206027" w:rsidRDefault="00457050" w:rsidP="00B521FB">
      <w:pPr>
        <w:rPr>
          <w:rFonts w:cs="Arial"/>
        </w:rPr>
      </w:pPr>
      <w:r w:rsidRPr="00206027">
        <w:rPr>
          <w:rFonts w:cs="Arial"/>
        </w:rPr>
        <w:t xml:space="preserve">This web publication constitutes a notice for the purposes of regulation </w:t>
      </w:r>
      <w:r w:rsidRPr="0011279A">
        <w:rPr>
          <w:rFonts w:cs="Arial"/>
        </w:rPr>
        <w:t>42ZCZS</w:t>
      </w:r>
      <w:r w:rsidR="0011279A" w:rsidRPr="0011279A">
        <w:rPr>
          <w:rFonts w:cs="Arial"/>
        </w:rPr>
        <w:t xml:space="preserve"> </w:t>
      </w:r>
      <w:r w:rsidRPr="0011279A">
        <w:rPr>
          <w:rFonts w:cs="Arial"/>
        </w:rPr>
        <w:t>and regulation 42ZCZX</w:t>
      </w:r>
      <w:r w:rsidRPr="00206027">
        <w:rPr>
          <w:rFonts w:cs="Arial"/>
        </w:rPr>
        <w:t xml:space="preserve"> of the </w:t>
      </w:r>
      <w:r w:rsidRPr="00206027">
        <w:rPr>
          <w:rFonts w:cs="Arial"/>
          <w:i/>
        </w:rPr>
        <w:t xml:space="preserve">Therapeutic Goods Regulations 1990 </w:t>
      </w:r>
      <w:r w:rsidRPr="00206027">
        <w:rPr>
          <w:rFonts w:cs="Arial"/>
        </w:rPr>
        <w:t xml:space="preserve">(the </w:t>
      </w:r>
      <w:r w:rsidRPr="00206027">
        <w:rPr>
          <w:rFonts w:cs="Arial"/>
          <w:b/>
        </w:rPr>
        <w:t>Regulations</w:t>
      </w:r>
      <w:r w:rsidRPr="00206027">
        <w:rPr>
          <w:rFonts w:cs="Arial"/>
        </w:rPr>
        <w:t xml:space="preserve">). In accordance with </w:t>
      </w:r>
      <w:r w:rsidRPr="0011279A">
        <w:rPr>
          <w:rFonts w:cs="Arial"/>
        </w:rPr>
        <w:t>regulations 42ZCZS</w:t>
      </w:r>
      <w:r w:rsidR="0011279A" w:rsidRPr="0011279A">
        <w:rPr>
          <w:rFonts w:cs="Arial"/>
        </w:rPr>
        <w:t xml:space="preserve"> </w:t>
      </w:r>
      <w:r w:rsidRPr="0011279A">
        <w:rPr>
          <w:rFonts w:cs="Arial"/>
        </w:rPr>
        <w:t>and 42CZX,</w:t>
      </w:r>
      <w:r w:rsidRPr="00206027">
        <w:rPr>
          <w:rFonts w:cs="Arial"/>
        </w:rPr>
        <w:t xml:space="preserve"> this notice publishes:</w:t>
      </w:r>
    </w:p>
    <w:p w14:paraId="4D038242" w14:textId="52C809D4" w:rsidR="00457050" w:rsidRPr="00206027" w:rsidRDefault="00457050" w:rsidP="00B521FB">
      <w:pPr>
        <w:pStyle w:val="ListBullet"/>
      </w:pPr>
      <w:r w:rsidRPr="00206027">
        <w:t>the decision</w:t>
      </w:r>
      <w:r w:rsidR="00C5736D">
        <w:t>s</w:t>
      </w:r>
      <w:r w:rsidRPr="00206027">
        <w:t xml:space="preserve"> made by a delegate</w:t>
      </w:r>
      <w:r w:rsidRPr="00206027">
        <w:rPr>
          <w:rStyle w:val="FootnoteReference"/>
          <w:rFonts w:cs="Arial"/>
        </w:rPr>
        <w:footnoteReference w:id="2"/>
      </w:r>
      <w:r w:rsidRPr="00206027">
        <w:t xml:space="preserve"> of the Secretary of the Department of Health and Aged Care (the </w:t>
      </w:r>
      <w:r w:rsidRPr="00206027">
        <w:rPr>
          <w:b/>
          <w:bCs/>
        </w:rPr>
        <w:t>Delegate</w:t>
      </w:r>
      <w:r w:rsidRPr="00206027">
        <w:t>) pursuant to regulation</w:t>
      </w:r>
      <w:r w:rsidR="00C5736D">
        <w:t>s</w:t>
      </w:r>
      <w:r w:rsidRPr="00206027">
        <w:t xml:space="preserve"> 42CZR, 42ZCZU AND 42ZCZW</w:t>
      </w:r>
    </w:p>
    <w:p w14:paraId="1AA8F280" w14:textId="02E74F82" w:rsidR="00457050" w:rsidRPr="00206027" w:rsidRDefault="00457050" w:rsidP="00B521FB">
      <w:pPr>
        <w:pStyle w:val="ListBullet"/>
      </w:pPr>
      <w:r w:rsidRPr="00206027">
        <w:t xml:space="preserve">the reasons for </w:t>
      </w:r>
      <w:r w:rsidR="00C5736D">
        <w:t>those</w:t>
      </w:r>
      <w:r w:rsidRPr="00206027">
        <w:t xml:space="preserve"> final decision</w:t>
      </w:r>
      <w:r w:rsidR="00C5736D">
        <w:t>s</w:t>
      </w:r>
      <w:r w:rsidRPr="00206027">
        <w:t xml:space="preserve"> and</w:t>
      </w:r>
    </w:p>
    <w:p w14:paraId="5E6BC7C7" w14:textId="0076B117" w:rsidR="00457050" w:rsidRPr="00206027" w:rsidRDefault="00457050" w:rsidP="00B521FB">
      <w:pPr>
        <w:pStyle w:val="ListBullet"/>
      </w:pPr>
      <w:r w:rsidRPr="00206027">
        <w:t>the date of effect of</w:t>
      </w:r>
      <w:r w:rsidR="00C5736D">
        <w:t xml:space="preserve"> those</w:t>
      </w:r>
      <w:r w:rsidRPr="00206027">
        <w:t xml:space="preserve"> decision</w:t>
      </w:r>
      <w:r w:rsidR="00C5736D">
        <w:t>s.</w:t>
      </w:r>
    </w:p>
    <w:p w14:paraId="67DC0EBB" w14:textId="6242BB51" w:rsidR="00457050" w:rsidRPr="00B521FB" w:rsidRDefault="00831B56" w:rsidP="00015497">
      <w:pPr>
        <w:pStyle w:val="ListBullet"/>
        <w:numPr>
          <w:ilvl w:val="0"/>
          <w:numId w:val="0"/>
        </w:numPr>
        <w:ind w:left="207"/>
      </w:pPr>
      <w:r w:rsidRPr="00B521FB">
        <w:t>Defined terms</w:t>
      </w:r>
    </w:p>
    <w:p w14:paraId="3518FC9A" w14:textId="39B18FB7" w:rsidR="00831B56" w:rsidRPr="00206027" w:rsidRDefault="00831B56" w:rsidP="00B521FB">
      <w:pPr>
        <w:pStyle w:val="ListBullet"/>
        <w:numPr>
          <w:ilvl w:val="0"/>
          <w:numId w:val="0"/>
        </w:numPr>
        <w:ind w:left="567"/>
      </w:pPr>
      <w:r w:rsidRPr="00206027">
        <w:t>In this notice the following defined terms are used in addition to those above:</w:t>
      </w:r>
    </w:p>
    <w:p w14:paraId="6BE33439" w14:textId="29031A03" w:rsidR="00831B56" w:rsidRPr="00206027" w:rsidRDefault="00831B56" w:rsidP="00B521FB">
      <w:pPr>
        <w:pStyle w:val="ListBullet"/>
      </w:pPr>
      <w:r w:rsidRPr="00206027">
        <w:t xml:space="preserve">the </w:t>
      </w:r>
      <w:r w:rsidRPr="00B521FB">
        <w:t>Therapeutic Goods Act 1989</w:t>
      </w:r>
      <w:r w:rsidRPr="00206027">
        <w:t xml:space="preserve"> (Cth) (the </w:t>
      </w:r>
      <w:r w:rsidRPr="00206027">
        <w:rPr>
          <w:b/>
          <w:bCs/>
        </w:rPr>
        <w:t>Act</w:t>
      </w:r>
      <w:r w:rsidRPr="00206027">
        <w:t>)</w:t>
      </w:r>
    </w:p>
    <w:p w14:paraId="6550B5E6" w14:textId="5EBA37FF" w:rsidR="00831B56" w:rsidRPr="00206027" w:rsidRDefault="00831B56" w:rsidP="00B521FB">
      <w:pPr>
        <w:pStyle w:val="ListBullet"/>
        <w:rPr>
          <w:rFonts w:cs="Arial"/>
        </w:rPr>
      </w:pPr>
      <w:r w:rsidRPr="00206027">
        <w:rPr>
          <w:rFonts w:cs="Arial"/>
        </w:rPr>
        <w:t xml:space="preserve">the </w:t>
      </w:r>
      <w:hyperlink r:id="rId11" w:history="1">
        <w:r w:rsidRPr="00206027">
          <w:rPr>
            <w:rStyle w:val="Hyperlink"/>
            <w:rFonts w:cs="Arial"/>
          </w:rPr>
          <w:t>Scheduling Policy Framework</w:t>
        </w:r>
      </w:hyperlink>
      <w:r w:rsidRPr="00206027">
        <w:rPr>
          <w:rFonts w:cs="Arial"/>
        </w:rPr>
        <w:t xml:space="preserve"> 2018 (the </w:t>
      </w:r>
      <w:r w:rsidRPr="00206027">
        <w:rPr>
          <w:rFonts w:cs="Arial"/>
          <w:b/>
          <w:bCs/>
        </w:rPr>
        <w:t>SPF</w:t>
      </w:r>
      <w:r w:rsidRPr="00206027">
        <w:rPr>
          <w:rFonts w:cs="Arial"/>
        </w:rPr>
        <w:t>)</w:t>
      </w:r>
    </w:p>
    <w:p w14:paraId="4CDC567B" w14:textId="46FFCF22" w:rsidR="00831B56" w:rsidRPr="00206027" w:rsidRDefault="00831B56" w:rsidP="00B521FB">
      <w:pPr>
        <w:pStyle w:val="ListBullet"/>
        <w:rPr>
          <w:rFonts w:cs="Arial"/>
        </w:rPr>
      </w:pPr>
      <w:r w:rsidRPr="00206027">
        <w:rPr>
          <w:rFonts w:cs="Arial"/>
        </w:rPr>
        <w:t>the Scheduling handbook</w:t>
      </w:r>
      <w:r w:rsidR="00FC1EB4" w:rsidRPr="00206027">
        <w:rPr>
          <w:rFonts w:cs="Arial"/>
        </w:rPr>
        <w:t>,</w:t>
      </w:r>
      <w:r w:rsidRPr="00206027">
        <w:rPr>
          <w:rFonts w:cs="Arial"/>
        </w:rPr>
        <w:t xml:space="preserve"> </w:t>
      </w:r>
      <w:hyperlink r:id="rId12" w:history="1">
        <w:r w:rsidRPr="00206027">
          <w:rPr>
            <w:rStyle w:val="Hyperlink"/>
            <w:rFonts w:cs="Arial"/>
          </w:rPr>
          <w:t>Guidance for amending the Poisons Standard</w:t>
        </w:r>
      </w:hyperlink>
      <w:r w:rsidRPr="00206027">
        <w:rPr>
          <w:rFonts w:cs="Arial"/>
        </w:rPr>
        <w:t xml:space="preserve"> (the </w:t>
      </w:r>
      <w:r w:rsidRPr="00206027">
        <w:rPr>
          <w:rFonts w:cs="Arial"/>
          <w:b/>
          <w:bCs/>
        </w:rPr>
        <w:t>Handbook</w:t>
      </w:r>
      <w:r w:rsidRPr="00206027">
        <w:rPr>
          <w:rFonts w:cs="Arial"/>
        </w:rPr>
        <w:t>) and</w:t>
      </w:r>
    </w:p>
    <w:p w14:paraId="78D91CCD" w14:textId="3DC73865" w:rsidR="00831B56" w:rsidRPr="00206027" w:rsidRDefault="00831B56" w:rsidP="00B521FB">
      <w:pPr>
        <w:pStyle w:val="ListBullet"/>
      </w:pPr>
      <w:r w:rsidRPr="00206027">
        <w:t xml:space="preserve">the Therapeutic Goods Administration (the </w:t>
      </w:r>
      <w:r w:rsidRPr="00206027">
        <w:rPr>
          <w:b/>
          <w:bCs/>
        </w:rPr>
        <w:t>TGA</w:t>
      </w:r>
      <w:r w:rsidRPr="00206027">
        <w:t>).</w:t>
      </w:r>
    </w:p>
    <w:p w14:paraId="1ECB50B6" w14:textId="5A17E978" w:rsidR="00831B56" w:rsidRDefault="00831B56" w:rsidP="00B521FB">
      <w:pPr>
        <w:pStyle w:val="ListBullet"/>
        <w:numPr>
          <w:ilvl w:val="0"/>
          <w:numId w:val="0"/>
        </w:numPr>
        <w:ind w:left="207"/>
      </w:pPr>
      <w:r w:rsidRPr="00206027">
        <w:t>Note: additional terms are also defined for individual decisions.</w:t>
      </w:r>
    </w:p>
    <w:p w14:paraId="316060BD" w14:textId="77777777" w:rsidR="00B521FB" w:rsidRDefault="00B521FB" w:rsidP="00B521FB">
      <w:pPr>
        <w:pStyle w:val="ListBullet"/>
        <w:numPr>
          <w:ilvl w:val="0"/>
          <w:numId w:val="0"/>
        </w:numPr>
        <w:ind w:left="207"/>
      </w:pPr>
    </w:p>
    <w:p w14:paraId="78617E2B" w14:textId="77777777" w:rsidR="00E82526" w:rsidRDefault="00E82526">
      <w:pPr>
        <w:rPr>
          <w:rFonts w:eastAsia="Times New Roman" w:cs="Times New Roman"/>
          <w:b/>
          <w:bCs/>
          <w:color w:val="001871"/>
          <w:sz w:val="38"/>
          <w:szCs w:val="38"/>
        </w:rPr>
      </w:pPr>
      <w:bookmarkStart w:id="6" w:name="_Toc97640263"/>
      <w:r>
        <w:br w:type="page"/>
      </w:r>
    </w:p>
    <w:p w14:paraId="66FD8F80" w14:textId="7DBBEC21" w:rsidR="008921D5" w:rsidRPr="00FA029A" w:rsidRDefault="008921D5" w:rsidP="008921D5">
      <w:pPr>
        <w:pStyle w:val="Heading2"/>
      </w:pPr>
      <w:bookmarkStart w:id="7" w:name="_Toc185508605"/>
      <w:r>
        <w:lastRenderedPageBreak/>
        <w:t>Final</w:t>
      </w:r>
      <w:r w:rsidRPr="00FA029A">
        <w:t xml:space="preserve"> decisions on proposed amendments referred to the Advisory Committee o</w:t>
      </w:r>
      <w:r>
        <w:t>n Medicines Scheduling (ACMS #4</w:t>
      </w:r>
      <w:r w:rsidR="002F14C4">
        <w:t>5</w:t>
      </w:r>
      <w:r>
        <w:t xml:space="preserve">, </w:t>
      </w:r>
      <w:r w:rsidR="00FB2824">
        <w:t>June</w:t>
      </w:r>
      <w:r w:rsidR="00894493">
        <w:t xml:space="preserve"> </w:t>
      </w:r>
      <w:r>
        <w:t>2024</w:t>
      </w:r>
      <w:r w:rsidRPr="00FA029A">
        <w:t>)</w:t>
      </w:r>
      <w:bookmarkEnd w:id="6"/>
      <w:bookmarkEnd w:id="7"/>
    </w:p>
    <w:p w14:paraId="287721DB" w14:textId="7268F733" w:rsidR="008921D5" w:rsidRDefault="008921D5" w:rsidP="00335538">
      <w:pPr>
        <w:pStyle w:val="Heading3"/>
      </w:pPr>
      <w:bookmarkStart w:id="8" w:name="_Toc46325255"/>
      <w:bookmarkStart w:id="9" w:name="_Toc46325611"/>
      <w:bookmarkStart w:id="10" w:name="_Toc46327427"/>
      <w:bookmarkStart w:id="11" w:name="_Toc46412213"/>
      <w:bookmarkStart w:id="12" w:name="_Final_decision_in"/>
      <w:bookmarkStart w:id="13" w:name="_Toc46325256"/>
      <w:bookmarkStart w:id="14" w:name="_Toc46325612"/>
      <w:bookmarkStart w:id="15" w:name="_Toc46327428"/>
      <w:bookmarkStart w:id="16" w:name="_Toc46412214"/>
      <w:bookmarkStart w:id="17" w:name="_Toc46325257"/>
      <w:bookmarkStart w:id="18" w:name="_Toc46325613"/>
      <w:bookmarkStart w:id="19" w:name="_Toc46327429"/>
      <w:bookmarkStart w:id="20" w:name="_Toc46412215"/>
      <w:bookmarkStart w:id="21" w:name="_Toc46325258"/>
      <w:bookmarkStart w:id="22" w:name="_Toc46325614"/>
      <w:bookmarkStart w:id="23" w:name="_Toc46327430"/>
      <w:bookmarkStart w:id="24" w:name="_Toc46412216"/>
      <w:bookmarkStart w:id="25" w:name="_Toc46325259"/>
      <w:bookmarkStart w:id="26" w:name="_Toc46325615"/>
      <w:bookmarkStart w:id="27" w:name="_Toc46327431"/>
      <w:bookmarkStart w:id="28" w:name="_Toc46412217"/>
      <w:bookmarkStart w:id="29" w:name="_Final_decision_in_1"/>
      <w:bookmarkStart w:id="30" w:name="_Toc18550860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 xml:space="preserve">Final decision in relation to </w:t>
      </w:r>
      <w:r w:rsidR="00C161D8" w:rsidRPr="00C161D8">
        <w:t>sildenafil</w:t>
      </w:r>
      <w:bookmarkEnd w:id="30"/>
    </w:p>
    <w:p w14:paraId="0B3246E1" w14:textId="77777777" w:rsidR="00FE75C7" w:rsidRPr="00335538" w:rsidRDefault="00FE75C7" w:rsidP="00335538">
      <w:pPr>
        <w:pStyle w:val="Heading4"/>
      </w:pPr>
      <w:r w:rsidRPr="00335538">
        <w:t>Proposal</w:t>
      </w:r>
    </w:p>
    <w:p w14:paraId="22D5D6D2" w14:textId="5CBB503B" w:rsidR="00FE75C7" w:rsidRDefault="00630A29" w:rsidP="00FE75C7">
      <w:pPr>
        <w:jc w:val="both"/>
      </w:pPr>
      <w:r w:rsidRPr="00630A29">
        <w:t>The applicant proposed to create a new Pharmacist only (Schedule 3) entry for sildenafil. The proposed amendment would include divided preparations containing 50 mg of sildenafil for oral use, in packs of 4 or fewer dosage units, in Schedule 3 and a new entry for sildenafil in Appendix H to permit advertising of Schedule 3 preparations. Sildenafil is currently included in Prescription Only medicines (Schedule 4).</w:t>
      </w:r>
    </w:p>
    <w:p w14:paraId="009EE8CC" w14:textId="77777777" w:rsidR="00FE75C7" w:rsidRPr="00967490" w:rsidRDefault="00FE75C7" w:rsidP="00335538">
      <w:pPr>
        <w:pStyle w:val="Heading4"/>
      </w:pPr>
      <w:r w:rsidRPr="00967490">
        <w:t xml:space="preserve">Final decision </w:t>
      </w:r>
    </w:p>
    <w:p w14:paraId="6F685A46" w14:textId="102FDD32" w:rsidR="00FE75C7" w:rsidRPr="00FC4B5C" w:rsidRDefault="002A4307" w:rsidP="002A4307">
      <w:pPr>
        <w:jc w:val="both"/>
        <w:rPr>
          <w:rFonts w:cstheme="minorHAnsi"/>
          <w:color w:val="00B050"/>
          <w:u w:val="single"/>
        </w:rPr>
      </w:pPr>
      <w:r>
        <w:t xml:space="preserve">Pursuant to regulation 42ZCZR of the Regulations, the Delegate has made a final </w:t>
      </w:r>
      <w:r w:rsidRPr="00A66082">
        <w:t>decision to confirm the interim decision and</w:t>
      </w:r>
      <w:r>
        <w:t xml:space="preserve"> not</w:t>
      </w:r>
      <w:r w:rsidRPr="00A66082">
        <w:t xml:space="preserve"> amend the current Poisons Standard in relation</w:t>
      </w:r>
      <w:r w:rsidR="00FE75C7" w:rsidRPr="00CC4089">
        <w:t xml:space="preserve"> to </w:t>
      </w:r>
      <w:r w:rsidRPr="00630A29">
        <w:t>sildenafil</w:t>
      </w:r>
      <w:r w:rsidR="00FA1B8C">
        <w:t>.</w:t>
      </w:r>
    </w:p>
    <w:p w14:paraId="115C2705" w14:textId="4F8894E9" w:rsidR="00FE75C7" w:rsidRPr="00967490" w:rsidRDefault="00FE75C7" w:rsidP="00335538">
      <w:pPr>
        <w:pStyle w:val="Heading4"/>
      </w:pPr>
      <w:r w:rsidRPr="00967490">
        <w:t>Materials considered</w:t>
      </w:r>
    </w:p>
    <w:p w14:paraId="17519A66" w14:textId="77777777" w:rsidR="00FE75C7" w:rsidRDefault="00FE75C7" w:rsidP="00FE75C7">
      <w:r>
        <w:t>In making this final decision, the Delegate considered the following material:</w:t>
      </w:r>
    </w:p>
    <w:p w14:paraId="309CFBA5" w14:textId="4E378797" w:rsidR="00FE75C7" w:rsidRPr="00335538" w:rsidRDefault="00887EE3" w:rsidP="00B521FB">
      <w:pPr>
        <w:pStyle w:val="ListBullet"/>
      </w:pPr>
      <w:r>
        <w:t>t</w:t>
      </w:r>
      <w:r w:rsidR="00FE75C7" w:rsidRPr="00335538">
        <w:t xml:space="preserve">he </w:t>
      </w:r>
      <w:r w:rsidR="00FE75C7" w:rsidRPr="00CE755B">
        <w:t>application</w:t>
      </w:r>
      <w:r w:rsidR="00FE75C7" w:rsidRPr="00335538">
        <w:t xml:space="preserve"> to amend the current Poisons Standard with respect to </w:t>
      </w:r>
      <w:r w:rsidR="00FA1B8C" w:rsidRPr="00630A29">
        <w:t xml:space="preserve">sildenafil </w:t>
      </w:r>
      <w:r w:rsidR="00FE75C7" w:rsidRPr="00335538">
        <w:t xml:space="preserve">(the </w:t>
      </w:r>
      <w:r w:rsidR="00FE75C7" w:rsidRPr="00335538">
        <w:rPr>
          <w:b/>
          <w:bCs/>
        </w:rPr>
        <w:t>Application</w:t>
      </w:r>
      <w:r w:rsidR="00FE75C7" w:rsidRPr="00335538">
        <w:t>)</w:t>
      </w:r>
    </w:p>
    <w:p w14:paraId="116EB273" w14:textId="5DE35E65" w:rsidR="00FE75C7" w:rsidRPr="00335538" w:rsidRDefault="00887EE3" w:rsidP="00B521FB">
      <w:pPr>
        <w:pStyle w:val="ListBullet"/>
        <w:rPr>
          <w:rFonts w:cs="Arial"/>
          <w:szCs w:val="20"/>
        </w:rPr>
      </w:pPr>
      <w:bookmarkStart w:id="31" w:name="_Hlk175322996"/>
      <w:r>
        <w:t>t</w:t>
      </w:r>
      <w:sdt>
        <w:sdtPr>
          <w:id w:val="-189071562"/>
          <w:placeholder>
            <w:docPart w:val="90FFEC71B2D24F19A335416C86137BFE"/>
          </w:placeholder>
        </w:sdtPr>
        <w:sdtEndPr/>
        <w:sdtContent>
          <w:r w:rsidR="00A10060" w:rsidRPr="00B03B68">
            <w:t xml:space="preserve">he </w:t>
          </w:r>
          <w:r w:rsidR="00A10060">
            <w:t>4</w:t>
          </w:r>
          <w:r w:rsidR="00A10060" w:rsidRPr="00B03B68">
            <w:t xml:space="preserve"> </w:t>
          </w:r>
          <w:hyperlink r:id="rId13" w:history="1">
            <w:r w:rsidR="00A10060" w:rsidRPr="00931EFB">
              <w:rPr>
                <w:rStyle w:val="Hyperlink"/>
              </w:rPr>
              <w:t>public submissions</w:t>
            </w:r>
          </w:hyperlink>
          <w:r w:rsidR="00A10060" w:rsidRPr="00B03B68">
            <w:t xml:space="preserve">, with </w:t>
          </w:r>
          <w:r w:rsidR="00A10060">
            <w:t>4</w:t>
          </w:r>
          <w:r w:rsidR="00A10060" w:rsidRPr="00B03B68">
            <w:t xml:space="preserve"> including a written component, received in response to the </w:t>
          </w:r>
          <w:r w:rsidR="00A10060">
            <w:br/>
          </w:r>
          <w:hyperlink r:id="rId14" w:history="1">
            <w:r w:rsidR="00A10060" w:rsidRPr="00434B48">
              <w:rPr>
                <w:rStyle w:val="Hyperlink"/>
              </w:rPr>
              <w:t>pre-meeting consultation</w:t>
            </w:r>
          </w:hyperlink>
          <w:r w:rsidR="00A10060" w:rsidRPr="00B03B68">
            <w:t xml:space="preserve"> under regulation 42ZCZK of the Regulations</w:t>
          </w:r>
        </w:sdtContent>
      </w:sdt>
      <w:r w:rsidR="00A10060" w:rsidRPr="00B03B68">
        <w:t xml:space="preserve"> (the </w:t>
      </w:r>
      <w:r w:rsidR="00A10060" w:rsidRPr="00783FA7">
        <w:rPr>
          <w:b/>
          <w:bCs/>
        </w:rPr>
        <w:t>Submissions</w:t>
      </w:r>
      <w:r w:rsidR="00A10060" w:rsidRPr="00B03B68">
        <w:t>)</w:t>
      </w:r>
      <w:bookmarkEnd w:id="31"/>
    </w:p>
    <w:p w14:paraId="5EC0A085" w14:textId="5122F2A3" w:rsidR="00FE75C7" w:rsidRPr="00335538" w:rsidRDefault="00887EE3" w:rsidP="00B521FB">
      <w:pPr>
        <w:pStyle w:val="ListBullet"/>
      </w:pPr>
      <w:r>
        <w:t>t</w:t>
      </w:r>
      <w:r w:rsidR="00FE75C7" w:rsidRPr="00335538">
        <w:t>he advice received from the 4</w:t>
      </w:r>
      <w:r w:rsidR="007D3991">
        <w:t>5</w:t>
      </w:r>
      <w:r w:rsidR="00FE75C7" w:rsidRPr="00335538">
        <w:rPr>
          <w:vertAlign w:val="superscript"/>
        </w:rPr>
        <w:t>th</w:t>
      </w:r>
      <w:r w:rsidR="00FE75C7" w:rsidRPr="00335538">
        <w:t xml:space="preserve"> meeting of the Advisory Committee on Medicines Scheduling (the </w:t>
      </w:r>
      <w:r w:rsidR="00FE75C7" w:rsidRPr="00335538">
        <w:rPr>
          <w:b/>
          <w:bCs/>
        </w:rPr>
        <w:t>Committee</w:t>
      </w:r>
      <w:r w:rsidR="00FE75C7" w:rsidRPr="00335538">
        <w:t>)</w:t>
      </w:r>
      <w:r w:rsidR="00FE75C7" w:rsidRPr="00335538">
        <w:rPr>
          <w:rStyle w:val="FootnoteReference"/>
          <w:rFonts w:cs="Arial"/>
          <w:szCs w:val="20"/>
        </w:rPr>
        <w:footnoteReference w:id="3"/>
      </w:r>
    </w:p>
    <w:p w14:paraId="1EDAF7BE" w14:textId="12BE8F69" w:rsidR="00FE75C7" w:rsidRPr="00335538" w:rsidRDefault="00887EE3" w:rsidP="00B521FB">
      <w:pPr>
        <w:pStyle w:val="ListBullet"/>
        <w:rPr>
          <w:rFonts w:cs="Arial"/>
          <w:szCs w:val="20"/>
        </w:rPr>
      </w:pPr>
      <w:r>
        <w:rPr>
          <w:rFonts w:cs="Arial"/>
          <w:szCs w:val="20"/>
        </w:rPr>
        <w:t>t</w:t>
      </w:r>
      <w:r w:rsidR="00FE75C7" w:rsidRPr="00335538">
        <w:rPr>
          <w:rFonts w:cs="Arial"/>
          <w:szCs w:val="20"/>
        </w:rPr>
        <w:t xml:space="preserve">he </w:t>
      </w:r>
      <w:hyperlink r:id="rId15" w:history="1">
        <w:r w:rsidR="00FE75C7" w:rsidRPr="00335538">
          <w:rPr>
            <w:rStyle w:val="Hyperlink"/>
            <w:rFonts w:cs="Arial"/>
            <w:szCs w:val="20"/>
          </w:rPr>
          <w:t>interim decision</w:t>
        </w:r>
      </w:hyperlink>
      <w:r w:rsidR="00FE75C7" w:rsidRPr="00335538">
        <w:rPr>
          <w:rFonts w:cs="Arial"/>
          <w:szCs w:val="20"/>
        </w:rPr>
        <w:t xml:space="preserve"> </w:t>
      </w:r>
      <w:r w:rsidR="000635CD">
        <w:rPr>
          <w:rFonts w:cs="Arial"/>
          <w:szCs w:val="20"/>
        </w:rPr>
        <w:t xml:space="preserve">relating to sildenafil </w:t>
      </w:r>
      <w:r w:rsidR="00FE75C7" w:rsidRPr="00335538">
        <w:rPr>
          <w:rFonts w:cs="Arial"/>
          <w:szCs w:val="20"/>
        </w:rPr>
        <w:t xml:space="preserve">and the materials considered as part of the interim decision, as published on </w:t>
      </w:r>
      <w:r w:rsidR="0059018E">
        <w:rPr>
          <w:rFonts w:cs="Arial"/>
          <w:szCs w:val="20"/>
        </w:rPr>
        <w:t>19</w:t>
      </w:r>
      <w:r w:rsidR="00FE75C7" w:rsidRPr="00335538">
        <w:rPr>
          <w:rFonts w:cs="Arial"/>
          <w:szCs w:val="20"/>
        </w:rPr>
        <w:t xml:space="preserve"> </w:t>
      </w:r>
      <w:r w:rsidR="0059018E">
        <w:rPr>
          <w:rFonts w:cs="Arial"/>
          <w:szCs w:val="20"/>
        </w:rPr>
        <w:t>September</w:t>
      </w:r>
      <w:r w:rsidR="00FE75C7" w:rsidRPr="00335538">
        <w:rPr>
          <w:rFonts w:cs="Arial"/>
          <w:szCs w:val="20"/>
        </w:rPr>
        <w:t xml:space="preserve"> 2024</w:t>
      </w:r>
    </w:p>
    <w:p w14:paraId="515EFD4D" w14:textId="47DBE023" w:rsidR="00FE75C7" w:rsidRPr="00335538" w:rsidRDefault="00887EE3" w:rsidP="00B521FB">
      <w:pPr>
        <w:pStyle w:val="ListBullet"/>
        <w:rPr>
          <w:rFonts w:cs="Arial"/>
          <w:szCs w:val="20"/>
        </w:rPr>
      </w:pPr>
      <w:r>
        <w:rPr>
          <w:rFonts w:cs="Arial"/>
          <w:szCs w:val="20"/>
        </w:rPr>
        <w:t>t</w:t>
      </w:r>
      <w:r w:rsidR="00FE75C7" w:rsidRPr="00335538">
        <w:rPr>
          <w:rFonts w:cs="Arial"/>
          <w:szCs w:val="20"/>
        </w:rPr>
        <w:t xml:space="preserve">he </w:t>
      </w:r>
      <w:r w:rsidR="00087D2A">
        <w:rPr>
          <w:rFonts w:cs="Arial"/>
          <w:szCs w:val="20"/>
        </w:rPr>
        <w:t>one</w:t>
      </w:r>
      <w:r w:rsidR="00FE75C7" w:rsidRPr="00335538">
        <w:rPr>
          <w:rFonts w:cs="Arial"/>
          <w:szCs w:val="20"/>
        </w:rPr>
        <w:t xml:space="preserve"> </w:t>
      </w:r>
      <w:hyperlink r:id="rId16" w:history="1">
        <w:r w:rsidR="00FE75C7" w:rsidRPr="00FA76BB">
          <w:t>submission</w:t>
        </w:r>
      </w:hyperlink>
      <w:r w:rsidR="00FE75C7" w:rsidRPr="00335538">
        <w:rPr>
          <w:rFonts w:cs="Arial"/>
          <w:szCs w:val="20"/>
        </w:rPr>
        <w:t xml:space="preserve"> received in response to the</w:t>
      </w:r>
      <w:r w:rsidR="00FA76BB" w:rsidRPr="00F24669">
        <w:t xml:space="preserve"> </w:t>
      </w:r>
      <w:hyperlink r:id="rId17" w:history="1">
        <w:r w:rsidR="00FA76BB">
          <w:rPr>
            <w:color w:val="0000FF"/>
            <w:u w:val="single"/>
          </w:rPr>
          <w:t>public consultation on the interim decision</w:t>
        </w:r>
      </w:hyperlink>
      <w:r w:rsidR="00FE75C7" w:rsidRPr="00335538">
        <w:rPr>
          <w:rFonts w:cs="Arial"/>
          <w:szCs w:val="20"/>
        </w:rPr>
        <w:t xml:space="preserve"> under regulation 42ZCZP of the Regulations</w:t>
      </w:r>
    </w:p>
    <w:p w14:paraId="4428658A" w14:textId="26DED017" w:rsidR="00FE75C7" w:rsidRPr="00335538" w:rsidRDefault="00887EE3" w:rsidP="00B521FB">
      <w:pPr>
        <w:pStyle w:val="ListBullet"/>
      </w:pPr>
      <w:r>
        <w:t>s</w:t>
      </w:r>
      <w:r w:rsidR="00FE75C7" w:rsidRPr="00335538">
        <w:t xml:space="preserve">ubsection 52E(1) of </w:t>
      </w:r>
      <w:r w:rsidR="00FE75C7" w:rsidRPr="00335538">
        <w:rPr>
          <w:iCs/>
        </w:rPr>
        <w:t>the Act</w:t>
      </w:r>
      <w:r w:rsidR="00FE75C7" w:rsidRPr="00335538">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18EF3908" w14:textId="77777777" w:rsidR="00206027" w:rsidRPr="00F24669" w:rsidRDefault="00206027" w:rsidP="00B521FB">
      <w:pPr>
        <w:pStyle w:val="ListBullet"/>
      </w:pPr>
      <w:r w:rsidRPr="00F24669">
        <w:t>pursuant to paragraph 52E(2)(a) of the Act, the SPF, and</w:t>
      </w:r>
    </w:p>
    <w:p w14:paraId="2C6B98FC" w14:textId="77777777" w:rsidR="00206027" w:rsidRPr="00F24669" w:rsidRDefault="00206027" w:rsidP="00B521FB">
      <w:pPr>
        <w:pStyle w:val="ListBullet"/>
      </w:pPr>
      <w:r w:rsidRPr="00F24669">
        <w:t>the Handbook.</w:t>
      </w:r>
    </w:p>
    <w:p w14:paraId="09785448" w14:textId="59E1F464" w:rsidR="00FE75C7" w:rsidRPr="005E2F5E" w:rsidRDefault="00FE75C7" w:rsidP="009338F3">
      <w:pPr>
        <w:pStyle w:val="Heading4"/>
      </w:pPr>
      <w:r w:rsidRPr="005E2F5E">
        <w:lastRenderedPageBreak/>
        <w:t>Reasons for the final decision (including findings on material questions of fact)</w:t>
      </w:r>
    </w:p>
    <w:p w14:paraId="684610C4" w14:textId="354424FD" w:rsidR="00FE75C7" w:rsidRDefault="00FE75C7" w:rsidP="00B521FB">
      <w:r w:rsidRPr="0025010F">
        <w:t xml:space="preserve">I have made a final decision to </w:t>
      </w:r>
      <w:r w:rsidR="008B319A">
        <w:t>confirm</w:t>
      </w:r>
      <w:r w:rsidRPr="0025010F">
        <w:t xml:space="preserve"> my interim decision </w:t>
      </w:r>
      <w:r w:rsidR="000A6B22">
        <w:t>and</w:t>
      </w:r>
      <w:r w:rsidR="008B319A">
        <w:t xml:space="preserve"> not</w:t>
      </w:r>
      <w:r w:rsidRPr="0025010F">
        <w:t xml:space="preserve"> amend the </w:t>
      </w:r>
      <w:r w:rsidRPr="005E2F5E">
        <w:t xml:space="preserve">current Poisons Standard with respect to </w:t>
      </w:r>
      <w:r w:rsidR="008B319A">
        <w:t>sildenafil</w:t>
      </w:r>
      <w:r w:rsidRPr="005E2F5E">
        <w:t>.</w:t>
      </w:r>
      <w:r w:rsidR="002B3DE9">
        <w:t xml:space="preserve"> </w:t>
      </w:r>
      <w:r w:rsidR="002B3DE9" w:rsidRPr="002B3DE9">
        <w:t>My reasons for making the final decision are those set out in the</w:t>
      </w:r>
      <w:r w:rsidR="002B3DE9">
        <w:t xml:space="preserve"> </w:t>
      </w:r>
      <w:r w:rsidR="00631680">
        <w:t>interim decision.</w:t>
      </w:r>
      <w:r w:rsidRPr="005E2F5E">
        <w:t xml:space="preserve"> In making my final decision, I have </w:t>
      </w:r>
      <w:proofErr w:type="gramStart"/>
      <w:r w:rsidRPr="005E2F5E">
        <w:t>taken into account</w:t>
      </w:r>
      <w:proofErr w:type="gramEnd"/>
      <w:r w:rsidRPr="005E2F5E">
        <w:t xml:space="preserve"> the material in the interim decision and </w:t>
      </w:r>
      <w:r>
        <w:t xml:space="preserve">the </w:t>
      </w:r>
      <w:r w:rsidR="00536D1E">
        <w:t>public</w:t>
      </w:r>
      <w:r w:rsidR="00440D56" w:rsidRPr="00BD2D99">
        <w:t xml:space="preserve"> </w:t>
      </w:r>
      <w:r w:rsidRPr="008906D8">
        <w:t>submission</w:t>
      </w:r>
      <w:r w:rsidRPr="0007250D">
        <w:t xml:space="preserve"> </w:t>
      </w:r>
      <w:r w:rsidR="00B325AB">
        <w:t xml:space="preserve">from the </w:t>
      </w:r>
      <w:r w:rsidR="008463E2" w:rsidRPr="008463E2">
        <w:t>Pharmacy Guild of Australia (PGA),</w:t>
      </w:r>
      <w:r w:rsidR="008463E2">
        <w:t xml:space="preserve"> which was received</w:t>
      </w:r>
      <w:r>
        <w:t xml:space="preserve"> through public consultation on the interim decision.</w:t>
      </w:r>
    </w:p>
    <w:p w14:paraId="6FA9A9C8" w14:textId="68E1E961" w:rsidR="00662409" w:rsidRDefault="00773123" w:rsidP="00B521FB">
      <w:r>
        <w:t xml:space="preserve">I have considered </w:t>
      </w:r>
      <w:r w:rsidR="007A2CAF">
        <w:t xml:space="preserve">the main points raised by PGA </w:t>
      </w:r>
      <w:r w:rsidR="00D80EE6">
        <w:t>in opposi</w:t>
      </w:r>
      <w:r w:rsidR="00F93BB5">
        <w:t>tion of the interim decision</w:t>
      </w:r>
      <w:r w:rsidR="00893F47">
        <w:t>. The submission states that</w:t>
      </w:r>
      <w:r w:rsidR="0056379C">
        <w:t xml:space="preserve"> </w:t>
      </w:r>
      <w:r w:rsidR="00F93BB5">
        <w:t xml:space="preserve">including sildenafil as a </w:t>
      </w:r>
      <w:r w:rsidR="00B521FB">
        <w:t>Pharmacist</w:t>
      </w:r>
      <w:r w:rsidR="00F93BB5">
        <w:t xml:space="preserve"> </w:t>
      </w:r>
      <w:r w:rsidR="00B521FB">
        <w:t>O</w:t>
      </w:r>
      <w:r w:rsidR="00F93BB5">
        <w:t xml:space="preserve">nly </w:t>
      </w:r>
      <w:r w:rsidR="00B521FB">
        <w:t>M</w:t>
      </w:r>
      <w:r w:rsidR="00F93BB5">
        <w:t>edicine (Schedule 3)</w:t>
      </w:r>
      <w:r w:rsidR="00B04B5A">
        <w:t xml:space="preserve"> </w:t>
      </w:r>
      <w:r w:rsidR="00C64571">
        <w:t xml:space="preserve">would </w:t>
      </w:r>
      <w:r w:rsidR="00B844E3">
        <w:t xml:space="preserve">reduce importation of unregulated products and </w:t>
      </w:r>
      <w:r w:rsidR="00C64571">
        <w:t xml:space="preserve">eliminate the need </w:t>
      </w:r>
      <w:r w:rsidR="003F3F05">
        <w:t xml:space="preserve">to visit a doctor, which </w:t>
      </w:r>
      <w:r w:rsidR="00CE53DA">
        <w:t>can</w:t>
      </w:r>
      <w:r w:rsidR="003F3F05">
        <w:t xml:space="preserve"> dissuade</w:t>
      </w:r>
      <w:r w:rsidR="00CE53DA">
        <w:t xml:space="preserve"> some</w:t>
      </w:r>
      <w:r w:rsidR="003F3F05">
        <w:t xml:space="preserve"> patients from </w:t>
      </w:r>
      <w:r w:rsidR="00AB2EA2">
        <w:t>seeking medical treatment</w:t>
      </w:r>
      <w:r w:rsidR="00E67EA2">
        <w:t xml:space="preserve"> for the condition</w:t>
      </w:r>
      <w:r w:rsidR="00377055">
        <w:t xml:space="preserve">. </w:t>
      </w:r>
      <w:bookmarkStart w:id="32" w:name="_Toc97640264"/>
      <w:r w:rsidR="00D75853">
        <w:t xml:space="preserve">Whilst I agree </w:t>
      </w:r>
      <w:r w:rsidR="00A56BCF" w:rsidRPr="00A56BCF">
        <w:t>there is evidence of unregistered product importation</w:t>
      </w:r>
      <w:r w:rsidR="00015497">
        <w:t xml:space="preserve"> </w:t>
      </w:r>
      <w:r w:rsidR="00A56BCF">
        <w:t xml:space="preserve">which </w:t>
      </w:r>
      <w:r w:rsidR="00B521FB">
        <w:t>remain</w:t>
      </w:r>
      <w:r w:rsidR="00A56BCF">
        <w:t>s</w:t>
      </w:r>
      <w:r w:rsidR="00EC0096">
        <w:t xml:space="preserve"> a concern, I </w:t>
      </w:r>
      <w:r w:rsidR="00CE53DA">
        <w:t xml:space="preserve">am </w:t>
      </w:r>
      <w:r w:rsidR="00333569">
        <w:t xml:space="preserve">of the view that there is insufficient evidence of </w:t>
      </w:r>
      <w:r w:rsidR="006557EF">
        <w:t>a</w:t>
      </w:r>
      <w:r w:rsidR="00244B92">
        <w:t xml:space="preserve"> net</w:t>
      </w:r>
      <w:r w:rsidR="006557EF">
        <w:t xml:space="preserve"> </w:t>
      </w:r>
      <w:r w:rsidR="006557EF" w:rsidRPr="006557EF">
        <w:t>positive health benefit</w:t>
      </w:r>
      <w:r w:rsidR="006557EF">
        <w:t xml:space="preserve"> </w:t>
      </w:r>
      <w:r w:rsidR="00D77C0E">
        <w:t>to support making</w:t>
      </w:r>
      <w:r w:rsidR="00B41FBB">
        <w:t xml:space="preserve"> sildenafil </w:t>
      </w:r>
      <w:r w:rsidR="000015F5" w:rsidRPr="000015F5">
        <w:t xml:space="preserve">available as a Pharmacist Only </w:t>
      </w:r>
      <w:r w:rsidR="00B521FB">
        <w:t>M</w:t>
      </w:r>
      <w:r w:rsidR="000015F5" w:rsidRPr="000015F5">
        <w:t>edicine (Schedule 3).</w:t>
      </w:r>
      <w:r w:rsidR="00244B92">
        <w:t xml:space="preserve"> </w:t>
      </w:r>
      <w:r w:rsidR="006934A7">
        <w:t>Chiefly</w:t>
      </w:r>
      <w:r w:rsidR="0090548D">
        <w:t xml:space="preserve"> </w:t>
      </w:r>
      <w:r w:rsidR="009F66F5">
        <w:t xml:space="preserve">that </w:t>
      </w:r>
      <w:r w:rsidR="00974165">
        <w:t xml:space="preserve">the </w:t>
      </w:r>
      <w:r w:rsidR="00974165" w:rsidRPr="00974165">
        <w:t>ailments or symptoms that the substance is used for require</w:t>
      </w:r>
      <w:r w:rsidR="00974165">
        <w:t>s</w:t>
      </w:r>
      <w:r w:rsidR="00974165" w:rsidRPr="00974165">
        <w:t xml:space="preserve"> medical intervention</w:t>
      </w:r>
      <w:r w:rsidR="00974165">
        <w:t xml:space="preserve"> </w:t>
      </w:r>
      <w:r w:rsidR="008D7696">
        <w:t xml:space="preserve">to ensure adequate </w:t>
      </w:r>
      <w:r w:rsidR="0090548D" w:rsidRPr="0090548D">
        <w:t>medical assessments</w:t>
      </w:r>
      <w:r w:rsidR="008D7696">
        <w:t xml:space="preserve"> and</w:t>
      </w:r>
      <w:r w:rsidR="0090548D" w:rsidRPr="0090548D">
        <w:t xml:space="preserve"> diagnosis, and </w:t>
      </w:r>
      <w:r w:rsidR="008D7696">
        <w:t>to</w:t>
      </w:r>
      <w:r w:rsidR="0026038B">
        <w:t xml:space="preserve"> promote medical assistance in </w:t>
      </w:r>
      <w:r w:rsidR="0090548D" w:rsidRPr="0090548D">
        <w:t>treat</w:t>
      </w:r>
      <w:r w:rsidR="0026038B">
        <w:t>ing</w:t>
      </w:r>
      <w:r w:rsidR="0090548D" w:rsidRPr="0090548D">
        <w:t xml:space="preserve"> any underlying causational health conditions.</w:t>
      </w:r>
      <w:r w:rsidR="0052362A">
        <w:t xml:space="preserve"> </w:t>
      </w:r>
      <w:r w:rsidR="000C67FD">
        <w:t>Furthermore,</w:t>
      </w:r>
      <w:r w:rsidR="00D50DB9">
        <w:t xml:space="preserve"> I </w:t>
      </w:r>
      <w:r w:rsidR="00B521FB">
        <w:t>note that</w:t>
      </w:r>
      <w:r w:rsidR="000C67FD">
        <w:t xml:space="preserve"> </w:t>
      </w:r>
      <w:r w:rsidR="00074FE4">
        <w:t>s</w:t>
      </w:r>
      <w:r w:rsidR="00074FE4" w:rsidRPr="00074FE4">
        <w:t>ildenafil has the potential to interact with</w:t>
      </w:r>
      <w:r w:rsidR="00736583">
        <w:t xml:space="preserve"> several medicines </w:t>
      </w:r>
      <w:r w:rsidR="001C5759">
        <w:t xml:space="preserve">used in groups of people with higher rates of erectile dysfunction. </w:t>
      </w:r>
      <w:r w:rsidR="0082418C">
        <w:t>In considering the SPF</w:t>
      </w:r>
      <w:r w:rsidR="00285691">
        <w:t xml:space="preserve"> factors, I remain of the opinion that </w:t>
      </w:r>
      <w:r w:rsidR="009759B7">
        <w:t>t</w:t>
      </w:r>
      <w:r w:rsidR="009759B7" w:rsidRPr="009759B7">
        <w:t xml:space="preserve">he seriousness or severity and frequency of the interactions of the substance (medicine-medicine) are such that </w:t>
      </w:r>
      <w:r w:rsidR="00B521FB">
        <w:t>oversight</w:t>
      </w:r>
      <w:r w:rsidR="009759B7" w:rsidRPr="009759B7">
        <w:t xml:space="preserve"> </w:t>
      </w:r>
      <w:r w:rsidR="00B521FB">
        <w:t>and prescribing</w:t>
      </w:r>
      <w:r w:rsidR="009759B7" w:rsidRPr="009759B7">
        <w:t xml:space="preserve"> is required by a medical</w:t>
      </w:r>
      <w:r w:rsidR="009759B7">
        <w:t xml:space="preserve"> practitioner.</w:t>
      </w:r>
    </w:p>
    <w:p w14:paraId="529C7E58" w14:textId="5F3AA7ED" w:rsidR="00FE3174" w:rsidRDefault="00FE3174">
      <w:r>
        <w:br w:type="page"/>
      </w:r>
    </w:p>
    <w:p w14:paraId="3D8ADD1B" w14:textId="17636E60" w:rsidR="002B1E3C" w:rsidRPr="00D2065C" w:rsidRDefault="002B1E3C" w:rsidP="00D2065C">
      <w:pPr>
        <w:pStyle w:val="Heading2"/>
      </w:pPr>
      <w:bookmarkStart w:id="33" w:name="_Toc185508607"/>
      <w:bookmarkEnd w:id="32"/>
      <w:r w:rsidRPr="00D2065C">
        <w:lastRenderedPageBreak/>
        <w:t>Final decisions on proposed amendments referred to the Advisory Committee on Chemicals Scheduling (ACCS #3</w:t>
      </w:r>
      <w:r w:rsidR="00662409">
        <w:t>9</w:t>
      </w:r>
      <w:r w:rsidRPr="00D2065C">
        <w:t xml:space="preserve">, </w:t>
      </w:r>
      <w:r w:rsidR="00662409">
        <w:t>June</w:t>
      </w:r>
      <w:r w:rsidRPr="00D2065C">
        <w:t> 2024)</w:t>
      </w:r>
      <w:bookmarkEnd w:id="33"/>
    </w:p>
    <w:p w14:paraId="13512FB3" w14:textId="49E2A0FA" w:rsidR="002B1E3C" w:rsidRDefault="002B1E3C" w:rsidP="002B1E3C">
      <w:pPr>
        <w:pStyle w:val="Heading3"/>
      </w:pPr>
      <w:bookmarkStart w:id="34" w:name="_Toc185508608"/>
      <w:r>
        <w:t xml:space="preserve">Final decision in relation to </w:t>
      </w:r>
      <w:r w:rsidR="00662409">
        <w:t>allyl esters</w:t>
      </w:r>
      <w:bookmarkEnd w:id="34"/>
    </w:p>
    <w:p w14:paraId="2C9FA62B" w14:textId="77777777" w:rsidR="002B1E3C" w:rsidRPr="009A4603" w:rsidRDefault="002B1E3C" w:rsidP="00D2065C">
      <w:pPr>
        <w:pStyle w:val="Heading4"/>
      </w:pPr>
      <w:r w:rsidRPr="009A4603">
        <w:t>Proposal</w:t>
      </w:r>
    </w:p>
    <w:p w14:paraId="03B685AF" w14:textId="5B1FAD1A" w:rsidR="002B1E3C" w:rsidRDefault="004E1E42" w:rsidP="002B1E3C">
      <w:r w:rsidRPr="004E1E42">
        <w:t xml:space="preserve">The Delegate proposed an amendment to the </w:t>
      </w:r>
      <w:r w:rsidR="00F51EA7">
        <w:t>Poisons (</w:t>
      </w:r>
      <w:r w:rsidRPr="004E1E42">
        <w:t>Schedule 6</w:t>
      </w:r>
      <w:r w:rsidR="00F51EA7">
        <w:t>)</w:t>
      </w:r>
      <w:r w:rsidRPr="004E1E42">
        <w:t xml:space="preserve"> entry for allyl esters to include allyl phenoxyacetate; allyl amyl glycolate; allyl (2-methylbutoxy)acetate; and allyl (cyclohexyloxy)acetate. The proposal was initiated following a recommendation by the National Industrial Chemicals Notification and Assessment Scheme (NICNAS; now known as the Australian Industrial Chemicals Introduction Scheme, AICIS) in their evaluation of </w:t>
      </w:r>
      <w:hyperlink r:id="rId18" w:history="1">
        <w:r w:rsidRPr="00A85190">
          <w:rPr>
            <w:rStyle w:val="Hyperlink"/>
          </w:rPr>
          <w:t>allyl esters of acetic acid ethers</w:t>
        </w:r>
      </w:hyperlink>
      <w:r w:rsidRPr="004E1E42">
        <w:t xml:space="preserve"> published in June</w:t>
      </w:r>
      <w:r w:rsidR="00F51EA7">
        <w:t> </w:t>
      </w:r>
      <w:r w:rsidRPr="004E1E42">
        <w:t xml:space="preserve">2019. These substances are currently captured in the Poisons Standard under the </w:t>
      </w:r>
      <w:r w:rsidR="00F51EA7">
        <w:t>Dangerous poisons (</w:t>
      </w:r>
      <w:r w:rsidRPr="004E1E42">
        <w:t>Schedule 7</w:t>
      </w:r>
      <w:r w:rsidR="00F51EA7">
        <w:t>)</w:t>
      </w:r>
      <w:r w:rsidRPr="004E1E42">
        <w:t xml:space="preserve"> and Appendix J entries for allyl alcohol.</w:t>
      </w:r>
    </w:p>
    <w:p w14:paraId="0C3337AF" w14:textId="006770F1" w:rsidR="002B1E3C" w:rsidRPr="009A4603" w:rsidRDefault="002B1E3C" w:rsidP="00D2065C">
      <w:pPr>
        <w:pStyle w:val="Heading4"/>
      </w:pPr>
      <w:r w:rsidRPr="009A4603">
        <w:t>Final decision</w:t>
      </w:r>
    </w:p>
    <w:p w14:paraId="0DBB7B82" w14:textId="4962179B" w:rsidR="00B1385E" w:rsidRPr="00B03B68" w:rsidRDefault="002B1E3C" w:rsidP="00377680">
      <w:r>
        <w:t xml:space="preserve">Pursuant to regulation 42ZCZR of the Regulations, the Delegate has made a final </w:t>
      </w:r>
      <w:r w:rsidRPr="00A66082">
        <w:t xml:space="preserve">decision to confirm the interim decision and </w:t>
      </w:r>
      <w:r w:rsidR="00B1385E">
        <w:t xml:space="preserve">not to amend the </w:t>
      </w:r>
      <w:r w:rsidR="00B1385E" w:rsidRPr="00ED798C">
        <w:t>current Poisons Standard in relation to</w:t>
      </w:r>
      <w:r w:rsidR="00B1385E">
        <w:t xml:space="preserve"> </w:t>
      </w:r>
      <w:r w:rsidR="00B1385E" w:rsidRPr="00532318">
        <w:t>allyl amyl glycolate</w:t>
      </w:r>
      <w:r w:rsidR="00B1385E">
        <w:t xml:space="preserve"> or</w:t>
      </w:r>
      <w:r w:rsidR="00B1385E" w:rsidRPr="00532318">
        <w:t xml:space="preserve"> allyl (2-methylbutoxy)acetate</w:t>
      </w:r>
      <w:r w:rsidR="00B1385E">
        <w:t xml:space="preserve">, which will continue to be captured under the Schedule 7 and Appendix J entries for allyl alcohol. The delegate has also </w:t>
      </w:r>
      <w:proofErr w:type="gramStart"/>
      <w:r w:rsidR="00B1385E">
        <w:t>made a decision</w:t>
      </w:r>
      <w:proofErr w:type="gramEnd"/>
      <w:r w:rsidR="00B1385E">
        <w:t xml:space="preserve"> to</w:t>
      </w:r>
      <w:r w:rsidR="00B1385E" w:rsidRPr="00ED798C">
        <w:t xml:space="preserve"> amend the current Poisons Standard in relation to</w:t>
      </w:r>
      <w:r w:rsidR="00B1385E">
        <w:t xml:space="preserve"> </w:t>
      </w:r>
      <w:r w:rsidR="00B1385E" w:rsidRPr="00251509">
        <w:t>allyl phenoxyacetate</w:t>
      </w:r>
      <w:r w:rsidR="00B1385E">
        <w:t xml:space="preserve"> and </w:t>
      </w:r>
      <w:r w:rsidR="00B1385E" w:rsidRPr="00251509">
        <w:t>allyl (cyclohexyloxy)</w:t>
      </w:r>
      <w:r w:rsidR="00377680">
        <w:t xml:space="preserve"> </w:t>
      </w:r>
      <w:r w:rsidR="00B1385E" w:rsidRPr="00251509">
        <w:t>acetate</w:t>
      </w:r>
      <w:r w:rsidR="00B1385E">
        <w:t>, as follows:</w:t>
      </w:r>
      <w:r w:rsidR="00B1385E">
        <w:rPr>
          <w:rStyle w:val="FootnoteReference"/>
        </w:rPr>
        <w:footnoteReference w:id="4"/>
      </w:r>
    </w:p>
    <w:p w14:paraId="6C7DD2E9" w14:textId="77777777" w:rsidR="00B1385E" w:rsidRPr="00B94C08" w:rsidRDefault="00B1385E" w:rsidP="00377680">
      <w:pPr>
        <w:ind w:left="425"/>
        <w:rPr>
          <w:b/>
          <w:bCs/>
        </w:rPr>
      </w:pPr>
      <w:r w:rsidRPr="00B94C08">
        <w:rPr>
          <w:b/>
          <w:bCs/>
        </w:rPr>
        <w:t>Schedule</w:t>
      </w:r>
      <w:r>
        <w:rPr>
          <w:b/>
          <w:bCs/>
        </w:rPr>
        <w:t xml:space="preserve"> 6</w:t>
      </w:r>
      <w:r w:rsidRPr="00B94C08">
        <w:rPr>
          <w:b/>
          <w:bCs/>
        </w:rPr>
        <w:t xml:space="preserve"> – Amend</w:t>
      </w:r>
      <w:r>
        <w:rPr>
          <w:b/>
          <w:bCs/>
        </w:rPr>
        <w:t xml:space="preserve"> </w:t>
      </w:r>
      <w:r w:rsidRPr="00B94C08">
        <w:rPr>
          <w:b/>
          <w:bCs/>
        </w:rPr>
        <w:t>Entry</w:t>
      </w:r>
    </w:p>
    <w:p w14:paraId="321126B0" w14:textId="77777777" w:rsidR="00B1385E" w:rsidRDefault="00B1385E" w:rsidP="00B1385E">
      <w:pPr>
        <w:ind w:left="567"/>
      </w:pPr>
      <w:r w:rsidRPr="00CB6C5C">
        <w:t>ALLYL ESTERS (excluding derivatives) being:</w:t>
      </w:r>
    </w:p>
    <w:p w14:paraId="13238560" w14:textId="77777777" w:rsidR="00A93AB6" w:rsidRDefault="00A93AB6" w:rsidP="00B521FB">
      <w:pPr>
        <w:pStyle w:val="ListBulleta"/>
        <w:numPr>
          <w:ilvl w:val="0"/>
          <w:numId w:val="12"/>
        </w:numPr>
      </w:pPr>
      <w:r w:rsidRPr="00BA4B60">
        <w:t>ALLYL CYCLOHEXANEACETATE (CAS No. 4728-82-9); o</w:t>
      </w:r>
      <w:r>
        <w:t>r</w:t>
      </w:r>
    </w:p>
    <w:p w14:paraId="54C06E8C" w14:textId="77777777" w:rsidR="00A93AB6" w:rsidRDefault="00A93AB6" w:rsidP="00B521FB">
      <w:pPr>
        <w:pStyle w:val="ListBulleta"/>
        <w:numPr>
          <w:ilvl w:val="0"/>
          <w:numId w:val="12"/>
        </w:numPr>
      </w:pPr>
      <w:r>
        <w:t>ALLYL CYCLOHEXANEPROPIONATE (CAS No. 2705-87-5); or</w:t>
      </w:r>
    </w:p>
    <w:p w14:paraId="755DC3F4" w14:textId="77777777" w:rsidR="00A93AB6" w:rsidRDefault="00A93AB6" w:rsidP="00B521FB">
      <w:pPr>
        <w:pStyle w:val="ListBulleta"/>
        <w:numPr>
          <w:ilvl w:val="0"/>
          <w:numId w:val="12"/>
        </w:numPr>
      </w:pPr>
      <w:r>
        <w:t>ALLYL HEPTANOATE/ALLYL HEPTYLATE (CAS No. 142-19-8); or</w:t>
      </w:r>
    </w:p>
    <w:p w14:paraId="29335257" w14:textId="77777777" w:rsidR="00A93AB6" w:rsidRDefault="00A93AB6" w:rsidP="00B521FB">
      <w:pPr>
        <w:pStyle w:val="ListBulleta"/>
        <w:numPr>
          <w:ilvl w:val="0"/>
          <w:numId w:val="12"/>
        </w:numPr>
      </w:pPr>
      <w:r>
        <w:t>ALLYL HEXANOATE (CAS No. 123-68-2); or</w:t>
      </w:r>
    </w:p>
    <w:p w14:paraId="30EAA042" w14:textId="77777777" w:rsidR="00A93AB6" w:rsidRDefault="00A93AB6" w:rsidP="00B521FB">
      <w:pPr>
        <w:pStyle w:val="ListBulleta"/>
        <w:numPr>
          <w:ilvl w:val="0"/>
          <w:numId w:val="12"/>
        </w:numPr>
      </w:pPr>
      <w:r>
        <w:t>ALLYL ISOVALERATE (CAS No. 2835-39-4); or</w:t>
      </w:r>
    </w:p>
    <w:p w14:paraId="3412D6D9" w14:textId="77777777" w:rsidR="00A93AB6" w:rsidRDefault="00A93AB6" w:rsidP="00B521FB">
      <w:pPr>
        <w:pStyle w:val="ListBulleta"/>
        <w:numPr>
          <w:ilvl w:val="0"/>
          <w:numId w:val="12"/>
        </w:numPr>
      </w:pPr>
      <w:r>
        <w:t>ALLYL NONANOATE (CAS No. 7493-72-3); or</w:t>
      </w:r>
    </w:p>
    <w:p w14:paraId="51C918A0" w14:textId="77777777" w:rsidR="00A93AB6" w:rsidRDefault="00A93AB6" w:rsidP="00B521FB">
      <w:pPr>
        <w:pStyle w:val="ListBulleta"/>
        <w:numPr>
          <w:ilvl w:val="0"/>
          <w:numId w:val="12"/>
        </w:numPr>
      </w:pPr>
      <w:r>
        <w:t>ALLYL OCTANOATE (CAS No. 4230-97-1); or</w:t>
      </w:r>
    </w:p>
    <w:p w14:paraId="5A31FC9D" w14:textId="77777777" w:rsidR="00A93AB6" w:rsidRDefault="00A93AB6" w:rsidP="00B521FB">
      <w:pPr>
        <w:pStyle w:val="ListBulleta"/>
        <w:numPr>
          <w:ilvl w:val="0"/>
          <w:numId w:val="12"/>
        </w:numPr>
      </w:pPr>
      <w:r>
        <w:t>ALLYL PHENYLACETATE (CAS No. 1797-74-6); or</w:t>
      </w:r>
    </w:p>
    <w:p w14:paraId="39FF8A9F" w14:textId="2B82F65C" w:rsidR="00B1385E" w:rsidRPr="00523D2C" w:rsidRDefault="00A93AB6" w:rsidP="00B521FB">
      <w:pPr>
        <w:pStyle w:val="ListBulleta"/>
        <w:numPr>
          <w:ilvl w:val="0"/>
          <w:numId w:val="12"/>
        </w:numPr>
      </w:pPr>
      <w:r>
        <w:t>ALLYL TRIMETHYLHEXANOATE (CAS No. 68132-80-9); or</w:t>
      </w:r>
    </w:p>
    <w:p w14:paraId="1B75BCF2" w14:textId="77777777" w:rsidR="00B1385E" w:rsidRPr="00AD0964" w:rsidRDefault="00B1385E" w:rsidP="00B521FB">
      <w:pPr>
        <w:pStyle w:val="Style2"/>
      </w:pPr>
      <w:r w:rsidRPr="00AD0964">
        <w:t>ALLYL PHENOXYACETATE (CAS No. 7493-74-5); or</w:t>
      </w:r>
    </w:p>
    <w:p w14:paraId="0EDE58D3" w14:textId="77777777" w:rsidR="00B1385E" w:rsidRPr="00AD0964" w:rsidRDefault="00B1385E" w:rsidP="00B521FB">
      <w:pPr>
        <w:pStyle w:val="Style2"/>
      </w:pPr>
      <w:r w:rsidRPr="00AD0964">
        <w:t>ALLYL (CYCLOHEXYLOXY)ACETATE (CAS No. 68901-15-5);</w:t>
      </w:r>
    </w:p>
    <w:p w14:paraId="03024004" w14:textId="77777777" w:rsidR="00B1385E" w:rsidRPr="00CB2C1C" w:rsidRDefault="00B1385E" w:rsidP="00377680">
      <w:r w:rsidRPr="00967AD9">
        <w:lastRenderedPageBreak/>
        <w:t>in preparations containing 0.1% or less of free allyl alcohol by weight of allyl ester except in preparations containing 5% or less of allyl esters with 0.1% or less of free allyl alcohol by weight of allyl esters.</w:t>
      </w:r>
    </w:p>
    <w:p w14:paraId="085E971F" w14:textId="77777777" w:rsidR="00B1385E" w:rsidRPr="00B94C08" w:rsidRDefault="00B1385E" w:rsidP="00377680">
      <w:pPr>
        <w:ind w:left="425"/>
        <w:rPr>
          <w:b/>
          <w:bCs/>
        </w:rPr>
      </w:pPr>
      <w:r w:rsidRPr="00B94C08">
        <w:rPr>
          <w:b/>
          <w:bCs/>
        </w:rPr>
        <w:t>Index</w:t>
      </w:r>
    </w:p>
    <w:p w14:paraId="2FD8468C" w14:textId="77777777" w:rsidR="00B1385E" w:rsidRPr="00343A3B" w:rsidRDefault="00B1385E" w:rsidP="00B1385E">
      <w:pPr>
        <w:ind w:left="425" w:firstLine="295"/>
      </w:pPr>
      <w:r w:rsidRPr="00343A3B">
        <w:rPr>
          <w:b/>
          <w:bCs/>
        </w:rPr>
        <w:t xml:space="preserve">ALLYL ESTERS </w:t>
      </w:r>
      <w:r w:rsidRPr="00343A3B">
        <w:t>(excluding derivatives)</w:t>
      </w:r>
    </w:p>
    <w:p w14:paraId="503669B8" w14:textId="11104411" w:rsidR="002B1E3C" w:rsidRPr="00507586" w:rsidRDefault="00B1385E" w:rsidP="00507586">
      <w:pPr>
        <w:ind w:left="425" w:firstLine="295"/>
      </w:pPr>
      <w:r w:rsidRPr="00343A3B">
        <w:t>Schedule 6</w:t>
      </w:r>
    </w:p>
    <w:p w14:paraId="52828B63" w14:textId="77777777" w:rsidR="002B1E3C" w:rsidRPr="009A4603" w:rsidRDefault="002B1E3C" w:rsidP="00D2065C">
      <w:pPr>
        <w:pStyle w:val="Heading4"/>
      </w:pPr>
      <w:r w:rsidRPr="009A4603">
        <w:t xml:space="preserve">Materials considered </w:t>
      </w:r>
    </w:p>
    <w:p w14:paraId="752A431B" w14:textId="77777777" w:rsidR="002B1E3C" w:rsidRDefault="002B1E3C" w:rsidP="002B1E3C">
      <w:r>
        <w:t>In making this final decision, the Delegate considered the following material:</w:t>
      </w:r>
    </w:p>
    <w:p w14:paraId="089F88C4" w14:textId="003C31C8" w:rsidR="009918E9" w:rsidRPr="009918E9" w:rsidRDefault="00887EE3" w:rsidP="00B521FB">
      <w:pPr>
        <w:pStyle w:val="ListBullet"/>
      </w:pPr>
      <w:r>
        <w:t>t</w:t>
      </w:r>
      <w:r w:rsidR="009918E9" w:rsidRPr="009918E9">
        <w:t xml:space="preserve">he proposal to amend the current Poisons Standard with respect to allyl phenoxyacetate, allyl amyl glycolate, allyl (2-methylbutoxy) acetate, and allyl (cyclohexyloxy) acetate (the </w:t>
      </w:r>
      <w:r w:rsidR="009918E9" w:rsidRPr="00AC6A5B">
        <w:rPr>
          <w:b/>
          <w:bCs/>
        </w:rPr>
        <w:t>Proposal</w:t>
      </w:r>
      <w:r w:rsidR="009918E9" w:rsidRPr="009918E9">
        <w:t>)</w:t>
      </w:r>
    </w:p>
    <w:p w14:paraId="6B4E7522" w14:textId="7A314590" w:rsidR="009918E9" w:rsidRPr="009918E9" w:rsidRDefault="00887EE3" w:rsidP="00B521FB">
      <w:pPr>
        <w:pStyle w:val="ListBullet"/>
      </w:pPr>
      <w:r>
        <w:t>t</w:t>
      </w:r>
      <w:r w:rsidR="009918E9" w:rsidRPr="009918E9">
        <w:t xml:space="preserve">hat there were no public submissions received in response to the </w:t>
      </w:r>
      <w:hyperlink r:id="rId19" w:history="1">
        <w:r w:rsidR="00AC6A5B" w:rsidRPr="00675C69">
          <w:rPr>
            <w:rStyle w:val="Hyperlink"/>
          </w:rPr>
          <w:t>pre-meeting consultation</w:t>
        </w:r>
      </w:hyperlink>
      <w:r w:rsidR="00AC6A5B">
        <w:rPr>
          <w:rStyle w:val="Hyperlink"/>
        </w:rPr>
        <w:t xml:space="preserve"> </w:t>
      </w:r>
      <w:r w:rsidR="009918E9" w:rsidRPr="009918E9">
        <w:t xml:space="preserve">under regulation 42ZCZK of the Regulations (the </w:t>
      </w:r>
      <w:r w:rsidR="009918E9" w:rsidRPr="00AC6A5B">
        <w:rPr>
          <w:b/>
          <w:bCs/>
        </w:rPr>
        <w:t>Submissions</w:t>
      </w:r>
      <w:r w:rsidR="009918E9" w:rsidRPr="009918E9">
        <w:t>)</w:t>
      </w:r>
    </w:p>
    <w:p w14:paraId="4E26DC85" w14:textId="60B0B415" w:rsidR="002B1E3C" w:rsidRPr="00D2065C" w:rsidRDefault="00887EE3" w:rsidP="00B521FB">
      <w:pPr>
        <w:pStyle w:val="ListBullet"/>
      </w:pPr>
      <w:r>
        <w:t>t</w:t>
      </w:r>
      <w:r w:rsidR="009918E9" w:rsidRPr="009918E9">
        <w:t xml:space="preserve">he advice received from the 39th meeting of the Advisory Committee on Chemicals Scheduling (the </w:t>
      </w:r>
      <w:r w:rsidR="009918E9" w:rsidRPr="00AC6A5B">
        <w:rPr>
          <w:b/>
          <w:bCs/>
        </w:rPr>
        <w:t>Committee</w:t>
      </w:r>
      <w:r w:rsidR="009918E9" w:rsidRPr="009918E9">
        <w:t>)</w:t>
      </w:r>
    </w:p>
    <w:p w14:paraId="1155F163" w14:textId="7E8BC02E" w:rsidR="00364DCB" w:rsidRPr="00335538" w:rsidRDefault="00887EE3" w:rsidP="00B521FB">
      <w:pPr>
        <w:pStyle w:val="ListBullet"/>
        <w:rPr>
          <w:rFonts w:cs="Arial"/>
          <w:szCs w:val="20"/>
        </w:rPr>
      </w:pPr>
      <w:r>
        <w:rPr>
          <w:rFonts w:cs="Arial"/>
          <w:szCs w:val="20"/>
        </w:rPr>
        <w:t>t</w:t>
      </w:r>
      <w:r w:rsidR="00364DCB" w:rsidRPr="00335538">
        <w:rPr>
          <w:rFonts w:cs="Arial"/>
          <w:szCs w:val="20"/>
        </w:rPr>
        <w:t xml:space="preserve">he </w:t>
      </w:r>
      <w:hyperlink r:id="rId20" w:history="1">
        <w:r w:rsidR="00364DCB" w:rsidRPr="00335538">
          <w:rPr>
            <w:rStyle w:val="Hyperlink"/>
            <w:rFonts w:cs="Arial"/>
            <w:szCs w:val="20"/>
          </w:rPr>
          <w:t>interim decision</w:t>
        </w:r>
      </w:hyperlink>
      <w:r w:rsidR="00364DCB" w:rsidRPr="00335538">
        <w:rPr>
          <w:rFonts w:cs="Arial"/>
          <w:szCs w:val="20"/>
        </w:rPr>
        <w:t xml:space="preserve"> </w:t>
      </w:r>
      <w:r w:rsidR="00364DCB">
        <w:rPr>
          <w:rFonts w:cs="Arial"/>
          <w:szCs w:val="20"/>
        </w:rPr>
        <w:t xml:space="preserve">relating to allyl esters </w:t>
      </w:r>
      <w:r w:rsidR="00364DCB" w:rsidRPr="00335538">
        <w:rPr>
          <w:rFonts w:cs="Arial"/>
          <w:szCs w:val="20"/>
        </w:rPr>
        <w:t xml:space="preserve">and the materials considered as part of the interim decision, as published on </w:t>
      </w:r>
      <w:r w:rsidR="00364DCB">
        <w:rPr>
          <w:rFonts w:cs="Arial"/>
          <w:szCs w:val="20"/>
        </w:rPr>
        <w:t>19</w:t>
      </w:r>
      <w:r w:rsidR="00364DCB" w:rsidRPr="00335538">
        <w:rPr>
          <w:rFonts w:cs="Arial"/>
          <w:szCs w:val="20"/>
        </w:rPr>
        <w:t xml:space="preserve"> </w:t>
      </w:r>
      <w:r w:rsidR="00364DCB">
        <w:rPr>
          <w:rFonts w:cs="Arial"/>
          <w:szCs w:val="20"/>
        </w:rPr>
        <w:t>September</w:t>
      </w:r>
      <w:r w:rsidR="00364DCB" w:rsidRPr="00335538">
        <w:rPr>
          <w:rFonts w:cs="Arial"/>
          <w:szCs w:val="20"/>
        </w:rPr>
        <w:t xml:space="preserve"> 2024</w:t>
      </w:r>
    </w:p>
    <w:p w14:paraId="43E6ADA3" w14:textId="2DD83576" w:rsidR="002B1E3C" w:rsidRPr="00D2065C" w:rsidRDefault="00887EE3" w:rsidP="00B521FB">
      <w:pPr>
        <w:pStyle w:val="ListBullet"/>
        <w:rPr>
          <w:rFonts w:cs="Arial"/>
        </w:rPr>
      </w:pPr>
      <w:r>
        <w:rPr>
          <w:rFonts w:cs="Arial"/>
          <w:szCs w:val="20"/>
        </w:rPr>
        <w:t>t</w:t>
      </w:r>
      <w:r w:rsidR="00364DCB" w:rsidRPr="00335538">
        <w:rPr>
          <w:rFonts w:cs="Arial"/>
          <w:szCs w:val="20"/>
        </w:rPr>
        <w:t xml:space="preserve">he </w:t>
      </w:r>
      <w:r w:rsidR="00364DCB">
        <w:rPr>
          <w:rFonts w:cs="Arial"/>
          <w:szCs w:val="20"/>
        </w:rPr>
        <w:t>one</w:t>
      </w:r>
      <w:r w:rsidR="00364DCB" w:rsidRPr="00335538">
        <w:rPr>
          <w:rFonts w:cs="Arial"/>
          <w:szCs w:val="20"/>
        </w:rPr>
        <w:t xml:space="preserve"> </w:t>
      </w:r>
      <w:hyperlink r:id="rId21" w:history="1">
        <w:r w:rsidR="00364DCB" w:rsidRPr="00FA76BB">
          <w:t>submission</w:t>
        </w:r>
      </w:hyperlink>
      <w:r w:rsidR="00364DCB" w:rsidRPr="00335538">
        <w:rPr>
          <w:rFonts w:cs="Arial"/>
          <w:szCs w:val="20"/>
        </w:rPr>
        <w:t xml:space="preserve"> received in response to the</w:t>
      </w:r>
      <w:r w:rsidR="00364DCB" w:rsidRPr="00F24669">
        <w:t xml:space="preserve"> </w:t>
      </w:r>
      <w:hyperlink r:id="rId22" w:history="1">
        <w:r w:rsidR="00364DCB">
          <w:rPr>
            <w:color w:val="0000FF"/>
            <w:u w:val="single"/>
          </w:rPr>
          <w:t>public consultation on the interim decision</w:t>
        </w:r>
      </w:hyperlink>
      <w:r w:rsidR="00364DCB" w:rsidRPr="00335538">
        <w:rPr>
          <w:rFonts w:cs="Arial"/>
          <w:szCs w:val="20"/>
        </w:rPr>
        <w:t xml:space="preserve"> under regulation 42ZCZP of the Regulations</w:t>
      </w:r>
    </w:p>
    <w:p w14:paraId="30E38BCB" w14:textId="164A1081" w:rsidR="002B1E3C" w:rsidRDefault="002B1E3C" w:rsidP="00B521FB">
      <w:pPr>
        <w:pStyle w:val="ListBullet"/>
      </w:pPr>
      <w:r>
        <w:t>s</w:t>
      </w:r>
      <w:r w:rsidRPr="001169AC">
        <w:t xml:space="preserve">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2476BEBE" w14:textId="77777777" w:rsidR="002B1E3C" w:rsidRPr="001A45E7" w:rsidRDefault="002B1E3C" w:rsidP="00B521FB">
      <w:pPr>
        <w:pStyle w:val="ListBullet"/>
      </w:pPr>
      <w:r>
        <w:t>pursuant to paragraph 52</w:t>
      </w:r>
      <w:r w:rsidRPr="001A45E7">
        <w:t>E(2)(a) of the Act, the SPF, and</w:t>
      </w:r>
    </w:p>
    <w:p w14:paraId="7A804A40" w14:textId="77777777" w:rsidR="002B1E3C" w:rsidRPr="001A45E7" w:rsidRDefault="002B1E3C" w:rsidP="00B521FB">
      <w:pPr>
        <w:pStyle w:val="ListBullet"/>
      </w:pPr>
      <w:r w:rsidRPr="001A45E7">
        <w:t>the Handbook.</w:t>
      </w:r>
    </w:p>
    <w:p w14:paraId="26AD612D" w14:textId="77777777" w:rsidR="002B1E3C" w:rsidRPr="00BB34CD" w:rsidRDefault="002B1E3C" w:rsidP="00D2065C">
      <w:pPr>
        <w:pStyle w:val="Heading4"/>
      </w:pPr>
      <w:bookmarkStart w:id="35" w:name="_Toc97640265"/>
      <w:r w:rsidRPr="00BB34CD">
        <w:t>Reasons for the final decision (including findings on material questions of fact)</w:t>
      </w:r>
    </w:p>
    <w:p w14:paraId="65510C48" w14:textId="10C54806" w:rsidR="0099588D" w:rsidRDefault="002B1E3C" w:rsidP="00FB29FF">
      <w:r w:rsidRPr="00E32B41">
        <w:t>I have made a final decision to confirm my interim decision to</w:t>
      </w:r>
      <w:r w:rsidR="002166AE">
        <w:t xml:space="preserve"> not</w:t>
      </w:r>
      <w:r w:rsidRPr="00E32B41">
        <w:t xml:space="preserve"> amend the current Poisons Standard with respect to</w:t>
      </w:r>
      <w:r>
        <w:t xml:space="preserve"> </w:t>
      </w:r>
      <w:r w:rsidR="0099588D" w:rsidRPr="00532318">
        <w:t>allyl amyl glycolate</w:t>
      </w:r>
      <w:r w:rsidR="0099588D">
        <w:t xml:space="preserve"> or</w:t>
      </w:r>
      <w:r w:rsidR="0099588D" w:rsidRPr="00532318">
        <w:t xml:space="preserve"> allyl (2-methylbutoxy)acetate</w:t>
      </w:r>
      <w:r w:rsidR="0099588D">
        <w:t xml:space="preserve">, which will continue to be captured under the </w:t>
      </w:r>
      <w:r w:rsidR="00F51EA7">
        <w:t>Dangerous poisons (</w:t>
      </w:r>
      <w:r w:rsidR="0099588D">
        <w:t>Schedule 7</w:t>
      </w:r>
      <w:r w:rsidR="00F51EA7">
        <w:t>)</w:t>
      </w:r>
      <w:r w:rsidR="0099588D">
        <w:t xml:space="preserve"> and Appendix J entries for allyl alcohol. I have also made a </w:t>
      </w:r>
      <w:r w:rsidR="002166AE">
        <w:t xml:space="preserve">final </w:t>
      </w:r>
      <w:r w:rsidR="0099588D">
        <w:t>decision to</w:t>
      </w:r>
      <w:r w:rsidR="0099588D" w:rsidRPr="00ED798C">
        <w:t xml:space="preserve"> amend the current Poisons Standard in relation to</w:t>
      </w:r>
      <w:r w:rsidR="0099588D">
        <w:t xml:space="preserve"> </w:t>
      </w:r>
      <w:r w:rsidR="0099588D" w:rsidRPr="00251509">
        <w:t>allyl phenoxyacetate</w:t>
      </w:r>
      <w:r w:rsidR="0099588D">
        <w:t xml:space="preserve"> and </w:t>
      </w:r>
      <w:r w:rsidR="0099588D" w:rsidRPr="00251509">
        <w:t>allyl (cyclohexyloxy)acetate</w:t>
      </w:r>
      <w:r w:rsidR="0099588D">
        <w:t xml:space="preserve">. </w:t>
      </w:r>
      <w:r w:rsidR="0099588D" w:rsidRPr="002B3DE9">
        <w:t>My reasons for making the final decision are those set out in the</w:t>
      </w:r>
      <w:r w:rsidR="0099588D">
        <w:t xml:space="preserve"> interim decision.</w:t>
      </w:r>
      <w:r w:rsidR="0099588D" w:rsidRPr="005E2F5E">
        <w:t xml:space="preserve"> In making my final decision, I have </w:t>
      </w:r>
      <w:proofErr w:type="gramStart"/>
      <w:r w:rsidR="0099588D" w:rsidRPr="005E2F5E">
        <w:t>taken into account</w:t>
      </w:r>
      <w:proofErr w:type="gramEnd"/>
      <w:r w:rsidR="0099588D" w:rsidRPr="005E2F5E">
        <w:t xml:space="preserve"> the material in the interim decision and </w:t>
      </w:r>
      <w:r w:rsidR="0099588D">
        <w:t>the</w:t>
      </w:r>
      <w:r w:rsidR="002166AE">
        <w:t xml:space="preserve"> one</w:t>
      </w:r>
      <w:r w:rsidR="0099588D">
        <w:t xml:space="preserve"> public</w:t>
      </w:r>
      <w:r w:rsidR="0099588D" w:rsidRPr="00BD2D99">
        <w:t xml:space="preserve"> </w:t>
      </w:r>
      <w:r w:rsidR="0099588D" w:rsidRPr="008906D8">
        <w:t>submission</w:t>
      </w:r>
      <w:r w:rsidR="0099588D">
        <w:t xml:space="preserve"> received through public consultation on the interim decision.</w:t>
      </w:r>
    </w:p>
    <w:p w14:paraId="6475D2C9" w14:textId="4D09A4A9" w:rsidR="002B1E3C" w:rsidRDefault="003968FF" w:rsidP="00FB29FF">
      <w:r>
        <w:t>I have considered the public submission</w:t>
      </w:r>
      <w:r w:rsidR="00893F47">
        <w:t xml:space="preserve"> received</w:t>
      </w:r>
      <w:r>
        <w:t xml:space="preserve"> in opposition </w:t>
      </w:r>
      <w:r w:rsidR="00893F47">
        <w:t xml:space="preserve">of the interim decision. </w:t>
      </w:r>
      <w:r w:rsidR="00D24438">
        <w:t xml:space="preserve">The submission </w:t>
      </w:r>
      <w:r w:rsidR="00EA1FA3">
        <w:t>notes that allyl esters have more</w:t>
      </w:r>
      <w:r w:rsidR="00FC5EB2">
        <w:t xml:space="preserve"> in common with each other than with allyl alcohols, and </w:t>
      </w:r>
      <w:r w:rsidR="00975C02">
        <w:t xml:space="preserve">that the </w:t>
      </w:r>
      <w:r w:rsidR="00F51EA7">
        <w:t>Poisons (</w:t>
      </w:r>
      <w:r w:rsidR="00975C02">
        <w:t>Schedule 6</w:t>
      </w:r>
      <w:r w:rsidR="00F51EA7">
        <w:t>)</w:t>
      </w:r>
      <w:r w:rsidR="00975C02">
        <w:t xml:space="preserve"> entry should be amended to capture all</w:t>
      </w:r>
      <w:r w:rsidR="00FC5EB2">
        <w:t xml:space="preserve"> </w:t>
      </w:r>
      <w:r w:rsidR="00975C02">
        <w:t>allyl esters</w:t>
      </w:r>
      <w:r w:rsidR="00714096">
        <w:t>, including those currently listed in</w:t>
      </w:r>
      <w:r w:rsidR="00B42644">
        <w:t xml:space="preserve"> the Schedule 6 entry</w:t>
      </w:r>
      <w:r w:rsidR="00714096">
        <w:t>.</w:t>
      </w:r>
      <w:r w:rsidR="005E3602">
        <w:t xml:space="preserve"> </w:t>
      </w:r>
      <w:r w:rsidR="0073526D">
        <w:t xml:space="preserve">I acknowledge that </w:t>
      </w:r>
      <w:r w:rsidR="0091761B">
        <w:t xml:space="preserve">the current scheduling </w:t>
      </w:r>
      <w:r w:rsidR="00465859">
        <w:t xml:space="preserve">would </w:t>
      </w:r>
      <w:r w:rsidR="0091761B">
        <w:t xml:space="preserve">require provision of an </w:t>
      </w:r>
      <w:r w:rsidR="0073526D">
        <w:t xml:space="preserve">application for each allyl ester </w:t>
      </w:r>
      <w:r w:rsidR="000A0641">
        <w:t>to be included in Schedule 6</w:t>
      </w:r>
      <w:r w:rsidR="005D2A23">
        <w:t>, placing a</w:t>
      </w:r>
      <w:r w:rsidR="00465859">
        <w:t xml:space="preserve"> </w:t>
      </w:r>
      <w:r w:rsidR="005D2A23">
        <w:t xml:space="preserve">burden on industry. However, I </w:t>
      </w:r>
      <w:r w:rsidR="00013333">
        <w:t>remain of the view that</w:t>
      </w:r>
      <w:r w:rsidR="005E7A33">
        <w:t xml:space="preserve"> default</w:t>
      </w:r>
      <w:r w:rsidR="00013333">
        <w:t xml:space="preserve"> inclusion of allyl esters under the Schedule 7 entry for allyl alcohol </w:t>
      </w:r>
      <w:r w:rsidR="00F068D5">
        <w:t>is appropriate for two reasons. Firstly,</w:t>
      </w:r>
      <w:r w:rsidR="00013333">
        <w:t xml:space="preserve"> </w:t>
      </w:r>
      <w:r w:rsidR="00013333" w:rsidRPr="00013333">
        <w:t>allyl esters can form toxic metabolites, including</w:t>
      </w:r>
      <w:r w:rsidR="00F60FD1">
        <w:t xml:space="preserve"> through</w:t>
      </w:r>
      <w:r w:rsidR="00013333" w:rsidRPr="00013333">
        <w:t xml:space="preserve"> hydrolysis to allyl alcohol and subsequent metabolism of allyl alcohol to acrolein in the liver</w:t>
      </w:r>
      <w:r w:rsidR="00692EC8">
        <w:t>.</w:t>
      </w:r>
      <w:r w:rsidR="004F686B">
        <w:t xml:space="preserve"> </w:t>
      </w:r>
      <w:r w:rsidR="00514462">
        <w:t>Thus,</w:t>
      </w:r>
      <w:r w:rsidR="004F686B">
        <w:t xml:space="preserve"> </w:t>
      </w:r>
      <w:r w:rsidR="004F686B">
        <w:lastRenderedPageBreak/>
        <w:t xml:space="preserve">supporting inclusion </w:t>
      </w:r>
      <w:r w:rsidR="00311F38">
        <w:t>of allyl</w:t>
      </w:r>
      <w:r w:rsidR="00960851">
        <w:t xml:space="preserve"> esters under the group entry for allyl alcohol. </w:t>
      </w:r>
      <w:r w:rsidR="00D6426E">
        <w:t>Secondly,</w:t>
      </w:r>
      <w:r w:rsidR="00EA4E7D">
        <w:t xml:space="preserve"> each</w:t>
      </w:r>
      <w:r w:rsidR="00D6426E">
        <w:t xml:space="preserve"> </w:t>
      </w:r>
      <w:r w:rsidR="0033718E" w:rsidRPr="0033718E">
        <w:t>allyl ester exhibit</w:t>
      </w:r>
      <w:r w:rsidR="00EA4E7D">
        <w:t>s</w:t>
      </w:r>
      <w:r w:rsidR="0033718E" w:rsidRPr="0033718E">
        <w:t xml:space="preserve"> differences in toxicity</w:t>
      </w:r>
      <w:r w:rsidR="0033718E">
        <w:t xml:space="preserve">, as evidenced by the </w:t>
      </w:r>
      <w:r w:rsidR="00F51EA7">
        <w:t>4</w:t>
      </w:r>
      <w:r w:rsidR="00244276">
        <w:t xml:space="preserve"> allyl esters considered in this decision.</w:t>
      </w:r>
      <w:r w:rsidR="00EA4E7D">
        <w:t xml:space="preserve"> As n</w:t>
      </w:r>
      <w:r w:rsidR="00FE346A">
        <w:t xml:space="preserve">o new evidence has </w:t>
      </w:r>
      <w:r w:rsidR="00A35A47">
        <w:t xml:space="preserve">been </w:t>
      </w:r>
      <w:r w:rsidR="00FE346A">
        <w:t xml:space="preserve">provided to </w:t>
      </w:r>
      <w:r w:rsidR="00CA4CF1">
        <w:t>support</w:t>
      </w:r>
      <w:r w:rsidR="00EA4E7D">
        <w:t xml:space="preserve"> that</w:t>
      </w:r>
      <w:r w:rsidR="00311F38">
        <w:t xml:space="preserve"> broadly</w:t>
      </w:r>
      <w:r w:rsidR="002356D3">
        <w:t xml:space="preserve"> </w:t>
      </w:r>
      <w:r w:rsidR="009E2EC1">
        <w:t>allyl ester</w:t>
      </w:r>
      <w:r w:rsidR="00311F38">
        <w:t xml:space="preserve"> substances</w:t>
      </w:r>
      <w:r w:rsidR="00716EC5">
        <w:t xml:space="preserve"> </w:t>
      </w:r>
      <w:r w:rsidR="00E65766">
        <w:t>meet the SPF factors associated with Schedule 6</w:t>
      </w:r>
      <w:r w:rsidR="00EA4E7D">
        <w:t xml:space="preserve">, </w:t>
      </w:r>
      <w:r w:rsidR="00A60D7A">
        <w:t xml:space="preserve">I remain of the view that </w:t>
      </w:r>
      <w:r w:rsidR="00EB2148">
        <w:t xml:space="preserve">each </w:t>
      </w:r>
      <w:r w:rsidR="00A60D7A">
        <w:t xml:space="preserve">allyl ester </w:t>
      </w:r>
      <w:r w:rsidR="00E65766" w:rsidRPr="0033718E">
        <w:t>warrant</w:t>
      </w:r>
      <w:r w:rsidR="00EB2148">
        <w:t>s</w:t>
      </w:r>
      <w:r w:rsidR="00E65766" w:rsidRPr="0033718E">
        <w:t xml:space="preserve"> individual consideration</w:t>
      </w:r>
      <w:r w:rsidR="00E65766">
        <w:t xml:space="preserve"> </w:t>
      </w:r>
      <w:r w:rsidR="00A60D7A">
        <w:t>to support</w:t>
      </w:r>
      <w:r w:rsidR="00E65766">
        <w:t xml:space="preserve"> </w:t>
      </w:r>
      <w:r w:rsidR="00514462">
        <w:t>down scheduling</w:t>
      </w:r>
      <w:r w:rsidR="00E65766">
        <w:t xml:space="preserve"> from</w:t>
      </w:r>
      <w:r w:rsidR="00CB3CDD">
        <w:t xml:space="preserve"> </w:t>
      </w:r>
      <w:r w:rsidR="00E65766">
        <w:t>Schedule 7</w:t>
      </w:r>
      <w:r w:rsidR="00EB2148">
        <w:t>.</w:t>
      </w:r>
    </w:p>
    <w:p w14:paraId="443876CD" w14:textId="642617BD" w:rsidR="008A2E40" w:rsidRPr="00714096" w:rsidRDefault="008A2E40" w:rsidP="00FB29FF">
      <w:r w:rsidRPr="008A2E40">
        <w:t>I have decided on an implementation date of 1 February 2025 as the decision to down-schedule allyl phenoxyacetate and allyl (cyclohexyloxy)acetate, and maintain the current scheduling of allyl amyl glycolate and allyl (2-</w:t>
      </w:r>
      <w:proofErr w:type="gramStart"/>
      <w:r w:rsidRPr="008A2E40">
        <w:t>methylbutoxy)acetate</w:t>
      </w:r>
      <w:proofErr w:type="gramEnd"/>
      <w:r w:rsidRPr="008A2E40">
        <w:t>, should not adversely impact industry.</w:t>
      </w:r>
    </w:p>
    <w:p w14:paraId="17246840" w14:textId="77777777" w:rsidR="002B1E3C" w:rsidRPr="00BB34CD" w:rsidRDefault="002B1E3C" w:rsidP="00D2065C">
      <w:pPr>
        <w:pStyle w:val="Heading4"/>
      </w:pPr>
      <w:r w:rsidRPr="00BB34CD">
        <w:t xml:space="preserve">Implementation date </w:t>
      </w:r>
    </w:p>
    <w:p w14:paraId="6AC0230F" w14:textId="103DDB63" w:rsidR="002B1E3C" w:rsidRPr="004A213A" w:rsidRDefault="002B1E3C" w:rsidP="002B1E3C">
      <w:r>
        <w:t xml:space="preserve">1 </w:t>
      </w:r>
      <w:r w:rsidR="0099588D">
        <w:t>February 2025</w:t>
      </w:r>
    </w:p>
    <w:p w14:paraId="47CFA14B" w14:textId="3AB83FD5" w:rsidR="00C61C8F" w:rsidRDefault="00C61C8F" w:rsidP="00C61C8F">
      <w:pPr>
        <w:pStyle w:val="Heading3"/>
      </w:pPr>
      <w:bookmarkStart w:id="36" w:name="_Toc185508609"/>
      <w:bookmarkEnd w:id="35"/>
      <w:r>
        <w:t>Final decision in relation to glyoxylic acid</w:t>
      </w:r>
      <w:bookmarkEnd w:id="36"/>
    </w:p>
    <w:p w14:paraId="036B9896" w14:textId="77777777" w:rsidR="00C61C8F" w:rsidRPr="009A4603" w:rsidRDefault="00C61C8F" w:rsidP="00C61C8F">
      <w:pPr>
        <w:pStyle w:val="Heading4"/>
      </w:pPr>
      <w:r w:rsidRPr="009A4603">
        <w:t>Proposal</w:t>
      </w:r>
    </w:p>
    <w:p w14:paraId="51C959E7" w14:textId="690A73E3" w:rsidR="00C61C8F" w:rsidRDefault="00ED649A" w:rsidP="00C61C8F">
      <w:r w:rsidRPr="00B03B68">
        <w:t xml:space="preserve">The </w:t>
      </w:r>
      <w:r>
        <w:t>Delegate</w:t>
      </w:r>
      <w:r w:rsidRPr="00B03B68">
        <w:t xml:space="preserve"> proposed</w:t>
      </w:r>
      <w:r>
        <w:t xml:space="preserve"> the creation of a </w:t>
      </w:r>
      <w:r w:rsidR="00F51EA7">
        <w:t>Poisons (</w:t>
      </w:r>
      <w:r>
        <w:t>Schedule 6</w:t>
      </w:r>
      <w:r w:rsidR="00F51EA7">
        <w:t>)</w:t>
      </w:r>
      <w:r>
        <w:t xml:space="preserve"> entry </w:t>
      </w:r>
      <w:r w:rsidRPr="00B03B68">
        <w:t>for</w:t>
      </w:r>
      <w:r>
        <w:t xml:space="preserve"> glyoxylic acid. The proposal was initiated </w:t>
      </w:r>
      <w:r w:rsidRPr="0047573F">
        <w:t>following a recommendation by the Australian Industrial Chemicals Introduction</w:t>
      </w:r>
      <w:r>
        <w:t xml:space="preserve"> </w:t>
      </w:r>
      <w:r w:rsidRPr="0047573F">
        <w:t>Scheme</w:t>
      </w:r>
      <w:r>
        <w:t xml:space="preserve"> (AICIS)</w:t>
      </w:r>
      <w:r w:rsidRPr="0047573F">
        <w:t xml:space="preserve"> in their </w:t>
      </w:r>
      <w:hyperlink r:id="rId23" w:history="1">
        <w:r>
          <w:rPr>
            <w:rStyle w:val="Hyperlink"/>
            <w:rFonts w:cs="Arial"/>
          </w:rPr>
          <w:t>evaluation</w:t>
        </w:r>
        <w:r w:rsidRPr="002204E1">
          <w:rPr>
            <w:rStyle w:val="Hyperlink"/>
            <w:rFonts w:cs="Arial"/>
          </w:rPr>
          <w:t xml:space="preserve"> of glyoxylic acid</w:t>
        </w:r>
      </w:hyperlink>
      <w:r>
        <w:rPr>
          <w:rFonts w:cs="Arial"/>
          <w:color w:val="0000FF"/>
        </w:rPr>
        <w:t xml:space="preserve"> </w:t>
      </w:r>
      <w:r w:rsidRPr="0047573F">
        <w:t xml:space="preserve">published in </w:t>
      </w:r>
      <w:r>
        <w:t>December</w:t>
      </w:r>
      <w:r w:rsidRPr="0047573F">
        <w:t xml:space="preserve"> 20</w:t>
      </w:r>
      <w:r>
        <w:t xml:space="preserve">22. The recommendation proposed </w:t>
      </w:r>
      <w:r w:rsidRPr="003F6A53">
        <w:t xml:space="preserve">to create a new Schedule 6 entry in the Poisons Standard, </w:t>
      </w:r>
      <w:proofErr w:type="gramStart"/>
      <w:r w:rsidRPr="003F6A53">
        <w:t>similar to</w:t>
      </w:r>
      <w:proofErr w:type="gramEnd"/>
      <w:r w:rsidRPr="003F6A53">
        <w:t xml:space="preserve"> the entry for glycolic acid, except for cosmetic preparations containing over 12% glyoxylic acid and when featuring warning labels.</w:t>
      </w:r>
      <w:r>
        <w:t xml:space="preserve"> This substance is not</w:t>
      </w:r>
      <w:r w:rsidRPr="00B03B68">
        <w:t xml:space="preserve"> currently captured in</w:t>
      </w:r>
      <w:r>
        <w:t xml:space="preserve"> </w:t>
      </w:r>
      <w:r w:rsidRPr="00B03B68">
        <w:t>the Poisons Standard</w:t>
      </w:r>
      <w:r>
        <w:t>.</w:t>
      </w:r>
    </w:p>
    <w:p w14:paraId="348AE197" w14:textId="77777777" w:rsidR="00C61C8F" w:rsidRPr="009A4603" w:rsidRDefault="00C61C8F" w:rsidP="00C61C8F">
      <w:pPr>
        <w:pStyle w:val="Heading4"/>
      </w:pPr>
      <w:r w:rsidRPr="009A4603">
        <w:t>Final decision</w:t>
      </w:r>
    </w:p>
    <w:p w14:paraId="4661B2B8" w14:textId="77777777" w:rsidR="00CC22DE" w:rsidRPr="00B03B68" w:rsidRDefault="00C61C8F" w:rsidP="00CC22DE">
      <w:r>
        <w:t xml:space="preserve">Pursuant to regulation 42ZCZR of the Regulations, the Delegate has made a final </w:t>
      </w:r>
      <w:r w:rsidRPr="00A66082">
        <w:t xml:space="preserve">decision to confirm the interim decision and </w:t>
      </w:r>
      <w:r>
        <w:t xml:space="preserve">to amend the </w:t>
      </w:r>
      <w:r w:rsidRPr="00ED798C">
        <w:t xml:space="preserve">current Poisons Standard in </w:t>
      </w:r>
      <w:r w:rsidR="00CC22DE" w:rsidRPr="00497AFE">
        <w:t>relation to glyoxylic acid as follows:</w:t>
      </w:r>
      <w:r w:rsidR="00CC22DE">
        <w:rPr>
          <w:rStyle w:val="FootnoteReference"/>
        </w:rPr>
        <w:footnoteReference w:id="5"/>
      </w:r>
    </w:p>
    <w:p w14:paraId="2D121603" w14:textId="77777777" w:rsidR="00CC22DE" w:rsidRPr="00B94C08" w:rsidRDefault="00CC22DE" w:rsidP="00CC22DE">
      <w:pPr>
        <w:ind w:left="425"/>
        <w:rPr>
          <w:b/>
          <w:bCs/>
        </w:rPr>
      </w:pPr>
      <w:r w:rsidRPr="00B94C08">
        <w:rPr>
          <w:b/>
          <w:bCs/>
        </w:rPr>
        <w:t>Schedule</w:t>
      </w:r>
      <w:r>
        <w:rPr>
          <w:b/>
          <w:bCs/>
        </w:rPr>
        <w:t xml:space="preserve"> 6</w:t>
      </w:r>
      <w:r w:rsidRPr="00B94C08">
        <w:rPr>
          <w:b/>
          <w:bCs/>
        </w:rPr>
        <w:t xml:space="preserve"> – New Entry</w:t>
      </w:r>
    </w:p>
    <w:p w14:paraId="29E32A69" w14:textId="77777777" w:rsidR="00CC22DE" w:rsidRPr="00417551" w:rsidRDefault="00CC22DE" w:rsidP="00CC22DE">
      <w:pPr>
        <w:spacing w:line="257" w:lineRule="auto"/>
        <w:ind w:left="720"/>
        <w:rPr>
          <w:rFonts w:cs="Cambria"/>
          <w:color w:val="000000"/>
          <w:u w:val="single"/>
        </w:rPr>
      </w:pPr>
      <w:r w:rsidRPr="00417551">
        <w:rPr>
          <w:rFonts w:eastAsia="Arial" w:cs="Arial"/>
          <w:color w:val="00B050"/>
          <w:u w:val="single"/>
        </w:rPr>
        <w:t>GLYOXYLIC ACID (including its salts and esters) in cosmetic products.</w:t>
      </w:r>
    </w:p>
    <w:p w14:paraId="0ADED644" w14:textId="77777777" w:rsidR="00CC22DE" w:rsidRDefault="00CC22DE" w:rsidP="00CC22DE">
      <w:pPr>
        <w:ind w:left="425"/>
        <w:rPr>
          <w:b/>
          <w:bCs/>
        </w:rPr>
      </w:pPr>
      <w:r w:rsidRPr="00FB1CCE">
        <w:rPr>
          <w:b/>
          <w:bCs/>
        </w:rPr>
        <w:t>Appendix E, clause 3 (First aid instructions for poisons) – New Entry</w:t>
      </w:r>
    </w:p>
    <w:tbl>
      <w:tblPr>
        <w:tblStyle w:val="TableGrid"/>
        <w:tblW w:w="0" w:type="auto"/>
        <w:tblInd w:w="420" w:type="dxa"/>
        <w:tblLayout w:type="fixed"/>
        <w:tblLook w:val="04A0" w:firstRow="1" w:lastRow="0" w:firstColumn="1" w:lastColumn="0" w:noHBand="0" w:noVBand="1"/>
      </w:tblPr>
      <w:tblGrid>
        <w:gridCol w:w="971"/>
        <w:gridCol w:w="2036"/>
        <w:gridCol w:w="5831"/>
      </w:tblGrid>
      <w:tr w:rsidR="00CC22DE" w14:paraId="2E35ADF2" w14:textId="77777777" w:rsidTr="0012456E">
        <w:trPr>
          <w:trHeight w:val="300"/>
        </w:trPr>
        <w:tc>
          <w:tcPr>
            <w:tcW w:w="971" w:type="dxa"/>
            <w:tcBorders>
              <w:top w:val="single" w:sz="8" w:space="0" w:color="44546A" w:themeColor="text2"/>
              <w:left w:val="single" w:sz="8" w:space="0" w:color="44546A" w:themeColor="text2"/>
              <w:bottom w:val="single" w:sz="8" w:space="0" w:color="44546A" w:themeColor="text2"/>
              <w:right w:val="nil"/>
            </w:tcBorders>
            <w:shd w:val="clear" w:color="auto" w:fill="006DA7"/>
            <w:tcMar>
              <w:left w:w="108" w:type="dxa"/>
              <w:right w:w="108" w:type="dxa"/>
            </w:tcMar>
          </w:tcPr>
          <w:p w14:paraId="21CE9332" w14:textId="77777777" w:rsidR="00CC22DE" w:rsidRDefault="00CC22DE" w:rsidP="0012456E">
            <w:pPr>
              <w:spacing w:before="60" w:after="60"/>
            </w:pPr>
            <w:r w:rsidRPr="43BBABB6">
              <w:rPr>
                <w:rFonts w:cs="Cambria"/>
                <w:b/>
                <w:bCs/>
                <w:color w:val="E7E6E6" w:themeColor="background2"/>
              </w:rPr>
              <w:t>Item</w:t>
            </w:r>
          </w:p>
        </w:tc>
        <w:tc>
          <w:tcPr>
            <w:tcW w:w="2036"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0CF1AA40" w14:textId="77777777" w:rsidR="00CC22DE" w:rsidRDefault="00CC22DE" w:rsidP="0012456E">
            <w:pPr>
              <w:spacing w:before="60" w:after="60"/>
            </w:pPr>
            <w:r w:rsidRPr="43BBABB6">
              <w:rPr>
                <w:rFonts w:cs="Cambria"/>
                <w:b/>
                <w:bCs/>
                <w:color w:val="E7E6E6" w:themeColor="background2"/>
              </w:rPr>
              <w:t>Poison</w:t>
            </w:r>
          </w:p>
        </w:tc>
        <w:tc>
          <w:tcPr>
            <w:tcW w:w="5831" w:type="dxa"/>
            <w:tcBorders>
              <w:top w:val="single" w:sz="8" w:space="0" w:color="44546A" w:themeColor="text2"/>
              <w:left w:val="nil"/>
              <w:bottom w:val="single" w:sz="8" w:space="0" w:color="44546A" w:themeColor="text2"/>
              <w:right w:val="single" w:sz="8" w:space="0" w:color="44546A" w:themeColor="text2"/>
            </w:tcBorders>
            <w:shd w:val="clear" w:color="auto" w:fill="006DA7"/>
            <w:tcMar>
              <w:left w:w="108" w:type="dxa"/>
              <w:right w:w="108" w:type="dxa"/>
            </w:tcMar>
          </w:tcPr>
          <w:p w14:paraId="2E1D1EDC" w14:textId="77777777" w:rsidR="00CC22DE" w:rsidRDefault="00CC22DE" w:rsidP="0012456E">
            <w:pPr>
              <w:spacing w:before="60" w:after="60"/>
            </w:pPr>
            <w:r w:rsidRPr="43BBABB6">
              <w:rPr>
                <w:rFonts w:cs="Cambria"/>
                <w:b/>
                <w:bCs/>
                <w:color w:val="E7E6E6" w:themeColor="background2"/>
              </w:rPr>
              <w:t>Statement code (and statement)</w:t>
            </w:r>
          </w:p>
        </w:tc>
      </w:tr>
      <w:tr w:rsidR="00CC22DE" w14:paraId="3511160E" w14:textId="77777777" w:rsidTr="0012456E">
        <w:trPr>
          <w:trHeight w:val="300"/>
        </w:trPr>
        <w:tc>
          <w:tcPr>
            <w:tcW w:w="97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5C5EF674" w14:textId="77777777" w:rsidR="00CC22DE" w:rsidRDefault="00CC22DE" w:rsidP="0012456E">
            <w:pPr>
              <w:spacing w:before="60" w:after="60"/>
            </w:pPr>
            <w:r w:rsidRPr="43BBABB6">
              <w:rPr>
                <w:rFonts w:cs="Cambria"/>
                <w:color w:val="00B050"/>
                <w:sz w:val="20"/>
                <w:szCs w:val="20"/>
                <w:u w:val="single"/>
              </w:rPr>
              <w:t>138a</w:t>
            </w:r>
          </w:p>
        </w:tc>
        <w:tc>
          <w:tcPr>
            <w:tcW w:w="2036"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42219C4D" w14:textId="77777777" w:rsidR="00CC22DE" w:rsidRDefault="00CC22DE" w:rsidP="0012456E">
            <w:pPr>
              <w:spacing w:before="60" w:after="60"/>
            </w:pPr>
            <w:r w:rsidRPr="43BBABB6">
              <w:rPr>
                <w:rFonts w:cs="Cambria"/>
                <w:color w:val="00B050"/>
                <w:sz w:val="20"/>
                <w:szCs w:val="20"/>
                <w:u w:val="single"/>
              </w:rPr>
              <w:t>GLYOXYLIC ACID</w:t>
            </w:r>
          </w:p>
        </w:tc>
        <w:tc>
          <w:tcPr>
            <w:tcW w:w="583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1E761FD9" w14:textId="77777777" w:rsidR="00CC22DE" w:rsidRDefault="00CC22DE" w:rsidP="0012456E">
            <w:pPr>
              <w:spacing w:before="60" w:after="60"/>
            </w:pPr>
            <w:r w:rsidRPr="43BBABB6">
              <w:rPr>
                <w:rFonts w:cs="Cambria"/>
                <w:color w:val="00B050"/>
                <w:sz w:val="20"/>
                <w:szCs w:val="20"/>
                <w:u w:val="single"/>
              </w:rPr>
              <w:t>A</w:t>
            </w:r>
            <w:r w:rsidRPr="43BBABB6">
              <w:rPr>
                <w:rFonts w:cs="Cambria"/>
                <w:b/>
                <w:bCs/>
                <w:sz w:val="20"/>
                <w:szCs w:val="20"/>
              </w:rPr>
              <w:t xml:space="preserve"> </w:t>
            </w:r>
            <w:r w:rsidRPr="43BBABB6">
              <w:rPr>
                <w:rFonts w:cs="Cambria"/>
                <w:sz w:val="20"/>
                <w:szCs w:val="20"/>
              </w:rPr>
              <w:t>(For advice, contact a Poisons Information Centre (e.g. phone Australia 13 11 26; New Zealand 0800 764 766) or a doctor (at once).)</w:t>
            </w:r>
          </w:p>
          <w:p w14:paraId="34B0948F" w14:textId="77777777" w:rsidR="00CC22DE" w:rsidRDefault="00CC22DE" w:rsidP="0012456E">
            <w:pPr>
              <w:spacing w:before="60" w:after="60"/>
            </w:pPr>
            <w:r w:rsidRPr="43BBABB6">
              <w:rPr>
                <w:rFonts w:cs="Cambria"/>
                <w:color w:val="00B050"/>
                <w:sz w:val="20"/>
                <w:szCs w:val="20"/>
                <w:u w:val="single"/>
              </w:rPr>
              <w:t>G3</w:t>
            </w:r>
            <w:r w:rsidRPr="43BBABB6">
              <w:rPr>
                <w:rFonts w:cs="Cambria"/>
                <w:b/>
                <w:bCs/>
                <w:sz w:val="20"/>
                <w:szCs w:val="20"/>
              </w:rPr>
              <w:t xml:space="preserve"> </w:t>
            </w:r>
            <w:r w:rsidRPr="43BBABB6">
              <w:rPr>
                <w:rFonts w:cs="Cambria"/>
                <w:sz w:val="20"/>
                <w:szCs w:val="20"/>
              </w:rPr>
              <w:t>(If swallowed, do NOT induce vomiting.)</w:t>
            </w:r>
          </w:p>
          <w:p w14:paraId="75400BC9" w14:textId="77777777" w:rsidR="00CC22DE" w:rsidRDefault="00CC22DE" w:rsidP="0012456E">
            <w:pPr>
              <w:spacing w:before="60" w:after="60"/>
            </w:pPr>
            <w:r w:rsidRPr="43BBABB6">
              <w:rPr>
                <w:rFonts w:cs="Cambria"/>
                <w:color w:val="00B050"/>
                <w:sz w:val="20"/>
                <w:szCs w:val="20"/>
                <w:u w:val="single"/>
              </w:rPr>
              <w:t>E2</w:t>
            </w:r>
            <w:r w:rsidRPr="43BBABB6">
              <w:rPr>
                <w:rFonts w:cs="Cambria"/>
                <w:b/>
                <w:bCs/>
                <w:sz w:val="20"/>
                <w:szCs w:val="20"/>
              </w:rPr>
              <w:t xml:space="preserve"> </w:t>
            </w:r>
            <w:r w:rsidRPr="43BBABB6">
              <w:rPr>
                <w:rFonts w:cs="Cambria"/>
                <w:sz w:val="20"/>
                <w:szCs w:val="20"/>
              </w:rPr>
              <w:t>(If in eyes, hold eyelids apart and flush the eye continuously with running water. Continue flushing until advised to stop by a Poisons Information Centre (e.g. phone Australia 13 11 26; New Zealand 0800 764 766) or a doctor, or for at least 15 minutes.)</w:t>
            </w:r>
          </w:p>
        </w:tc>
      </w:tr>
    </w:tbl>
    <w:p w14:paraId="6B87F09F" w14:textId="77777777" w:rsidR="00CC22DE" w:rsidRDefault="00CC22DE" w:rsidP="00CC22DE">
      <w:pPr>
        <w:ind w:firstLine="284"/>
        <w:rPr>
          <w:b/>
          <w:bCs/>
        </w:rPr>
      </w:pPr>
    </w:p>
    <w:p w14:paraId="59270649" w14:textId="77777777" w:rsidR="00CC22DE" w:rsidRDefault="00CC22DE" w:rsidP="00CC22DE">
      <w:pPr>
        <w:ind w:left="425"/>
        <w:rPr>
          <w:b/>
          <w:bCs/>
        </w:rPr>
      </w:pPr>
      <w:r w:rsidRPr="00A21F95">
        <w:rPr>
          <w:b/>
          <w:bCs/>
        </w:rPr>
        <w:lastRenderedPageBreak/>
        <w:t>Appendix F, clause 4 (Poisons that must be labelled with warning statements and safety</w:t>
      </w:r>
      <w:r>
        <w:rPr>
          <w:b/>
          <w:bCs/>
        </w:rPr>
        <w:t xml:space="preserve"> </w:t>
      </w:r>
      <w:r w:rsidRPr="00A21F95">
        <w:rPr>
          <w:b/>
          <w:bCs/>
        </w:rPr>
        <w:t>directions) – New Entry</w:t>
      </w:r>
    </w:p>
    <w:tbl>
      <w:tblPr>
        <w:tblStyle w:val="TableGrid"/>
        <w:tblW w:w="0" w:type="auto"/>
        <w:tblInd w:w="420" w:type="dxa"/>
        <w:tblLayout w:type="fixed"/>
        <w:tblLook w:val="04A0" w:firstRow="1" w:lastRow="0" w:firstColumn="1" w:lastColumn="0" w:noHBand="0" w:noVBand="1"/>
      </w:tblPr>
      <w:tblGrid>
        <w:gridCol w:w="955"/>
        <w:gridCol w:w="1971"/>
        <w:gridCol w:w="2821"/>
        <w:gridCol w:w="3162"/>
      </w:tblGrid>
      <w:tr w:rsidR="00CC22DE" w14:paraId="47E9CD83" w14:textId="77777777" w:rsidTr="0012456E">
        <w:trPr>
          <w:trHeight w:val="300"/>
        </w:trPr>
        <w:tc>
          <w:tcPr>
            <w:tcW w:w="955" w:type="dxa"/>
            <w:tcBorders>
              <w:top w:val="single" w:sz="8" w:space="0" w:color="44546A" w:themeColor="text2"/>
              <w:left w:val="single" w:sz="8" w:space="0" w:color="44546A" w:themeColor="text2"/>
              <w:bottom w:val="single" w:sz="8" w:space="0" w:color="44546A" w:themeColor="text2"/>
              <w:right w:val="nil"/>
            </w:tcBorders>
            <w:shd w:val="clear" w:color="auto" w:fill="006DA7"/>
            <w:tcMar>
              <w:left w:w="108" w:type="dxa"/>
              <w:right w:w="108" w:type="dxa"/>
            </w:tcMar>
          </w:tcPr>
          <w:p w14:paraId="4929088B" w14:textId="77777777" w:rsidR="00CC22DE" w:rsidRDefault="00CC22DE" w:rsidP="0012456E">
            <w:pPr>
              <w:spacing w:before="60" w:after="60"/>
            </w:pPr>
            <w:r w:rsidRPr="43BBABB6">
              <w:rPr>
                <w:rFonts w:cs="Cambria"/>
                <w:b/>
                <w:bCs/>
                <w:color w:val="E7E6E6" w:themeColor="background2"/>
              </w:rPr>
              <w:t>Item</w:t>
            </w:r>
          </w:p>
        </w:tc>
        <w:tc>
          <w:tcPr>
            <w:tcW w:w="1971"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46399729" w14:textId="77777777" w:rsidR="00CC22DE" w:rsidRDefault="00CC22DE" w:rsidP="0012456E">
            <w:pPr>
              <w:spacing w:before="60" w:after="60"/>
            </w:pPr>
            <w:r w:rsidRPr="43BBABB6">
              <w:rPr>
                <w:rFonts w:cs="Cambria"/>
                <w:b/>
                <w:bCs/>
                <w:color w:val="E7E6E6" w:themeColor="background2"/>
              </w:rPr>
              <w:t>Poison</w:t>
            </w:r>
          </w:p>
        </w:tc>
        <w:tc>
          <w:tcPr>
            <w:tcW w:w="2821"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2A68D17E" w14:textId="77777777" w:rsidR="00CC22DE" w:rsidRDefault="00CC22DE" w:rsidP="0012456E">
            <w:pPr>
              <w:spacing w:before="60" w:after="60"/>
            </w:pPr>
            <w:r w:rsidRPr="43BBABB6">
              <w:rPr>
                <w:rFonts w:cs="Cambria"/>
                <w:b/>
                <w:bCs/>
                <w:color w:val="E7E6E6" w:themeColor="background2"/>
              </w:rPr>
              <w:t>Warning statement item number (and statement)</w:t>
            </w:r>
          </w:p>
        </w:tc>
        <w:tc>
          <w:tcPr>
            <w:tcW w:w="3162" w:type="dxa"/>
            <w:tcBorders>
              <w:top w:val="single" w:sz="8" w:space="0" w:color="44546A" w:themeColor="text2"/>
              <w:left w:val="nil"/>
              <w:bottom w:val="single" w:sz="8" w:space="0" w:color="44546A" w:themeColor="text2"/>
              <w:right w:val="single" w:sz="8" w:space="0" w:color="44546A" w:themeColor="text2"/>
            </w:tcBorders>
            <w:shd w:val="clear" w:color="auto" w:fill="006DA7"/>
            <w:tcMar>
              <w:left w:w="108" w:type="dxa"/>
              <w:right w:w="108" w:type="dxa"/>
            </w:tcMar>
          </w:tcPr>
          <w:p w14:paraId="1239A133" w14:textId="77777777" w:rsidR="00CC22DE" w:rsidRDefault="00CC22DE" w:rsidP="0012456E">
            <w:pPr>
              <w:spacing w:before="60" w:after="60"/>
            </w:pPr>
            <w:r w:rsidRPr="43BBABB6">
              <w:rPr>
                <w:rFonts w:cs="Cambria"/>
                <w:b/>
                <w:bCs/>
                <w:color w:val="E7E6E6" w:themeColor="background2"/>
              </w:rPr>
              <w:t>Safety direction item number (and statement)</w:t>
            </w:r>
          </w:p>
        </w:tc>
      </w:tr>
      <w:tr w:rsidR="00CC22DE" w14:paraId="7FD9AF90" w14:textId="77777777" w:rsidTr="0012456E">
        <w:trPr>
          <w:trHeight w:val="300"/>
        </w:trPr>
        <w:tc>
          <w:tcPr>
            <w:tcW w:w="955"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6F7DE5F7" w14:textId="77777777" w:rsidR="00CC22DE" w:rsidRDefault="00CC22DE" w:rsidP="0012456E">
            <w:pPr>
              <w:spacing w:before="60" w:after="60"/>
            </w:pPr>
            <w:r w:rsidRPr="43BBABB6">
              <w:rPr>
                <w:rFonts w:cs="Cambria"/>
                <w:color w:val="00B050"/>
                <w:sz w:val="20"/>
                <w:szCs w:val="20"/>
                <w:u w:val="single"/>
              </w:rPr>
              <w:t>160a</w:t>
            </w:r>
          </w:p>
        </w:tc>
        <w:tc>
          <w:tcPr>
            <w:tcW w:w="197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4BEC2A98" w14:textId="77777777" w:rsidR="00CC22DE" w:rsidRDefault="00CC22DE" w:rsidP="0012456E">
            <w:pPr>
              <w:spacing w:before="60" w:after="60"/>
            </w:pPr>
            <w:r w:rsidRPr="43BBABB6">
              <w:rPr>
                <w:rFonts w:cs="Cambria"/>
                <w:color w:val="00B050"/>
                <w:sz w:val="20"/>
                <w:szCs w:val="20"/>
                <w:u w:val="single"/>
              </w:rPr>
              <w:t>GLYOXYLIC ACID</w:t>
            </w:r>
          </w:p>
        </w:tc>
        <w:tc>
          <w:tcPr>
            <w:tcW w:w="282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3E2AD86B" w14:textId="77777777" w:rsidR="00CC22DE" w:rsidRDefault="00CC22DE" w:rsidP="0012456E">
            <w:pPr>
              <w:spacing w:before="60" w:after="60"/>
            </w:pPr>
            <w:r w:rsidRPr="43BBABB6">
              <w:rPr>
                <w:rFonts w:cs="Cambria"/>
                <w:color w:val="00B050"/>
                <w:sz w:val="20"/>
                <w:szCs w:val="20"/>
                <w:u w:val="single"/>
              </w:rPr>
              <w:t>79</w:t>
            </w:r>
            <w:r w:rsidRPr="43BBABB6">
              <w:rPr>
                <w:rFonts w:cs="Cambria"/>
                <w:b/>
                <w:bCs/>
                <w:sz w:val="20"/>
                <w:szCs w:val="20"/>
              </w:rPr>
              <w:t xml:space="preserve"> </w:t>
            </w:r>
            <w:r w:rsidRPr="43BBABB6">
              <w:rPr>
                <w:rFonts w:cs="Cambria"/>
                <w:sz w:val="20"/>
                <w:szCs w:val="20"/>
              </w:rPr>
              <w:t>(Will irritate eyes)</w:t>
            </w:r>
          </w:p>
        </w:tc>
        <w:tc>
          <w:tcPr>
            <w:tcW w:w="3162"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0CBD5A7D" w14:textId="77777777" w:rsidR="00CC22DE" w:rsidRDefault="00CC22DE" w:rsidP="0012456E">
            <w:pPr>
              <w:spacing w:before="60" w:after="60"/>
            </w:pPr>
            <w:r w:rsidRPr="43BBABB6">
              <w:rPr>
                <w:rFonts w:cs="Cambria"/>
                <w:color w:val="00B050"/>
                <w:sz w:val="20"/>
                <w:szCs w:val="20"/>
                <w:u w:val="single"/>
              </w:rPr>
              <w:t>1</w:t>
            </w:r>
            <w:r w:rsidRPr="43BBABB6">
              <w:rPr>
                <w:rFonts w:cs="Cambria"/>
                <w:color w:val="00B050"/>
                <w:sz w:val="20"/>
                <w:szCs w:val="20"/>
              </w:rPr>
              <w:t xml:space="preserve"> </w:t>
            </w:r>
            <w:r w:rsidRPr="43BBABB6">
              <w:rPr>
                <w:rFonts w:cs="Cambria"/>
                <w:sz w:val="20"/>
                <w:szCs w:val="20"/>
              </w:rPr>
              <w:t>(Avoid contact with eyes)</w:t>
            </w:r>
          </w:p>
          <w:p w14:paraId="57452A2D" w14:textId="77777777" w:rsidR="00CC22DE" w:rsidRDefault="00CC22DE" w:rsidP="0012456E">
            <w:pPr>
              <w:spacing w:before="60" w:after="60"/>
            </w:pPr>
            <w:r w:rsidRPr="43BBABB6">
              <w:rPr>
                <w:rFonts w:cs="Cambria"/>
                <w:color w:val="00B050"/>
                <w:sz w:val="20"/>
                <w:szCs w:val="20"/>
                <w:u w:val="single"/>
              </w:rPr>
              <w:t>5</w:t>
            </w:r>
            <w:r w:rsidRPr="43BBABB6">
              <w:rPr>
                <w:rFonts w:cs="Cambria"/>
                <w:color w:val="00B050"/>
                <w:sz w:val="20"/>
                <w:szCs w:val="20"/>
              </w:rPr>
              <w:t xml:space="preserve"> </w:t>
            </w:r>
            <w:r w:rsidRPr="43BBABB6">
              <w:rPr>
                <w:rFonts w:cs="Cambria"/>
                <w:sz w:val="20"/>
                <w:szCs w:val="20"/>
              </w:rPr>
              <w:t>(Wear protective gloves when mixing or using)</w:t>
            </w:r>
          </w:p>
          <w:p w14:paraId="136FE61A" w14:textId="77777777" w:rsidR="00CC22DE" w:rsidRDefault="00CC22DE" w:rsidP="0012456E">
            <w:pPr>
              <w:spacing w:before="60" w:after="60"/>
              <w:rPr>
                <w:rFonts w:cs="Cambria"/>
                <w:sz w:val="20"/>
                <w:szCs w:val="20"/>
              </w:rPr>
            </w:pPr>
            <w:r w:rsidRPr="43BBABB6">
              <w:rPr>
                <w:rFonts w:cs="Cambria"/>
                <w:color w:val="00B050"/>
                <w:sz w:val="20"/>
                <w:szCs w:val="20"/>
                <w:u w:val="single"/>
              </w:rPr>
              <w:t>6</w:t>
            </w:r>
            <w:r w:rsidRPr="43BBABB6">
              <w:rPr>
                <w:rFonts w:cs="Cambria"/>
                <w:color w:val="00B050"/>
                <w:sz w:val="20"/>
                <w:szCs w:val="20"/>
              </w:rPr>
              <w:t xml:space="preserve"> </w:t>
            </w:r>
            <w:r w:rsidRPr="43BBABB6">
              <w:rPr>
                <w:rFonts w:cs="Cambria"/>
                <w:sz w:val="20"/>
                <w:szCs w:val="20"/>
              </w:rPr>
              <w:t>(Wash hands after use)</w:t>
            </w:r>
          </w:p>
          <w:p w14:paraId="40783EF0" w14:textId="3F83C19B" w:rsidR="00015497" w:rsidRDefault="00015497" w:rsidP="0012456E">
            <w:pPr>
              <w:spacing w:before="60" w:after="60"/>
            </w:pPr>
            <w:r w:rsidRPr="43BBABB6">
              <w:rPr>
                <w:rFonts w:cs="Cambria"/>
                <w:color w:val="00B050"/>
                <w:sz w:val="20"/>
                <w:szCs w:val="20"/>
                <w:u w:val="single"/>
              </w:rPr>
              <w:t>10</w:t>
            </w:r>
            <w:r w:rsidRPr="43BBABB6">
              <w:rPr>
                <w:rFonts w:cs="Cambria"/>
                <w:color w:val="00B050"/>
                <w:sz w:val="20"/>
                <w:szCs w:val="20"/>
              </w:rPr>
              <w:t xml:space="preserve"> </w:t>
            </w:r>
            <w:r w:rsidRPr="43BBABB6">
              <w:rPr>
                <w:rFonts w:cs="Cambria"/>
                <w:sz w:val="20"/>
                <w:szCs w:val="20"/>
              </w:rPr>
              <w:t>(Ensure adequate ventilation when using.)</w:t>
            </w:r>
          </w:p>
          <w:p w14:paraId="46DB408C" w14:textId="77777777" w:rsidR="00CC22DE" w:rsidRDefault="00CC22DE" w:rsidP="0012456E">
            <w:pPr>
              <w:spacing w:before="60" w:after="60"/>
            </w:pPr>
            <w:r w:rsidRPr="43BBABB6">
              <w:rPr>
                <w:rFonts w:cs="Cambria"/>
                <w:color w:val="00B050"/>
                <w:sz w:val="20"/>
                <w:szCs w:val="20"/>
                <w:u w:val="single"/>
              </w:rPr>
              <w:t>31</w:t>
            </w:r>
            <w:r w:rsidRPr="43BBABB6">
              <w:rPr>
                <w:rFonts w:cs="Cambria"/>
                <w:color w:val="00B050"/>
                <w:sz w:val="20"/>
                <w:szCs w:val="20"/>
              </w:rPr>
              <w:t xml:space="preserve"> </w:t>
            </w:r>
            <w:r w:rsidRPr="43BBABB6">
              <w:rPr>
                <w:rFonts w:cs="Cambria"/>
                <w:sz w:val="20"/>
                <w:szCs w:val="20"/>
              </w:rPr>
              <w:t>(Do not use on broken skin)</w:t>
            </w:r>
          </w:p>
          <w:p w14:paraId="7447C190" w14:textId="5F578256" w:rsidR="00CC22DE" w:rsidRDefault="00CC22DE" w:rsidP="0012456E">
            <w:pPr>
              <w:spacing w:before="60" w:after="60"/>
            </w:pPr>
            <w:r w:rsidRPr="43BBABB6">
              <w:rPr>
                <w:rFonts w:cs="Cambria"/>
                <w:sz w:val="20"/>
                <w:szCs w:val="20"/>
              </w:rPr>
              <w:t xml:space="preserve"> </w:t>
            </w:r>
          </w:p>
        </w:tc>
      </w:tr>
    </w:tbl>
    <w:p w14:paraId="5D312A10" w14:textId="77777777" w:rsidR="00CC22DE" w:rsidRDefault="00CC22DE" w:rsidP="00CC22DE">
      <w:pPr>
        <w:ind w:left="284"/>
        <w:rPr>
          <w:b/>
          <w:bCs/>
        </w:rPr>
      </w:pPr>
    </w:p>
    <w:p w14:paraId="4227804E" w14:textId="77777777" w:rsidR="00CC22DE" w:rsidRDefault="00CC22DE" w:rsidP="00CC22DE">
      <w:pPr>
        <w:ind w:left="425"/>
        <w:rPr>
          <w:b/>
          <w:bCs/>
        </w:rPr>
      </w:pPr>
      <w:r>
        <w:rPr>
          <w:b/>
          <w:bCs/>
        </w:rPr>
        <w:t>Index – New entry</w:t>
      </w:r>
    </w:p>
    <w:p w14:paraId="0071F7AC" w14:textId="77777777" w:rsidR="00CC22DE" w:rsidRDefault="00CC22DE" w:rsidP="00CC22DE">
      <w:pPr>
        <w:spacing w:line="257" w:lineRule="auto"/>
        <w:ind w:left="567"/>
      </w:pPr>
      <w:r w:rsidRPr="43BBABB6">
        <w:rPr>
          <w:rFonts w:eastAsia="Arial" w:cs="Arial"/>
          <w:color w:val="00B050"/>
          <w:u w:val="single"/>
        </w:rPr>
        <w:t>GLYOXYLIC ACID</w:t>
      </w:r>
    </w:p>
    <w:p w14:paraId="2F3731F7" w14:textId="77777777" w:rsidR="00CC22DE" w:rsidRDefault="00CC22DE" w:rsidP="00CC22DE">
      <w:pPr>
        <w:spacing w:after="0" w:line="257" w:lineRule="auto"/>
        <w:ind w:left="567"/>
      </w:pPr>
      <w:r w:rsidRPr="43BBABB6">
        <w:rPr>
          <w:rFonts w:eastAsia="Arial" w:cs="Arial"/>
          <w:color w:val="00B050"/>
          <w:u w:val="single"/>
        </w:rPr>
        <w:t>Schedule 6</w:t>
      </w:r>
    </w:p>
    <w:p w14:paraId="73849836" w14:textId="77777777" w:rsidR="00CC22DE" w:rsidRDefault="00CC22DE" w:rsidP="00CC22DE">
      <w:pPr>
        <w:spacing w:after="0" w:line="257" w:lineRule="auto"/>
        <w:ind w:left="567"/>
      </w:pPr>
      <w:r w:rsidRPr="43BBABB6">
        <w:rPr>
          <w:rFonts w:eastAsia="Arial" w:cs="Arial"/>
          <w:color w:val="00B050"/>
          <w:u w:val="single"/>
        </w:rPr>
        <w:t>Appendix E, clause 3</w:t>
      </w:r>
    </w:p>
    <w:p w14:paraId="40D03FE6" w14:textId="77777777" w:rsidR="00CC22DE" w:rsidRPr="00590D85" w:rsidRDefault="00CC22DE" w:rsidP="00CC22DE">
      <w:pPr>
        <w:spacing w:after="0" w:line="257" w:lineRule="auto"/>
        <w:ind w:left="567"/>
        <w:rPr>
          <w:rFonts w:eastAsia="Arial" w:cs="Arial"/>
          <w:color w:val="00B050"/>
          <w:u w:val="single"/>
        </w:rPr>
      </w:pPr>
      <w:r w:rsidRPr="43BBABB6">
        <w:rPr>
          <w:rFonts w:eastAsia="Arial" w:cs="Arial"/>
          <w:color w:val="00B050"/>
          <w:u w:val="single"/>
        </w:rPr>
        <w:t>Appendix F, clause 4</w:t>
      </w:r>
    </w:p>
    <w:p w14:paraId="0080F122" w14:textId="1030288F" w:rsidR="00C61C8F" w:rsidRPr="00507586" w:rsidRDefault="00C61C8F" w:rsidP="00CC22DE"/>
    <w:p w14:paraId="6DAF487E" w14:textId="77777777" w:rsidR="00C61C8F" w:rsidRPr="009A4603" w:rsidRDefault="00C61C8F" w:rsidP="00C61C8F">
      <w:pPr>
        <w:pStyle w:val="Heading4"/>
      </w:pPr>
      <w:r w:rsidRPr="009A4603">
        <w:t xml:space="preserve">Materials considered </w:t>
      </w:r>
    </w:p>
    <w:p w14:paraId="787CEAE1" w14:textId="77777777" w:rsidR="00C61C8F" w:rsidRDefault="00C61C8F" w:rsidP="00C61C8F">
      <w:r>
        <w:t>In making this final decision, the Delegate considered the following material:</w:t>
      </w:r>
    </w:p>
    <w:p w14:paraId="6B4BAEB3" w14:textId="0E33EE13" w:rsidR="00C61C8F" w:rsidRPr="009918E9" w:rsidRDefault="00887EE3" w:rsidP="00B521FB">
      <w:pPr>
        <w:pStyle w:val="ListBullet"/>
      </w:pPr>
      <w:r>
        <w:t>t</w:t>
      </w:r>
      <w:r w:rsidR="00C61C8F" w:rsidRPr="009918E9">
        <w:t xml:space="preserve">he proposal to amend the current Poisons Standard with respect to </w:t>
      </w:r>
      <w:r w:rsidR="000B3A50">
        <w:t>glyoxylic acid</w:t>
      </w:r>
      <w:r w:rsidR="00C61C8F" w:rsidRPr="009918E9">
        <w:t xml:space="preserve"> (the </w:t>
      </w:r>
      <w:r w:rsidR="00C61C8F" w:rsidRPr="00AC6A5B">
        <w:rPr>
          <w:b/>
          <w:bCs/>
        </w:rPr>
        <w:t>Proposal</w:t>
      </w:r>
      <w:r w:rsidR="00C61C8F" w:rsidRPr="009918E9">
        <w:t>)</w:t>
      </w:r>
    </w:p>
    <w:p w14:paraId="5179F7B2" w14:textId="4ECB6BFC" w:rsidR="00C61C8F" w:rsidRPr="009918E9" w:rsidRDefault="00887EE3" w:rsidP="00B521FB">
      <w:pPr>
        <w:pStyle w:val="ListBullet"/>
      </w:pPr>
      <w:r>
        <w:t>t</w:t>
      </w:r>
      <w:r w:rsidR="00C61C8F" w:rsidRPr="009918E9">
        <w:t xml:space="preserve">hat there were no public submissions received in response to the </w:t>
      </w:r>
      <w:hyperlink r:id="rId24" w:history="1">
        <w:r w:rsidR="00C61C8F" w:rsidRPr="00675C69">
          <w:rPr>
            <w:rStyle w:val="Hyperlink"/>
          </w:rPr>
          <w:t>pre-meeting consultation</w:t>
        </w:r>
      </w:hyperlink>
      <w:r w:rsidR="00C61C8F">
        <w:rPr>
          <w:rStyle w:val="Hyperlink"/>
        </w:rPr>
        <w:t xml:space="preserve"> </w:t>
      </w:r>
      <w:r w:rsidR="00C61C8F" w:rsidRPr="009918E9">
        <w:t xml:space="preserve">under regulation 42ZCZK of the Regulations (the </w:t>
      </w:r>
      <w:r w:rsidR="00C61C8F" w:rsidRPr="00AC6A5B">
        <w:rPr>
          <w:b/>
          <w:bCs/>
        </w:rPr>
        <w:t>Submissions</w:t>
      </w:r>
      <w:r w:rsidR="00C61C8F" w:rsidRPr="009918E9">
        <w:t>)</w:t>
      </w:r>
    </w:p>
    <w:p w14:paraId="4F204C71" w14:textId="63D58D5B" w:rsidR="00C61C8F" w:rsidRPr="00D2065C" w:rsidRDefault="00887EE3" w:rsidP="00B521FB">
      <w:pPr>
        <w:pStyle w:val="ListBullet"/>
      </w:pPr>
      <w:r>
        <w:t>t</w:t>
      </w:r>
      <w:r w:rsidR="00C61C8F" w:rsidRPr="009918E9">
        <w:t xml:space="preserve">he advice received from the 39th meeting of the Advisory Committee on Chemicals Scheduling (the </w:t>
      </w:r>
      <w:r w:rsidR="00C61C8F" w:rsidRPr="00AC6A5B">
        <w:rPr>
          <w:b/>
          <w:bCs/>
        </w:rPr>
        <w:t>Committee</w:t>
      </w:r>
      <w:r w:rsidR="00C61C8F" w:rsidRPr="009918E9">
        <w:t>)</w:t>
      </w:r>
    </w:p>
    <w:p w14:paraId="252170A8" w14:textId="221A7D4C" w:rsidR="00C61C8F" w:rsidRPr="00335538" w:rsidRDefault="00887EE3" w:rsidP="00B521FB">
      <w:pPr>
        <w:pStyle w:val="ListBullet"/>
        <w:rPr>
          <w:rFonts w:cs="Arial"/>
          <w:szCs w:val="20"/>
        </w:rPr>
      </w:pPr>
      <w:r>
        <w:rPr>
          <w:rFonts w:cs="Arial"/>
          <w:szCs w:val="20"/>
        </w:rPr>
        <w:t>t</w:t>
      </w:r>
      <w:r w:rsidR="00C61C8F" w:rsidRPr="00335538">
        <w:rPr>
          <w:rFonts w:cs="Arial"/>
          <w:szCs w:val="20"/>
        </w:rPr>
        <w:t xml:space="preserve">he </w:t>
      </w:r>
      <w:hyperlink r:id="rId25" w:history="1">
        <w:r w:rsidR="00C61C8F" w:rsidRPr="00335538">
          <w:rPr>
            <w:rStyle w:val="Hyperlink"/>
            <w:rFonts w:cs="Arial"/>
            <w:szCs w:val="20"/>
          </w:rPr>
          <w:t>interim decision</w:t>
        </w:r>
      </w:hyperlink>
      <w:r w:rsidR="00C61C8F" w:rsidRPr="00335538">
        <w:rPr>
          <w:rFonts w:cs="Arial"/>
          <w:szCs w:val="20"/>
        </w:rPr>
        <w:t xml:space="preserve"> </w:t>
      </w:r>
      <w:r w:rsidR="00C61C8F">
        <w:rPr>
          <w:rFonts w:cs="Arial"/>
          <w:szCs w:val="20"/>
        </w:rPr>
        <w:t xml:space="preserve">relating to </w:t>
      </w:r>
      <w:r w:rsidR="00565623">
        <w:rPr>
          <w:rFonts w:cs="Arial"/>
          <w:szCs w:val="20"/>
        </w:rPr>
        <w:t>glyoxylic acid</w:t>
      </w:r>
      <w:r w:rsidR="00C61C8F">
        <w:rPr>
          <w:rFonts w:cs="Arial"/>
          <w:szCs w:val="20"/>
        </w:rPr>
        <w:t xml:space="preserve"> </w:t>
      </w:r>
      <w:r w:rsidR="00C61C8F" w:rsidRPr="00335538">
        <w:rPr>
          <w:rFonts w:cs="Arial"/>
          <w:szCs w:val="20"/>
        </w:rPr>
        <w:t xml:space="preserve">and the materials considered as part of the interim decision, as published on </w:t>
      </w:r>
      <w:r w:rsidR="00C61C8F">
        <w:rPr>
          <w:rFonts w:cs="Arial"/>
          <w:szCs w:val="20"/>
        </w:rPr>
        <w:t>19</w:t>
      </w:r>
      <w:r w:rsidR="00C61C8F" w:rsidRPr="00335538">
        <w:rPr>
          <w:rFonts w:cs="Arial"/>
          <w:szCs w:val="20"/>
        </w:rPr>
        <w:t xml:space="preserve"> </w:t>
      </w:r>
      <w:r w:rsidR="00C61C8F">
        <w:rPr>
          <w:rFonts w:cs="Arial"/>
          <w:szCs w:val="20"/>
        </w:rPr>
        <w:t>September</w:t>
      </w:r>
      <w:r w:rsidR="00C61C8F" w:rsidRPr="00335538">
        <w:rPr>
          <w:rFonts w:cs="Arial"/>
          <w:szCs w:val="20"/>
        </w:rPr>
        <w:t xml:space="preserve"> 2024</w:t>
      </w:r>
    </w:p>
    <w:p w14:paraId="0EEB9C33" w14:textId="1FB9CD5F" w:rsidR="00C61C8F" w:rsidRPr="00D2065C" w:rsidRDefault="00887EE3" w:rsidP="00B521FB">
      <w:pPr>
        <w:pStyle w:val="ListBullet"/>
        <w:rPr>
          <w:rFonts w:cs="Arial"/>
        </w:rPr>
      </w:pPr>
      <w:r>
        <w:rPr>
          <w:rFonts w:cs="Arial"/>
          <w:szCs w:val="20"/>
        </w:rPr>
        <w:t>t</w:t>
      </w:r>
      <w:r w:rsidR="00C61C8F" w:rsidRPr="00335538">
        <w:rPr>
          <w:rFonts w:cs="Arial"/>
          <w:szCs w:val="20"/>
        </w:rPr>
        <w:t xml:space="preserve">he </w:t>
      </w:r>
      <w:r w:rsidR="00BC557A">
        <w:rPr>
          <w:rFonts w:cs="Arial"/>
          <w:szCs w:val="20"/>
        </w:rPr>
        <w:t>two</w:t>
      </w:r>
      <w:r w:rsidR="00C61C8F" w:rsidRPr="00335538">
        <w:rPr>
          <w:rFonts w:cs="Arial"/>
          <w:szCs w:val="20"/>
        </w:rPr>
        <w:t xml:space="preserve"> </w:t>
      </w:r>
      <w:hyperlink r:id="rId26" w:history="1">
        <w:r w:rsidR="00C61C8F" w:rsidRPr="00FA76BB">
          <w:t>submission</w:t>
        </w:r>
      </w:hyperlink>
      <w:r w:rsidR="00BC557A">
        <w:t>s</w:t>
      </w:r>
      <w:r w:rsidR="00C61C8F" w:rsidRPr="00335538">
        <w:rPr>
          <w:rFonts w:cs="Arial"/>
          <w:szCs w:val="20"/>
        </w:rPr>
        <w:t xml:space="preserve"> received in response to the</w:t>
      </w:r>
      <w:r w:rsidR="00C61C8F" w:rsidRPr="00F24669">
        <w:t xml:space="preserve"> </w:t>
      </w:r>
      <w:hyperlink r:id="rId27" w:history="1">
        <w:r w:rsidR="00C61C8F">
          <w:rPr>
            <w:color w:val="0000FF"/>
            <w:u w:val="single"/>
          </w:rPr>
          <w:t>public consultation on the interim decision</w:t>
        </w:r>
      </w:hyperlink>
      <w:r w:rsidR="00C61C8F" w:rsidRPr="00335538">
        <w:rPr>
          <w:rFonts w:cs="Arial"/>
          <w:szCs w:val="20"/>
        </w:rPr>
        <w:t xml:space="preserve"> under regulation 42ZCZP of the Regulations</w:t>
      </w:r>
    </w:p>
    <w:p w14:paraId="7FD408B8" w14:textId="77777777" w:rsidR="00C61C8F" w:rsidRDefault="00C61C8F" w:rsidP="00B521FB">
      <w:pPr>
        <w:pStyle w:val="ListBullet"/>
      </w:pPr>
      <w:r>
        <w:t>s</w:t>
      </w:r>
      <w:r w:rsidRPr="001169AC">
        <w:t xml:space="preserve">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045F83E4" w14:textId="77777777" w:rsidR="00C61C8F" w:rsidRPr="001A45E7" w:rsidRDefault="00C61C8F" w:rsidP="00B521FB">
      <w:pPr>
        <w:pStyle w:val="ListBullet"/>
      </w:pPr>
      <w:r>
        <w:t>pursuant to paragraph 52</w:t>
      </w:r>
      <w:r w:rsidRPr="001A45E7">
        <w:t>E(2)(a) of the Act, the SPF, and</w:t>
      </w:r>
    </w:p>
    <w:p w14:paraId="5F537DD8" w14:textId="77777777" w:rsidR="00C61C8F" w:rsidRPr="001A45E7" w:rsidRDefault="00C61C8F" w:rsidP="00B521FB">
      <w:pPr>
        <w:pStyle w:val="ListBullet"/>
      </w:pPr>
      <w:r w:rsidRPr="001A45E7">
        <w:t>the Handbook.</w:t>
      </w:r>
    </w:p>
    <w:p w14:paraId="210FB444" w14:textId="77777777" w:rsidR="00C61C8F" w:rsidRPr="00BB34CD" w:rsidRDefault="00C61C8F" w:rsidP="00C61C8F">
      <w:pPr>
        <w:pStyle w:val="Heading4"/>
      </w:pPr>
      <w:r w:rsidRPr="00BB34CD">
        <w:lastRenderedPageBreak/>
        <w:t>Reasons for the final decision (including findings on material questions of fact)</w:t>
      </w:r>
    </w:p>
    <w:p w14:paraId="728364A6" w14:textId="4DC61D48" w:rsidR="00C61C8F" w:rsidRDefault="00C61C8F" w:rsidP="005812DF">
      <w:r w:rsidRPr="00E32B41">
        <w:t>I have made a final decision to confirm my interim decision to</w:t>
      </w:r>
      <w:r w:rsidR="00BF6FA7">
        <w:t xml:space="preserve"> not</w:t>
      </w:r>
      <w:r w:rsidRPr="00E32B41">
        <w:t xml:space="preserve"> amend the current Poisons Standard with respect to</w:t>
      </w:r>
      <w:r>
        <w:t xml:space="preserve"> </w:t>
      </w:r>
      <w:r w:rsidR="00BF6FA7">
        <w:t>glyoxylic acid</w:t>
      </w:r>
      <w:r>
        <w:t xml:space="preserve">. </w:t>
      </w:r>
      <w:r w:rsidRPr="002B3DE9">
        <w:t>My reasons for making the final decision are those set out in the</w:t>
      </w:r>
      <w:r>
        <w:t xml:space="preserve"> interim decision.</w:t>
      </w:r>
      <w:r w:rsidRPr="005E2F5E">
        <w:t xml:space="preserve"> In making my final decision, I have </w:t>
      </w:r>
      <w:proofErr w:type="gramStart"/>
      <w:r w:rsidRPr="005E2F5E">
        <w:t>taken into account</w:t>
      </w:r>
      <w:proofErr w:type="gramEnd"/>
      <w:r w:rsidRPr="005E2F5E">
        <w:t xml:space="preserve"> the material in the interim decision and </w:t>
      </w:r>
      <w:r>
        <w:t>the</w:t>
      </w:r>
      <w:r w:rsidR="004B3AF2">
        <w:t xml:space="preserve"> two</w:t>
      </w:r>
      <w:r>
        <w:t xml:space="preserve"> public</w:t>
      </w:r>
      <w:r w:rsidRPr="00BD2D99">
        <w:t xml:space="preserve"> </w:t>
      </w:r>
      <w:r w:rsidRPr="008906D8">
        <w:t>submission</w:t>
      </w:r>
      <w:r w:rsidR="004B3AF2">
        <w:t>s</w:t>
      </w:r>
      <w:r>
        <w:t xml:space="preserve"> received through public consultation on the interim decision.</w:t>
      </w:r>
    </w:p>
    <w:p w14:paraId="68E675B6" w14:textId="3EEF3B35" w:rsidR="004B3AF2" w:rsidRDefault="004B3AF2" w:rsidP="005812DF">
      <w:r>
        <w:t xml:space="preserve">I note that </w:t>
      </w:r>
      <w:r w:rsidR="005D75A9">
        <w:t xml:space="preserve">both public submissions received were in </w:t>
      </w:r>
      <w:r w:rsidR="00641B36">
        <w:t xml:space="preserve">partial </w:t>
      </w:r>
      <w:r w:rsidR="005D75A9">
        <w:t xml:space="preserve">support of </w:t>
      </w:r>
      <w:r w:rsidR="00641B36">
        <w:t>the in</w:t>
      </w:r>
      <w:r w:rsidR="00DB3BF1">
        <w:t>terim decision.</w:t>
      </w:r>
      <w:r w:rsidR="00F36714">
        <w:t xml:space="preserve"> One public submission </w:t>
      </w:r>
      <w:r w:rsidR="00972398">
        <w:t>recommended</w:t>
      </w:r>
      <w:r w:rsidR="00BA7E37">
        <w:t xml:space="preserve"> including a low concentration</w:t>
      </w:r>
      <w:r w:rsidR="00992907">
        <w:t xml:space="preserve"> exemption to the </w:t>
      </w:r>
      <w:r w:rsidR="00F51EA7">
        <w:t>Poisons (</w:t>
      </w:r>
      <w:r w:rsidR="00BA7E37">
        <w:t>Schedule</w:t>
      </w:r>
      <w:r w:rsidR="00992907">
        <w:t xml:space="preserve"> 6</w:t>
      </w:r>
      <w:r w:rsidR="00F51EA7">
        <w:t>)</w:t>
      </w:r>
      <w:r w:rsidR="00992907">
        <w:t xml:space="preserve"> entry</w:t>
      </w:r>
      <w:r w:rsidR="00034EE3">
        <w:t xml:space="preserve"> as some low concentration preparations not used in hair straightening </w:t>
      </w:r>
      <w:r w:rsidR="00124C2C">
        <w:t xml:space="preserve">products </w:t>
      </w:r>
      <w:r w:rsidR="00034EE3">
        <w:t xml:space="preserve">pose </w:t>
      </w:r>
      <w:r w:rsidR="001936D9">
        <w:t>a low risk of</w:t>
      </w:r>
      <w:r w:rsidR="0063602C">
        <w:t xml:space="preserve"> consumer</w:t>
      </w:r>
      <w:r w:rsidR="001936D9">
        <w:t xml:space="preserve"> exposure and toxicity. </w:t>
      </w:r>
      <w:r w:rsidR="00DD32A0">
        <w:t>However, I am not satisfied that there is sufficient evidence</w:t>
      </w:r>
      <w:r w:rsidR="001252FB">
        <w:t xml:space="preserve"> regarding</w:t>
      </w:r>
      <w:r w:rsidR="00CA3E43">
        <w:t xml:space="preserve"> substance</w:t>
      </w:r>
      <w:r w:rsidR="001252FB">
        <w:t xml:space="preserve"> toxicity to</w:t>
      </w:r>
      <w:r w:rsidR="000F07E9">
        <w:t xml:space="preserve"> reasonably</w:t>
      </w:r>
      <w:r w:rsidR="001252FB">
        <w:t xml:space="preserve"> establish a concentration cutoff</w:t>
      </w:r>
      <w:r w:rsidR="000F07E9">
        <w:t xml:space="preserve">. </w:t>
      </w:r>
      <w:r w:rsidR="00DB3BF1">
        <w:t>I</w:t>
      </w:r>
      <w:r w:rsidR="00695551">
        <w:t xml:space="preserve"> also</w:t>
      </w:r>
      <w:r w:rsidR="00DB3BF1">
        <w:t xml:space="preserve"> note that </w:t>
      </w:r>
      <w:r w:rsidR="005812DF">
        <w:t>one of the</w:t>
      </w:r>
      <w:r w:rsidR="00CA3E43">
        <w:t xml:space="preserve"> </w:t>
      </w:r>
      <w:r w:rsidR="00C21280">
        <w:t>public submission</w:t>
      </w:r>
      <w:r w:rsidR="005812DF">
        <w:t>s</w:t>
      </w:r>
      <w:r w:rsidR="00C21280">
        <w:t xml:space="preserve"> expressed support </w:t>
      </w:r>
      <w:r w:rsidR="00AA47B3">
        <w:t xml:space="preserve">for an extended implementation </w:t>
      </w:r>
      <w:r w:rsidR="00BE7925">
        <w:t>timeline of 24 months</w:t>
      </w:r>
      <w:r w:rsidR="00695551">
        <w:t>, though did not support</w:t>
      </w:r>
      <w:r w:rsidR="009D7483">
        <w:t xml:space="preserve"> implementing</w:t>
      </w:r>
      <w:r w:rsidR="00695551">
        <w:t xml:space="preserve"> a</w:t>
      </w:r>
      <w:r w:rsidR="00521D9B">
        <w:t>dditional l</w:t>
      </w:r>
      <w:r w:rsidR="00C35123">
        <w:t>abelling</w:t>
      </w:r>
      <w:r w:rsidR="00521D9B">
        <w:t xml:space="preserve"> requirements </w:t>
      </w:r>
      <w:r w:rsidR="00B62DC2">
        <w:t xml:space="preserve">due to lack of </w:t>
      </w:r>
      <w:r w:rsidR="00801A17">
        <w:t xml:space="preserve">reported adverse effects and limited benefit </w:t>
      </w:r>
      <w:r w:rsidR="000E05EF">
        <w:t>for consumers</w:t>
      </w:r>
      <w:r w:rsidR="00E43602">
        <w:t xml:space="preserve"> who are unlikely to have access to the</w:t>
      </w:r>
      <w:r w:rsidR="00102276">
        <w:t xml:space="preserve"> product container</w:t>
      </w:r>
      <w:r w:rsidR="000E05EF">
        <w:t>.</w:t>
      </w:r>
      <w:r w:rsidR="00246CFA">
        <w:t xml:space="preserve"> However, as noted by the</w:t>
      </w:r>
      <w:r w:rsidR="00C733C2">
        <w:t xml:space="preserve"> Committee</w:t>
      </w:r>
      <w:r w:rsidR="00246CFA">
        <w:t>,</w:t>
      </w:r>
      <w:r w:rsidR="00C733C2">
        <w:t xml:space="preserve"> </w:t>
      </w:r>
      <w:r w:rsidR="00246CFA">
        <w:t>there are</w:t>
      </w:r>
      <w:r w:rsidR="00C733C2">
        <w:t xml:space="preserve"> </w:t>
      </w:r>
      <w:r w:rsidR="00246CFA" w:rsidRPr="00246CFA">
        <w:t>multiple emerging case studies</w:t>
      </w:r>
      <w:r w:rsidR="00246CFA">
        <w:t xml:space="preserve"> that</w:t>
      </w:r>
      <w:r w:rsidR="00246CFA" w:rsidRPr="00246CFA">
        <w:t xml:space="preserve"> have reported kidney injury or failure in patients linked to exposure to ‘formaldehyde-free’ hair straightening products containing gly</w:t>
      </w:r>
      <w:r w:rsidR="00C00F08">
        <w:t>oxylic</w:t>
      </w:r>
      <w:r w:rsidR="00246CFA" w:rsidRPr="00246CFA">
        <w:t xml:space="preserve"> acid derivatives.</w:t>
      </w:r>
      <w:r w:rsidR="00241231">
        <w:t xml:space="preserve"> Given the potential for </w:t>
      </w:r>
      <w:r w:rsidR="005E7A71">
        <w:t xml:space="preserve">toxic </w:t>
      </w:r>
      <w:r w:rsidR="005E7A71" w:rsidRPr="005E7A71">
        <w:t>byproducts be</w:t>
      </w:r>
      <w:r w:rsidR="005E7A71">
        <w:t>ing</w:t>
      </w:r>
      <w:r w:rsidR="005E7A71" w:rsidRPr="005E7A71">
        <w:t xml:space="preserve"> produced</w:t>
      </w:r>
      <w:r w:rsidR="00B24536">
        <w:t xml:space="preserve"> at</w:t>
      </w:r>
      <w:r w:rsidR="005E7A71" w:rsidRPr="005E7A71">
        <w:t xml:space="preserve"> high temperatures during high straightening</w:t>
      </w:r>
      <w:r w:rsidR="006A5ACF">
        <w:t>, I remain of the view that a</w:t>
      </w:r>
      <w:r w:rsidR="00241231">
        <w:t xml:space="preserve">dditional warning statements </w:t>
      </w:r>
      <w:r w:rsidR="006A5ACF">
        <w:t xml:space="preserve">promoting adequate ventilation will help reduce inhalation exposure risks, particularly among </w:t>
      </w:r>
      <w:r w:rsidR="00DC5CE2" w:rsidRPr="00DC5CE2">
        <w:t xml:space="preserve">workers and </w:t>
      </w:r>
      <w:r w:rsidR="00DC5CE2">
        <w:t xml:space="preserve">end-use </w:t>
      </w:r>
      <w:r w:rsidR="00DC5CE2" w:rsidRPr="00DC5CE2">
        <w:t xml:space="preserve">consumers </w:t>
      </w:r>
      <w:r w:rsidR="00DC5CE2">
        <w:t>of</w:t>
      </w:r>
      <w:r w:rsidR="00DC5CE2" w:rsidRPr="00DC5CE2">
        <w:t xml:space="preserve"> these products.</w:t>
      </w:r>
    </w:p>
    <w:p w14:paraId="1C095D98" w14:textId="3EF32464" w:rsidR="00C61C8F" w:rsidRPr="00714096" w:rsidRDefault="00C61C8F" w:rsidP="005812DF">
      <w:r w:rsidRPr="008A2E40">
        <w:t xml:space="preserve">I have decided on an implementation date of 1 </w:t>
      </w:r>
      <w:r w:rsidR="00356274">
        <w:t>June</w:t>
      </w:r>
      <w:r w:rsidRPr="008A2E40">
        <w:t xml:space="preserve"> 202</w:t>
      </w:r>
      <w:r w:rsidR="00356274">
        <w:t>6</w:t>
      </w:r>
      <w:r w:rsidRPr="008A2E40">
        <w:t xml:space="preserve"> </w:t>
      </w:r>
      <w:r w:rsidR="00771604" w:rsidRPr="00771604">
        <w:t>allow industry adequate response time to implement the labelling changes and to avoid disruption to the supply of glyoxylic acid containing products</w:t>
      </w:r>
      <w:r w:rsidR="00771604">
        <w:t>.</w:t>
      </w:r>
    </w:p>
    <w:p w14:paraId="2E58614B" w14:textId="77777777" w:rsidR="00C61C8F" w:rsidRPr="00BB34CD" w:rsidRDefault="00C61C8F" w:rsidP="00C61C8F">
      <w:pPr>
        <w:pStyle w:val="Heading4"/>
      </w:pPr>
      <w:r w:rsidRPr="00BB34CD">
        <w:t xml:space="preserve">Implementation date </w:t>
      </w:r>
    </w:p>
    <w:p w14:paraId="0F994241" w14:textId="20C16EDA" w:rsidR="00C61C8F" w:rsidRPr="004A213A" w:rsidRDefault="00C61C8F" w:rsidP="00C61C8F">
      <w:r>
        <w:t xml:space="preserve">1 </w:t>
      </w:r>
      <w:r w:rsidR="00771604">
        <w:t>June</w:t>
      </w:r>
      <w:r>
        <w:t xml:space="preserve"> 202</w:t>
      </w:r>
      <w:r w:rsidR="00771604">
        <w:t>6</w:t>
      </w:r>
    </w:p>
    <w:p w14:paraId="37ECC55B" w14:textId="77777777" w:rsidR="00F61CBA" w:rsidRDefault="00F61CBA">
      <w:pPr>
        <w:rPr>
          <w:rFonts w:eastAsia="Times New Roman" w:cs="Times New Roman"/>
          <w:b/>
          <w:bCs/>
          <w:color w:val="001871"/>
          <w:sz w:val="38"/>
          <w:szCs w:val="38"/>
        </w:rPr>
      </w:pPr>
      <w:r>
        <w:br w:type="page"/>
      </w:r>
    </w:p>
    <w:p w14:paraId="40DB1A16" w14:textId="5A35CC5C" w:rsidR="00FB1ACB" w:rsidRPr="00F41DCE" w:rsidRDefault="00FB1ACB" w:rsidP="00FB1ACB">
      <w:pPr>
        <w:pStyle w:val="Heading2"/>
      </w:pPr>
      <w:bookmarkStart w:id="37" w:name="_Toc185508610"/>
      <w:r>
        <w:lastRenderedPageBreak/>
        <w:t>Final</w:t>
      </w:r>
      <w:r w:rsidRPr="00FA029A">
        <w:t xml:space="preserve"> decisions on proposed amendments referred to the </w:t>
      </w:r>
      <w:r w:rsidRPr="00F41DCE">
        <w:t>Advisory Committee on Medicines and Chemicals Scheduling in jo</w:t>
      </w:r>
      <w:r>
        <w:t>int session (Joint ACMS-ACCS #3</w:t>
      </w:r>
      <w:r w:rsidR="002513EF">
        <w:t>7</w:t>
      </w:r>
      <w:r>
        <w:t xml:space="preserve">, </w:t>
      </w:r>
      <w:r w:rsidR="002513EF">
        <w:t>June</w:t>
      </w:r>
      <w:r>
        <w:t xml:space="preserve"> 2024</w:t>
      </w:r>
      <w:r w:rsidRPr="00F41DCE">
        <w:t>)</w:t>
      </w:r>
      <w:bookmarkEnd w:id="37"/>
    </w:p>
    <w:p w14:paraId="5414753F" w14:textId="3C08D8CF" w:rsidR="00731F5A" w:rsidRDefault="00731F5A" w:rsidP="00FB1ACB">
      <w:pPr>
        <w:pStyle w:val="Heading3"/>
      </w:pPr>
      <w:bookmarkStart w:id="38" w:name="_Toc185508611"/>
      <w:r>
        <w:t xml:space="preserve">Final decision in relation to </w:t>
      </w:r>
      <w:r w:rsidR="003554BD" w:rsidRPr="003554BD">
        <w:t>sulfonamides</w:t>
      </w:r>
      <w:bookmarkEnd w:id="38"/>
    </w:p>
    <w:p w14:paraId="1F83B5F7" w14:textId="77777777" w:rsidR="003C1B12" w:rsidRPr="00BB34CD" w:rsidRDefault="003C1B12" w:rsidP="003C1B12">
      <w:pPr>
        <w:pStyle w:val="Heading4"/>
      </w:pPr>
      <w:r w:rsidRPr="00BB34CD">
        <w:t>Proposal</w:t>
      </w:r>
    </w:p>
    <w:p w14:paraId="7CB17D66" w14:textId="57C0477D" w:rsidR="003C1B12" w:rsidRDefault="00BF7B4A" w:rsidP="003C1B12">
      <w:pPr>
        <w:rPr>
          <w:rFonts w:cs="Arial"/>
        </w:rPr>
      </w:pPr>
      <w:r w:rsidRPr="00BF7B4A">
        <w:rPr>
          <w:rFonts w:cs="Arial"/>
        </w:rPr>
        <w:t xml:space="preserve">The Delegate has proposed amendments to the current </w:t>
      </w:r>
      <w:r w:rsidR="00F51EA7">
        <w:rPr>
          <w:rFonts w:cs="Arial"/>
        </w:rPr>
        <w:t>Prescription only medicine (</w:t>
      </w:r>
      <w:r w:rsidRPr="00BF7B4A">
        <w:rPr>
          <w:rFonts w:cs="Arial"/>
        </w:rPr>
        <w:t>Schedule 4</w:t>
      </w:r>
      <w:r w:rsidR="00F51EA7">
        <w:rPr>
          <w:rFonts w:cs="Arial"/>
        </w:rPr>
        <w:t>)</w:t>
      </w:r>
      <w:r w:rsidRPr="00BF7B4A">
        <w:rPr>
          <w:rFonts w:cs="Arial"/>
        </w:rPr>
        <w:t xml:space="preserve"> entry for sulfonamides. The proposal is intended to clarify the status of sulfonamides when used in a variety of settings, including therapeutically and industrially. The proposal follows a referral from the Australian Industrial Chemicals Introduction Scheme (AICIS) </w:t>
      </w:r>
      <w:hyperlink r:id="rId28" w:history="1">
        <w:r w:rsidRPr="00865FC2">
          <w:rPr>
            <w:rStyle w:val="Hyperlink"/>
            <w:rFonts w:cs="Arial"/>
          </w:rPr>
          <w:t>evaluation of sulfonamides</w:t>
        </w:r>
      </w:hyperlink>
      <w:r w:rsidRPr="00BF7B4A">
        <w:rPr>
          <w:rFonts w:cs="Arial"/>
        </w:rPr>
        <w:t xml:space="preserve"> published in January 2022.</w:t>
      </w:r>
    </w:p>
    <w:p w14:paraId="3082A86A" w14:textId="3267E587" w:rsidR="003C1B12" w:rsidRDefault="003C1B12" w:rsidP="003C1B12">
      <w:pPr>
        <w:pStyle w:val="Heading4"/>
      </w:pPr>
      <w:r w:rsidRPr="00BB34CD">
        <w:t>Final decision</w:t>
      </w:r>
    </w:p>
    <w:p w14:paraId="5CF44D7A" w14:textId="77777777" w:rsidR="00112896" w:rsidRPr="00B03B68" w:rsidRDefault="003C1B12" w:rsidP="00112896">
      <w:r>
        <w:t xml:space="preserve">Pursuant to regulation 42ZCZR of the Regulations, the Delegate has made a final decision to confirm the interim decision and amend the current Poisons Standard in relation to </w:t>
      </w:r>
      <w:r w:rsidR="00112896" w:rsidRPr="00AD69F2">
        <w:t>sulfonamides as follows:</w:t>
      </w:r>
      <w:r w:rsidR="00112896">
        <w:rPr>
          <w:rStyle w:val="FootnoteReference"/>
        </w:rPr>
        <w:footnoteReference w:id="6"/>
      </w:r>
    </w:p>
    <w:p w14:paraId="234D268D" w14:textId="77777777" w:rsidR="00112896" w:rsidRPr="00B94C08" w:rsidRDefault="00112896" w:rsidP="00112896">
      <w:pPr>
        <w:ind w:left="425"/>
        <w:rPr>
          <w:b/>
          <w:bCs/>
        </w:rPr>
      </w:pPr>
      <w:r w:rsidRPr="00B94C08">
        <w:rPr>
          <w:b/>
          <w:bCs/>
        </w:rPr>
        <w:t>Schedule</w:t>
      </w:r>
      <w:r>
        <w:rPr>
          <w:b/>
          <w:bCs/>
        </w:rPr>
        <w:t xml:space="preserve"> 4</w:t>
      </w:r>
    </w:p>
    <w:p w14:paraId="61CCB1E8" w14:textId="77777777" w:rsidR="00112896" w:rsidRDefault="00112896" w:rsidP="00112896">
      <w:pPr>
        <w:ind w:firstLine="567"/>
      </w:pPr>
      <w:r>
        <w:t xml:space="preserve">SULFONAMIDE </w:t>
      </w:r>
      <w:r w:rsidRPr="006C46D9">
        <w:rPr>
          <w:color w:val="00B050"/>
        </w:rPr>
        <w:t>ANTIBIOTIC</w:t>
      </w:r>
      <w:r>
        <w:t>S</w:t>
      </w:r>
      <w:r w:rsidRPr="002A2130">
        <w:t xml:space="preserve"> </w:t>
      </w:r>
      <w:r w:rsidRPr="006C46D9">
        <w:rPr>
          <w:b/>
          <w:bCs/>
        </w:rPr>
        <w:t>except</w:t>
      </w:r>
      <w:r>
        <w:t>:</w:t>
      </w:r>
    </w:p>
    <w:p w14:paraId="14341E4D" w14:textId="77777777" w:rsidR="001E39AD" w:rsidRPr="00B521FB" w:rsidRDefault="001E39AD" w:rsidP="00B521FB">
      <w:pPr>
        <w:pStyle w:val="ListBulleta"/>
        <w:numPr>
          <w:ilvl w:val="0"/>
          <w:numId w:val="37"/>
        </w:numPr>
        <w:rPr>
          <w:strike/>
          <w:color w:val="FF0000"/>
        </w:rPr>
      </w:pPr>
      <w:r>
        <w:t>when separately specified in th</w:t>
      </w:r>
      <w:r w:rsidRPr="00B521FB">
        <w:rPr>
          <w:strike/>
          <w:color w:val="FF0000"/>
        </w:rPr>
        <w:t>is</w:t>
      </w:r>
      <w:r w:rsidRPr="00B521FB">
        <w:rPr>
          <w:color w:val="00B050"/>
        </w:rPr>
        <w:t>ese</w:t>
      </w:r>
      <w:r>
        <w:t xml:space="preserve"> Schedules</w:t>
      </w:r>
      <w:r w:rsidRPr="00B521FB">
        <w:rPr>
          <w:strike/>
          <w:color w:val="FF0000"/>
        </w:rPr>
        <w:t>; or</w:t>
      </w:r>
    </w:p>
    <w:p w14:paraId="2E7B301D" w14:textId="77777777" w:rsidR="001E39AD" w:rsidRPr="00DE1519" w:rsidRDefault="001E39AD" w:rsidP="00B521FB">
      <w:pPr>
        <w:pStyle w:val="ListBulleta"/>
        <w:rPr>
          <w:strike/>
          <w:color w:val="FF0000"/>
        </w:rPr>
      </w:pPr>
      <w:r w:rsidRPr="00DE1519">
        <w:rPr>
          <w:strike/>
          <w:color w:val="FF0000"/>
        </w:rPr>
        <w:t xml:space="preserve">when included in Schedule 3, 5 or 6; or </w:t>
      </w:r>
    </w:p>
    <w:p w14:paraId="3954DA42" w14:textId="132CE37B" w:rsidR="00112896" w:rsidRPr="00DE1519" w:rsidRDefault="001E39AD" w:rsidP="00B521FB">
      <w:pPr>
        <w:pStyle w:val="ListBulleta"/>
        <w:rPr>
          <w:strike/>
          <w:color w:val="FF0000"/>
        </w:rPr>
      </w:pPr>
      <w:r w:rsidRPr="00DE1519">
        <w:rPr>
          <w:strike/>
          <w:color w:val="FF0000"/>
        </w:rPr>
        <w:t xml:space="preserve">when packed and labelled solely for use as </w:t>
      </w:r>
      <w:proofErr w:type="gramStart"/>
      <w:r w:rsidRPr="00DE1519">
        <w:rPr>
          <w:strike/>
          <w:color w:val="FF0000"/>
        </w:rPr>
        <w:t>a</w:t>
      </w:r>
      <w:proofErr w:type="gramEnd"/>
      <w:r w:rsidRPr="00DE1519">
        <w:rPr>
          <w:strike/>
          <w:color w:val="FF0000"/>
        </w:rPr>
        <w:t xml:space="preserve"> herbicide</w:t>
      </w:r>
    </w:p>
    <w:p w14:paraId="0745EFBF" w14:textId="77777777" w:rsidR="00112896" w:rsidRDefault="00112896" w:rsidP="00112896">
      <w:pPr>
        <w:ind w:left="425"/>
        <w:rPr>
          <w:b/>
          <w:bCs/>
        </w:rPr>
      </w:pPr>
      <w:r>
        <w:rPr>
          <w:b/>
          <w:bCs/>
        </w:rPr>
        <w:t>Index</w:t>
      </w:r>
    </w:p>
    <w:p w14:paraId="210B16BB" w14:textId="77777777" w:rsidR="00112896" w:rsidRPr="00C91B2B" w:rsidRDefault="00112896" w:rsidP="00112896">
      <w:pPr>
        <w:ind w:firstLine="567"/>
        <w:rPr>
          <w:b/>
          <w:bCs/>
        </w:rPr>
      </w:pPr>
      <w:r>
        <w:rPr>
          <w:b/>
          <w:bCs/>
        </w:rPr>
        <w:tab/>
      </w:r>
      <w:r w:rsidRPr="00AD69F2">
        <w:rPr>
          <w:b/>
          <w:bCs/>
        </w:rPr>
        <w:t>SULFONAMIDES</w:t>
      </w:r>
      <w:r>
        <w:rPr>
          <w:b/>
          <w:bCs/>
        </w:rPr>
        <w:br/>
      </w:r>
      <w:r>
        <w:rPr>
          <w:b/>
          <w:bCs/>
        </w:rPr>
        <w:tab/>
      </w:r>
      <w:r>
        <w:t>cross reference: SULFACETAMIDE, SULPHANILAMIDE</w:t>
      </w:r>
    </w:p>
    <w:p w14:paraId="574C1CA8" w14:textId="4173BB15" w:rsidR="003C1B12" w:rsidRDefault="00112896" w:rsidP="00112896">
      <w:r>
        <w:tab/>
        <w:t>Schedule 4</w:t>
      </w:r>
    </w:p>
    <w:p w14:paraId="791BAF03" w14:textId="56DD3C84" w:rsidR="003C1B12" w:rsidRPr="00BB34CD" w:rsidRDefault="003C1B12" w:rsidP="003C1B12">
      <w:pPr>
        <w:pStyle w:val="Heading4"/>
      </w:pPr>
      <w:r w:rsidRPr="00BB34CD">
        <w:t>Materials considered</w:t>
      </w:r>
    </w:p>
    <w:p w14:paraId="7E98A278" w14:textId="77777777" w:rsidR="003C1B12" w:rsidRDefault="003C1B12" w:rsidP="003C1B12">
      <w:r>
        <w:t>In making this final decision, the Delegate considered the following material:</w:t>
      </w:r>
    </w:p>
    <w:p w14:paraId="4A245B4B" w14:textId="1CB73E97" w:rsidR="00245C27" w:rsidRDefault="00887EE3" w:rsidP="00B521FB">
      <w:pPr>
        <w:pStyle w:val="ListBullet"/>
      </w:pPr>
      <w:r>
        <w:t>t</w:t>
      </w:r>
      <w:r w:rsidR="00245C27">
        <w:t xml:space="preserve">he application to amend the current Poisons Standard with respect to sulfonamides (the </w:t>
      </w:r>
      <w:r w:rsidR="00245C27" w:rsidRPr="00245C27">
        <w:rPr>
          <w:b/>
          <w:bCs/>
        </w:rPr>
        <w:t>Application</w:t>
      </w:r>
      <w:r w:rsidR="00245C27">
        <w:t>)</w:t>
      </w:r>
    </w:p>
    <w:p w14:paraId="781A757D" w14:textId="2ACA13C0" w:rsidR="00245C27" w:rsidRDefault="00887EE3" w:rsidP="00B521FB">
      <w:pPr>
        <w:pStyle w:val="ListBullet"/>
      </w:pPr>
      <w:r>
        <w:t>t</w:t>
      </w:r>
      <w:r w:rsidR="00245C27">
        <w:t xml:space="preserve">he 1 </w:t>
      </w:r>
      <w:hyperlink r:id="rId29" w:history="1">
        <w:r w:rsidR="00804E7E" w:rsidRPr="005E0799">
          <w:rPr>
            <w:rStyle w:val="Hyperlink"/>
          </w:rPr>
          <w:t>public submission</w:t>
        </w:r>
      </w:hyperlink>
      <w:r w:rsidR="00804E7E" w:rsidRPr="00B03B68">
        <w:t xml:space="preserve">, with </w:t>
      </w:r>
      <w:r w:rsidR="00804E7E">
        <w:t xml:space="preserve">no </w:t>
      </w:r>
      <w:r w:rsidR="00804E7E" w:rsidRPr="00B03B68">
        <w:t>written component</w:t>
      </w:r>
      <w:r w:rsidR="00804E7E">
        <w:t xml:space="preserve"> was </w:t>
      </w:r>
      <w:r w:rsidR="00804E7E" w:rsidRPr="00B03B68">
        <w:t xml:space="preserve">received in response to the </w:t>
      </w:r>
      <w:r w:rsidR="00804E7E">
        <w:br/>
      </w:r>
      <w:hyperlink r:id="rId30" w:history="1">
        <w:r w:rsidR="00804E7E" w:rsidRPr="000A4597">
          <w:rPr>
            <w:rStyle w:val="Hyperlink"/>
          </w:rPr>
          <w:t>pre-meeting consultation</w:t>
        </w:r>
      </w:hyperlink>
      <w:r w:rsidR="00245C27">
        <w:t xml:space="preserve"> under regulation 42ZCZK of the Regulations (the </w:t>
      </w:r>
      <w:r w:rsidR="00245C27" w:rsidRPr="00245C27">
        <w:rPr>
          <w:b/>
          <w:bCs/>
        </w:rPr>
        <w:t>Submissions</w:t>
      </w:r>
      <w:r w:rsidR="00245C27">
        <w:t>)</w:t>
      </w:r>
    </w:p>
    <w:p w14:paraId="3D68306A" w14:textId="053F3065" w:rsidR="003C1B12" w:rsidRPr="00D2065C" w:rsidRDefault="00887EE3" w:rsidP="00B521FB">
      <w:pPr>
        <w:pStyle w:val="ListBullet"/>
        <w:rPr>
          <w:rFonts w:cs="Arial"/>
        </w:rPr>
      </w:pPr>
      <w:r>
        <w:t>t</w:t>
      </w:r>
      <w:r w:rsidR="00245C27">
        <w:t xml:space="preserve">he advice received from the 37th meeting of the Advisory Committee on Medicines and Chemicals Scheduling in joint session (the </w:t>
      </w:r>
      <w:r w:rsidR="00245C27" w:rsidRPr="00245C27">
        <w:rPr>
          <w:b/>
          <w:bCs/>
        </w:rPr>
        <w:t>Committee</w:t>
      </w:r>
      <w:r w:rsidR="00245C27">
        <w:t>)</w:t>
      </w:r>
    </w:p>
    <w:p w14:paraId="61161F02" w14:textId="28563260" w:rsidR="003C1B12" w:rsidRDefault="003C1B12" w:rsidP="00B521FB">
      <w:pPr>
        <w:pStyle w:val="ListBullet"/>
        <w:rPr>
          <w:rFonts w:cs="Arial"/>
        </w:rPr>
      </w:pPr>
      <w:r w:rsidRPr="00D2065C">
        <w:rPr>
          <w:rFonts w:cs="Arial"/>
        </w:rPr>
        <w:lastRenderedPageBreak/>
        <w:t xml:space="preserve">the </w:t>
      </w:r>
      <w:hyperlink r:id="rId31" w:history="1">
        <w:r w:rsidRPr="00047AD5">
          <w:rPr>
            <w:rStyle w:val="Hyperlink"/>
            <w:rFonts w:cs="Arial"/>
          </w:rPr>
          <w:t>interim decision</w:t>
        </w:r>
      </w:hyperlink>
      <w:r w:rsidRPr="00D2065C">
        <w:rPr>
          <w:rFonts w:cs="Arial"/>
        </w:rPr>
        <w:t xml:space="preserve"> relating to </w:t>
      </w:r>
      <w:r w:rsidR="000B3963">
        <w:rPr>
          <w:rFonts w:cs="Arial"/>
        </w:rPr>
        <w:t>sulfonamides</w:t>
      </w:r>
      <w:r w:rsidRPr="00D2065C">
        <w:rPr>
          <w:rFonts w:cs="Arial"/>
        </w:rPr>
        <w:t xml:space="preserve"> and the materials considered as part of the interim decision, as published on </w:t>
      </w:r>
      <w:r w:rsidR="00373E6F">
        <w:rPr>
          <w:rFonts w:cs="Arial"/>
          <w:szCs w:val="20"/>
        </w:rPr>
        <w:t>19</w:t>
      </w:r>
      <w:r w:rsidR="00373E6F" w:rsidRPr="00335538">
        <w:rPr>
          <w:rFonts w:cs="Arial"/>
          <w:szCs w:val="20"/>
        </w:rPr>
        <w:t xml:space="preserve"> </w:t>
      </w:r>
      <w:r w:rsidR="00373E6F">
        <w:rPr>
          <w:rFonts w:cs="Arial"/>
          <w:szCs w:val="20"/>
        </w:rPr>
        <w:t>September</w:t>
      </w:r>
      <w:r w:rsidR="00373E6F" w:rsidRPr="00335538">
        <w:rPr>
          <w:rFonts w:cs="Arial"/>
          <w:szCs w:val="20"/>
        </w:rPr>
        <w:t xml:space="preserve"> 2024</w:t>
      </w:r>
    </w:p>
    <w:p w14:paraId="0D66BF35" w14:textId="64702033" w:rsidR="000D3369" w:rsidRPr="00D2065C" w:rsidRDefault="00887EE3" w:rsidP="00B521FB">
      <w:pPr>
        <w:pStyle w:val="ListBullet"/>
        <w:rPr>
          <w:rFonts w:cs="Arial"/>
        </w:rPr>
      </w:pPr>
      <w:r>
        <w:rPr>
          <w:rFonts w:cs="Arial"/>
          <w:szCs w:val="20"/>
        </w:rPr>
        <w:t>t</w:t>
      </w:r>
      <w:r w:rsidRPr="00335538">
        <w:rPr>
          <w:rFonts w:cs="Arial"/>
          <w:szCs w:val="20"/>
        </w:rPr>
        <w:t xml:space="preserve">he </w:t>
      </w:r>
      <w:r>
        <w:rPr>
          <w:rFonts w:cs="Arial"/>
          <w:szCs w:val="20"/>
        </w:rPr>
        <w:t>one</w:t>
      </w:r>
      <w:r w:rsidRPr="00335538">
        <w:rPr>
          <w:rFonts w:cs="Arial"/>
          <w:szCs w:val="20"/>
        </w:rPr>
        <w:t xml:space="preserve"> </w:t>
      </w:r>
      <w:hyperlink r:id="rId32" w:history="1">
        <w:r w:rsidRPr="00FA76BB">
          <w:t>submission</w:t>
        </w:r>
      </w:hyperlink>
      <w:r w:rsidRPr="00335538">
        <w:rPr>
          <w:rFonts w:cs="Arial"/>
          <w:szCs w:val="20"/>
        </w:rPr>
        <w:t xml:space="preserve"> received in response to the</w:t>
      </w:r>
      <w:r w:rsidRPr="00F24669">
        <w:t xml:space="preserve"> </w:t>
      </w:r>
      <w:hyperlink r:id="rId33" w:history="1">
        <w:r>
          <w:rPr>
            <w:color w:val="0000FF"/>
            <w:u w:val="single"/>
          </w:rPr>
          <w:t>public consultation on the interim decision</w:t>
        </w:r>
      </w:hyperlink>
      <w:r w:rsidRPr="00335538">
        <w:rPr>
          <w:rFonts w:cs="Arial"/>
          <w:szCs w:val="20"/>
        </w:rPr>
        <w:t xml:space="preserve"> under regulation 42ZCZP of the Regulations</w:t>
      </w:r>
    </w:p>
    <w:p w14:paraId="28B0867D" w14:textId="7E4B6593" w:rsidR="003C1B12" w:rsidRPr="006D60CA" w:rsidRDefault="00887EE3" w:rsidP="00B521FB">
      <w:pPr>
        <w:pStyle w:val="ListBullet"/>
      </w:pPr>
      <w:r>
        <w:t>s</w:t>
      </w:r>
      <w:r w:rsidR="003C1B12" w:rsidRPr="006D60CA">
        <w:t>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17243F6E" w14:textId="77777777" w:rsidR="003C1B12" w:rsidRPr="006D60CA" w:rsidRDefault="003C1B12" w:rsidP="00B521FB">
      <w:pPr>
        <w:pStyle w:val="ListBullet"/>
      </w:pPr>
      <w:r w:rsidRPr="006D60CA">
        <w:t>pursuant to paragraph 52E(2)(a) of the Act, the SPF, and</w:t>
      </w:r>
    </w:p>
    <w:p w14:paraId="64A22684" w14:textId="77777777" w:rsidR="003C1B12" w:rsidRDefault="003C1B12" w:rsidP="00B521FB">
      <w:pPr>
        <w:pStyle w:val="ListBullet"/>
      </w:pPr>
      <w:r>
        <w:t>the Handbook.</w:t>
      </w:r>
    </w:p>
    <w:p w14:paraId="0F834BCF" w14:textId="77777777" w:rsidR="000D3369" w:rsidRDefault="000D3369" w:rsidP="000D3369">
      <w:pPr>
        <w:pStyle w:val="Heading4"/>
      </w:pPr>
      <w:r w:rsidRPr="00BB34CD">
        <w:t>Reasons for the final decision (including findings on material questions of fact)</w:t>
      </w:r>
    </w:p>
    <w:p w14:paraId="362957F8" w14:textId="62C0B9F5" w:rsidR="00762848" w:rsidRDefault="00762848" w:rsidP="00762848">
      <w:r>
        <w:t xml:space="preserve">I have made a final decision to confirm my interim decision to amend the current Poisons Standard with respect to </w:t>
      </w:r>
      <w:r w:rsidR="00E0733C">
        <w:t>sulfonamides</w:t>
      </w:r>
      <w:r>
        <w:t xml:space="preserve">. My reasons for making the final decision are those set out in the interim decision. In making my final decision, I have considered the material in the interim decision and </w:t>
      </w:r>
      <w:r w:rsidR="00047AD5">
        <w:t xml:space="preserve">the </w:t>
      </w:r>
      <w:r>
        <w:t>submission received in response to the public consultation on the interim decision.</w:t>
      </w:r>
    </w:p>
    <w:p w14:paraId="07CC2655" w14:textId="6935B95C" w:rsidR="0013341B" w:rsidRDefault="00762848" w:rsidP="003D3928">
      <w:r>
        <w:t xml:space="preserve">The submission </w:t>
      </w:r>
      <w:r w:rsidR="00E0733C">
        <w:t>was in partial</w:t>
      </w:r>
      <w:r>
        <w:t xml:space="preserve"> support</w:t>
      </w:r>
      <w:r w:rsidR="00E0733C">
        <w:t xml:space="preserve"> of</w:t>
      </w:r>
      <w:r>
        <w:t xml:space="preserve"> the interim decision</w:t>
      </w:r>
      <w:r w:rsidR="003D3928">
        <w:t>. The submission was supportive</w:t>
      </w:r>
      <w:r w:rsidR="00EC1D6B">
        <w:t xml:space="preserve"> of specifically capturing therapeutic us</w:t>
      </w:r>
      <w:r w:rsidR="00004743">
        <w:t>es</w:t>
      </w:r>
      <w:r w:rsidR="004131DF">
        <w:t xml:space="preserve"> of sulfonamides</w:t>
      </w:r>
      <w:r w:rsidR="00004743">
        <w:t xml:space="preserve"> </w:t>
      </w:r>
      <w:r w:rsidR="004131DF">
        <w:t xml:space="preserve">under Schedule 4, </w:t>
      </w:r>
      <w:r w:rsidR="00004743">
        <w:t xml:space="preserve">rather than all </w:t>
      </w:r>
      <w:r w:rsidR="00D879E3">
        <w:t>sulfonamide preparations</w:t>
      </w:r>
      <w:r w:rsidR="004131DF">
        <w:t>.</w:t>
      </w:r>
      <w:r w:rsidR="004B2934">
        <w:t xml:space="preserve"> However, the submission raised concerns that</w:t>
      </w:r>
      <w:r w:rsidR="005D0533">
        <w:t xml:space="preserve"> the current entry may allow for</w:t>
      </w:r>
      <w:r w:rsidR="004B2934">
        <w:t xml:space="preserve"> </w:t>
      </w:r>
      <w:r w:rsidR="00362497">
        <w:t>sulfonamides with antibiotic properties</w:t>
      </w:r>
      <w:r w:rsidR="00047AD5">
        <w:t xml:space="preserve"> (</w:t>
      </w:r>
      <w:r w:rsidR="00362497">
        <w:t xml:space="preserve">not being used </w:t>
      </w:r>
      <w:r w:rsidR="001730B7">
        <w:t>for this purpose</w:t>
      </w:r>
      <w:r w:rsidR="00047AD5">
        <w:t>),</w:t>
      </w:r>
      <w:r w:rsidR="001730B7">
        <w:t xml:space="preserve"> </w:t>
      </w:r>
      <w:r w:rsidR="005D0533">
        <w:t>to not be captured under Schedule 4</w:t>
      </w:r>
      <w:r w:rsidR="00FE500A">
        <w:t>, leading to potential misuse and antibiotic resistance.</w:t>
      </w:r>
      <w:r w:rsidR="00293435">
        <w:t xml:space="preserve"> I am, however satisfied that </w:t>
      </w:r>
      <w:r w:rsidR="00806217">
        <w:t>intent of the schedule entry for</w:t>
      </w:r>
      <w:r w:rsidR="0084734B">
        <w:t xml:space="preserve"> ‘sulfonamide antibiotics’ will capture all s</w:t>
      </w:r>
      <w:r w:rsidR="00806217">
        <w:t xml:space="preserve">ulfonamide preparations </w:t>
      </w:r>
      <w:r w:rsidR="005356B2">
        <w:t>with antibiotic properties no matter the intended usage</w:t>
      </w:r>
      <w:r w:rsidR="008144E5">
        <w:t>, unless otherwise specified in the Poisons Standard.</w:t>
      </w:r>
    </w:p>
    <w:p w14:paraId="6A58C5DA" w14:textId="3881B5C5" w:rsidR="0013341B" w:rsidRDefault="00A17B8F" w:rsidP="003D3928">
      <w:r w:rsidRPr="00A17B8F">
        <w:t>I have decided on an implementation date of 1 February 2025 as the amended entry for sulfonamides should not adversely impact industries manufacturing or selling products containing either antibiotic or non-antibiotic sulphonamides.</w:t>
      </w:r>
    </w:p>
    <w:p w14:paraId="62DA3630" w14:textId="77777777" w:rsidR="00A17B8F" w:rsidRPr="00BB34CD" w:rsidRDefault="00A17B8F" w:rsidP="00A17B8F">
      <w:pPr>
        <w:pStyle w:val="Heading4"/>
      </w:pPr>
      <w:r w:rsidRPr="00BB34CD">
        <w:t xml:space="preserve">Implementation date </w:t>
      </w:r>
    </w:p>
    <w:p w14:paraId="7E10BAC6" w14:textId="7AE85F2C" w:rsidR="00A17B8F" w:rsidRDefault="00A17B8F" w:rsidP="00A17B8F">
      <w:r>
        <w:t>1 February 2025</w:t>
      </w:r>
    </w:p>
    <w:p w14:paraId="2DBB1C7D" w14:textId="723906AD" w:rsidR="00FE3174" w:rsidRDefault="00FE3174">
      <w:r>
        <w:br w:type="page"/>
      </w:r>
    </w:p>
    <w:p w14:paraId="09B0C61B" w14:textId="7C073A1C" w:rsidR="00457050" w:rsidRPr="00BC2009" w:rsidRDefault="00457050" w:rsidP="00967490">
      <w:pPr>
        <w:pStyle w:val="Heading2"/>
      </w:pPr>
      <w:bookmarkStart w:id="39" w:name="_Toc185508612"/>
      <w:r w:rsidRPr="00B41852">
        <w:lastRenderedPageBreak/>
        <w:t xml:space="preserve">Final decisions on proposed amendments to the current Poisons Standard under regulation </w:t>
      </w:r>
      <w:r w:rsidRPr="005F3EA0">
        <w:t>42ZCZU</w:t>
      </w:r>
      <w:r w:rsidR="00681323">
        <w:t xml:space="preserve"> and </w:t>
      </w:r>
      <w:r w:rsidR="00681323" w:rsidRPr="00681323">
        <w:t>42ZCZW</w:t>
      </w:r>
      <w:bookmarkEnd w:id="39"/>
    </w:p>
    <w:p w14:paraId="5DACADCF" w14:textId="3E960728" w:rsidR="00457050" w:rsidRDefault="00457050" w:rsidP="00967490">
      <w:r w:rsidRPr="00B41852">
        <w:t>In my capacity as a delegate of the Secretary for the purpose of regulation</w:t>
      </w:r>
      <w:r w:rsidR="00681323">
        <w:t>s</w:t>
      </w:r>
      <w:r w:rsidRPr="00B41852">
        <w:t xml:space="preserve"> </w:t>
      </w:r>
      <w:r w:rsidRPr="005F3EA0">
        <w:t>42ZCZU</w:t>
      </w:r>
      <w:r w:rsidRPr="005F3EA0" w:rsidDel="005F3EA0">
        <w:t xml:space="preserve"> </w:t>
      </w:r>
      <w:r w:rsidR="00681323">
        <w:t xml:space="preserve">and </w:t>
      </w:r>
      <w:r w:rsidR="00681323" w:rsidRPr="00681323">
        <w:t xml:space="preserve">42ZCZW </w:t>
      </w:r>
      <w:r w:rsidRPr="00B41852">
        <w:t xml:space="preserve">of </w:t>
      </w:r>
      <w:r>
        <w:t xml:space="preserve">the </w:t>
      </w:r>
      <w:r w:rsidRPr="000A3085">
        <w:rPr>
          <w:bCs/>
        </w:rPr>
        <w:t>Regulations</w:t>
      </w:r>
      <w:r w:rsidRPr="00B41852">
        <w:t>, I have made final decisions under regulation</w:t>
      </w:r>
      <w:r w:rsidR="00681323">
        <w:t>s</w:t>
      </w:r>
      <w:r w:rsidRPr="00B41852">
        <w:t xml:space="preserve"> </w:t>
      </w:r>
      <w:r w:rsidRPr="005F3EA0">
        <w:t>42ZCZU</w:t>
      </w:r>
      <w:r w:rsidRPr="005F3EA0" w:rsidDel="005F3EA0">
        <w:t xml:space="preserve"> </w:t>
      </w:r>
      <w:r w:rsidR="00681323">
        <w:t xml:space="preserve">and </w:t>
      </w:r>
      <w:r w:rsidR="00681323" w:rsidRPr="00681323">
        <w:t xml:space="preserve">42ZCZW </w:t>
      </w:r>
      <w:r w:rsidRPr="00B41852">
        <w:t>with respec</w:t>
      </w:r>
      <w:r>
        <w:t>t to the following substances:</w:t>
      </w:r>
    </w:p>
    <w:p w14:paraId="4AF1DC6B" w14:textId="77777777" w:rsidR="007A78B1" w:rsidRDefault="00021DDF" w:rsidP="00B521FB">
      <w:pPr>
        <w:pStyle w:val="ListBullet"/>
      </w:pPr>
      <w:r>
        <w:t>fluoride</w:t>
      </w:r>
    </w:p>
    <w:p w14:paraId="37F6E92F" w14:textId="77777777" w:rsidR="006F7382" w:rsidRDefault="007A78B1" w:rsidP="00B521FB">
      <w:pPr>
        <w:pStyle w:val="ListBullet"/>
      </w:pPr>
      <w:proofErr w:type="spellStart"/>
      <w:r>
        <w:t>molidustat</w:t>
      </w:r>
      <w:proofErr w:type="spellEnd"/>
    </w:p>
    <w:p w14:paraId="3E2E6AA5" w14:textId="390E630D" w:rsidR="002A3117" w:rsidRDefault="002A3117" w:rsidP="00B521FB">
      <w:pPr>
        <w:pStyle w:val="ListBullet"/>
      </w:pPr>
      <w:r>
        <w:t>desloratadine</w:t>
      </w:r>
    </w:p>
    <w:p w14:paraId="5757B52C" w14:textId="557FA91E" w:rsidR="00084016" w:rsidRDefault="00084016" w:rsidP="00084016">
      <w:pPr>
        <w:pStyle w:val="Heading3"/>
      </w:pPr>
      <w:bookmarkStart w:id="40" w:name="_Toc164149822"/>
      <w:bookmarkStart w:id="41" w:name="_Toc185508613"/>
      <w:r>
        <w:t xml:space="preserve">Final decision in relation to </w:t>
      </w:r>
      <w:bookmarkEnd w:id="40"/>
      <w:r w:rsidR="00021DDF">
        <w:t>fluoride</w:t>
      </w:r>
      <w:bookmarkEnd w:id="41"/>
    </w:p>
    <w:p w14:paraId="7757B466" w14:textId="77777777" w:rsidR="00B94F8C" w:rsidRDefault="00B94F8C" w:rsidP="00B94F8C">
      <w:pPr>
        <w:pStyle w:val="Heading4"/>
      </w:pPr>
      <w:bookmarkStart w:id="42" w:name="_Toc176861266"/>
      <w:bookmarkStart w:id="43" w:name="_Toc97640267"/>
      <w:r w:rsidRPr="00C33DA5">
        <w:t>Background</w:t>
      </w:r>
      <w:bookmarkEnd w:id="42"/>
      <w:r w:rsidRPr="00C33DA5">
        <w:t xml:space="preserve"> </w:t>
      </w:r>
    </w:p>
    <w:p w14:paraId="7AB0A9A8" w14:textId="77777777" w:rsidR="00B94F8C" w:rsidRPr="00484832" w:rsidRDefault="00B94F8C" w:rsidP="00B94F8C">
      <w:pPr>
        <w:rPr>
          <w:color w:val="auto"/>
          <w:szCs w:val="20"/>
        </w:rPr>
      </w:pPr>
      <w:r w:rsidRPr="00484832">
        <w:rPr>
          <w:color w:val="auto"/>
          <w:szCs w:val="20"/>
        </w:rPr>
        <w:t xml:space="preserve">Fluoride plays a major role in prevention of tooth decay and has several applications including fluoridated water, toothpaste, and fluoride varnishes. While fluoride is safe to use when applied according to its instructions, there can be adverse effects if used excessively or incorrectly. </w:t>
      </w:r>
    </w:p>
    <w:p w14:paraId="666994EE" w14:textId="77777777" w:rsidR="00B94F8C" w:rsidRPr="00484832" w:rsidRDefault="00B94F8C" w:rsidP="00B94F8C">
      <w:pPr>
        <w:rPr>
          <w:color w:val="auto"/>
          <w:szCs w:val="20"/>
        </w:rPr>
      </w:pPr>
      <w:r w:rsidRPr="00484832">
        <w:rPr>
          <w:color w:val="auto"/>
          <w:szCs w:val="20"/>
        </w:rPr>
        <w:t>Fluoride varnish was initially developed in 1964 to prevent dental caries and is still widely used in the dental industry today.</w:t>
      </w:r>
      <w:r w:rsidRPr="00484832">
        <w:rPr>
          <w:color w:val="auto"/>
          <w:szCs w:val="20"/>
          <w:vertAlign w:val="superscript"/>
        </w:rPr>
        <w:footnoteReference w:id="7"/>
      </w:r>
      <w:r w:rsidRPr="00484832">
        <w:rPr>
          <w:color w:val="auto"/>
          <w:szCs w:val="20"/>
        </w:rPr>
        <w:t xml:space="preserve"> It is typically applied by a professional 2-4 times a year depending on the patients’ requirements and is the most used preventative measure taken for dental caries, particularly in high-risk children.</w:t>
      </w:r>
      <w:r w:rsidRPr="00484832">
        <w:rPr>
          <w:color w:val="auto"/>
          <w:szCs w:val="20"/>
          <w:vertAlign w:val="superscript"/>
        </w:rPr>
        <w:footnoteReference w:id="8"/>
      </w:r>
    </w:p>
    <w:p w14:paraId="7B8354E2" w14:textId="77777777" w:rsidR="00B94F8C" w:rsidRDefault="00B94F8C" w:rsidP="00B94F8C">
      <w:pPr>
        <w:pStyle w:val="Heading4"/>
      </w:pPr>
      <w:bookmarkStart w:id="44" w:name="_Toc176861267"/>
      <w:r w:rsidRPr="00C33DA5">
        <w:t>Current Scheduling</w:t>
      </w:r>
      <w:bookmarkEnd w:id="44"/>
    </w:p>
    <w:p w14:paraId="785C6DEA" w14:textId="77777777" w:rsidR="00B94F8C" w:rsidRPr="00FD3974" w:rsidRDefault="00B94F8C" w:rsidP="00B94F8C">
      <w:bookmarkStart w:id="45" w:name="_Hlk146272164"/>
      <w:r w:rsidRPr="00FD3974">
        <w:rPr>
          <w:rFonts w:eastAsia="Cambria" w:cstheme="minorHAnsi"/>
          <w:color w:val="auto"/>
          <w:szCs w:val="20"/>
        </w:rPr>
        <w:t>Fluorides are currently captured in Schedules 2, 3, 4, 5 and 6 of the Poisons Standard as set out below:</w:t>
      </w:r>
    </w:p>
    <w:bookmarkEnd w:id="45"/>
    <w:p w14:paraId="0CF1A81E" w14:textId="77777777" w:rsidR="00B94F8C" w:rsidRPr="00FD3974" w:rsidRDefault="00B94F8C" w:rsidP="004F0E82">
      <w:pPr>
        <w:ind w:left="425"/>
        <w:rPr>
          <w:rFonts w:eastAsia="Cambria" w:cstheme="minorHAnsi"/>
          <w:b/>
          <w:bCs/>
          <w:color w:val="auto"/>
          <w:szCs w:val="20"/>
        </w:rPr>
      </w:pPr>
      <w:r w:rsidRPr="00FD3974">
        <w:rPr>
          <w:rFonts w:eastAsia="Cambria" w:cstheme="minorHAnsi"/>
          <w:b/>
          <w:bCs/>
          <w:color w:val="auto"/>
          <w:szCs w:val="20"/>
        </w:rPr>
        <w:t xml:space="preserve">Schedule 6 </w:t>
      </w:r>
    </w:p>
    <w:p w14:paraId="2DCB2EFD" w14:textId="77777777" w:rsidR="00B94F8C" w:rsidRPr="00FD3974" w:rsidRDefault="00B94F8C" w:rsidP="004F0E82">
      <w:pPr>
        <w:ind w:left="567"/>
        <w:rPr>
          <w:rFonts w:eastAsia="Cambria" w:cstheme="minorHAnsi"/>
          <w:color w:val="auto"/>
          <w:szCs w:val="20"/>
        </w:rPr>
      </w:pPr>
      <w:r w:rsidRPr="00FD3974">
        <w:rPr>
          <w:rFonts w:eastAsia="Cambria" w:cstheme="minorHAnsi"/>
          <w:color w:val="auto"/>
          <w:szCs w:val="20"/>
        </w:rPr>
        <w:t xml:space="preserve">FLUORIDES </w:t>
      </w:r>
      <w:r w:rsidRPr="00FD3974">
        <w:rPr>
          <w:rFonts w:eastAsia="Cambria" w:cstheme="minorHAnsi"/>
          <w:b/>
          <w:bCs/>
          <w:color w:val="auto"/>
          <w:szCs w:val="20"/>
        </w:rPr>
        <w:t>except</w:t>
      </w:r>
      <w:r w:rsidRPr="00FD3974">
        <w:rPr>
          <w:rFonts w:eastAsia="Cambria" w:cstheme="minorHAnsi"/>
          <w:color w:val="auto"/>
          <w:szCs w:val="20"/>
        </w:rPr>
        <w:t>:</w:t>
      </w:r>
    </w:p>
    <w:p w14:paraId="66D65A34" w14:textId="77777777" w:rsidR="00B94F8C" w:rsidRPr="00FD3974" w:rsidRDefault="00B94F8C" w:rsidP="004F0E82">
      <w:pPr>
        <w:spacing w:after="0"/>
        <w:ind w:left="788"/>
        <w:rPr>
          <w:rFonts w:eastAsia="Cambria" w:cstheme="minorHAnsi"/>
          <w:color w:val="auto"/>
          <w:szCs w:val="20"/>
        </w:rPr>
      </w:pPr>
      <w:r w:rsidRPr="00FD3974">
        <w:rPr>
          <w:rFonts w:eastAsia="Cambria" w:cstheme="minorHAnsi"/>
          <w:color w:val="auto"/>
          <w:szCs w:val="20"/>
        </w:rPr>
        <w:t>(a) when included in Schedule 5; or</w:t>
      </w:r>
    </w:p>
    <w:p w14:paraId="484F62DE" w14:textId="77777777" w:rsidR="00B94F8C" w:rsidRPr="00FD3974" w:rsidRDefault="00B94F8C" w:rsidP="004F0E82">
      <w:pPr>
        <w:spacing w:after="0"/>
        <w:ind w:left="788"/>
        <w:rPr>
          <w:rFonts w:eastAsia="Cambria" w:cstheme="minorHAnsi"/>
          <w:color w:val="auto"/>
          <w:szCs w:val="20"/>
        </w:rPr>
      </w:pPr>
      <w:r w:rsidRPr="00FD3974">
        <w:rPr>
          <w:rFonts w:eastAsia="Cambria" w:cstheme="minorHAnsi"/>
          <w:color w:val="auto"/>
          <w:szCs w:val="20"/>
        </w:rPr>
        <w:t>(b) in preparations for human use; or</w:t>
      </w:r>
    </w:p>
    <w:p w14:paraId="2890C0A8" w14:textId="77777777" w:rsidR="00B94F8C" w:rsidRPr="00FD3974" w:rsidRDefault="00B94F8C" w:rsidP="004F0E82">
      <w:pPr>
        <w:ind w:left="788"/>
        <w:rPr>
          <w:rFonts w:eastAsia="Cambria" w:cstheme="minorHAnsi"/>
          <w:color w:val="auto"/>
          <w:szCs w:val="20"/>
        </w:rPr>
      </w:pPr>
      <w:r w:rsidRPr="00FD3974">
        <w:rPr>
          <w:rFonts w:eastAsia="Cambria" w:cstheme="minorHAnsi"/>
          <w:color w:val="auto"/>
          <w:szCs w:val="20"/>
        </w:rPr>
        <w:t>(c) in preparations containing 15 mg/kg or less of fluoride ion.</w:t>
      </w:r>
    </w:p>
    <w:p w14:paraId="543BB6FC" w14:textId="77777777" w:rsidR="00B94F8C" w:rsidRPr="00FD3974" w:rsidRDefault="00B94F8C" w:rsidP="004F0E82">
      <w:pPr>
        <w:ind w:left="425"/>
        <w:rPr>
          <w:rFonts w:eastAsia="Cambria" w:cstheme="minorHAnsi"/>
          <w:b/>
          <w:bCs/>
          <w:color w:val="auto"/>
          <w:szCs w:val="20"/>
        </w:rPr>
      </w:pPr>
      <w:r w:rsidRPr="00FD3974">
        <w:rPr>
          <w:rFonts w:eastAsia="Cambria" w:cstheme="minorHAnsi"/>
          <w:b/>
          <w:bCs/>
          <w:color w:val="auto"/>
          <w:szCs w:val="20"/>
        </w:rPr>
        <w:t xml:space="preserve">Schedule 5 </w:t>
      </w:r>
    </w:p>
    <w:p w14:paraId="11E7C61B" w14:textId="77777777" w:rsidR="00B94F8C" w:rsidRPr="00FD3974" w:rsidRDefault="00B94F8C" w:rsidP="004F0E82">
      <w:pPr>
        <w:ind w:left="567"/>
        <w:rPr>
          <w:rFonts w:eastAsia="Cambria" w:cstheme="minorHAnsi"/>
          <w:color w:val="auto"/>
          <w:szCs w:val="20"/>
        </w:rPr>
      </w:pPr>
      <w:r w:rsidRPr="00FD3974">
        <w:rPr>
          <w:rFonts w:eastAsia="Cambria" w:cstheme="minorHAnsi"/>
          <w:color w:val="auto"/>
          <w:szCs w:val="20"/>
        </w:rPr>
        <w:t xml:space="preserve">FLUORIDES in preparations containing 3% or less of fluoride ion </w:t>
      </w:r>
      <w:r w:rsidRPr="00FD3974">
        <w:rPr>
          <w:rFonts w:eastAsia="Cambria" w:cstheme="minorHAnsi"/>
          <w:b/>
          <w:bCs/>
          <w:color w:val="auto"/>
          <w:szCs w:val="20"/>
        </w:rPr>
        <w:t>except</w:t>
      </w:r>
      <w:r w:rsidRPr="00FD3974">
        <w:rPr>
          <w:rFonts w:eastAsia="Cambria" w:cstheme="minorHAnsi"/>
          <w:color w:val="auto"/>
          <w:szCs w:val="20"/>
        </w:rPr>
        <w:t>:</w:t>
      </w:r>
    </w:p>
    <w:p w14:paraId="03A7A426" w14:textId="77777777" w:rsidR="00B94F8C" w:rsidRPr="00FD3974" w:rsidRDefault="00B94F8C" w:rsidP="004F0E82">
      <w:pPr>
        <w:spacing w:after="0"/>
        <w:ind w:left="788"/>
        <w:rPr>
          <w:rFonts w:eastAsia="Cambria" w:cstheme="minorHAnsi"/>
          <w:color w:val="auto"/>
          <w:szCs w:val="20"/>
        </w:rPr>
      </w:pPr>
      <w:r w:rsidRPr="00FD3974">
        <w:rPr>
          <w:rFonts w:eastAsia="Cambria" w:cstheme="minorHAnsi"/>
          <w:color w:val="auto"/>
          <w:szCs w:val="20"/>
        </w:rPr>
        <w:t>(a) in preparations for human use; or</w:t>
      </w:r>
    </w:p>
    <w:p w14:paraId="5150EAF8" w14:textId="77777777" w:rsidR="00B94F8C" w:rsidRDefault="00B94F8C" w:rsidP="004F0E82">
      <w:pPr>
        <w:spacing w:after="0"/>
        <w:ind w:left="788"/>
        <w:rPr>
          <w:rFonts w:eastAsia="Cambria" w:cstheme="minorHAnsi"/>
          <w:color w:val="auto"/>
          <w:szCs w:val="20"/>
        </w:rPr>
      </w:pPr>
      <w:r w:rsidRPr="00FD3974">
        <w:rPr>
          <w:rFonts w:eastAsia="Cambria" w:cstheme="minorHAnsi"/>
          <w:color w:val="auto"/>
          <w:szCs w:val="20"/>
        </w:rPr>
        <w:t>(b) in preparations containing 15 mg/kg or less of fluoride ion.</w:t>
      </w:r>
    </w:p>
    <w:p w14:paraId="28530988" w14:textId="77777777" w:rsidR="00B94F8C" w:rsidRDefault="00B94F8C" w:rsidP="00B94F8C">
      <w:pPr>
        <w:spacing w:after="0"/>
        <w:ind w:left="1701"/>
        <w:rPr>
          <w:rFonts w:eastAsia="Cambria" w:cstheme="minorHAnsi"/>
          <w:color w:val="auto"/>
          <w:szCs w:val="20"/>
        </w:rPr>
      </w:pPr>
    </w:p>
    <w:p w14:paraId="14A16D4B" w14:textId="77777777" w:rsidR="00B94F8C" w:rsidRPr="00EC0210" w:rsidRDefault="00B94F8C" w:rsidP="004F0E82">
      <w:pPr>
        <w:ind w:left="425"/>
        <w:rPr>
          <w:rFonts w:eastAsia="Cambria" w:cstheme="minorHAnsi"/>
          <w:b/>
          <w:bCs/>
          <w:color w:val="auto"/>
          <w:szCs w:val="20"/>
        </w:rPr>
      </w:pPr>
      <w:r w:rsidRPr="00EC0210">
        <w:rPr>
          <w:rFonts w:eastAsia="Cambria" w:cstheme="minorHAnsi"/>
          <w:b/>
          <w:bCs/>
          <w:color w:val="auto"/>
          <w:szCs w:val="20"/>
        </w:rPr>
        <w:t>Schedule 4</w:t>
      </w:r>
    </w:p>
    <w:p w14:paraId="0FEA8348" w14:textId="77777777" w:rsidR="00B94F8C" w:rsidRPr="00EC0210" w:rsidRDefault="00B94F8C" w:rsidP="004F0E82">
      <w:pPr>
        <w:ind w:left="567"/>
        <w:rPr>
          <w:rFonts w:eastAsia="Cambria" w:cstheme="minorHAnsi"/>
          <w:b/>
          <w:bCs/>
          <w:color w:val="auto"/>
          <w:szCs w:val="20"/>
        </w:rPr>
      </w:pPr>
      <w:r w:rsidRPr="00EC0210">
        <w:rPr>
          <w:color w:val="auto"/>
        </w:rPr>
        <w:t xml:space="preserve">FLUORIDES in preparations for human use </w:t>
      </w:r>
      <w:r w:rsidRPr="00EC0210">
        <w:rPr>
          <w:b/>
          <w:bCs/>
          <w:color w:val="auto"/>
        </w:rPr>
        <w:t xml:space="preserve">except </w:t>
      </w:r>
      <w:r w:rsidRPr="00EC0210">
        <w:rPr>
          <w:color w:val="auto"/>
        </w:rPr>
        <w:t>when included in or expressly excluded from Schedule 2 or 3.</w:t>
      </w:r>
    </w:p>
    <w:p w14:paraId="32BB1B01" w14:textId="77777777" w:rsidR="00B94F8C" w:rsidRPr="00EC0210" w:rsidRDefault="00B94F8C" w:rsidP="004F0E82">
      <w:pPr>
        <w:ind w:left="425"/>
        <w:rPr>
          <w:rFonts w:eastAsia="Cambria" w:cstheme="minorHAnsi"/>
          <w:b/>
          <w:bCs/>
          <w:color w:val="auto"/>
          <w:szCs w:val="20"/>
        </w:rPr>
      </w:pPr>
      <w:r w:rsidRPr="00EC0210">
        <w:rPr>
          <w:rFonts w:eastAsia="Cambria" w:cstheme="minorHAnsi"/>
          <w:b/>
          <w:bCs/>
          <w:color w:val="auto"/>
          <w:szCs w:val="20"/>
        </w:rPr>
        <w:lastRenderedPageBreak/>
        <w:t xml:space="preserve">Schedule 3 </w:t>
      </w:r>
    </w:p>
    <w:p w14:paraId="4F07B188" w14:textId="77777777" w:rsidR="00B94F8C" w:rsidRPr="00EC0210" w:rsidRDefault="00B94F8C" w:rsidP="004F0E82">
      <w:pPr>
        <w:ind w:left="567"/>
        <w:rPr>
          <w:rFonts w:eastAsia="Cambria" w:cstheme="minorHAnsi"/>
          <w:color w:val="auto"/>
          <w:szCs w:val="20"/>
        </w:rPr>
      </w:pPr>
      <w:r w:rsidRPr="00EC0210">
        <w:rPr>
          <w:rFonts w:eastAsia="Cambria" w:cstheme="minorHAnsi"/>
          <w:color w:val="auto"/>
          <w:szCs w:val="20"/>
        </w:rPr>
        <w:t>FLUORIDES</w:t>
      </w:r>
      <w:r w:rsidRPr="00EC0210">
        <w:rPr>
          <w:rFonts w:eastAsia="Cambria" w:cstheme="minorHAnsi"/>
          <w:b/>
          <w:bCs/>
          <w:color w:val="auto"/>
          <w:szCs w:val="20"/>
        </w:rPr>
        <w:t xml:space="preserve"> </w:t>
      </w:r>
      <w:r w:rsidRPr="00EC0210">
        <w:rPr>
          <w:rFonts w:eastAsia="Cambria" w:cstheme="minorHAnsi"/>
          <w:color w:val="auto"/>
          <w:szCs w:val="20"/>
        </w:rPr>
        <w:t>for human topical use:</w:t>
      </w:r>
    </w:p>
    <w:p w14:paraId="753282C6" w14:textId="77777777" w:rsidR="00B94F8C" w:rsidRPr="00EC0210" w:rsidRDefault="00B94F8C" w:rsidP="00904DF1">
      <w:pPr>
        <w:ind w:left="788"/>
        <w:rPr>
          <w:rFonts w:eastAsia="Cambria" w:cstheme="minorHAnsi"/>
          <w:color w:val="auto"/>
          <w:szCs w:val="20"/>
        </w:rPr>
      </w:pPr>
      <w:r w:rsidRPr="00EC0210">
        <w:rPr>
          <w:rFonts w:eastAsia="Cambria" w:cstheme="minorHAnsi"/>
          <w:color w:val="auto"/>
          <w:szCs w:val="20"/>
        </w:rPr>
        <w:t>(a) in liquid preparations containing 5500 mg/kg or less of fluoride ion, in a container with a child-resistant closure except when included in or expressly excluded from Schedule 2; or</w:t>
      </w:r>
    </w:p>
    <w:p w14:paraId="2DCFD400" w14:textId="77777777" w:rsidR="00B94F8C" w:rsidRPr="00EC0210" w:rsidRDefault="00B94F8C" w:rsidP="00904DF1">
      <w:pPr>
        <w:ind w:left="788"/>
        <w:rPr>
          <w:rFonts w:eastAsia="Cambria" w:cstheme="minorHAnsi"/>
          <w:color w:val="auto"/>
          <w:szCs w:val="20"/>
        </w:rPr>
      </w:pPr>
      <w:r w:rsidRPr="00EC0210">
        <w:rPr>
          <w:rFonts w:eastAsia="Cambria" w:cstheme="minorHAnsi"/>
          <w:color w:val="auto"/>
          <w:szCs w:val="20"/>
        </w:rPr>
        <w:t xml:space="preserve">(b) in non-liquid preparations containing 5500 mg/kg or less of fluoride ion </w:t>
      </w:r>
      <w:r w:rsidRPr="00EC0210">
        <w:rPr>
          <w:rFonts w:eastAsia="Cambria" w:cstheme="minorHAnsi"/>
          <w:b/>
          <w:bCs/>
          <w:color w:val="auto"/>
          <w:szCs w:val="20"/>
        </w:rPr>
        <w:t>except</w:t>
      </w:r>
      <w:r w:rsidRPr="00EC0210">
        <w:rPr>
          <w:rFonts w:eastAsia="Cambria" w:cstheme="minorHAnsi"/>
          <w:color w:val="auto"/>
          <w:szCs w:val="20"/>
        </w:rPr>
        <w:t>:</w:t>
      </w:r>
    </w:p>
    <w:p w14:paraId="1904D766" w14:textId="77777777" w:rsidR="00B94F8C" w:rsidRPr="00EC0210" w:rsidRDefault="00B94F8C" w:rsidP="00904DF1">
      <w:pPr>
        <w:ind w:left="1191"/>
        <w:rPr>
          <w:rFonts w:eastAsia="Cambria" w:cstheme="minorHAnsi"/>
          <w:color w:val="auto"/>
          <w:szCs w:val="20"/>
        </w:rPr>
      </w:pPr>
      <w:r w:rsidRPr="00EC0210">
        <w:rPr>
          <w:rFonts w:eastAsia="Cambria" w:cstheme="minorHAnsi"/>
          <w:color w:val="auto"/>
          <w:szCs w:val="20"/>
        </w:rPr>
        <w:t>(i) in preparations for therapeutic use containing 1500 mg/kg or less of fluoride ion and, when containing more than 1000 mg/kg fluoride ion, compliant with the requirements of the required advisory statements for medicine labels; or</w:t>
      </w:r>
    </w:p>
    <w:p w14:paraId="69C81DE6" w14:textId="77777777" w:rsidR="00B94F8C" w:rsidRPr="00EC0210" w:rsidRDefault="00B94F8C" w:rsidP="00904DF1">
      <w:pPr>
        <w:ind w:left="1191"/>
        <w:rPr>
          <w:rFonts w:eastAsia="Cambria" w:cstheme="minorHAnsi"/>
          <w:color w:val="auto"/>
          <w:szCs w:val="20"/>
        </w:rPr>
      </w:pPr>
      <w:r w:rsidRPr="00EC0210">
        <w:rPr>
          <w:rFonts w:eastAsia="Cambria" w:cstheme="minorHAnsi"/>
          <w:color w:val="auto"/>
          <w:szCs w:val="20"/>
        </w:rPr>
        <w:t>(ii) in preparations for non-therapeutic use containing 1500 mg/kg or less of fluoride ion and, when containing more than 1000 mg/kg fluoride ion, labelled with warnings to the following effect:</w:t>
      </w:r>
    </w:p>
    <w:p w14:paraId="3D2FE316" w14:textId="77777777" w:rsidR="00B94F8C" w:rsidRPr="00EC0210" w:rsidRDefault="00B94F8C" w:rsidP="004F0E82">
      <w:pPr>
        <w:ind w:left="1559"/>
        <w:rPr>
          <w:rFonts w:eastAsia="Cambria" w:cstheme="minorHAnsi"/>
          <w:color w:val="auto"/>
          <w:szCs w:val="20"/>
        </w:rPr>
      </w:pPr>
      <w:r w:rsidRPr="00EC0210">
        <w:rPr>
          <w:rFonts w:eastAsia="Cambria" w:cstheme="minorHAnsi"/>
          <w:color w:val="auto"/>
          <w:szCs w:val="20"/>
        </w:rPr>
        <w:t>(A) Do not swallow; and</w:t>
      </w:r>
    </w:p>
    <w:p w14:paraId="7127975C" w14:textId="77777777" w:rsidR="00B94F8C" w:rsidRPr="00EC0210" w:rsidRDefault="00B94F8C" w:rsidP="004F0E82">
      <w:pPr>
        <w:ind w:left="1559"/>
        <w:rPr>
          <w:rFonts w:eastAsia="Cambria" w:cstheme="minorHAnsi"/>
          <w:color w:val="auto"/>
          <w:szCs w:val="20"/>
        </w:rPr>
      </w:pPr>
      <w:r w:rsidRPr="00EC0210">
        <w:rPr>
          <w:rFonts w:eastAsia="Cambria" w:cstheme="minorHAnsi"/>
          <w:color w:val="auto"/>
          <w:szCs w:val="20"/>
        </w:rPr>
        <w:t>(B) Do not use [this product/name of product] in children six years of age or less; or</w:t>
      </w:r>
    </w:p>
    <w:p w14:paraId="16E6927F" w14:textId="77777777" w:rsidR="00B94F8C" w:rsidRPr="00EC0210" w:rsidRDefault="00B94F8C" w:rsidP="004F0E82">
      <w:pPr>
        <w:ind w:left="1191"/>
        <w:rPr>
          <w:rFonts w:eastAsia="Cambria" w:cstheme="minorHAnsi"/>
          <w:color w:val="auto"/>
          <w:szCs w:val="20"/>
        </w:rPr>
      </w:pPr>
      <w:r w:rsidRPr="00EC0210">
        <w:rPr>
          <w:rFonts w:eastAsia="Cambria" w:cstheme="minorHAnsi"/>
          <w:color w:val="auto"/>
          <w:szCs w:val="20"/>
        </w:rPr>
        <w:t>(iii) in preparations for supply to registered dental professionals or by approval of an appropriate authority.</w:t>
      </w:r>
    </w:p>
    <w:p w14:paraId="268EBF2C" w14:textId="77777777" w:rsidR="00B94F8C" w:rsidRPr="00EC0210" w:rsidRDefault="00B94F8C" w:rsidP="000C3723">
      <w:pPr>
        <w:ind w:left="425"/>
        <w:rPr>
          <w:rFonts w:eastAsia="Cambria" w:cstheme="minorHAnsi"/>
          <w:b/>
          <w:bCs/>
          <w:color w:val="auto"/>
          <w:szCs w:val="20"/>
        </w:rPr>
      </w:pPr>
      <w:r w:rsidRPr="00EC0210">
        <w:rPr>
          <w:rFonts w:eastAsia="Cambria" w:cstheme="minorHAnsi"/>
          <w:b/>
          <w:bCs/>
          <w:color w:val="auto"/>
          <w:szCs w:val="20"/>
        </w:rPr>
        <w:t xml:space="preserve">Schedule 2 </w:t>
      </w:r>
    </w:p>
    <w:p w14:paraId="4D48B4D4" w14:textId="77777777" w:rsidR="00B94F8C" w:rsidRPr="00EC0210" w:rsidRDefault="00B94F8C" w:rsidP="004F0E82">
      <w:pPr>
        <w:ind w:left="567"/>
        <w:rPr>
          <w:rFonts w:eastAsia="Cambria" w:cstheme="minorHAnsi"/>
          <w:color w:val="auto"/>
          <w:szCs w:val="20"/>
        </w:rPr>
      </w:pPr>
      <w:r w:rsidRPr="00EC0210">
        <w:rPr>
          <w:rFonts w:eastAsia="Cambria" w:cstheme="minorHAnsi"/>
          <w:color w:val="auto"/>
          <w:szCs w:val="20"/>
        </w:rPr>
        <w:t>FLUORIDES for human use:</w:t>
      </w:r>
    </w:p>
    <w:p w14:paraId="794E0B8B" w14:textId="77777777" w:rsidR="00B94F8C" w:rsidRPr="00EC0210" w:rsidRDefault="00B94F8C" w:rsidP="00904DF1">
      <w:pPr>
        <w:ind w:left="788"/>
        <w:rPr>
          <w:rFonts w:eastAsia="Cambria" w:cstheme="minorHAnsi"/>
          <w:i/>
          <w:iCs/>
          <w:color w:val="auto"/>
          <w:szCs w:val="20"/>
        </w:rPr>
      </w:pPr>
      <w:r w:rsidRPr="00EC0210">
        <w:rPr>
          <w:rFonts w:eastAsia="Cambria" w:cstheme="minorHAnsi"/>
          <w:color w:val="auto"/>
          <w:szCs w:val="20"/>
        </w:rPr>
        <w:t xml:space="preserve">(a) in preparations for ingestion containing 0.5 mg or less of fluoride ion per dosage unit; or </w:t>
      </w:r>
    </w:p>
    <w:p w14:paraId="421DCE3B" w14:textId="77777777" w:rsidR="00B94F8C" w:rsidRPr="00EC0210" w:rsidRDefault="00B94F8C" w:rsidP="00904DF1">
      <w:pPr>
        <w:ind w:left="788"/>
        <w:rPr>
          <w:rFonts w:eastAsia="Cambria" w:cstheme="minorHAnsi"/>
          <w:color w:val="auto"/>
          <w:szCs w:val="20"/>
        </w:rPr>
      </w:pPr>
      <w:r w:rsidRPr="00EC0210">
        <w:rPr>
          <w:rFonts w:eastAsia="Cambria" w:cstheme="minorHAnsi"/>
          <w:color w:val="auto"/>
          <w:szCs w:val="20"/>
        </w:rPr>
        <w:t>(b) in liquid preparations for topical use containing 1000 mg/kg or less of fluoride ion, in a container with a child-resistant closure:</w:t>
      </w:r>
    </w:p>
    <w:p w14:paraId="0C7D754B" w14:textId="77777777" w:rsidR="00B94F8C" w:rsidRPr="00EC0210" w:rsidRDefault="00B94F8C" w:rsidP="00904DF1">
      <w:pPr>
        <w:ind w:left="1191"/>
        <w:rPr>
          <w:rFonts w:eastAsia="Cambria" w:cstheme="minorHAnsi"/>
          <w:color w:val="auto"/>
          <w:szCs w:val="20"/>
        </w:rPr>
      </w:pPr>
      <w:r w:rsidRPr="00EC0210">
        <w:rPr>
          <w:rFonts w:eastAsia="Cambria" w:cstheme="minorHAnsi"/>
          <w:color w:val="auto"/>
          <w:szCs w:val="20"/>
        </w:rPr>
        <w:t xml:space="preserve">(i) for therapeutic use when compliant with the requirements of the required advisory statements for medicine labels </w:t>
      </w:r>
      <w:r w:rsidRPr="00EC0210">
        <w:rPr>
          <w:rFonts w:eastAsia="Cambria" w:cstheme="minorHAnsi"/>
          <w:b/>
          <w:bCs/>
          <w:color w:val="auto"/>
          <w:szCs w:val="20"/>
        </w:rPr>
        <w:t xml:space="preserve">except </w:t>
      </w:r>
      <w:r w:rsidRPr="00EC0210">
        <w:rPr>
          <w:rFonts w:eastAsia="Cambria" w:cstheme="minorHAnsi"/>
          <w:color w:val="auto"/>
          <w:szCs w:val="20"/>
        </w:rPr>
        <w:t>in preparations containing 220 mg/kg or less of fluoride ion, in packs containing not more than 120 mg total fluoride when fitted with a child-resistant closure and compliant with the requirements of required advisory statements for medicine labels; or</w:t>
      </w:r>
    </w:p>
    <w:p w14:paraId="44097924" w14:textId="77777777" w:rsidR="00B94F8C" w:rsidRPr="00EC0210" w:rsidRDefault="00B94F8C" w:rsidP="00904DF1">
      <w:pPr>
        <w:ind w:left="1191"/>
        <w:rPr>
          <w:rFonts w:eastAsia="Cambria" w:cstheme="minorHAnsi"/>
          <w:color w:val="auto"/>
          <w:szCs w:val="20"/>
        </w:rPr>
      </w:pPr>
      <w:r w:rsidRPr="00EC0210">
        <w:rPr>
          <w:rFonts w:eastAsia="Cambria" w:cstheme="minorHAnsi"/>
          <w:color w:val="auto"/>
          <w:szCs w:val="20"/>
        </w:rPr>
        <w:t>(ii) for non-therapeutic use when labelled with warnings to the following effect:</w:t>
      </w:r>
    </w:p>
    <w:p w14:paraId="3A792B14" w14:textId="77777777" w:rsidR="00B94F8C" w:rsidRPr="00EC0210" w:rsidRDefault="00B94F8C" w:rsidP="004F0E82">
      <w:pPr>
        <w:ind w:left="1559"/>
        <w:rPr>
          <w:rFonts w:eastAsia="Cambria" w:cstheme="minorHAnsi"/>
          <w:color w:val="auto"/>
          <w:szCs w:val="20"/>
        </w:rPr>
      </w:pPr>
      <w:r w:rsidRPr="00EC0210">
        <w:rPr>
          <w:rFonts w:eastAsia="Cambria" w:cstheme="minorHAnsi"/>
          <w:color w:val="auto"/>
          <w:szCs w:val="20"/>
        </w:rPr>
        <w:t>(A) Do not swallow; and</w:t>
      </w:r>
    </w:p>
    <w:p w14:paraId="55765F4D" w14:textId="77777777" w:rsidR="00B94F8C" w:rsidRPr="00EC0210" w:rsidRDefault="00B94F8C" w:rsidP="000C3723">
      <w:pPr>
        <w:ind w:left="1559"/>
        <w:rPr>
          <w:rFonts w:eastAsia="Cambria" w:cstheme="minorHAnsi"/>
          <w:color w:val="auto"/>
          <w:szCs w:val="20"/>
        </w:rPr>
      </w:pPr>
      <w:r w:rsidRPr="00EC0210">
        <w:rPr>
          <w:rFonts w:eastAsia="Cambria" w:cstheme="minorHAnsi"/>
          <w:color w:val="auto"/>
          <w:szCs w:val="20"/>
        </w:rPr>
        <w:t>(B) Do not use [this product/insert name of product] in children 6 years of age or less;</w:t>
      </w:r>
    </w:p>
    <w:p w14:paraId="3933004A" w14:textId="77777777" w:rsidR="00B94F8C" w:rsidRPr="00EC0210" w:rsidRDefault="00B94F8C" w:rsidP="000C3723">
      <w:pPr>
        <w:ind w:left="1559"/>
        <w:rPr>
          <w:rFonts w:eastAsia="Cambria" w:cstheme="minorHAnsi"/>
          <w:color w:val="auto"/>
          <w:szCs w:val="20"/>
        </w:rPr>
      </w:pPr>
      <w:r w:rsidRPr="00EC0210">
        <w:rPr>
          <w:rFonts w:eastAsia="Cambria" w:cstheme="minorHAnsi"/>
          <w:b/>
          <w:bCs/>
          <w:color w:val="auto"/>
          <w:szCs w:val="20"/>
        </w:rPr>
        <w:t xml:space="preserve">except </w:t>
      </w:r>
      <w:r w:rsidRPr="00EC0210">
        <w:rPr>
          <w:rFonts w:eastAsia="Cambria" w:cstheme="minorHAnsi"/>
          <w:color w:val="auto"/>
          <w:szCs w:val="20"/>
        </w:rPr>
        <w:t>in preparations containing 220 mg/kg or less of fluoride ion, in packs containing not more than 120 mg total fluoride, when fitted with a child-resistant closure and labelled with warnings to the following effect:</w:t>
      </w:r>
    </w:p>
    <w:p w14:paraId="749EDF43" w14:textId="77777777" w:rsidR="00B94F8C" w:rsidRPr="00EC0210" w:rsidRDefault="00B94F8C" w:rsidP="004F0E82">
      <w:pPr>
        <w:ind w:left="1559"/>
        <w:rPr>
          <w:rFonts w:eastAsia="Cambria" w:cstheme="minorHAnsi"/>
          <w:color w:val="auto"/>
          <w:szCs w:val="20"/>
        </w:rPr>
      </w:pPr>
      <w:r w:rsidRPr="00EC0210">
        <w:rPr>
          <w:rFonts w:eastAsia="Cambria" w:cstheme="minorHAnsi"/>
          <w:color w:val="auto"/>
          <w:szCs w:val="20"/>
        </w:rPr>
        <w:t>(C) Do not swallow; and</w:t>
      </w:r>
    </w:p>
    <w:p w14:paraId="0DE7F904" w14:textId="77777777" w:rsidR="00B94F8C" w:rsidRPr="00EC0210" w:rsidRDefault="00B94F8C" w:rsidP="004F0E82">
      <w:pPr>
        <w:ind w:left="1559"/>
        <w:rPr>
          <w:rFonts w:eastAsia="Cambria" w:cstheme="minorHAnsi"/>
          <w:color w:val="auto"/>
          <w:szCs w:val="20"/>
        </w:rPr>
      </w:pPr>
      <w:r w:rsidRPr="00EC0210">
        <w:rPr>
          <w:rFonts w:eastAsia="Cambria" w:cstheme="minorHAnsi"/>
          <w:color w:val="auto"/>
          <w:szCs w:val="20"/>
        </w:rPr>
        <w:t>(D) Do not use [this product/insert name of product] in children 6 years of age or less;</w:t>
      </w:r>
    </w:p>
    <w:p w14:paraId="1748C2AE" w14:textId="77777777" w:rsidR="00B94F8C" w:rsidRPr="00EC0210" w:rsidRDefault="00B94F8C" w:rsidP="000C3723">
      <w:pPr>
        <w:ind w:left="788"/>
        <w:rPr>
          <w:rFonts w:eastAsia="Cambria" w:cstheme="minorHAnsi"/>
          <w:color w:val="auto"/>
          <w:szCs w:val="20"/>
        </w:rPr>
      </w:pPr>
      <w:r w:rsidRPr="00EC0210">
        <w:rPr>
          <w:rFonts w:eastAsia="Cambria" w:cstheme="minorHAnsi"/>
          <w:b/>
          <w:bCs/>
          <w:color w:val="auto"/>
          <w:szCs w:val="20"/>
        </w:rPr>
        <w:t xml:space="preserve">except </w:t>
      </w:r>
      <w:r w:rsidRPr="00EC0210">
        <w:rPr>
          <w:rFonts w:eastAsia="Cambria" w:cstheme="minorHAnsi"/>
          <w:color w:val="auto"/>
          <w:szCs w:val="20"/>
        </w:rPr>
        <w:t>in preparations containing 15 mg/kg or less of fluoride ion or preparations for supply to registered dental professionals or by approval of an appropriate authority.</w:t>
      </w:r>
    </w:p>
    <w:p w14:paraId="3E32BB84" w14:textId="77777777" w:rsidR="00015497" w:rsidRDefault="00015497" w:rsidP="000C3723">
      <w:pPr>
        <w:keepLines/>
        <w:ind w:left="425"/>
        <w:rPr>
          <w:rFonts w:eastAsia="Cambria" w:cstheme="minorHAnsi"/>
          <w:b/>
          <w:bCs/>
          <w:color w:val="auto"/>
          <w:szCs w:val="20"/>
        </w:rPr>
      </w:pPr>
    </w:p>
    <w:p w14:paraId="3B8B8364" w14:textId="77777777" w:rsidR="00015497" w:rsidRDefault="00015497" w:rsidP="000C3723">
      <w:pPr>
        <w:keepLines/>
        <w:ind w:left="425"/>
        <w:rPr>
          <w:rFonts w:eastAsia="Cambria" w:cstheme="minorHAnsi"/>
          <w:b/>
          <w:bCs/>
          <w:color w:val="auto"/>
          <w:szCs w:val="20"/>
        </w:rPr>
      </w:pPr>
    </w:p>
    <w:p w14:paraId="5A68EFE1" w14:textId="77777777" w:rsidR="00015497" w:rsidRDefault="00015497" w:rsidP="000C3723">
      <w:pPr>
        <w:keepLines/>
        <w:ind w:left="425"/>
        <w:rPr>
          <w:rFonts w:eastAsia="Cambria" w:cstheme="minorHAnsi"/>
          <w:b/>
          <w:bCs/>
          <w:color w:val="auto"/>
          <w:szCs w:val="20"/>
        </w:rPr>
      </w:pPr>
    </w:p>
    <w:p w14:paraId="212517A2" w14:textId="77777777" w:rsidR="00015497" w:rsidRDefault="00015497" w:rsidP="000C3723">
      <w:pPr>
        <w:keepLines/>
        <w:ind w:left="425"/>
        <w:rPr>
          <w:rFonts w:eastAsia="Cambria" w:cstheme="minorHAnsi"/>
          <w:b/>
          <w:bCs/>
          <w:color w:val="auto"/>
          <w:szCs w:val="20"/>
        </w:rPr>
      </w:pPr>
    </w:p>
    <w:p w14:paraId="528CD76F" w14:textId="77777777" w:rsidR="00015497" w:rsidRDefault="00015497" w:rsidP="000C3723">
      <w:pPr>
        <w:keepLines/>
        <w:ind w:left="425"/>
        <w:rPr>
          <w:rFonts w:eastAsia="Cambria" w:cstheme="minorHAnsi"/>
          <w:b/>
          <w:bCs/>
          <w:color w:val="auto"/>
          <w:szCs w:val="20"/>
        </w:rPr>
      </w:pPr>
    </w:p>
    <w:p w14:paraId="5D6157D7" w14:textId="49CCD825" w:rsidR="00B94F8C" w:rsidRPr="00EC0210" w:rsidRDefault="00B94F8C" w:rsidP="000C3723">
      <w:pPr>
        <w:keepLines/>
        <w:ind w:left="425"/>
        <w:rPr>
          <w:rFonts w:eastAsia="Cambria" w:cstheme="minorHAnsi"/>
          <w:b/>
          <w:bCs/>
          <w:color w:val="auto"/>
          <w:szCs w:val="20"/>
        </w:rPr>
      </w:pPr>
      <w:r w:rsidRPr="00EC0210">
        <w:rPr>
          <w:rFonts w:eastAsia="Cambria" w:cstheme="minorHAnsi"/>
          <w:b/>
          <w:bCs/>
          <w:color w:val="auto"/>
          <w:szCs w:val="20"/>
        </w:rPr>
        <w:lastRenderedPageBreak/>
        <w:t>Index</w:t>
      </w:r>
    </w:p>
    <w:p w14:paraId="7A73A9A5" w14:textId="77777777" w:rsidR="00B94F8C" w:rsidRPr="00EC0210" w:rsidRDefault="00B94F8C" w:rsidP="000C3723">
      <w:pPr>
        <w:keepLines/>
        <w:ind w:left="425"/>
        <w:rPr>
          <w:rFonts w:eastAsia="Cambria" w:cstheme="minorHAnsi"/>
          <w:color w:val="auto"/>
          <w:szCs w:val="20"/>
        </w:rPr>
      </w:pPr>
      <w:r w:rsidRPr="00EC0210">
        <w:rPr>
          <w:rFonts w:eastAsia="Cambria" w:cstheme="minorHAnsi"/>
          <w:b/>
          <w:bCs/>
          <w:color w:val="auto"/>
          <w:szCs w:val="20"/>
        </w:rPr>
        <w:t xml:space="preserve">FLUORIDES </w:t>
      </w:r>
      <w:r w:rsidRPr="00EC0210">
        <w:rPr>
          <w:rFonts w:eastAsia="Cambria" w:cstheme="minorHAnsi"/>
          <w:b/>
          <w:bCs/>
          <w:color w:val="auto"/>
          <w:szCs w:val="20"/>
        </w:rPr>
        <w:br/>
      </w:r>
      <w:r w:rsidRPr="00EC0210">
        <w:rPr>
          <w:rFonts w:eastAsia="Cambria" w:cstheme="minorHAnsi"/>
          <w:color w:val="auto"/>
          <w:szCs w:val="20"/>
        </w:rPr>
        <w:t>cross reference: SILICOFLUORIDES</w:t>
      </w:r>
      <w:r w:rsidRPr="00EC0210">
        <w:rPr>
          <w:rFonts w:eastAsia="Cambria" w:cstheme="minorHAnsi"/>
          <w:color w:val="auto"/>
          <w:szCs w:val="20"/>
        </w:rPr>
        <w:br/>
        <w:t>Schedule 6</w:t>
      </w:r>
      <w:r w:rsidRPr="00EC0210">
        <w:rPr>
          <w:rFonts w:eastAsia="Cambria" w:cstheme="minorHAnsi"/>
          <w:color w:val="auto"/>
          <w:szCs w:val="20"/>
        </w:rPr>
        <w:br/>
        <w:t xml:space="preserve">Schedule 5 </w:t>
      </w:r>
      <w:r w:rsidRPr="00EC0210">
        <w:rPr>
          <w:rFonts w:eastAsia="Cambria" w:cstheme="minorHAnsi"/>
          <w:color w:val="auto"/>
          <w:szCs w:val="20"/>
        </w:rPr>
        <w:br/>
        <w:t xml:space="preserve">Schedule 4 </w:t>
      </w:r>
      <w:r w:rsidRPr="00EC0210">
        <w:rPr>
          <w:rFonts w:eastAsia="Cambria" w:cstheme="minorHAnsi"/>
          <w:color w:val="auto"/>
          <w:szCs w:val="20"/>
        </w:rPr>
        <w:br/>
        <w:t xml:space="preserve">Schedule 3 </w:t>
      </w:r>
      <w:r w:rsidRPr="00EC0210">
        <w:rPr>
          <w:rFonts w:eastAsia="Cambria" w:cstheme="minorHAnsi"/>
          <w:color w:val="auto"/>
          <w:szCs w:val="20"/>
        </w:rPr>
        <w:br/>
        <w:t xml:space="preserve">Schedule 2 </w:t>
      </w:r>
      <w:r w:rsidRPr="00EC0210">
        <w:rPr>
          <w:rFonts w:eastAsia="Cambria" w:cstheme="minorHAnsi"/>
          <w:color w:val="auto"/>
          <w:szCs w:val="20"/>
        </w:rPr>
        <w:br/>
        <w:t xml:space="preserve">Appendix E, clause 3 </w:t>
      </w:r>
      <w:r w:rsidRPr="00EC0210">
        <w:rPr>
          <w:rFonts w:eastAsia="Cambria" w:cstheme="minorHAnsi"/>
          <w:color w:val="auto"/>
          <w:szCs w:val="20"/>
        </w:rPr>
        <w:br/>
        <w:t xml:space="preserve">Appendix F, clause 4 </w:t>
      </w:r>
      <w:r w:rsidRPr="00EC0210">
        <w:rPr>
          <w:rFonts w:eastAsia="Cambria" w:cstheme="minorHAnsi"/>
          <w:color w:val="auto"/>
          <w:szCs w:val="20"/>
        </w:rPr>
        <w:br/>
        <w:t>Appendix H, clause 1</w:t>
      </w:r>
    </w:p>
    <w:p w14:paraId="42401747" w14:textId="77777777" w:rsidR="00B94F8C" w:rsidRPr="00EC0210" w:rsidRDefault="00B94F8C" w:rsidP="000C3723">
      <w:pPr>
        <w:keepLines/>
        <w:ind w:left="425"/>
        <w:rPr>
          <w:rFonts w:eastAsia="Cambria" w:cstheme="minorHAnsi"/>
          <w:b/>
          <w:bCs/>
          <w:color w:val="auto"/>
          <w:szCs w:val="20"/>
        </w:rPr>
      </w:pPr>
      <w:r w:rsidRPr="00EC0210">
        <w:rPr>
          <w:rFonts w:eastAsia="Cambria" w:cstheme="minorHAnsi"/>
          <w:b/>
          <w:bCs/>
          <w:color w:val="auto"/>
          <w:szCs w:val="20"/>
        </w:rPr>
        <w:t xml:space="preserve">Appendices </w:t>
      </w:r>
    </w:p>
    <w:p w14:paraId="2FC9CDD8" w14:textId="77777777" w:rsidR="00B94F8C" w:rsidRPr="00EC0210" w:rsidRDefault="00B94F8C" w:rsidP="000C3723">
      <w:pPr>
        <w:keepLines/>
        <w:ind w:left="425"/>
        <w:rPr>
          <w:rFonts w:eastAsia="Cambria" w:cstheme="minorHAnsi"/>
          <w:b/>
          <w:bCs/>
          <w:color w:val="auto"/>
          <w:szCs w:val="20"/>
        </w:rPr>
      </w:pPr>
      <w:r w:rsidRPr="00EC0210">
        <w:rPr>
          <w:rFonts w:eastAsia="Cambria" w:cstheme="minorHAnsi"/>
          <w:b/>
          <w:bCs/>
          <w:color w:val="auto"/>
          <w:szCs w:val="20"/>
        </w:rPr>
        <w:t>Appendix E, clause 3</w:t>
      </w:r>
    </w:p>
    <w:tbl>
      <w:tblPr>
        <w:tblStyle w:val="TableTGAblue2023"/>
        <w:tblW w:w="0" w:type="auto"/>
        <w:tblLook w:val="04A0" w:firstRow="1" w:lastRow="0" w:firstColumn="1" w:lastColumn="0" w:noHBand="0" w:noVBand="1"/>
      </w:tblPr>
      <w:tblGrid>
        <w:gridCol w:w="846"/>
        <w:gridCol w:w="2693"/>
        <w:gridCol w:w="1843"/>
        <w:gridCol w:w="3678"/>
      </w:tblGrid>
      <w:tr w:rsidR="00B94F8C" w:rsidRPr="00EC0210" w14:paraId="6B2D4258" w14:textId="77777777" w:rsidTr="00AA1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2F5496" w:themeFill="accent1" w:themeFillShade="BF"/>
          </w:tcPr>
          <w:p w14:paraId="6BEAA325" w14:textId="77777777" w:rsidR="00B94F8C" w:rsidRPr="00A064E2" w:rsidRDefault="00B94F8C" w:rsidP="00AA1A8A">
            <w:pPr>
              <w:keepLines/>
              <w:rPr>
                <w:rFonts w:cs="Arial"/>
                <w:color w:val="FFFFFF" w:themeColor="background1"/>
                <w:szCs w:val="21"/>
              </w:rPr>
            </w:pPr>
            <w:bookmarkStart w:id="46" w:name="_Hlk146277272"/>
            <w:r w:rsidRPr="00A064E2">
              <w:rPr>
                <w:rFonts w:cs="Arial"/>
                <w:color w:val="FFFFFF" w:themeColor="background1"/>
                <w:szCs w:val="21"/>
              </w:rPr>
              <w:t>Item</w:t>
            </w:r>
          </w:p>
        </w:tc>
        <w:tc>
          <w:tcPr>
            <w:tcW w:w="2693" w:type="dxa"/>
            <w:tcBorders>
              <w:right w:val="single" w:sz="4" w:space="0" w:color="000000"/>
            </w:tcBorders>
            <w:shd w:val="clear" w:color="auto" w:fill="2F5496" w:themeFill="accent1" w:themeFillShade="BF"/>
          </w:tcPr>
          <w:p w14:paraId="2381ADD1" w14:textId="77777777" w:rsidR="00B94F8C" w:rsidRPr="00A064E2"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1"/>
              </w:rPr>
            </w:pPr>
            <w:r w:rsidRPr="00A064E2">
              <w:rPr>
                <w:rFonts w:cs="Arial"/>
                <w:color w:val="FFFFFF" w:themeColor="background1"/>
                <w:szCs w:val="21"/>
              </w:rPr>
              <w:t>Poison</w:t>
            </w:r>
          </w:p>
        </w:tc>
        <w:tc>
          <w:tcPr>
            <w:tcW w:w="184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0F5E9A4" w14:textId="77777777" w:rsidR="00B94F8C" w:rsidRPr="00A064E2"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1"/>
              </w:rPr>
            </w:pPr>
            <w:r w:rsidRPr="00A064E2">
              <w:rPr>
                <w:rFonts w:cs="Arial"/>
                <w:color w:val="FFFFFF" w:themeColor="background1"/>
                <w:szCs w:val="21"/>
              </w:rPr>
              <w:t>Statement code</w:t>
            </w:r>
          </w:p>
        </w:tc>
        <w:tc>
          <w:tcPr>
            <w:tcW w:w="3678"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51113B1" w14:textId="77777777" w:rsidR="00B94F8C" w:rsidRPr="00A064E2"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1"/>
              </w:rPr>
            </w:pPr>
            <w:r w:rsidRPr="00A064E2">
              <w:rPr>
                <w:rFonts w:cs="Arial"/>
                <w:color w:val="FFFFFF" w:themeColor="background1"/>
                <w:szCs w:val="21"/>
              </w:rPr>
              <w:t>First aid instructions</w:t>
            </w:r>
          </w:p>
        </w:tc>
      </w:tr>
      <w:tr w:rsidR="00B94F8C" w:rsidRPr="00EC0210" w14:paraId="420527BA" w14:textId="77777777" w:rsidTr="00AA1A8A">
        <w:trPr>
          <w:trHeight w:val="462"/>
        </w:trPr>
        <w:tc>
          <w:tcPr>
            <w:cnfStyle w:val="001000000000" w:firstRow="0" w:lastRow="0" w:firstColumn="1" w:lastColumn="0" w:oddVBand="0" w:evenVBand="0" w:oddHBand="0" w:evenHBand="0" w:firstRowFirstColumn="0" w:firstRowLastColumn="0" w:lastRowFirstColumn="0" w:lastRowLastColumn="0"/>
            <w:tcW w:w="846" w:type="dxa"/>
            <w:vMerge w:val="restart"/>
            <w:tcBorders>
              <w:left w:val="single" w:sz="4" w:space="0" w:color="auto"/>
            </w:tcBorders>
          </w:tcPr>
          <w:p w14:paraId="42570A07" w14:textId="77777777" w:rsidR="00B94F8C" w:rsidRPr="00A064E2" w:rsidRDefault="00B94F8C" w:rsidP="00AA1A8A">
            <w:pPr>
              <w:keepLines/>
              <w:rPr>
                <w:rFonts w:cs="Arial"/>
                <w:color w:val="000000"/>
                <w:szCs w:val="21"/>
              </w:rPr>
            </w:pPr>
            <w:r w:rsidRPr="00A064E2">
              <w:rPr>
                <w:rFonts w:cs="Arial"/>
                <w:color w:val="000000"/>
                <w:szCs w:val="21"/>
              </w:rPr>
              <w:t>132</w:t>
            </w:r>
          </w:p>
        </w:tc>
        <w:tc>
          <w:tcPr>
            <w:tcW w:w="2693" w:type="dxa"/>
            <w:vMerge w:val="restart"/>
            <w:tcBorders>
              <w:right w:val="single" w:sz="4" w:space="0" w:color="auto"/>
            </w:tcBorders>
          </w:tcPr>
          <w:p w14:paraId="2028834A" w14:textId="77777777" w:rsidR="00B94F8C" w:rsidRPr="00A064E2"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szCs w:val="21"/>
              </w:rPr>
            </w:pPr>
            <w:r w:rsidRPr="00A064E2">
              <w:rPr>
                <w:rFonts w:cs="Arial"/>
                <w:color w:val="000000"/>
                <w:szCs w:val="21"/>
              </w:rPr>
              <w:t xml:space="preserve">FLUORIDES </w:t>
            </w:r>
            <w:r w:rsidRPr="00A064E2">
              <w:rPr>
                <w:rFonts w:cs="Arial"/>
                <w:b/>
                <w:bCs/>
                <w:color w:val="000000"/>
                <w:szCs w:val="21"/>
              </w:rPr>
              <w:t>except</w:t>
            </w:r>
            <w:r w:rsidRPr="00A064E2">
              <w:rPr>
                <w:rFonts w:cs="Arial"/>
                <w:color w:val="000000"/>
                <w:szCs w:val="21"/>
              </w:rPr>
              <w:t xml:space="preserve"> when separately specified – when included in Schedule 6</w:t>
            </w:r>
          </w:p>
        </w:tc>
        <w:tc>
          <w:tcPr>
            <w:tcW w:w="1843" w:type="dxa"/>
            <w:vMerge w:val="restart"/>
            <w:tcBorders>
              <w:top w:val="single" w:sz="4" w:space="0" w:color="000000"/>
              <w:left w:val="single" w:sz="4" w:space="0" w:color="auto"/>
              <w:right w:val="single" w:sz="4" w:space="0" w:color="auto"/>
            </w:tcBorders>
          </w:tcPr>
          <w:p w14:paraId="4D417211" w14:textId="77777777" w:rsidR="00B94F8C" w:rsidRPr="00A064E2"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r w:rsidRPr="00A064E2">
              <w:rPr>
                <w:rFonts w:cs="Arial"/>
                <w:color w:val="000000"/>
              </w:rPr>
              <w:t>A, G1, G3, E2, S1</w:t>
            </w:r>
          </w:p>
        </w:tc>
        <w:tc>
          <w:tcPr>
            <w:tcW w:w="3678" w:type="dxa"/>
            <w:tcBorders>
              <w:top w:val="single" w:sz="4" w:space="0" w:color="000000"/>
              <w:left w:val="single" w:sz="4" w:space="0" w:color="auto"/>
              <w:bottom w:val="single" w:sz="4" w:space="0" w:color="000000"/>
              <w:right w:val="single" w:sz="4" w:space="0" w:color="auto"/>
            </w:tcBorders>
          </w:tcPr>
          <w:p w14:paraId="62C1DB41" w14:textId="77777777" w:rsidR="00B94F8C" w:rsidRPr="00A064E2" w:rsidRDefault="00B94F8C" w:rsidP="00AA1A8A">
            <w:pPr>
              <w:keepLines/>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A064E2">
              <w:rPr>
                <w:rFonts w:cs="Arial"/>
                <w:b/>
                <w:bCs/>
                <w:color w:val="000000"/>
              </w:rPr>
              <w:t>A</w:t>
            </w:r>
            <w:r w:rsidRPr="00A064E2">
              <w:rPr>
                <w:rFonts w:cs="Arial"/>
                <w:color w:val="000000"/>
              </w:rPr>
              <w:t xml:space="preserve"> - For advice, contact a Poisons Information Centre (e.g. phone Australia 13 11 26; New Zealand 0800 764 766) or a doctor (at once).</w:t>
            </w:r>
          </w:p>
        </w:tc>
      </w:tr>
      <w:tr w:rsidR="00B94F8C" w:rsidRPr="00001F64" w14:paraId="2A002FCE" w14:textId="77777777" w:rsidTr="00AA1A8A">
        <w:trPr>
          <w:trHeight w:val="458"/>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tcBorders>
          </w:tcPr>
          <w:p w14:paraId="5AD1DF9D" w14:textId="77777777" w:rsidR="00B94F8C" w:rsidRPr="00001F64" w:rsidRDefault="00B94F8C" w:rsidP="00AA1A8A">
            <w:pPr>
              <w:keepLines/>
              <w:rPr>
                <w:rFonts w:cs="Arial"/>
                <w:color w:val="000000"/>
                <w:szCs w:val="21"/>
              </w:rPr>
            </w:pPr>
          </w:p>
        </w:tc>
        <w:tc>
          <w:tcPr>
            <w:tcW w:w="2693" w:type="dxa"/>
            <w:vMerge/>
            <w:tcBorders>
              <w:right w:val="single" w:sz="4" w:space="0" w:color="auto"/>
            </w:tcBorders>
          </w:tcPr>
          <w:p w14:paraId="407C6A18"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szCs w:val="21"/>
              </w:rPr>
            </w:pPr>
          </w:p>
        </w:tc>
        <w:tc>
          <w:tcPr>
            <w:tcW w:w="1843" w:type="dxa"/>
            <w:vMerge/>
            <w:tcBorders>
              <w:left w:val="single" w:sz="4" w:space="0" w:color="auto"/>
              <w:right w:val="single" w:sz="4" w:space="0" w:color="auto"/>
            </w:tcBorders>
          </w:tcPr>
          <w:p w14:paraId="7FFEEF4F"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3678" w:type="dxa"/>
            <w:tcBorders>
              <w:top w:val="single" w:sz="4" w:space="0" w:color="000000"/>
              <w:left w:val="single" w:sz="4" w:space="0" w:color="auto"/>
              <w:bottom w:val="single" w:sz="4" w:space="0" w:color="000000"/>
              <w:right w:val="single" w:sz="4" w:space="0" w:color="auto"/>
            </w:tcBorders>
          </w:tcPr>
          <w:p w14:paraId="722FACAC" w14:textId="77777777" w:rsidR="00B94F8C" w:rsidRPr="00001F64" w:rsidRDefault="00B94F8C" w:rsidP="00AA1A8A">
            <w:pPr>
              <w:keepLines/>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001F64">
              <w:rPr>
                <w:rFonts w:cs="Arial"/>
                <w:b/>
                <w:bCs/>
                <w:color w:val="000000"/>
              </w:rPr>
              <w:t>G1</w:t>
            </w:r>
            <w:r w:rsidRPr="00001F64">
              <w:rPr>
                <w:rFonts w:cs="Arial"/>
                <w:color w:val="000000"/>
              </w:rPr>
              <w:t xml:space="preserve"> - Urgent hospital treatment is likely to be needed (not – the words “at once” to be added to instruction A.</w:t>
            </w:r>
          </w:p>
        </w:tc>
      </w:tr>
      <w:tr w:rsidR="00B94F8C" w:rsidRPr="00001F64" w14:paraId="3629ECE4" w14:textId="77777777" w:rsidTr="00AA1A8A">
        <w:trPr>
          <w:trHeight w:val="458"/>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tcBorders>
          </w:tcPr>
          <w:p w14:paraId="6436CC46" w14:textId="77777777" w:rsidR="00B94F8C" w:rsidRPr="00001F64" w:rsidRDefault="00B94F8C" w:rsidP="00AA1A8A">
            <w:pPr>
              <w:keepLines/>
              <w:rPr>
                <w:rFonts w:cs="Arial"/>
                <w:color w:val="000000"/>
                <w:szCs w:val="21"/>
              </w:rPr>
            </w:pPr>
          </w:p>
        </w:tc>
        <w:tc>
          <w:tcPr>
            <w:tcW w:w="2693" w:type="dxa"/>
            <w:vMerge/>
            <w:tcBorders>
              <w:right w:val="single" w:sz="4" w:space="0" w:color="auto"/>
            </w:tcBorders>
          </w:tcPr>
          <w:p w14:paraId="25477C7D"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szCs w:val="21"/>
              </w:rPr>
            </w:pPr>
          </w:p>
        </w:tc>
        <w:tc>
          <w:tcPr>
            <w:tcW w:w="1843" w:type="dxa"/>
            <w:vMerge/>
            <w:tcBorders>
              <w:left w:val="single" w:sz="4" w:space="0" w:color="auto"/>
              <w:right w:val="single" w:sz="4" w:space="0" w:color="auto"/>
            </w:tcBorders>
          </w:tcPr>
          <w:p w14:paraId="427F7FD5"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3678" w:type="dxa"/>
            <w:tcBorders>
              <w:top w:val="single" w:sz="4" w:space="0" w:color="000000"/>
              <w:left w:val="single" w:sz="4" w:space="0" w:color="auto"/>
              <w:bottom w:val="single" w:sz="4" w:space="0" w:color="000000"/>
              <w:right w:val="single" w:sz="4" w:space="0" w:color="auto"/>
            </w:tcBorders>
          </w:tcPr>
          <w:p w14:paraId="3057DF9A"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r w:rsidRPr="00001F64">
              <w:rPr>
                <w:rFonts w:cs="Arial"/>
                <w:b/>
                <w:bCs/>
                <w:color w:val="000000"/>
              </w:rPr>
              <w:t>G3</w:t>
            </w:r>
            <w:r w:rsidRPr="00001F64">
              <w:rPr>
                <w:rFonts w:cs="Arial"/>
                <w:color w:val="000000"/>
              </w:rPr>
              <w:t xml:space="preserve"> - If swallowed DO NOT induce vomiting.</w:t>
            </w:r>
          </w:p>
        </w:tc>
      </w:tr>
      <w:tr w:rsidR="00B94F8C" w:rsidRPr="00001F64" w14:paraId="4D950BFB" w14:textId="77777777" w:rsidTr="00AA1A8A">
        <w:trPr>
          <w:trHeight w:val="458"/>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tcBorders>
          </w:tcPr>
          <w:p w14:paraId="0171A76C" w14:textId="77777777" w:rsidR="00B94F8C" w:rsidRPr="00001F64" w:rsidRDefault="00B94F8C" w:rsidP="00AA1A8A">
            <w:pPr>
              <w:keepLines/>
              <w:rPr>
                <w:rFonts w:cs="Arial"/>
                <w:color w:val="000000"/>
                <w:szCs w:val="21"/>
              </w:rPr>
            </w:pPr>
          </w:p>
        </w:tc>
        <w:tc>
          <w:tcPr>
            <w:tcW w:w="2693" w:type="dxa"/>
            <w:vMerge/>
            <w:tcBorders>
              <w:right w:val="single" w:sz="4" w:space="0" w:color="auto"/>
            </w:tcBorders>
          </w:tcPr>
          <w:p w14:paraId="00307D61"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szCs w:val="21"/>
              </w:rPr>
            </w:pPr>
          </w:p>
        </w:tc>
        <w:tc>
          <w:tcPr>
            <w:tcW w:w="1843" w:type="dxa"/>
            <w:vMerge/>
            <w:tcBorders>
              <w:left w:val="single" w:sz="4" w:space="0" w:color="auto"/>
              <w:right w:val="single" w:sz="4" w:space="0" w:color="auto"/>
            </w:tcBorders>
          </w:tcPr>
          <w:p w14:paraId="5F46ACFB"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3678" w:type="dxa"/>
            <w:tcBorders>
              <w:top w:val="single" w:sz="4" w:space="0" w:color="000000"/>
              <w:left w:val="single" w:sz="4" w:space="0" w:color="auto"/>
              <w:bottom w:val="single" w:sz="4" w:space="0" w:color="000000"/>
              <w:right w:val="single" w:sz="4" w:space="0" w:color="auto"/>
            </w:tcBorders>
          </w:tcPr>
          <w:p w14:paraId="35670E1C"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r w:rsidRPr="00001F64">
              <w:rPr>
                <w:rFonts w:cs="Arial"/>
                <w:b/>
                <w:bCs/>
                <w:color w:val="000000"/>
              </w:rPr>
              <w:t>E2</w:t>
            </w:r>
            <w:r w:rsidRPr="00001F64">
              <w:rPr>
                <w:rFonts w:cs="Arial"/>
                <w:color w:val="000000"/>
              </w:rPr>
              <w:t xml:space="preserve"> - If in eyes, hold eyelids apart and flush the eye continuously with running water. Continue flushing until advised to stop by a Poisons Information Centre (e.g. phone Australia 13 11 26; New Zealand 0800 764 766) or a doctor, or for at least 15 minutes</w:t>
            </w:r>
          </w:p>
        </w:tc>
      </w:tr>
      <w:tr w:rsidR="00B94F8C" w:rsidRPr="00001F64" w14:paraId="70FFCF49" w14:textId="77777777" w:rsidTr="00AA1A8A">
        <w:trPr>
          <w:trHeight w:val="458"/>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tcBorders>
          </w:tcPr>
          <w:p w14:paraId="69F984C8" w14:textId="77777777" w:rsidR="00B94F8C" w:rsidRPr="00001F64" w:rsidRDefault="00B94F8C" w:rsidP="00AA1A8A">
            <w:pPr>
              <w:keepLines/>
              <w:rPr>
                <w:rFonts w:cs="Arial"/>
                <w:color w:val="000000"/>
                <w:szCs w:val="21"/>
              </w:rPr>
            </w:pPr>
          </w:p>
        </w:tc>
        <w:tc>
          <w:tcPr>
            <w:tcW w:w="2693" w:type="dxa"/>
            <w:vMerge/>
            <w:tcBorders>
              <w:right w:val="single" w:sz="4" w:space="0" w:color="auto"/>
            </w:tcBorders>
          </w:tcPr>
          <w:p w14:paraId="2467DC60"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szCs w:val="21"/>
              </w:rPr>
            </w:pPr>
          </w:p>
        </w:tc>
        <w:tc>
          <w:tcPr>
            <w:tcW w:w="1843" w:type="dxa"/>
            <w:vMerge/>
            <w:tcBorders>
              <w:left w:val="single" w:sz="4" w:space="0" w:color="auto"/>
              <w:right w:val="single" w:sz="4" w:space="0" w:color="auto"/>
            </w:tcBorders>
          </w:tcPr>
          <w:p w14:paraId="3F7E220C"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3678" w:type="dxa"/>
            <w:tcBorders>
              <w:top w:val="single" w:sz="4" w:space="0" w:color="000000"/>
              <w:left w:val="single" w:sz="4" w:space="0" w:color="auto"/>
              <w:right w:val="single" w:sz="4" w:space="0" w:color="auto"/>
            </w:tcBorders>
          </w:tcPr>
          <w:p w14:paraId="64ECF1A9"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000000"/>
              </w:rPr>
            </w:pPr>
            <w:r w:rsidRPr="00001F64">
              <w:rPr>
                <w:rFonts w:cs="Arial"/>
                <w:b/>
                <w:bCs/>
                <w:color w:val="000000"/>
              </w:rPr>
              <w:t>S1</w:t>
            </w:r>
            <w:r w:rsidRPr="00001F64">
              <w:rPr>
                <w:rFonts w:cs="Arial"/>
                <w:color w:val="000000"/>
              </w:rPr>
              <w:t xml:space="preserve"> - If skin or hair contact occurs, remove contaminated clothing and flush skin and hair with running water.</w:t>
            </w:r>
          </w:p>
        </w:tc>
      </w:tr>
    </w:tbl>
    <w:bookmarkEnd w:id="46"/>
    <w:p w14:paraId="20C01D21" w14:textId="77777777" w:rsidR="00B94F8C" w:rsidRPr="00001F64" w:rsidRDefault="00B94F8C" w:rsidP="00B94F8C">
      <w:pPr>
        <w:keepNext/>
        <w:spacing w:before="240"/>
        <w:rPr>
          <w:rFonts w:eastAsia="Cambria" w:cs="Arial"/>
          <w:b/>
          <w:bCs/>
          <w:color w:val="auto"/>
          <w:szCs w:val="20"/>
        </w:rPr>
      </w:pPr>
      <w:r w:rsidRPr="00001F64">
        <w:rPr>
          <w:rFonts w:eastAsia="Cambria" w:cs="Arial"/>
          <w:b/>
          <w:bCs/>
          <w:color w:val="auto"/>
          <w:szCs w:val="20"/>
        </w:rPr>
        <w:t>Appendix F, clause 4</w:t>
      </w:r>
    </w:p>
    <w:tbl>
      <w:tblPr>
        <w:tblStyle w:val="TableTGAblue2023"/>
        <w:tblW w:w="0" w:type="auto"/>
        <w:tblLook w:val="04A0" w:firstRow="1" w:lastRow="0" w:firstColumn="1" w:lastColumn="0" w:noHBand="0" w:noVBand="1"/>
      </w:tblPr>
      <w:tblGrid>
        <w:gridCol w:w="846"/>
        <w:gridCol w:w="3544"/>
        <w:gridCol w:w="1701"/>
        <w:gridCol w:w="2969"/>
      </w:tblGrid>
      <w:tr w:rsidR="00B94F8C" w:rsidRPr="00001F64" w14:paraId="2DB0BAE1" w14:textId="77777777" w:rsidTr="00AA1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2F5496" w:themeFill="accent1" w:themeFillShade="BF"/>
          </w:tcPr>
          <w:p w14:paraId="052A4D57" w14:textId="77777777" w:rsidR="00B94F8C" w:rsidRPr="00001F64" w:rsidRDefault="00B94F8C" w:rsidP="00AA1A8A">
            <w:pPr>
              <w:keepLines/>
              <w:rPr>
                <w:rFonts w:cs="Arial"/>
                <w:color w:val="FFFFFF" w:themeColor="background1"/>
                <w:szCs w:val="21"/>
              </w:rPr>
            </w:pPr>
            <w:bookmarkStart w:id="47" w:name="_Hlk146276879"/>
            <w:r w:rsidRPr="00001F64">
              <w:rPr>
                <w:rFonts w:cs="Arial"/>
                <w:color w:val="FFFFFF" w:themeColor="background1"/>
                <w:szCs w:val="21"/>
              </w:rPr>
              <w:t>Item</w:t>
            </w:r>
          </w:p>
        </w:tc>
        <w:tc>
          <w:tcPr>
            <w:tcW w:w="3544" w:type="dxa"/>
            <w:tcBorders>
              <w:right w:val="single" w:sz="4" w:space="0" w:color="000000"/>
            </w:tcBorders>
            <w:shd w:val="clear" w:color="auto" w:fill="2F5496" w:themeFill="accent1" w:themeFillShade="BF"/>
          </w:tcPr>
          <w:p w14:paraId="42E5A79F" w14:textId="77777777" w:rsidR="00B94F8C" w:rsidRPr="00001F64"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1"/>
              </w:rPr>
            </w:pPr>
            <w:r w:rsidRPr="00001F64">
              <w:rPr>
                <w:rFonts w:cs="Arial"/>
                <w:color w:val="FFFFFF" w:themeColor="background1"/>
                <w:szCs w:val="21"/>
              </w:rPr>
              <w:t>Poison</w:t>
            </w:r>
          </w:p>
        </w:tc>
        <w:tc>
          <w:tcPr>
            <w:tcW w:w="1701"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7F5C4E42" w14:textId="77777777" w:rsidR="00B94F8C" w:rsidRPr="00001F64"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bCs/>
                <w:color w:val="FFFFFF" w:themeColor="background1"/>
                <w:szCs w:val="21"/>
              </w:rPr>
            </w:pPr>
            <w:r w:rsidRPr="00001F64">
              <w:rPr>
                <w:rFonts w:cs="Arial"/>
                <w:bCs/>
                <w:color w:val="FFFFFF" w:themeColor="background1"/>
              </w:rPr>
              <w:t>Statement code for safety directions</w:t>
            </w:r>
          </w:p>
        </w:tc>
        <w:tc>
          <w:tcPr>
            <w:tcW w:w="2969"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3332F78" w14:textId="77777777" w:rsidR="00B94F8C" w:rsidRPr="00001F64" w:rsidRDefault="00B94F8C" w:rsidP="00AA1A8A">
            <w:pPr>
              <w:keepLines/>
              <w:ind w:left="0"/>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1"/>
              </w:rPr>
            </w:pPr>
            <w:r w:rsidRPr="00001F64">
              <w:rPr>
                <w:rFonts w:cs="Arial"/>
                <w:color w:val="FFFFFF" w:themeColor="background1"/>
                <w:szCs w:val="21"/>
              </w:rPr>
              <w:t>Safety direction</w:t>
            </w:r>
          </w:p>
        </w:tc>
      </w:tr>
      <w:tr w:rsidR="00B94F8C" w:rsidRPr="00001F64" w14:paraId="2066EF6E" w14:textId="77777777" w:rsidTr="00AA1A8A">
        <w:trPr>
          <w:trHeight w:val="1302"/>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tcPr>
          <w:p w14:paraId="6FFE0AA0" w14:textId="77777777" w:rsidR="00B94F8C" w:rsidRPr="00001F64" w:rsidRDefault="00B94F8C" w:rsidP="00AA1A8A">
            <w:pPr>
              <w:keepLines/>
              <w:rPr>
                <w:rFonts w:cs="Arial"/>
                <w:color w:val="000000"/>
                <w:szCs w:val="21"/>
              </w:rPr>
            </w:pPr>
            <w:r w:rsidRPr="00001F64">
              <w:rPr>
                <w:rFonts w:cs="Arial"/>
                <w:color w:val="000000"/>
                <w:szCs w:val="21"/>
              </w:rPr>
              <w:t>152</w:t>
            </w:r>
          </w:p>
        </w:tc>
        <w:tc>
          <w:tcPr>
            <w:tcW w:w="3544" w:type="dxa"/>
            <w:tcBorders>
              <w:right w:val="single" w:sz="4" w:space="0" w:color="auto"/>
            </w:tcBorders>
          </w:tcPr>
          <w:p w14:paraId="7FEA8180"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bCs/>
                <w:color w:val="000000"/>
                <w:szCs w:val="21"/>
              </w:rPr>
            </w:pPr>
            <w:r w:rsidRPr="00001F64">
              <w:rPr>
                <w:rFonts w:cs="Arial"/>
                <w:color w:val="000000"/>
                <w:szCs w:val="21"/>
              </w:rPr>
              <w:t xml:space="preserve">FLUORIDES </w:t>
            </w:r>
            <w:r w:rsidRPr="00001F64">
              <w:rPr>
                <w:rFonts w:cs="Arial"/>
                <w:bCs/>
                <w:color w:val="000000"/>
                <w:szCs w:val="21"/>
              </w:rPr>
              <w:t xml:space="preserve">(including silicofluorides) when included in Schedule 5 or 6 </w:t>
            </w:r>
            <w:r w:rsidRPr="00001F64">
              <w:rPr>
                <w:rFonts w:cs="Arial"/>
                <w:b/>
                <w:color w:val="000000"/>
                <w:szCs w:val="21"/>
              </w:rPr>
              <w:t>except</w:t>
            </w:r>
            <w:r w:rsidRPr="00001F64">
              <w:rPr>
                <w:rFonts w:cs="Arial"/>
                <w:bCs/>
                <w:color w:val="000000"/>
                <w:szCs w:val="21"/>
              </w:rPr>
              <w:t xml:space="preserve"> when separately specified</w:t>
            </w:r>
          </w:p>
        </w:tc>
        <w:tc>
          <w:tcPr>
            <w:tcW w:w="1701" w:type="dxa"/>
            <w:tcBorders>
              <w:top w:val="single" w:sz="4" w:space="0" w:color="000000"/>
              <w:left w:val="single" w:sz="4" w:space="0" w:color="auto"/>
              <w:right w:val="single" w:sz="4" w:space="0" w:color="auto"/>
            </w:tcBorders>
          </w:tcPr>
          <w:p w14:paraId="6277028F"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auto"/>
              </w:rPr>
            </w:pPr>
            <w:r w:rsidRPr="00001F64">
              <w:rPr>
                <w:rFonts w:cs="Arial"/>
                <w:color w:val="auto"/>
              </w:rPr>
              <w:t>1, 4</w:t>
            </w:r>
          </w:p>
          <w:p w14:paraId="0AAA19EB"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color w:val="auto"/>
              </w:rPr>
            </w:pPr>
          </w:p>
        </w:tc>
        <w:tc>
          <w:tcPr>
            <w:tcW w:w="2969" w:type="dxa"/>
            <w:tcBorders>
              <w:top w:val="single" w:sz="4" w:space="0" w:color="000000"/>
              <w:left w:val="single" w:sz="4" w:space="0" w:color="auto"/>
              <w:right w:val="single" w:sz="4" w:space="0" w:color="auto"/>
            </w:tcBorders>
          </w:tcPr>
          <w:p w14:paraId="3AB10A6A" w14:textId="77777777" w:rsidR="00B94F8C" w:rsidRPr="00001F64" w:rsidRDefault="00B94F8C" w:rsidP="00AA1A8A">
            <w:pPr>
              <w:keepLines/>
              <w:ind w:left="0"/>
              <w:cnfStyle w:val="000000000000" w:firstRow="0" w:lastRow="0" w:firstColumn="0" w:lastColumn="0" w:oddVBand="0" w:evenVBand="0" w:oddHBand="0" w:evenHBand="0" w:firstRowFirstColumn="0" w:firstRowLastColumn="0" w:lastRowFirstColumn="0" w:lastRowLastColumn="0"/>
              <w:rPr>
                <w:rFonts w:cs="Arial"/>
                <w:color w:val="auto"/>
              </w:rPr>
            </w:pPr>
            <w:r w:rsidRPr="00001F64">
              <w:rPr>
                <w:rFonts w:cs="Arial"/>
                <w:color w:val="auto"/>
              </w:rPr>
              <w:t>1 - Avoid contact with eyes</w:t>
            </w:r>
          </w:p>
          <w:p w14:paraId="34E94745" w14:textId="77777777" w:rsidR="00B94F8C" w:rsidRPr="00001F64" w:rsidRDefault="00B94F8C" w:rsidP="00AA1A8A">
            <w:pPr>
              <w:keepLines/>
              <w:ind w:left="0"/>
              <w:cnfStyle w:val="000000000000" w:firstRow="0" w:lastRow="0" w:firstColumn="0" w:lastColumn="0" w:oddVBand="0" w:evenVBand="0" w:oddHBand="0" w:evenHBand="0" w:firstRowFirstColumn="0" w:firstRowLastColumn="0" w:lastRowFirstColumn="0" w:lastRowLastColumn="0"/>
              <w:rPr>
                <w:rFonts w:cs="Arial"/>
                <w:color w:val="auto"/>
              </w:rPr>
            </w:pPr>
            <w:r w:rsidRPr="00001F64">
              <w:rPr>
                <w:rFonts w:cs="Arial"/>
                <w:color w:val="auto"/>
              </w:rPr>
              <w:t>4 - Avoid contact with the skin</w:t>
            </w:r>
          </w:p>
          <w:p w14:paraId="745FF5D5" w14:textId="77777777" w:rsidR="00B94F8C" w:rsidRPr="00001F64" w:rsidRDefault="00B94F8C" w:rsidP="00AA1A8A">
            <w:pPr>
              <w:keepLines/>
              <w:ind w:left="0"/>
              <w:cnfStyle w:val="000000000000" w:firstRow="0" w:lastRow="0" w:firstColumn="0" w:lastColumn="0" w:oddVBand="0" w:evenVBand="0" w:oddHBand="0" w:evenHBand="0" w:firstRowFirstColumn="0" w:firstRowLastColumn="0" w:lastRowFirstColumn="0" w:lastRowLastColumn="0"/>
              <w:rPr>
                <w:rFonts w:cs="Arial"/>
                <w:color w:val="auto"/>
              </w:rPr>
            </w:pPr>
          </w:p>
        </w:tc>
      </w:tr>
    </w:tbl>
    <w:bookmarkEnd w:id="47"/>
    <w:p w14:paraId="27FC1CF7" w14:textId="77777777" w:rsidR="00B94F8C" w:rsidRPr="00001F64" w:rsidRDefault="00B94F8C" w:rsidP="00B94F8C">
      <w:pPr>
        <w:keepNext/>
        <w:keepLines/>
        <w:spacing w:before="240"/>
        <w:rPr>
          <w:rFonts w:eastAsia="Cambria" w:cs="Arial"/>
          <w:b/>
          <w:bCs/>
          <w:color w:val="auto"/>
          <w:szCs w:val="20"/>
        </w:rPr>
      </w:pPr>
      <w:r w:rsidRPr="00001F64">
        <w:rPr>
          <w:rFonts w:eastAsia="Cambria" w:cs="Arial"/>
          <w:b/>
          <w:bCs/>
          <w:color w:val="auto"/>
          <w:szCs w:val="20"/>
        </w:rPr>
        <w:lastRenderedPageBreak/>
        <w:t>Appendix H, clause 1</w:t>
      </w:r>
    </w:p>
    <w:tbl>
      <w:tblPr>
        <w:tblStyle w:val="TableTGAblue2023"/>
        <w:tblW w:w="4673" w:type="dxa"/>
        <w:tblLook w:val="04A0" w:firstRow="1" w:lastRow="0" w:firstColumn="1" w:lastColumn="0" w:noHBand="0" w:noVBand="1"/>
      </w:tblPr>
      <w:tblGrid>
        <w:gridCol w:w="846"/>
        <w:gridCol w:w="3827"/>
      </w:tblGrid>
      <w:tr w:rsidR="00B94F8C" w:rsidRPr="00001F64" w14:paraId="51D7AF91" w14:textId="77777777" w:rsidTr="00AA1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2F5496" w:themeFill="accent1" w:themeFillShade="BF"/>
          </w:tcPr>
          <w:p w14:paraId="0DEFE695" w14:textId="77777777" w:rsidR="00B94F8C" w:rsidRPr="00001F64" w:rsidRDefault="00B94F8C" w:rsidP="00AA1A8A">
            <w:pPr>
              <w:keepLines/>
              <w:rPr>
                <w:rFonts w:cs="Arial"/>
                <w:color w:val="FFFFFF" w:themeColor="background1"/>
                <w:szCs w:val="21"/>
              </w:rPr>
            </w:pPr>
            <w:r w:rsidRPr="00001F64">
              <w:rPr>
                <w:rFonts w:cs="Arial"/>
                <w:color w:val="FFFFFF" w:themeColor="background1"/>
                <w:szCs w:val="21"/>
              </w:rPr>
              <w:t>Item</w:t>
            </w:r>
          </w:p>
        </w:tc>
        <w:tc>
          <w:tcPr>
            <w:tcW w:w="3827" w:type="dxa"/>
            <w:tcBorders>
              <w:right w:val="single" w:sz="4" w:space="0" w:color="000000"/>
            </w:tcBorders>
            <w:shd w:val="clear" w:color="auto" w:fill="2F5496" w:themeFill="accent1" w:themeFillShade="BF"/>
          </w:tcPr>
          <w:p w14:paraId="476D941B" w14:textId="77777777" w:rsidR="00B94F8C" w:rsidRPr="00001F64" w:rsidRDefault="00B94F8C" w:rsidP="00AA1A8A">
            <w:pPr>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1"/>
              </w:rPr>
            </w:pPr>
            <w:r w:rsidRPr="00001F64">
              <w:rPr>
                <w:rFonts w:cs="Arial"/>
                <w:color w:val="FFFFFF" w:themeColor="background1"/>
                <w:szCs w:val="21"/>
              </w:rPr>
              <w:t>Medicines permitted to be advertised</w:t>
            </w:r>
          </w:p>
        </w:tc>
      </w:tr>
      <w:tr w:rsidR="00B94F8C" w:rsidRPr="00001F64" w14:paraId="0C4BFBDD" w14:textId="77777777" w:rsidTr="00AA1A8A">
        <w:trPr>
          <w:trHeight w:val="184"/>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tcPr>
          <w:p w14:paraId="5A772CC2" w14:textId="77777777" w:rsidR="00B94F8C" w:rsidRPr="00001F64" w:rsidRDefault="00B94F8C" w:rsidP="00AA1A8A">
            <w:pPr>
              <w:keepLines/>
              <w:rPr>
                <w:rFonts w:cs="Arial"/>
                <w:color w:val="000000"/>
                <w:szCs w:val="21"/>
              </w:rPr>
            </w:pPr>
            <w:r w:rsidRPr="00001F64">
              <w:rPr>
                <w:rFonts w:cs="Arial"/>
                <w:color w:val="000000"/>
                <w:szCs w:val="21"/>
              </w:rPr>
              <w:t>17</w:t>
            </w:r>
          </w:p>
        </w:tc>
        <w:tc>
          <w:tcPr>
            <w:tcW w:w="3827" w:type="dxa"/>
            <w:tcBorders>
              <w:right w:val="single" w:sz="4" w:space="0" w:color="auto"/>
            </w:tcBorders>
          </w:tcPr>
          <w:p w14:paraId="28FCFB93" w14:textId="77777777" w:rsidR="00B94F8C" w:rsidRPr="00001F64" w:rsidRDefault="00B94F8C" w:rsidP="00AA1A8A">
            <w:pPr>
              <w:keepLines/>
              <w:cnfStyle w:val="000000000000" w:firstRow="0" w:lastRow="0" w:firstColumn="0" w:lastColumn="0" w:oddVBand="0" w:evenVBand="0" w:oddHBand="0" w:evenHBand="0" w:firstRowFirstColumn="0" w:firstRowLastColumn="0" w:lastRowFirstColumn="0" w:lastRowLastColumn="0"/>
              <w:rPr>
                <w:rFonts w:cs="Arial"/>
                <w:bCs/>
                <w:color w:val="000000"/>
                <w:szCs w:val="21"/>
              </w:rPr>
            </w:pPr>
            <w:r w:rsidRPr="00001F64">
              <w:rPr>
                <w:rFonts w:cs="Arial"/>
                <w:bCs/>
                <w:color w:val="000000"/>
                <w:szCs w:val="21"/>
              </w:rPr>
              <w:t>FLUORIDES</w:t>
            </w:r>
          </w:p>
        </w:tc>
      </w:tr>
    </w:tbl>
    <w:p w14:paraId="5A0A0F5F" w14:textId="77777777" w:rsidR="00B94F8C" w:rsidRPr="00FD3974" w:rsidRDefault="00B94F8C" w:rsidP="00B94F8C">
      <w:pPr>
        <w:spacing w:after="0"/>
        <w:ind w:left="1701"/>
        <w:rPr>
          <w:rFonts w:eastAsia="Cambria" w:cstheme="minorHAnsi"/>
          <w:color w:val="auto"/>
          <w:szCs w:val="20"/>
        </w:rPr>
      </w:pPr>
    </w:p>
    <w:p w14:paraId="4EFC914B" w14:textId="77777777" w:rsidR="00B94F8C" w:rsidRPr="00A6426E" w:rsidRDefault="00B94F8C" w:rsidP="00B94F8C">
      <w:pPr>
        <w:pStyle w:val="Heading4"/>
      </w:pPr>
      <w:bookmarkStart w:id="48" w:name="_Toc149146324"/>
      <w:r w:rsidRPr="00A6426E">
        <w:t>Scheduling history</w:t>
      </w:r>
      <w:bookmarkEnd w:id="48"/>
    </w:p>
    <w:p w14:paraId="4A5EC5A9" w14:textId="77777777" w:rsidR="00B94F8C" w:rsidRPr="00A6426E" w:rsidRDefault="00B94F8C" w:rsidP="00B94F8C">
      <w:pPr>
        <w:rPr>
          <w:color w:val="auto"/>
          <w:szCs w:val="20"/>
        </w:rPr>
      </w:pPr>
      <w:r w:rsidRPr="00A6426E">
        <w:rPr>
          <w:color w:val="auto"/>
          <w:szCs w:val="20"/>
        </w:rPr>
        <w:t>Fluorides were originally entered in the Poisons Standard in Schedule 4 by the Poisons Scheduling Committee (PSC) in May of 1956. Since its initial entry into the Poisons Standard, the scheduling of fluorides has been discussed several times with a Fluorides Working Party (FWP) which was established in 2007 to assist with the reconstruction of the scheduling of fluorides.</w:t>
      </w:r>
    </w:p>
    <w:p w14:paraId="30D1AEF3" w14:textId="77777777" w:rsidR="00B94F8C" w:rsidRPr="00A6426E" w:rsidRDefault="00B94F8C" w:rsidP="00B94F8C">
      <w:pPr>
        <w:rPr>
          <w:color w:val="auto"/>
          <w:szCs w:val="20"/>
        </w:rPr>
      </w:pPr>
      <w:r w:rsidRPr="00A6426E">
        <w:rPr>
          <w:color w:val="auto"/>
          <w:szCs w:val="20"/>
        </w:rPr>
        <w:t>In February 2008, the National Drugs and Poisons Scheduling Committee (NDPSC) amended the wording of the Schedule 2 and 3 exemptions for fluorides to address a consequence of a previous decision that provided a potential avenue for diversion of the substance. The amended wording clarified that the products were only unscheduled when supplied directly for registered dental professionals.</w:t>
      </w:r>
    </w:p>
    <w:p w14:paraId="77316FD9" w14:textId="77777777" w:rsidR="00B94F8C" w:rsidRPr="00A6426E" w:rsidRDefault="00B94F8C" w:rsidP="00B94F8C">
      <w:pPr>
        <w:rPr>
          <w:color w:val="auto"/>
          <w:szCs w:val="20"/>
        </w:rPr>
      </w:pPr>
      <w:r w:rsidRPr="00A6426E">
        <w:rPr>
          <w:color w:val="auto"/>
          <w:szCs w:val="20"/>
        </w:rPr>
        <w:t>In December of 2018 a Delegate-only decision was made to create an Appendix H entry for fluorides, permitting Schedule 3 preparations of the substance to be advertised.</w:t>
      </w:r>
    </w:p>
    <w:p w14:paraId="3E9CD44A" w14:textId="77777777" w:rsidR="00B94F8C" w:rsidRDefault="00B94F8C" w:rsidP="00B94F8C">
      <w:pPr>
        <w:pStyle w:val="Heading4"/>
      </w:pPr>
      <w:bookmarkStart w:id="49" w:name="_Toc176861268"/>
      <w:r>
        <w:t>Proposal</w:t>
      </w:r>
      <w:bookmarkEnd w:id="49"/>
    </w:p>
    <w:p w14:paraId="2188E97C" w14:textId="77777777" w:rsidR="00B94F8C" w:rsidRDefault="00B94F8C" w:rsidP="00B94F8C">
      <w:pPr>
        <w:rPr>
          <w:rFonts w:eastAsia="Cambria" w:cstheme="minorHAnsi"/>
          <w:color w:val="auto"/>
          <w:szCs w:val="20"/>
        </w:rPr>
      </w:pPr>
      <w:r w:rsidRPr="001E6EC2">
        <w:rPr>
          <w:color w:val="auto"/>
          <w:szCs w:val="20"/>
        </w:rPr>
        <w:t>The applicant proposed that the wording in the Schedule 3 exemption for supply of non-liquid preparations containing 5,500 mg/kg or less of fluoride ion be amended from ‘</w:t>
      </w:r>
      <w:r w:rsidRPr="001E6EC2">
        <w:rPr>
          <w:rFonts w:eastAsia="Cambria" w:cstheme="minorHAnsi"/>
          <w:color w:val="auto"/>
          <w:szCs w:val="20"/>
        </w:rPr>
        <w:t xml:space="preserve">in preparations for supply to registered </w:t>
      </w:r>
      <w:r w:rsidRPr="001E6EC2">
        <w:rPr>
          <w:rFonts w:eastAsia="Cambria" w:cstheme="minorHAnsi"/>
          <w:i/>
          <w:iCs/>
          <w:color w:val="auto"/>
          <w:szCs w:val="20"/>
        </w:rPr>
        <w:t>dental</w:t>
      </w:r>
      <w:r w:rsidRPr="001E6EC2">
        <w:rPr>
          <w:rFonts w:eastAsia="Cambria" w:cstheme="minorHAnsi"/>
          <w:color w:val="auto"/>
          <w:szCs w:val="20"/>
        </w:rPr>
        <w:t xml:space="preserve"> professionals or by approval of an appropriate authority’ to ‘in preparations for supply to registered </w:t>
      </w:r>
      <w:r w:rsidRPr="001E6EC2">
        <w:rPr>
          <w:rFonts w:eastAsia="Cambria" w:cstheme="minorHAnsi"/>
          <w:strike/>
          <w:color w:val="FF0000"/>
          <w:szCs w:val="20"/>
        </w:rPr>
        <w:t>dental</w:t>
      </w:r>
      <w:r w:rsidRPr="001E6EC2">
        <w:rPr>
          <w:rFonts w:eastAsia="Cambria" w:cstheme="minorHAnsi"/>
          <w:color w:val="FF0000"/>
          <w:szCs w:val="20"/>
        </w:rPr>
        <w:t xml:space="preserve"> </w:t>
      </w:r>
      <w:r w:rsidRPr="001E6EC2">
        <w:rPr>
          <w:rFonts w:eastAsia="Cambria" w:cstheme="minorHAnsi"/>
          <w:color w:val="00B050"/>
          <w:szCs w:val="20"/>
        </w:rPr>
        <w:t xml:space="preserve">health </w:t>
      </w:r>
      <w:r w:rsidRPr="001E6EC2">
        <w:rPr>
          <w:rFonts w:eastAsia="Cambria" w:cstheme="minorHAnsi"/>
          <w:color w:val="auto"/>
          <w:szCs w:val="20"/>
        </w:rPr>
        <w:t xml:space="preserve">professionals or by approval of an appropriate authority’ (the </w:t>
      </w:r>
      <w:r w:rsidRPr="001E6EC2">
        <w:rPr>
          <w:rFonts w:eastAsia="Cambria" w:cstheme="minorHAnsi"/>
          <w:b/>
          <w:bCs/>
          <w:color w:val="auto"/>
          <w:szCs w:val="20"/>
        </w:rPr>
        <w:t>Proposal</w:t>
      </w:r>
      <w:r w:rsidRPr="001E6EC2">
        <w:rPr>
          <w:rFonts w:eastAsia="Cambria" w:cstheme="minorHAnsi"/>
          <w:color w:val="auto"/>
          <w:szCs w:val="20"/>
        </w:rPr>
        <w:t xml:space="preserve">). The amendment would permit the non-liquid preparations containing 5,500 mg/kg or less of fluoride to be supplied directly to </w:t>
      </w:r>
      <w:r w:rsidRPr="001E6EC2">
        <w:rPr>
          <w:rFonts w:eastAsia="Cambria" w:cstheme="minorHAnsi"/>
          <w:i/>
          <w:iCs/>
          <w:color w:val="auto"/>
          <w:szCs w:val="20"/>
        </w:rPr>
        <w:t xml:space="preserve">any </w:t>
      </w:r>
      <w:r w:rsidRPr="001E6EC2">
        <w:rPr>
          <w:rFonts w:eastAsia="Cambria" w:cstheme="minorHAnsi"/>
          <w:color w:val="auto"/>
          <w:szCs w:val="20"/>
        </w:rPr>
        <w:t>registered health professional.</w:t>
      </w:r>
    </w:p>
    <w:p w14:paraId="5CCE3B87" w14:textId="77777777" w:rsidR="00B94F8C" w:rsidRDefault="00B94F8C" w:rsidP="00B94F8C">
      <w:pPr>
        <w:pStyle w:val="Heading4"/>
      </w:pPr>
      <w:bookmarkStart w:id="50" w:name="_Toc176861270"/>
      <w:r>
        <w:t>Final Decision</w:t>
      </w:r>
      <w:bookmarkEnd w:id="50"/>
    </w:p>
    <w:p w14:paraId="6ECE8CCC" w14:textId="4C8A24B5" w:rsidR="00B94F8C" w:rsidRDefault="00B94F8C" w:rsidP="00B94F8C">
      <w:r w:rsidRPr="00C546F4">
        <w:t xml:space="preserve">Pursuant </w:t>
      </w:r>
      <w:r w:rsidRPr="0097583E">
        <w:t>to regulation</w:t>
      </w:r>
      <w:r w:rsidR="007663A6">
        <w:t xml:space="preserve"> </w:t>
      </w:r>
      <w:r w:rsidR="007663A6" w:rsidRPr="007663A6">
        <w:t>42ZCZW</w:t>
      </w:r>
      <w:r w:rsidRPr="0097583E" w:rsidDel="005F3EA0">
        <w:t xml:space="preserve"> </w:t>
      </w:r>
      <w:r w:rsidRPr="0097583E">
        <w:t xml:space="preserve">of the Regulations, a Delegate of the Secretary has made a final decision not amend the current Poisons Standard in relation to </w:t>
      </w:r>
      <w:r>
        <w:t>fluoride</w:t>
      </w:r>
      <w:r w:rsidRPr="0097583E">
        <w:t>.</w:t>
      </w:r>
      <w:r>
        <w:t xml:space="preserve"> The detailed reasons for the decision are provided within.</w:t>
      </w:r>
    </w:p>
    <w:p w14:paraId="04FC5763" w14:textId="77777777" w:rsidR="00B94F8C" w:rsidRDefault="00B94F8C" w:rsidP="00B94F8C">
      <w:pPr>
        <w:pStyle w:val="Heading4"/>
      </w:pPr>
      <w:bookmarkStart w:id="51" w:name="_Toc176861271"/>
      <w:r>
        <w:t>Materials considered</w:t>
      </w:r>
      <w:bookmarkEnd w:id="51"/>
    </w:p>
    <w:p w14:paraId="5FB12C62" w14:textId="77777777" w:rsidR="00B94F8C" w:rsidRDefault="00B94F8C" w:rsidP="00B94F8C">
      <w:r>
        <w:t>In making this final decision, the Delegate considered the following material:</w:t>
      </w:r>
    </w:p>
    <w:p w14:paraId="2B008704" w14:textId="77777777" w:rsidR="00B94F8C" w:rsidRDefault="00B94F8C" w:rsidP="00B521FB">
      <w:pPr>
        <w:pStyle w:val="ListBullet"/>
      </w:pPr>
      <w:r>
        <w:t xml:space="preserve">The </w:t>
      </w:r>
      <w:r w:rsidRPr="00C02858">
        <w:t>application</w:t>
      </w:r>
      <w:r>
        <w:t xml:space="preserve"> to amend the current Poisons Standard with respect to fluorides (the </w:t>
      </w:r>
      <w:r w:rsidRPr="000A3085">
        <w:rPr>
          <w:b/>
          <w:bCs/>
        </w:rPr>
        <w:t>Application</w:t>
      </w:r>
      <w:r>
        <w:t>)</w:t>
      </w:r>
    </w:p>
    <w:p w14:paraId="4E486F02" w14:textId="77777777" w:rsidR="00B94F8C" w:rsidRPr="00001F64" w:rsidRDefault="00B94F8C" w:rsidP="00B521FB">
      <w:pPr>
        <w:pStyle w:val="ListBullet"/>
      </w:pPr>
      <w:r w:rsidRPr="00C72DAB">
        <w:t xml:space="preserve">Subsection 52E(1) </w:t>
      </w:r>
      <w:r w:rsidRPr="00001F64">
        <w:t xml:space="preserve">of the </w:t>
      </w:r>
      <w:r w:rsidRPr="00001F64">
        <w:rPr>
          <w:iCs/>
        </w:rPr>
        <w:t>Act</w:t>
      </w:r>
      <w:r w:rsidRPr="00001F64">
        <w:rPr>
          <w:i/>
        </w:rPr>
        <w:t xml:space="preserve">, </w:t>
      </w:r>
      <w:r w:rsidRPr="00001F64">
        <w:t>in particular (b) the purposes for which a substance is to be used and the extent of use of a substance; (c) the toxicity of a substance; f) any other matters that the Secretary considers necessary to protect public health.</w:t>
      </w:r>
    </w:p>
    <w:p w14:paraId="4BD76F4D" w14:textId="77777777" w:rsidR="00B94F8C" w:rsidRPr="00904DF1" w:rsidRDefault="00B94F8C" w:rsidP="00B521FB">
      <w:pPr>
        <w:pStyle w:val="ListBullet"/>
      </w:pPr>
      <w:r w:rsidRPr="00904DF1">
        <w:t xml:space="preserve">The applicant response to the interim decision provided on the 17 November 2023 </w:t>
      </w:r>
    </w:p>
    <w:p w14:paraId="22D5B311" w14:textId="77777777" w:rsidR="00B94F8C" w:rsidRPr="00001F64" w:rsidRDefault="00B94F8C" w:rsidP="00B521FB">
      <w:pPr>
        <w:pStyle w:val="ListBullet"/>
        <w:rPr>
          <w:rFonts w:cs="Arial"/>
          <w:color w:val="auto"/>
        </w:rPr>
      </w:pPr>
      <w:r w:rsidRPr="00001F64">
        <w:rPr>
          <w:rFonts w:cs="Arial"/>
          <w:color w:val="auto"/>
        </w:rPr>
        <w:t xml:space="preserve">the </w:t>
      </w:r>
      <w:hyperlink r:id="rId34" w:history="1">
        <w:r w:rsidRPr="00001F64">
          <w:rPr>
            <w:rStyle w:val="Hyperlink"/>
            <w:rFonts w:cs="Arial"/>
          </w:rPr>
          <w:t>Scheduling Policy Framework</w:t>
        </w:r>
      </w:hyperlink>
      <w:r w:rsidRPr="00001F64">
        <w:rPr>
          <w:rFonts w:cs="Arial"/>
        </w:rPr>
        <w:t xml:space="preserve"> </w:t>
      </w:r>
      <w:r w:rsidRPr="00001F64">
        <w:rPr>
          <w:rFonts w:cs="Arial"/>
          <w:color w:val="auto"/>
        </w:rPr>
        <w:t xml:space="preserve">2018 (the </w:t>
      </w:r>
      <w:r w:rsidRPr="00001F64">
        <w:rPr>
          <w:rFonts w:cs="Arial"/>
          <w:b/>
          <w:bCs/>
          <w:color w:val="auto"/>
        </w:rPr>
        <w:t>SPF</w:t>
      </w:r>
      <w:r w:rsidRPr="00001F64">
        <w:rPr>
          <w:rFonts w:cs="Arial"/>
          <w:color w:val="auto"/>
        </w:rPr>
        <w:t>), and</w:t>
      </w:r>
    </w:p>
    <w:p w14:paraId="7B4361B3" w14:textId="77777777" w:rsidR="00B94F8C" w:rsidRPr="00001F64" w:rsidRDefault="00B94F8C" w:rsidP="00B521FB">
      <w:pPr>
        <w:pStyle w:val="ListBullet"/>
        <w:rPr>
          <w:rFonts w:cs="Arial"/>
        </w:rPr>
      </w:pPr>
      <w:r w:rsidRPr="00001F64">
        <w:rPr>
          <w:rFonts w:cs="Arial"/>
          <w:color w:val="auto"/>
        </w:rPr>
        <w:t xml:space="preserve">the </w:t>
      </w:r>
      <w:hyperlink r:id="rId35" w:history="1">
        <w:r w:rsidRPr="00001F64">
          <w:rPr>
            <w:rStyle w:val="Hyperlink"/>
            <w:rFonts w:cs="Arial"/>
          </w:rPr>
          <w:t>Scheduling handbook: Guidance for amending the Poisons Standard</w:t>
        </w:r>
      </w:hyperlink>
      <w:r w:rsidRPr="00001F64">
        <w:rPr>
          <w:rFonts w:cs="Arial"/>
        </w:rPr>
        <w:t xml:space="preserve"> </w:t>
      </w:r>
      <w:r w:rsidRPr="00001F64">
        <w:rPr>
          <w:rFonts w:cs="Arial"/>
          <w:color w:val="auto"/>
        </w:rPr>
        <w:t xml:space="preserve">(the </w:t>
      </w:r>
      <w:r w:rsidRPr="00001F64">
        <w:rPr>
          <w:rFonts w:cs="Arial"/>
          <w:b/>
          <w:bCs/>
          <w:color w:val="auto"/>
        </w:rPr>
        <w:t>Handbook</w:t>
      </w:r>
      <w:r w:rsidRPr="00001F64">
        <w:rPr>
          <w:rFonts w:cs="Arial"/>
          <w:color w:val="auto"/>
        </w:rPr>
        <w:t>).</w:t>
      </w:r>
    </w:p>
    <w:p w14:paraId="6307F7A7" w14:textId="77777777" w:rsidR="00B94F8C" w:rsidRPr="00B4492C" w:rsidRDefault="00B94F8C" w:rsidP="00B94F8C">
      <w:pPr>
        <w:pStyle w:val="Heading4"/>
      </w:pPr>
      <w:bookmarkStart w:id="52" w:name="_Toc176861272"/>
      <w:r>
        <w:lastRenderedPageBreak/>
        <w:t>Reasons for the interim and final decisions (including findings on material questions of fact)</w:t>
      </w:r>
      <w:bookmarkEnd w:id="52"/>
    </w:p>
    <w:p w14:paraId="43B4A399" w14:textId="77777777" w:rsidR="00B94F8C" w:rsidRDefault="00B94F8C" w:rsidP="00B94F8C">
      <w:pPr>
        <w:pStyle w:val="Heading4"/>
      </w:pPr>
      <w:bookmarkStart w:id="53" w:name="_Toc176861273"/>
      <w:r>
        <w:t>Interim decision reasons</w:t>
      </w:r>
      <w:bookmarkEnd w:id="53"/>
    </w:p>
    <w:p w14:paraId="03F50DEF" w14:textId="77777777" w:rsidR="00B94F8C" w:rsidRPr="00407A24" w:rsidRDefault="00B94F8C" w:rsidP="00B94F8C">
      <w:pPr>
        <w:rPr>
          <w:color w:val="auto"/>
          <w:szCs w:val="20"/>
        </w:rPr>
      </w:pPr>
      <w:r w:rsidRPr="00407A24">
        <w:rPr>
          <w:color w:val="auto"/>
          <w:szCs w:val="20"/>
        </w:rPr>
        <w:t xml:space="preserve">I have made an interim decision not to amend the current Poisons Standard (the </w:t>
      </w:r>
      <w:r w:rsidRPr="00407A24">
        <w:rPr>
          <w:b/>
          <w:bCs/>
          <w:color w:val="auto"/>
          <w:szCs w:val="20"/>
        </w:rPr>
        <w:t>Standard</w:t>
      </w:r>
      <w:r w:rsidRPr="00407A24">
        <w:rPr>
          <w:color w:val="auto"/>
          <w:szCs w:val="20"/>
        </w:rPr>
        <w:t>) in relation to fluorides. The detailed reasons for my decision are as follows:</w:t>
      </w:r>
    </w:p>
    <w:p w14:paraId="6B244C22" w14:textId="77777777" w:rsidR="00B94F8C" w:rsidRPr="00407A24" w:rsidRDefault="00B94F8C" w:rsidP="00B94F8C">
      <w:pPr>
        <w:rPr>
          <w:color w:val="auto"/>
          <w:szCs w:val="20"/>
        </w:rPr>
      </w:pPr>
      <w:r w:rsidRPr="00407A24">
        <w:rPr>
          <w:color w:val="auto"/>
          <w:szCs w:val="20"/>
        </w:rPr>
        <w:t>My decision not to amend the Poisons Standard with respect to fluorides was formed based on 3 key rationales:</w:t>
      </w:r>
    </w:p>
    <w:p w14:paraId="6A89AB09" w14:textId="77777777" w:rsidR="00B94F8C" w:rsidRPr="00407A24" w:rsidRDefault="00B94F8C" w:rsidP="00B94F8C">
      <w:pPr>
        <w:numPr>
          <w:ilvl w:val="0"/>
          <w:numId w:val="38"/>
        </w:numPr>
        <w:contextualSpacing/>
        <w:rPr>
          <w:color w:val="auto"/>
          <w:szCs w:val="20"/>
        </w:rPr>
      </w:pPr>
      <w:r w:rsidRPr="00407A24">
        <w:rPr>
          <w:color w:val="auto"/>
          <w:szCs w:val="20"/>
        </w:rPr>
        <w:t>there are no controls on supply to specific groups when amending the entry to read all registered health professionals. For example, there is nothing to stop direct supply of the substance to someone outside of the oral health industry.</w:t>
      </w:r>
    </w:p>
    <w:p w14:paraId="3E736DAF" w14:textId="77777777" w:rsidR="00B94F8C" w:rsidRPr="00407A24" w:rsidRDefault="00B94F8C" w:rsidP="00B94F8C">
      <w:pPr>
        <w:numPr>
          <w:ilvl w:val="0"/>
          <w:numId w:val="38"/>
        </w:numPr>
        <w:contextualSpacing/>
        <w:rPr>
          <w:color w:val="auto"/>
          <w:szCs w:val="20"/>
        </w:rPr>
      </w:pPr>
      <w:r w:rsidRPr="00407A24">
        <w:rPr>
          <w:color w:val="auto"/>
          <w:szCs w:val="20"/>
        </w:rPr>
        <w:t>there are already mechanisms in place through state and territory legislation to increase access and supply to specific health professional working groups, and</w:t>
      </w:r>
    </w:p>
    <w:p w14:paraId="6D439E40" w14:textId="77777777" w:rsidR="00B94F8C" w:rsidRDefault="00B94F8C" w:rsidP="00B94F8C">
      <w:pPr>
        <w:numPr>
          <w:ilvl w:val="0"/>
          <w:numId w:val="38"/>
        </w:numPr>
        <w:contextualSpacing/>
        <w:rPr>
          <w:color w:val="auto"/>
          <w:szCs w:val="20"/>
        </w:rPr>
      </w:pPr>
      <w:r w:rsidRPr="00407A24">
        <w:rPr>
          <w:color w:val="auto"/>
          <w:szCs w:val="20"/>
        </w:rPr>
        <w:t>the Poisons Standard is not the appropriate instrument by which to increase access for specific health practitioner groups.</w:t>
      </w:r>
    </w:p>
    <w:p w14:paraId="561AE89F" w14:textId="77777777" w:rsidR="00B94F8C" w:rsidRPr="00407A24" w:rsidRDefault="00B94F8C" w:rsidP="00B94F8C">
      <w:pPr>
        <w:ind w:left="720"/>
        <w:contextualSpacing/>
        <w:rPr>
          <w:color w:val="auto"/>
          <w:szCs w:val="20"/>
        </w:rPr>
      </w:pPr>
    </w:p>
    <w:p w14:paraId="280B036A" w14:textId="5A1DF3E7" w:rsidR="00D467BC" w:rsidRDefault="00B94F8C" w:rsidP="00D467BC">
      <w:pPr>
        <w:rPr>
          <w:color w:val="auto"/>
          <w:szCs w:val="20"/>
        </w:rPr>
      </w:pPr>
      <w:r w:rsidRPr="00407A24">
        <w:rPr>
          <w:color w:val="auto"/>
          <w:szCs w:val="20"/>
        </w:rPr>
        <w:t xml:space="preserve">The insertion of ‘health’ professional and the removal of ‘dental’ professional opens direct access of fluorides to all health professionals registered under the Australian Health Practitioners Regulation Agency (AHPRA). </w:t>
      </w:r>
      <w:r w:rsidR="00D467BC" w:rsidRPr="00D467BC">
        <w:rPr>
          <w:color w:val="auto"/>
          <w:szCs w:val="20"/>
        </w:rPr>
        <w:t>I acknowledge the applicant’s response to the interim decision stating that it is reasonable that any registered health practitioners whose scope of practice is irrelevant to oral health promotion in primary health care is unlikely to seek obtain and supply fluoride varnish.</w:t>
      </w:r>
      <w:r w:rsidR="00D467BC" w:rsidRPr="00D467BC">
        <w:t xml:space="preserve"> </w:t>
      </w:r>
      <w:r w:rsidR="00D467BC" w:rsidRPr="00D467BC">
        <w:rPr>
          <w:color w:val="auto"/>
          <w:szCs w:val="20"/>
        </w:rPr>
        <w:t>This is regarding both lack of clinical relevance and negligible financial incentives, given fluoride varnish is only a reimbursable service through the Department of Veterans’ Affairs dental program, Child Dental Benefits Scheme, and state/territory dental programs.</w:t>
      </w:r>
    </w:p>
    <w:p w14:paraId="6B52BB61" w14:textId="79338079" w:rsidR="00D467BC" w:rsidRPr="00407A24" w:rsidRDefault="00B94F8C" w:rsidP="00B94F8C">
      <w:pPr>
        <w:rPr>
          <w:color w:val="auto"/>
          <w:szCs w:val="20"/>
        </w:rPr>
      </w:pPr>
      <w:r w:rsidRPr="00407A24">
        <w:rPr>
          <w:color w:val="auto"/>
          <w:szCs w:val="20"/>
        </w:rPr>
        <w:t xml:space="preserve">I am of the view that the direct supply of fluorides being available to any registered health professional is inappropriate. </w:t>
      </w:r>
      <w:r w:rsidR="00D467BC">
        <w:rPr>
          <w:color w:val="auto"/>
          <w:szCs w:val="20"/>
        </w:rPr>
        <w:t xml:space="preserve">I do not feel there is a compelling argument regarding </w:t>
      </w:r>
      <w:r w:rsidR="00D467BC" w:rsidRPr="00D467BC">
        <w:rPr>
          <w:color w:val="auto"/>
          <w:szCs w:val="20"/>
        </w:rPr>
        <w:t xml:space="preserve">the purchase of fluoride varnish </w:t>
      </w:r>
      <w:r w:rsidR="00D467BC">
        <w:rPr>
          <w:color w:val="auto"/>
          <w:szCs w:val="20"/>
        </w:rPr>
        <w:t xml:space="preserve">being </w:t>
      </w:r>
      <w:r w:rsidR="00D467BC" w:rsidRPr="00D467BC">
        <w:rPr>
          <w:color w:val="auto"/>
          <w:szCs w:val="20"/>
        </w:rPr>
        <w:t>well controlled by oral health industry.</w:t>
      </w:r>
      <w:r w:rsidR="00D467BC" w:rsidRPr="00407A24">
        <w:rPr>
          <w:color w:val="auto"/>
          <w:szCs w:val="20"/>
        </w:rPr>
        <w:t xml:space="preserve"> There</w:t>
      </w:r>
      <w:r w:rsidRPr="00407A24">
        <w:rPr>
          <w:color w:val="auto"/>
          <w:szCs w:val="20"/>
        </w:rPr>
        <w:t xml:space="preserve"> are no mechanisms by which to ensure that direct supply is to an appropriate authority and cannot also be freely supplied to people outside of the oral health profession.</w:t>
      </w:r>
    </w:p>
    <w:p w14:paraId="7B3C1337" w14:textId="77777777" w:rsidR="00B94F8C" w:rsidRPr="00407A24" w:rsidRDefault="00B94F8C" w:rsidP="00B94F8C">
      <w:pPr>
        <w:rPr>
          <w:color w:val="auto"/>
          <w:szCs w:val="20"/>
        </w:rPr>
      </w:pPr>
      <w:r w:rsidRPr="00407A24">
        <w:rPr>
          <w:color w:val="auto"/>
          <w:szCs w:val="20"/>
        </w:rPr>
        <w:t>Turning to 52E(1)(b) and (c) of the Act, I note that fluorides when applied and used as directed can provide protection against dental caries. However, I am of the view that the direct supply of fluorides to an untrained health professional may result in misuse or incorrect application of the substance and, therefore, result in toxicity from excess exposure. Further, the Scheduling Handbook states that exemptions of substances from scheduling must be determined to be supplied with reasonable safety. Assessment of contraindications, particularly ulcerative gingivitis or stomatitis may be missed by a health professional not trained in oral health.</w:t>
      </w:r>
    </w:p>
    <w:p w14:paraId="4ABA2063" w14:textId="77777777" w:rsidR="00B94F8C" w:rsidRDefault="00B94F8C" w:rsidP="00B94F8C">
      <w:pPr>
        <w:rPr>
          <w:color w:val="auto"/>
          <w:szCs w:val="20"/>
        </w:rPr>
      </w:pPr>
      <w:r w:rsidRPr="00407A24">
        <w:rPr>
          <w:color w:val="auto"/>
          <w:szCs w:val="20"/>
        </w:rPr>
        <w:t xml:space="preserve">With regard to 52E(1)(f), I note that in </w:t>
      </w:r>
      <w:hyperlink r:id="rId36" w:history="1">
        <w:r w:rsidRPr="00407A24">
          <w:rPr>
            <w:color w:val="0000FF"/>
            <w:szCs w:val="20"/>
            <w:u w:val="single"/>
          </w:rPr>
          <w:t>February of 2008, the National Drugs and Poisons Scheduling Committee (NDPSC)</w:t>
        </w:r>
      </w:hyperlink>
      <w:r w:rsidRPr="00407A24">
        <w:rPr>
          <w:color w:val="auto"/>
          <w:szCs w:val="20"/>
        </w:rPr>
        <w:t xml:space="preserve"> amended the wording of the Schedule 2 and 3 exemptions for fluorides from ‘preparations supplied to registered dental professionals’ to instead read ‘preparations </w:t>
      </w:r>
      <w:r w:rsidRPr="00407A24">
        <w:rPr>
          <w:i/>
          <w:iCs/>
          <w:color w:val="auto"/>
          <w:szCs w:val="20"/>
        </w:rPr>
        <w:t>for</w:t>
      </w:r>
      <w:r w:rsidRPr="00407A24">
        <w:rPr>
          <w:color w:val="auto"/>
          <w:szCs w:val="20"/>
        </w:rPr>
        <w:t xml:space="preserve"> supply to registered dental professionals’ to mitigate unauthorised on-supply. The proposed amendment to insert ‘health’ professionals instead of ‘dental’ professionals reverts this risk mitigation strategy to prevent unauthorised re-distribution.</w:t>
      </w:r>
    </w:p>
    <w:p w14:paraId="61795619" w14:textId="6EEB93CA" w:rsidR="00B94F8C" w:rsidRPr="00407A24" w:rsidRDefault="0008092F" w:rsidP="00B94F8C">
      <w:pPr>
        <w:rPr>
          <w:color w:val="auto"/>
          <w:szCs w:val="20"/>
        </w:rPr>
      </w:pPr>
      <w:r>
        <w:rPr>
          <w:color w:val="auto"/>
          <w:szCs w:val="20"/>
        </w:rPr>
        <w:t xml:space="preserve">I note the applicant has indicated that the </w:t>
      </w:r>
      <w:r w:rsidRPr="0008092F">
        <w:rPr>
          <w:color w:val="auto"/>
          <w:szCs w:val="20"/>
        </w:rPr>
        <w:t xml:space="preserve">existing mechanisms </w:t>
      </w:r>
      <w:r>
        <w:rPr>
          <w:color w:val="auto"/>
          <w:szCs w:val="20"/>
        </w:rPr>
        <w:t xml:space="preserve">to gain access </w:t>
      </w:r>
      <w:r w:rsidRPr="0008092F">
        <w:rPr>
          <w:color w:val="auto"/>
          <w:szCs w:val="20"/>
        </w:rPr>
        <w:t xml:space="preserve">through state and territory legislation is lengthy and cumbersome. </w:t>
      </w:r>
      <w:r w:rsidR="00B94F8C" w:rsidRPr="00407A24">
        <w:rPr>
          <w:color w:val="auto"/>
          <w:szCs w:val="20"/>
        </w:rPr>
        <w:t xml:space="preserve">I </w:t>
      </w:r>
      <w:r>
        <w:rPr>
          <w:color w:val="auto"/>
          <w:szCs w:val="20"/>
        </w:rPr>
        <w:t xml:space="preserve">do </w:t>
      </w:r>
      <w:r w:rsidR="00B94F8C" w:rsidRPr="00407A24">
        <w:rPr>
          <w:color w:val="auto"/>
          <w:szCs w:val="20"/>
        </w:rPr>
        <w:t xml:space="preserve">acknowledge the disparity in access to early intervention dental care between various communities. However, as mentioned in the Application, there are already state and territory mechanisms in place in all states to expand access to specific healthcare workers. Currently, </w:t>
      </w:r>
      <w:hyperlink r:id="rId37" w:history="1">
        <w:r w:rsidR="00B94F8C" w:rsidRPr="00407A24">
          <w:rPr>
            <w:color w:val="0000FF"/>
            <w:szCs w:val="20"/>
            <w:u w:val="single"/>
          </w:rPr>
          <w:t>Queensland</w:t>
        </w:r>
      </w:hyperlink>
      <w:r w:rsidR="00B94F8C" w:rsidRPr="00407A24">
        <w:rPr>
          <w:color w:val="auto"/>
          <w:szCs w:val="20"/>
        </w:rPr>
        <w:t xml:space="preserve">, </w:t>
      </w:r>
      <w:hyperlink r:id="rId38" w:history="1">
        <w:r w:rsidR="00B94F8C" w:rsidRPr="00407A24">
          <w:rPr>
            <w:color w:val="0000FF"/>
            <w:szCs w:val="20"/>
            <w:u w:val="single"/>
          </w:rPr>
          <w:t>Western Australia</w:t>
        </w:r>
      </w:hyperlink>
      <w:r w:rsidR="00B94F8C" w:rsidRPr="00407A24">
        <w:rPr>
          <w:color w:val="auto"/>
          <w:szCs w:val="20"/>
        </w:rPr>
        <w:t xml:space="preserve"> and </w:t>
      </w:r>
      <w:hyperlink r:id="rId39" w:history="1">
        <w:r w:rsidR="00B94F8C" w:rsidRPr="00407A24">
          <w:rPr>
            <w:color w:val="0000FF"/>
            <w:szCs w:val="20"/>
            <w:u w:val="single"/>
          </w:rPr>
          <w:t>Victoria</w:t>
        </w:r>
      </w:hyperlink>
      <w:r w:rsidR="00B94F8C" w:rsidRPr="00407A24">
        <w:rPr>
          <w:color w:val="auto"/>
          <w:szCs w:val="20"/>
        </w:rPr>
        <w:t xml:space="preserve"> have amended their regulations to extend access to fluoride varnish for a select group of non-dental health professionals. As there are already mechanisms to achieve the increased access as proposed in the application, any </w:t>
      </w:r>
      <w:r w:rsidR="00B94F8C" w:rsidRPr="00407A24">
        <w:rPr>
          <w:color w:val="auto"/>
          <w:szCs w:val="20"/>
        </w:rPr>
        <w:lastRenderedPageBreak/>
        <w:t>potential benefits to amending the Poisons Standard entry for fluorides to include all registered health professionals, are not outweighed by the risks to public health of unauthorised use of the substance.</w:t>
      </w:r>
    </w:p>
    <w:p w14:paraId="06E8D8A6" w14:textId="77777777" w:rsidR="00B94F8C" w:rsidRPr="00B55AD1" w:rsidRDefault="00B94F8C" w:rsidP="00B94F8C">
      <w:pPr>
        <w:rPr>
          <w:color w:val="auto"/>
          <w:szCs w:val="20"/>
        </w:rPr>
      </w:pPr>
      <w:r w:rsidRPr="00B55AD1">
        <w:rPr>
          <w:color w:val="auto"/>
          <w:szCs w:val="20"/>
        </w:rPr>
        <w:t>In acknowledgment that the Poisons Standard is given legal effect through state and territory medicines and poisons legislation, I am of the view that the Poisons Standard is not the appropriate mechanism to increase access for specific health practitioner groups.</w:t>
      </w:r>
    </w:p>
    <w:p w14:paraId="07B90BA9" w14:textId="03B8481B" w:rsidR="00B94F8C" w:rsidRDefault="00B94F8C" w:rsidP="00B94F8C">
      <w:pPr>
        <w:rPr>
          <w:rFonts w:cstheme="minorHAnsi"/>
          <w:bCs/>
        </w:rPr>
      </w:pPr>
      <w:r w:rsidRPr="00B55AD1">
        <w:rPr>
          <w:rFonts w:cstheme="minorHAnsi"/>
          <w:color w:val="auto"/>
        </w:rPr>
        <w:t xml:space="preserve">Based on the above reasons, I </w:t>
      </w:r>
      <w:proofErr w:type="gramStart"/>
      <w:r w:rsidRPr="00B55AD1">
        <w:rPr>
          <w:rFonts w:cstheme="minorHAnsi"/>
          <w:color w:val="auto"/>
        </w:rPr>
        <w:t>am of the opinion that</w:t>
      </w:r>
      <w:proofErr w:type="gramEnd"/>
      <w:r w:rsidRPr="00B55AD1">
        <w:rPr>
          <w:rFonts w:cstheme="minorHAnsi"/>
          <w:color w:val="auto"/>
        </w:rPr>
        <w:t xml:space="preserve"> the existing scheduling entry for fluoride, is appropriate and aligns with the relevant factors listed in the SPF.</w:t>
      </w:r>
      <w:r w:rsidRPr="00B55AD1">
        <w:rPr>
          <w:color w:val="auto"/>
          <w:szCs w:val="20"/>
        </w:rPr>
        <w:t xml:space="preserve"> </w:t>
      </w:r>
      <w:r w:rsidRPr="00B55AD1">
        <w:rPr>
          <w:rFonts w:cstheme="minorHAnsi"/>
          <w:color w:val="auto"/>
        </w:rPr>
        <w:t>Extension of access to fluoride varnish has been successfully implemented and managed within Queensland, Western Australia and Victoria state and territory legislation, verifying that this is an equitable and viable delivery approach to authorise specifically approved healthcare professionals when required</w:t>
      </w:r>
      <w:r>
        <w:rPr>
          <w:rFonts w:cstheme="minorHAnsi"/>
          <w:color w:val="auto"/>
        </w:rPr>
        <w:t>.</w:t>
      </w:r>
    </w:p>
    <w:p w14:paraId="610102DF" w14:textId="77777777" w:rsidR="00B94F8C" w:rsidRDefault="00B94F8C" w:rsidP="00B94F8C">
      <w:pPr>
        <w:pStyle w:val="Heading4"/>
      </w:pPr>
      <w:bookmarkStart w:id="54" w:name="_Toc176861274"/>
      <w:r>
        <w:t xml:space="preserve">Final decision </w:t>
      </w:r>
      <w:bookmarkEnd w:id="43"/>
      <w:r>
        <w:t>reasons</w:t>
      </w:r>
      <w:bookmarkEnd w:id="54"/>
    </w:p>
    <w:p w14:paraId="0CE7A665" w14:textId="4609351A" w:rsidR="00CB1AAD" w:rsidRPr="00AA5C1A" w:rsidRDefault="00B94F8C" w:rsidP="00AA5C1A">
      <w:pPr>
        <w:rPr>
          <w:rFonts w:cstheme="minorHAnsi"/>
          <w:bCs/>
        </w:rPr>
      </w:pPr>
      <w:r w:rsidRPr="00F579B2">
        <w:rPr>
          <w:rFonts w:cstheme="minorHAnsi"/>
          <w:bCs/>
        </w:rPr>
        <w:t xml:space="preserve">I have made </w:t>
      </w:r>
      <w:r>
        <w:rPr>
          <w:rFonts w:cstheme="minorHAnsi"/>
          <w:bCs/>
        </w:rPr>
        <w:t xml:space="preserve">a final </w:t>
      </w:r>
      <w:r w:rsidRPr="00F579B2">
        <w:rPr>
          <w:rFonts w:cstheme="minorHAnsi"/>
          <w:bCs/>
        </w:rPr>
        <w:t xml:space="preserve">decision to not amend the current Poisons Standard (the </w:t>
      </w:r>
      <w:r w:rsidRPr="00F579B2">
        <w:rPr>
          <w:rFonts w:cstheme="minorHAnsi"/>
          <w:b/>
        </w:rPr>
        <w:t>Standard</w:t>
      </w:r>
      <w:r w:rsidRPr="00F579B2">
        <w:rPr>
          <w:rFonts w:cstheme="minorHAnsi"/>
          <w:bCs/>
        </w:rPr>
        <w:t xml:space="preserve">) in relation to </w:t>
      </w:r>
      <w:r>
        <w:rPr>
          <w:rFonts w:cstheme="minorHAnsi"/>
          <w:bCs/>
        </w:rPr>
        <w:t>fluoride</w:t>
      </w:r>
      <w:r w:rsidRPr="00F579B2">
        <w:rPr>
          <w:rFonts w:cstheme="minorHAnsi"/>
          <w:bCs/>
        </w:rPr>
        <w:t xml:space="preserve">. The detailed reasons for my decision are as </w:t>
      </w:r>
      <w:r>
        <w:rPr>
          <w:rFonts w:cstheme="minorHAnsi"/>
          <w:bCs/>
        </w:rPr>
        <w:t>outlined in the interim decision.</w:t>
      </w:r>
    </w:p>
    <w:p w14:paraId="6C90FD85" w14:textId="115ABA00" w:rsidR="00AA5C1A" w:rsidRDefault="00AA5C1A" w:rsidP="009C25DA">
      <w:pPr>
        <w:pStyle w:val="Heading3"/>
      </w:pPr>
      <w:bookmarkStart w:id="55" w:name="_Toc185508614"/>
      <w:r w:rsidRPr="00831400">
        <w:t xml:space="preserve">Final decision in relation to </w:t>
      </w:r>
      <w:proofErr w:type="spellStart"/>
      <w:r w:rsidRPr="00831400">
        <w:t>molidustat</w:t>
      </w:r>
      <w:bookmarkEnd w:id="55"/>
      <w:proofErr w:type="spellEnd"/>
    </w:p>
    <w:p w14:paraId="0F692185" w14:textId="77777777" w:rsidR="00AA5C1A" w:rsidRPr="00831400" w:rsidRDefault="00AA5C1A" w:rsidP="00AA5C1A">
      <w:pPr>
        <w:pStyle w:val="Heading4"/>
      </w:pPr>
      <w:r w:rsidRPr="00831400">
        <w:t xml:space="preserve">Final Decision </w:t>
      </w:r>
    </w:p>
    <w:p w14:paraId="4F37AFCD" w14:textId="77777777" w:rsidR="00AA5C1A" w:rsidRPr="00831400" w:rsidRDefault="00AA5C1A" w:rsidP="00AA5C1A">
      <w:r w:rsidRPr="00831400">
        <w:t>Pursuant to regulation 42ZCZU</w:t>
      </w:r>
      <w:r w:rsidRPr="00831400" w:rsidDel="005F3EA0">
        <w:t xml:space="preserve"> </w:t>
      </w:r>
      <w:r w:rsidRPr="00831400">
        <w:t xml:space="preserve">of the Regulations, a Delegate of the Secretary has made a final decision to amend the current Poisons Standard in relation to </w:t>
      </w:r>
      <w:proofErr w:type="spellStart"/>
      <w:r w:rsidRPr="00831400">
        <w:t>molidustat</w:t>
      </w:r>
      <w:proofErr w:type="spellEnd"/>
      <w:r w:rsidRPr="00831400">
        <w:t xml:space="preserve"> as follows.</w:t>
      </w:r>
    </w:p>
    <w:p w14:paraId="26602610" w14:textId="77777777" w:rsidR="00AA5C1A" w:rsidRPr="00831400" w:rsidRDefault="00AA5C1A" w:rsidP="00AA5C1A">
      <w:pPr>
        <w:ind w:left="425"/>
        <w:rPr>
          <w:rFonts w:cstheme="minorHAnsi"/>
          <w:b/>
          <w:color w:val="auto"/>
        </w:rPr>
      </w:pPr>
      <w:r w:rsidRPr="00831400">
        <w:rPr>
          <w:rFonts w:cstheme="minorHAnsi"/>
          <w:b/>
          <w:color w:val="auto"/>
        </w:rPr>
        <w:t>Schedule 4 – New Entry</w:t>
      </w:r>
    </w:p>
    <w:p w14:paraId="51A0FE71" w14:textId="77777777" w:rsidR="00AA5C1A" w:rsidRPr="00831400" w:rsidRDefault="00AA5C1A" w:rsidP="00AA5C1A">
      <w:pPr>
        <w:ind w:firstLine="709"/>
        <w:rPr>
          <w:rFonts w:cstheme="minorHAnsi"/>
          <w:strike/>
          <w:color w:val="FF0000"/>
          <w:u w:val="single"/>
        </w:rPr>
      </w:pPr>
      <w:r w:rsidRPr="00831400">
        <w:rPr>
          <w:rFonts w:cstheme="minorHAnsi"/>
          <w:color w:val="00B050"/>
          <w:u w:val="single"/>
        </w:rPr>
        <w:t>MOLIDUSTAT</w:t>
      </w:r>
    </w:p>
    <w:p w14:paraId="284E0B98" w14:textId="77777777" w:rsidR="00AA5C1A" w:rsidRPr="00831400" w:rsidRDefault="00AA5C1A" w:rsidP="00AA5C1A">
      <w:pPr>
        <w:ind w:left="426"/>
        <w:rPr>
          <w:rFonts w:cstheme="minorHAnsi"/>
          <w:b/>
          <w:color w:val="auto"/>
        </w:rPr>
      </w:pPr>
      <w:r w:rsidRPr="00831400">
        <w:rPr>
          <w:rFonts w:cstheme="minorHAnsi"/>
          <w:b/>
          <w:color w:val="auto"/>
        </w:rPr>
        <w:t>Index – New Entry</w:t>
      </w:r>
    </w:p>
    <w:p w14:paraId="551F9830" w14:textId="77777777" w:rsidR="00AA5C1A" w:rsidRPr="00831400" w:rsidRDefault="00AA5C1A" w:rsidP="00AA5C1A">
      <w:pPr>
        <w:ind w:firstLine="709"/>
        <w:rPr>
          <w:rFonts w:cstheme="minorHAnsi"/>
          <w:b/>
          <w:bCs/>
          <w:color w:val="00B050"/>
          <w:u w:val="single"/>
        </w:rPr>
      </w:pPr>
      <w:r w:rsidRPr="00831400">
        <w:rPr>
          <w:rFonts w:cstheme="minorHAnsi"/>
          <w:b/>
          <w:bCs/>
          <w:color w:val="00B050"/>
          <w:u w:val="single"/>
        </w:rPr>
        <w:t>MOLIDUSTAT</w:t>
      </w:r>
    </w:p>
    <w:p w14:paraId="381E5EB3" w14:textId="77777777" w:rsidR="00AA5C1A" w:rsidRDefault="00AA5C1A" w:rsidP="00AA5C1A">
      <w:pPr>
        <w:spacing w:after="0"/>
        <w:ind w:firstLine="709"/>
        <w:rPr>
          <w:rFonts w:cstheme="minorHAnsi"/>
          <w:color w:val="00B050"/>
          <w:u w:val="single"/>
        </w:rPr>
      </w:pPr>
      <w:r w:rsidRPr="00831400">
        <w:rPr>
          <w:rFonts w:cstheme="minorHAnsi"/>
          <w:color w:val="00B050"/>
          <w:u w:val="single"/>
        </w:rPr>
        <w:t>Schedule 4</w:t>
      </w:r>
    </w:p>
    <w:p w14:paraId="0023DD23" w14:textId="77777777" w:rsidR="00AA5C1A" w:rsidRDefault="00AA5C1A" w:rsidP="00AA5C1A">
      <w:pPr>
        <w:ind w:firstLine="709"/>
        <w:rPr>
          <w:rFonts w:cstheme="minorHAnsi"/>
          <w:color w:val="00B050"/>
          <w:u w:val="single"/>
        </w:rPr>
      </w:pPr>
      <w:r w:rsidRPr="00662EDC">
        <w:rPr>
          <w:rFonts w:cstheme="minorHAnsi"/>
          <w:color w:val="00B050"/>
          <w:u w:val="single"/>
        </w:rPr>
        <w:t>Appendix D, clause 5</w:t>
      </w:r>
    </w:p>
    <w:p w14:paraId="7AE72E99" w14:textId="77777777" w:rsidR="00AA5C1A" w:rsidRPr="002008D8" w:rsidRDefault="00AA5C1A" w:rsidP="00AA5C1A">
      <w:pPr>
        <w:spacing w:before="120" w:after="180" w:line="240" w:lineRule="atLeast"/>
        <w:ind w:left="425"/>
        <w:rPr>
          <w:rFonts w:eastAsia="Cambria" w:cstheme="minorHAnsi"/>
          <w:b/>
        </w:rPr>
      </w:pPr>
      <w:r w:rsidRPr="002008D8">
        <w:rPr>
          <w:rFonts w:eastAsia="Cambria" w:cstheme="minorHAnsi"/>
          <w:b/>
        </w:rPr>
        <w:t xml:space="preserve">Appendix </w:t>
      </w:r>
      <w:r>
        <w:rPr>
          <w:rFonts w:eastAsia="Cambria" w:cstheme="minorHAnsi"/>
          <w:b/>
        </w:rPr>
        <w:t>D, clause 5</w:t>
      </w:r>
      <w:r w:rsidRPr="002008D8">
        <w:rPr>
          <w:rFonts w:eastAsia="Cambria" w:cstheme="minorHAnsi"/>
          <w:b/>
        </w:rPr>
        <w:t xml:space="preserve"> – New Entry</w:t>
      </w:r>
      <w:r>
        <w:rPr>
          <w:rFonts w:eastAsia="Cambria" w:cstheme="minorHAnsi"/>
          <w:b/>
        </w:rPr>
        <w:t xml:space="preserve"> – </w:t>
      </w:r>
      <w:r w:rsidRPr="00887764">
        <w:rPr>
          <w:rFonts w:eastAsia="Cambria" w:cstheme="minorHAnsi"/>
          <w:bCs/>
        </w:rPr>
        <w:t>Poisons for which possession without authority is illegal.</w:t>
      </w:r>
    </w:p>
    <w:tbl>
      <w:tblPr>
        <w:tblStyle w:val="TableTGAblue"/>
        <w:tblW w:w="1830" w:type="dxa"/>
        <w:tblInd w:w="699" w:type="dxa"/>
        <w:tblLook w:val="04A0" w:firstRow="1" w:lastRow="0" w:firstColumn="1" w:lastColumn="0" w:noHBand="0" w:noVBand="1"/>
      </w:tblPr>
      <w:tblGrid>
        <w:gridCol w:w="641"/>
        <w:gridCol w:w="1417"/>
      </w:tblGrid>
      <w:tr w:rsidR="00AA5C1A" w:rsidRPr="006A615A" w14:paraId="5065F0A9" w14:textId="77777777" w:rsidTr="00595B1B">
        <w:trPr>
          <w:cnfStyle w:val="100000000000" w:firstRow="1" w:lastRow="0" w:firstColumn="0" w:lastColumn="0" w:oddVBand="0" w:evenVBand="0" w:oddHBand="0" w:evenHBand="0" w:firstRowFirstColumn="0" w:firstRowLastColumn="0" w:lastRowFirstColumn="0" w:lastRowLastColumn="0"/>
          <w:cantSplit w:val="0"/>
          <w:trHeight w:val="214"/>
        </w:trPr>
        <w:tc>
          <w:tcPr>
            <w:cnfStyle w:val="001000000000" w:firstRow="0" w:lastRow="0" w:firstColumn="1" w:lastColumn="0" w:oddVBand="0" w:evenVBand="0" w:oddHBand="0" w:evenHBand="0" w:firstRowFirstColumn="0" w:firstRowLastColumn="0" w:lastRowFirstColumn="0" w:lastRowLastColumn="0"/>
            <w:tcW w:w="751" w:type="dxa"/>
          </w:tcPr>
          <w:p w14:paraId="11F3AE34" w14:textId="77777777" w:rsidR="00AA5C1A" w:rsidRPr="00887764" w:rsidRDefault="00AA5C1A" w:rsidP="00595B1B">
            <w:pPr>
              <w:rPr>
                <w:rFonts w:asciiTheme="minorHAnsi" w:hAnsiTheme="minorHAnsi" w:cstheme="minorHAnsi"/>
                <w:color w:val="FFFFFF" w:themeColor="background1"/>
              </w:rPr>
            </w:pPr>
            <w:r w:rsidRPr="00887764">
              <w:rPr>
                <w:rFonts w:asciiTheme="minorHAnsi" w:hAnsiTheme="minorHAnsi" w:cstheme="minorHAnsi"/>
                <w:color w:val="FFFFFF" w:themeColor="background1"/>
              </w:rPr>
              <w:t>Item</w:t>
            </w:r>
          </w:p>
        </w:tc>
        <w:tc>
          <w:tcPr>
            <w:tcW w:w="1079" w:type="dxa"/>
          </w:tcPr>
          <w:p w14:paraId="4C6EC41A" w14:textId="77777777" w:rsidR="00AA5C1A" w:rsidRPr="00887764" w:rsidRDefault="00AA5C1A" w:rsidP="00595B1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887764">
              <w:rPr>
                <w:rFonts w:asciiTheme="minorHAnsi" w:hAnsiTheme="minorHAnsi" w:cstheme="minorHAnsi"/>
                <w:color w:val="FFFFFF" w:themeColor="background1"/>
              </w:rPr>
              <w:t>Poison</w:t>
            </w:r>
          </w:p>
        </w:tc>
      </w:tr>
      <w:tr w:rsidR="00AA5C1A" w:rsidRPr="006A615A" w14:paraId="0BF80D15" w14:textId="77777777" w:rsidTr="00595B1B">
        <w:trPr>
          <w:trHeight w:val="214"/>
        </w:trPr>
        <w:tc>
          <w:tcPr>
            <w:cnfStyle w:val="001000000000" w:firstRow="0" w:lastRow="0" w:firstColumn="1" w:lastColumn="0" w:oddVBand="0" w:evenVBand="0" w:oddHBand="0" w:evenHBand="0" w:firstRowFirstColumn="0" w:firstRowLastColumn="0" w:lastRowFirstColumn="0" w:lastRowLastColumn="0"/>
            <w:tcW w:w="751" w:type="dxa"/>
          </w:tcPr>
          <w:p w14:paraId="71CE6DB7" w14:textId="77777777" w:rsidR="00AA5C1A" w:rsidRPr="00887764" w:rsidRDefault="00AA5C1A" w:rsidP="00595B1B">
            <w:pPr>
              <w:rPr>
                <w:rFonts w:asciiTheme="minorHAnsi" w:hAnsiTheme="minorHAnsi" w:cstheme="minorHAnsi"/>
                <w:color w:val="00B050"/>
                <w:u w:val="single"/>
              </w:rPr>
            </w:pPr>
            <w:r>
              <w:rPr>
                <w:rFonts w:asciiTheme="minorHAnsi" w:hAnsiTheme="minorHAnsi" w:cstheme="minorHAnsi"/>
                <w:color w:val="00B050"/>
                <w:u w:val="single"/>
              </w:rPr>
              <w:t>26</w:t>
            </w:r>
          </w:p>
        </w:tc>
        <w:tc>
          <w:tcPr>
            <w:tcW w:w="1079" w:type="dxa"/>
          </w:tcPr>
          <w:p w14:paraId="1753FC05" w14:textId="77777777" w:rsidR="00AA5C1A" w:rsidRPr="00887764" w:rsidRDefault="00AA5C1A" w:rsidP="00595B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u w:val="single"/>
              </w:rPr>
            </w:pPr>
            <w:r>
              <w:rPr>
                <w:rFonts w:asciiTheme="minorHAnsi" w:hAnsiTheme="minorHAnsi" w:cstheme="minorHAnsi"/>
                <w:color w:val="00B050"/>
                <w:u w:val="single"/>
              </w:rPr>
              <w:t>MOLIDUSTAT</w:t>
            </w:r>
          </w:p>
        </w:tc>
      </w:tr>
    </w:tbl>
    <w:p w14:paraId="461A9A1F" w14:textId="77777777" w:rsidR="00AA5C1A" w:rsidRPr="00831400" w:rsidRDefault="00AA5C1A" w:rsidP="00AA5C1A">
      <w:pPr>
        <w:ind w:firstLine="709"/>
        <w:rPr>
          <w:rFonts w:cstheme="minorHAnsi"/>
          <w:strike/>
          <w:color w:val="FF0000"/>
        </w:rPr>
      </w:pPr>
    </w:p>
    <w:p w14:paraId="059779A5" w14:textId="77777777" w:rsidR="00AA5C1A" w:rsidRPr="00831400" w:rsidRDefault="00AA5C1A" w:rsidP="00AA5C1A">
      <w:pPr>
        <w:pStyle w:val="Heading4"/>
      </w:pPr>
      <w:r w:rsidRPr="00831400">
        <w:t xml:space="preserve">Materials considered </w:t>
      </w:r>
    </w:p>
    <w:p w14:paraId="1F227560" w14:textId="77777777" w:rsidR="00AA5C1A" w:rsidRPr="00831400" w:rsidRDefault="00AA5C1A" w:rsidP="00AA5C1A">
      <w:r w:rsidRPr="00831400">
        <w:t>In making this final decision, the Delegate considered the following material:</w:t>
      </w:r>
    </w:p>
    <w:p w14:paraId="07FDB3D4" w14:textId="77777777" w:rsidR="00AA5C1A" w:rsidRPr="00831400" w:rsidRDefault="00AA5C1A" w:rsidP="00AA5C1A">
      <w:pPr>
        <w:pStyle w:val="ListBullet"/>
      </w:pPr>
      <w:r>
        <w:t>t</w:t>
      </w:r>
      <w:r w:rsidRPr="00831400">
        <w:t xml:space="preserve">he application to amend the current Poisons Standard with respect to </w:t>
      </w:r>
      <w:proofErr w:type="spellStart"/>
      <w:r w:rsidRPr="00831400">
        <w:t>molidustat</w:t>
      </w:r>
      <w:proofErr w:type="spellEnd"/>
      <w:r w:rsidRPr="00831400">
        <w:t xml:space="preserve"> (the </w:t>
      </w:r>
      <w:r w:rsidRPr="00831400">
        <w:rPr>
          <w:b/>
          <w:bCs/>
        </w:rPr>
        <w:t>Application</w:t>
      </w:r>
      <w:r w:rsidRPr="00831400">
        <w:t>)</w:t>
      </w:r>
    </w:p>
    <w:p w14:paraId="2AE8783A" w14:textId="77777777" w:rsidR="00AA5C1A" w:rsidRPr="00831400" w:rsidRDefault="00AA5C1A" w:rsidP="00AA5C1A">
      <w:pPr>
        <w:pStyle w:val="ListBullet"/>
      </w:pPr>
      <w:r>
        <w:t>s</w:t>
      </w:r>
      <w:r w:rsidRPr="00831400">
        <w:t xml:space="preserve">ubsection 52E(1) of </w:t>
      </w:r>
      <w:r w:rsidRPr="00831400">
        <w:rPr>
          <w:i/>
        </w:rPr>
        <w:t>the Therapeutic Goods Act 1989</w:t>
      </w:r>
      <w:r w:rsidRPr="00831400">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335902FE" w14:textId="77777777" w:rsidR="00AA5C1A" w:rsidRPr="00831400" w:rsidRDefault="00AA5C1A" w:rsidP="00AA5C1A">
      <w:pPr>
        <w:pStyle w:val="ListBullet"/>
      </w:pPr>
      <w:r>
        <w:t>t</w:t>
      </w:r>
      <w:r w:rsidRPr="00831400">
        <w:t xml:space="preserve">he Human Health Risk Assessment (HHRA) technical report on </w:t>
      </w:r>
      <w:proofErr w:type="spellStart"/>
      <w:r w:rsidRPr="00831400">
        <w:t>molidustat</w:t>
      </w:r>
      <w:proofErr w:type="spellEnd"/>
      <w:r w:rsidRPr="00831400">
        <w:t xml:space="preserve"> and</w:t>
      </w:r>
      <w:r>
        <w:t xml:space="preserve"> a related</w:t>
      </w:r>
      <w:r w:rsidRPr="00831400">
        <w:t xml:space="preserve"> product</w:t>
      </w:r>
      <w:r>
        <w:t>.</w:t>
      </w:r>
    </w:p>
    <w:p w14:paraId="78D48D68" w14:textId="77777777" w:rsidR="00AA5C1A" w:rsidRPr="00831400" w:rsidRDefault="00AA5C1A" w:rsidP="00AA5C1A">
      <w:pPr>
        <w:pStyle w:val="ListBullet"/>
      </w:pPr>
      <w:r>
        <w:lastRenderedPageBreak/>
        <w:t>p</w:t>
      </w:r>
      <w:r w:rsidRPr="00831400">
        <w:t>ursuant to paragraph 52E(2)(a) of the Act, the SPF, and</w:t>
      </w:r>
    </w:p>
    <w:p w14:paraId="0D41C565" w14:textId="77777777" w:rsidR="00AA5C1A" w:rsidRPr="00831400" w:rsidRDefault="00AA5C1A" w:rsidP="00AA5C1A">
      <w:pPr>
        <w:pStyle w:val="ListBullet"/>
      </w:pPr>
      <w:r>
        <w:t>t</w:t>
      </w:r>
      <w:r w:rsidRPr="00831400">
        <w:t>he Handbook.</w:t>
      </w:r>
    </w:p>
    <w:p w14:paraId="2F3E7BD9" w14:textId="77777777" w:rsidR="00AA5C1A" w:rsidRPr="00831400" w:rsidRDefault="00AA5C1A" w:rsidP="00AA5C1A">
      <w:pPr>
        <w:pStyle w:val="Heading4"/>
      </w:pPr>
      <w:r w:rsidRPr="00831400">
        <w:t>Reasons for the final decision (including findings on material questions of fact)</w:t>
      </w:r>
    </w:p>
    <w:p w14:paraId="0B220A9A" w14:textId="77777777" w:rsidR="00AA5C1A" w:rsidRPr="00831400" w:rsidRDefault="00AA5C1A" w:rsidP="00AA5C1A">
      <w:r w:rsidRPr="00831400">
        <w:t xml:space="preserve">In determining that this matter will be a delegate-only decision I have </w:t>
      </w:r>
      <w:proofErr w:type="gramStart"/>
      <w:r w:rsidRPr="00831400">
        <w:t>taken into account</w:t>
      </w:r>
      <w:proofErr w:type="gramEnd"/>
      <w:r w:rsidRPr="00831400">
        <w:t xml:space="preserve"> the information provided in the Application from the applicant, the Australian Pesticides and Veterinary Medicine Authority (APVMA), and the matters outlined under s 52E of the Act and the SPF. I note that:</w:t>
      </w:r>
    </w:p>
    <w:p w14:paraId="33FD7676" w14:textId="77777777" w:rsidR="00AA5C1A" w:rsidRPr="00831400" w:rsidRDefault="00AA5C1A" w:rsidP="00AA5C1A">
      <w:pPr>
        <w:pStyle w:val="ListBullet"/>
      </w:pPr>
      <w:r w:rsidRPr="00F77407">
        <w:t xml:space="preserve">The Application proposes that </w:t>
      </w:r>
      <w:proofErr w:type="spellStart"/>
      <w:r>
        <w:t>molidustat</w:t>
      </w:r>
      <w:proofErr w:type="spellEnd"/>
      <w:r w:rsidRPr="00831400">
        <w:t xml:space="preserve"> </w:t>
      </w:r>
      <w:r w:rsidRPr="00F77407">
        <w:t>be included in Schedule 4 of the Poisons Standard</w:t>
      </w:r>
      <w:r>
        <w:t xml:space="preserve">. </w:t>
      </w:r>
      <w:r w:rsidRPr="00831400">
        <w:t xml:space="preserve">The ailments or symptoms that the substance is used for requires veterinary intervention. </w:t>
      </w:r>
      <w:proofErr w:type="spellStart"/>
      <w:r>
        <w:t>Molidustat</w:t>
      </w:r>
      <w:proofErr w:type="spellEnd"/>
      <w:r>
        <w:t xml:space="preserve"> is currently not included in the Poisons Standard. </w:t>
      </w:r>
      <w:r w:rsidRPr="00831400">
        <w:t xml:space="preserve"> </w:t>
      </w:r>
    </w:p>
    <w:p w14:paraId="1DB64F68" w14:textId="77777777" w:rsidR="00AA5C1A" w:rsidRPr="00831400" w:rsidRDefault="00AA5C1A" w:rsidP="00AA5C1A">
      <w:pPr>
        <w:pStyle w:val="ListBullet"/>
      </w:pPr>
      <w:r w:rsidRPr="00831400">
        <w:t xml:space="preserve">In relation to s 52E(1)(a) </w:t>
      </w:r>
      <w:r>
        <w:t xml:space="preserve">and (b) </w:t>
      </w:r>
      <w:r w:rsidRPr="00831400">
        <w:t xml:space="preserve">of the Act, the proposed amendment to the Poisons Standard is to include an entry for </w:t>
      </w:r>
      <w:proofErr w:type="spellStart"/>
      <w:r w:rsidRPr="00831400">
        <w:t>molidustat</w:t>
      </w:r>
      <w:proofErr w:type="spellEnd"/>
      <w:r w:rsidRPr="00831400">
        <w:t xml:space="preserve"> in Schedule 4 based upon </w:t>
      </w:r>
      <w:proofErr w:type="spellStart"/>
      <w:r w:rsidRPr="00831400">
        <w:t>molidustat</w:t>
      </w:r>
      <w:proofErr w:type="spellEnd"/>
      <w:r w:rsidRPr="00831400">
        <w:t xml:space="preserve"> </w:t>
      </w:r>
      <w:r>
        <w:t xml:space="preserve">is proposed for </w:t>
      </w:r>
      <w:r w:rsidRPr="00831400">
        <w:t>treating anaemia associated with chronic kidney disease (CKD) in cats</w:t>
      </w:r>
      <w:r>
        <w:t>.</w:t>
      </w:r>
      <w:r w:rsidRPr="002E3088">
        <w:t xml:space="preserve"> </w:t>
      </w:r>
      <w:r>
        <w:t>T</w:t>
      </w:r>
      <w:r w:rsidRPr="00831400">
        <w:t xml:space="preserve">he proposed </w:t>
      </w:r>
      <w:proofErr w:type="spellStart"/>
      <w:r w:rsidRPr="00831400">
        <w:t>molidustat</w:t>
      </w:r>
      <w:proofErr w:type="spellEnd"/>
      <w:r w:rsidRPr="00831400">
        <w:t>-containing product is for use in companion animals and is not intended for use in food-producing animals.</w:t>
      </w:r>
      <w:r w:rsidRPr="00706470">
        <w:t xml:space="preserve"> </w:t>
      </w:r>
      <w:r>
        <w:t>T</w:t>
      </w:r>
      <w:r w:rsidRPr="002E3088">
        <w:t xml:space="preserve">he risks to humans from potential exposure to </w:t>
      </w:r>
      <w:proofErr w:type="spellStart"/>
      <w:r w:rsidRPr="00831400">
        <w:t>molidustat</w:t>
      </w:r>
      <w:proofErr w:type="spellEnd"/>
      <w:r w:rsidRPr="002E3088">
        <w:t xml:space="preserve"> product </w:t>
      </w:r>
      <w:r>
        <w:t xml:space="preserve">are low when used for this purpose. </w:t>
      </w:r>
    </w:p>
    <w:p w14:paraId="761107A5" w14:textId="77777777" w:rsidR="00AA5C1A" w:rsidRPr="00831400" w:rsidRDefault="00AA5C1A" w:rsidP="00AA5C1A">
      <w:pPr>
        <w:pStyle w:val="ListBullet"/>
      </w:pPr>
      <w:r w:rsidRPr="00831400">
        <w:t xml:space="preserve">Regarding s 52E(1)(d) of the Act, </w:t>
      </w:r>
      <w:r>
        <w:t>t</w:t>
      </w:r>
      <w:r w:rsidRPr="00831400">
        <w:t xml:space="preserve">he intended product will contain 25 mg/mL of </w:t>
      </w:r>
      <w:proofErr w:type="spellStart"/>
      <w:r w:rsidRPr="00831400">
        <w:t>molidustat</w:t>
      </w:r>
      <w:proofErr w:type="spellEnd"/>
      <w:r w:rsidRPr="00831400">
        <w:t xml:space="preserve"> sodium in a solution.  </w:t>
      </w:r>
      <w:r>
        <w:t>T</w:t>
      </w:r>
      <w:r w:rsidRPr="00831400">
        <w:t xml:space="preserve">he product will be available in 30 mL glass bottles fitted with a tamper proof child resistant closure, and a 3 mL </w:t>
      </w:r>
      <w:r>
        <w:t xml:space="preserve">oral </w:t>
      </w:r>
      <w:r w:rsidRPr="00831400">
        <w:t xml:space="preserve">dosing syringe. </w:t>
      </w:r>
      <w:r>
        <w:t>The product</w:t>
      </w:r>
      <w:r w:rsidRPr="00831400">
        <w:t xml:space="preserve"> is intended to be a prescription </w:t>
      </w:r>
      <w:r>
        <w:t xml:space="preserve">veterinary </w:t>
      </w:r>
      <w:r w:rsidRPr="00831400">
        <w:t xml:space="preserve">medicine for oral administration by veterinary professionals and cat owners </w:t>
      </w:r>
      <w:r>
        <w:t xml:space="preserve">to be </w:t>
      </w:r>
      <w:r w:rsidRPr="00831400">
        <w:t>administered once per day for 28 days</w:t>
      </w:r>
      <w:r>
        <w:t>.</w:t>
      </w:r>
      <w:r w:rsidRPr="00831400">
        <w:t xml:space="preserve"> This is consistent with the SPF factors for Schedule 4,</w:t>
      </w:r>
      <w:r>
        <w:t xml:space="preserve"> </w:t>
      </w:r>
      <w:r w:rsidRPr="00831400">
        <w:t xml:space="preserve">as products containing </w:t>
      </w:r>
      <w:proofErr w:type="spellStart"/>
      <w:r w:rsidRPr="00831400">
        <w:t>molidustat</w:t>
      </w:r>
      <w:proofErr w:type="spellEnd"/>
      <w:r w:rsidRPr="00831400">
        <w:t xml:space="preserve"> will require veterinary diagnosis</w:t>
      </w:r>
      <w:r>
        <w:t xml:space="preserve"> and</w:t>
      </w:r>
      <w:r w:rsidRPr="00831400">
        <w:t xml:space="preserve"> </w:t>
      </w:r>
      <w:r w:rsidRPr="008D7321">
        <w:t xml:space="preserve">oversight </w:t>
      </w:r>
      <w:r w:rsidRPr="00831400">
        <w:t>to ensure appropriate and safe use</w:t>
      </w:r>
      <w:r>
        <w:t>.</w:t>
      </w:r>
    </w:p>
    <w:p w14:paraId="065F2DFF" w14:textId="77777777" w:rsidR="00AA5C1A" w:rsidRPr="00831400" w:rsidRDefault="00AA5C1A" w:rsidP="00AA5C1A">
      <w:pPr>
        <w:pStyle w:val="ListBullet"/>
      </w:pPr>
      <w:r w:rsidRPr="00831400">
        <w:t xml:space="preserve">In relation to s 52E(1)(c) of the Act, I have considered the Human Health Risk Assessment (HHRA) provided by the applicant for both the active ingredient and the intended product formulation containing </w:t>
      </w:r>
      <w:proofErr w:type="spellStart"/>
      <w:r w:rsidRPr="00831400">
        <w:t>molidustat</w:t>
      </w:r>
      <w:proofErr w:type="spellEnd"/>
      <w:r w:rsidRPr="00831400">
        <w:t xml:space="preserve"> sodium at 25 mg/</w:t>
      </w:r>
      <w:proofErr w:type="spellStart"/>
      <w:r w:rsidRPr="00831400">
        <w:t>mL</w:t>
      </w:r>
      <w:r>
        <w:t>.</w:t>
      </w:r>
      <w:proofErr w:type="spellEnd"/>
      <w:r>
        <w:t xml:space="preserve"> </w:t>
      </w:r>
      <w:r w:rsidRPr="00831400">
        <w:t xml:space="preserve">The HHRA </w:t>
      </w:r>
      <w:r>
        <w:t>indicated</w:t>
      </w:r>
      <w:r w:rsidRPr="00831400">
        <w:t xml:space="preserve"> that the risks to human health and safety posed by this substance were acceptable according to the criteria stipulated in Section 5A of the </w:t>
      </w:r>
      <w:r w:rsidRPr="00831400">
        <w:rPr>
          <w:i/>
          <w:iCs/>
        </w:rPr>
        <w:t>Agricultural and Veterinary Chemicals Code Act 1994</w:t>
      </w:r>
      <w:r w:rsidRPr="00831400">
        <w:t xml:space="preserve">. However, in accordance with the </w:t>
      </w:r>
      <w:r w:rsidRPr="00C5735A">
        <w:t xml:space="preserve">cascading </w:t>
      </w:r>
      <w:hyperlink r:id="rId40" w:anchor=":~:text=The%20cascading%20principle%20The%20model%20for%20making%20scheduling,fit%20to%20be%20found%20using%20a%20systematic%20approach." w:history="1">
        <w:r w:rsidRPr="00831400">
          <w:t>principle</w:t>
        </w:r>
      </w:hyperlink>
      <w:r w:rsidRPr="00831400">
        <w:t xml:space="preserve"> for veterinary medicines, the product formulation is </w:t>
      </w:r>
      <w:r>
        <w:t xml:space="preserve">intended </w:t>
      </w:r>
      <w:r w:rsidRPr="00831400">
        <w:t>for veterinary use only and should therefore be captured under Schedule 4, despite the relatively low toxicity profile</w:t>
      </w:r>
      <w:r>
        <w:t xml:space="preserve"> befitting a Schedule 5 classification</w:t>
      </w:r>
      <w:r w:rsidRPr="00831400">
        <w:t>.</w:t>
      </w:r>
    </w:p>
    <w:p w14:paraId="0C74363A" w14:textId="77777777" w:rsidR="00AA5C1A" w:rsidRPr="00831400" w:rsidRDefault="00AA5C1A" w:rsidP="00AA5C1A">
      <w:pPr>
        <w:pStyle w:val="ListBullet"/>
      </w:pPr>
      <w:r w:rsidRPr="00831400">
        <w:t>In reviewing the HHRA, I find that the acute oral</w:t>
      </w:r>
      <w:r>
        <w:t xml:space="preserve"> (LD</w:t>
      </w:r>
      <w:r w:rsidRPr="00015497">
        <w:rPr>
          <w:vertAlign w:val="subscript"/>
        </w:rPr>
        <w:t>50</w:t>
      </w:r>
      <w:r>
        <w:t>)</w:t>
      </w:r>
      <w:r w:rsidRPr="00831400">
        <w:t xml:space="preserve"> toxicity of </w:t>
      </w:r>
      <w:proofErr w:type="spellStart"/>
      <w:r w:rsidRPr="00831400">
        <w:t>molidustat</w:t>
      </w:r>
      <w:proofErr w:type="spellEnd"/>
      <w:r w:rsidRPr="00831400">
        <w:t xml:space="preserve"> in both rats and mice </w:t>
      </w:r>
      <w:r>
        <w:t>is</w:t>
      </w:r>
      <w:r w:rsidRPr="00831400">
        <w:t xml:space="preserve"> low</w:t>
      </w:r>
      <w:r>
        <w:t xml:space="preserve"> (&gt; 2000 mg/kg </w:t>
      </w:r>
      <w:proofErr w:type="spellStart"/>
      <w:r>
        <w:t>bw</w:t>
      </w:r>
      <w:proofErr w:type="spellEnd"/>
      <w:r>
        <w:t>)</w:t>
      </w:r>
      <w:r w:rsidRPr="00831400">
        <w:t xml:space="preserve">. I note that no information was provided on the acute dermal and inhalation toxicity. The 25 mg/mL product formulation is neither a skin irritant </w:t>
      </w:r>
      <w:r w:rsidRPr="00831400">
        <w:rPr>
          <w:i/>
          <w:iCs/>
        </w:rPr>
        <w:t>in vitro</w:t>
      </w:r>
      <w:r w:rsidRPr="00831400">
        <w:t xml:space="preserve"> nor a skin sensitiser in mice. Studies on the product formulation indicate</w:t>
      </w:r>
      <w:r>
        <w:t xml:space="preserve"> that</w:t>
      </w:r>
      <w:r w:rsidRPr="00831400">
        <w:t xml:space="preserve"> it has low potential to cause either eye or skin irritation and is unlikely to be a skin sensitiser. I consider that the risk to human health </w:t>
      </w:r>
      <w:r>
        <w:t xml:space="preserve">and safety </w:t>
      </w:r>
      <w:r w:rsidRPr="00831400">
        <w:t>would be sufficiently mitigated</w:t>
      </w:r>
      <w:r>
        <w:t>,</w:t>
      </w:r>
      <w:r w:rsidRPr="00831400">
        <w:t xml:space="preserve"> as the 25 mg/mL</w:t>
      </w:r>
      <w:r>
        <w:t xml:space="preserve"> oral</w:t>
      </w:r>
      <w:r w:rsidRPr="00831400">
        <w:t xml:space="preserve"> formulation will only be available following </w:t>
      </w:r>
      <w:r>
        <w:t xml:space="preserve">professional </w:t>
      </w:r>
      <w:r w:rsidRPr="00831400">
        <w:t>advice from a veterinarian, where careful adherence to the label instructions will be emphasised.</w:t>
      </w:r>
    </w:p>
    <w:p w14:paraId="61511773" w14:textId="77777777" w:rsidR="00AA5C1A" w:rsidRPr="00831400" w:rsidRDefault="00AA5C1A" w:rsidP="00AA5C1A">
      <w:pPr>
        <w:pStyle w:val="ListBullet"/>
      </w:pPr>
      <w:r>
        <w:t>R</w:t>
      </w:r>
      <w:r w:rsidRPr="00831400">
        <w:t>epeat-dose</w:t>
      </w:r>
      <w:r>
        <w:t>,</w:t>
      </w:r>
      <w:r w:rsidRPr="00831400">
        <w:t xml:space="preserve"> short-term and sub-chronic toxicity studies conduct</w:t>
      </w:r>
      <w:r>
        <w:t>ed</w:t>
      </w:r>
      <w:r w:rsidRPr="00831400">
        <w:t xml:space="preserve"> in rats, mice and dogs, </w:t>
      </w:r>
      <w:r>
        <w:t xml:space="preserve">induced </w:t>
      </w:r>
      <w:r w:rsidRPr="00831400">
        <w:t>adverse h</w:t>
      </w:r>
      <w:r>
        <w:t>a</w:t>
      </w:r>
      <w:r w:rsidRPr="00831400">
        <w:t>ematologic effects</w:t>
      </w:r>
      <w:r>
        <w:t xml:space="preserve"> (regenerative </w:t>
      </w:r>
      <w:r w:rsidRPr="00831400">
        <w:t>anaemia</w:t>
      </w:r>
      <w:r>
        <w:t>)</w:t>
      </w:r>
      <w:r w:rsidRPr="00831400">
        <w:t xml:space="preserve">, and liver and/or bile duct lesions </w:t>
      </w:r>
      <w:r w:rsidRPr="00A90F6A">
        <w:t>(rats only)</w:t>
      </w:r>
      <w:r>
        <w:t>. These effects</w:t>
      </w:r>
      <w:r w:rsidRPr="00A90F6A">
        <w:t xml:space="preserve"> were common across all specie</w:t>
      </w:r>
      <w:r w:rsidRPr="00015497">
        <w:t>s, with mice being the most sensitive</w:t>
      </w:r>
      <w:r w:rsidRPr="00A90F6A">
        <w:t xml:space="preserve">. </w:t>
      </w:r>
      <w:r w:rsidRPr="00015497">
        <w:t>M</w:t>
      </w:r>
      <w:r w:rsidRPr="00A90F6A">
        <w:t xml:space="preserve">ales </w:t>
      </w:r>
      <w:r w:rsidRPr="00015497">
        <w:t>tended to be</w:t>
      </w:r>
      <w:r w:rsidRPr="00A90F6A">
        <w:t xml:space="preserve"> more susceptible than female</w:t>
      </w:r>
      <w:r w:rsidRPr="00015497">
        <w:t>s across the various species</w:t>
      </w:r>
      <w:r w:rsidRPr="00A90F6A">
        <w:t>.</w:t>
      </w:r>
      <w:r w:rsidRPr="00831400">
        <w:t xml:space="preserve"> </w:t>
      </w:r>
    </w:p>
    <w:p w14:paraId="7EFD8272" w14:textId="77777777" w:rsidR="00AA5C1A" w:rsidRDefault="00AA5C1A" w:rsidP="00AA5C1A">
      <w:pPr>
        <w:pStyle w:val="ListBullet"/>
      </w:pPr>
      <w:r w:rsidRPr="00831400">
        <w:t xml:space="preserve">In reference to reproductive toxicity in rats, no </w:t>
      </w:r>
      <w:r>
        <w:t xml:space="preserve">adverse </w:t>
      </w:r>
      <w:r w:rsidRPr="00831400">
        <w:t xml:space="preserve">effects were shown in male or female fertility </w:t>
      </w:r>
      <w:r>
        <w:t>toxicity studies with</w:t>
      </w:r>
      <w:r w:rsidRPr="00831400">
        <w:t xml:space="preserve"> high</w:t>
      </w:r>
      <w:r>
        <w:t>,</w:t>
      </w:r>
      <w:r w:rsidRPr="00831400">
        <w:t xml:space="preserve"> repeat dose</w:t>
      </w:r>
      <w:r>
        <w:t>s</w:t>
      </w:r>
      <w:r w:rsidRPr="00831400">
        <w:t>. In reference to developmental toxicity stud</w:t>
      </w:r>
      <w:r>
        <w:t>ies</w:t>
      </w:r>
      <w:r w:rsidRPr="00831400">
        <w:t xml:space="preserve">, an increased incidence of ocular malformations in </w:t>
      </w:r>
      <w:r>
        <w:t xml:space="preserve">rat </w:t>
      </w:r>
      <w:r w:rsidRPr="00831400">
        <w:t xml:space="preserve">foetuses </w:t>
      </w:r>
      <w:r>
        <w:t xml:space="preserve">was observed at a </w:t>
      </w:r>
      <w:r w:rsidRPr="00831400">
        <w:t>maternal toxic</w:t>
      </w:r>
      <w:r>
        <w:t xml:space="preserve"> dose (</w:t>
      </w:r>
      <w:r w:rsidRPr="00831400">
        <w:t xml:space="preserve">30 mg/kg </w:t>
      </w:r>
      <w:proofErr w:type="spellStart"/>
      <w:r w:rsidRPr="00831400">
        <w:t>bw</w:t>
      </w:r>
      <w:proofErr w:type="spellEnd"/>
      <w:r w:rsidRPr="00831400">
        <w:t>/day</w:t>
      </w:r>
      <w:r>
        <w:t>)</w:t>
      </w:r>
      <w:r w:rsidRPr="00831400">
        <w:t xml:space="preserve">, </w:t>
      </w:r>
      <w:r>
        <w:t xml:space="preserve">whereas no maternal toxicity or effects on foetal development in </w:t>
      </w:r>
      <w:r>
        <w:lastRenderedPageBreak/>
        <w:t xml:space="preserve">rabbits was observed at </w:t>
      </w:r>
      <w:r w:rsidRPr="00831400">
        <w:t xml:space="preserve">the highest dose </w:t>
      </w:r>
      <w:r>
        <w:t>tested (</w:t>
      </w:r>
      <w:r w:rsidRPr="00831400">
        <w:t xml:space="preserve">20 mg/kg </w:t>
      </w:r>
      <w:proofErr w:type="spellStart"/>
      <w:r w:rsidRPr="00831400">
        <w:t>bw</w:t>
      </w:r>
      <w:proofErr w:type="spellEnd"/>
      <w:r w:rsidRPr="00831400">
        <w:t>/day</w:t>
      </w:r>
      <w:r>
        <w:t>)</w:t>
      </w:r>
      <w:r w:rsidRPr="00831400">
        <w:t xml:space="preserve">. </w:t>
      </w:r>
      <w:r>
        <w:t>N</w:t>
      </w:r>
      <w:r w:rsidRPr="00831400">
        <w:t xml:space="preserve">o </w:t>
      </w:r>
      <w:r>
        <w:t xml:space="preserve">significant </w:t>
      </w:r>
      <w:r w:rsidRPr="00831400">
        <w:t>effect</w:t>
      </w:r>
      <w:r>
        <w:t>s</w:t>
      </w:r>
      <w:r w:rsidRPr="00831400">
        <w:t xml:space="preserve"> on fertility and reproduction w</w:t>
      </w:r>
      <w:r>
        <w:t>ere</w:t>
      </w:r>
      <w:r w:rsidRPr="00831400">
        <w:t xml:space="preserve"> observed</w:t>
      </w:r>
      <w:r>
        <w:t xml:space="preserve">. The HHRA noted that there </w:t>
      </w:r>
      <w:r w:rsidRPr="00815F7C">
        <w:t xml:space="preserve">were no </w:t>
      </w:r>
      <w:r w:rsidRPr="00015497">
        <w:t xml:space="preserve">teratogenic findings at 10 mg/kg </w:t>
      </w:r>
      <w:proofErr w:type="spellStart"/>
      <w:r w:rsidRPr="00015497">
        <w:t>bw</w:t>
      </w:r>
      <w:proofErr w:type="spellEnd"/>
      <w:r w:rsidRPr="00015497">
        <w:t>/day in rats.</w:t>
      </w:r>
    </w:p>
    <w:p w14:paraId="5E82504A" w14:textId="77777777" w:rsidR="00AA5C1A" w:rsidRPr="00831400" w:rsidRDefault="00AA5C1A" w:rsidP="00AA5C1A">
      <w:pPr>
        <w:pStyle w:val="ListBullet"/>
      </w:pPr>
      <w:proofErr w:type="spellStart"/>
      <w:r w:rsidRPr="00831400">
        <w:t>Molidustat</w:t>
      </w:r>
      <w:proofErr w:type="spellEnd"/>
      <w:r w:rsidRPr="00831400">
        <w:t xml:space="preserve"> </w:t>
      </w:r>
      <w:proofErr w:type="gramStart"/>
      <w:r w:rsidRPr="00831400">
        <w:t>was</w:t>
      </w:r>
      <w:r>
        <w:t xml:space="preserve"> considered to </w:t>
      </w:r>
      <w:r w:rsidRPr="00831400">
        <w:t>be</w:t>
      </w:r>
      <w:proofErr w:type="gramEnd"/>
      <w:r w:rsidRPr="00831400">
        <w:t xml:space="preserve"> unlikely to be genotoxic based on a range of </w:t>
      </w:r>
      <w:r w:rsidRPr="00522223">
        <w:rPr>
          <w:i/>
          <w:iCs/>
        </w:rPr>
        <w:t>in vivo</w:t>
      </w:r>
      <w:r w:rsidRPr="00831400">
        <w:t xml:space="preserve"> and </w:t>
      </w:r>
      <w:r w:rsidRPr="00522223">
        <w:rPr>
          <w:i/>
          <w:iCs/>
        </w:rPr>
        <w:t>in vitro</w:t>
      </w:r>
      <w:r w:rsidRPr="00831400">
        <w:t xml:space="preserve"> studie</w:t>
      </w:r>
      <w:r>
        <w:t xml:space="preserve">s. Studies in mice and rats indicated that </w:t>
      </w:r>
      <w:proofErr w:type="spellStart"/>
      <w:r>
        <w:t>molidustat</w:t>
      </w:r>
      <w:proofErr w:type="spellEnd"/>
      <w:r>
        <w:t xml:space="preserve"> was not a carcinogen at the highest doses tested (mice: 5 mg/kg </w:t>
      </w:r>
      <w:proofErr w:type="spellStart"/>
      <w:r>
        <w:t>bw</w:t>
      </w:r>
      <w:proofErr w:type="spellEnd"/>
      <w:r>
        <w:t xml:space="preserve">/d; and rats: 1.1 mg.kg </w:t>
      </w:r>
      <w:proofErr w:type="spellStart"/>
      <w:r>
        <w:t>bw</w:t>
      </w:r>
      <w:proofErr w:type="spellEnd"/>
      <w:r>
        <w:t>/day). There was no evidence of neurotoxicity from repeat-dose or specific acute neurotoxicity studies.</w:t>
      </w:r>
    </w:p>
    <w:p w14:paraId="484F10E8" w14:textId="77777777" w:rsidR="00AA5C1A" w:rsidRPr="00831400" w:rsidRDefault="00AA5C1A" w:rsidP="00AA5C1A">
      <w:pPr>
        <w:pStyle w:val="ListBullet"/>
      </w:pPr>
      <w:r w:rsidRPr="00831400">
        <w:t xml:space="preserve">Regarding the risk to humans through accidental exposure to </w:t>
      </w:r>
      <w:proofErr w:type="spellStart"/>
      <w:r w:rsidRPr="00831400">
        <w:t>molidustat</w:t>
      </w:r>
      <w:proofErr w:type="spellEnd"/>
      <w:r w:rsidRPr="00831400">
        <w:t xml:space="preserve">, I consider that the </w:t>
      </w:r>
      <w:r>
        <w:t xml:space="preserve">risk to </w:t>
      </w:r>
      <w:r w:rsidRPr="00831400">
        <w:t xml:space="preserve">human health </w:t>
      </w:r>
      <w:r>
        <w:t>and safety</w:t>
      </w:r>
      <w:r w:rsidRPr="00831400">
        <w:t xml:space="preserve"> can be adequately mitigated at the time of product registration.</w:t>
      </w:r>
      <w:r>
        <w:t xml:space="preserve"> F</w:t>
      </w:r>
      <w:r w:rsidRPr="00831400">
        <w:t xml:space="preserve">or the purposes of s 52E(1)(d) of the Act, I am satisfied that, the APVMA, as the regulator of all veterinary products, will consider the dosage, formulation, labelling, packaging and presentation of </w:t>
      </w:r>
      <w:proofErr w:type="spellStart"/>
      <w:r w:rsidRPr="00831400">
        <w:t>molidustat</w:t>
      </w:r>
      <w:proofErr w:type="spellEnd"/>
      <w:r w:rsidRPr="00831400">
        <w:t>-containing products.</w:t>
      </w:r>
    </w:p>
    <w:p w14:paraId="1C486EF2" w14:textId="77777777" w:rsidR="00AA5C1A" w:rsidRPr="00831400" w:rsidRDefault="00AA5C1A" w:rsidP="00AA5C1A">
      <w:pPr>
        <w:pStyle w:val="ListBullet"/>
      </w:pPr>
      <w:r w:rsidRPr="00831400">
        <w:t>In relation to s 52E(1)(e) of the Act, I have considered</w:t>
      </w:r>
      <w:r>
        <w:t xml:space="preserve"> that</w:t>
      </w:r>
      <w:r w:rsidRPr="00831400">
        <w:t xml:space="preserve"> the substance</w:t>
      </w:r>
      <w:r>
        <w:t>’s pharmacological activity (hypoxia-inducible factor (HIF) prolyl-hydroxylase (PH) inhibitor)</w:t>
      </w:r>
      <w:r w:rsidRPr="00831400">
        <w:t xml:space="preserve"> has </w:t>
      </w:r>
      <w:r>
        <w:t xml:space="preserve">the </w:t>
      </w:r>
      <w:r w:rsidRPr="00831400">
        <w:t xml:space="preserve">potential </w:t>
      </w:r>
      <w:r>
        <w:t>pose</w:t>
      </w:r>
      <w:r w:rsidRPr="00831400">
        <w:t xml:space="preserve"> a risk </w:t>
      </w:r>
      <w:r>
        <w:t xml:space="preserve">of </w:t>
      </w:r>
      <w:r w:rsidRPr="00831400">
        <w:t>abuse, misuse, or diversion into illicit use</w:t>
      </w:r>
      <w:r>
        <w:t xml:space="preserve"> in humans</w:t>
      </w:r>
      <w:r w:rsidRPr="00831400">
        <w:t xml:space="preserve">. The applicant noted that similar substances, </w:t>
      </w:r>
      <w:proofErr w:type="spellStart"/>
      <w:r w:rsidRPr="00831400">
        <w:t>erythropoietin</w:t>
      </w:r>
      <w:r>
        <w:t>s</w:t>
      </w:r>
      <w:proofErr w:type="spellEnd"/>
      <w:r>
        <w:t xml:space="preserve"> </w:t>
      </w:r>
      <w:r w:rsidRPr="00831400">
        <w:t xml:space="preserve">(EPOs), pose a </w:t>
      </w:r>
      <w:r>
        <w:t xml:space="preserve">similar </w:t>
      </w:r>
      <w:r w:rsidRPr="00831400">
        <w:t>risk of potential abuse as performance enhancing drug</w:t>
      </w:r>
      <w:r>
        <w:t xml:space="preserve">s </w:t>
      </w:r>
      <w:r w:rsidRPr="00831400">
        <w:t>in humans or misuse in the animal racing industry.</w:t>
      </w:r>
      <w:r>
        <w:t xml:space="preserve"> </w:t>
      </w:r>
      <w:r w:rsidRPr="00926ADC">
        <w:t xml:space="preserve">These substances often have additional access restrictions </w:t>
      </w:r>
      <w:r w:rsidRPr="005F77E4">
        <w:t>imp</w:t>
      </w:r>
      <w:r>
        <w:t xml:space="preserve">osed on them </w:t>
      </w:r>
      <w:r w:rsidRPr="005F77E4">
        <w:t xml:space="preserve">through inclusion in Appendix D of the Poisons Standard. </w:t>
      </w:r>
      <w:proofErr w:type="gramStart"/>
      <w:r w:rsidRPr="005F77E4">
        <w:t>With this in mind it</w:t>
      </w:r>
      <w:proofErr w:type="gramEnd"/>
      <w:r w:rsidRPr="005F77E4">
        <w:t xml:space="preserve"> would be prudent to include </w:t>
      </w:r>
      <w:proofErr w:type="spellStart"/>
      <w:r w:rsidRPr="005F77E4">
        <w:t>molidustat</w:t>
      </w:r>
      <w:proofErr w:type="spellEnd"/>
      <w:r w:rsidRPr="005F77E4">
        <w:t xml:space="preserve"> in Appendix D to address</w:t>
      </w:r>
      <w:r w:rsidRPr="00015497">
        <w:t xml:space="preserve"> </w:t>
      </w:r>
      <w:proofErr w:type="spellStart"/>
      <w:r w:rsidRPr="00015497">
        <w:t>molidustat’s</w:t>
      </w:r>
      <w:proofErr w:type="spellEnd"/>
      <w:r w:rsidRPr="00015497">
        <w:t xml:space="preserve"> potential </w:t>
      </w:r>
      <w:r w:rsidRPr="005F77E4">
        <w:t>for misuse or abuse.</w:t>
      </w:r>
    </w:p>
    <w:p w14:paraId="21D50B83" w14:textId="77777777" w:rsidR="00AA5C1A" w:rsidRPr="00831400" w:rsidRDefault="00AA5C1A" w:rsidP="00AA5C1A">
      <w:pPr>
        <w:pStyle w:val="ListBullet"/>
      </w:pPr>
      <w:r>
        <w:t>Further, the application also provided</w:t>
      </w:r>
      <w:r w:rsidRPr="00831400">
        <w:t xml:space="preserve"> </w:t>
      </w:r>
      <w:r>
        <w:t xml:space="preserve">information </w:t>
      </w:r>
      <w:r w:rsidRPr="00831400">
        <w:t xml:space="preserve">that </w:t>
      </w:r>
      <w:proofErr w:type="spellStart"/>
      <w:r w:rsidRPr="00831400">
        <w:t>molidustat</w:t>
      </w:r>
      <w:proofErr w:type="spellEnd"/>
      <w:r w:rsidRPr="00831400">
        <w:t xml:space="preserve"> is currently under development for use as a human therapeutic drug</w:t>
      </w:r>
      <w:r>
        <w:t xml:space="preserve">. It already has </w:t>
      </w:r>
      <w:r w:rsidRPr="00831400">
        <w:t>as approved usage in human in Japan</w:t>
      </w:r>
      <w:r>
        <w:rPr>
          <w:rStyle w:val="FootnoteReference"/>
        </w:rPr>
        <w:footnoteReference w:id="9"/>
      </w:r>
      <w:r>
        <w:t xml:space="preserve"> and </w:t>
      </w:r>
      <w:r w:rsidRPr="00831400">
        <w:t>has obtained conditional approval from US FDA.</w:t>
      </w:r>
      <w:r>
        <w:t xml:space="preserve"> In this case, the entry under S4 of the Poisons Standard should not be limited to veterinary use only but allow for appropriate control of the therapeutic substance irrespective of its use in animals and humans. </w:t>
      </w:r>
      <w:r w:rsidRPr="00831400">
        <w:t xml:space="preserve"> </w:t>
      </w:r>
    </w:p>
    <w:p w14:paraId="05277304" w14:textId="77777777" w:rsidR="00AA5C1A" w:rsidRPr="00831400" w:rsidRDefault="00AA5C1A" w:rsidP="00AA5C1A">
      <w:r w:rsidRPr="00831400">
        <w:t>Based on the above considerations and the information provided in the application, I have decided to amend the current Poisons Standard in the manner set out above. The proposed amendment was not referred to an expert advisory committee.</w:t>
      </w:r>
    </w:p>
    <w:p w14:paraId="55740C6F" w14:textId="77777777" w:rsidR="00AA5C1A" w:rsidRPr="00BB34CD" w:rsidRDefault="00AA5C1A" w:rsidP="00AA5C1A">
      <w:pPr>
        <w:pStyle w:val="Heading4"/>
      </w:pPr>
      <w:r w:rsidRPr="00BB34CD">
        <w:t xml:space="preserve">Implementation date </w:t>
      </w:r>
    </w:p>
    <w:p w14:paraId="600DF010" w14:textId="77777777" w:rsidR="00AA5C1A" w:rsidRDefault="00AA5C1A" w:rsidP="00AA5C1A">
      <w:r>
        <w:t>1 February 2025</w:t>
      </w:r>
    </w:p>
    <w:p w14:paraId="434A2B3A" w14:textId="77777777" w:rsidR="00AA5C1A" w:rsidRPr="00AA5C1A" w:rsidRDefault="00AA5C1A" w:rsidP="00AA5C1A"/>
    <w:p w14:paraId="1860A313" w14:textId="77777777" w:rsidR="00C86AB9" w:rsidRDefault="00C86AB9">
      <w:pPr>
        <w:rPr>
          <w:rFonts w:eastAsia="Times New Roman" w:cs="Times New Roman"/>
          <w:b/>
          <w:bCs/>
          <w:color w:val="001871"/>
          <w:sz w:val="32"/>
          <w:szCs w:val="32"/>
        </w:rPr>
      </w:pPr>
      <w:r>
        <w:br w:type="page"/>
      </w:r>
    </w:p>
    <w:p w14:paraId="1DFB1A7A" w14:textId="14EE6335" w:rsidR="00B94098" w:rsidRDefault="00B94098" w:rsidP="009C25DA">
      <w:pPr>
        <w:pStyle w:val="Heading3"/>
        <w:rPr>
          <w:rFonts w:eastAsia="Cambria"/>
          <w:sz w:val="28"/>
          <w:szCs w:val="26"/>
        </w:rPr>
      </w:pPr>
      <w:bookmarkStart w:id="56" w:name="_Toc185508615"/>
      <w:r w:rsidRPr="00831400">
        <w:lastRenderedPageBreak/>
        <w:t xml:space="preserve">Final decision in relation to </w:t>
      </w:r>
      <w:proofErr w:type="spellStart"/>
      <w:r w:rsidR="009C25DA">
        <w:t>desloratidine</w:t>
      </w:r>
      <w:bookmarkEnd w:id="56"/>
      <w:proofErr w:type="spellEnd"/>
    </w:p>
    <w:p w14:paraId="09670B1A" w14:textId="351266B6" w:rsidR="00B94098" w:rsidRDefault="00B94098" w:rsidP="00B94098">
      <w:pPr>
        <w:keepNext/>
        <w:keepLines/>
        <w:spacing w:before="360" w:line="240" w:lineRule="atLeast"/>
        <w:outlineLvl w:val="3"/>
        <w:rPr>
          <w:rFonts w:eastAsia="Cambria"/>
          <w:bCs/>
          <w:color w:val="001871"/>
          <w:sz w:val="28"/>
          <w:szCs w:val="26"/>
        </w:rPr>
      </w:pPr>
      <w:r>
        <w:rPr>
          <w:rFonts w:eastAsia="Cambria"/>
          <w:bCs/>
          <w:color w:val="001871"/>
          <w:sz w:val="28"/>
          <w:szCs w:val="26"/>
        </w:rPr>
        <w:t xml:space="preserve">Final </w:t>
      </w:r>
      <w:r w:rsidRPr="000C09F0">
        <w:rPr>
          <w:rFonts w:eastAsia="Cambria"/>
          <w:bCs/>
          <w:color w:val="001871"/>
          <w:sz w:val="28"/>
          <w:szCs w:val="26"/>
        </w:rPr>
        <w:t>Decision</w:t>
      </w:r>
    </w:p>
    <w:p w14:paraId="51218D21" w14:textId="77777777" w:rsidR="00B94098" w:rsidRPr="00A05CA0" w:rsidRDefault="00B94098" w:rsidP="00B94098">
      <w:pPr>
        <w:rPr>
          <w:rFonts w:eastAsia="Cambria" w:cs="Arial"/>
          <w:szCs w:val="20"/>
        </w:rPr>
      </w:pPr>
      <w:r w:rsidRPr="00A05CA0">
        <w:rPr>
          <w:rFonts w:eastAsia="Cambria" w:cs="Arial"/>
          <w:szCs w:val="20"/>
        </w:rPr>
        <w:t>Pursuant to regulation 42ZCZU of the Regulations, a Delegate of the Secretary has made a final decision to amend the current Poisons Standard in relation to d</w:t>
      </w:r>
      <w:r>
        <w:rPr>
          <w:rFonts w:eastAsia="Cambria" w:cs="Arial"/>
          <w:szCs w:val="20"/>
        </w:rPr>
        <w:t>esloratadine</w:t>
      </w:r>
      <w:r w:rsidRPr="00A05CA0">
        <w:rPr>
          <w:rFonts w:eastAsia="Cambria" w:cs="Arial"/>
          <w:szCs w:val="20"/>
        </w:rPr>
        <w:t xml:space="preserve"> as follows:</w:t>
      </w:r>
      <w:r w:rsidRPr="00A05CA0">
        <w:rPr>
          <w:rStyle w:val="FootnoteReference"/>
          <w:rFonts w:eastAsia="Cambria" w:cs="Arial"/>
          <w:szCs w:val="20"/>
        </w:rPr>
        <w:footnoteReference w:id="10"/>
      </w:r>
    </w:p>
    <w:p w14:paraId="0F301D08" w14:textId="77777777" w:rsidR="00B94098" w:rsidRPr="001A53AB" w:rsidRDefault="00B94098" w:rsidP="00B94098">
      <w:pPr>
        <w:rPr>
          <w:rFonts w:cs="Arial"/>
          <w:b/>
          <w:bCs/>
          <w:szCs w:val="20"/>
        </w:rPr>
      </w:pPr>
      <w:r w:rsidRPr="001A53AB">
        <w:rPr>
          <w:rFonts w:cs="Arial"/>
          <w:b/>
          <w:bCs/>
          <w:szCs w:val="20"/>
        </w:rPr>
        <w:t xml:space="preserve">Schedule 4 </w:t>
      </w:r>
    </w:p>
    <w:p w14:paraId="43D680EA" w14:textId="77777777" w:rsidR="00B94098" w:rsidRPr="001A53AB" w:rsidRDefault="00B94098" w:rsidP="00B94098">
      <w:pPr>
        <w:pStyle w:val="Default"/>
        <w:rPr>
          <w:rFonts w:ascii="Arial" w:hAnsi="Arial" w:cs="Arial"/>
          <w:sz w:val="20"/>
          <w:szCs w:val="20"/>
        </w:rPr>
      </w:pPr>
      <w:r w:rsidRPr="001A53AB">
        <w:rPr>
          <w:rFonts w:ascii="Arial" w:hAnsi="Arial" w:cs="Arial"/>
          <w:sz w:val="20"/>
          <w:szCs w:val="20"/>
        </w:rPr>
        <w:t>DESLORATADINE</w:t>
      </w:r>
      <w:r w:rsidRPr="001A53AB">
        <w:rPr>
          <w:rFonts w:ascii="Arial" w:hAnsi="Arial" w:cs="Arial"/>
          <w:b/>
          <w:bCs/>
          <w:sz w:val="20"/>
          <w:szCs w:val="20"/>
        </w:rPr>
        <w:t xml:space="preserve"> except</w:t>
      </w:r>
      <w:r w:rsidRPr="001A53AB">
        <w:rPr>
          <w:rFonts w:ascii="Arial" w:hAnsi="Arial" w:cs="Arial"/>
          <w:color w:val="00B050"/>
          <w:sz w:val="20"/>
          <w:szCs w:val="20"/>
        </w:rPr>
        <w:t>:</w:t>
      </w:r>
    </w:p>
    <w:p w14:paraId="171C7604" w14:textId="77777777" w:rsidR="00B94098" w:rsidRPr="001A53AB" w:rsidRDefault="00B94098" w:rsidP="00B94098">
      <w:pPr>
        <w:pStyle w:val="Default"/>
        <w:numPr>
          <w:ilvl w:val="0"/>
          <w:numId w:val="40"/>
        </w:numPr>
        <w:rPr>
          <w:rFonts w:ascii="Arial" w:hAnsi="Arial" w:cs="Arial"/>
          <w:color w:val="00B050"/>
          <w:sz w:val="20"/>
          <w:szCs w:val="20"/>
        </w:rPr>
      </w:pPr>
      <w:r w:rsidRPr="001A53AB">
        <w:rPr>
          <w:rFonts w:ascii="Arial" w:hAnsi="Arial" w:cs="Arial"/>
          <w:sz w:val="20"/>
          <w:szCs w:val="20"/>
        </w:rPr>
        <w:t>when included in Schedule 2</w:t>
      </w:r>
      <w:r w:rsidRPr="001A53AB">
        <w:rPr>
          <w:rFonts w:ascii="Arial" w:hAnsi="Arial" w:cs="Arial"/>
          <w:color w:val="00B050"/>
          <w:sz w:val="20"/>
          <w:szCs w:val="20"/>
        </w:rPr>
        <w:t xml:space="preserve">; or </w:t>
      </w:r>
    </w:p>
    <w:p w14:paraId="39E8253C" w14:textId="77777777" w:rsidR="00B94098" w:rsidRPr="001A53AB" w:rsidRDefault="00B94098" w:rsidP="00B94098">
      <w:pPr>
        <w:pStyle w:val="Default"/>
        <w:numPr>
          <w:ilvl w:val="0"/>
          <w:numId w:val="40"/>
        </w:numPr>
        <w:rPr>
          <w:rFonts w:ascii="Arial" w:hAnsi="Arial" w:cs="Arial"/>
          <w:color w:val="00B050"/>
          <w:sz w:val="20"/>
          <w:szCs w:val="20"/>
        </w:rPr>
      </w:pPr>
      <w:r w:rsidRPr="001A53AB">
        <w:rPr>
          <w:rFonts w:ascii="Arial" w:hAnsi="Arial" w:cs="Arial"/>
          <w:color w:val="00B050"/>
          <w:sz w:val="20"/>
          <w:szCs w:val="20"/>
        </w:rPr>
        <w:t xml:space="preserve">in divided preparations for oral use for the treatment of seasonal allergic rhinitis in adults and children 6 years of age and over, when: </w:t>
      </w:r>
    </w:p>
    <w:p w14:paraId="19E947F7" w14:textId="77777777" w:rsidR="00B94098" w:rsidRPr="001A53AB" w:rsidRDefault="00B94098" w:rsidP="00B94098">
      <w:pPr>
        <w:pStyle w:val="Default"/>
        <w:numPr>
          <w:ilvl w:val="1"/>
          <w:numId w:val="41"/>
        </w:numPr>
        <w:rPr>
          <w:rFonts w:ascii="Arial" w:hAnsi="Arial" w:cs="Arial"/>
          <w:color w:val="00B050"/>
          <w:sz w:val="20"/>
          <w:szCs w:val="20"/>
        </w:rPr>
      </w:pPr>
      <w:r w:rsidRPr="001A53AB">
        <w:rPr>
          <w:rFonts w:ascii="Arial" w:hAnsi="Arial" w:cs="Arial"/>
          <w:color w:val="00B050"/>
          <w:sz w:val="20"/>
          <w:szCs w:val="20"/>
        </w:rPr>
        <w:t xml:space="preserve">in a primary pack containing 10 dosage units or less; and </w:t>
      </w:r>
    </w:p>
    <w:p w14:paraId="257A880D" w14:textId="77777777" w:rsidR="00B94098" w:rsidRPr="001A53AB" w:rsidRDefault="00B94098" w:rsidP="00B94098">
      <w:pPr>
        <w:pStyle w:val="Default"/>
        <w:numPr>
          <w:ilvl w:val="1"/>
          <w:numId w:val="41"/>
        </w:numPr>
        <w:rPr>
          <w:rFonts w:ascii="Arial" w:hAnsi="Arial" w:cs="Arial"/>
          <w:color w:val="00B050"/>
          <w:sz w:val="20"/>
          <w:szCs w:val="20"/>
        </w:rPr>
      </w:pPr>
      <w:r w:rsidRPr="001A53AB">
        <w:rPr>
          <w:rFonts w:ascii="Arial" w:hAnsi="Arial" w:cs="Arial"/>
          <w:color w:val="00B050"/>
          <w:sz w:val="20"/>
          <w:szCs w:val="20"/>
        </w:rPr>
        <w:t xml:space="preserve">labelled with a recommended daily dose not exceeding 5 mg of desloratadine. </w:t>
      </w:r>
    </w:p>
    <w:p w14:paraId="68C232D6" w14:textId="0EC2D4D5" w:rsidR="00B94098" w:rsidRPr="001A53AB" w:rsidRDefault="00B94098" w:rsidP="00B94098">
      <w:pPr>
        <w:rPr>
          <w:rFonts w:cs="Arial"/>
          <w:b/>
          <w:bCs/>
          <w:color w:val="000000"/>
          <w:szCs w:val="20"/>
        </w:rPr>
      </w:pPr>
      <w:r w:rsidRPr="001A53AB">
        <w:rPr>
          <w:rFonts w:cs="Arial"/>
          <w:color w:val="000000"/>
          <w:szCs w:val="20"/>
        </w:rPr>
        <w:br/>
      </w:r>
      <w:r w:rsidRPr="001A53AB">
        <w:rPr>
          <w:rFonts w:cs="Arial"/>
          <w:b/>
          <w:bCs/>
          <w:color w:val="000000"/>
          <w:szCs w:val="20"/>
        </w:rPr>
        <w:t>Schedule 2 – Amend Entry</w:t>
      </w:r>
    </w:p>
    <w:p w14:paraId="7D252CF5" w14:textId="77777777" w:rsidR="00B94098" w:rsidRPr="00A05CA0" w:rsidRDefault="00B94098" w:rsidP="00B94098">
      <w:pPr>
        <w:rPr>
          <w:rFonts w:cs="Arial"/>
          <w:color w:val="000000"/>
          <w:szCs w:val="20"/>
        </w:rPr>
      </w:pPr>
      <w:r w:rsidRPr="001A53AB">
        <w:rPr>
          <w:rFonts w:cs="Arial"/>
          <w:color w:val="000000"/>
          <w:szCs w:val="20"/>
        </w:rPr>
        <w:t xml:space="preserve">DESLORATADINE in preparations for oral use </w:t>
      </w:r>
      <w:r w:rsidRPr="001A53AB">
        <w:rPr>
          <w:rFonts w:cs="Arial"/>
          <w:b/>
          <w:bCs/>
          <w:color w:val="00B050"/>
          <w:szCs w:val="20"/>
        </w:rPr>
        <w:t>except</w:t>
      </w:r>
      <w:r w:rsidRPr="001A53AB">
        <w:rPr>
          <w:rFonts w:cs="Arial"/>
          <w:color w:val="00B050"/>
          <w:szCs w:val="20"/>
        </w:rPr>
        <w:t xml:space="preserve"> in divided preparations for the treatment of seasonal allergic rhinitis when:</w:t>
      </w:r>
    </w:p>
    <w:p w14:paraId="163A9E74" w14:textId="77777777" w:rsidR="00B94098" w:rsidRPr="00A05CA0" w:rsidRDefault="00B94098" w:rsidP="00B94098">
      <w:pPr>
        <w:pStyle w:val="ListParagraph"/>
        <w:numPr>
          <w:ilvl w:val="0"/>
          <w:numId w:val="39"/>
        </w:numPr>
        <w:tabs>
          <w:tab w:val="left" w:pos="1440"/>
        </w:tabs>
        <w:spacing w:after="240" w:line="240" w:lineRule="auto"/>
        <w:rPr>
          <w:rFonts w:cs="Arial"/>
          <w:color w:val="00B050"/>
          <w:szCs w:val="20"/>
        </w:rPr>
      </w:pPr>
      <w:r w:rsidRPr="00A05CA0">
        <w:rPr>
          <w:rFonts w:cs="Arial"/>
          <w:color w:val="00B050"/>
          <w:szCs w:val="20"/>
        </w:rPr>
        <w:t>in a primary pack containing 10 dosage units or less when labelled for adults and children 6 years and over; and</w:t>
      </w:r>
    </w:p>
    <w:p w14:paraId="61DD8DE6" w14:textId="77777777" w:rsidR="00B94098" w:rsidRPr="00A05CA0" w:rsidRDefault="00B94098" w:rsidP="00B94098">
      <w:pPr>
        <w:pStyle w:val="ListParagraph"/>
        <w:numPr>
          <w:ilvl w:val="0"/>
          <w:numId w:val="39"/>
        </w:numPr>
        <w:tabs>
          <w:tab w:val="left" w:pos="1440"/>
        </w:tabs>
        <w:spacing w:after="240" w:line="240" w:lineRule="auto"/>
        <w:rPr>
          <w:rFonts w:cs="Arial"/>
          <w:color w:val="00B050"/>
          <w:szCs w:val="20"/>
        </w:rPr>
      </w:pPr>
      <w:r w:rsidRPr="00A05CA0">
        <w:rPr>
          <w:rFonts w:cs="Arial"/>
          <w:color w:val="00B050"/>
          <w:szCs w:val="20"/>
        </w:rPr>
        <w:t>labelled with a recommended daily dose not exceeding 5 mg of desloratadine.</w:t>
      </w:r>
    </w:p>
    <w:p w14:paraId="0B998E85" w14:textId="77777777" w:rsidR="00B94098" w:rsidRPr="00A05CA0" w:rsidRDefault="00B94098" w:rsidP="00B94098">
      <w:pPr>
        <w:rPr>
          <w:rFonts w:cs="Arial"/>
          <w:b/>
          <w:bCs/>
          <w:szCs w:val="20"/>
        </w:rPr>
      </w:pPr>
      <w:r w:rsidRPr="00A05CA0">
        <w:rPr>
          <w:rFonts w:cs="Arial"/>
          <w:b/>
          <w:bCs/>
          <w:szCs w:val="20"/>
        </w:rPr>
        <w:t>Appendix F, clause 4</w:t>
      </w:r>
      <w:r w:rsidRPr="0004198D">
        <w:rPr>
          <w:rFonts w:cs="Arial"/>
          <w:b/>
          <w:bCs/>
          <w:szCs w:val="20"/>
        </w:rPr>
        <w:t xml:space="preserve"> – Poisons that must be labelled with warning statements and safety directions</w:t>
      </w:r>
    </w:p>
    <w:tbl>
      <w:tblPr>
        <w:tblW w:w="8505" w:type="dxa"/>
        <w:tblInd w:w="-5" w:type="dxa"/>
        <w:tblCellMar>
          <w:left w:w="0" w:type="dxa"/>
          <w:right w:w="0" w:type="dxa"/>
        </w:tblCellMar>
        <w:tblLook w:val="04A0" w:firstRow="1" w:lastRow="0" w:firstColumn="1" w:lastColumn="0" w:noHBand="0" w:noVBand="1"/>
      </w:tblPr>
      <w:tblGrid>
        <w:gridCol w:w="567"/>
        <w:gridCol w:w="4395"/>
        <w:gridCol w:w="3543"/>
      </w:tblGrid>
      <w:tr w:rsidR="00B94098" w:rsidRPr="00D21D9E" w14:paraId="430B3373" w14:textId="77777777" w:rsidTr="00AA1A8A">
        <w:tc>
          <w:tcPr>
            <w:tcW w:w="56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14:paraId="1CFD2F41" w14:textId="77777777" w:rsidR="00B94098" w:rsidRPr="0004198D" w:rsidRDefault="00B94098" w:rsidP="00AA1A8A">
            <w:pPr>
              <w:spacing w:before="60" w:after="0" w:line="240" w:lineRule="atLeast"/>
              <w:rPr>
                <w:rFonts w:cs="Arial"/>
                <w:color w:val="000000"/>
                <w:sz w:val="18"/>
                <w:szCs w:val="18"/>
              </w:rPr>
            </w:pPr>
            <w:r w:rsidRPr="0004198D">
              <w:rPr>
                <w:rFonts w:cs="Arial"/>
                <w:color w:val="000000"/>
                <w:sz w:val="18"/>
                <w:szCs w:val="18"/>
              </w:rPr>
              <w:t>Item</w:t>
            </w:r>
          </w:p>
        </w:tc>
        <w:tc>
          <w:tcPr>
            <w:tcW w:w="439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14:paraId="380A8729" w14:textId="77777777" w:rsidR="00B94098" w:rsidRPr="0004198D" w:rsidRDefault="00B94098" w:rsidP="00AA1A8A">
            <w:pPr>
              <w:spacing w:before="60" w:after="0" w:line="240" w:lineRule="atLeast"/>
              <w:rPr>
                <w:rFonts w:cs="Arial"/>
                <w:color w:val="000000"/>
                <w:sz w:val="18"/>
                <w:szCs w:val="18"/>
              </w:rPr>
            </w:pPr>
            <w:r w:rsidRPr="0004198D">
              <w:rPr>
                <w:rFonts w:cs="Arial"/>
                <w:color w:val="000000"/>
                <w:sz w:val="18"/>
                <w:szCs w:val="18"/>
              </w:rPr>
              <w:t>Poison</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012BB" w14:textId="77777777" w:rsidR="00B94098" w:rsidRPr="0004198D" w:rsidRDefault="00B94098" w:rsidP="00AA1A8A">
            <w:pPr>
              <w:spacing w:before="60" w:after="0" w:line="240" w:lineRule="atLeast"/>
              <w:rPr>
                <w:rFonts w:cs="Arial"/>
                <w:color w:val="000000"/>
                <w:sz w:val="18"/>
                <w:szCs w:val="18"/>
              </w:rPr>
            </w:pPr>
            <w:r w:rsidRPr="0004198D">
              <w:rPr>
                <w:rFonts w:cs="Arial"/>
                <w:color w:val="000000"/>
                <w:sz w:val="18"/>
                <w:szCs w:val="18"/>
              </w:rPr>
              <w:t>Warning statement item number</w:t>
            </w:r>
          </w:p>
        </w:tc>
      </w:tr>
      <w:tr w:rsidR="00B94098" w:rsidRPr="00D21D9E" w14:paraId="04DD8DAC" w14:textId="77777777" w:rsidTr="00AA1A8A">
        <w:tc>
          <w:tcPr>
            <w:tcW w:w="56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14:paraId="1FC1A05D" w14:textId="77777777" w:rsidR="00B94098" w:rsidRPr="00D21D9E" w:rsidRDefault="00B94098" w:rsidP="00AA1A8A">
            <w:pPr>
              <w:spacing w:before="60" w:after="0" w:line="240" w:lineRule="atLeast"/>
              <w:rPr>
                <w:rFonts w:cs="Arial"/>
                <w:color w:val="000000"/>
                <w:sz w:val="18"/>
                <w:szCs w:val="18"/>
              </w:rPr>
            </w:pPr>
            <w:r w:rsidRPr="00D21D9E">
              <w:rPr>
                <w:rFonts w:cs="Arial"/>
                <w:color w:val="000000"/>
                <w:sz w:val="18"/>
                <w:szCs w:val="18"/>
              </w:rPr>
              <w:t>23</w:t>
            </w:r>
          </w:p>
        </w:tc>
        <w:tc>
          <w:tcPr>
            <w:tcW w:w="4395"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hideMark/>
          </w:tcPr>
          <w:p w14:paraId="6231E49A" w14:textId="77777777" w:rsidR="00B94098" w:rsidRPr="00D21D9E" w:rsidRDefault="00B94098" w:rsidP="00AA1A8A">
            <w:pPr>
              <w:spacing w:before="60" w:after="0" w:line="240" w:lineRule="atLeast"/>
              <w:rPr>
                <w:rFonts w:cs="Arial"/>
                <w:color w:val="000000"/>
                <w:sz w:val="18"/>
                <w:szCs w:val="18"/>
              </w:rPr>
            </w:pPr>
            <w:r w:rsidRPr="00D21D9E">
              <w:rPr>
                <w:rFonts w:cs="Arial"/>
                <w:color w:val="000000"/>
                <w:sz w:val="18"/>
                <w:szCs w:val="18"/>
              </w:rPr>
              <w:t>ANTIHISTAMINES not separately specified in this Appendix </w:t>
            </w:r>
            <w:r w:rsidRPr="00D21D9E">
              <w:rPr>
                <w:rFonts w:cs="Arial"/>
                <w:b/>
                <w:bCs/>
                <w:color w:val="000000"/>
                <w:sz w:val="18"/>
                <w:szCs w:val="18"/>
              </w:rPr>
              <w:t>except</w:t>
            </w:r>
            <w:r w:rsidRPr="00D21D9E">
              <w:rPr>
                <w:rFonts w:cs="Arial"/>
                <w:color w:val="000000"/>
                <w:sz w:val="18"/>
                <w:szCs w:val="18"/>
              </w:rPr>
              <w:t> the following:</w:t>
            </w:r>
          </w:p>
          <w:p w14:paraId="2F1BD977" w14:textId="77777777" w:rsidR="00B94098" w:rsidRPr="00D21D9E" w:rsidRDefault="00B94098" w:rsidP="00AA1A8A">
            <w:pPr>
              <w:spacing w:before="60" w:after="0"/>
              <w:ind w:left="284" w:hanging="284"/>
              <w:rPr>
                <w:rFonts w:cs="Arial"/>
                <w:color w:val="000000"/>
                <w:sz w:val="18"/>
                <w:szCs w:val="18"/>
              </w:rPr>
            </w:pPr>
            <w:r w:rsidRPr="00D21D9E">
              <w:rPr>
                <w:rFonts w:cs="Arial"/>
                <w:color w:val="000000"/>
                <w:sz w:val="18"/>
                <w:szCs w:val="18"/>
              </w:rPr>
              <w:t xml:space="preserve">(a) dermal, ocular, parenteral and paediatric </w:t>
            </w:r>
            <w:proofErr w:type="gramStart"/>
            <w:r w:rsidRPr="00D21D9E">
              <w:rPr>
                <w:rFonts w:cs="Arial"/>
                <w:color w:val="000000"/>
                <w:sz w:val="18"/>
                <w:szCs w:val="18"/>
              </w:rPr>
              <w:t>preparations;</w:t>
            </w:r>
            <w:proofErr w:type="gramEnd"/>
          </w:p>
          <w:p w14:paraId="5A7264D3" w14:textId="77777777" w:rsidR="00B94098" w:rsidRPr="00D21D9E" w:rsidRDefault="00B94098" w:rsidP="00AA1A8A">
            <w:pPr>
              <w:spacing w:before="60" w:after="0"/>
              <w:ind w:left="284" w:hanging="284"/>
              <w:rPr>
                <w:rFonts w:cs="Arial"/>
                <w:color w:val="000000"/>
                <w:sz w:val="18"/>
                <w:szCs w:val="18"/>
              </w:rPr>
            </w:pPr>
            <w:r w:rsidRPr="00D21D9E">
              <w:rPr>
                <w:rFonts w:cs="Arial"/>
                <w:color w:val="000000"/>
                <w:sz w:val="18"/>
                <w:szCs w:val="18"/>
              </w:rPr>
              <w:t xml:space="preserve">(b) oral preparations of </w:t>
            </w:r>
            <w:proofErr w:type="spellStart"/>
            <w:r w:rsidRPr="00D21D9E">
              <w:rPr>
                <w:rFonts w:cs="Arial"/>
                <w:color w:val="000000"/>
                <w:sz w:val="18"/>
                <w:szCs w:val="18"/>
              </w:rPr>
              <w:t>astemizole</w:t>
            </w:r>
            <w:proofErr w:type="spellEnd"/>
            <w:r w:rsidRPr="00D21D9E">
              <w:rPr>
                <w:rFonts w:cs="Arial"/>
                <w:color w:val="000000"/>
                <w:sz w:val="18"/>
                <w:szCs w:val="18"/>
              </w:rPr>
              <w:t xml:space="preserve">, azelastine, </w:t>
            </w:r>
            <w:proofErr w:type="spellStart"/>
            <w:r w:rsidRPr="00D21D9E">
              <w:rPr>
                <w:rFonts w:cs="Arial"/>
                <w:color w:val="000000"/>
                <w:sz w:val="18"/>
                <w:szCs w:val="18"/>
              </w:rPr>
              <w:t>bilastine</w:t>
            </w:r>
            <w:proofErr w:type="spellEnd"/>
            <w:r w:rsidRPr="00D21D9E">
              <w:rPr>
                <w:rFonts w:cs="Arial"/>
                <w:color w:val="000000"/>
                <w:sz w:val="18"/>
                <w:szCs w:val="18"/>
              </w:rPr>
              <w:t xml:space="preserve">, cetirizine, desloratadine, fexofenadine, loratadine, or </w:t>
            </w:r>
            <w:proofErr w:type="gramStart"/>
            <w:r w:rsidRPr="00D21D9E">
              <w:rPr>
                <w:rFonts w:cs="Arial"/>
                <w:color w:val="000000"/>
                <w:sz w:val="18"/>
                <w:szCs w:val="18"/>
              </w:rPr>
              <w:t>terfenadine;</w:t>
            </w:r>
            <w:proofErr w:type="gramEnd"/>
          </w:p>
          <w:p w14:paraId="7192CE23" w14:textId="77777777" w:rsidR="00B94098" w:rsidRPr="00D21D9E" w:rsidRDefault="00B94098" w:rsidP="00AA1A8A">
            <w:pPr>
              <w:spacing w:before="60" w:after="0"/>
              <w:ind w:left="284" w:hanging="284"/>
              <w:rPr>
                <w:rFonts w:cs="Arial"/>
                <w:color w:val="000000"/>
                <w:sz w:val="18"/>
                <w:szCs w:val="18"/>
              </w:rPr>
            </w:pPr>
            <w:r w:rsidRPr="00D21D9E">
              <w:rPr>
                <w:rFonts w:cs="Arial"/>
                <w:color w:val="000000"/>
                <w:sz w:val="18"/>
                <w:szCs w:val="18"/>
              </w:rPr>
              <w:t xml:space="preserve">(c) nasal preparations of azelastine or </w:t>
            </w:r>
            <w:proofErr w:type="gramStart"/>
            <w:r w:rsidRPr="00D21D9E">
              <w:rPr>
                <w:rFonts w:cs="Arial"/>
                <w:color w:val="000000"/>
                <w:sz w:val="18"/>
                <w:szCs w:val="18"/>
              </w:rPr>
              <w:t>olopatadine;</w:t>
            </w:r>
            <w:proofErr w:type="gramEnd"/>
          </w:p>
          <w:p w14:paraId="27FB0C9A" w14:textId="77777777" w:rsidR="00B94098" w:rsidRPr="00D21D9E" w:rsidRDefault="00B94098" w:rsidP="00AA1A8A">
            <w:pPr>
              <w:spacing w:before="60" w:after="0"/>
              <w:ind w:left="284" w:hanging="284"/>
              <w:rPr>
                <w:rFonts w:cs="Arial"/>
                <w:color w:val="000000"/>
                <w:sz w:val="18"/>
                <w:szCs w:val="18"/>
              </w:rPr>
            </w:pPr>
            <w:r w:rsidRPr="00D21D9E">
              <w:rPr>
                <w:rFonts w:cs="Arial"/>
                <w:color w:val="000000"/>
                <w:sz w:val="18"/>
                <w:szCs w:val="18"/>
              </w:rPr>
              <w:t>(d) preparations for the treatment of animals</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F3B65" w14:textId="77777777" w:rsidR="00B94098" w:rsidRPr="0004198D" w:rsidRDefault="00B94098" w:rsidP="00AA1A8A">
            <w:pPr>
              <w:spacing w:before="60" w:after="0" w:line="240" w:lineRule="atLeast"/>
              <w:rPr>
                <w:rFonts w:cs="Arial"/>
                <w:color w:val="000000"/>
                <w:sz w:val="18"/>
                <w:szCs w:val="18"/>
              </w:rPr>
            </w:pPr>
            <w:r w:rsidRPr="0004198D">
              <w:rPr>
                <w:rFonts w:cs="Arial"/>
                <w:b/>
                <w:bCs/>
                <w:color w:val="000000"/>
                <w:sz w:val="18"/>
                <w:szCs w:val="18"/>
              </w:rPr>
              <w:t>39</w:t>
            </w:r>
            <w:r w:rsidRPr="0004198D">
              <w:rPr>
                <w:rFonts w:cs="Arial"/>
                <w:color w:val="000000"/>
                <w:sz w:val="18"/>
                <w:szCs w:val="18"/>
              </w:rPr>
              <w:t xml:space="preserve"> – This medication may cause drowsiness. If affected, do not drive a vehicle, or operate machinery. Avoid alcohol.</w:t>
            </w:r>
          </w:p>
          <w:p w14:paraId="7A368E85" w14:textId="77777777" w:rsidR="00B94098" w:rsidRPr="0004198D" w:rsidRDefault="00B94098" w:rsidP="00AA1A8A">
            <w:pPr>
              <w:spacing w:before="60" w:after="0" w:line="240" w:lineRule="atLeast"/>
              <w:rPr>
                <w:rFonts w:cs="Arial"/>
                <w:color w:val="000000"/>
                <w:sz w:val="18"/>
                <w:szCs w:val="18"/>
              </w:rPr>
            </w:pPr>
            <w:r w:rsidRPr="0004198D">
              <w:rPr>
                <w:rFonts w:cs="Arial"/>
                <w:color w:val="000000"/>
                <w:sz w:val="18"/>
                <w:szCs w:val="18"/>
              </w:rPr>
              <w:t>Or</w:t>
            </w:r>
          </w:p>
          <w:p w14:paraId="1A0675B0" w14:textId="77777777" w:rsidR="00B94098" w:rsidRPr="00D21D9E" w:rsidRDefault="00B94098" w:rsidP="00AA1A8A">
            <w:pPr>
              <w:spacing w:before="60" w:after="0" w:line="240" w:lineRule="atLeast"/>
              <w:rPr>
                <w:rFonts w:cs="Arial"/>
                <w:color w:val="000000"/>
                <w:sz w:val="18"/>
                <w:szCs w:val="18"/>
              </w:rPr>
            </w:pPr>
            <w:r w:rsidRPr="00816103">
              <w:rPr>
                <w:rFonts w:cs="Arial"/>
                <w:b/>
                <w:bCs/>
                <w:color w:val="000000"/>
                <w:sz w:val="18"/>
                <w:szCs w:val="18"/>
              </w:rPr>
              <w:t>40</w:t>
            </w:r>
            <w:r w:rsidRPr="0004198D">
              <w:rPr>
                <w:rFonts w:cs="Arial"/>
                <w:color w:val="000000"/>
                <w:sz w:val="18"/>
                <w:szCs w:val="18"/>
              </w:rPr>
              <w:t xml:space="preserve"> – This medication may cause drowsiness and may</w:t>
            </w:r>
            <w:r>
              <w:rPr>
                <w:rFonts w:cs="Arial"/>
                <w:color w:val="000000"/>
                <w:sz w:val="18"/>
                <w:szCs w:val="18"/>
              </w:rPr>
              <w:t xml:space="preserve"> </w:t>
            </w:r>
            <w:r w:rsidRPr="0004198D">
              <w:rPr>
                <w:rFonts w:cs="Arial"/>
                <w:color w:val="000000"/>
                <w:sz w:val="18"/>
                <w:szCs w:val="18"/>
              </w:rPr>
              <w:t>increase the effects of alcohol. If affected do not drive a motor vehicle or operate machinery</w:t>
            </w:r>
          </w:p>
        </w:tc>
      </w:tr>
    </w:tbl>
    <w:p w14:paraId="4290C3D2" w14:textId="77777777" w:rsidR="00B94098" w:rsidRPr="00A05CA0" w:rsidRDefault="00B94098" w:rsidP="00B94098">
      <w:pPr>
        <w:rPr>
          <w:rFonts w:cs="Arial"/>
          <w:b/>
          <w:bCs/>
          <w:szCs w:val="20"/>
        </w:rPr>
      </w:pPr>
      <w:r w:rsidRPr="00A05CA0">
        <w:rPr>
          <w:rFonts w:cs="Arial"/>
          <w:b/>
          <w:bCs/>
          <w:szCs w:val="20"/>
        </w:rPr>
        <w:br/>
        <w:t xml:space="preserve">Index </w:t>
      </w:r>
    </w:p>
    <w:p w14:paraId="46B51BF1" w14:textId="77777777" w:rsidR="00B94098" w:rsidRPr="00A05CA0" w:rsidRDefault="00B94098" w:rsidP="00B94098">
      <w:pPr>
        <w:pStyle w:val="NormalWeb"/>
        <w:spacing w:before="240" w:beforeAutospacing="0" w:after="0" w:afterAutospacing="0"/>
        <w:rPr>
          <w:rFonts w:ascii="Arial" w:hAnsi="Arial" w:cs="Arial"/>
          <w:b/>
          <w:bCs/>
          <w:color w:val="000000"/>
          <w:sz w:val="20"/>
          <w:szCs w:val="20"/>
        </w:rPr>
      </w:pPr>
      <w:r w:rsidRPr="00A05CA0">
        <w:rPr>
          <w:rFonts w:ascii="Arial" w:hAnsi="Arial" w:cs="Arial"/>
          <w:b/>
          <w:bCs/>
          <w:color w:val="000000"/>
          <w:sz w:val="20"/>
          <w:szCs w:val="20"/>
        </w:rPr>
        <w:t>DESLORATADINE</w:t>
      </w:r>
    </w:p>
    <w:p w14:paraId="2CFDBF6C" w14:textId="77777777" w:rsidR="00B94098" w:rsidRPr="00A05CA0" w:rsidRDefault="00B94098" w:rsidP="00B94098">
      <w:pPr>
        <w:pStyle w:val="NormalWeb"/>
        <w:spacing w:before="0" w:beforeAutospacing="0" w:after="0" w:afterAutospacing="0"/>
        <w:rPr>
          <w:rFonts w:ascii="Arial" w:hAnsi="Arial" w:cs="Arial"/>
          <w:color w:val="000000"/>
          <w:sz w:val="20"/>
          <w:szCs w:val="20"/>
        </w:rPr>
      </w:pPr>
      <w:r w:rsidRPr="00A05CA0">
        <w:rPr>
          <w:rFonts w:ascii="Arial" w:hAnsi="Arial" w:cs="Arial"/>
          <w:color w:val="000000"/>
          <w:sz w:val="20"/>
          <w:szCs w:val="20"/>
        </w:rPr>
        <w:t>Schedule 4</w:t>
      </w:r>
      <w:r w:rsidRPr="00A05CA0">
        <w:rPr>
          <w:rFonts w:ascii="Arial" w:hAnsi="Arial" w:cs="Arial"/>
          <w:color w:val="000000"/>
          <w:sz w:val="20"/>
          <w:szCs w:val="20"/>
        </w:rPr>
        <w:br/>
        <w:t>Schedule 2</w:t>
      </w:r>
    </w:p>
    <w:p w14:paraId="1DA56808" w14:textId="77777777" w:rsidR="00B94098" w:rsidRPr="00050DB9" w:rsidRDefault="00B94098" w:rsidP="00B94098">
      <w:pPr>
        <w:keepNext/>
        <w:keepLines/>
        <w:spacing w:before="360" w:line="240" w:lineRule="atLeast"/>
        <w:outlineLvl w:val="3"/>
        <w:rPr>
          <w:rFonts w:eastAsia="Cambria"/>
          <w:bCs/>
          <w:color w:val="001871"/>
          <w:sz w:val="28"/>
          <w:szCs w:val="26"/>
        </w:rPr>
      </w:pPr>
      <w:r w:rsidRPr="00A05CA0">
        <w:rPr>
          <w:rFonts w:eastAsia="Cambria" w:cs="Arial"/>
          <w:bCs/>
          <w:color w:val="001871"/>
          <w:sz w:val="28"/>
          <w:szCs w:val="26"/>
        </w:rPr>
        <w:t>Materials</w:t>
      </w:r>
      <w:r w:rsidRPr="00050DB9">
        <w:rPr>
          <w:rFonts w:eastAsia="Cambria"/>
          <w:bCs/>
          <w:color w:val="001871"/>
          <w:sz w:val="28"/>
          <w:szCs w:val="26"/>
        </w:rPr>
        <w:t xml:space="preserve"> considered </w:t>
      </w:r>
    </w:p>
    <w:p w14:paraId="6D94AD8E" w14:textId="77777777" w:rsidR="00B94098" w:rsidRPr="001C3E09" w:rsidRDefault="00B94098" w:rsidP="00B94098">
      <w:pPr>
        <w:rPr>
          <w:rFonts w:cs="Arial"/>
          <w:szCs w:val="20"/>
        </w:rPr>
      </w:pPr>
      <w:r w:rsidRPr="001C3E09">
        <w:rPr>
          <w:rFonts w:cs="Arial"/>
          <w:szCs w:val="20"/>
        </w:rPr>
        <w:t>In making this final decision, the Delegate considered the following material:</w:t>
      </w:r>
    </w:p>
    <w:p w14:paraId="7BD318B1" w14:textId="77777777" w:rsidR="00B94098" w:rsidRDefault="00B94098" w:rsidP="00B521FB">
      <w:pPr>
        <w:pStyle w:val="ListBullet"/>
      </w:pPr>
      <w:r w:rsidRPr="0085144C">
        <w:t xml:space="preserve">the application to amend the current Poisons Standard with respect to </w:t>
      </w:r>
      <w:proofErr w:type="spellStart"/>
      <w:r>
        <w:t>desloratidine</w:t>
      </w:r>
      <w:proofErr w:type="spellEnd"/>
      <w:r w:rsidRPr="0085144C">
        <w:t xml:space="preserve"> (the </w:t>
      </w:r>
      <w:r w:rsidRPr="00AA1A8A">
        <w:rPr>
          <w:b/>
          <w:bCs/>
        </w:rPr>
        <w:t>Application</w:t>
      </w:r>
      <w:r w:rsidRPr="0085144C">
        <w:t>)</w:t>
      </w:r>
    </w:p>
    <w:p w14:paraId="6C674518" w14:textId="77777777" w:rsidR="00B94098" w:rsidRPr="001C3E09" w:rsidRDefault="00B94098" w:rsidP="00B521FB">
      <w:pPr>
        <w:pStyle w:val="ListBullet"/>
      </w:pPr>
      <w:r>
        <w:lastRenderedPageBreak/>
        <w:t>s</w:t>
      </w:r>
      <w:r w:rsidRPr="001C3E09">
        <w:t xml:space="preserve">ubsection 52E(1) of </w:t>
      </w:r>
      <w:r w:rsidRPr="001C3E09">
        <w:rPr>
          <w:i/>
        </w:rPr>
        <w:t>the Therapeutic Goods Act 1989</w:t>
      </w:r>
      <w:r w:rsidRPr="001C3E09">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 </w:t>
      </w:r>
    </w:p>
    <w:p w14:paraId="50D2A13B" w14:textId="77777777" w:rsidR="00B94098" w:rsidRPr="001C3E09" w:rsidRDefault="00B94098" w:rsidP="00B521FB">
      <w:pPr>
        <w:pStyle w:val="ListBullet"/>
      </w:pPr>
      <w:r>
        <w:t>p</w:t>
      </w:r>
      <w:r w:rsidRPr="001C3E09">
        <w:t>ursuant to paragraph 52E(2)(a) of the Act, the SPF, and</w:t>
      </w:r>
    </w:p>
    <w:p w14:paraId="3B80237C" w14:textId="77777777" w:rsidR="00B94098" w:rsidRPr="0004198D" w:rsidRDefault="00B94098" w:rsidP="00B521FB">
      <w:pPr>
        <w:pStyle w:val="ListBullet"/>
      </w:pPr>
      <w:r>
        <w:t>t</w:t>
      </w:r>
      <w:r w:rsidRPr="001C3E09">
        <w:t>he Handbook.</w:t>
      </w:r>
    </w:p>
    <w:p w14:paraId="3DDE17BA" w14:textId="77777777" w:rsidR="00B94098" w:rsidRDefault="00B94098" w:rsidP="00B94098">
      <w:pPr>
        <w:keepNext/>
        <w:keepLines/>
        <w:spacing w:before="360" w:line="240" w:lineRule="atLeast"/>
        <w:outlineLvl w:val="3"/>
        <w:rPr>
          <w:rFonts w:eastAsia="Cambria"/>
          <w:bCs/>
          <w:color w:val="001871"/>
          <w:sz w:val="28"/>
          <w:szCs w:val="26"/>
        </w:rPr>
      </w:pPr>
      <w:r w:rsidRPr="00301D37">
        <w:rPr>
          <w:rFonts w:eastAsia="Cambria"/>
          <w:bCs/>
          <w:color w:val="001871"/>
          <w:sz w:val="28"/>
          <w:szCs w:val="26"/>
        </w:rPr>
        <w:t>Reasons for the final decision (including findings on material questions of fact)</w:t>
      </w:r>
    </w:p>
    <w:p w14:paraId="0C40FF95" w14:textId="77777777" w:rsidR="00B94098" w:rsidRPr="00AC5F0B" w:rsidRDefault="00B94098" w:rsidP="007663A6">
      <w:pPr>
        <w:rPr>
          <w:rFonts w:eastAsia="Cambria" w:cs="Arial"/>
          <w:szCs w:val="20"/>
        </w:rPr>
      </w:pPr>
      <w:r w:rsidRPr="00423DEA">
        <w:rPr>
          <w:rFonts w:eastAsia="Cambria" w:cs="Arial"/>
          <w:szCs w:val="20"/>
        </w:rPr>
        <w:t>I have made a</w:t>
      </w:r>
      <w:r>
        <w:rPr>
          <w:rFonts w:eastAsia="Cambria" w:cs="Arial"/>
          <w:szCs w:val="20"/>
        </w:rPr>
        <w:t xml:space="preserve"> final</w:t>
      </w:r>
      <w:r w:rsidRPr="00423DEA">
        <w:rPr>
          <w:rFonts w:eastAsia="Cambria" w:cs="Arial"/>
          <w:szCs w:val="20"/>
        </w:rPr>
        <w:t xml:space="preserve"> decision to amend the current Poisons Standard in relation to </w:t>
      </w:r>
      <w:r>
        <w:rPr>
          <w:rFonts w:eastAsia="Cambria" w:cs="Arial"/>
          <w:szCs w:val="20"/>
        </w:rPr>
        <w:t>desloratadine</w:t>
      </w:r>
      <w:r w:rsidRPr="00423DEA">
        <w:rPr>
          <w:rFonts w:eastAsia="Cambria" w:cs="Arial"/>
          <w:szCs w:val="20"/>
        </w:rPr>
        <w:t xml:space="preserve"> to allow supply o</w:t>
      </w:r>
      <w:r>
        <w:rPr>
          <w:rFonts w:eastAsia="Cambria" w:cs="Arial"/>
          <w:szCs w:val="20"/>
        </w:rPr>
        <w:t xml:space="preserve">n general sale as proposed by the </w:t>
      </w:r>
      <w:r w:rsidRPr="00183754">
        <w:rPr>
          <w:rFonts w:eastAsia="Cambria" w:cs="Arial"/>
          <w:szCs w:val="20"/>
        </w:rPr>
        <w:t>applicant.</w:t>
      </w:r>
      <w:r>
        <w:rPr>
          <w:rFonts w:eastAsia="Cambria" w:cs="Arial"/>
          <w:szCs w:val="20"/>
        </w:rPr>
        <w:t xml:space="preserve"> </w:t>
      </w:r>
      <w:r w:rsidRPr="00183754">
        <w:rPr>
          <w:rFonts w:eastAsia="Cambria" w:cs="Arial"/>
          <w:szCs w:val="20"/>
        </w:rPr>
        <w:t>The applicant proposed for desloratadine to be scheduled in line with loratadine (except the labelled recommended daily dose) due to a comparable safety and efficacy profile.</w:t>
      </w:r>
      <w:r w:rsidRPr="00183754">
        <w:rPr>
          <w:rStyle w:val="FootnoteReference"/>
          <w:rFonts w:eastAsia="Cambria" w:cs="Arial"/>
          <w:szCs w:val="20"/>
        </w:rPr>
        <w:footnoteReference w:id="11"/>
      </w:r>
      <w:r>
        <w:rPr>
          <w:rFonts w:eastAsia="Cambria" w:cs="Arial"/>
          <w:szCs w:val="20"/>
        </w:rPr>
        <w:t xml:space="preserve"> </w:t>
      </w:r>
      <w:r w:rsidRPr="00AC5F0B">
        <w:rPr>
          <w:rFonts w:eastAsia="Cambria" w:cs="Arial"/>
          <w:szCs w:val="20"/>
        </w:rPr>
        <w:t>Loratadine is exempt from scheduling when in divided preparations for oral use for the treatment of seasonal allergic rhinitis when:</w:t>
      </w:r>
    </w:p>
    <w:p w14:paraId="3499B5C5" w14:textId="77777777" w:rsidR="00B94098" w:rsidRPr="00AC5F0B" w:rsidRDefault="00B94098" w:rsidP="00B94098">
      <w:pPr>
        <w:pStyle w:val="ListParagraph"/>
        <w:numPr>
          <w:ilvl w:val="0"/>
          <w:numId w:val="43"/>
        </w:numPr>
        <w:tabs>
          <w:tab w:val="left" w:pos="1440"/>
        </w:tabs>
        <w:spacing w:after="240" w:line="240" w:lineRule="auto"/>
        <w:rPr>
          <w:rFonts w:eastAsia="Cambria" w:cs="Arial"/>
          <w:szCs w:val="20"/>
        </w:rPr>
      </w:pPr>
      <w:r w:rsidRPr="00AC5F0B">
        <w:rPr>
          <w:rFonts w:eastAsia="Cambria" w:cs="Arial"/>
          <w:szCs w:val="20"/>
        </w:rPr>
        <w:t>in a primary pack containing 10 dosage units or less when labelled for adults and children 6 years and over; and</w:t>
      </w:r>
    </w:p>
    <w:p w14:paraId="07DF1AB7" w14:textId="77777777" w:rsidR="00B94098" w:rsidRPr="00AC5F0B" w:rsidRDefault="00B94098" w:rsidP="00B94098">
      <w:pPr>
        <w:pStyle w:val="ListParagraph"/>
        <w:numPr>
          <w:ilvl w:val="0"/>
          <w:numId w:val="43"/>
        </w:numPr>
        <w:tabs>
          <w:tab w:val="left" w:pos="1440"/>
        </w:tabs>
        <w:spacing w:after="240" w:line="240" w:lineRule="auto"/>
        <w:rPr>
          <w:rFonts w:eastAsia="Cambria" w:cs="Arial"/>
          <w:szCs w:val="20"/>
        </w:rPr>
      </w:pPr>
      <w:r w:rsidRPr="00AC5F0B">
        <w:rPr>
          <w:rFonts w:eastAsia="Cambria" w:cs="Arial"/>
          <w:szCs w:val="20"/>
        </w:rPr>
        <w:t>labelled with a recommended daily dose not exceeding 10 mg of loratadine.</w:t>
      </w:r>
    </w:p>
    <w:p w14:paraId="15109149" w14:textId="77777777" w:rsidR="00B94098" w:rsidRPr="00540405" w:rsidRDefault="00B94098" w:rsidP="00540405">
      <w:pPr>
        <w:rPr>
          <w:rFonts w:cs="Arial"/>
          <w:szCs w:val="20"/>
        </w:rPr>
      </w:pPr>
      <w:r w:rsidRPr="00540405">
        <w:rPr>
          <w:rFonts w:eastAsia="Cambria" w:cs="Arial"/>
          <w:szCs w:val="20"/>
        </w:rPr>
        <w:t>D</w:t>
      </w:r>
      <w:r w:rsidRPr="00540405">
        <w:rPr>
          <w:rFonts w:cs="Arial"/>
          <w:szCs w:val="20"/>
        </w:rPr>
        <w:t xml:space="preserve">esloratadine has a higher potency than loratadine with 5 mg being a typical adult dose. </w:t>
      </w:r>
    </w:p>
    <w:p w14:paraId="69EA4E38" w14:textId="6587F9FA" w:rsidR="00B94098" w:rsidRPr="00540405" w:rsidRDefault="00B94098" w:rsidP="00015497">
      <w:pPr>
        <w:pStyle w:val="Default"/>
        <w:spacing w:after="120" w:line="259" w:lineRule="auto"/>
        <w:rPr>
          <w:rFonts w:ascii="Arial" w:hAnsi="Arial" w:cs="Arial"/>
          <w:sz w:val="20"/>
          <w:szCs w:val="20"/>
        </w:rPr>
      </w:pPr>
      <w:r w:rsidRPr="00540405">
        <w:rPr>
          <w:rFonts w:ascii="Arial" w:hAnsi="Arial" w:cs="Arial"/>
          <w:sz w:val="20"/>
          <w:szCs w:val="20"/>
        </w:rPr>
        <w:t>In relation to s 52E(1)(a) and (b) of the Act, desloratadine is a second-generation antihistamine first approved for use in Australia in 2003 to treat seasonal allergic rhinitis and perennial allergic rhinitis. Allergic rhinitis is a condition that affects the membrane lining of the nose induced by inflammation from the immune system. This causes symptoms such as nasal congestion, sneezing and nasal itching.</w:t>
      </w:r>
      <w:r w:rsidRPr="00540405">
        <w:rPr>
          <w:rStyle w:val="FootnoteReference"/>
          <w:rFonts w:ascii="Arial" w:hAnsi="Arial" w:cs="Arial"/>
          <w:sz w:val="20"/>
          <w:szCs w:val="20"/>
        </w:rPr>
        <w:footnoteReference w:id="12"/>
      </w:r>
      <w:r w:rsidRPr="00540405">
        <w:rPr>
          <w:rFonts w:ascii="Arial" w:hAnsi="Arial" w:cs="Arial"/>
          <w:sz w:val="20"/>
          <w:szCs w:val="20"/>
        </w:rPr>
        <w:t xml:space="preserve"> Allergic rhinitis affects almost 20% of the Australian population and can have a considerable impact on quality of life.</w:t>
      </w:r>
      <w:r w:rsidRPr="00540405">
        <w:rPr>
          <w:rStyle w:val="FootnoteReference"/>
          <w:rFonts w:ascii="Arial" w:hAnsi="Arial" w:cs="Arial"/>
          <w:sz w:val="20"/>
          <w:szCs w:val="20"/>
        </w:rPr>
        <w:footnoteReference w:id="13"/>
      </w:r>
      <w:r w:rsidRPr="00540405">
        <w:rPr>
          <w:rFonts w:ascii="Arial" w:hAnsi="Arial" w:cs="Arial"/>
          <w:sz w:val="20"/>
          <w:szCs w:val="20"/>
        </w:rPr>
        <w:t xml:space="preserve"> </w:t>
      </w:r>
    </w:p>
    <w:p w14:paraId="730D7865" w14:textId="3BA8031F" w:rsidR="00B94098" w:rsidRPr="00C47766" w:rsidRDefault="00B94098" w:rsidP="00015497">
      <w:pPr>
        <w:pStyle w:val="Default"/>
        <w:spacing w:after="120" w:line="259" w:lineRule="auto"/>
        <w:rPr>
          <w:rFonts w:ascii="Arial" w:hAnsi="Arial" w:cs="Arial"/>
          <w:sz w:val="20"/>
          <w:szCs w:val="20"/>
        </w:rPr>
      </w:pPr>
      <w:r w:rsidRPr="00540405">
        <w:rPr>
          <w:rFonts w:ascii="Arial" w:hAnsi="Arial" w:cs="Arial"/>
          <w:sz w:val="20"/>
          <w:szCs w:val="20"/>
        </w:rPr>
        <w:t>In considering s 52E(1)(a) and (c) of the Act, the safety and toxicity of desloratadine is well established. There is 20 years of approved desloratadine use in Australia as a Pharmacy medicine</w:t>
      </w:r>
      <w:r w:rsidR="00F51EA7">
        <w:rPr>
          <w:rFonts w:ascii="Arial" w:hAnsi="Arial" w:cs="Arial"/>
          <w:sz w:val="20"/>
          <w:szCs w:val="20"/>
        </w:rPr>
        <w:t xml:space="preserve"> (Schedule 2)</w:t>
      </w:r>
      <w:r w:rsidRPr="00540405">
        <w:rPr>
          <w:rFonts w:ascii="Arial" w:hAnsi="Arial" w:cs="Arial"/>
          <w:sz w:val="20"/>
          <w:szCs w:val="20"/>
        </w:rPr>
        <w:t>. The 2023 Organon periodic safety update report (PSUR) for desloratadine reports approximately 47,485,607 cumulative patient-years of treatment worldwide with desloratadine from 1998 until July 2023.</w:t>
      </w:r>
      <w:r w:rsidRPr="00540405">
        <w:rPr>
          <w:rStyle w:val="FootnoteReference"/>
          <w:rFonts w:ascii="Arial" w:hAnsi="Arial" w:cs="Arial"/>
          <w:sz w:val="20"/>
          <w:szCs w:val="20"/>
        </w:rPr>
        <w:footnoteReference w:id="14"/>
      </w:r>
      <w:r w:rsidRPr="00540405">
        <w:rPr>
          <w:rFonts w:ascii="Arial" w:hAnsi="Arial" w:cs="Arial"/>
          <w:sz w:val="20"/>
          <w:szCs w:val="20"/>
        </w:rPr>
        <w:t xml:space="preserve"> Most adverse events reported with the recommended daily dose of 5 mg were not serious and included dry mouth, fatigue and headache. I note more serious adverse events, like anaphylaxis, are very rare. I have also reviewed the </w:t>
      </w:r>
      <w:hyperlink r:id="rId41" w:history="1">
        <w:r w:rsidRPr="00540405">
          <w:rPr>
            <w:rStyle w:val="Hyperlink"/>
            <w:rFonts w:cs="Arial"/>
            <w:sz w:val="20"/>
            <w:szCs w:val="20"/>
          </w:rPr>
          <w:t>Database of Adverse Event Notifications</w:t>
        </w:r>
      </w:hyperlink>
      <w:r w:rsidRPr="00540405">
        <w:rPr>
          <w:rFonts w:ascii="Arial" w:hAnsi="Arial" w:cs="Arial"/>
          <w:sz w:val="20"/>
          <w:szCs w:val="20"/>
        </w:rPr>
        <w:t xml:space="preserve"> (DAEN) for desloratadine. While two reported cases were in relation to cardiac arrest, these cases involved prescription medicines, rocuronium and </w:t>
      </w:r>
      <w:proofErr w:type="spellStart"/>
      <w:r w:rsidRPr="00540405">
        <w:rPr>
          <w:rFonts w:ascii="Arial" w:hAnsi="Arial" w:cs="Arial"/>
          <w:sz w:val="20"/>
          <w:szCs w:val="20"/>
        </w:rPr>
        <w:t>sugammadex</w:t>
      </w:r>
      <w:proofErr w:type="spellEnd"/>
      <w:r w:rsidRPr="00540405">
        <w:rPr>
          <w:rFonts w:ascii="Arial" w:hAnsi="Arial" w:cs="Arial"/>
          <w:sz w:val="20"/>
          <w:szCs w:val="20"/>
        </w:rPr>
        <w:t>, which have a known potential to cause cardiac arrest.</w:t>
      </w:r>
      <w:r w:rsidRPr="00540405">
        <w:rPr>
          <w:rStyle w:val="FootnoteReference"/>
          <w:rFonts w:ascii="Arial" w:hAnsi="Arial" w:cs="Arial"/>
          <w:sz w:val="20"/>
          <w:szCs w:val="20"/>
        </w:rPr>
        <w:footnoteReference w:id="15"/>
      </w:r>
      <w:r w:rsidRPr="00540405">
        <w:rPr>
          <w:rFonts w:ascii="Arial" w:hAnsi="Arial" w:cs="Arial"/>
          <w:sz w:val="20"/>
          <w:szCs w:val="20"/>
          <w:vertAlign w:val="superscript"/>
        </w:rPr>
        <w:t>,</w:t>
      </w:r>
      <w:r w:rsidRPr="00540405">
        <w:rPr>
          <w:rFonts w:ascii="Arial" w:hAnsi="Arial" w:cs="Arial"/>
          <w:sz w:val="20"/>
          <w:szCs w:val="20"/>
        </w:rPr>
        <w:t xml:space="preserve"> </w:t>
      </w:r>
      <w:r w:rsidRPr="00540405">
        <w:rPr>
          <w:rStyle w:val="FootnoteReference"/>
          <w:rFonts w:ascii="Arial" w:hAnsi="Arial" w:cs="Arial"/>
          <w:sz w:val="20"/>
          <w:szCs w:val="20"/>
        </w:rPr>
        <w:footnoteReference w:id="16"/>
      </w:r>
    </w:p>
    <w:p w14:paraId="6D9697DB" w14:textId="6E8F3021" w:rsidR="00B94098" w:rsidRPr="00C47766" w:rsidRDefault="00B94098" w:rsidP="007663A6">
      <w:pPr>
        <w:pStyle w:val="Default"/>
        <w:spacing w:after="120" w:line="259" w:lineRule="auto"/>
        <w:rPr>
          <w:rFonts w:ascii="Arial" w:hAnsi="Arial" w:cs="Arial"/>
          <w:sz w:val="20"/>
          <w:szCs w:val="20"/>
        </w:rPr>
      </w:pPr>
      <w:r w:rsidRPr="00C47766">
        <w:rPr>
          <w:rFonts w:ascii="Arial" w:hAnsi="Arial" w:cs="Arial"/>
          <w:sz w:val="20"/>
          <w:szCs w:val="20"/>
        </w:rPr>
        <w:t xml:space="preserve">The proposed scheduling changes for desloratadine aligns ‘with reasonable safety’ in the Handbook: </w:t>
      </w:r>
    </w:p>
    <w:p w14:paraId="454C8D11" w14:textId="77777777" w:rsidR="00B94098" w:rsidRPr="00C47766" w:rsidRDefault="00B94098" w:rsidP="007663A6">
      <w:pPr>
        <w:pStyle w:val="Default"/>
        <w:numPr>
          <w:ilvl w:val="0"/>
          <w:numId w:val="42"/>
        </w:numPr>
        <w:spacing w:after="120" w:line="259" w:lineRule="auto"/>
        <w:rPr>
          <w:rFonts w:ascii="Arial" w:hAnsi="Arial" w:cs="Arial"/>
          <w:sz w:val="20"/>
          <w:szCs w:val="20"/>
        </w:rPr>
      </w:pPr>
      <w:r w:rsidRPr="00C47766">
        <w:rPr>
          <w:rFonts w:ascii="Arial" w:hAnsi="Arial" w:cs="Arial"/>
          <w:sz w:val="20"/>
          <w:szCs w:val="20"/>
        </w:rPr>
        <w:t xml:space="preserve">Allergic rhinitis is readily self-diagnosed by consumers. </w:t>
      </w:r>
    </w:p>
    <w:p w14:paraId="24CC9D38" w14:textId="77777777" w:rsidR="00B94098" w:rsidRPr="00C47766" w:rsidRDefault="00B94098" w:rsidP="007663A6">
      <w:pPr>
        <w:pStyle w:val="Default"/>
        <w:numPr>
          <w:ilvl w:val="0"/>
          <w:numId w:val="42"/>
        </w:numPr>
        <w:spacing w:after="120" w:line="259" w:lineRule="auto"/>
        <w:rPr>
          <w:rFonts w:ascii="Arial" w:hAnsi="Arial" w:cs="Arial"/>
          <w:sz w:val="20"/>
          <w:szCs w:val="20"/>
        </w:rPr>
      </w:pPr>
      <w:r w:rsidRPr="00C47766">
        <w:rPr>
          <w:rFonts w:ascii="Arial" w:hAnsi="Arial" w:cs="Arial"/>
          <w:sz w:val="20"/>
          <w:szCs w:val="20"/>
        </w:rPr>
        <w:t>The risks to health from desloratadine are small as it has a well-established safety profile and does not interact with commonly used drugs, food or alcohol.</w:t>
      </w:r>
      <w:r w:rsidRPr="00C47766">
        <w:rPr>
          <w:rStyle w:val="FootnoteReference"/>
          <w:rFonts w:ascii="Arial" w:hAnsi="Arial" w:cs="Arial"/>
          <w:sz w:val="20"/>
          <w:szCs w:val="20"/>
        </w:rPr>
        <w:footnoteReference w:id="17"/>
      </w:r>
      <w:r w:rsidRPr="00C47766">
        <w:rPr>
          <w:rFonts w:ascii="Arial" w:hAnsi="Arial" w:cs="Arial"/>
          <w:sz w:val="20"/>
          <w:szCs w:val="20"/>
        </w:rPr>
        <w:t xml:space="preserve"> Desloratadine products would </w:t>
      </w:r>
      <w:r w:rsidRPr="00C47766">
        <w:rPr>
          <w:rFonts w:ascii="Arial" w:hAnsi="Arial" w:cs="Arial"/>
          <w:sz w:val="20"/>
          <w:szCs w:val="20"/>
        </w:rPr>
        <w:lastRenderedPageBreak/>
        <w:t>remain subject to labelling that cautions consumers to check with their pharmacist or doctor if they are pregnant or breastfeeding.</w:t>
      </w:r>
      <w:r w:rsidRPr="00C47766">
        <w:rPr>
          <w:rStyle w:val="FootnoteReference"/>
          <w:rFonts w:ascii="Arial" w:hAnsi="Arial" w:cs="Arial"/>
          <w:sz w:val="20"/>
          <w:szCs w:val="20"/>
        </w:rPr>
        <w:footnoteReference w:id="18"/>
      </w:r>
      <w:r w:rsidRPr="00C47766">
        <w:rPr>
          <w:rFonts w:ascii="Arial" w:hAnsi="Arial" w:cs="Arial"/>
          <w:sz w:val="20"/>
          <w:szCs w:val="20"/>
        </w:rPr>
        <w:t xml:space="preserve"> </w:t>
      </w:r>
    </w:p>
    <w:p w14:paraId="58B8313A" w14:textId="77777777" w:rsidR="00B94098" w:rsidRPr="00C47766" w:rsidRDefault="00B94098" w:rsidP="007663A6">
      <w:pPr>
        <w:pStyle w:val="Default"/>
        <w:numPr>
          <w:ilvl w:val="0"/>
          <w:numId w:val="42"/>
        </w:numPr>
        <w:spacing w:after="120" w:line="259" w:lineRule="auto"/>
        <w:rPr>
          <w:rFonts w:ascii="Arial" w:hAnsi="Arial" w:cs="Arial"/>
          <w:sz w:val="20"/>
          <w:szCs w:val="20"/>
        </w:rPr>
      </w:pPr>
      <w:r w:rsidRPr="00C47766">
        <w:rPr>
          <w:rFonts w:ascii="Arial" w:hAnsi="Arial" w:cs="Arial"/>
          <w:sz w:val="20"/>
          <w:szCs w:val="20"/>
        </w:rPr>
        <w:t>There is no evidence to indicate desloratadine has potential for abuse or dependency.</w:t>
      </w:r>
    </w:p>
    <w:p w14:paraId="2D456DA4" w14:textId="77777777" w:rsidR="00B94098" w:rsidRPr="00C47766" w:rsidRDefault="00B94098" w:rsidP="007663A6">
      <w:pPr>
        <w:pStyle w:val="Default"/>
        <w:numPr>
          <w:ilvl w:val="0"/>
          <w:numId w:val="42"/>
        </w:numPr>
        <w:spacing w:after="120" w:line="259" w:lineRule="auto"/>
        <w:rPr>
          <w:rFonts w:ascii="Arial" w:hAnsi="Arial" w:cs="Arial"/>
          <w:sz w:val="20"/>
          <w:szCs w:val="20"/>
        </w:rPr>
      </w:pPr>
      <w:r w:rsidRPr="00C47766">
        <w:rPr>
          <w:rFonts w:ascii="Arial" w:hAnsi="Arial" w:cs="Arial"/>
          <w:sz w:val="20"/>
          <w:szCs w:val="20"/>
        </w:rPr>
        <w:t>There is little need to take any special precautions in handling as desloratadine is a low-risk medicine and the proposal is for oral use and in divided preparations.</w:t>
      </w:r>
      <w:r w:rsidRPr="00C47766">
        <w:rPr>
          <w:rStyle w:val="FootnoteReference"/>
          <w:rFonts w:ascii="Arial" w:hAnsi="Arial" w:cs="Arial"/>
          <w:sz w:val="20"/>
          <w:szCs w:val="20"/>
        </w:rPr>
        <w:footnoteReference w:id="19"/>
      </w:r>
      <w:r w:rsidRPr="00C47766">
        <w:rPr>
          <w:rFonts w:ascii="Arial" w:hAnsi="Arial" w:cs="Arial"/>
          <w:sz w:val="20"/>
          <w:szCs w:val="20"/>
        </w:rPr>
        <w:t xml:space="preserve"> Products on the ARTG that are proposed to be exempt from scheduling have standard storage conditions.</w:t>
      </w:r>
      <w:r w:rsidRPr="00C47766">
        <w:rPr>
          <w:rStyle w:val="FootnoteReference"/>
          <w:rFonts w:ascii="Arial" w:hAnsi="Arial" w:cs="Arial"/>
          <w:sz w:val="20"/>
          <w:szCs w:val="20"/>
        </w:rPr>
        <w:footnoteReference w:id="20"/>
      </w:r>
    </w:p>
    <w:p w14:paraId="5B8BF1CF" w14:textId="77777777" w:rsidR="00B94098" w:rsidRPr="00C47766" w:rsidRDefault="00B94098" w:rsidP="00B94098">
      <w:pPr>
        <w:pStyle w:val="Default"/>
        <w:ind w:left="720"/>
        <w:rPr>
          <w:rFonts w:ascii="Arial" w:hAnsi="Arial" w:cs="Arial"/>
          <w:sz w:val="20"/>
          <w:szCs w:val="20"/>
        </w:rPr>
      </w:pPr>
    </w:p>
    <w:p w14:paraId="02B3D5F5" w14:textId="211F16D2" w:rsidR="00B94098" w:rsidRPr="00C47766" w:rsidRDefault="00B94098" w:rsidP="007663A6">
      <w:pPr>
        <w:pStyle w:val="Default"/>
        <w:spacing w:after="120" w:line="259" w:lineRule="auto"/>
        <w:rPr>
          <w:rFonts w:ascii="Arial" w:hAnsi="Arial" w:cs="Arial"/>
          <w:sz w:val="20"/>
          <w:szCs w:val="20"/>
        </w:rPr>
      </w:pPr>
      <w:r w:rsidRPr="00C47766">
        <w:rPr>
          <w:rFonts w:ascii="Arial" w:hAnsi="Arial" w:cs="Arial"/>
          <w:sz w:val="20"/>
          <w:szCs w:val="20"/>
        </w:rPr>
        <w:t xml:space="preserve">Based on the above reasons, I </w:t>
      </w:r>
      <w:proofErr w:type="gramStart"/>
      <w:r w:rsidRPr="00C47766">
        <w:rPr>
          <w:rFonts w:ascii="Arial" w:hAnsi="Arial" w:cs="Arial"/>
          <w:sz w:val="20"/>
          <w:szCs w:val="20"/>
        </w:rPr>
        <w:t>am of the opinion that</w:t>
      </w:r>
      <w:proofErr w:type="gramEnd"/>
      <w:r w:rsidRPr="00C47766" w:rsidDel="0085144C">
        <w:rPr>
          <w:rFonts w:ascii="Arial" w:hAnsi="Arial" w:cs="Arial"/>
          <w:sz w:val="20"/>
          <w:szCs w:val="20"/>
        </w:rPr>
        <w:t xml:space="preserve"> </w:t>
      </w:r>
      <w:r w:rsidRPr="00C47766">
        <w:rPr>
          <w:rFonts w:ascii="Arial" w:hAnsi="Arial" w:cs="Arial"/>
          <w:sz w:val="20"/>
          <w:szCs w:val="20"/>
        </w:rPr>
        <w:t>greater access to desloratadine should provide a net public health benefit. The proposal presents an acceptable level of risk and will further enable consumers to readily treat allergic rhinitis. I have therefore made a final decision to amend the Poison Standard with regards to desloratadine in the manner set out above.</w:t>
      </w:r>
      <w:r w:rsidRPr="00C47766">
        <w:rPr>
          <w:rFonts w:ascii="Arial" w:hAnsi="Arial" w:cs="Arial"/>
        </w:rPr>
        <w:t xml:space="preserve"> </w:t>
      </w:r>
      <w:r w:rsidRPr="00C47766">
        <w:rPr>
          <w:rFonts w:ascii="Arial" w:hAnsi="Arial" w:cs="Arial"/>
          <w:sz w:val="20"/>
          <w:szCs w:val="20"/>
        </w:rPr>
        <w:t>The proposed amendment was not referred to an expert advisory committee.</w:t>
      </w:r>
    </w:p>
    <w:p w14:paraId="7380BFC1" w14:textId="77777777" w:rsidR="009C25DA" w:rsidRPr="00BB34CD" w:rsidRDefault="009C25DA" w:rsidP="009C25DA">
      <w:pPr>
        <w:pStyle w:val="Heading4"/>
      </w:pPr>
      <w:r w:rsidRPr="00BB34CD">
        <w:t xml:space="preserve">Implementation date </w:t>
      </w:r>
    </w:p>
    <w:p w14:paraId="2ADD221D" w14:textId="77777777" w:rsidR="00CE5603" w:rsidRDefault="009C25DA">
      <w:r>
        <w:t>1 February 2025</w:t>
      </w:r>
    </w:p>
    <w:p w14:paraId="4C4E2187" w14:textId="77777777" w:rsidR="00C86AB9" w:rsidRDefault="00C86AB9">
      <w:pPr>
        <w:rPr>
          <w:rFonts w:eastAsia="Times New Roman" w:cs="Times New Roman"/>
          <w:b/>
          <w:bCs/>
          <w:color w:val="001871"/>
          <w:sz w:val="38"/>
          <w:szCs w:val="38"/>
        </w:rPr>
      </w:pPr>
      <w:r>
        <w:br w:type="page"/>
      </w:r>
    </w:p>
    <w:p w14:paraId="7166D417" w14:textId="2C121220" w:rsidR="000D7942" w:rsidRPr="005069D2" w:rsidRDefault="000D7942" w:rsidP="000D7942">
      <w:pPr>
        <w:pStyle w:val="Heading2"/>
      </w:pPr>
      <w:bookmarkStart w:id="57" w:name="_Toc185508616"/>
      <w:r w:rsidRPr="005069D2">
        <w:lastRenderedPageBreak/>
        <w:t>Amendments to the Poison Standard in relation to New Chemical Entities (NCEs)</w:t>
      </w:r>
      <w:bookmarkEnd w:id="57"/>
    </w:p>
    <w:p w14:paraId="65568A5C" w14:textId="6CC97CB8" w:rsidR="000D7942" w:rsidRDefault="000D7942" w:rsidP="00967490">
      <w:r>
        <w:t>The NCEs liste</w:t>
      </w:r>
      <w:r w:rsidRPr="00A27362">
        <w:t>d below will be inc</w:t>
      </w:r>
      <w:r w:rsidRPr="003C7F4C">
        <w:t xml:space="preserve">luded in the new Poisons Standard that will come into effect on </w:t>
      </w:r>
      <w:r w:rsidR="000B244F">
        <w:t>1</w:t>
      </w:r>
      <w:r w:rsidRPr="003C7F4C">
        <w:t> </w:t>
      </w:r>
      <w:r w:rsidR="002C6F61">
        <w:t>February</w:t>
      </w:r>
      <w:r w:rsidRPr="003C7F4C">
        <w:t xml:space="preserve"> 20</w:t>
      </w:r>
      <w:r w:rsidR="003C7F4C" w:rsidRPr="003C7F4C">
        <w:t>2</w:t>
      </w:r>
      <w:r w:rsidR="002C6F61">
        <w:t>5</w:t>
      </w:r>
      <w:r w:rsidRPr="003C7F4C">
        <w:t>.</w:t>
      </w:r>
    </w:p>
    <w:p w14:paraId="19CA7B70" w14:textId="3AE3FF28" w:rsidR="000D7942" w:rsidRPr="00612683" w:rsidRDefault="00E630BF" w:rsidP="000D7942">
      <w:pPr>
        <w:pStyle w:val="Heading3"/>
        <w:spacing w:before="240" w:line="220" w:lineRule="atLeast"/>
      </w:pPr>
      <w:bookmarkStart w:id="58" w:name="_Toc185508617"/>
      <w:proofErr w:type="spellStart"/>
      <w:r w:rsidRPr="00E630BF">
        <w:t>Fedratinib</w:t>
      </w:r>
      <w:bookmarkEnd w:id="58"/>
      <w:proofErr w:type="spellEnd"/>
    </w:p>
    <w:tbl>
      <w:tblPr>
        <w:tblStyle w:val="TableGrid"/>
        <w:tblW w:w="0" w:type="auto"/>
        <w:tblInd w:w="988" w:type="dxa"/>
        <w:tblLook w:val="04A0" w:firstRow="1" w:lastRow="0" w:firstColumn="1" w:lastColumn="0" w:noHBand="0" w:noVBand="1"/>
      </w:tblPr>
      <w:tblGrid>
        <w:gridCol w:w="8072"/>
      </w:tblGrid>
      <w:tr w:rsidR="000D7942" w14:paraId="34913987" w14:textId="77777777" w:rsidTr="00EE0811">
        <w:tc>
          <w:tcPr>
            <w:tcW w:w="8072" w:type="dxa"/>
          </w:tcPr>
          <w:p w14:paraId="07EE3D13" w14:textId="2ACF0E3B" w:rsidR="000D7942" w:rsidRPr="00247188" w:rsidRDefault="000D7942" w:rsidP="00EE0811">
            <w:pPr>
              <w:spacing w:before="120" w:after="120"/>
              <w:rPr>
                <w:rFonts w:cs="Arial"/>
                <w:sz w:val="20"/>
                <w:szCs w:val="20"/>
              </w:rPr>
            </w:pPr>
            <w:r w:rsidRPr="00247188">
              <w:rPr>
                <w:rStyle w:val="Strong"/>
                <w:rFonts w:cs="Arial"/>
                <w:color w:val="000000"/>
                <w:sz w:val="20"/>
                <w:szCs w:val="20"/>
              </w:rPr>
              <w:t xml:space="preserve">Schedule </w:t>
            </w:r>
            <w:r w:rsidR="00B36AFE" w:rsidRPr="00247188">
              <w:rPr>
                <w:rStyle w:val="Strong"/>
                <w:rFonts w:cs="Arial"/>
                <w:color w:val="000000"/>
                <w:sz w:val="20"/>
                <w:szCs w:val="20"/>
              </w:rPr>
              <w:t>4</w:t>
            </w:r>
            <w:r w:rsidRPr="00247188">
              <w:rPr>
                <w:rStyle w:val="Strong"/>
                <w:rFonts w:cs="Arial"/>
                <w:color w:val="000000"/>
                <w:sz w:val="20"/>
                <w:szCs w:val="20"/>
              </w:rPr>
              <w:t xml:space="preserve"> – New Entry</w:t>
            </w:r>
          </w:p>
          <w:p w14:paraId="46CB8B20" w14:textId="5097375A" w:rsidR="00E65F1F" w:rsidRPr="00247188" w:rsidRDefault="00E630BF" w:rsidP="00EE0811">
            <w:pPr>
              <w:spacing w:before="120" w:after="120"/>
              <w:rPr>
                <w:rFonts w:cs="Arial"/>
                <w:color w:val="00B050"/>
                <w:sz w:val="20"/>
                <w:szCs w:val="20"/>
                <w:u w:val="single"/>
              </w:rPr>
            </w:pPr>
            <w:proofErr w:type="spellStart"/>
            <w:r w:rsidRPr="00E630BF">
              <w:rPr>
                <w:rFonts w:cs="Arial"/>
                <w:color w:val="00B050"/>
                <w:sz w:val="20"/>
                <w:szCs w:val="20"/>
                <w:u w:val="single"/>
              </w:rPr>
              <w:t>Fedratinib</w:t>
            </w:r>
            <w:proofErr w:type="spellEnd"/>
          </w:p>
          <w:p w14:paraId="5FC54EB8" w14:textId="6A9A9178" w:rsidR="000D7942" w:rsidRPr="00247188" w:rsidRDefault="000D7942" w:rsidP="00EE0811">
            <w:pPr>
              <w:spacing w:before="120" w:after="120"/>
              <w:rPr>
                <w:rFonts w:cs="Arial"/>
                <w:sz w:val="20"/>
                <w:szCs w:val="20"/>
              </w:rPr>
            </w:pPr>
            <w:r w:rsidRPr="00247188">
              <w:rPr>
                <w:rStyle w:val="Strong"/>
                <w:rFonts w:cs="Arial"/>
                <w:color w:val="000000"/>
                <w:sz w:val="20"/>
                <w:szCs w:val="20"/>
              </w:rPr>
              <w:t>Index – New Entry</w:t>
            </w:r>
          </w:p>
          <w:p w14:paraId="551F5AC8" w14:textId="515B283D" w:rsidR="001E089E" w:rsidRPr="004B6AF6" w:rsidRDefault="00E630BF" w:rsidP="00EE0811">
            <w:pPr>
              <w:spacing w:before="120" w:after="120"/>
              <w:rPr>
                <w:rFonts w:cs="Arial"/>
                <w:b/>
                <w:bCs/>
                <w:color w:val="00B050"/>
                <w:sz w:val="20"/>
                <w:szCs w:val="20"/>
                <w:u w:val="single"/>
              </w:rPr>
            </w:pPr>
            <w:proofErr w:type="spellStart"/>
            <w:r w:rsidRPr="00E630BF">
              <w:rPr>
                <w:rFonts w:cs="Arial"/>
                <w:b/>
                <w:bCs/>
                <w:color w:val="00B050"/>
                <w:sz w:val="20"/>
                <w:szCs w:val="20"/>
                <w:u w:val="single"/>
              </w:rPr>
              <w:t>Fedratinib</w:t>
            </w:r>
            <w:proofErr w:type="spellEnd"/>
            <w:r w:rsidRPr="00E630BF">
              <w:rPr>
                <w:rFonts w:cs="Arial"/>
                <w:b/>
                <w:bCs/>
                <w:color w:val="00B050"/>
                <w:sz w:val="20"/>
                <w:szCs w:val="20"/>
                <w:u w:val="single"/>
              </w:rPr>
              <w:t xml:space="preserve"> </w:t>
            </w:r>
          </w:p>
          <w:p w14:paraId="078C832E" w14:textId="7F68089D" w:rsidR="000D7942" w:rsidRPr="00013BFF" w:rsidRDefault="000D7942" w:rsidP="00EE0811">
            <w:pPr>
              <w:spacing w:before="120" w:after="120"/>
              <w:rPr>
                <w:color w:val="00B050"/>
              </w:rPr>
            </w:pPr>
            <w:r w:rsidRPr="00247188">
              <w:rPr>
                <w:rFonts w:cs="Arial"/>
                <w:color w:val="00B050"/>
                <w:sz w:val="20"/>
                <w:szCs w:val="20"/>
                <w:u w:val="single"/>
              </w:rPr>
              <w:t xml:space="preserve">Schedule </w:t>
            </w:r>
            <w:r w:rsidR="00B36AFE" w:rsidRPr="00247188">
              <w:rPr>
                <w:rFonts w:cs="Arial"/>
                <w:color w:val="00B050"/>
                <w:sz w:val="20"/>
                <w:szCs w:val="20"/>
                <w:u w:val="single"/>
              </w:rPr>
              <w:t>4</w:t>
            </w:r>
          </w:p>
        </w:tc>
      </w:tr>
    </w:tbl>
    <w:p w14:paraId="00137B4D" w14:textId="77777777" w:rsidR="00E630BF" w:rsidRDefault="00E630BF" w:rsidP="0004160B"/>
    <w:p w14:paraId="066DECFA" w14:textId="034D70A8" w:rsidR="00E630BF" w:rsidRPr="00612683" w:rsidRDefault="00A51DC4" w:rsidP="00E630BF">
      <w:pPr>
        <w:pStyle w:val="Heading3"/>
        <w:spacing w:before="240" w:line="220" w:lineRule="atLeast"/>
      </w:pPr>
      <w:bookmarkStart w:id="59" w:name="_Toc185508618"/>
      <w:proofErr w:type="spellStart"/>
      <w:r w:rsidRPr="00A51DC4">
        <w:t>M</w:t>
      </w:r>
      <w:r>
        <w:t>omelotinib</w:t>
      </w:r>
      <w:bookmarkEnd w:id="59"/>
      <w:proofErr w:type="spellEnd"/>
    </w:p>
    <w:tbl>
      <w:tblPr>
        <w:tblStyle w:val="TableGrid"/>
        <w:tblW w:w="0" w:type="auto"/>
        <w:tblInd w:w="988" w:type="dxa"/>
        <w:tblLook w:val="04A0" w:firstRow="1" w:lastRow="0" w:firstColumn="1" w:lastColumn="0" w:noHBand="0" w:noVBand="1"/>
      </w:tblPr>
      <w:tblGrid>
        <w:gridCol w:w="8072"/>
      </w:tblGrid>
      <w:tr w:rsidR="00E630BF" w14:paraId="4D2B0F81" w14:textId="77777777" w:rsidTr="00AB4983">
        <w:tc>
          <w:tcPr>
            <w:tcW w:w="8072" w:type="dxa"/>
          </w:tcPr>
          <w:p w14:paraId="4228E88C" w14:textId="77777777" w:rsidR="00E630BF" w:rsidRPr="00247188" w:rsidRDefault="00E630BF" w:rsidP="00AB4983">
            <w:pPr>
              <w:spacing w:before="120" w:after="120"/>
              <w:rPr>
                <w:rFonts w:cs="Arial"/>
                <w:sz w:val="20"/>
                <w:szCs w:val="20"/>
              </w:rPr>
            </w:pPr>
            <w:r w:rsidRPr="00247188">
              <w:rPr>
                <w:rStyle w:val="Strong"/>
                <w:rFonts w:cs="Arial"/>
                <w:color w:val="000000"/>
                <w:sz w:val="20"/>
                <w:szCs w:val="20"/>
              </w:rPr>
              <w:t>Schedule 4 – New Entry</w:t>
            </w:r>
          </w:p>
          <w:p w14:paraId="4F3F151D" w14:textId="77777777" w:rsidR="00A51DC4" w:rsidRPr="00A51DC4" w:rsidRDefault="00A51DC4" w:rsidP="00A51DC4">
            <w:pPr>
              <w:spacing w:before="120"/>
              <w:rPr>
                <w:rFonts w:cs="Arial"/>
                <w:color w:val="00B050"/>
                <w:sz w:val="20"/>
                <w:szCs w:val="20"/>
                <w:u w:val="single"/>
              </w:rPr>
            </w:pPr>
            <w:proofErr w:type="spellStart"/>
            <w:r w:rsidRPr="00A51DC4">
              <w:rPr>
                <w:rFonts w:cs="Arial"/>
                <w:color w:val="00B050"/>
                <w:sz w:val="20"/>
                <w:szCs w:val="20"/>
                <w:u w:val="single"/>
              </w:rPr>
              <w:t>Momelotinib</w:t>
            </w:r>
            <w:proofErr w:type="spellEnd"/>
          </w:p>
          <w:p w14:paraId="36F7C3AE" w14:textId="77777777" w:rsidR="00E630BF" w:rsidRPr="00247188" w:rsidRDefault="00E630BF" w:rsidP="00AB4983">
            <w:pPr>
              <w:spacing w:before="120" w:after="120"/>
              <w:rPr>
                <w:rFonts w:cs="Arial"/>
                <w:sz w:val="20"/>
                <w:szCs w:val="20"/>
              </w:rPr>
            </w:pPr>
            <w:r w:rsidRPr="00247188">
              <w:rPr>
                <w:rStyle w:val="Strong"/>
                <w:rFonts w:cs="Arial"/>
                <w:color w:val="000000"/>
                <w:sz w:val="20"/>
                <w:szCs w:val="20"/>
              </w:rPr>
              <w:t>Index – New Entry</w:t>
            </w:r>
          </w:p>
          <w:p w14:paraId="5A1AABC6" w14:textId="44BCD439" w:rsidR="00E630BF" w:rsidRPr="00A51DC4" w:rsidRDefault="00A51DC4" w:rsidP="00A51DC4">
            <w:pPr>
              <w:spacing w:before="120"/>
              <w:rPr>
                <w:rFonts w:cs="Arial"/>
                <w:b/>
                <w:bCs/>
                <w:color w:val="00B050"/>
                <w:sz w:val="20"/>
                <w:szCs w:val="20"/>
                <w:u w:val="single"/>
              </w:rPr>
            </w:pPr>
            <w:proofErr w:type="spellStart"/>
            <w:r w:rsidRPr="00A51DC4">
              <w:rPr>
                <w:rFonts w:cs="Arial"/>
                <w:b/>
                <w:bCs/>
                <w:color w:val="00B050"/>
                <w:sz w:val="20"/>
                <w:szCs w:val="20"/>
                <w:u w:val="single"/>
              </w:rPr>
              <w:t>Momelotinib</w:t>
            </w:r>
            <w:proofErr w:type="spellEnd"/>
          </w:p>
          <w:p w14:paraId="4C3CA24C" w14:textId="77777777" w:rsidR="00E630BF" w:rsidRPr="00013BFF" w:rsidRDefault="00E630BF" w:rsidP="00AB4983">
            <w:pPr>
              <w:spacing w:before="120" w:after="120"/>
              <w:rPr>
                <w:color w:val="00B050"/>
              </w:rPr>
            </w:pPr>
            <w:r w:rsidRPr="00247188">
              <w:rPr>
                <w:rFonts w:cs="Arial"/>
                <w:color w:val="00B050"/>
                <w:sz w:val="20"/>
                <w:szCs w:val="20"/>
                <w:u w:val="single"/>
              </w:rPr>
              <w:t>Schedule 4</w:t>
            </w:r>
          </w:p>
        </w:tc>
      </w:tr>
    </w:tbl>
    <w:p w14:paraId="5A806702" w14:textId="3ED24464" w:rsidR="00A51DC4" w:rsidRPr="00612683" w:rsidRDefault="004706EB" w:rsidP="00A51DC4">
      <w:pPr>
        <w:pStyle w:val="Heading3"/>
        <w:spacing w:before="240" w:line="220" w:lineRule="atLeast"/>
      </w:pPr>
      <w:bookmarkStart w:id="60" w:name="_Toc185508619"/>
      <w:proofErr w:type="spellStart"/>
      <w:r w:rsidRPr="004706EB">
        <w:t>Abaloparatide</w:t>
      </w:r>
      <w:bookmarkEnd w:id="60"/>
      <w:proofErr w:type="spellEnd"/>
    </w:p>
    <w:tbl>
      <w:tblPr>
        <w:tblStyle w:val="TableGrid"/>
        <w:tblW w:w="0" w:type="auto"/>
        <w:tblInd w:w="988" w:type="dxa"/>
        <w:tblLook w:val="04A0" w:firstRow="1" w:lastRow="0" w:firstColumn="1" w:lastColumn="0" w:noHBand="0" w:noVBand="1"/>
      </w:tblPr>
      <w:tblGrid>
        <w:gridCol w:w="8072"/>
      </w:tblGrid>
      <w:tr w:rsidR="00A51DC4" w14:paraId="217DC4FC" w14:textId="77777777" w:rsidTr="00AB4983">
        <w:tc>
          <w:tcPr>
            <w:tcW w:w="8072" w:type="dxa"/>
          </w:tcPr>
          <w:p w14:paraId="0AFCA5CD"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Schedule 4 – New Entry</w:t>
            </w:r>
          </w:p>
          <w:p w14:paraId="01DB0A58" w14:textId="77777777" w:rsidR="004706EB" w:rsidRDefault="004706EB" w:rsidP="00AB4983">
            <w:pPr>
              <w:spacing w:before="120" w:after="120"/>
              <w:rPr>
                <w:rFonts w:cs="Arial"/>
                <w:color w:val="00B050"/>
                <w:sz w:val="20"/>
                <w:szCs w:val="20"/>
                <w:u w:val="single"/>
              </w:rPr>
            </w:pPr>
            <w:proofErr w:type="spellStart"/>
            <w:r w:rsidRPr="004706EB">
              <w:rPr>
                <w:rFonts w:cs="Arial"/>
                <w:color w:val="00B050"/>
                <w:sz w:val="20"/>
                <w:szCs w:val="20"/>
                <w:u w:val="single"/>
              </w:rPr>
              <w:t>Abaloparatide</w:t>
            </w:r>
            <w:proofErr w:type="spellEnd"/>
          </w:p>
          <w:p w14:paraId="2C0D9334" w14:textId="3D305288" w:rsidR="00A51DC4" w:rsidRPr="00247188" w:rsidRDefault="00A51DC4" w:rsidP="00AB4983">
            <w:pPr>
              <w:spacing w:before="120" w:after="120"/>
              <w:rPr>
                <w:rFonts w:cs="Arial"/>
                <w:sz w:val="20"/>
                <w:szCs w:val="20"/>
              </w:rPr>
            </w:pPr>
            <w:r w:rsidRPr="00247188">
              <w:rPr>
                <w:rStyle w:val="Strong"/>
                <w:rFonts w:cs="Arial"/>
                <w:color w:val="000000"/>
                <w:sz w:val="20"/>
                <w:szCs w:val="20"/>
              </w:rPr>
              <w:t>Index – New Entry</w:t>
            </w:r>
          </w:p>
          <w:p w14:paraId="7669B645" w14:textId="77777777" w:rsidR="004706EB" w:rsidRDefault="004706EB" w:rsidP="00AB4983">
            <w:pPr>
              <w:spacing w:before="120" w:after="120"/>
              <w:rPr>
                <w:rFonts w:cs="Arial"/>
                <w:b/>
                <w:bCs/>
                <w:color w:val="00B050"/>
                <w:sz w:val="20"/>
                <w:szCs w:val="20"/>
                <w:u w:val="single"/>
              </w:rPr>
            </w:pPr>
            <w:proofErr w:type="spellStart"/>
            <w:r w:rsidRPr="004706EB">
              <w:rPr>
                <w:rFonts w:cs="Arial"/>
                <w:b/>
                <w:bCs/>
                <w:color w:val="00B050"/>
                <w:sz w:val="20"/>
                <w:szCs w:val="20"/>
                <w:u w:val="single"/>
              </w:rPr>
              <w:t>Abaloparatide</w:t>
            </w:r>
            <w:proofErr w:type="spellEnd"/>
          </w:p>
          <w:p w14:paraId="475BA2B5" w14:textId="38CB9D99" w:rsidR="00A51DC4" w:rsidRPr="00013BFF" w:rsidRDefault="00A51DC4" w:rsidP="00AB4983">
            <w:pPr>
              <w:spacing w:before="120" w:after="120"/>
              <w:rPr>
                <w:color w:val="00B050"/>
              </w:rPr>
            </w:pPr>
            <w:r w:rsidRPr="00247188">
              <w:rPr>
                <w:rFonts w:cs="Arial"/>
                <w:color w:val="00B050"/>
                <w:sz w:val="20"/>
                <w:szCs w:val="20"/>
                <w:u w:val="single"/>
              </w:rPr>
              <w:t>Schedule 4</w:t>
            </w:r>
          </w:p>
        </w:tc>
      </w:tr>
    </w:tbl>
    <w:p w14:paraId="70FAB91B" w14:textId="373EA4E8" w:rsidR="00A51DC4" w:rsidRPr="00612683" w:rsidRDefault="004047D6" w:rsidP="00A51DC4">
      <w:pPr>
        <w:pStyle w:val="Heading3"/>
        <w:spacing w:before="240" w:line="220" w:lineRule="atLeast"/>
      </w:pPr>
      <w:bookmarkStart w:id="61" w:name="_Toc185508620"/>
      <w:r>
        <w:t>E</w:t>
      </w:r>
      <w:r w:rsidRPr="004047D6">
        <w:t>fgartigimod alfa</w:t>
      </w:r>
      <w:bookmarkEnd w:id="61"/>
    </w:p>
    <w:tbl>
      <w:tblPr>
        <w:tblStyle w:val="TableGrid"/>
        <w:tblW w:w="0" w:type="auto"/>
        <w:tblInd w:w="988" w:type="dxa"/>
        <w:tblLook w:val="04A0" w:firstRow="1" w:lastRow="0" w:firstColumn="1" w:lastColumn="0" w:noHBand="0" w:noVBand="1"/>
      </w:tblPr>
      <w:tblGrid>
        <w:gridCol w:w="8072"/>
      </w:tblGrid>
      <w:tr w:rsidR="00A51DC4" w14:paraId="71DF679B" w14:textId="77777777" w:rsidTr="00AB4983">
        <w:tc>
          <w:tcPr>
            <w:tcW w:w="8072" w:type="dxa"/>
          </w:tcPr>
          <w:p w14:paraId="5D9C3E89"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Schedule 4 – New Entry</w:t>
            </w:r>
          </w:p>
          <w:p w14:paraId="4E18062E" w14:textId="5E00563F" w:rsidR="00A51DC4" w:rsidRPr="00A51DC4" w:rsidRDefault="004047D6" w:rsidP="00AB4983">
            <w:pPr>
              <w:spacing w:before="120"/>
              <w:rPr>
                <w:rFonts w:cs="Arial"/>
                <w:color w:val="00B050"/>
                <w:sz w:val="20"/>
                <w:szCs w:val="20"/>
                <w:u w:val="single"/>
              </w:rPr>
            </w:pPr>
            <w:r w:rsidRPr="004047D6">
              <w:rPr>
                <w:rFonts w:cs="Arial"/>
                <w:color w:val="00B050"/>
                <w:sz w:val="20"/>
                <w:szCs w:val="20"/>
                <w:u w:val="single"/>
              </w:rPr>
              <w:t>Efgartigimod alfa</w:t>
            </w:r>
          </w:p>
          <w:p w14:paraId="0AB1E895"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Index – New Entry</w:t>
            </w:r>
          </w:p>
          <w:p w14:paraId="663455BF" w14:textId="6F178E38" w:rsidR="00A51DC4" w:rsidRPr="004047D6" w:rsidRDefault="004047D6" w:rsidP="00AB4983">
            <w:pPr>
              <w:spacing w:before="120"/>
              <w:rPr>
                <w:rFonts w:cs="Arial"/>
                <w:b/>
                <w:bCs/>
                <w:color w:val="00B050"/>
                <w:sz w:val="20"/>
                <w:szCs w:val="20"/>
                <w:u w:val="single"/>
              </w:rPr>
            </w:pPr>
            <w:r w:rsidRPr="004047D6">
              <w:rPr>
                <w:rFonts w:cs="Arial"/>
                <w:b/>
                <w:bCs/>
                <w:color w:val="00B050"/>
                <w:sz w:val="20"/>
                <w:szCs w:val="20"/>
                <w:u w:val="single"/>
              </w:rPr>
              <w:t>Efgartigimod alfa</w:t>
            </w:r>
          </w:p>
          <w:p w14:paraId="00CA7461" w14:textId="77777777" w:rsidR="00A51DC4" w:rsidRPr="00013BFF" w:rsidRDefault="00A51DC4" w:rsidP="00AB4983">
            <w:pPr>
              <w:spacing w:before="120" w:after="120"/>
              <w:rPr>
                <w:color w:val="00B050"/>
              </w:rPr>
            </w:pPr>
            <w:r w:rsidRPr="00247188">
              <w:rPr>
                <w:rFonts w:cs="Arial"/>
                <w:color w:val="00B050"/>
                <w:sz w:val="20"/>
                <w:szCs w:val="20"/>
                <w:u w:val="single"/>
              </w:rPr>
              <w:t>Schedule 4</w:t>
            </w:r>
          </w:p>
        </w:tc>
      </w:tr>
    </w:tbl>
    <w:p w14:paraId="15E2BCA6" w14:textId="77777777" w:rsidR="00C86AB9" w:rsidRDefault="00C86AB9" w:rsidP="00A51DC4">
      <w:pPr>
        <w:pStyle w:val="Heading3"/>
        <w:spacing w:before="240" w:line="220" w:lineRule="atLeast"/>
      </w:pPr>
    </w:p>
    <w:p w14:paraId="62C85516" w14:textId="77777777" w:rsidR="00C86AB9" w:rsidRDefault="00C86AB9">
      <w:pPr>
        <w:rPr>
          <w:rFonts w:eastAsia="Times New Roman" w:cs="Times New Roman"/>
          <w:b/>
          <w:bCs/>
          <w:color w:val="001871"/>
          <w:sz w:val="32"/>
          <w:szCs w:val="32"/>
        </w:rPr>
      </w:pPr>
      <w:r>
        <w:br w:type="page"/>
      </w:r>
    </w:p>
    <w:p w14:paraId="22969242" w14:textId="366BDB49" w:rsidR="00A51DC4" w:rsidRPr="00612683" w:rsidRDefault="006179EE" w:rsidP="00A51DC4">
      <w:pPr>
        <w:pStyle w:val="Heading3"/>
        <w:spacing w:before="240" w:line="220" w:lineRule="atLeast"/>
      </w:pPr>
      <w:bookmarkStart w:id="62" w:name="_Toc185508621"/>
      <w:r>
        <w:lastRenderedPageBreak/>
        <w:t>D</w:t>
      </w:r>
      <w:r w:rsidRPr="006179EE">
        <w:t>exrazoxane</w:t>
      </w:r>
      <w:bookmarkEnd w:id="62"/>
    </w:p>
    <w:tbl>
      <w:tblPr>
        <w:tblStyle w:val="TableGrid"/>
        <w:tblW w:w="0" w:type="auto"/>
        <w:tblInd w:w="988" w:type="dxa"/>
        <w:tblLook w:val="04A0" w:firstRow="1" w:lastRow="0" w:firstColumn="1" w:lastColumn="0" w:noHBand="0" w:noVBand="1"/>
      </w:tblPr>
      <w:tblGrid>
        <w:gridCol w:w="8072"/>
      </w:tblGrid>
      <w:tr w:rsidR="00A51DC4" w14:paraId="51C1F9EF" w14:textId="77777777" w:rsidTr="00AB4983">
        <w:tc>
          <w:tcPr>
            <w:tcW w:w="8072" w:type="dxa"/>
          </w:tcPr>
          <w:p w14:paraId="0575B10B"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Schedule 4 – New Entry</w:t>
            </w:r>
          </w:p>
          <w:p w14:paraId="0F1595EA" w14:textId="232FE509" w:rsidR="00A51DC4" w:rsidRPr="00A51DC4" w:rsidRDefault="006179EE" w:rsidP="00AB4983">
            <w:pPr>
              <w:spacing w:before="120"/>
              <w:rPr>
                <w:rFonts w:cs="Arial"/>
                <w:color w:val="00B050"/>
                <w:sz w:val="20"/>
                <w:szCs w:val="20"/>
                <w:u w:val="single"/>
              </w:rPr>
            </w:pPr>
            <w:r>
              <w:rPr>
                <w:rFonts w:cs="Arial"/>
                <w:color w:val="00B050"/>
                <w:sz w:val="20"/>
                <w:szCs w:val="20"/>
                <w:u w:val="single"/>
              </w:rPr>
              <w:t>D</w:t>
            </w:r>
            <w:r w:rsidRPr="006179EE">
              <w:rPr>
                <w:rFonts w:cs="Arial"/>
                <w:color w:val="00B050"/>
                <w:sz w:val="20"/>
                <w:szCs w:val="20"/>
                <w:u w:val="single"/>
              </w:rPr>
              <w:t>exrazoxane</w:t>
            </w:r>
          </w:p>
          <w:p w14:paraId="4A24FE36"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Index – New Entry</w:t>
            </w:r>
          </w:p>
          <w:p w14:paraId="19EBCAE7" w14:textId="27988437" w:rsidR="006179EE" w:rsidRDefault="006179EE" w:rsidP="00AB4983">
            <w:pPr>
              <w:spacing w:before="120" w:after="120"/>
              <w:rPr>
                <w:rFonts w:cs="Arial"/>
                <w:b/>
                <w:bCs/>
                <w:color w:val="00B050"/>
                <w:sz w:val="20"/>
                <w:szCs w:val="20"/>
                <w:u w:val="single"/>
              </w:rPr>
            </w:pPr>
            <w:r w:rsidRPr="006179EE">
              <w:rPr>
                <w:rFonts w:cs="Arial"/>
                <w:b/>
                <w:bCs/>
                <w:color w:val="00B050"/>
                <w:sz w:val="20"/>
                <w:szCs w:val="20"/>
                <w:u w:val="single"/>
              </w:rPr>
              <w:t>Dexrazoxane</w:t>
            </w:r>
          </w:p>
          <w:p w14:paraId="1481C728" w14:textId="2BD4B335" w:rsidR="00A51DC4" w:rsidRPr="00013BFF" w:rsidRDefault="00A51DC4" w:rsidP="00AB4983">
            <w:pPr>
              <w:spacing w:before="120" w:after="120"/>
              <w:rPr>
                <w:color w:val="00B050"/>
              </w:rPr>
            </w:pPr>
            <w:r w:rsidRPr="00247188">
              <w:rPr>
                <w:rFonts w:cs="Arial"/>
                <w:color w:val="00B050"/>
                <w:sz w:val="20"/>
                <w:szCs w:val="20"/>
                <w:u w:val="single"/>
              </w:rPr>
              <w:t>Schedule 4</w:t>
            </w:r>
          </w:p>
        </w:tc>
      </w:tr>
    </w:tbl>
    <w:p w14:paraId="199E2CB4" w14:textId="78576568" w:rsidR="00A51DC4" w:rsidRPr="00612683" w:rsidRDefault="006179EE" w:rsidP="00A51DC4">
      <w:pPr>
        <w:pStyle w:val="Heading3"/>
        <w:spacing w:before="240" w:line="220" w:lineRule="atLeast"/>
      </w:pPr>
      <w:bookmarkStart w:id="63" w:name="_Toc185508622"/>
      <w:proofErr w:type="spellStart"/>
      <w:r>
        <w:t>Z</w:t>
      </w:r>
      <w:r w:rsidRPr="006179EE">
        <w:t>olbetuximab</w:t>
      </w:r>
      <w:bookmarkEnd w:id="63"/>
      <w:proofErr w:type="spellEnd"/>
    </w:p>
    <w:tbl>
      <w:tblPr>
        <w:tblStyle w:val="TableGrid"/>
        <w:tblW w:w="0" w:type="auto"/>
        <w:tblInd w:w="988" w:type="dxa"/>
        <w:tblLook w:val="04A0" w:firstRow="1" w:lastRow="0" w:firstColumn="1" w:lastColumn="0" w:noHBand="0" w:noVBand="1"/>
      </w:tblPr>
      <w:tblGrid>
        <w:gridCol w:w="8072"/>
      </w:tblGrid>
      <w:tr w:rsidR="00A51DC4" w14:paraId="396ADAB9" w14:textId="77777777" w:rsidTr="00AB4983">
        <w:tc>
          <w:tcPr>
            <w:tcW w:w="8072" w:type="dxa"/>
          </w:tcPr>
          <w:p w14:paraId="6425B7ED"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Schedule 4 – New Entry</w:t>
            </w:r>
          </w:p>
          <w:p w14:paraId="160DE454" w14:textId="4C859733" w:rsidR="00A51DC4" w:rsidRPr="00A51DC4" w:rsidRDefault="006179EE" w:rsidP="00AB4983">
            <w:pPr>
              <w:spacing w:before="120"/>
              <w:rPr>
                <w:rFonts w:cs="Arial"/>
                <w:color w:val="00B050"/>
                <w:sz w:val="20"/>
                <w:szCs w:val="20"/>
                <w:u w:val="single"/>
              </w:rPr>
            </w:pPr>
            <w:proofErr w:type="spellStart"/>
            <w:r w:rsidRPr="006179EE">
              <w:rPr>
                <w:rFonts w:cs="Arial"/>
                <w:color w:val="00B050"/>
                <w:sz w:val="20"/>
                <w:szCs w:val="20"/>
                <w:u w:val="single"/>
              </w:rPr>
              <w:t>Zolbetuximab</w:t>
            </w:r>
            <w:proofErr w:type="spellEnd"/>
          </w:p>
          <w:p w14:paraId="2DFD2D34" w14:textId="77777777" w:rsidR="00A51DC4" w:rsidRPr="00247188" w:rsidRDefault="00A51DC4" w:rsidP="00AB4983">
            <w:pPr>
              <w:spacing w:before="120" w:after="120"/>
              <w:rPr>
                <w:rFonts w:cs="Arial"/>
                <w:sz w:val="20"/>
                <w:szCs w:val="20"/>
              </w:rPr>
            </w:pPr>
            <w:r w:rsidRPr="00247188">
              <w:rPr>
                <w:rStyle w:val="Strong"/>
                <w:rFonts w:cs="Arial"/>
                <w:color w:val="000000"/>
                <w:sz w:val="20"/>
                <w:szCs w:val="20"/>
              </w:rPr>
              <w:t>Index – New Entry</w:t>
            </w:r>
          </w:p>
          <w:p w14:paraId="07018C6A" w14:textId="511CF228" w:rsidR="006179EE" w:rsidRPr="006179EE" w:rsidRDefault="006179EE" w:rsidP="006179EE">
            <w:pPr>
              <w:spacing w:before="120"/>
              <w:rPr>
                <w:rFonts w:cs="Arial"/>
                <w:b/>
                <w:bCs/>
                <w:color w:val="00B050"/>
                <w:sz w:val="20"/>
                <w:szCs w:val="20"/>
                <w:u w:val="single"/>
              </w:rPr>
            </w:pPr>
            <w:proofErr w:type="spellStart"/>
            <w:r w:rsidRPr="006179EE">
              <w:rPr>
                <w:rFonts w:cs="Arial"/>
                <w:b/>
                <w:bCs/>
                <w:color w:val="00B050"/>
                <w:sz w:val="20"/>
                <w:szCs w:val="20"/>
                <w:u w:val="single"/>
              </w:rPr>
              <w:t>Zolbetuximab</w:t>
            </w:r>
            <w:proofErr w:type="spellEnd"/>
          </w:p>
          <w:p w14:paraId="190D971C" w14:textId="77777777" w:rsidR="00A51DC4" w:rsidRPr="00013BFF" w:rsidRDefault="00A51DC4" w:rsidP="00AB4983">
            <w:pPr>
              <w:spacing w:before="120" w:after="120"/>
              <w:rPr>
                <w:color w:val="00B050"/>
              </w:rPr>
            </w:pPr>
            <w:r w:rsidRPr="00247188">
              <w:rPr>
                <w:rFonts w:cs="Arial"/>
                <w:color w:val="00B050"/>
                <w:sz w:val="20"/>
                <w:szCs w:val="20"/>
                <w:u w:val="single"/>
              </w:rPr>
              <w:t>Schedule 4</w:t>
            </w:r>
          </w:p>
        </w:tc>
      </w:tr>
    </w:tbl>
    <w:p w14:paraId="1E22AFFB" w14:textId="547AD110" w:rsidR="006179EE" w:rsidRPr="00612683" w:rsidRDefault="00923A7A" w:rsidP="006179EE">
      <w:pPr>
        <w:pStyle w:val="Heading3"/>
        <w:spacing w:before="240" w:line="220" w:lineRule="atLeast"/>
      </w:pPr>
      <w:bookmarkStart w:id="64" w:name="_Toc185508623"/>
      <w:proofErr w:type="spellStart"/>
      <w:r>
        <w:t>M</w:t>
      </w:r>
      <w:r w:rsidRPr="00923A7A">
        <w:t>arstacimab</w:t>
      </w:r>
      <w:bookmarkEnd w:id="64"/>
      <w:proofErr w:type="spellEnd"/>
    </w:p>
    <w:tbl>
      <w:tblPr>
        <w:tblStyle w:val="TableGrid"/>
        <w:tblW w:w="0" w:type="auto"/>
        <w:tblInd w:w="988" w:type="dxa"/>
        <w:tblLook w:val="04A0" w:firstRow="1" w:lastRow="0" w:firstColumn="1" w:lastColumn="0" w:noHBand="0" w:noVBand="1"/>
      </w:tblPr>
      <w:tblGrid>
        <w:gridCol w:w="8072"/>
      </w:tblGrid>
      <w:tr w:rsidR="006179EE" w14:paraId="406D5937" w14:textId="77777777" w:rsidTr="00AB4983">
        <w:tc>
          <w:tcPr>
            <w:tcW w:w="8072" w:type="dxa"/>
          </w:tcPr>
          <w:p w14:paraId="33C5FDE3" w14:textId="77777777" w:rsidR="006179EE" w:rsidRPr="00247188" w:rsidRDefault="006179EE" w:rsidP="00AB4983">
            <w:pPr>
              <w:spacing w:before="120" w:after="120"/>
              <w:rPr>
                <w:rFonts w:cs="Arial"/>
                <w:sz w:val="20"/>
                <w:szCs w:val="20"/>
              </w:rPr>
            </w:pPr>
            <w:r w:rsidRPr="00247188">
              <w:rPr>
                <w:rStyle w:val="Strong"/>
                <w:rFonts w:cs="Arial"/>
                <w:color w:val="000000"/>
                <w:sz w:val="20"/>
                <w:szCs w:val="20"/>
              </w:rPr>
              <w:t>Schedule 4 – New Entry</w:t>
            </w:r>
          </w:p>
          <w:p w14:paraId="5A297B21" w14:textId="48087BF1" w:rsidR="00923A7A" w:rsidRDefault="00923A7A" w:rsidP="00AB4983">
            <w:pPr>
              <w:spacing w:before="120" w:after="120"/>
              <w:rPr>
                <w:rFonts w:cs="Arial"/>
                <w:color w:val="00B050"/>
                <w:sz w:val="20"/>
                <w:szCs w:val="20"/>
                <w:u w:val="single"/>
              </w:rPr>
            </w:pPr>
            <w:proofErr w:type="spellStart"/>
            <w:r w:rsidRPr="00923A7A">
              <w:rPr>
                <w:rFonts w:cs="Arial"/>
                <w:color w:val="00B050"/>
                <w:sz w:val="20"/>
                <w:szCs w:val="20"/>
                <w:u w:val="single"/>
              </w:rPr>
              <w:t>Marstacimab</w:t>
            </w:r>
            <w:proofErr w:type="spellEnd"/>
          </w:p>
          <w:p w14:paraId="01A3D74D" w14:textId="5D387691" w:rsidR="006179EE" w:rsidRPr="00247188" w:rsidRDefault="006179EE" w:rsidP="00AB4983">
            <w:pPr>
              <w:spacing w:before="120" w:after="120"/>
              <w:rPr>
                <w:rFonts w:cs="Arial"/>
                <w:sz w:val="20"/>
                <w:szCs w:val="20"/>
              </w:rPr>
            </w:pPr>
            <w:r w:rsidRPr="00247188">
              <w:rPr>
                <w:rStyle w:val="Strong"/>
                <w:rFonts w:cs="Arial"/>
                <w:color w:val="000000"/>
                <w:sz w:val="20"/>
                <w:szCs w:val="20"/>
              </w:rPr>
              <w:t>Index – New Entry</w:t>
            </w:r>
          </w:p>
          <w:p w14:paraId="27B7FC65" w14:textId="1EC279CE" w:rsidR="00923A7A" w:rsidRDefault="00923A7A" w:rsidP="00AB4983">
            <w:pPr>
              <w:spacing w:before="120" w:after="120"/>
              <w:rPr>
                <w:rFonts w:cs="Arial"/>
                <w:b/>
                <w:bCs/>
                <w:color w:val="00B050"/>
                <w:sz w:val="20"/>
                <w:szCs w:val="20"/>
                <w:u w:val="single"/>
              </w:rPr>
            </w:pPr>
            <w:proofErr w:type="spellStart"/>
            <w:r w:rsidRPr="00923A7A">
              <w:rPr>
                <w:rFonts w:cs="Arial"/>
                <w:b/>
                <w:bCs/>
                <w:color w:val="00B050"/>
                <w:sz w:val="20"/>
                <w:szCs w:val="20"/>
                <w:u w:val="single"/>
              </w:rPr>
              <w:t>Marstacimab</w:t>
            </w:r>
            <w:proofErr w:type="spellEnd"/>
          </w:p>
          <w:p w14:paraId="35029DD2" w14:textId="1FD0C8E7" w:rsidR="006179EE" w:rsidRPr="00013BFF" w:rsidRDefault="006179EE" w:rsidP="00AB4983">
            <w:pPr>
              <w:spacing w:before="120" w:after="120"/>
              <w:rPr>
                <w:color w:val="00B050"/>
              </w:rPr>
            </w:pPr>
            <w:r w:rsidRPr="00247188">
              <w:rPr>
                <w:rFonts w:cs="Arial"/>
                <w:color w:val="00B050"/>
                <w:sz w:val="20"/>
                <w:szCs w:val="20"/>
                <w:u w:val="single"/>
              </w:rPr>
              <w:t>Schedule 4</w:t>
            </w:r>
          </w:p>
        </w:tc>
      </w:tr>
    </w:tbl>
    <w:p w14:paraId="1FBE7FDC" w14:textId="4E7E9708" w:rsidR="006179EE" w:rsidRPr="00612683" w:rsidRDefault="00923A7A" w:rsidP="006179EE">
      <w:pPr>
        <w:pStyle w:val="Heading3"/>
        <w:spacing w:before="240" w:line="220" w:lineRule="atLeast"/>
      </w:pPr>
      <w:bookmarkStart w:id="65" w:name="_Toc185508624"/>
      <w:proofErr w:type="spellStart"/>
      <w:r>
        <w:t>R</w:t>
      </w:r>
      <w:r w:rsidRPr="00923A7A">
        <w:t>ozanolixizumab</w:t>
      </w:r>
      <w:bookmarkEnd w:id="65"/>
      <w:proofErr w:type="spellEnd"/>
    </w:p>
    <w:tbl>
      <w:tblPr>
        <w:tblStyle w:val="TableGrid"/>
        <w:tblW w:w="0" w:type="auto"/>
        <w:tblInd w:w="988" w:type="dxa"/>
        <w:tblLook w:val="04A0" w:firstRow="1" w:lastRow="0" w:firstColumn="1" w:lastColumn="0" w:noHBand="0" w:noVBand="1"/>
      </w:tblPr>
      <w:tblGrid>
        <w:gridCol w:w="8072"/>
      </w:tblGrid>
      <w:tr w:rsidR="006179EE" w14:paraId="1D973CF6" w14:textId="77777777" w:rsidTr="00AB4983">
        <w:tc>
          <w:tcPr>
            <w:tcW w:w="8072" w:type="dxa"/>
          </w:tcPr>
          <w:p w14:paraId="6A3BD3A4" w14:textId="77777777" w:rsidR="006179EE" w:rsidRPr="00247188" w:rsidRDefault="006179EE" w:rsidP="00AB4983">
            <w:pPr>
              <w:spacing w:before="120" w:after="120"/>
              <w:rPr>
                <w:rFonts w:cs="Arial"/>
                <w:sz w:val="20"/>
                <w:szCs w:val="20"/>
              </w:rPr>
            </w:pPr>
            <w:r w:rsidRPr="00247188">
              <w:rPr>
                <w:rStyle w:val="Strong"/>
                <w:rFonts w:cs="Arial"/>
                <w:color w:val="000000"/>
                <w:sz w:val="20"/>
                <w:szCs w:val="20"/>
              </w:rPr>
              <w:t>Schedule 4 – New Entry</w:t>
            </w:r>
          </w:p>
          <w:p w14:paraId="21A5F8AD" w14:textId="30C488C1" w:rsidR="00923A7A" w:rsidRDefault="00923A7A" w:rsidP="00AB4983">
            <w:pPr>
              <w:spacing w:before="120" w:after="120"/>
              <w:rPr>
                <w:rFonts w:cs="Arial"/>
                <w:color w:val="00B050"/>
                <w:sz w:val="20"/>
                <w:szCs w:val="20"/>
                <w:u w:val="single"/>
              </w:rPr>
            </w:pPr>
            <w:proofErr w:type="spellStart"/>
            <w:r w:rsidRPr="00923A7A">
              <w:rPr>
                <w:rFonts w:cs="Arial"/>
                <w:color w:val="00B050"/>
                <w:sz w:val="20"/>
                <w:szCs w:val="20"/>
                <w:u w:val="single"/>
              </w:rPr>
              <w:t>Rozanolixizumab</w:t>
            </w:r>
            <w:proofErr w:type="spellEnd"/>
          </w:p>
          <w:p w14:paraId="0985DD4F" w14:textId="42D933D3" w:rsidR="006179EE" w:rsidRPr="00247188" w:rsidRDefault="006179EE" w:rsidP="00AB4983">
            <w:pPr>
              <w:spacing w:before="120" w:after="120"/>
              <w:rPr>
                <w:rFonts w:cs="Arial"/>
                <w:sz w:val="20"/>
                <w:szCs w:val="20"/>
              </w:rPr>
            </w:pPr>
            <w:r w:rsidRPr="00247188">
              <w:rPr>
                <w:rStyle w:val="Strong"/>
                <w:rFonts w:cs="Arial"/>
                <w:color w:val="000000"/>
                <w:sz w:val="20"/>
                <w:szCs w:val="20"/>
              </w:rPr>
              <w:t>Index – New Entry</w:t>
            </w:r>
          </w:p>
          <w:p w14:paraId="7EA20F41" w14:textId="171264FD" w:rsidR="00923A7A" w:rsidRDefault="00923A7A" w:rsidP="00AB4983">
            <w:pPr>
              <w:spacing w:before="120" w:after="120"/>
              <w:rPr>
                <w:rFonts w:cs="Arial"/>
                <w:b/>
                <w:bCs/>
                <w:color w:val="00B050"/>
                <w:sz w:val="20"/>
                <w:szCs w:val="20"/>
                <w:u w:val="single"/>
              </w:rPr>
            </w:pPr>
            <w:proofErr w:type="spellStart"/>
            <w:r w:rsidRPr="00923A7A">
              <w:rPr>
                <w:rFonts w:cs="Arial"/>
                <w:b/>
                <w:bCs/>
                <w:color w:val="00B050"/>
                <w:sz w:val="20"/>
                <w:szCs w:val="20"/>
                <w:u w:val="single"/>
              </w:rPr>
              <w:t>Rozanolixizumab</w:t>
            </w:r>
            <w:proofErr w:type="spellEnd"/>
          </w:p>
          <w:p w14:paraId="4AEDBDCD" w14:textId="3F536DA4" w:rsidR="006179EE" w:rsidRPr="00013BFF" w:rsidRDefault="006179EE" w:rsidP="00AB4983">
            <w:pPr>
              <w:spacing w:before="120" w:after="120"/>
              <w:rPr>
                <w:color w:val="00B050"/>
              </w:rPr>
            </w:pPr>
            <w:r w:rsidRPr="00247188">
              <w:rPr>
                <w:rFonts w:cs="Arial"/>
                <w:color w:val="00B050"/>
                <w:sz w:val="20"/>
                <w:szCs w:val="20"/>
                <w:u w:val="single"/>
              </w:rPr>
              <w:t>Schedule 4</w:t>
            </w:r>
          </w:p>
        </w:tc>
      </w:tr>
    </w:tbl>
    <w:p w14:paraId="6EA20FA9" w14:textId="19DEC459" w:rsidR="003A212D" w:rsidRPr="00612683" w:rsidRDefault="003A212D" w:rsidP="003A212D">
      <w:pPr>
        <w:pStyle w:val="Heading3"/>
        <w:spacing w:before="240" w:line="220" w:lineRule="atLeast"/>
      </w:pPr>
      <w:bookmarkStart w:id="66" w:name="_Toc185508625"/>
      <w:proofErr w:type="spellStart"/>
      <w:r>
        <w:t>E</w:t>
      </w:r>
      <w:r w:rsidRPr="003A212D">
        <w:t>lacestrant</w:t>
      </w:r>
      <w:proofErr w:type="spellEnd"/>
      <w:r w:rsidRPr="003A212D">
        <w:t xml:space="preserve"> dihydrochloride</w:t>
      </w:r>
      <w:bookmarkEnd w:id="66"/>
    </w:p>
    <w:tbl>
      <w:tblPr>
        <w:tblStyle w:val="TableGrid"/>
        <w:tblW w:w="0" w:type="auto"/>
        <w:tblInd w:w="988" w:type="dxa"/>
        <w:tblLook w:val="04A0" w:firstRow="1" w:lastRow="0" w:firstColumn="1" w:lastColumn="0" w:noHBand="0" w:noVBand="1"/>
      </w:tblPr>
      <w:tblGrid>
        <w:gridCol w:w="8072"/>
      </w:tblGrid>
      <w:tr w:rsidR="003A212D" w14:paraId="52AB9F10" w14:textId="77777777" w:rsidTr="00AB4983">
        <w:tc>
          <w:tcPr>
            <w:tcW w:w="8072" w:type="dxa"/>
          </w:tcPr>
          <w:p w14:paraId="5A3FA69A" w14:textId="77777777" w:rsidR="003A212D" w:rsidRPr="00247188" w:rsidRDefault="003A212D" w:rsidP="00AB4983">
            <w:pPr>
              <w:spacing w:before="120" w:after="120"/>
              <w:rPr>
                <w:rFonts w:cs="Arial"/>
                <w:sz w:val="20"/>
                <w:szCs w:val="20"/>
              </w:rPr>
            </w:pPr>
            <w:r w:rsidRPr="00247188">
              <w:rPr>
                <w:rStyle w:val="Strong"/>
                <w:rFonts w:cs="Arial"/>
                <w:color w:val="000000"/>
                <w:sz w:val="20"/>
                <w:szCs w:val="20"/>
              </w:rPr>
              <w:t>Schedule 4 – New Entry</w:t>
            </w:r>
          </w:p>
          <w:p w14:paraId="32C54F0E" w14:textId="77777777" w:rsidR="003A212D" w:rsidRPr="003A212D" w:rsidRDefault="003A212D" w:rsidP="003A212D">
            <w:pPr>
              <w:spacing w:before="120"/>
              <w:rPr>
                <w:rFonts w:cs="Arial"/>
                <w:color w:val="00B050"/>
                <w:szCs w:val="20"/>
                <w:u w:val="single"/>
              </w:rPr>
            </w:pPr>
            <w:proofErr w:type="spellStart"/>
            <w:r w:rsidRPr="003A212D">
              <w:rPr>
                <w:rFonts w:cs="Arial"/>
                <w:color w:val="00B050"/>
                <w:szCs w:val="20"/>
                <w:u w:val="single"/>
              </w:rPr>
              <w:t>Elacestrant</w:t>
            </w:r>
            <w:proofErr w:type="spellEnd"/>
            <w:r w:rsidRPr="003A212D">
              <w:rPr>
                <w:rFonts w:cs="Arial"/>
                <w:color w:val="00B050"/>
                <w:szCs w:val="20"/>
                <w:u w:val="single"/>
              </w:rPr>
              <w:t xml:space="preserve"> dihydrochloride</w:t>
            </w:r>
          </w:p>
          <w:p w14:paraId="013AD0B2" w14:textId="77777777" w:rsidR="003A212D" w:rsidRPr="00247188" w:rsidRDefault="003A212D" w:rsidP="00AB4983">
            <w:pPr>
              <w:spacing w:before="120" w:after="120"/>
              <w:rPr>
                <w:rFonts w:cs="Arial"/>
                <w:sz w:val="20"/>
                <w:szCs w:val="20"/>
              </w:rPr>
            </w:pPr>
            <w:r w:rsidRPr="00247188">
              <w:rPr>
                <w:rStyle w:val="Strong"/>
                <w:rFonts w:cs="Arial"/>
                <w:color w:val="000000"/>
                <w:sz w:val="20"/>
                <w:szCs w:val="20"/>
              </w:rPr>
              <w:t>Index – New Entry</w:t>
            </w:r>
          </w:p>
          <w:p w14:paraId="69DC860D" w14:textId="77777777" w:rsidR="003A212D" w:rsidRPr="003A212D" w:rsidRDefault="003A212D" w:rsidP="003A212D">
            <w:pPr>
              <w:spacing w:before="120"/>
              <w:rPr>
                <w:rFonts w:cs="Arial"/>
                <w:b/>
                <w:bCs/>
                <w:color w:val="00B050"/>
                <w:szCs w:val="20"/>
                <w:u w:val="single"/>
              </w:rPr>
            </w:pPr>
            <w:proofErr w:type="spellStart"/>
            <w:r w:rsidRPr="003A212D">
              <w:rPr>
                <w:rFonts w:cs="Arial"/>
                <w:b/>
                <w:bCs/>
                <w:color w:val="00B050"/>
                <w:szCs w:val="20"/>
                <w:u w:val="single"/>
              </w:rPr>
              <w:t>Elacestrant</w:t>
            </w:r>
            <w:proofErr w:type="spellEnd"/>
            <w:r w:rsidRPr="003A212D">
              <w:rPr>
                <w:rFonts w:cs="Arial"/>
                <w:b/>
                <w:bCs/>
                <w:color w:val="00B050"/>
                <w:szCs w:val="20"/>
                <w:u w:val="single"/>
              </w:rPr>
              <w:t xml:space="preserve"> dihydrochloride</w:t>
            </w:r>
          </w:p>
          <w:p w14:paraId="60A5C60C" w14:textId="77777777" w:rsidR="003A212D" w:rsidRPr="00013BFF" w:rsidRDefault="003A212D" w:rsidP="00AB4983">
            <w:pPr>
              <w:spacing w:before="120" w:after="120"/>
              <w:rPr>
                <w:color w:val="00B050"/>
              </w:rPr>
            </w:pPr>
            <w:r w:rsidRPr="00247188">
              <w:rPr>
                <w:rFonts w:cs="Arial"/>
                <w:color w:val="00B050"/>
                <w:sz w:val="20"/>
                <w:szCs w:val="20"/>
                <w:u w:val="single"/>
              </w:rPr>
              <w:t>Schedule 4</w:t>
            </w:r>
          </w:p>
        </w:tc>
      </w:tr>
    </w:tbl>
    <w:p w14:paraId="71E48A0F" w14:textId="33010A13" w:rsidR="003A212D" w:rsidRPr="00612683" w:rsidRDefault="003A212D" w:rsidP="003A212D">
      <w:pPr>
        <w:pStyle w:val="Heading3"/>
        <w:spacing w:before="240" w:line="220" w:lineRule="atLeast"/>
      </w:pPr>
      <w:bookmarkStart w:id="67" w:name="_Toc185508626"/>
      <w:proofErr w:type="spellStart"/>
      <w:r w:rsidRPr="003A212D">
        <w:lastRenderedPageBreak/>
        <w:t>Cipaglucosidase</w:t>
      </w:r>
      <w:proofErr w:type="spellEnd"/>
      <w:r w:rsidRPr="003A212D">
        <w:t xml:space="preserve"> alfa</w:t>
      </w:r>
      <w:bookmarkEnd w:id="67"/>
    </w:p>
    <w:tbl>
      <w:tblPr>
        <w:tblStyle w:val="TableGrid"/>
        <w:tblW w:w="0" w:type="auto"/>
        <w:tblInd w:w="988" w:type="dxa"/>
        <w:tblLook w:val="04A0" w:firstRow="1" w:lastRow="0" w:firstColumn="1" w:lastColumn="0" w:noHBand="0" w:noVBand="1"/>
      </w:tblPr>
      <w:tblGrid>
        <w:gridCol w:w="8072"/>
      </w:tblGrid>
      <w:tr w:rsidR="003A212D" w14:paraId="36F800B4" w14:textId="77777777" w:rsidTr="00AB4983">
        <w:tc>
          <w:tcPr>
            <w:tcW w:w="8072" w:type="dxa"/>
          </w:tcPr>
          <w:p w14:paraId="679165FF" w14:textId="77777777" w:rsidR="003A212D" w:rsidRPr="00247188" w:rsidRDefault="003A212D" w:rsidP="00AB4983">
            <w:pPr>
              <w:spacing w:before="120" w:after="120"/>
              <w:rPr>
                <w:rFonts w:cs="Arial"/>
                <w:sz w:val="20"/>
                <w:szCs w:val="20"/>
              </w:rPr>
            </w:pPr>
            <w:r w:rsidRPr="00247188">
              <w:rPr>
                <w:rStyle w:val="Strong"/>
                <w:rFonts w:cs="Arial"/>
                <w:color w:val="000000"/>
                <w:sz w:val="20"/>
                <w:szCs w:val="20"/>
              </w:rPr>
              <w:t>Schedule 4 – New Entry</w:t>
            </w:r>
          </w:p>
          <w:p w14:paraId="542C5506" w14:textId="77777777" w:rsidR="003A212D" w:rsidRDefault="003A212D" w:rsidP="00AB4983">
            <w:pPr>
              <w:spacing w:before="120" w:after="120"/>
              <w:rPr>
                <w:rFonts w:cs="Arial"/>
                <w:color w:val="00B050"/>
                <w:sz w:val="20"/>
                <w:szCs w:val="20"/>
                <w:u w:val="single"/>
              </w:rPr>
            </w:pPr>
            <w:proofErr w:type="spellStart"/>
            <w:r w:rsidRPr="003A212D">
              <w:rPr>
                <w:rFonts w:cs="Arial"/>
                <w:color w:val="00B050"/>
                <w:sz w:val="20"/>
                <w:szCs w:val="20"/>
                <w:u w:val="single"/>
              </w:rPr>
              <w:t>Cipaglucosidase</w:t>
            </w:r>
            <w:proofErr w:type="spellEnd"/>
            <w:r w:rsidRPr="003A212D">
              <w:rPr>
                <w:rFonts w:cs="Arial"/>
                <w:color w:val="00B050"/>
                <w:sz w:val="20"/>
                <w:szCs w:val="20"/>
                <w:u w:val="single"/>
              </w:rPr>
              <w:t xml:space="preserve"> alfa</w:t>
            </w:r>
          </w:p>
          <w:p w14:paraId="16A26187" w14:textId="6AAEEFA4" w:rsidR="003A212D" w:rsidRPr="00247188" w:rsidRDefault="003A212D" w:rsidP="00AB4983">
            <w:pPr>
              <w:spacing w:before="120" w:after="120"/>
              <w:rPr>
                <w:rFonts w:cs="Arial"/>
                <w:sz w:val="20"/>
                <w:szCs w:val="20"/>
              </w:rPr>
            </w:pPr>
            <w:r w:rsidRPr="00247188">
              <w:rPr>
                <w:rStyle w:val="Strong"/>
                <w:rFonts w:cs="Arial"/>
                <w:color w:val="000000"/>
                <w:sz w:val="20"/>
                <w:szCs w:val="20"/>
              </w:rPr>
              <w:t>Index – New Entry</w:t>
            </w:r>
          </w:p>
          <w:p w14:paraId="761851B0" w14:textId="77777777" w:rsidR="003A212D" w:rsidRDefault="003A212D" w:rsidP="00AB4983">
            <w:pPr>
              <w:spacing w:before="120" w:after="120"/>
              <w:rPr>
                <w:rFonts w:cs="Arial"/>
                <w:b/>
                <w:bCs/>
                <w:color w:val="00B050"/>
                <w:sz w:val="20"/>
                <w:szCs w:val="20"/>
                <w:u w:val="single"/>
              </w:rPr>
            </w:pPr>
            <w:proofErr w:type="spellStart"/>
            <w:r w:rsidRPr="003A212D">
              <w:rPr>
                <w:rFonts w:cs="Arial"/>
                <w:b/>
                <w:bCs/>
                <w:color w:val="00B050"/>
                <w:sz w:val="20"/>
                <w:szCs w:val="20"/>
                <w:u w:val="single"/>
              </w:rPr>
              <w:t>Cipaglucosidase</w:t>
            </w:r>
            <w:proofErr w:type="spellEnd"/>
            <w:r w:rsidRPr="003A212D">
              <w:rPr>
                <w:rFonts w:cs="Arial"/>
                <w:b/>
                <w:bCs/>
                <w:color w:val="00B050"/>
                <w:sz w:val="20"/>
                <w:szCs w:val="20"/>
                <w:u w:val="single"/>
              </w:rPr>
              <w:t xml:space="preserve"> alfa</w:t>
            </w:r>
          </w:p>
          <w:p w14:paraId="606C54A4" w14:textId="048B7BC8" w:rsidR="003A212D" w:rsidRPr="00013BFF" w:rsidRDefault="003A212D" w:rsidP="00AB4983">
            <w:pPr>
              <w:spacing w:before="120" w:after="120"/>
              <w:rPr>
                <w:color w:val="00B050"/>
              </w:rPr>
            </w:pPr>
            <w:r w:rsidRPr="00247188">
              <w:rPr>
                <w:rFonts w:cs="Arial"/>
                <w:color w:val="00B050"/>
                <w:sz w:val="20"/>
                <w:szCs w:val="20"/>
                <w:u w:val="single"/>
              </w:rPr>
              <w:t>Schedule 4</w:t>
            </w:r>
          </w:p>
        </w:tc>
      </w:tr>
    </w:tbl>
    <w:p w14:paraId="21AE7A95" w14:textId="0CEE7DBA" w:rsidR="003A212D" w:rsidRPr="00612683" w:rsidRDefault="003A212D" w:rsidP="003A212D">
      <w:pPr>
        <w:pStyle w:val="Heading3"/>
        <w:spacing w:before="240" w:line="220" w:lineRule="atLeast"/>
      </w:pPr>
      <w:bookmarkStart w:id="68" w:name="_Toc185508627"/>
      <w:proofErr w:type="spellStart"/>
      <w:r>
        <w:t>I</w:t>
      </w:r>
      <w:r w:rsidRPr="003A212D">
        <w:t>nebilizumab</w:t>
      </w:r>
      <w:bookmarkEnd w:id="68"/>
      <w:proofErr w:type="spellEnd"/>
    </w:p>
    <w:tbl>
      <w:tblPr>
        <w:tblStyle w:val="TableGrid"/>
        <w:tblW w:w="0" w:type="auto"/>
        <w:tblInd w:w="988" w:type="dxa"/>
        <w:tblLook w:val="04A0" w:firstRow="1" w:lastRow="0" w:firstColumn="1" w:lastColumn="0" w:noHBand="0" w:noVBand="1"/>
      </w:tblPr>
      <w:tblGrid>
        <w:gridCol w:w="8072"/>
      </w:tblGrid>
      <w:tr w:rsidR="003A212D" w14:paraId="5D72D341" w14:textId="77777777" w:rsidTr="00AB4983">
        <w:tc>
          <w:tcPr>
            <w:tcW w:w="8072" w:type="dxa"/>
          </w:tcPr>
          <w:p w14:paraId="3DA1740E" w14:textId="77777777" w:rsidR="003A212D" w:rsidRPr="00247188" w:rsidRDefault="003A212D" w:rsidP="00AB4983">
            <w:pPr>
              <w:spacing w:before="120" w:after="120"/>
              <w:rPr>
                <w:rFonts w:cs="Arial"/>
                <w:sz w:val="20"/>
                <w:szCs w:val="20"/>
              </w:rPr>
            </w:pPr>
            <w:r w:rsidRPr="00247188">
              <w:rPr>
                <w:rStyle w:val="Strong"/>
                <w:rFonts w:cs="Arial"/>
                <w:color w:val="000000"/>
                <w:sz w:val="20"/>
                <w:szCs w:val="20"/>
              </w:rPr>
              <w:t>Schedule 4 – New Entry</w:t>
            </w:r>
          </w:p>
          <w:p w14:paraId="30D74A9F" w14:textId="65662B71" w:rsidR="003A212D" w:rsidRDefault="003A212D" w:rsidP="00AB4983">
            <w:pPr>
              <w:spacing w:before="120" w:after="120"/>
              <w:rPr>
                <w:rFonts w:cs="Arial"/>
                <w:color w:val="00B050"/>
                <w:sz w:val="20"/>
                <w:szCs w:val="20"/>
                <w:u w:val="single"/>
              </w:rPr>
            </w:pPr>
            <w:proofErr w:type="spellStart"/>
            <w:r w:rsidRPr="003A212D">
              <w:rPr>
                <w:rFonts w:cs="Arial"/>
                <w:color w:val="00B050"/>
                <w:sz w:val="20"/>
                <w:szCs w:val="20"/>
                <w:u w:val="single"/>
              </w:rPr>
              <w:t>Inebilizumab</w:t>
            </w:r>
            <w:proofErr w:type="spellEnd"/>
          </w:p>
          <w:p w14:paraId="496859FA" w14:textId="135B4E4B" w:rsidR="003A212D" w:rsidRPr="00247188" w:rsidRDefault="003A212D" w:rsidP="00AB4983">
            <w:pPr>
              <w:spacing w:before="120" w:after="120"/>
              <w:rPr>
                <w:rFonts w:cs="Arial"/>
                <w:sz w:val="20"/>
                <w:szCs w:val="20"/>
              </w:rPr>
            </w:pPr>
            <w:r w:rsidRPr="00247188">
              <w:rPr>
                <w:rStyle w:val="Strong"/>
                <w:rFonts w:cs="Arial"/>
                <w:color w:val="000000"/>
                <w:sz w:val="20"/>
                <w:szCs w:val="20"/>
              </w:rPr>
              <w:t>Index – New Entry</w:t>
            </w:r>
          </w:p>
          <w:p w14:paraId="52129E73" w14:textId="0170A02A" w:rsidR="003A212D" w:rsidRDefault="003A212D" w:rsidP="00AB4983">
            <w:pPr>
              <w:spacing w:before="120" w:after="120"/>
              <w:rPr>
                <w:rFonts w:cs="Arial"/>
                <w:b/>
                <w:bCs/>
                <w:color w:val="00B050"/>
                <w:sz w:val="20"/>
                <w:u w:val="single"/>
              </w:rPr>
            </w:pPr>
            <w:proofErr w:type="spellStart"/>
            <w:r w:rsidRPr="003A212D">
              <w:rPr>
                <w:rFonts w:cs="Arial"/>
                <w:b/>
                <w:bCs/>
                <w:color w:val="00B050"/>
                <w:sz w:val="20"/>
                <w:szCs w:val="20"/>
                <w:u w:val="single"/>
              </w:rPr>
              <w:t>Inebilizumab</w:t>
            </w:r>
            <w:proofErr w:type="spellEnd"/>
          </w:p>
          <w:p w14:paraId="08CA8C3E" w14:textId="40608672" w:rsidR="003A212D" w:rsidRPr="00013BFF" w:rsidRDefault="003A212D" w:rsidP="00AB4983">
            <w:pPr>
              <w:spacing w:before="120" w:after="120"/>
              <w:rPr>
                <w:color w:val="00B050"/>
              </w:rPr>
            </w:pPr>
            <w:r w:rsidRPr="00247188">
              <w:rPr>
                <w:rFonts w:cs="Arial"/>
                <w:color w:val="00B050"/>
                <w:sz w:val="20"/>
                <w:szCs w:val="20"/>
                <w:u w:val="single"/>
              </w:rPr>
              <w:t>Schedule 4</w:t>
            </w:r>
          </w:p>
        </w:tc>
      </w:tr>
    </w:tbl>
    <w:p w14:paraId="10EEE751" w14:textId="15E55F35" w:rsidR="009B1389" w:rsidRPr="00612683" w:rsidRDefault="009B1389" w:rsidP="009B1389">
      <w:pPr>
        <w:pStyle w:val="Heading3"/>
        <w:spacing w:before="240" w:line="220" w:lineRule="atLeast"/>
      </w:pPr>
      <w:bookmarkStart w:id="69" w:name="_Toc185508628"/>
      <w:proofErr w:type="spellStart"/>
      <w:r>
        <w:t>P</w:t>
      </w:r>
      <w:r w:rsidRPr="009B1389">
        <w:t>alopegteriparatide</w:t>
      </w:r>
      <w:bookmarkEnd w:id="69"/>
      <w:proofErr w:type="spellEnd"/>
    </w:p>
    <w:tbl>
      <w:tblPr>
        <w:tblStyle w:val="TableGrid"/>
        <w:tblW w:w="0" w:type="auto"/>
        <w:tblInd w:w="988" w:type="dxa"/>
        <w:tblLook w:val="04A0" w:firstRow="1" w:lastRow="0" w:firstColumn="1" w:lastColumn="0" w:noHBand="0" w:noVBand="1"/>
      </w:tblPr>
      <w:tblGrid>
        <w:gridCol w:w="8072"/>
      </w:tblGrid>
      <w:tr w:rsidR="009B1389" w14:paraId="1D7E5586" w14:textId="77777777" w:rsidTr="00AB4983">
        <w:tc>
          <w:tcPr>
            <w:tcW w:w="8072" w:type="dxa"/>
          </w:tcPr>
          <w:p w14:paraId="382CD097" w14:textId="77777777" w:rsidR="009B1389" w:rsidRPr="00247188" w:rsidRDefault="009B1389" w:rsidP="00AB4983">
            <w:pPr>
              <w:spacing w:before="120" w:after="120"/>
              <w:rPr>
                <w:rFonts w:cs="Arial"/>
                <w:sz w:val="20"/>
                <w:szCs w:val="20"/>
              </w:rPr>
            </w:pPr>
            <w:r w:rsidRPr="00247188">
              <w:rPr>
                <w:rStyle w:val="Strong"/>
                <w:rFonts w:cs="Arial"/>
                <w:color w:val="000000"/>
                <w:sz w:val="20"/>
                <w:szCs w:val="20"/>
              </w:rPr>
              <w:t>Schedule 4 – New Entry</w:t>
            </w:r>
          </w:p>
          <w:p w14:paraId="2A4AF33E" w14:textId="3A5AC59A" w:rsidR="009B1389" w:rsidRDefault="009B1389" w:rsidP="00AB4983">
            <w:pPr>
              <w:spacing w:before="120" w:after="120"/>
              <w:rPr>
                <w:rFonts w:cs="Arial"/>
                <w:color w:val="00B050"/>
                <w:sz w:val="20"/>
                <w:szCs w:val="20"/>
                <w:u w:val="single"/>
              </w:rPr>
            </w:pPr>
            <w:proofErr w:type="spellStart"/>
            <w:r>
              <w:rPr>
                <w:rFonts w:cs="Arial"/>
                <w:color w:val="00B050"/>
                <w:sz w:val="20"/>
                <w:szCs w:val="20"/>
                <w:u w:val="single"/>
              </w:rPr>
              <w:t>P</w:t>
            </w:r>
            <w:r w:rsidRPr="009B1389">
              <w:rPr>
                <w:rFonts w:cs="Arial"/>
                <w:color w:val="00B050"/>
                <w:sz w:val="20"/>
                <w:szCs w:val="20"/>
                <w:u w:val="single"/>
              </w:rPr>
              <w:t>alopegteriparatide</w:t>
            </w:r>
            <w:proofErr w:type="spellEnd"/>
          </w:p>
          <w:p w14:paraId="186268D1" w14:textId="77777777" w:rsidR="009B1389" w:rsidRPr="00247188" w:rsidRDefault="009B1389" w:rsidP="00AB4983">
            <w:pPr>
              <w:spacing w:before="120" w:after="120"/>
              <w:rPr>
                <w:rFonts w:cs="Arial"/>
                <w:sz w:val="20"/>
                <w:szCs w:val="20"/>
              </w:rPr>
            </w:pPr>
            <w:r w:rsidRPr="00247188">
              <w:rPr>
                <w:rStyle w:val="Strong"/>
                <w:rFonts w:cs="Arial"/>
                <w:color w:val="000000"/>
                <w:sz w:val="20"/>
                <w:szCs w:val="20"/>
              </w:rPr>
              <w:t>Index – New Entry</w:t>
            </w:r>
          </w:p>
          <w:p w14:paraId="759FDBD3" w14:textId="5C319183" w:rsidR="009B1389" w:rsidRDefault="009B1389" w:rsidP="00AB4983">
            <w:pPr>
              <w:spacing w:before="120" w:after="120"/>
              <w:rPr>
                <w:rFonts w:cs="Arial"/>
                <w:b/>
                <w:bCs/>
                <w:color w:val="00B050"/>
                <w:sz w:val="20"/>
                <w:szCs w:val="20"/>
                <w:u w:val="single"/>
              </w:rPr>
            </w:pPr>
            <w:proofErr w:type="spellStart"/>
            <w:r w:rsidRPr="009B1389">
              <w:rPr>
                <w:rFonts w:cs="Arial"/>
                <w:b/>
                <w:bCs/>
                <w:color w:val="00B050"/>
                <w:sz w:val="20"/>
                <w:szCs w:val="20"/>
                <w:u w:val="single"/>
              </w:rPr>
              <w:t>Palopegteriparatide</w:t>
            </w:r>
            <w:proofErr w:type="spellEnd"/>
          </w:p>
          <w:p w14:paraId="6A67719C" w14:textId="4FC28CC9" w:rsidR="009B1389" w:rsidRPr="00013BFF" w:rsidRDefault="009B1389" w:rsidP="00AB4983">
            <w:pPr>
              <w:spacing w:before="120" w:after="120"/>
              <w:rPr>
                <w:color w:val="00B050"/>
              </w:rPr>
            </w:pPr>
            <w:r w:rsidRPr="00247188">
              <w:rPr>
                <w:rFonts w:cs="Arial"/>
                <w:color w:val="00B050"/>
                <w:sz w:val="20"/>
                <w:szCs w:val="20"/>
                <w:u w:val="single"/>
              </w:rPr>
              <w:t>Schedule 4</w:t>
            </w:r>
          </w:p>
        </w:tc>
      </w:tr>
    </w:tbl>
    <w:p w14:paraId="236965C7" w14:textId="77777777" w:rsidR="009B1389" w:rsidRDefault="009B1389" w:rsidP="006179EE"/>
    <w:p w14:paraId="576BCB82" w14:textId="174C6A25" w:rsidR="009B1389" w:rsidRPr="00612683" w:rsidRDefault="009B1389" w:rsidP="009B1389">
      <w:pPr>
        <w:pStyle w:val="Heading3"/>
        <w:spacing w:before="240" w:line="220" w:lineRule="atLeast"/>
      </w:pPr>
      <w:bookmarkStart w:id="70" w:name="_Toc185508629"/>
      <w:proofErr w:type="spellStart"/>
      <w:r>
        <w:t>Garadacimab</w:t>
      </w:r>
      <w:bookmarkEnd w:id="70"/>
      <w:proofErr w:type="spellEnd"/>
    </w:p>
    <w:tbl>
      <w:tblPr>
        <w:tblStyle w:val="TableGrid"/>
        <w:tblW w:w="0" w:type="auto"/>
        <w:tblInd w:w="988" w:type="dxa"/>
        <w:tblLook w:val="04A0" w:firstRow="1" w:lastRow="0" w:firstColumn="1" w:lastColumn="0" w:noHBand="0" w:noVBand="1"/>
      </w:tblPr>
      <w:tblGrid>
        <w:gridCol w:w="8072"/>
      </w:tblGrid>
      <w:tr w:rsidR="009B1389" w14:paraId="626D4977" w14:textId="77777777" w:rsidTr="00AB4983">
        <w:tc>
          <w:tcPr>
            <w:tcW w:w="8072" w:type="dxa"/>
          </w:tcPr>
          <w:p w14:paraId="5D6B2286" w14:textId="77777777" w:rsidR="009B1389" w:rsidRPr="00247188" w:rsidRDefault="009B1389" w:rsidP="00AB4983">
            <w:pPr>
              <w:spacing w:before="120" w:after="120"/>
              <w:rPr>
                <w:rFonts w:cs="Arial"/>
                <w:sz w:val="20"/>
                <w:szCs w:val="20"/>
              </w:rPr>
            </w:pPr>
            <w:r w:rsidRPr="00247188">
              <w:rPr>
                <w:rStyle w:val="Strong"/>
                <w:rFonts w:cs="Arial"/>
                <w:color w:val="000000"/>
                <w:sz w:val="20"/>
                <w:szCs w:val="20"/>
              </w:rPr>
              <w:t>Schedule 4 – New Entry</w:t>
            </w:r>
          </w:p>
          <w:p w14:paraId="0060966D" w14:textId="77777777" w:rsidR="009B1389" w:rsidRDefault="009B1389" w:rsidP="00AB4983">
            <w:pPr>
              <w:spacing w:before="120" w:after="120"/>
              <w:rPr>
                <w:rFonts w:cs="Arial"/>
                <w:color w:val="00B050"/>
                <w:sz w:val="20"/>
                <w:szCs w:val="20"/>
                <w:u w:val="single"/>
              </w:rPr>
            </w:pPr>
            <w:proofErr w:type="spellStart"/>
            <w:r w:rsidRPr="009B1389">
              <w:rPr>
                <w:rFonts w:cs="Arial"/>
                <w:color w:val="00B050"/>
                <w:sz w:val="20"/>
                <w:szCs w:val="20"/>
                <w:u w:val="single"/>
              </w:rPr>
              <w:t>Garadacimab</w:t>
            </w:r>
            <w:proofErr w:type="spellEnd"/>
          </w:p>
          <w:p w14:paraId="2D7CB01F" w14:textId="73F7B17A" w:rsidR="009B1389" w:rsidRPr="00247188" w:rsidRDefault="009B1389" w:rsidP="00AB4983">
            <w:pPr>
              <w:spacing w:before="120" w:after="120"/>
              <w:rPr>
                <w:rFonts w:cs="Arial"/>
                <w:sz w:val="20"/>
                <w:szCs w:val="20"/>
              </w:rPr>
            </w:pPr>
            <w:r w:rsidRPr="00247188">
              <w:rPr>
                <w:rStyle w:val="Strong"/>
                <w:rFonts w:cs="Arial"/>
                <w:color w:val="000000"/>
                <w:sz w:val="20"/>
                <w:szCs w:val="20"/>
              </w:rPr>
              <w:t>Index – New Entry</w:t>
            </w:r>
          </w:p>
          <w:p w14:paraId="138FBA7C" w14:textId="77777777" w:rsidR="009B1389" w:rsidRPr="009B1389" w:rsidRDefault="009B1389" w:rsidP="009B1389">
            <w:pPr>
              <w:spacing w:before="120" w:after="120"/>
              <w:rPr>
                <w:rFonts w:cs="Arial"/>
                <w:b/>
                <w:bCs/>
                <w:color w:val="00B050"/>
                <w:sz w:val="20"/>
                <w:szCs w:val="20"/>
                <w:u w:val="single"/>
              </w:rPr>
            </w:pPr>
            <w:proofErr w:type="spellStart"/>
            <w:r w:rsidRPr="009B1389">
              <w:rPr>
                <w:rFonts w:cs="Arial"/>
                <w:b/>
                <w:bCs/>
                <w:color w:val="00B050"/>
                <w:sz w:val="20"/>
                <w:szCs w:val="20"/>
                <w:u w:val="single"/>
              </w:rPr>
              <w:t>Garadacimab</w:t>
            </w:r>
            <w:proofErr w:type="spellEnd"/>
          </w:p>
          <w:p w14:paraId="1BBAA589" w14:textId="77777777" w:rsidR="009B1389" w:rsidRPr="00013BFF" w:rsidRDefault="009B1389" w:rsidP="00AB4983">
            <w:pPr>
              <w:spacing w:before="120" w:after="120"/>
              <w:rPr>
                <w:color w:val="00B050"/>
              </w:rPr>
            </w:pPr>
            <w:r w:rsidRPr="00247188">
              <w:rPr>
                <w:rFonts w:cs="Arial"/>
                <w:color w:val="00B050"/>
                <w:sz w:val="20"/>
                <w:szCs w:val="20"/>
                <w:u w:val="single"/>
              </w:rPr>
              <w:t>Schedule 4</w:t>
            </w:r>
          </w:p>
        </w:tc>
      </w:tr>
    </w:tbl>
    <w:p w14:paraId="2567B738" w14:textId="4EE45871" w:rsidR="00D31C7F" w:rsidRPr="00612683" w:rsidRDefault="00D31C7F" w:rsidP="00D31C7F">
      <w:pPr>
        <w:pStyle w:val="Heading3"/>
        <w:spacing w:before="240" w:line="220" w:lineRule="atLeast"/>
      </w:pPr>
      <w:bookmarkStart w:id="71" w:name="_Toc185508630"/>
      <w:r>
        <w:t>S</w:t>
      </w:r>
      <w:r w:rsidRPr="00D31C7F">
        <w:t>odium citrate dihydrate</w:t>
      </w:r>
      <w:bookmarkEnd w:id="71"/>
    </w:p>
    <w:tbl>
      <w:tblPr>
        <w:tblStyle w:val="TableGrid"/>
        <w:tblW w:w="0" w:type="auto"/>
        <w:tblInd w:w="988" w:type="dxa"/>
        <w:tblLook w:val="04A0" w:firstRow="1" w:lastRow="0" w:firstColumn="1" w:lastColumn="0" w:noHBand="0" w:noVBand="1"/>
      </w:tblPr>
      <w:tblGrid>
        <w:gridCol w:w="8072"/>
      </w:tblGrid>
      <w:tr w:rsidR="00D31C7F" w14:paraId="4868A476" w14:textId="77777777" w:rsidTr="00AB4983">
        <w:tc>
          <w:tcPr>
            <w:tcW w:w="8072" w:type="dxa"/>
          </w:tcPr>
          <w:p w14:paraId="16ECA39B" w14:textId="77777777" w:rsidR="00D31C7F" w:rsidRPr="00247188" w:rsidRDefault="00D31C7F" w:rsidP="00AB4983">
            <w:pPr>
              <w:spacing w:before="120" w:after="120"/>
              <w:rPr>
                <w:rFonts w:cs="Arial"/>
                <w:sz w:val="20"/>
                <w:szCs w:val="20"/>
              </w:rPr>
            </w:pPr>
            <w:r w:rsidRPr="00247188">
              <w:rPr>
                <w:rStyle w:val="Strong"/>
                <w:rFonts w:cs="Arial"/>
                <w:color w:val="000000"/>
                <w:sz w:val="20"/>
                <w:szCs w:val="20"/>
              </w:rPr>
              <w:t>Schedule 4 – New Entry</w:t>
            </w:r>
          </w:p>
          <w:p w14:paraId="7E541B21" w14:textId="703F4E15" w:rsidR="00D31C7F" w:rsidRDefault="00D31C7F" w:rsidP="00AB4983">
            <w:pPr>
              <w:spacing w:before="120" w:after="120"/>
              <w:rPr>
                <w:rFonts w:cs="Arial"/>
                <w:color w:val="00B050"/>
                <w:sz w:val="20"/>
                <w:szCs w:val="20"/>
                <w:u w:val="single"/>
              </w:rPr>
            </w:pPr>
            <w:r>
              <w:rPr>
                <w:rFonts w:cs="Arial"/>
                <w:color w:val="00B050"/>
                <w:sz w:val="20"/>
                <w:szCs w:val="20"/>
                <w:u w:val="single"/>
              </w:rPr>
              <w:t>S</w:t>
            </w:r>
            <w:r w:rsidRPr="00D31C7F">
              <w:rPr>
                <w:rFonts w:cs="Arial"/>
                <w:color w:val="00B050"/>
                <w:sz w:val="20"/>
                <w:szCs w:val="20"/>
                <w:u w:val="single"/>
              </w:rPr>
              <w:t>odium citrate dihydrate</w:t>
            </w:r>
            <w:r>
              <w:rPr>
                <w:rFonts w:cs="Arial"/>
                <w:color w:val="00B050"/>
                <w:sz w:val="20"/>
                <w:szCs w:val="20"/>
                <w:u w:val="single"/>
              </w:rPr>
              <w:t xml:space="preserve"> </w:t>
            </w:r>
            <w:r w:rsidRPr="00D31C7F">
              <w:rPr>
                <w:rFonts w:cs="Arial"/>
                <w:color w:val="00B050"/>
                <w:sz w:val="20"/>
                <w:szCs w:val="20"/>
                <w:u w:val="single"/>
              </w:rPr>
              <w:t>for therapeutic use in dialysis, diafiltration, or total plasma exchange</w:t>
            </w:r>
          </w:p>
          <w:p w14:paraId="20438544" w14:textId="1A4C5B37" w:rsidR="00D31C7F" w:rsidRPr="00247188" w:rsidRDefault="00D31C7F" w:rsidP="00AB4983">
            <w:pPr>
              <w:spacing w:before="120" w:after="120"/>
              <w:rPr>
                <w:rFonts w:cs="Arial"/>
                <w:sz w:val="20"/>
                <w:szCs w:val="20"/>
              </w:rPr>
            </w:pPr>
            <w:r w:rsidRPr="00247188">
              <w:rPr>
                <w:rStyle w:val="Strong"/>
                <w:rFonts w:cs="Arial"/>
                <w:color w:val="000000"/>
                <w:sz w:val="20"/>
                <w:szCs w:val="20"/>
              </w:rPr>
              <w:t>Index – New Entry</w:t>
            </w:r>
          </w:p>
          <w:p w14:paraId="595C571F" w14:textId="321031A3" w:rsidR="00D31C7F" w:rsidRPr="009B1389" w:rsidRDefault="00D31C7F" w:rsidP="00AB4983">
            <w:pPr>
              <w:spacing w:before="120" w:after="120"/>
              <w:rPr>
                <w:rFonts w:cs="Arial"/>
                <w:b/>
                <w:bCs/>
                <w:color w:val="00B050"/>
                <w:sz w:val="20"/>
                <w:szCs w:val="20"/>
                <w:u w:val="single"/>
              </w:rPr>
            </w:pPr>
            <w:r>
              <w:rPr>
                <w:rFonts w:cs="Arial"/>
                <w:b/>
                <w:bCs/>
                <w:color w:val="00B050"/>
                <w:sz w:val="20"/>
                <w:szCs w:val="20"/>
                <w:u w:val="single"/>
              </w:rPr>
              <w:t>S</w:t>
            </w:r>
            <w:r w:rsidRPr="00D31C7F">
              <w:rPr>
                <w:rFonts w:cs="Arial"/>
                <w:b/>
                <w:bCs/>
                <w:color w:val="00B050"/>
                <w:sz w:val="20"/>
                <w:szCs w:val="20"/>
                <w:u w:val="single"/>
              </w:rPr>
              <w:t>odium citrate dihydrate</w:t>
            </w:r>
          </w:p>
          <w:p w14:paraId="46871CCC" w14:textId="77777777" w:rsidR="00D31C7F" w:rsidRPr="00013BFF" w:rsidRDefault="00D31C7F" w:rsidP="00AB4983">
            <w:pPr>
              <w:spacing w:before="120" w:after="120"/>
              <w:rPr>
                <w:color w:val="00B050"/>
              </w:rPr>
            </w:pPr>
            <w:r w:rsidRPr="00247188">
              <w:rPr>
                <w:rFonts w:cs="Arial"/>
                <w:color w:val="00B050"/>
                <w:sz w:val="20"/>
                <w:szCs w:val="20"/>
                <w:u w:val="single"/>
              </w:rPr>
              <w:t>Schedule 4</w:t>
            </w:r>
          </w:p>
        </w:tc>
      </w:tr>
    </w:tbl>
    <w:p w14:paraId="5D0CC0AA" w14:textId="77777777" w:rsidR="009B1389" w:rsidRDefault="009B1389" w:rsidP="006179EE"/>
    <w:p w14:paraId="4C63A37B" w14:textId="77777777" w:rsidR="00D31C7F" w:rsidRPr="00EE2006" w:rsidRDefault="00D31C7F" w:rsidP="006179EE">
      <w:pPr>
        <w:sectPr w:rsidR="00D31C7F" w:rsidRPr="00EE2006" w:rsidSect="006179EE">
          <w:headerReference w:type="default" r:id="rId42"/>
          <w:footerReference w:type="default" r:id="rId43"/>
          <w:pgSz w:w="11906" w:h="16838" w:code="9"/>
          <w:pgMar w:top="1418" w:right="1418" w:bottom="1843"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44"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F02AEC" w:rsidP="00300CBB">
            <w:pPr>
              <w:pStyle w:val="Address"/>
              <w:jc w:val="center"/>
              <w:rPr>
                <w:rStyle w:val="Hyperlink"/>
                <w:b/>
                <w:color w:val="auto"/>
                <w:sz w:val="22"/>
              </w:rPr>
            </w:pPr>
            <w:hyperlink r:id="rId45" w:history="1">
              <w:r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4B4802" w:rsidRDefault="004B4802" w:rsidP="00967490"/>
    <w:sectPr w:rsidR="004B4802" w:rsidSect="00AE7C6A">
      <w:headerReference w:type="first" r:id="rId46"/>
      <w:footerReference w:type="first" r:id="rId47"/>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7053" w14:textId="77777777" w:rsidR="00F01A2D" w:rsidRDefault="00F01A2D" w:rsidP="00967490">
      <w:r>
        <w:separator/>
      </w:r>
    </w:p>
    <w:p w14:paraId="3F6DEBAE" w14:textId="77777777" w:rsidR="00F01A2D" w:rsidRDefault="00F01A2D" w:rsidP="00967490"/>
    <w:p w14:paraId="76F74FA5" w14:textId="77777777" w:rsidR="00F01A2D" w:rsidRDefault="00F01A2D" w:rsidP="00967490"/>
  </w:endnote>
  <w:endnote w:type="continuationSeparator" w:id="0">
    <w:p w14:paraId="7D0BB6FB" w14:textId="77777777" w:rsidR="00F01A2D" w:rsidRDefault="00F01A2D" w:rsidP="00967490">
      <w:r>
        <w:continuationSeparator/>
      </w:r>
    </w:p>
    <w:p w14:paraId="4577A954" w14:textId="77777777" w:rsidR="00F01A2D" w:rsidRDefault="00F01A2D" w:rsidP="00967490"/>
    <w:p w14:paraId="1AA7D5F5" w14:textId="77777777" w:rsidR="00F01A2D" w:rsidRDefault="00F01A2D" w:rsidP="00967490"/>
  </w:endnote>
  <w:endnote w:type="continuationNotice" w:id="1">
    <w:p w14:paraId="14378F74" w14:textId="77777777" w:rsidR="00F01A2D" w:rsidRDefault="00F01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6179EE" w:rsidRPr="00DE78C9" w14:paraId="1FCD824C" w14:textId="77777777" w:rsidTr="00D925CB">
      <w:trPr>
        <w:trHeight w:val="331"/>
      </w:trPr>
      <w:tc>
        <w:tcPr>
          <w:tcW w:w="7938" w:type="dxa"/>
          <w:tcBorders>
            <w:top w:val="single" w:sz="4" w:space="0" w:color="auto"/>
          </w:tcBorders>
        </w:tcPr>
        <w:p w14:paraId="66553ED3" w14:textId="77777777" w:rsidR="006179EE" w:rsidRPr="00734354" w:rsidRDefault="006179EE" w:rsidP="00D925CB">
          <w:pPr>
            <w:ind w:left="-110"/>
            <w:rPr>
              <w:rFonts w:cs="Arial"/>
              <w:sz w:val="16"/>
              <w:szCs w:val="16"/>
            </w:rPr>
          </w:pPr>
          <w:r w:rsidRPr="00734354">
            <w:rPr>
              <w:rFonts w:cs="Arial"/>
              <w:sz w:val="16"/>
              <w:szCs w:val="16"/>
            </w:rPr>
            <w:t>Notice of final decisions to amend (or not amend) the current Poisons Standard – December 2024</w:t>
          </w:r>
        </w:p>
      </w:tc>
      <w:tc>
        <w:tcPr>
          <w:tcW w:w="1275" w:type="dxa"/>
          <w:tcBorders>
            <w:top w:val="single" w:sz="4" w:space="0" w:color="auto"/>
          </w:tcBorders>
        </w:tcPr>
        <w:sdt>
          <w:sdtPr>
            <w:rPr>
              <w:rFonts w:cstheme="minorHAnsi"/>
              <w:sz w:val="18"/>
              <w:szCs w:val="18"/>
            </w:rPr>
            <w:id w:val="1258716463"/>
            <w:docPartObj>
              <w:docPartGallery w:val="Page Numbers (Top of Page)"/>
              <w:docPartUnique/>
            </w:docPartObj>
          </w:sdtPr>
          <w:sdtEndPr/>
          <w:sdtContent>
            <w:p w14:paraId="6F580BE7" w14:textId="77777777" w:rsidR="006179EE" w:rsidRPr="00DE78C9" w:rsidRDefault="006179EE" w:rsidP="00321B93">
              <w:pPr>
                <w:ind w:left="173" w:right="-105"/>
                <w:jc w:val="right"/>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39F0983A" w14:textId="77777777" w:rsidR="006179EE" w:rsidRDefault="006179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EBDA" w14:textId="77777777" w:rsidR="004B4802" w:rsidRPr="008E3C43" w:rsidRDefault="004B4802"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B648" w14:textId="77777777" w:rsidR="00F01A2D" w:rsidRDefault="00F01A2D" w:rsidP="00967490">
      <w:r>
        <w:separator/>
      </w:r>
    </w:p>
  </w:footnote>
  <w:footnote w:type="continuationSeparator" w:id="0">
    <w:p w14:paraId="04010A5B" w14:textId="77777777" w:rsidR="00F01A2D" w:rsidRDefault="00F01A2D" w:rsidP="00967490">
      <w:r>
        <w:continuationSeparator/>
      </w:r>
    </w:p>
    <w:p w14:paraId="36F6FF5B" w14:textId="77777777" w:rsidR="00F01A2D" w:rsidRDefault="00F01A2D" w:rsidP="00967490"/>
    <w:p w14:paraId="3CAF05AC" w14:textId="77777777" w:rsidR="00F01A2D" w:rsidRDefault="00F01A2D" w:rsidP="00967490"/>
  </w:footnote>
  <w:footnote w:type="continuationNotice" w:id="1">
    <w:p w14:paraId="4C36A0BA" w14:textId="77777777" w:rsidR="00F01A2D" w:rsidRDefault="00F01A2D">
      <w:pPr>
        <w:spacing w:after="0" w:line="240" w:lineRule="auto"/>
      </w:pPr>
    </w:p>
  </w:footnote>
  <w:footnote w:id="2">
    <w:p w14:paraId="799494EA" w14:textId="7CE74680" w:rsidR="00457050" w:rsidRPr="006119D9" w:rsidRDefault="00457050" w:rsidP="00757E6A">
      <w:pPr>
        <w:pStyle w:val="FootnoteText"/>
        <w:keepLines w:val="0"/>
        <w:rPr>
          <w:rFonts w:asciiTheme="minorHAnsi" w:hAnsiTheme="minorHAnsi" w:cstheme="minorHAnsi"/>
          <w:sz w:val="18"/>
          <w:szCs w:val="18"/>
        </w:rPr>
      </w:pPr>
      <w:r w:rsidRPr="006119D9">
        <w:rPr>
          <w:rStyle w:val="FootnoteReference"/>
          <w:rFonts w:asciiTheme="minorHAnsi" w:hAnsiTheme="minorHAnsi" w:cstheme="minorHAnsi"/>
          <w:sz w:val="18"/>
          <w:szCs w:val="18"/>
        </w:rPr>
        <w:footnoteRef/>
      </w:r>
      <w:r w:rsidRPr="00B521FB">
        <w:rPr>
          <w:rFonts w:cs="Arial"/>
          <w:szCs w:val="16"/>
        </w:rPr>
        <w:t xml:space="preserve"> For the purposes of s 52D of the </w:t>
      </w:r>
      <w:r w:rsidRPr="00B521FB">
        <w:rPr>
          <w:rFonts w:cs="Arial"/>
          <w:i/>
          <w:iCs/>
          <w:szCs w:val="16"/>
        </w:rPr>
        <w:t>Therapeutic Goods Act 1989</w:t>
      </w:r>
      <w:r w:rsidRPr="00B521FB">
        <w:rPr>
          <w:rFonts w:cs="Arial"/>
          <w:szCs w:val="16"/>
        </w:rPr>
        <w:t xml:space="preserve"> (Cth).</w:t>
      </w:r>
    </w:p>
  </w:footnote>
  <w:footnote w:id="3">
    <w:p w14:paraId="62FE1B66" w14:textId="77777777" w:rsidR="00FE75C7" w:rsidRPr="00967490" w:rsidRDefault="00FE75C7" w:rsidP="00FE75C7">
      <w:r w:rsidRPr="00D15E47">
        <w:rPr>
          <w:rStyle w:val="FootnoteReference"/>
          <w:sz w:val="14"/>
          <w:szCs w:val="14"/>
        </w:rPr>
        <w:footnoteRef/>
      </w:r>
      <w:r w:rsidRPr="00D15E47">
        <w:rPr>
          <w:sz w:val="18"/>
          <w:szCs w:val="18"/>
        </w:rPr>
        <w:t xml:space="preserve"> </w:t>
      </w:r>
      <w:r w:rsidRPr="00B521FB">
        <w:rPr>
          <w:sz w:val="16"/>
          <w:szCs w:val="16"/>
        </w:rPr>
        <w:t xml:space="preserve">Established under sections 52B and 52C of the </w:t>
      </w:r>
      <w:r w:rsidRPr="00B521FB">
        <w:rPr>
          <w:i/>
          <w:iCs/>
          <w:sz w:val="16"/>
          <w:szCs w:val="16"/>
        </w:rPr>
        <w:t>Therapeutic Goods Act 1989</w:t>
      </w:r>
      <w:r w:rsidRPr="00B521FB">
        <w:rPr>
          <w:sz w:val="16"/>
          <w:szCs w:val="16"/>
        </w:rPr>
        <w:t xml:space="preserve"> (</w:t>
      </w:r>
      <w:r w:rsidRPr="00B521FB">
        <w:rPr>
          <w:sz w:val="16"/>
          <w:szCs w:val="16"/>
        </w:rPr>
        <w:t>Cth).</w:t>
      </w:r>
    </w:p>
  </w:footnote>
  <w:footnote w:id="4">
    <w:p w14:paraId="1B14145F" w14:textId="77777777" w:rsidR="00B1385E" w:rsidRDefault="00B1385E" w:rsidP="00B1385E">
      <w:pPr>
        <w:pStyle w:val="FootnoteText"/>
      </w:pPr>
      <w:r>
        <w:rPr>
          <w:rStyle w:val="FootnoteReference"/>
        </w:rPr>
        <w:footnoteRef/>
      </w:r>
      <w:r>
        <w:t xml:space="preserve"> </w:t>
      </w:r>
      <w:r w:rsidRPr="00660A72">
        <w:t>Proposed additions are shown in green underlined font, proposed deletions are shown in red strikethrough font, and text without this formatting represents the current text in the Poisons Standard.</w:t>
      </w:r>
    </w:p>
  </w:footnote>
  <w:footnote w:id="5">
    <w:p w14:paraId="2290ACCD" w14:textId="77777777" w:rsidR="00CC22DE" w:rsidRDefault="00CC22DE" w:rsidP="00CC22DE">
      <w:pPr>
        <w:pStyle w:val="FootnoteText"/>
      </w:pPr>
      <w:r>
        <w:rPr>
          <w:rStyle w:val="FootnoteReference"/>
        </w:rPr>
        <w:footnoteRef/>
      </w:r>
      <w:r>
        <w:t xml:space="preserve"> </w:t>
      </w:r>
      <w:r w:rsidRPr="005C39AC">
        <w:t>Proposed additions are shown in green underlined font, proposed deletions are shown in red strikethrough font, and text without this formatting represents the current text in the Poisons Standard.</w:t>
      </w:r>
    </w:p>
  </w:footnote>
  <w:footnote w:id="6">
    <w:p w14:paraId="0FDCE27C" w14:textId="77777777" w:rsidR="00112896" w:rsidRDefault="00112896" w:rsidP="00112896">
      <w:pPr>
        <w:pStyle w:val="FootnoteText"/>
      </w:pPr>
      <w:r>
        <w:rPr>
          <w:rStyle w:val="FootnoteReference"/>
        </w:rPr>
        <w:footnoteRef/>
      </w:r>
      <w:r>
        <w:t xml:space="preserve"> </w:t>
      </w:r>
      <w:r w:rsidRPr="005C39AC">
        <w:t>Proposed additions are shown in green underlined font, proposed deletions are shown in red strikethrough font, and text without this formatting represents the current text in the Poisons Standard.</w:t>
      </w:r>
    </w:p>
  </w:footnote>
  <w:footnote w:id="7">
    <w:p w14:paraId="4EA908EB" w14:textId="77777777" w:rsidR="00B94F8C" w:rsidRPr="00C47E82" w:rsidRDefault="00B94F8C" w:rsidP="00B94F8C">
      <w:pPr>
        <w:pStyle w:val="FootnoteText"/>
        <w:rPr>
          <w:rFonts w:asciiTheme="minorHAnsi" w:hAnsiTheme="minorHAnsi" w:cstheme="minorHAnsi"/>
          <w:szCs w:val="16"/>
        </w:rPr>
      </w:pPr>
      <w:r w:rsidRPr="00C47E82">
        <w:rPr>
          <w:rStyle w:val="FootnoteReference"/>
          <w:rFonts w:asciiTheme="minorHAnsi" w:hAnsiTheme="minorHAnsi" w:cstheme="minorHAnsi"/>
          <w:szCs w:val="16"/>
        </w:rPr>
        <w:footnoteRef/>
      </w:r>
      <w:r w:rsidRPr="00C47E82">
        <w:rPr>
          <w:rFonts w:asciiTheme="minorHAnsi" w:hAnsiTheme="minorHAnsi" w:cstheme="minorHAnsi"/>
          <w:szCs w:val="16"/>
        </w:rPr>
        <w:t xml:space="preserve">Fluoride Varnishes for Preventing Occlusal Dental Caries: A Review </w:t>
      </w:r>
      <w:hyperlink r:id="rId1" w:history="1">
        <w:r w:rsidRPr="00C47E82">
          <w:rPr>
            <w:rFonts w:asciiTheme="minorHAnsi" w:hAnsiTheme="minorHAnsi" w:cstheme="minorHAnsi"/>
            <w:szCs w:val="16"/>
          </w:rPr>
          <w:t>https://www.ncbi.nlm.nih.gov/pmc/articles/PMC8229232/</w:t>
        </w:r>
      </w:hyperlink>
      <w:r w:rsidRPr="00C47E82">
        <w:rPr>
          <w:rFonts w:asciiTheme="minorHAnsi" w:hAnsiTheme="minorHAnsi" w:cstheme="minorHAnsi"/>
          <w:szCs w:val="16"/>
        </w:rPr>
        <w:t xml:space="preserve"> </w:t>
      </w:r>
    </w:p>
  </w:footnote>
  <w:footnote w:id="8">
    <w:p w14:paraId="45C80BDE" w14:textId="77777777" w:rsidR="00B94F8C" w:rsidRPr="00B7675C" w:rsidRDefault="00B94F8C" w:rsidP="00B94F8C">
      <w:pPr>
        <w:pStyle w:val="FootnoteText"/>
        <w:rPr>
          <w:rFonts w:asciiTheme="minorHAnsi" w:hAnsiTheme="minorHAnsi" w:cstheme="minorHAnsi"/>
          <w:szCs w:val="16"/>
        </w:rPr>
      </w:pPr>
      <w:r w:rsidRPr="00C47E82">
        <w:rPr>
          <w:rStyle w:val="FootnoteReference"/>
          <w:rFonts w:asciiTheme="minorHAnsi" w:hAnsiTheme="minorHAnsi" w:cstheme="minorHAnsi"/>
          <w:szCs w:val="16"/>
        </w:rPr>
        <w:footnoteRef/>
      </w:r>
      <w:r w:rsidRPr="00C47E82">
        <w:rPr>
          <w:rFonts w:asciiTheme="minorHAnsi" w:hAnsiTheme="minorHAnsi" w:cstheme="minorHAnsi"/>
          <w:szCs w:val="16"/>
        </w:rPr>
        <w:t xml:space="preserve"> Fluoride and Caries Prevention </w:t>
      </w:r>
      <w:hyperlink r:id="rId2" w:history="1">
        <w:r w:rsidRPr="00C47E82">
          <w:rPr>
            <w:rStyle w:val="Hyperlink"/>
            <w:rFonts w:asciiTheme="minorHAnsi" w:hAnsiTheme="minorHAnsi" w:cstheme="minorHAnsi"/>
            <w:szCs w:val="16"/>
          </w:rPr>
          <w:t>https://www.sciencedirect.com/science/article/abs/pii/B9780323554848000253</w:t>
        </w:r>
      </w:hyperlink>
      <w:r w:rsidRPr="00B7675C">
        <w:rPr>
          <w:rFonts w:asciiTheme="minorHAnsi" w:hAnsiTheme="minorHAnsi" w:cstheme="minorHAnsi"/>
          <w:szCs w:val="16"/>
        </w:rPr>
        <w:t xml:space="preserve"> </w:t>
      </w:r>
    </w:p>
  </w:footnote>
  <w:footnote w:id="9">
    <w:p w14:paraId="11BF8BAE" w14:textId="77777777" w:rsidR="00AA5C1A" w:rsidRPr="00540405" w:rsidRDefault="00AA5C1A" w:rsidP="00AA5C1A">
      <w:pPr>
        <w:pStyle w:val="NoSpacing"/>
      </w:pPr>
      <w:r w:rsidRPr="00540405">
        <w:rPr>
          <w:rStyle w:val="FootnoteReference"/>
        </w:rPr>
        <w:footnoteRef/>
      </w:r>
      <w:r w:rsidRPr="00540405">
        <w:t xml:space="preserve"> </w:t>
      </w:r>
      <w:r w:rsidRPr="00540405">
        <w:rPr>
          <w:rStyle w:val="cf11"/>
          <w:rFonts w:ascii="Arial" w:hAnsi="Arial" w:cs="Arial"/>
          <w:b w:val="0"/>
          <w:bCs w:val="0"/>
          <w:sz w:val="16"/>
          <w:szCs w:val="16"/>
        </w:rPr>
        <w:t xml:space="preserve">Information for Approved Products </w:t>
      </w:r>
      <w:r w:rsidRPr="00540405">
        <w:rPr>
          <w:rStyle w:val="cf11"/>
          <w:rFonts w:ascii="Arial" w:eastAsia="Cambria" w:hAnsi="Arial" w:cs="Arial"/>
          <w:b w:val="0"/>
          <w:bCs w:val="0"/>
          <w:sz w:val="16"/>
          <w:szCs w:val="16"/>
        </w:rPr>
        <w:t xml:space="preserve">in Japan. </w:t>
      </w:r>
      <w:r w:rsidRPr="00540405">
        <w:rPr>
          <w:rStyle w:val="cf11"/>
          <w:rFonts w:ascii="Arial" w:hAnsi="Arial" w:cs="Arial"/>
          <w:b w:val="0"/>
          <w:bCs w:val="0"/>
          <w:sz w:val="16"/>
          <w:szCs w:val="16"/>
        </w:rPr>
        <w:t>Pharmaceuticals and Medical Devices Agency (pmda.go.jp)</w:t>
      </w:r>
      <w:r w:rsidRPr="00540405">
        <w:rPr>
          <w:rStyle w:val="cf01"/>
          <w:rFonts w:ascii="Arial" w:hAnsi="Arial" w:cs="Arial"/>
          <w:sz w:val="16"/>
          <w:szCs w:val="16"/>
        </w:rPr>
        <w:t xml:space="preserve"> </w:t>
      </w:r>
    </w:p>
  </w:footnote>
  <w:footnote w:id="10">
    <w:p w14:paraId="4775A684" w14:textId="77777777" w:rsidR="00B94098" w:rsidRPr="00D45C7D" w:rsidRDefault="00B94098" w:rsidP="00B94098">
      <w:pPr>
        <w:pStyle w:val="FootnoteText"/>
        <w:rPr>
          <w:rFonts w:cs="Arial"/>
          <w:sz w:val="18"/>
          <w:szCs w:val="18"/>
        </w:rPr>
      </w:pPr>
      <w:r w:rsidRPr="00540405">
        <w:rPr>
          <w:rStyle w:val="FootnoteReference"/>
          <w:rFonts w:cs="Arial"/>
          <w:szCs w:val="16"/>
        </w:rPr>
        <w:footnoteRef/>
      </w:r>
      <w:r w:rsidRPr="00540405">
        <w:rPr>
          <w:rFonts w:cs="Arial"/>
          <w:szCs w:val="16"/>
        </w:rPr>
        <w:t xml:space="preserve"> Proposed additions are shown in green underlined font, proposed deletions are shown in red strikethrough font, and text without this formatting represents the current text in the Poisons Standard</w:t>
      </w:r>
    </w:p>
  </w:footnote>
  <w:footnote w:id="11">
    <w:p w14:paraId="0781F3C4"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3" w:history="1">
        <w:r w:rsidRPr="0046301A">
          <w:rPr>
            <w:rStyle w:val="Hyperlink"/>
            <w:rFonts w:cs="Arial"/>
            <w:szCs w:val="16"/>
          </w:rPr>
          <w:t>untitled (researchgate.net)</w:t>
        </w:r>
      </w:hyperlink>
    </w:p>
  </w:footnote>
  <w:footnote w:id="12">
    <w:p w14:paraId="1F716991"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4" w:history="1">
        <w:r w:rsidRPr="0046301A">
          <w:rPr>
            <w:rStyle w:val="Hyperlink"/>
            <w:rFonts w:cs="Arial"/>
            <w:szCs w:val="16"/>
          </w:rPr>
          <w:t>Clinical practice guideline: Allergic rhinitis - PubMed (nih.gov)</w:t>
        </w:r>
      </w:hyperlink>
    </w:p>
  </w:footnote>
  <w:footnote w:id="13">
    <w:p w14:paraId="5CEB9E77"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5" w:history="1">
        <w:r w:rsidRPr="0046301A">
          <w:rPr>
            <w:rStyle w:val="Hyperlink"/>
            <w:rFonts w:cs="Arial"/>
            <w:szCs w:val="16"/>
          </w:rPr>
          <w:t>Optimising the management of allergic rhinitis: an Australian perspective - PubMed (nih.gov)</w:t>
        </w:r>
      </w:hyperlink>
    </w:p>
  </w:footnote>
  <w:footnote w:id="14">
    <w:p w14:paraId="562B1D50" w14:textId="77777777" w:rsidR="00B94098" w:rsidRPr="0046301A" w:rsidRDefault="00B94098" w:rsidP="00B94098">
      <w:pPr>
        <w:pStyle w:val="Default"/>
        <w:rPr>
          <w:rFonts w:ascii="Arial" w:hAnsi="Arial" w:cs="Arial"/>
          <w:sz w:val="16"/>
          <w:szCs w:val="16"/>
        </w:rPr>
      </w:pPr>
      <w:r w:rsidRPr="0046301A">
        <w:rPr>
          <w:rStyle w:val="FootnoteReference"/>
          <w:rFonts w:ascii="Arial" w:hAnsi="Arial" w:cs="Arial"/>
          <w:sz w:val="16"/>
          <w:szCs w:val="16"/>
        </w:rPr>
        <w:footnoteRef/>
      </w:r>
      <w:r w:rsidRPr="0046301A">
        <w:rPr>
          <w:rFonts w:ascii="Arial" w:hAnsi="Arial" w:cs="Arial"/>
          <w:sz w:val="16"/>
          <w:szCs w:val="16"/>
        </w:rPr>
        <w:t xml:space="preserve"> Desloratadine Company Core Data Sheet 2023 (Appendix 20.1 – Organon. Desloratadine. Periodic Safety Update Report (PSUR). Organon LLC, USA 2023) </w:t>
      </w:r>
    </w:p>
  </w:footnote>
  <w:footnote w:id="15">
    <w:p w14:paraId="4F1056FC"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6" w:history="1">
        <w:r w:rsidRPr="0046301A">
          <w:rPr>
            <w:rStyle w:val="Hyperlink"/>
            <w:rFonts w:cs="Arial"/>
            <w:szCs w:val="16"/>
          </w:rPr>
          <w:t>ESMERON (tga.gov.au)</w:t>
        </w:r>
      </w:hyperlink>
    </w:p>
  </w:footnote>
  <w:footnote w:id="16">
    <w:p w14:paraId="40E5E1FB"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7" w:history="1">
        <w:r w:rsidRPr="0046301A">
          <w:rPr>
            <w:rStyle w:val="Hyperlink"/>
            <w:rFonts w:cs="Arial"/>
            <w:szCs w:val="16"/>
          </w:rPr>
          <w:t>pdf (tga.gov.au)</w:t>
        </w:r>
      </w:hyperlink>
    </w:p>
  </w:footnote>
  <w:footnote w:id="17">
    <w:p w14:paraId="4E1B2B41"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8" w:history="1">
        <w:r w:rsidRPr="0046301A">
          <w:rPr>
            <w:rStyle w:val="Hyperlink"/>
            <w:rFonts w:cs="Arial"/>
            <w:szCs w:val="16"/>
          </w:rPr>
          <w:t>Australian Medicines Handbook (amh.net.au)</w:t>
        </w:r>
      </w:hyperlink>
    </w:p>
  </w:footnote>
  <w:footnote w:id="18">
    <w:p w14:paraId="03574AFD"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hyperlink r:id="rId9" w:history="1">
        <w:r w:rsidRPr="0046301A">
          <w:rPr>
            <w:rStyle w:val="Hyperlink"/>
            <w:rFonts w:cs="Arial"/>
            <w:szCs w:val="16"/>
          </w:rPr>
          <w:t>Federal Register of Legislation - Therapeutic Goods (Medicines Advisory Statements) Specification 2021</w:t>
        </w:r>
      </w:hyperlink>
    </w:p>
  </w:footnote>
  <w:footnote w:id="19">
    <w:p w14:paraId="46E46E61" w14:textId="77777777" w:rsidR="00B94098" w:rsidRPr="0046301A" w:rsidRDefault="00B94098" w:rsidP="00B94098">
      <w:pPr>
        <w:pStyle w:val="FootnoteText"/>
        <w:rPr>
          <w:rFonts w:cs="Arial"/>
          <w:szCs w:val="16"/>
        </w:rPr>
      </w:pPr>
      <w:r w:rsidRPr="0046301A">
        <w:rPr>
          <w:rStyle w:val="FootnoteReference"/>
          <w:rFonts w:cs="Arial"/>
          <w:szCs w:val="16"/>
        </w:rPr>
        <w:footnoteRef/>
      </w:r>
      <w:r w:rsidRPr="0046301A">
        <w:rPr>
          <w:rFonts w:cs="Arial"/>
          <w:szCs w:val="16"/>
        </w:rPr>
        <w:t xml:space="preserve"> </w:t>
      </w:r>
      <w:r w:rsidRPr="0046301A">
        <w:rPr>
          <w:rFonts w:cs="Arial"/>
          <w:color w:val="auto"/>
          <w:szCs w:val="16"/>
        </w:rPr>
        <w:t xml:space="preserve">Divided preparations for the purposed of the Poisons Standard </w:t>
      </w:r>
      <w:r w:rsidRPr="0046301A">
        <w:rPr>
          <w:rFonts w:cs="Arial"/>
          <w:color w:val="auto"/>
          <w:szCs w:val="16"/>
        </w:rPr>
        <w:t>means a preparation manufactured and packed as discrete pre</w:t>
      </w:r>
      <w:r w:rsidRPr="0046301A">
        <w:rPr>
          <w:rFonts w:ascii="Cambria Math" w:hAnsi="Cambria Math" w:cs="Cambria Math"/>
          <w:color w:val="auto"/>
          <w:szCs w:val="16"/>
        </w:rPr>
        <w:t>‑</w:t>
      </w:r>
      <w:r w:rsidRPr="0046301A">
        <w:rPr>
          <w:rFonts w:cs="Arial"/>
          <w:color w:val="auto"/>
          <w:szCs w:val="16"/>
        </w:rPr>
        <w:t>measured dosage units prior to supply, and includes tablets, capsules, cachets, single dose powders or single dose sachets of powders or granules.</w:t>
      </w:r>
    </w:p>
  </w:footnote>
  <w:footnote w:id="20">
    <w:p w14:paraId="446B47FE" w14:textId="77777777" w:rsidR="00B94098" w:rsidRDefault="00B94098" w:rsidP="00B94098">
      <w:pPr>
        <w:pStyle w:val="FootnoteText"/>
      </w:pPr>
      <w:r w:rsidRPr="0046301A">
        <w:rPr>
          <w:rStyle w:val="FootnoteReference"/>
          <w:rFonts w:cs="Arial"/>
          <w:szCs w:val="16"/>
        </w:rPr>
        <w:footnoteRef/>
      </w:r>
      <w:r w:rsidRPr="0046301A">
        <w:rPr>
          <w:rFonts w:cs="Arial"/>
          <w:szCs w:val="16"/>
        </w:rPr>
        <w:t xml:space="preserve"> </w:t>
      </w:r>
      <w:hyperlink r:id="rId10" w:history="1">
        <w:r w:rsidRPr="0046301A">
          <w:rPr>
            <w:rStyle w:val="Hyperlink"/>
            <w:rFonts w:cs="Arial"/>
            <w:szCs w:val="16"/>
          </w:rPr>
          <w:t>Australian Register of Therapeutic Goods (ARTG) | Therapeutic Goods Administration (TGA)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1408D6" w:rsidRPr="001408D6" w:rsidRDefault="001408D6" w:rsidP="001408D6"/>
      </w:tc>
    </w:tr>
  </w:tbl>
  <w:p w14:paraId="4C8EBEB5" w14:textId="77777777" w:rsidR="00F02AEC" w:rsidRDefault="00CB0550" w:rsidP="00967490">
    <w:pPr>
      <w:rPr>
        <w:noProof/>
      </w:rPr>
    </w:pPr>
    <w:r>
      <w:rPr>
        <w:noProof/>
        <w:lang w:eastAsia="en-AU"/>
      </w:rPr>
      <w:drawing>
        <wp:anchor distT="0" distB="0" distL="114300" distR="114300" simplePos="0" relativeHeight="251658241"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1374668406" name="Picture 137466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58240"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1029244312" name="Picture 102924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Ind w:w="137" w:type="dxa"/>
      <w:tblLook w:val="04A0" w:firstRow="1" w:lastRow="0" w:firstColumn="1" w:lastColumn="0" w:noHBand="0" w:noVBand="1"/>
    </w:tblPr>
    <w:tblGrid>
      <w:gridCol w:w="9219"/>
    </w:tblGrid>
    <w:tr w:rsidR="006179EE" w:rsidRPr="00DE78C9" w14:paraId="37954249" w14:textId="77777777" w:rsidTr="00DE78C9">
      <w:tc>
        <w:tcPr>
          <w:tcW w:w="9219" w:type="dxa"/>
          <w:tcBorders>
            <w:top w:val="nil"/>
            <w:left w:val="nil"/>
            <w:bottom w:val="single" w:sz="4" w:space="0" w:color="auto"/>
            <w:right w:val="nil"/>
          </w:tcBorders>
          <w:vAlign w:val="bottom"/>
        </w:tcPr>
        <w:p w14:paraId="6D643013" w14:textId="77777777" w:rsidR="006179EE" w:rsidRPr="00DE78C9" w:rsidRDefault="006179EE" w:rsidP="00D15E47">
          <w:pPr>
            <w:spacing w:after="120"/>
            <w:ind w:right="-108"/>
            <w:jc w:val="right"/>
            <w:rPr>
              <w:rFonts w:asciiTheme="minorHAnsi" w:hAnsiTheme="minorHAnsi" w:cstheme="minorHAnsi"/>
              <w:sz w:val="18"/>
              <w:szCs w:val="18"/>
            </w:rPr>
          </w:pPr>
          <w:r w:rsidRPr="00DE78C9">
            <w:rPr>
              <w:rFonts w:asciiTheme="minorHAnsi" w:hAnsiTheme="minorHAnsi" w:cstheme="minorHAnsi"/>
              <w:sz w:val="18"/>
              <w:szCs w:val="18"/>
            </w:rPr>
            <w:t>Therapeutic Goods Administration</w:t>
          </w:r>
        </w:p>
      </w:tc>
    </w:tr>
  </w:tbl>
  <w:p w14:paraId="741CCE3F" w14:textId="77777777" w:rsidR="006179EE" w:rsidRDefault="006179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D080" w14:textId="77777777" w:rsidR="004B4802" w:rsidRPr="00FE501F" w:rsidRDefault="004B4802"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32A77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5225C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B2FA2"/>
    <w:multiLevelType w:val="hybridMultilevel"/>
    <w:tmpl w:val="3D8C7D22"/>
    <w:lvl w:ilvl="0" w:tplc="EF7AC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24A1D"/>
    <w:multiLevelType w:val="hybridMultilevel"/>
    <w:tmpl w:val="95C2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97C6A"/>
    <w:multiLevelType w:val="hybridMultilevel"/>
    <w:tmpl w:val="92601B32"/>
    <w:lvl w:ilvl="0" w:tplc="C9EACB44">
      <w:start w:val="1"/>
      <w:numFmt w:val="bullet"/>
      <w:lvlText w:val=""/>
      <w:lvlJc w:val="left"/>
      <w:pPr>
        <w:ind w:left="720" w:hanging="360"/>
      </w:pPr>
      <w:rPr>
        <w:rFonts w:ascii="Symbol" w:hAnsi="Symbol"/>
      </w:rPr>
    </w:lvl>
    <w:lvl w:ilvl="1" w:tplc="952C2D0E">
      <w:start w:val="1"/>
      <w:numFmt w:val="bullet"/>
      <w:lvlText w:val=""/>
      <w:lvlJc w:val="left"/>
      <w:pPr>
        <w:ind w:left="720" w:hanging="360"/>
      </w:pPr>
      <w:rPr>
        <w:rFonts w:ascii="Symbol" w:hAnsi="Symbol"/>
      </w:rPr>
    </w:lvl>
    <w:lvl w:ilvl="2" w:tplc="E410DCEC">
      <w:start w:val="1"/>
      <w:numFmt w:val="bullet"/>
      <w:lvlText w:val=""/>
      <w:lvlJc w:val="left"/>
      <w:pPr>
        <w:ind w:left="720" w:hanging="360"/>
      </w:pPr>
      <w:rPr>
        <w:rFonts w:ascii="Symbol" w:hAnsi="Symbol"/>
      </w:rPr>
    </w:lvl>
    <w:lvl w:ilvl="3" w:tplc="F37A47C4">
      <w:start w:val="1"/>
      <w:numFmt w:val="bullet"/>
      <w:lvlText w:val=""/>
      <w:lvlJc w:val="left"/>
      <w:pPr>
        <w:ind w:left="720" w:hanging="360"/>
      </w:pPr>
      <w:rPr>
        <w:rFonts w:ascii="Symbol" w:hAnsi="Symbol"/>
      </w:rPr>
    </w:lvl>
    <w:lvl w:ilvl="4" w:tplc="86887ED6">
      <w:start w:val="1"/>
      <w:numFmt w:val="bullet"/>
      <w:lvlText w:val=""/>
      <w:lvlJc w:val="left"/>
      <w:pPr>
        <w:ind w:left="720" w:hanging="360"/>
      </w:pPr>
      <w:rPr>
        <w:rFonts w:ascii="Symbol" w:hAnsi="Symbol"/>
      </w:rPr>
    </w:lvl>
    <w:lvl w:ilvl="5" w:tplc="5CB63D60">
      <w:start w:val="1"/>
      <w:numFmt w:val="bullet"/>
      <w:lvlText w:val=""/>
      <w:lvlJc w:val="left"/>
      <w:pPr>
        <w:ind w:left="720" w:hanging="360"/>
      </w:pPr>
      <w:rPr>
        <w:rFonts w:ascii="Symbol" w:hAnsi="Symbol"/>
      </w:rPr>
    </w:lvl>
    <w:lvl w:ilvl="6" w:tplc="EA348802">
      <w:start w:val="1"/>
      <w:numFmt w:val="bullet"/>
      <w:lvlText w:val=""/>
      <w:lvlJc w:val="left"/>
      <w:pPr>
        <w:ind w:left="720" w:hanging="360"/>
      </w:pPr>
      <w:rPr>
        <w:rFonts w:ascii="Symbol" w:hAnsi="Symbol"/>
      </w:rPr>
    </w:lvl>
    <w:lvl w:ilvl="7" w:tplc="354CEF30">
      <w:start w:val="1"/>
      <w:numFmt w:val="bullet"/>
      <w:lvlText w:val=""/>
      <w:lvlJc w:val="left"/>
      <w:pPr>
        <w:ind w:left="720" w:hanging="360"/>
      </w:pPr>
      <w:rPr>
        <w:rFonts w:ascii="Symbol" w:hAnsi="Symbol"/>
      </w:rPr>
    </w:lvl>
    <w:lvl w:ilvl="8" w:tplc="848EAA62">
      <w:start w:val="1"/>
      <w:numFmt w:val="bullet"/>
      <w:lvlText w:val=""/>
      <w:lvlJc w:val="left"/>
      <w:pPr>
        <w:ind w:left="720" w:hanging="360"/>
      </w:pPr>
      <w:rPr>
        <w:rFonts w:ascii="Symbol" w:hAnsi="Symbol"/>
      </w:rPr>
    </w:lvl>
  </w:abstractNum>
  <w:abstractNum w:abstractNumId="5"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2126F77"/>
    <w:multiLevelType w:val="hybridMultilevel"/>
    <w:tmpl w:val="E0CA5BF6"/>
    <w:lvl w:ilvl="0" w:tplc="5868E316">
      <w:start w:val="1"/>
      <w:numFmt w:val="bullet"/>
      <w:lvlText w:val=""/>
      <w:lvlJc w:val="left"/>
      <w:pPr>
        <w:ind w:left="720" w:hanging="360"/>
      </w:pPr>
      <w:rPr>
        <w:rFonts w:ascii="Symbol" w:hAnsi="Symbol"/>
      </w:rPr>
    </w:lvl>
    <w:lvl w:ilvl="1" w:tplc="507C331C">
      <w:start w:val="1"/>
      <w:numFmt w:val="bullet"/>
      <w:lvlText w:val=""/>
      <w:lvlJc w:val="left"/>
      <w:pPr>
        <w:ind w:left="720" w:hanging="360"/>
      </w:pPr>
      <w:rPr>
        <w:rFonts w:ascii="Symbol" w:hAnsi="Symbol"/>
      </w:rPr>
    </w:lvl>
    <w:lvl w:ilvl="2" w:tplc="3460BC6C">
      <w:start w:val="1"/>
      <w:numFmt w:val="bullet"/>
      <w:lvlText w:val=""/>
      <w:lvlJc w:val="left"/>
      <w:pPr>
        <w:ind w:left="720" w:hanging="360"/>
      </w:pPr>
      <w:rPr>
        <w:rFonts w:ascii="Symbol" w:hAnsi="Symbol"/>
      </w:rPr>
    </w:lvl>
    <w:lvl w:ilvl="3" w:tplc="082E1DC2">
      <w:start w:val="1"/>
      <w:numFmt w:val="bullet"/>
      <w:lvlText w:val=""/>
      <w:lvlJc w:val="left"/>
      <w:pPr>
        <w:ind w:left="720" w:hanging="360"/>
      </w:pPr>
      <w:rPr>
        <w:rFonts w:ascii="Symbol" w:hAnsi="Symbol"/>
      </w:rPr>
    </w:lvl>
    <w:lvl w:ilvl="4" w:tplc="1BD28F68">
      <w:start w:val="1"/>
      <w:numFmt w:val="bullet"/>
      <w:lvlText w:val=""/>
      <w:lvlJc w:val="left"/>
      <w:pPr>
        <w:ind w:left="720" w:hanging="360"/>
      </w:pPr>
      <w:rPr>
        <w:rFonts w:ascii="Symbol" w:hAnsi="Symbol"/>
      </w:rPr>
    </w:lvl>
    <w:lvl w:ilvl="5" w:tplc="07B060B2">
      <w:start w:val="1"/>
      <w:numFmt w:val="bullet"/>
      <w:lvlText w:val=""/>
      <w:lvlJc w:val="left"/>
      <w:pPr>
        <w:ind w:left="720" w:hanging="360"/>
      </w:pPr>
      <w:rPr>
        <w:rFonts w:ascii="Symbol" w:hAnsi="Symbol"/>
      </w:rPr>
    </w:lvl>
    <w:lvl w:ilvl="6" w:tplc="231428B2">
      <w:start w:val="1"/>
      <w:numFmt w:val="bullet"/>
      <w:lvlText w:val=""/>
      <w:lvlJc w:val="left"/>
      <w:pPr>
        <w:ind w:left="720" w:hanging="360"/>
      </w:pPr>
      <w:rPr>
        <w:rFonts w:ascii="Symbol" w:hAnsi="Symbol"/>
      </w:rPr>
    </w:lvl>
    <w:lvl w:ilvl="7" w:tplc="95C2B70C">
      <w:start w:val="1"/>
      <w:numFmt w:val="bullet"/>
      <w:lvlText w:val=""/>
      <w:lvlJc w:val="left"/>
      <w:pPr>
        <w:ind w:left="720" w:hanging="360"/>
      </w:pPr>
      <w:rPr>
        <w:rFonts w:ascii="Symbol" w:hAnsi="Symbol"/>
      </w:rPr>
    </w:lvl>
    <w:lvl w:ilvl="8" w:tplc="BE1E2960">
      <w:start w:val="1"/>
      <w:numFmt w:val="bullet"/>
      <w:lvlText w:val=""/>
      <w:lvlJc w:val="left"/>
      <w:pPr>
        <w:ind w:left="720" w:hanging="360"/>
      </w:pPr>
      <w:rPr>
        <w:rFonts w:ascii="Symbol" w:hAnsi="Symbol"/>
      </w:rPr>
    </w:lvl>
  </w:abstractNum>
  <w:abstractNum w:abstractNumId="7" w15:restartNumberingAfterBreak="0">
    <w:nsid w:val="12EF027E"/>
    <w:multiLevelType w:val="hybridMultilevel"/>
    <w:tmpl w:val="2070B4F4"/>
    <w:lvl w:ilvl="0" w:tplc="FFFFFFFF">
      <w:start w:val="1"/>
      <w:numFmt w:val="lowerLetter"/>
      <w:lvlText w:val="(%1)"/>
      <w:lvlJc w:val="left"/>
      <w:pPr>
        <w:ind w:left="1146" w:hanging="360"/>
      </w:pPr>
      <w:rPr>
        <w:strike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3123AB0"/>
    <w:multiLevelType w:val="hybridMultilevel"/>
    <w:tmpl w:val="88387138"/>
    <w:lvl w:ilvl="0" w:tplc="0F163012">
      <w:start w:val="1"/>
      <w:numFmt w:val="bullet"/>
      <w:lvlText w:val=""/>
      <w:lvlJc w:val="left"/>
      <w:pPr>
        <w:ind w:left="720" w:hanging="360"/>
      </w:pPr>
      <w:rPr>
        <w:rFonts w:ascii="Symbol" w:hAnsi="Symbol"/>
      </w:rPr>
    </w:lvl>
    <w:lvl w:ilvl="1" w:tplc="90D0F96E">
      <w:start w:val="1"/>
      <w:numFmt w:val="bullet"/>
      <w:lvlText w:val=""/>
      <w:lvlJc w:val="left"/>
      <w:pPr>
        <w:ind w:left="720" w:hanging="360"/>
      </w:pPr>
      <w:rPr>
        <w:rFonts w:ascii="Symbol" w:hAnsi="Symbol"/>
      </w:rPr>
    </w:lvl>
    <w:lvl w:ilvl="2" w:tplc="8E04BFFC">
      <w:start w:val="1"/>
      <w:numFmt w:val="bullet"/>
      <w:lvlText w:val=""/>
      <w:lvlJc w:val="left"/>
      <w:pPr>
        <w:ind w:left="720" w:hanging="360"/>
      </w:pPr>
      <w:rPr>
        <w:rFonts w:ascii="Symbol" w:hAnsi="Symbol"/>
      </w:rPr>
    </w:lvl>
    <w:lvl w:ilvl="3" w:tplc="C902E9FA">
      <w:start w:val="1"/>
      <w:numFmt w:val="bullet"/>
      <w:lvlText w:val=""/>
      <w:lvlJc w:val="left"/>
      <w:pPr>
        <w:ind w:left="720" w:hanging="360"/>
      </w:pPr>
      <w:rPr>
        <w:rFonts w:ascii="Symbol" w:hAnsi="Symbol"/>
      </w:rPr>
    </w:lvl>
    <w:lvl w:ilvl="4" w:tplc="9CB44EAC">
      <w:start w:val="1"/>
      <w:numFmt w:val="bullet"/>
      <w:lvlText w:val=""/>
      <w:lvlJc w:val="left"/>
      <w:pPr>
        <w:ind w:left="720" w:hanging="360"/>
      </w:pPr>
      <w:rPr>
        <w:rFonts w:ascii="Symbol" w:hAnsi="Symbol"/>
      </w:rPr>
    </w:lvl>
    <w:lvl w:ilvl="5" w:tplc="85F46CC4">
      <w:start w:val="1"/>
      <w:numFmt w:val="bullet"/>
      <w:lvlText w:val=""/>
      <w:lvlJc w:val="left"/>
      <w:pPr>
        <w:ind w:left="720" w:hanging="360"/>
      </w:pPr>
      <w:rPr>
        <w:rFonts w:ascii="Symbol" w:hAnsi="Symbol"/>
      </w:rPr>
    </w:lvl>
    <w:lvl w:ilvl="6" w:tplc="16CE4FB8">
      <w:start w:val="1"/>
      <w:numFmt w:val="bullet"/>
      <w:lvlText w:val=""/>
      <w:lvlJc w:val="left"/>
      <w:pPr>
        <w:ind w:left="720" w:hanging="360"/>
      </w:pPr>
      <w:rPr>
        <w:rFonts w:ascii="Symbol" w:hAnsi="Symbol"/>
      </w:rPr>
    </w:lvl>
    <w:lvl w:ilvl="7" w:tplc="D5686E9C">
      <w:start w:val="1"/>
      <w:numFmt w:val="bullet"/>
      <w:lvlText w:val=""/>
      <w:lvlJc w:val="left"/>
      <w:pPr>
        <w:ind w:left="720" w:hanging="360"/>
      </w:pPr>
      <w:rPr>
        <w:rFonts w:ascii="Symbol" w:hAnsi="Symbol"/>
      </w:rPr>
    </w:lvl>
    <w:lvl w:ilvl="8" w:tplc="D0CE1A9A">
      <w:start w:val="1"/>
      <w:numFmt w:val="bullet"/>
      <w:lvlText w:val=""/>
      <w:lvlJc w:val="left"/>
      <w:pPr>
        <w:ind w:left="720" w:hanging="360"/>
      </w:pPr>
      <w:rPr>
        <w:rFonts w:ascii="Symbol" w:hAnsi="Symbol"/>
      </w:rPr>
    </w:lvl>
  </w:abstractNum>
  <w:abstractNum w:abstractNumId="9"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BD74D0"/>
    <w:multiLevelType w:val="hybridMultilevel"/>
    <w:tmpl w:val="23FE21D4"/>
    <w:lvl w:ilvl="0" w:tplc="180E42A8">
      <w:start w:val="1"/>
      <w:numFmt w:val="lowerRoman"/>
      <w:pStyle w:val="ListBulleti"/>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2" w15:restartNumberingAfterBreak="0">
    <w:nsid w:val="1CCF7950"/>
    <w:multiLevelType w:val="multilevel"/>
    <w:tmpl w:val="AC12DAC8"/>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0202689"/>
    <w:multiLevelType w:val="hybridMultilevel"/>
    <w:tmpl w:val="1A1A9720"/>
    <w:lvl w:ilvl="0" w:tplc="3CF04FD8">
      <w:start w:val="1"/>
      <w:numFmt w:val="bullet"/>
      <w:lvlText w:val=""/>
      <w:lvlJc w:val="left"/>
      <w:pPr>
        <w:ind w:left="720" w:hanging="360"/>
      </w:pPr>
      <w:rPr>
        <w:rFonts w:ascii="Symbol" w:hAnsi="Symbol"/>
      </w:rPr>
    </w:lvl>
    <w:lvl w:ilvl="1" w:tplc="66E61080">
      <w:start w:val="1"/>
      <w:numFmt w:val="bullet"/>
      <w:lvlText w:val=""/>
      <w:lvlJc w:val="left"/>
      <w:pPr>
        <w:ind w:left="720" w:hanging="360"/>
      </w:pPr>
      <w:rPr>
        <w:rFonts w:ascii="Symbol" w:hAnsi="Symbol"/>
      </w:rPr>
    </w:lvl>
    <w:lvl w:ilvl="2" w:tplc="61B6E28E">
      <w:start w:val="1"/>
      <w:numFmt w:val="bullet"/>
      <w:lvlText w:val=""/>
      <w:lvlJc w:val="left"/>
      <w:pPr>
        <w:ind w:left="720" w:hanging="360"/>
      </w:pPr>
      <w:rPr>
        <w:rFonts w:ascii="Symbol" w:hAnsi="Symbol"/>
      </w:rPr>
    </w:lvl>
    <w:lvl w:ilvl="3" w:tplc="171CEA06">
      <w:start w:val="1"/>
      <w:numFmt w:val="bullet"/>
      <w:lvlText w:val=""/>
      <w:lvlJc w:val="left"/>
      <w:pPr>
        <w:ind w:left="720" w:hanging="360"/>
      </w:pPr>
      <w:rPr>
        <w:rFonts w:ascii="Symbol" w:hAnsi="Symbol"/>
      </w:rPr>
    </w:lvl>
    <w:lvl w:ilvl="4" w:tplc="88628A40">
      <w:start w:val="1"/>
      <w:numFmt w:val="bullet"/>
      <w:lvlText w:val=""/>
      <w:lvlJc w:val="left"/>
      <w:pPr>
        <w:ind w:left="720" w:hanging="360"/>
      </w:pPr>
      <w:rPr>
        <w:rFonts w:ascii="Symbol" w:hAnsi="Symbol"/>
      </w:rPr>
    </w:lvl>
    <w:lvl w:ilvl="5" w:tplc="1FFC8D96">
      <w:start w:val="1"/>
      <w:numFmt w:val="bullet"/>
      <w:lvlText w:val=""/>
      <w:lvlJc w:val="left"/>
      <w:pPr>
        <w:ind w:left="720" w:hanging="360"/>
      </w:pPr>
      <w:rPr>
        <w:rFonts w:ascii="Symbol" w:hAnsi="Symbol"/>
      </w:rPr>
    </w:lvl>
    <w:lvl w:ilvl="6" w:tplc="3DB01800">
      <w:start w:val="1"/>
      <w:numFmt w:val="bullet"/>
      <w:lvlText w:val=""/>
      <w:lvlJc w:val="left"/>
      <w:pPr>
        <w:ind w:left="720" w:hanging="360"/>
      </w:pPr>
      <w:rPr>
        <w:rFonts w:ascii="Symbol" w:hAnsi="Symbol"/>
      </w:rPr>
    </w:lvl>
    <w:lvl w:ilvl="7" w:tplc="0AB895EE">
      <w:start w:val="1"/>
      <w:numFmt w:val="bullet"/>
      <w:lvlText w:val=""/>
      <w:lvlJc w:val="left"/>
      <w:pPr>
        <w:ind w:left="720" w:hanging="360"/>
      </w:pPr>
      <w:rPr>
        <w:rFonts w:ascii="Symbol" w:hAnsi="Symbol"/>
      </w:rPr>
    </w:lvl>
    <w:lvl w:ilvl="8" w:tplc="70CCBFE2">
      <w:start w:val="1"/>
      <w:numFmt w:val="bullet"/>
      <w:lvlText w:val=""/>
      <w:lvlJc w:val="left"/>
      <w:pPr>
        <w:ind w:left="720" w:hanging="360"/>
      </w:pPr>
      <w:rPr>
        <w:rFonts w:ascii="Symbol" w:hAnsi="Symbol"/>
      </w:rPr>
    </w:lvl>
  </w:abstractNum>
  <w:abstractNum w:abstractNumId="15" w15:restartNumberingAfterBreak="0">
    <w:nsid w:val="20FC2B36"/>
    <w:multiLevelType w:val="hybridMultilevel"/>
    <w:tmpl w:val="3474B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C3326"/>
    <w:multiLevelType w:val="hybridMultilevel"/>
    <w:tmpl w:val="0C2A2BC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3FB1C56"/>
    <w:multiLevelType w:val="multilevel"/>
    <w:tmpl w:val="4E9AF098"/>
    <w:lvl w:ilvl="0">
      <w:start w:val="1"/>
      <w:numFmt w:val="lowerLetter"/>
      <w:pStyle w:val="ListBullet-dotick"/>
      <w:lvlText w:val="(%1)"/>
      <w:lvlJc w:val="left"/>
      <w:pPr>
        <w:ind w:left="1437" w:hanging="360"/>
      </w:pPr>
      <w:rPr>
        <w:rFont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8" w15:restartNumberingAfterBreak="0">
    <w:nsid w:val="24D838A1"/>
    <w:multiLevelType w:val="hybridMultilevel"/>
    <w:tmpl w:val="405675F8"/>
    <w:lvl w:ilvl="0" w:tplc="91B677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24211"/>
    <w:multiLevelType w:val="hybridMultilevel"/>
    <w:tmpl w:val="2070B4F4"/>
    <w:lvl w:ilvl="0" w:tplc="8E7A5EE0">
      <w:start w:val="1"/>
      <w:numFmt w:val="lowerLetter"/>
      <w:lvlText w:val="(%1)"/>
      <w:lvlJc w:val="left"/>
      <w:pPr>
        <w:ind w:left="1146" w:hanging="360"/>
      </w:pPr>
      <w:rPr>
        <w:strike w:val="0"/>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326348C8"/>
    <w:multiLevelType w:val="hybridMultilevel"/>
    <w:tmpl w:val="AD229662"/>
    <w:lvl w:ilvl="0" w:tplc="90C683D6">
      <w:start w:val="10"/>
      <w:numFmt w:val="lowerLetter"/>
      <w:pStyle w:val="Style2"/>
      <w:lvlText w:val="(%1)"/>
      <w:lvlJc w:val="left"/>
      <w:pPr>
        <w:ind w:left="1506" w:hanging="360"/>
      </w:pPr>
      <w:rPr>
        <w:rFonts w:hint="default"/>
        <w:strike w:val="0"/>
        <w:color w:val="00B050"/>
        <w:u w:val="single"/>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1" w15:restartNumberingAfterBreak="0">
    <w:nsid w:val="3330720D"/>
    <w:multiLevelType w:val="hybridMultilevel"/>
    <w:tmpl w:val="7A6C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3F4209"/>
    <w:multiLevelType w:val="hybridMultilevel"/>
    <w:tmpl w:val="21925D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A500A3"/>
    <w:multiLevelType w:val="hybridMultilevel"/>
    <w:tmpl w:val="5B3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22149E"/>
    <w:multiLevelType w:val="hybridMultilevel"/>
    <w:tmpl w:val="3A5659C2"/>
    <w:lvl w:ilvl="0" w:tplc="EECC8CA8">
      <w:start w:val="1"/>
      <w:numFmt w:val="bullet"/>
      <w:lvlText w:val=""/>
      <w:lvlJc w:val="left"/>
      <w:pPr>
        <w:ind w:left="720" w:hanging="360"/>
      </w:pPr>
      <w:rPr>
        <w:rFonts w:ascii="Symbol" w:hAnsi="Symbol"/>
      </w:rPr>
    </w:lvl>
    <w:lvl w:ilvl="1" w:tplc="843C9848">
      <w:start w:val="1"/>
      <w:numFmt w:val="bullet"/>
      <w:lvlText w:val=""/>
      <w:lvlJc w:val="left"/>
      <w:pPr>
        <w:ind w:left="720" w:hanging="360"/>
      </w:pPr>
      <w:rPr>
        <w:rFonts w:ascii="Symbol" w:hAnsi="Symbol"/>
      </w:rPr>
    </w:lvl>
    <w:lvl w:ilvl="2" w:tplc="6A98B22A">
      <w:start w:val="1"/>
      <w:numFmt w:val="bullet"/>
      <w:lvlText w:val=""/>
      <w:lvlJc w:val="left"/>
      <w:pPr>
        <w:ind w:left="720" w:hanging="360"/>
      </w:pPr>
      <w:rPr>
        <w:rFonts w:ascii="Symbol" w:hAnsi="Symbol"/>
      </w:rPr>
    </w:lvl>
    <w:lvl w:ilvl="3" w:tplc="A87E8AEA">
      <w:start w:val="1"/>
      <w:numFmt w:val="bullet"/>
      <w:lvlText w:val=""/>
      <w:lvlJc w:val="left"/>
      <w:pPr>
        <w:ind w:left="720" w:hanging="360"/>
      </w:pPr>
      <w:rPr>
        <w:rFonts w:ascii="Symbol" w:hAnsi="Symbol"/>
      </w:rPr>
    </w:lvl>
    <w:lvl w:ilvl="4" w:tplc="D76A9E98">
      <w:start w:val="1"/>
      <w:numFmt w:val="bullet"/>
      <w:lvlText w:val=""/>
      <w:lvlJc w:val="left"/>
      <w:pPr>
        <w:ind w:left="720" w:hanging="360"/>
      </w:pPr>
      <w:rPr>
        <w:rFonts w:ascii="Symbol" w:hAnsi="Symbol"/>
      </w:rPr>
    </w:lvl>
    <w:lvl w:ilvl="5" w:tplc="B9E036D8">
      <w:start w:val="1"/>
      <w:numFmt w:val="bullet"/>
      <w:lvlText w:val=""/>
      <w:lvlJc w:val="left"/>
      <w:pPr>
        <w:ind w:left="720" w:hanging="360"/>
      </w:pPr>
      <w:rPr>
        <w:rFonts w:ascii="Symbol" w:hAnsi="Symbol"/>
      </w:rPr>
    </w:lvl>
    <w:lvl w:ilvl="6" w:tplc="7F1CB9B0">
      <w:start w:val="1"/>
      <w:numFmt w:val="bullet"/>
      <w:lvlText w:val=""/>
      <w:lvlJc w:val="left"/>
      <w:pPr>
        <w:ind w:left="720" w:hanging="360"/>
      </w:pPr>
      <w:rPr>
        <w:rFonts w:ascii="Symbol" w:hAnsi="Symbol"/>
      </w:rPr>
    </w:lvl>
    <w:lvl w:ilvl="7" w:tplc="0402226A">
      <w:start w:val="1"/>
      <w:numFmt w:val="bullet"/>
      <w:lvlText w:val=""/>
      <w:lvlJc w:val="left"/>
      <w:pPr>
        <w:ind w:left="720" w:hanging="360"/>
      </w:pPr>
      <w:rPr>
        <w:rFonts w:ascii="Symbol" w:hAnsi="Symbol"/>
      </w:rPr>
    </w:lvl>
    <w:lvl w:ilvl="8" w:tplc="7FFEBE70">
      <w:start w:val="1"/>
      <w:numFmt w:val="bullet"/>
      <w:lvlText w:val=""/>
      <w:lvlJc w:val="left"/>
      <w:pPr>
        <w:ind w:left="720" w:hanging="360"/>
      </w:pPr>
      <w:rPr>
        <w:rFonts w:ascii="Symbol" w:hAnsi="Symbol"/>
      </w:rPr>
    </w:lvl>
  </w:abstractNum>
  <w:abstractNum w:abstractNumId="25" w15:restartNumberingAfterBreak="0">
    <w:nsid w:val="40D73A5B"/>
    <w:multiLevelType w:val="hybridMultilevel"/>
    <w:tmpl w:val="DE8E77E2"/>
    <w:lvl w:ilvl="0" w:tplc="927E7242">
      <w:start w:val="1"/>
      <w:numFmt w:val="bullet"/>
      <w:lvlText w:val=""/>
      <w:lvlJc w:val="left"/>
      <w:pPr>
        <w:ind w:left="720" w:hanging="360"/>
      </w:pPr>
      <w:rPr>
        <w:rFonts w:ascii="Symbol" w:hAnsi="Symbol"/>
      </w:rPr>
    </w:lvl>
    <w:lvl w:ilvl="1" w:tplc="E8549852">
      <w:start w:val="1"/>
      <w:numFmt w:val="bullet"/>
      <w:lvlText w:val=""/>
      <w:lvlJc w:val="left"/>
      <w:pPr>
        <w:ind w:left="720" w:hanging="360"/>
      </w:pPr>
      <w:rPr>
        <w:rFonts w:ascii="Symbol" w:hAnsi="Symbol"/>
      </w:rPr>
    </w:lvl>
    <w:lvl w:ilvl="2" w:tplc="FF18C2E8">
      <w:start w:val="1"/>
      <w:numFmt w:val="bullet"/>
      <w:lvlText w:val=""/>
      <w:lvlJc w:val="left"/>
      <w:pPr>
        <w:ind w:left="720" w:hanging="360"/>
      </w:pPr>
      <w:rPr>
        <w:rFonts w:ascii="Symbol" w:hAnsi="Symbol"/>
      </w:rPr>
    </w:lvl>
    <w:lvl w:ilvl="3" w:tplc="C644B7D8">
      <w:start w:val="1"/>
      <w:numFmt w:val="bullet"/>
      <w:lvlText w:val=""/>
      <w:lvlJc w:val="left"/>
      <w:pPr>
        <w:ind w:left="720" w:hanging="360"/>
      </w:pPr>
      <w:rPr>
        <w:rFonts w:ascii="Symbol" w:hAnsi="Symbol"/>
      </w:rPr>
    </w:lvl>
    <w:lvl w:ilvl="4" w:tplc="476A3350">
      <w:start w:val="1"/>
      <w:numFmt w:val="bullet"/>
      <w:lvlText w:val=""/>
      <w:lvlJc w:val="left"/>
      <w:pPr>
        <w:ind w:left="720" w:hanging="360"/>
      </w:pPr>
      <w:rPr>
        <w:rFonts w:ascii="Symbol" w:hAnsi="Symbol"/>
      </w:rPr>
    </w:lvl>
    <w:lvl w:ilvl="5" w:tplc="EC6EF486">
      <w:start w:val="1"/>
      <w:numFmt w:val="bullet"/>
      <w:lvlText w:val=""/>
      <w:lvlJc w:val="left"/>
      <w:pPr>
        <w:ind w:left="720" w:hanging="360"/>
      </w:pPr>
      <w:rPr>
        <w:rFonts w:ascii="Symbol" w:hAnsi="Symbol"/>
      </w:rPr>
    </w:lvl>
    <w:lvl w:ilvl="6" w:tplc="647AF7A8">
      <w:start w:val="1"/>
      <w:numFmt w:val="bullet"/>
      <w:lvlText w:val=""/>
      <w:lvlJc w:val="left"/>
      <w:pPr>
        <w:ind w:left="720" w:hanging="360"/>
      </w:pPr>
      <w:rPr>
        <w:rFonts w:ascii="Symbol" w:hAnsi="Symbol"/>
      </w:rPr>
    </w:lvl>
    <w:lvl w:ilvl="7" w:tplc="76D2B498">
      <w:start w:val="1"/>
      <w:numFmt w:val="bullet"/>
      <w:lvlText w:val=""/>
      <w:lvlJc w:val="left"/>
      <w:pPr>
        <w:ind w:left="720" w:hanging="360"/>
      </w:pPr>
      <w:rPr>
        <w:rFonts w:ascii="Symbol" w:hAnsi="Symbol"/>
      </w:rPr>
    </w:lvl>
    <w:lvl w:ilvl="8" w:tplc="A164E518">
      <w:start w:val="1"/>
      <w:numFmt w:val="bullet"/>
      <w:lvlText w:val=""/>
      <w:lvlJc w:val="left"/>
      <w:pPr>
        <w:ind w:left="720" w:hanging="360"/>
      </w:pPr>
      <w:rPr>
        <w:rFonts w:ascii="Symbol" w:hAnsi="Symbol"/>
      </w:rPr>
    </w:lvl>
  </w:abstractNum>
  <w:abstractNum w:abstractNumId="26" w15:restartNumberingAfterBreak="0">
    <w:nsid w:val="43D86D14"/>
    <w:multiLevelType w:val="hybridMultilevel"/>
    <w:tmpl w:val="43EAE9E8"/>
    <w:lvl w:ilvl="0" w:tplc="EF7AC4A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1058C4"/>
    <w:multiLevelType w:val="hybridMultilevel"/>
    <w:tmpl w:val="ACA00536"/>
    <w:lvl w:ilvl="0" w:tplc="91B67724">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EBB2E90"/>
    <w:multiLevelType w:val="hybridMultilevel"/>
    <w:tmpl w:val="B7E45DF4"/>
    <w:lvl w:ilvl="0" w:tplc="FFFFFFFF">
      <w:start w:val="1"/>
      <w:numFmt w:val="lowerLetter"/>
      <w:lvlText w:val="(%1)"/>
      <w:lvlJc w:val="left"/>
      <w:pPr>
        <w:ind w:left="1429" w:hanging="360"/>
      </w:pPr>
      <w:rPr>
        <w:rFonts w:ascii="Arial" w:eastAsiaTheme="minorHAnsi" w:hAnsi="Arial" w:cstheme="minorBidi" w:hint="default"/>
      </w:rPr>
    </w:lvl>
    <w:lvl w:ilvl="1" w:tplc="95C89DF8">
      <w:start w:val="1"/>
      <w:numFmt w:val="lowerRoman"/>
      <w:lvlText w:val="(%2)"/>
      <w:lvlJc w:val="left"/>
      <w:pPr>
        <w:ind w:left="191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0" w15:restartNumberingAfterBreak="0">
    <w:nsid w:val="500351ED"/>
    <w:multiLevelType w:val="hybridMultilevel"/>
    <w:tmpl w:val="A32A1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995581"/>
    <w:multiLevelType w:val="hybridMultilevel"/>
    <w:tmpl w:val="B1860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A77406B"/>
    <w:multiLevelType w:val="hybridMultilevel"/>
    <w:tmpl w:val="AF784432"/>
    <w:lvl w:ilvl="0" w:tplc="877E8F90">
      <w:start w:val="1"/>
      <w:numFmt w:val="lowerLetter"/>
      <w:lvlText w:val="(%1)"/>
      <w:lvlJc w:val="left"/>
      <w:pPr>
        <w:ind w:left="720" w:hanging="360"/>
      </w:pPr>
      <w:rPr>
        <w:rFonts w:hint="default"/>
        <w:color w:val="00B05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8C65BE"/>
    <w:multiLevelType w:val="hybridMultilevel"/>
    <w:tmpl w:val="FB28EB5E"/>
    <w:lvl w:ilvl="0" w:tplc="0DFE3E96">
      <w:start w:val="1"/>
      <w:numFmt w:val="bullet"/>
      <w:lvlText w:val=""/>
      <w:lvlJc w:val="left"/>
      <w:pPr>
        <w:ind w:left="720" w:hanging="360"/>
      </w:pPr>
      <w:rPr>
        <w:rFonts w:ascii="Symbol" w:hAnsi="Symbol"/>
      </w:rPr>
    </w:lvl>
    <w:lvl w:ilvl="1" w:tplc="5066B5D6">
      <w:start w:val="1"/>
      <w:numFmt w:val="bullet"/>
      <w:lvlText w:val=""/>
      <w:lvlJc w:val="left"/>
      <w:pPr>
        <w:ind w:left="720" w:hanging="360"/>
      </w:pPr>
      <w:rPr>
        <w:rFonts w:ascii="Symbol" w:hAnsi="Symbol"/>
      </w:rPr>
    </w:lvl>
    <w:lvl w:ilvl="2" w:tplc="4E489B24">
      <w:start w:val="1"/>
      <w:numFmt w:val="bullet"/>
      <w:lvlText w:val=""/>
      <w:lvlJc w:val="left"/>
      <w:pPr>
        <w:ind w:left="720" w:hanging="360"/>
      </w:pPr>
      <w:rPr>
        <w:rFonts w:ascii="Symbol" w:hAnsi="Symbol"/>
      </w:rPr>
    </w:lvl>
    <w:lvl w:ilvl="3" w:tplc="4D485BAA">
      <w:start w:val="1"/>
      <w:numFmt w:val="bullet"/>
      <w:lvlText w:val=""/>
      <w:lvlJc w:val="left"/>
      <w:pPr>
        <w:ind w:left="720" w:hanging="360"/>
      </w:pPr>
      <w:rPr>
        <w:rFonts w:ascii="Symbol" w:hAnsi="Symbol"/>
      </w:rPr>
    </w:lvl>
    <w:lvl w:ilvl="4" w:tplc="FA32F0F8">
      <w:start w:val="1"/>
      <w:numFmt w:val="bullet"/>
      <w:lvlText w:val=""/>
      <w:lvlJc w:val="left"/>
      <w:pPr>
        <w:ind w:left="720" w:hanging="360"/>
      </w:pPr>
      <w:rPr>
        <w:rFonts w:ascii="Symbol" w:hAnsi="Symbol"/>
      </w:rPr>
    </w:lvl>
    <w:lvl w:ilvl="5" w:tplc="0F02251E">
      <w:start w:val="1"/>
      <w:numFmt w:val="bullet"/>
      <w:lvlText w:val=""/>
      <w:lvlJc w:val="left"/>
      <w:pPr>
        <w:ind w:left="720" w:hanging="360"/>
      </w:pPr>
      <w:rPr>
        <w:rFonts w:ascii="Symbol" w:hAnsi="Symbol"/>
      </w:rPr>
    </w:lvl>
    <w:lvl w:ilvl="6" w:tplc="34D6451E">
      <w:start w:val="1"/>
      <w:numFmt w:val="bullet"/>
      <w:lvlText w:val=""/>
      <w:lvlJc w:val="left"/>
      <w:pPr>
        <w:ind w:left="720" w:hanging="360"/>
      </w:pPr>
      <w:rPr>
        <w:rFonts w:ascii="Symbol" w:hAnsi="Symbol"/>
      </w:rPr>
    </w:lvl>
    <w:lvl w:ilvl="7" w:tplc="ECAC23D6">
      <w:start w:val="1"/>
      <w:numFmt w:val="bullet"/>
      <w:lvlText w:val=""/>
      <w:lvlJc w:val="left"/>
      <w:pPr>
        <w:ind w:left="720" w:hanging="360"/>
      </w:pPr>
      <w:rPr>
        <w:rFonts w:ascii="Symbol" w:hAnsi="Symbol"/>
      </w:rPr>
    </w:lvl>
    <w:lvl w:ilvl="8" w:tplc="1D687850">
      <w:start w:val="1"/>
      <w:numFmt w:val="bullet"/>
      <w:lvlText w:val=""/>
      <w:lvlJc w:val="left"/>
      <w:pPr>
        <w:ind w:left="720" w:hanging="360"/>
      </w:pPr>
      <w:rPr>
        <w:rFonts w:ascii="Symbol" w:hAnsi="Symbol"/>
      </w:rPr>
    </w:lvl>
  </w:abstractNum>
  <w:abstractNum w:abstractNumId="35" w15:restartNumberingAfterBreak="0">
    <w:nsid w:val="5FE239F4"/>
    <w:multiLevelType w:val="hybridMultilevel"/>
    <w:tmpl w:val="2E82A58C"/>
    <w:lvl w:ilvl="0" w:tplc="82AA357A">
      <w:start w:val="1"/>
      <w:numFmt w:val="upperLetter"/>
      <w:lvlText w:val="%1)"/>
      <w:lvlJc w:val="left"/>
      <w:pPr>
        <w:ind w:left="1020" w:hanging="360"/>
      </w:pPr>
    </w:lvl>
    <w:lvl w:ilvl="1" w:tplc="0F56DB78">
      <w:start w:val="1"/>
      <w:numFmt w:val="upperLetter"/>
      <w:lvlText w:val="%2)"/>
      <w:lvlJc w:val="left"/>
      <w:pPr>
        <w:ind w:left="1020" w:hanging="360"/>
      </w:pPr>
    </w:lvl>
    <w:lvl w:ilvl="2" w:tplc="03F631B0">
      <w:start w:val="1"/>
      <w:numFmt w:val="upperLetter"/>
      <w:lvlText w:val="%3)"/>
      <w:lvlJc w:val="left"/>
      <w:pPr>
        <w:ind w:left="1020" w:hanging="360"/>
      </w:pPr>
    </w:lvl>
    <w:lvl w:ilvl="3" w:tplc="93720EE6">
      <w:start w:val="1"/>
      <w:numFmt w:val="upperLetter"/>
      <w:lvlText w:val="%4)"/>
      <w:lvlJc w:val="left"/>
      <w:pPr>
        <w:ind w:left="1020" w:hanging="360"/>
      </w:pPr>
    </w:lvl>
    <w:lvl w:ilvl="4" w:tplc="E8AA7EEE">
      <w:start w:val="1"/>
      <w:numFmt w:val="upperLetter"/>
      <w:lvlText w:val="%5)"/>
      <w:lvlJc w:val="left"/>
      <w:pPr>
        <w:ind w:left="1020" w:hanging="360"/>
      </w:pPr>
    </w:lvl>
    <w:lvl w:ilvl="5" w:tplc="CF9076DA">
      <w:start w:val="1"/>
      <w:numFmt w:val="upperLetter"/>
      <w:lvlText w:val="%6)"/>
      <w:lvlJc w:val="left"/>
      <w:pPr>
        <w:ind w:left="1020" w:hanging="360"/>
      </w:pPr>
    </w:lvl>
    <w:lvl w:ilvl="6" w:tplc="27729EB2">
      <w:start w:val="1"/>
      <w:numFmt w:val="upperLetter"/>
      <w:lvlText w:val="%7)"/>
      <w:lvlJc w:val="left"/>
      <w:pPr>
        <w:ind w:left="1020" w:hanging="360"/>
      </w:pPr>
    </w:lvl>
    <w:lvl w:ilvl="7" w:tplc="7FA45CA4">
      <w:start w:val="1"/>
      <w:numFmt w:val="upperLetter"/>
      <w:lvlText w:val="%8)"/>
      <w:lvlJc w:val="left"/>
      <w:pPr>
        <w:ind w:left="1020" w:hanging="360"/>
      </w:pPr>
    </w:lvl>
    <w:lvl w:ilvl="8" w:tplc="6B9EFEC2">
      <w:start w:val="1"/>
      <w:numFmt w:val="upperLetter"/>
      <w:lvlText w:val="%9)"/>
      <w:lvlJc w:val="left"/>
      <w:pPr>
        <w:ind w:left="1020" w:hanging="360"/>
      </w:pPr>
    </w:lvl>
  </w:abstractNum>
  <w:abstractNum w:abstractNumId="36" w15:restartNumberingAfterBreak="0">
    <w:nsid w:val="61610560"/>
    <w:multiLevelType w:val="hybridMultilevel"/>
    <w:tmpl w:val="C26C1B16"/>
    <w:lvl w:ilvl="0" w:tplc="9E522FCC">
      <w:start w:val="1"/>
      <w:numFmt w:val="lowerLetter"/>
      <w:pStyle w:val="ListBulleta"/>
      <w:lvlText w:val="(%1)"/>
      <w:lvlJc w:val="left"/>
      <w:pPr>
        <w:ind w:left="1146" w:hanging="360"/>
      </w:pPr>
      <w:rPr>
        <w:strike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7AD19E4"/>
    <w:multiLevelType w:val="hybridMultilevel"/>
    <w:tmpl w:val="44664D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EA7444"/>
    <w:multiLevelType w:val="hybridMultilevel"/>
    <w:tmpl w:val="108AC550"/>
    <w:lvl w:ilvl="0" w:tplc="91B677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15:restartNumberingAfterBreak="0">
    <w:nsid w:val="714070FD"/>
    <w:multiLevelType w:val="hybridMultilevel"/>
    <w:tmpl w:val="DCB80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9C12510"/>
    <w:multiLevelType w:val="hybridMultilevel"/>
    <w:tmpl w:val="CCC6656A"/>
    <w:lvl w:ilvl="0" w:tplc="08E0C03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0653A2"/>
    <w:multiLevelType w:val="hybridMultilevel"/>
    <w:tmpl w:val="7814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575018">
    <w:abstractNumId w:val="10"/>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5"/>
  </w:num>
  <w:num w:numId="3" w16cid:durableId="1248614696">
    <w:abstractNumId w:val="9"/>
  </w:num>
  <w:num w:numId="4" w16cid:durableId="297951965">
    <w:abstractNumId w:val="31"/>
  </w:num>
  <w:num w:numId="5" w16cid:durableId="1535191726">
    <w:abstractNumId w:val="17"/>
  </w:num>
  <w:num w:numId="6" w16cid:durableId="224069918">
    <w:abstractNumId w:val="29"/>
  </w:num>
  <w:num w:numId="7" w16cid:durableId="1150249122">
    <w:abstractNumId w:val="13"/>
  </w:num>
  <w:num w:numId="8" w16cid:durableId="233053789">
    <w:abstractNumId w:val="1"/>
  </w:num>
  <w:num w:numId="9" w16cid:durableId="1393187700">
    <w:abstractNumId w:val="0"/>
  </w:num>
  <w:num w:numId="10" w16cid:durableId="91820601">
    <w:abstractNumId w:val="10"/>
  </w:num>
  <w:num w:numId="11" w16cid:durableId="1223715709">
    <w:abstractNumId w:val="40"/>
  </w:num>
  <w:num w:numId="12" w16cid:durableId="284118181">
    <w:abstractNumId w:val="19"/>
  </w:num>
  <w:num w:numId="13" w16cid:durableId="65491580">
    <w:abstractNumId w:val="19"/>
    <w:lvlOverride w:ilvl="0">
      <w:startOverride w:val="1"/>
    </w:lvlOverride>
  </w:num>
  <w:num w:numId="14" w16cid:durableId="478496800">
    <w:abstractNumId w:val="38"/>
  </w:num>
  <w:num w:numId="15" w16cid:durableId="1951473459">
    <w:abstractNumId w:val="37"/>
  </w:num>
  <w:num w:numId="16" w16cid:durableId="409738082">
    <w:abstractNumId w:val="39"/>
  </w:num>
  <w:num w:numId="17" w16cid:durableId="1253704649">
    <w:abstractNumId w:val="28"/>
  </w:num>
  <w:num w:numId="18" w16cid:durableId="1702510677">
    <w:abstractNumId w:val="32"/>
  </w:num>
  <w:num w:numId="19" w16cid:durableId="430591781">
    <w:abstractNumId w:val="3"/>
  </w:num>
  <w:num w:numId="20" w16cid:durableId="1060520906">
    <w:abstractNumId w:val="30"/>
  </w:num>
  <w:num w:numId="21" w16cid:durableId="1694768760">
    <w:abstractNumId w:val="15"/>
  </w:num>
  <w:num w:numId="22" w16cid:durableId="2071878291">
    <w:abstractNumId w:val="41"/>
  </w:num>
  <w:num w:numId="23" w16cid:durableId="165481811">
    <w:abstractNumId w:val="35"/>
  </w:num>
  <w:num w:numId="24" w16cid:durableId="726995479">
    <w:abstractNumId w:val="18"/>
  </w:num>
  <w:num w:numId="25" w16cid:durableId="829443525">
    <w:abstractNumId w:val="27"/>
  </w:num>
  <w:num w:numId="26" w16cid:durableId="1648128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1017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2466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626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286621">
    <w:abstractNumId w:val="11"/>
  </w:num>
  <w:num w:numId="31" w16cid:durableId="348146139">
    <w:abstractNumId w:val="16"/>
  </w:num>
  <w:num w:numId="32" w16cid:durableId="2012171257">
    <w:abstractNumId w:val="23"/>
  </w:num>
  <w:num w:numId="33" w16cid:durableId="1511136608">
    <w:abstractNumId w:val="20"/>
  </w:num>
  <w:num w:numId="34" w16cid:durableId="1055815737">
    <w:abstractNumId w:val="25"/>
  </w:num>
  <w:num w:numId="35" w16cid:durableId="1173254672">
    <w:abstractNumId w:val="7"/>
  </w:num>
  <w:num w:numId="36" w16cid:durableId="1772356904">
    <w:abstractNumId w:val="36"/>
  </w:num>
  <w:num w:numId="37" w16cid:durableId="534655712">
    <w:abstractNumId w:val="36"/>
    <w:lvlOverride w:ilvl="0">
      <w:startOverride w:val="1"/>
    </w:lvlOverride>
  </w:num>
  <w:num w:numId="38" w16cid:durableId="902331126">
    <w:abstractNumId w:val="22"/>
  </w:num>
  <w:num w:numId="39" w16cid:durableId="1955477641">
    <w:abstractNumId w:val="26"/>
  </w:num>
  <w:num w:numId="40" w16cid:durableId="1027410959">
    <w:abstractNumId w:val="33"/>
  </w:num>
  <w:num w:numId="41" w16cid:durableId="492452864">
    <w:abstractNumId w:val="12"/>
  </w:num>
  <w:num w:numId="42" w16cid:durableId="1490175308">
    <w:abstractNumId w:val="21"/>
  </w:num>
  <w:num w:numId="43" w16cid:durableId="1153369771">
    <w:abstractNumId w:val="2"/>
  </w:num>
  <w:num w:numId="44" w16cid:durableId="947007618">
    <w:abstractNumId w:val="24"/>
  </w:num>
  <w:num w:numId="45" w16cid:durableId="2139645937">
    <w:abstractNumId w:val="8"/>
  </w:num>
  <w:num w:numId="46" w16cid:durableId="2055500140">
    <w:abstractNumId w:val="4"/>
  </w:num>
  <w:num w:numId="47" w16cid:durableId="1742677110">
    <w:abstractNumId w:val="14"/>
  </w:num>
  <w:num w:numId="48" w16cid:durableId="343283487">
    <w:abstractNumId w:val="34"/>
  </w:num>
  <w:num w:numId="49" w16cid:durableId="148636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0E1E"/>
    <w:rsid w:val="000015F5"/>
    <w:rsid w:val="00001F64"/>
    <w:rsid w:val="00004534"/>
    <w:rsid w:val="000045FB"/>
    <w:rsid w:val="00004743"/>
    <w:rsid w:val="00005CE2"/>
    <w:rsid w:val="0000665B"/>
    <w:rsid w:val="00007A50"/>
    <w:rsid w:val="000127F9"/>
    <w:rsid w:val="00013333"/>
    <w:rsid w:val="00014258"/>
    <w:rsid w:val="00015497"/>
    <w:rsid w:val="00021DDF"/>
    <w:rsid w:val="00026A5A"/>
    <w:rsid w:val="00034EE3"/>
    <w:rsid w:val="0003684D"/>
    <w:rsid w:val="0004160B"/>
    <w:rsid w:val="0004645C"/>
    <w:rsid w:val="00047AD5"/>
    <w:rsid w:val="000528C0"/>
    <w:rsid w:val="00052BE5"/>
    <w:rsid w:val="00052FC5"/>
    <w:rsid w:val="00053B22"/>
    <w:rsid w:val="00055B9E"/>
    <w:rsid w:val="000635CD"/>
    <w:rsid w:val="00064106"/>
    <w:rsid w:val="00064108"/>
    <w:rsid w:val="000644B9"/>
    <w:rsid w:val="00064D72"/>
    <w:rsid w:val="00065B73"/>
    <w:rsid w:val="0007179A"/>
    <w:rsid w:val="00072F5E"/>
    <w:rsid w:val="000748F4"/>
    <w:rsid w:val="00074FE4"/>
    <w:rsid w:val="0008092F"/>
    <w:rsid w:val="00081BA1"/>
    <w:rsid w:val="000827B0"/>
    <w:rsid w:val="00082AEF"/>
    <w:rsid w:val="00084016"/>
    <w:rsid w:val="0008505E"/>
    <w:rsid w:val="00087332"/>
    <w:rsid w:val="00087D2A"/>
    <w:rsid w:val="00091888"/>
    <w:rsid w:val="00094B81"/>
    <w:rsid w:val="00095A50"/>
    <w:rsid w:val="000A0641"/>
    <w:rsid w:val="000A5B3C"/>
    <w:rsid w:val="000A5FA5"/>
    <w:rsid w:val="000A6B22"/>
    <w:rsid w:val="000B1F7B"/>
    <w:rsid w:val="000B244F"/>
    <w:rsid w:val="000B3963"/>
    <w:rsid w:val="000B3A50"/>
    <w:rsid w:val="000C0B57"/>
    <w:rsid w:val="000C3723"/>
    <w:rsid w:val="000C3A5C"/>
    <w:rsid w:val="000C3B71"/>
    <w:rsid w:val="000C67FD"/>
    <w:rsid w:val="000D0273"/>
    <w:rsid w:val="000D17D8"/>
    <w:rsid w:val="000D3369"/>
    <w:rsid w:val="000D7942"/>
    <w:rsid w:val="000E05EF"/>
    <w:rsid w:val="000E4DEF"/>
    <w:rsid w:val="000F07E9"/>
    <w:rsid w:val="000F30C6"/>
    <w:rsid w:val="000F4593"/>
    <w:rsid w:val="000F4B7B"/>
    <w:rsid w:val="000F5861"/>
    <w:rsid w:val="000F6D1C"/>
    <w:rsid w:val="000F6F7E"/>
    <w:rsid w:val="000F7C3D"/>
    <w:rsid w:val="00102276"/>
    <w:rsid w:val="0010231F"/>
    <w:rsid w:val="0011279A"/>
    <w:rsid w:val="00112896"/>
    <w:rsid w:val="00117077"/>
    <w:rsid w:val="0012473C"/>
    <w:rsid w:val="00124C2C"/>
    <w:rsid w:val="001252FB"/>
    <w:rsid w:val="00126769"/>
    <w:rsid w:val="001267DB"/>
    <w:rsid w:val="00132410"/>
    <w:rsid w:val="0013341B"/>
    <w:rsid w:val="00134EF7"/>
    <w:rsid w:val="001408D6"/>
    <w:rsid w:val="00143D7E"/>
    <w:rsid w:val="00152308"/>
    <w:rsid w:val="00152321"/>
    <w:rsid w:val="00153582"/>
    <w:rsid w:val="00155533"/>
    <w:rsid w:val="00157F29"/>
    <w:rsid w:val="00161403"/>
    <w:rsid w:val="00165900"/>
    <w:rsid w:val="00166A6F"/>
    <w:rsid w:val="001670DC"/>
    <w:rsid w:val="001709D2"/>
    <w:rsid w:val="001730B7"/>
    <w:rsid w:val="00175CD8"/>
    <w:rsid w:val="0017784B"/>
    <w:rsid w:val="00186B9E"/>
    <w:rsid w:val="001936D9"/>
    <w:rsid w:val="001A039D"/>
    <w:rsid w:val="001A53AB"/>
    <w:rsid w:val="001B5F61"/>
    <w:rsid w:val="001C23E5"/>
    <w:rsid w:val="001C3127"/>
    <w:rsid w:val="001C52BB"/>
    <w:rsid w:val="001C5759"/>
    <w:rsid w:val="001D4C7E"/>
    <w:rsid w:val="001E074B"/>
    <w:rsid w:val="001E089E"/>
    <w:rsid w:val="001E39AD"/>
    <w:rsid w:val="001E6CD4"/>
    <w:rsid w:val="002050E4"/>
    <w:rsid w:val="00206027"/>
    <w:rsid w:val="00207ADE"/>
    <w:rsid w:val="0021275C"/>
    <w:rsid w:val="00212F39"/>
    <w:rsid w:val="002166AE"/>
    <w:rsid w:val="0021670E"/>
    <w:rsid w:val="002273DF"/>
    <w:rsid w:val="00230E2E"/>
    <w:rsid w:val="00233886"/>
    <w:rsid w:val="002356D3"/>
    <w:rsid w:val="002410E9"/>
    <w:rsid w:val="00241231"/>
    <w:rsid w:val="00241B50"/>
    <w:rsid w:val="00244276"/>
    <w:rsid w:val="00244B92"/>
    <w:rsid w:val="00245C27"/>
    <w:rsid w:val="00246CFA"/>
    <w:rsid w:val="00247188"/>
    <w:rsid w:val="0025010F"/>
    <w:rsid w:val="00250EB2"/>
    <w:rsid w:val="002513EF"/>
    <w:rsid w:val="002516C7"/>
    <w:rsid w:val="00252832"/>
    <w:rsid w:val="0026038B"/>
    <w:rsid w:val="002608C4"/>
    <w:rsid w:val="00263C10"/>
    <w:rsid w:val="00274EEB"/>
    <w:rsid w:val="0027775B"/>
    <w:rsid w:val="00280BB3"/>
    <w:rsid w:val="00285691"/>
    <w:rsid w:val="00286E51"/>
    <w:rsid w:val="00290514"/>
    <w:rsid w:val="00290CD9"/>
    <w:rsid w:val="00292044"/>
    <w:rsid w:val="00293435"/>
    <w:rsid w:val="002940FF"/>
    <w:rsid w:val="00296E82"/>
    <w:rsid w:val="002A3117"/>
    <w:rsid w:val="002A4307"/>
    <w:rsid w:val="002A49F1"/>
    <w:rsid w:val="002A6F8F"/>
    <w:rsid w:val="002A7165"/>
    <w:rsid w:val="002B1BF7"/>
    <w:rsid w:val="002B1E3C"/>
    <w:rsid w:val="002B3DE9"/>
    <w:rsid w:val="002B5C5B"/>
    <w:rsid w:val="002B7971"/>
    <w:rsid w:val="002C6A0C"/>
    <w:rsid w:val="002C6F61"/>
    <w:rsid w:val="002D10B2"/>
    <w:rsid w:val="002D3612"/>
    <w:rsid w:val="002D4856"/>
    <w:rsid w:val="002D54B4"/>
    <w:rsid w:val="002D5CBC"/>
    <w:rsid w:val="002E0EAB"/>
    <w:rsid w:val="002E14A0"/>
    <w:rsid w:val="002E5113"/>
    <w:rsid w:val="002F14C4"/>
    <w:rsid w:val="002F4F8E"/>
    <w:rsid w:val="002F591F"/>
    <w:rsid w:val="003008D8"/>
    <w:rsid w:val="00300CBB"/>
    <w:rsid w:val="00301136"/>
    <w:rsid w:val="00311F38"/>
    <w:rsid w:val="003120CD"/>
    <w:rsid w:val="003173E0"/>
    <w:rsid w:val="00321B93"/>
    <w:rsid w:val="003263E6"/>
    <w:rsid w:val="00333569"/>
    <w:rsid w:val="00334509"/>
    <w:rsid w:val="00335320"/>
    <w:rsid w:val="00335538"/>
    <w:rsid w:val="0033718E"/>
    <w:rsid w:val="003448D9"/>
    <w:rsid w:val="00345304"/>
    <w:rsid w:val="0035444D"/>
    <w:rsid w:val="003554BD"/>
    <w:rsid w:val="00356274"/>
    <w:rsid w:val="003566D3"/>
    <w:rsid w:val="00356B24"/>
    <w:rsid w:val="00361624"/>
    <w:rsid w:val="00362497"/>
    <w:rsid w:val="00362FE7"/>
    <w:rsid w:val="00364DCB"/>
    <w:rsid w:val="00365141"/>
    <w:rsid w:val="0036762A"/>
    <w:rsid w:val="00373E6F"/>
    <w:rsid w:val="00377055"/>
    <w:rsid w:val="00377680"/>
    <w:rsid w:val="00386AF2"/>
    <w:rsid w:val="003924D4"/>
    <w:rsid w:val="003961D6"/>
    <w:rsid w:val="003968FF"/>
    <w:rsid w:val="003A1B6F"/>
    <w:rsid w:val="003A212D"/>
    <w:rsid w:val="003A461B"/>
    <w:rsid w:val="003B4235"/>
    <w:rsid w:val="003B6C24"/>
    <w:rsid w:val="003C1B12"/>
    <w:rsid w:val="003C3C33"/>
    <w:rsid w:val="003C4DA5"/>
    <w:rsid w:val="003C7F4C"/>
    <w:rsid w:val="003D036E"/>
    <w:rsid w:val="003D38AF"/>
    <w:rsid w:val="003D3928"/>
    <w:rsid w:val="003D4A9D"/>
    <w:rsid w:val="003E7102"/>
    <w:rsid w:val="003F2E57"/>
    <w:rsid w:val="003F3F05"/>
    <w:rsid w:val="003F4036"/>
    <w:rsid w:val="003F575B"/>
    <w:rsid w:val="003F5DDE"/>
    <w:rsid w:val="003F5E43"/>
    <w:rsid w:val="004034BD"/>
    <w:rsid w:val="004047D6"/>
    <w:rsid w:val="004131DF"/>
    <w:rsid w:val="00416F79"/>
    <w:rsid w:val="004233CB"/>
    <w:rsid w:val="004246B8"/>
    <w:rsid w:val="0042652F"/>
    <w:rsid w:val="004277D3"/>
    <w:rsid w:val="004320AC"/>
    <w:rsid w:val="00435E0B"/>
    <w:rsid w:val="00440D56"/>
    <w:rsid w:val="004429A5"/>
    <w:rsid w:val="004431B5"/>
    <w:rsid w:val="00443404"/>
    <w:rsid w:val="00447DB4"/>
    <w:rsid w:val="0045381C"/>
    <w:rsid w:val="004544B1"/>
    <w:rsid w:val="00454694"/>
    <w:rsid w:val="00457050"/>
    <w:rsid w:val="00460602"/>
    <w:rsid w:val="0046072C"/>
    <w:rsid w:val="0046301A"/>
    <w:rsid w:val="00463B62"/>
    <w:rsid w:val="00465859"/>
    <w:rsid w:val="004706EB"/>
    <w:rsid w:val="004728CC"/>
    <w:rsid w:val="0048310A"/>
    <w:rsid w:val="00485955"/>
    <w:rsid w:val="00487A39"/>
    <w:rsid w:val="004A41D9"/>
    <w:rsid w:val="004A59A5"/>
    <w:rsid w:val="004B2934"/>
    <w:rsid w:val="004B2B51"/>
    <w:rsid w:val="004B3AF2"/>
    <w:rsid w:val="004B4802"/>
    <w:rsid w:val="004B58A3"/>
    <w:rsid w:val="004B6ADF"/>
    <w:rsid w:val="004B6AF6"/>
    <w:rsid w:val="004B7498"/>
    <w:rsid w:val="004C1658"/>
    <w:rsid w:val="004C1DFF"/>
    <w:rsid w:val="004C434F"/>
    <w:rsid w:val="004C719A"/>
    <w:rsid w:val="004D06D7"/>
    <w:rsid w:val="004D6A20"/>
    <w:rsid w:val="004D7346"/>
    <w:rsid w:val="004E1E42"/>
    <w:rsid w:val="004E3E16"/>
    <w:rsid w:val="004F0E82"/>
    <w:rsid w:val="004F686B"/>
    <w:rsid w:val="00502188"/>
    <w:rsid w:val="0050578C"/>
    <w:rsid w:val="00507586"/>
    <w:rsid w:val="00512E8A"/>
    <w:rsid w:val="00514462"/>
    <w:rsid w:val="00521D9B"/>
    <w:rsid w:val="0052362A"/>
    <w:rsid w:val="00523D2C"/>
    <w:rsid w:val="00524638"/>
    <w:rsid w:val="00532A0F"/>
    <w:rsid w:val="005356B2"/>
    <w:rsid w:val="00536D1E"/>
    <w:rsid w:val="00540405"/>
    <w:rsid w:val="005426BC"/>
    <w:rsid w:val="00543F1A"/>
    <w:rsid w:val="00552EE3"/>
    <w:rsid w:val="00553705"/>
    <w:rsid w:val="00557AF7"/>
    <w:rsid w:val="0056379C"/>
    <w:rsid w:val="00565623"/>
    <w:rsid w:val="00566FB7"/>
    <w:rsid w:val="005701EE"/>
    <w:rsid w:val="00576352"/>
    <w:rsid w:val="00577563"/>
    <w:rsid w:val="005801FA"/>
    <w:rsid w:val="005812DF"/>
    <w:rsid w:val="00581BB9"/>
    <w:rsid w:val="0058575E"/>
    <w:rsid w:val="0058651C"/>
    <w:rsid w:val="0059018E"/>
    <w:rsid w:val="00590C7E"/>
    <w:rsid w:val="00590CB3"/>
    <w:rsid w:val="00591A30"/>
    <w:rsid w:val="00591B8B"/>
    <w:rsid w:val="005951C6"/>
    <w:rsid w:val="005978BA"/>
    <w:rsid w:val="005A1B5A"/>
    <w:rsid w:val="005A2C8B"/>
    <w:rsid w:val="005A3C87"/>
    <w:rsid w:val="005A5C2A"/>
    <w:rsid w:val="005A6400"/>
    <w:rsid w:val="005B4B5C"/>
    <w:rsid w:val="005B7A98"/>
    <w:rsid w:val="005B7FA0"/>
    <w:rsid w:val="005C65E7"/>
    <w:rsid w:val="005D0533"/>
    <w:rsid w:val="005D11ED"/>
    <w:rsid w:val="005D1558"/>
    <w:rsid w:val="005D2A23"/>
    <w:rsid w:val="005D69BF"/>
    <w:rsid w:val="005D75A9"/>
    <w:rsid w:val="005E1326"/>
    <w:rsid w:val="005E3602"/>
    <w:rsid w:val="005E3E9A"/>
    <w:rsid w:val="005E7A33"/>
    <w:rsid w:val="005E7A71"/>
    <w:rsid w:val="005F6980"/>
    <w:rsid w:val="005F77E4"/>
    <w:rsid w:val="00600BBC"/>
    <w:rsid w:val="00603B07"/>
    <w:rsid w:val="006053F3"/>
    <w:rsid w:val="00607C44"/>
    <w:rsid w:val="006119D9"/>
    <w:rsid w:val="00613263"/>
    <w:rsid w:val="00613408"/>
    <w:rsid w:val="00615E49"/>
    <w:rsid w:val="00616016"/>
    <w:rsid w:val="006179EE"/>
    <w:rsid w:val="00630A29"/>
    <w:rsid w:val="00631680"/>
    <w:rsid w:val="0063602C"/>
    <w:rsid w:val="00641B36"/>
    <w:rsid w:val="00642765"/>
    <w:rsid w:val="00643B54"/>
    <w:rsid w:val="00645876"/>
    <w:rsid w:val="006514F7"/>
    <w:rsid w:val="006532AA"/>
    <w:rsid w:val="00653E82"/>
    <w:rsid w:val="006557EF"/>
    <w:rsid w:val="00662409"/>
    <w:rsid w:val="00662EDC"/>
    <w:rsid w:val="00664A22"/>
    <w:rsid w:val="00664E91"/>
    <w:rsid w:val="00671D81"/>
    <w:rsid w:val="00671D9A"/>
    <w:rsid w:val="0067613C"/>
    <w:rsid w:val="0067698A"/>
    <w:rsid w:val="0067724B"/>
    <w:rsid w:val="00681323"/>
    <w:rsid w:val="00682A75"/>
    <w:rsid w:val="00692575"/>
    <w:rsid w:val="006926FB"/>
    <w:rsid w:val="00692EC8"/>
    <w:rsid w:val="006934A7"/>
    <w:rsid w:val="00694FA4"/>
    <w:rsid w:val="00695551"/>
    <w:rsid w:val="006976B8"/>
    <w:rsid w:val="006A1F0B"/>
    <w:rsid w:val="006A5ACF"/>
    <w:rsid w:val="006B1C10"/>
    <w:rsid w:val="006B69C3"/>
    <w:rsid w:val="006C1D61"/>
    <w:rsid w:val="006C2612"/>
    <w:rsid w:val="006C4A65"/>
    <w:rsid w:val="006D0733"/>
    <w:rsid w:val="006D20AD"/>
    <w:rsid w:val="006E49AB"/>
    <w:rsid w:val="006E5F4C"/>
    <w:rsid w:val="006E6974"/>
    <w:rsid w:val="006F03ED"/>
    <w:rsid w:val="006F115E"/>
    <w:rsid w:val="006F4F69"/>
    <w:rsid w:val="006F69D0"/>
    <w:rsid w:val="006F6F29"/>
    <w:rsid w:val="006F7382"/>
    <w:rsid w:val="00701F92"/>
    <w:rsid w:val="00704A6D"/>
    <w:rsid w:val="00706696"/>
    <w:rsid w:val="00706C82"/>
    <w:rsid w:val="00711546"/>
    <w:rsid w:val="00711853"/>
    <w:rsid w:val="007119EC"/>
    <w:rsid w:val="00714096"/>
    <w:rsid w:val="007165B1"/>
    <w:rsid w:val="00716EC5"/>
    <w:rsid w:val="00720526"/>
    <w:rsid w:val="00720587"/>
    <w:rsid w:val="00722E1A"/>
    <w:rsid w:val="007250DA"/>
    <w:rsid w:val="00725833"/>
    <w:rsid w:val="00731F5A"/>
    <w:rsid w:val="00734354"/>
    <w:rsid w:val="0073526D"/>
    <w:rsid w:val="00736583"/>
    <w:rsid w:val="00743661"/>
    <w:rsid w:val="0074432F"/>
    <w:rsid w:val="007444BD"/>
    <w:rsid w:val="00746990"/>
    <w:rsid w:val="0075008A"/>
    <w:rsid w:val="0075124E"/>
    <w:rsid w:val="00751770"/>
    <w:rsid w:val="00753110"/>
    <w:rsid w:val="00754144"/>
    <w:rsid w:val="00756EB0"/>
    <w:rsid w:val="00757E6A"/>
    <w:rsid w:val="00762848"/>
    <w:rsid w:val="007652ED"/>
    <w:rsid w:val="007663A6"/>
    <w:rsid w:val="007709C7"/>
    <w:rsid w:val="00771604"/>
    <w:rsid w:val="00773123"/>
    <w:rsid w:val="0077314C"/>
    <w:rsid w:val="00773B4C"/>
    <w:rsid w:val="0077764E"/>
    <w:rsid w:val="00782458"/>
    <w:rsid w:val="007829DD"/>
    <w:rsid w:val="00783FA7"/>
    <w:rsid w:val="00786240"/>
    <w:rsid w:val="007909E2"/>
    <w:rsid w:val="00792460"/>
    <w:rsid w:val="007A19DC"/>
    <w:rsid w:val="007A2CAF"/>
    <w:rsid w:val="007A2E0B"/>
    <w:rsid w:val="007A3539"/>
    <w:rsid w:val="007A3857"/>
    <w:rsid w:val="007A78B1"/>
    <w:rsid w:val="007A78F1"/>
    <w:rsid w:val="007B28CA"/>
    <w:rsid w:val="007B4F79"/>
    <w:rsid w:val="007C24A5"/>
    <w:rsid w:val="007D2158"/>
    <w:rsid w:val="007D3991"/>
    <w:rsid w:val="007F0A77"/>
    <w:rsid w:val="007F28F9"/>
    <w:rsid w:val="008015EE"/>
    <w:rsid w:val="00801A17"/>
    <w:rsid w:val="00804E7E"/>
    <w:rsid w:val="00805113"/>
    <w:rsid w:val="00805444"/>
    <w:rsid w:val="00806217"/>
    <w:rsid w:val="00811206"/>
    <w:rsid w:val="008117C8"/>
    <w:rsid w:val="0081300C"/>
    <w:rsid w:val="008144E5"/>
    <w:rsid w:val="00815F7C"/>
    <w:rsid w:val="00820DC5"/>
    <w:rsid w:val="00821104"/>
    <w:rsid w:val="0082418C"/>
    <w:rsid w:val="00831B56"/>
    <w:rsid w:val="008329DB"/>
    <w:rsid w:val="00836285"/>
    <w:rsid w:val="00840FF6"/>
    <w:rsid w:val="00841133"/>
    <w:rsid w:val="008463E2"/>
    <w:rsid w:val="0084734B"/>
    <w:rsid w:val="0085564D"/>
    <w:rsid w:val="0085753D"/>
    <w:rsid w:val="00865FC2"/>
    <w:rsid w:val="00870173"/>
    <w:rsid w:val="00870254"/>
    <w:rsid w:val="00870BB0"/>
    <w:rsid w:val="0087372A"/>
    <w:rsid w:val="00874773"/>
    <w:rsid w:val="00875D39"/>
    <w:rsid w:val="00877A7A"/>
    <w:rsid w:val="00884E05"/>
    <w:rsid w:val="008859D1"/>
    <w:rsid w:val="00887EE3"/>
    <w:rsid w:val="00891B58"/>
    <w:rsid w:val="008921D5"/>
    <w:rsid w:val="00893F47"/>
    <w:rsid w:val="00894493"/>
    <w:rsid w:val="008A274F"/>
    <w:rsid w:val="008A2E40"/>
    <w:rsid w:val="008B28D0"/>
    <w:rsid w:val="008B319A"/>
    <w:rsid w:val="008B6E67"/>
    <w:rsid w:val="008B7BA6"/>
    <w:rsid w:val="008C06FD"/>
    <w:rsid w:val="008C116A"/>
    <w:rsid w:val="008C20ED"/>
    <w:rsid w:val="008C6CF9"/>
    <w:rsid w:val="008D25F1"/>
    <w:rsid w:val="008D4F95"/>
    <w:rsid w:val="008D6261"/>
    <w:rsid w:val="008D6BDE"/>
    <w:rsid w:val="008D7696"/>
    <w:rsid w:val="008E0C10"/>
    <w:rsid w:val="008F4413"/>
    <w:rsid w:val="008F5087"/>
    <w:rsid w:val="00901EE5"/>
    <w:rsid w:val="00903CBD"/>
    <w:rsid w:val="00904DF1"/>
    <w:rsid w:val="009050D2"/>
    <w:rsid w:val="0090548D"/>
    <w:rsid w:val="009066B8"/>
    <w:rsid w:val="0091663D"/>
    <w:rsid w:val="00917141"/>
    <w:rsid w:val="0091761B"/>
    <w:rsid w:val="00922508"/>
    <w:rsid w:val="009225D3"/>
    <w:rsid w:val="00923A7A"/>
    <w:rsid w:val="00923EFF"/>
    <w:rsid w:val="00926ADC"/>
    <w:rsid w:val="00930D58"/>
    <w:rsid w:val="00931A63"/>
    <w:rsid w:val="00932395"/>
    <w:rsid w:val="009338F3"/>
    <w:rsid w:val="00934FDF"/>
    <w:rsid w:val="00937208"/>
    <w:rsid w:val="0093723C"/>
    <w:rsid w:val="0094276C"/>
    <w:rsid w:val="0094436E"/>
    <w:rsid w:val="0094514B"/>
    <w:rsid w:val="009552F6"/>
    <w:rsid w:val="0095570D"/>
    <w:rsid w:val="00955CE8"/>
    <w:rsid w:val="00956B3A"/>
    <w:rsid w:val="00960851"/>
    <w:rsid w:val="00967490"/>
    <w:rsid w:val="00967885"/>
    <w:rsid w:val="00967AD9"/>
    <w:rsid w:val="00971F79"/>
    <w:rsid w:val="00972398"/>
    <w:rsid w:val="00974165"/>
    <w:rsid w:val="009759B7"/>
    <w:rsid w:val="00975C02"/>
    <w:rsid w:val="00984405"/>
    <w:rsid w:val="00990AFC"/>
    <w:rsid w:val="0099113E"/>
    <w:rsid w:val="009918E9"/>
    <w:rsid w:val="00992907"/>
    <w:rsid w:val="0099588D"/>
    <w:rsid w:val="009A1BC7"/>
    <w:rsid w:val="009A2087"/>
    <w:rsid w:val="009A25FE"/>
    <w:rsid w:val="009A4603"/>
    <w:rsid w:val="009A62A2"/>
    <w:rsid w:val="009A6ACA"/>
    <w:rsid w:val="009A7318"/>
    <w:rsid w:val="009A7A2B"/>
    <w:rsid w:val="009B06CA"/>
    <w:rsid w:val="009B1389"/>
    <w:rsid w:val="009B6454"/>
    <w:rsid w:val="009B7232"/>
    <w:rsid w:val="009C1126"/>
    <w:rsid w:val="009C25DA"/>
    <w:rsid w:val="009C5389"/>
    <w:rsid w:val="009C6D92"/>
    <w:rsid w:val="009D113D"/>
    <w:rsid w:val="009D2E4C"/>
    <w:rsid w:val="009D472B"/>
    <w:rsid w:val="009D4A3D"/>
    <w:rsid w:val="009D7483"/>
    <w:rsid w:val="009E215E"/>
    <w:rsid w:val="009E2EC1"/>
    <w:rsid w:val="009E7789"/>
    <w:rsid w:val="009E7E17"/>
    <w:rsid w:val="009F341B"/>
    <w:rsid w:val="009F3B53"/>
    <w:rsid w:val="009F66F5"/>
    <w:rsid w:val="009F7132"/>
    <w:rsid w:val="00A0550C"/>
    <w:rsid w:val="00A064E2"/>
    <w:rsid w:val="00A06B06"/>
    <w:rsid w:val="00A10060"/>
    <w:rsid w:val="00A17B8F"/>
    <w:rsid w:val="00A238D3"/>
    <w:rsid w:val="00A2543A"/>
    <w:rsid w:val="00A25D41"/>
    <w:rsid w:val="00A30217"/>
    <w:rsid w:val="00A35A47"/>
    <w:rsid w:val="00A40F25"/>
    <w:rsid w:val="00A51DC4"/>
    <w:rsid w:val="00A52A67"/>
    <w:rsid w:val="00A53007"/>
    <w:rsid w:val="00A55650"/>
    <w:rsid w:val="00A56BCF"/>
    <w:rsid w:val="00A608CA"/>
    <w:rsid w:val="00A60D7A"/>
    <w:rsid w:val="00A62A1C"/>
    <w:rsid w:val="00A655D5"/>
    <w:rsid w:val="00A757D2"/>
    <w:rsid w:val="00A80741"/>
    <w:rsid w:val="00A84B94"/>
    <w:rsid w:val="00A85190"/>
    <w:rsid w:val="00A90F6A"/>
    <w:rsid w:val="00A9135B"/>
    <w:rsid w:val="00A93AB6"/>
    <w:rsid w:val="00A9536C"/>
    <w:rsid w:val="00A97358"/>
    <w:rsid w:val="00A97A57"/>
    <w:rsid w:val="00AA12EC"/>
    <w:rsid w:val="00AA47B3"/>
    <w:rsid w:val="00AA5C1A"/>
    <w:rsid w:val="00AB2EA2"/>
    <w:rsid w:val="00AB3FF3"/>
    <w:rsid w:val="00AB7CBF"/>
    <w:rsid w:val="00AC2957"/>
    <w:rsid w:val="00AC33DF"/>
    <w:rsid w:val="00AC5329"/>
    <w:rsid w:val="00AC6A5B"/>
    <w:rsid w:val="00AD3544"/>
    <w:rsid w:val="00AD3E40"/>
    <w:rsid w:val="00AD42BD"/>
    <w:rsid w:val="00AD5586"/>
    <w:rsid w:val="00AD7A8C"/>
    <w:rsid w:val="00AE5559"/>
    <w:rsid w:val="00AE7C12"/>
    <w:rsid w:val="00B00355"/>
    <w:rsid w:val="00B04B5A"/>
    <w:rsid w:val="00B10F90"/>
    <w:rsid w:val="00B1385E"/>
    <w:rsid w:val="00B167C2"/>
    <w:rsid w:val="00B23A63"/>
    <w:rsid w:val="00B24536"/>
    <w:rsid w:val="00B24E49"/>
    <w:rsid w:val="00B266A4"/>
    <w:rsid w:val="00B27300"/>
    <w:rsid w:val="00B303D3"/>
    <w:rsid w:val="00B30C13"/>
    <w:rsid w:val="00B3166F"/>
    <w:rsid w:val="00B325AB"/>
    <w:rsid w:val="00B34C80"/>
    <w:rsid w:val="00B3629B"/>
    <w:rsid w:val="00B36AFE"/>
    <w:rsid w:val="00B41FBB"/>
    <w:rsid w:val="00B42644"/>
    <w:rsid w:val="00B42B6F"/>
    <w:rsid w:val="00B46BC0"/>
    <w:rsid w:val="00B479DC"/>
    <w:rsid w:val="00B521FB"/>
    <w:rsid w:val="00B54ED6"/>
    <w:rsid w:val="00B61AE9"/>
    <w:rsid w:val="00B62DC2"/>
    <w:rsid w:val="00B668F5"/>
    <w:rsid w:val="00B7271F"/>
    <w:rsid w:val="00B81163"/>
    <w:rsid w:val="00B844E3"/>
    <w:rsid w:val="00B90BDE"/>
    <w:rsid w:val="00B9135A"/>
    <w:rsid w:val="00B92002"/>
    <w:rsid w:val="00B9395E"/>
    <w:rsid w:val="00B94098"/>
    <w:rsid w:val="00B94301"/>
    <w:rsid w:val="00B94304"/>
    <w:rsid w:val="00B94F8C"/>
    <w:rsid w:val="00B96674"/>
    <w:rsid w:val="00BA7E37"/>
    <w:rsid w:val="00BB04BF"/>
    <w:rsid w:val="00BB21C6"/>
    <w:rsid w:val="00BB2BEA"/>
    <w:rsid w:val="00BB2FE9"/>
    <w:rsid w:val="00BB34CD"/>
    <w:rsid w:val="00BB71C3"/>
    <w:rsid w:val="00BB7CDD"/>
    <w:rsid w:val="00BC557A"/>
    <w:rsid w:val="00BC6B2A"/>
    <w:rsid w:val="00BD3C6C"/>
    <w:rsid w:val="00BD7AF5"/>
    <w:rsid w:val="00BE0386"/>
    <w:rsid w:val="00BE03B8"/>
    <w:rsid w:val="00BE2699"/>
    <w:rsid w:val="00BE3073"/>
    <w:rsid w:val="00BE32C5"/>
    <w:rsid w:val="00BE7925"/>
    <w:rsid w:val="00BF6FA7"/>
    <w:rsid w:val="00BF7B4A"/>
    <w:rsid w:val="00C00F08"/>
    <w:rsid w:val="00C05583"/>
    <w:rsid w:val="00C05965"/>
    <w:rsid w:val="00C12388"/>
    <w:rsid w:val="00C1282C"/>
    <w:rsid w:val="00C12DE0"/>
    <w:rsid w:val="00C14E48"/>
    <w:rsid w:val="00C15B9F"/>
    <w:rsid w:val="00C161D8"/>
    <w:rsid w:val="00C16D34"/>
    <w:rsid w:val="00C21280"/>
    <w:rsid w:val="00C30EE8"/>
    <w:rsid w:val="00C346EA"/>
    <w:rsid w:val="00C35123"/>
    <w:rsid w:val="00C4248E"/>
    <w:rsid w:val="00C47766"/>
    <w:rsid w:val="00C54D2C"/>
    <w:rsid w:val="00C5736D"/>
    <w:rsid w:val="00C57726"/>
    <w:rsid w:val="00C60B74"/>
    <w:rsid w:val="00C60F65"/>
    <w:rsid w:val="00C61C8F"/>
    <w:rsid w:val="00C6335E"/>
    <w:rsid w:val="00C64571"/>
    <w:rsid w:val="00C6483C"/>
    <w:rsid w:val="00C703EA"/>
    <w:rsid w:val="00C733C2"/>
    <w:rsid w:val="00C740B8"/>
    <w:rsid w:val="00C81F8B"/>
    <w:rsid w:val="00C833DE"/>
    <w:rsid w:val="00C83AE3"/>
    <w:rsid w:val="00C86AB9"/>
    <w:rsid w:val="00C910A0"/>
    <w:rsid w:val="00C915FD"/>
    <w:rsid w:val="00C91633"/>
    <w:rsid w:val="00C91795"/>
    <w:rsid w:val="00CA3D88"/>
    <w:rsid w:val="00CA3E43"/>
    <w:rsid w:val="00CA4CF1"/>
    <w:rsid w:val="00CA6C30"/>
    <w:rsid w:val="00CA72BD"/>
    <w:rsid w:val="00CA77A3"/>
    <w:rsid w:val="00CB0550"/>
    <w:rsid w:val="00CB18E0"/>
    <w:rsid w:val="00CB1AAD"/>
    <w:rsid w:val="00CB3CDD"/>
    <w:rsid w:val="00CB6267"/>
    <w:rsid w:val="00CC22DE"/>
    <w:rsid w:val="00CC3661"/>
    <w:rsid w:val="00CC3DAA"/>
    <w:rsid w:val="00CC4089"/>
    <w:rsid w:val="00CC66D8"/>
    <w:rsid w:val="00CD1B7F"/>
    <w:rsid w:val="00CD70F8"/>
    <w:rsid w:val="00CE53DA"/>
    <w:rsid w:val="00CE5603"/>
    <w:rsid w:val="00CE580A"/>
    <w:rsid w:val="00CE641B"/>
    <w:rsid w:val="00CE755B"/>
    <w:rsid w:val="00CE793D"/>
    <w:rsid w:val="00CF100B"/>
    <w:rsid w:val="00CF3C30"/>
    <w:rsid w:val="00D008E1"/>
    <w:rsid w:val="00D02664"/>
    <w:rsid w:val="00D078BE"/>
    <w:rsid w:val="00D07BC2"/>
    <w:rsid w:val="00D110DC"/>
    <w:rsid w:val="00D13F8A"/>
    <w:rsid w:val="00D15E47"/>
    <w:rsid w:val="00D1612F"/>
    <w:rsid w:val="00D2065C"/>
    <w:rsid w:val="00D20CE2"/>
    <w:rsid w:val="00D23434"/>
    <w:rsid w:val="00D24438"/>
    <w:rsid w:val="00D26BB8"/>
    <w:rsid w:val="00D31C7F"/>
    <w:rsid w:val="00D377D4"/>
    <w:rsid w:val="00D467BC"/>
    <w:rsid w:val="00D50DB9"/>
    <w:rsid w:val="00D561B7"/>
    <w:rsid w:val="00D5698F"/>
    <w:rsid w:val="00D600F3"/>
    <w:rsid w:val="00D63833"/>
    <w:rsid w:val="00D64077"/>
    <w:rsid w:val="00D6426E"/>
    <w:rsid w:val="00D65591"/>
    <w:rsid w:val="00D663CD"/>
    <w:rsid w:val="00D67AB0"/>
    <w:rsid w:val="00D702C4"/>
    <w:rsid w:val="00D70413"/>
    <w:rsid w:val="00D75853"/>
    <w:rsid w:val="00D77233"/>
    <w:rsid w:val="00D77C0E"/>
    <w:rsid w:val="00D805A2"/>
    <w:rsid w:val="00D80EE6"/>
    <w:rsid w:val="00D843B2"/>
    <w:rsid w:val="00D879E3"/>
    <w:rsid w:val="00D918D5"/>
    <w:rsid w:val="00D925CB"/>
    <w:rsid w:val="00D93E10"/>
    <w:rsid w:val="00D9468B"/>
    <w:rsid w:val="00D96A5A"/>
    <w:rsid w:val="00DA0F7B"/>
    <w:rsid w:val="00DA22BA"/>
    <w:rsid w:val="00DA5F8B"/>
    <w:rsid w:val="00DB3BF1"/>
    <w:rsid w:val="00DB3ECC"/>
    <w:rsid w:val="00DB50CE"/>
    <w:rsid w:val="00DC11BA"/>
    <w:rsid w:val="00DC2E44"/>
    <w:rsid w:val="00DC4A56"/>
    <w:rsid w:val="00DC5CE2"/>
    <w:rsid w:val="00DD32A0"/>
    <w:rsid w:val="00DD3A05"/>
    <w:rsid w:val="00DD5C2C"/>
    <w:rsid w:val="00DE1519"/>
    <w:rsid w:val="00DE230F"/>
    <w:rsid w:val="00DE63A0"/>
    <w:rsid w:val="00DE78C9"/>
    <w:rsid w:val="00DF606E"/>
    <w:rsid w:val="00E05749"/>
    <w:rsid w:val="00E061B9"/>
    <w:rsid w:val="00E063A4"/>
    <w:rsid w:val="00E0733C"/>
    <w:rsid w:val="00E12CD7"/>
    <w:rsid w:val="00E2027F"/>
    <w:rsid w:val="00E22EB6"/>
    <w:rsid w:val="00E24C24"/>
    <w:rsid w:val="00E272F1"/>
    <w:rsid w:val="00E328B0"/>
    <w:rsid w:val="00E334B2"/>
    <w:rsid w:val="00E42057"/>
    <w:rsid w:val="00E43602"/>
    <w:rsid w:val="00E523BA"/>
    <w:rsid w:val="00E53D3F"/>
    <w:rsid w:val="00E630BF"/>
    <w:rsid w:val="00E65766"/>
    <w:rsid w:val="00E65F1F"/>
    <w:rsid w:val="00E67EA2"/>
    <w:rsid w:val="00E72F3E"/>
    <w:rsid w:val="00E7312E"/>
    <w:rsid w:val="00E8058D"/>
    <w:rsid w:val="00E82526"/>
    <w:rsid w:val="00E8435C"/>
    <w:rsid w:val="00E84865"/>
    <w:rsid w:val="00EA0132"/>
    <w:rsid w:val="00EA1FA3"/>
    <w:rsid w:val="00EA35B4"/>
    <w:rsid w:val="00EA4E7D"/>
    <w:rsid w:val="00EA75C9"/>
    <w:rsid w:val="00EA7641"/>
    <w:rsid w:val="00EB2148"/>
    <w:rsid w:val="00EB592B"/>
    <w:rsid w:val="00EB7D3C"/>
    <w:rsid w:val="00EC0096"/>
    <w:rsid w:val="00EC1D6B"/>
    <w:rsid w:val="00EC2DDA"/>
    <w:rsid w:val="00EC4C62"/>
    <w:rsid w:val="00EC4FBE"/>
    <w:rsid w:val="00EC771A"/>
    <w:rsid w:val="00ED12C4"/>
    <w:rsid w:val="00ED198A"/>
    <w:rsid w:val="00ED649A"/>
    <w:rsid w:val="00ED7169"/>
    <w:rsid w:val="00EE2006"/>
    <w:rsid w:val="00EF4EA5"/>
    <w:rsid w:val="00EF6958"/>
    <w:rsid w:val="00F005F3"/>
    <w:rsid w:val="00F01A2D"/>
    <w:rsid w:val="00F02AEC"/>
    <w:rsid w:val="00F0597A"/>
    <w:rsid w:val="00F068D5"/>
    <w:rsid w:val="00F06944"/>
    <w:rsid w:val="00F10269"/>
    <w:rsid w:val="00F122BD"/>
    <w:rsid w:val="00F16CA0"/>
    <w:rsid w:val="00F213CA"/>
    <w:rsid w:val="00F22416"/>
    <w:rsid w:val="00F24669"/>
    <w:rsid w:val="00F27D21"/>
    <w:rsid w:val="00F36362"/>
    <w:rsid w:val="00F36714"/>
    <w:rsid w:val="00F37BEB"/>
    <w:rsid w:val="00F42FD0"/>
    <w:rsid w:val="00F45262"/>
    <w:rsid w:val="00F51EA7"/>
    <w:rsid w:val="00F54C65"/>
    <w:rsid w:val="00F54DA5"/>
    <w:rsid w:val="00F56084"/>
    <w:rsid w:val="00F603A3"/>
    <w:rsid w:val="00F60FD1"/>
    <w:rsid w:val="00F61CBA"/>
    <w:rsid w:val="00F65BD0"/>
    <w:rsid w:val="00F777E7"/>
    <w:rsid w:val="00F81489"/>
    <w:rsid w:val="00F879DF"/>
    <w:rsid w:val="00F93BB5"/>
    <w:rsid w:val="00F960DA"/>
    <w:rsid w:val="00F97B41"/>
    <w:rsid w:val="00FA1B8C"/>
    <w:rsid w:val="00FA49C3"/>
    <w:rsid w:val="00FA6BC9"/>
    <w:rsid w:val="00FA76BB"/>
    <w:rsid w:val="00FB0C57"/>
    <w:rsid w:val="00FB1ACB"/>
    <w:rsid w:val="00FB2824"/>
    <w:rsid w:val="00FB29FF"/>
    <w:rsid w:val="00FC1821"/>
    <w:rsid w:val="00FC1EB4"/>
    <w:rsid w:val="00FC4B5C"/>
    <w:rsid w:val="00FC5EB2"/>
    <w:rsid w:val="00FC6E3D"/>
    <w:rsid w:val="00FE0270"/>
    <w:rsid w:val="00FE0F05"/>
    <w:rsid w:val="00FE3174"/>
    <w:rsid w:val="00FE346A"/>
    <w:rsid w:val="00FE500A"/>
    <w:rsid w:val="00FE75C7"/>
    <w:rsid w:val="00FF2295"/>
    <w:rsid w:val="00FF281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C4"/>
    <w:rPr>
      <w:rFonts w:ascii="Arial" w:hAnsi="Arial"/>
      <w:color w:val="000000" w:themeColor="text1"/>
      <w:szCs w:val="22"/>
    </w:rPr>
  </w:style>
  <w:style w:type="paragraph" w:styleId="Heading1">
    <w:name w:val="heading 1"/>
    <w:basedOn w:val="Normal"/>
    <w:next w:val="Normal"/>
    <w:link w:val="Heading1Char"/>
    <w:uiPriority w:val="9"/>
    <w:qFormat/>
    <w:rsid w:val="004546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335538"/>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335538"/>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B521FB"/>
    <w:pPr>
      <w:numPr>
        <w:numId w:val="11"/>
      </w:numPr>
      <w:spacing w:before="120" w:after="180" w:line="240" w:lineRule="atLeast"/>
      <w:ind w:left="567" w:hanging="357"/>
    </w:pPr>
    <w:rPr>
      <w:rFonts w:eastAsia="Cambria" w:cstheme="minorHAnsi"/>
    </w:rPr>
  </w:style>
  <w:style w:type="paragraph" w:styleId="ListBullet2">
    <w:name w:val="List Bullet 2"/>
    <w:basedOn w:val="Normal"/>
    <w:autoRedefine/>
    <w:uiPriority w:val="2"/>
    <w:qFormat/>
    <w:rsid w:val="00C12DE0"/>
    <w:pPr>
      <w:spacing w:before="120" w:after="180" w:line="240" w:lineRule="atLeast"/>
    </w:pPr>
    <w:rPr>
      <w:rFonts w:eastAsia="Cambria"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0"/>
      </w:numPr>
    </w:pPr>
  </w:style>
  <w:style w:type="paragraph" w:customStyle="1" w:styleId="Numberbullet0">
    <w:name w:val="Number bullet"/>
    <w:basedOn w:val="ListBullet"/>
    <w:autoRedefine/>
    <w:uiPriority w:val="3"/>
    <w:qFormat/>
    <w:rsid w:val="00B46BC0"/>
    <w:pPr>
      <w:numPr>
        <w:numId w:val="2"/>
      </w:numPr>
    </w:pPr>
  </w:style>
  <w:style w:type="paragraph" w:customStyle="1" w:styleId="Numberbullet2">
    <w:name w:val="Number bullet 2"/>
    <w:basedOn w:val="ListBullet2"/>
    <w:autoRedefine/>
    <w:uiPriority w:val="3"/>
    <w:qFormat/>
    <w:rsid w:val="00F02AEC"/>
    <w:p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206027"/>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206027"/>
    <w:rPr>
      <w:rFonts w:ascii="Arial" w:eastAsia="Cambria" w:hAnsi="Arial" w:cs="Times New Roman"/>
      <w:color w:val="333F48"/>
      <w:sz w:val="16"/>
      <w:szCs w:val="22"/>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a"/>
    <w:autoRedefine/>
    <w:uiPriority w:val="1"/>
    <w:qFormat/>
    <w:rsid w:val="00B54ED6"/>
    <w:pPr>
      <w:numPr>
        <w:numId w:val="5"/>
      </w:numPr>
    </w:pPr>
    <w:rPr>
      <w:rFonts w:cs="Times New Roman"/>
      <w:color w:val="auto"/>
    </w:r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9D113D"/>
    <w:pPr>
      <w:spacing w:after="0" w:line="240" w:lineRule="auto"/>
    </w:pPr>
    <w:rPr>
      <w:rFonts w:ascii="Arial" w:hAnsi="Arial" w:cs="Arial"/>
      <w:color w:val="000000" w:themeColor="text1"/>
      <w:sz w:val="16"/>
      <w:szCs w:val="16"/>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link w:val="ListParagraphChar"/>
    <w:autoRedefine/>
    <w:uiPriority w:val="34"/>
    <w:qFormat/>
    <w:rsid w:val="00BE0386"/>
    <w:pPr>
      <w:ind w:left="720"/>
      <w:contextualSpacing/>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paragraph" w:styleId="Revision">
    <w:name w:val="Revision"/>
    <w:hidden/>
    <w:uiPriority w:val="99"/>
    <w:semiHidden/>
    <w:rsid w:val="00CC4089"/>
    <w:pPr>
      <w:spacing w:after="0" w:line="240" w:lineRule="auto"/>
    </w:pPr>
    <w:rPr>
      <w:color w:val="000000" w:themeColor="text1"/>
      <w:sz w:val="22"/>
      <w:szCs w:val="22"/>
    </w:rPr>
  </w:style>
  <w:style w:type="table" w:customStyle="1" w:styleId="TableTGAblue1">
    <w:name w:val="Table TGA blue1"/>
    <w:basedOn w:val="TableNormal"/>
    <w:uiPriority w:val="99"/>
    <w:qFormat/>
    <w:rsid w:val="00F24669"/>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ListBulleta">
    <w:name w:val="List Bullet (a)"/>
    <w:basedOn w:val="ListBullet"/>
    <w:link w:val="ListBulletaChar"/>
    <w:autoRedefine/>
    <w:uiPriority w:val="1"/>
    <w:qFormat/>
    <w:rsid w:val="00BE3073"/>
    <w:pPr>
      <w:numPr>
        <w:numId w:val="36"/>
      </w:numPr>
    </w:pPr>
    <w:rPr>
      <w:rFonts w:cs="Arial"/>
      <w:szCs w:val="20"/>
    </w:rPr>
  </w:style>
  <w:style w:type="character" w:styleId="FollowedHyperlink">
    <w:name w:val="FollowedHyperlink"/>
    <w:basedOn w:val="DefaultParagraphFont"/>
    <w:uiPriority w:val="99"/>
    <w:semiHidden/>
    <w:unhideWhenUsed/>
    <w:rsid w:val="00FE75C7"/>
    <w:rPr>
      <w:color w:val="954F72" w:themeColor="followedHyperlink"/>
      <w:u w:val="single"/>
    </w:rPr>
  </w:style>
  <w:style w:type="character" w:customStyle="1" w:styleId="fm-vol-iss-date">
    <w:name w:val="fm-vol-iss-date"/>
    <w:basedOn w:val="DefaultParagraphFont"/>
    <w:rsid w:val="00D008E1"/>
  </w:style>
  <w:style w:type="character" w:customStyle="1" w:styleId="doi">
    <w:name w:val="doi"/>
    <w:basedOn w:val="DefaultParagraphFont"/>
    <w:rsid w:val="00D008E1"/>
  </w:style>
  <w:style w:type="character" w:customStyle="1" w:styleId="cf01">
    <w:name w:val="cf01"/>
    <w:basedOn w:val="DefaultParagraphFont"/>
    <w:rsid w:val="00361624"/>
    <w:rPr>
      <w:rFonts w:ascii="Segoe UI" w:hAnsi="Segoe UI" w:cs="Segoe UI" w:hint="default"/>
      <w:sz w:val="18"/>
      <w:szCs w:val="18"/>
    </w:rPr>
  </w:style>
  <w:style w:type="paragraph" w:customStyle="1" w:styleId="Footnotetext0">
    <w:name w:val="Foot note text"/>
    <w:basedOn w:val="Normal"/>
    <w:qFormat/>
    <w:rsid w:val="00206027"/>
    <w:pPr>
      <w:spacing w:after="0"/>
    </w:pPr>
    <w:rPr>
      <w:sz w:val="16"/>
      <w:szCs w:val="16"/>
    </w:rPr>
  </w:style>
  <w:style w:type="character" w:customStyle="1" w:styleId="author">
    <w:name w:val="author"/>
    <w:basedOn w:val="DefaultParagraphFont"/>
    <w:rsid w:val="00206027"/>
  </w:style>
  <w:style w:type="character" w:customStyle="1" w:styleId="articletitle">
    <w:name w:val="articletitle"/>
    <w:basedOn w:val="DefaultParagraphFont"/>
    <w:rsid w:val="00206027"/>
  </w:style>
  <w:style w:type="character" w:customStyle="1" w:styleId="pubyear">
    <w:name w:val="pubyear"/>
    <w:basedOn w:val="DefaultParagraphFont"/>
    <w:rsid w:val="00206027"/>
  </w:style>
  <w:style w:type="character" w:customStyle="1" w:styleId="vol">
    <w:name w:val="vol"/>
    <w:basedOn w:val="DefaultParagraphFont"/>
    <w:rsid w:val="00206027"/>
  </w:style>
  <w:style w:type="character" w:customStyle="1" w:styleId="citedissue">
    <w:name w:val="citedissue"/>
    <w:basedOn w:val="DefaultParagraphFont"/>
    <w:rsid w:val="00206027"/>
  </w:style>
  <w:style w:type="character" w:customStyle="1" w:styleId="pagefirst">
    <w:name w:val="pagefirst"/>
    <w:basedOn w:val="DefaultParagraphFont"/>
    <w:rsid w:val="00206027"/>
  </w:style>
  <w:style w:type="character" w:customStyle="1" w:styleId="pagelast">
    <w:name w:val="pagelast"/>
    <w:basedOn w:val="DefaultParagraphFont"/>
    <w:rsid w:val="00206027"/>
  </w:style>
  <w:style w:type="character" w:customStyle="1" w:styleId="cf11">
    <w:name w:val="cf11"/>
    <w:basedOn w:val="DefaultParagraphFont"/>
    <w:rsid w:val="005951C6"/>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rsid w:val="00084016"/>
    <w:rPr>
      <w:rFonts w:ascii="Arial" w:hAnsi="Arial"/>
      <w:color w:val="000000" w:themeColor="text1"/>
      <w:szCs w:val="22"/>
    </w:rPr>
  </w:style>
  <w:style w:type="character" w:customStyle="1" w:styleId="Heading1Char">
    <w:name w:val="Heading 1 Char"/>
    <w:basedOn w:val="DefaultParagraphFont"/>
    <w:link w:val="Heading1"/>
    <w:uiPriority w:val="9"/>
    <w:rsid w:val="00454694"/>
    <w:rPr>
      <w:rFonts w:asciiTheme="majorHAnsi" w:eastAsiaTheme="majorEastAsia" w:hAnsiTheme="majorHAnsi" w:cstheme="majorBidi"/>
      <w:color w:val="2F5496" w:themeColor="accent1" w:themeShade="BF"/>
      <w:sz w:val="32"/>
      <w:szCs w:val="32"/>
    </w:rPr>
  </w:style>
  <w:style w:type="paragraph" w:customStyle="1" w:styleId="ListBulleti">
    <w:name w:val="List Bullet (i)"/>
    <w:basedOn w:val="ListBullet"/>
    <w:autoRedefine/>
    <w:uiPriority w:val="1"/>
    <w:qFormat/>
    <w:rsid w:val="00874773"/>
    <w:pPr>
      <w:numPr>
        <w:numId w:val="26"/>
      </w:numPr>
    </w:pPr>
    <w:rPr>
      <w:rFonts w:asciiTheme="minorHAnsi" w:hAnsiTheme="minorHAnsi" w:cs="Times New Roman"/>
      <w:color w:val="auto"/>
      <w:kern w:val="2"/>
      <w:sz w:val="22"/>
      <w14:ligatures w14:val="standardContextual"/>
    </w:rPr>
  </w:style>
  <w:style w:type="character" w:customStyle="1" w:styleId="normaltextrun">
    <w:name w:val="normaltextrun"/>
    <w:basedOn w:val="DefaultParagraphFont"/>
    <w:rsid w:val="00874773"/>
  </w:style>
  <w:style w:type="paragraph" w:styleId="TOC4">
    <w:name w:val="toc 4"/>
    <w:basedOn w:val="Normal"/>
    <w:next w:val="Normal"/>
    <w:autoRedefine/>
    <w:uiPriority w:val="39"/>
    <w:unhideWhenUsed/>
    <w:rsid w:val="004320AC"/>
    <w:pPr>
      <w:spacing w:after="100"/>
      <w:ind w:left="660"/>
    </w:pPr>
    <w:rPr>
      <w:rFonts w:asciiTheme="minorHAnsi" w:eastAsiaTheme="minorEastAsia" w:hAnsiTheme="minorHAnsi"/>
      <w:color w:val="auto"/>
      <w:kern w:val="2"/>
      <w:sz w:val="22"/>
      <w:lang w:eastAsia="en-AU"/>
      <w14:ligatures w14:val="standardContextual"/>
    </w:rPr>
  </w:style>
  <w:style w:type="paragraph" w:styleId="TOC5">
    <w:name w:val="toc 5"/>
    <w:basedOn w:val="Normal"/>
    <w:next w:val="Normal"/>
    <w:autoRedefine/>
    <w:uiPriority w:val="39"/>
    <w:unhideWhenUsed/>
    <w:rsid w:val="004320AC"/>
    <w:pPr>
      <w:spacing w:after="100"/>
      <w:ind w:left="880"/>
    </w:pPr>
    <w:rPr>
      <w:rFonts w:asciiTheme="minorHAnsi" w:eastAsiaTheme="minorEastAsia" w:hAnsiTheme="minorHAnsi"/>
      <w:color w:val="auto"/>
      <w:kern w:val="2"/>
      <w:sz w:val="22"/>
      <w:lang w:eastAsia="en-AU"/>
      <w14:ligatures w14:val="standardContextual"/>
    </w:rPr>
  </w:style>
  <w:style w:type="paragraph" w:styleId="TOC6">
    <w:name w:val="toc 6"/>
    <w:basedOn w:val="Normal"/>
    <w:next w:val="Normal"/>
    <w:autoRedefine/>
    <w:uiPriority w:val="39"/>
    <w:unhideWhenUsed/>
    <w:rsid w:val="004320AC"/>
    <w:pPr>
      <w:spacing w:after="100"/>
      <w:ind w:left="1100"/>
    </w:pPr>
    <w:rPr>
      <w:rFonts w:asciiTheme="minorHAnsi" w:eastAsiaTheme="minorEastAsia" w:hAnsiTheme="minorHAnsi"/>
      <w:color w:val="auto"/>
      <w:kern w:val="2"/>
      <w:sz w:val="22"/>
      <w:lang w:eastAsia="en-AU"/>
      <w14:ligatures w14:val="standardContextual"/>
    </w:rPr>
  </w:style>
  <w:style w:type="paragraph" w:styleId="TOC7">
    <w:name w:val="toc 7"/>
    <w:basedOn w:val="Normal"/>
    <w:next w:val="Normal"/>
    <w:autoRedefine/>
    <w:uiPriority w:val="39"/>
    <w:unhideWhenUsed/>
    <w:rsid w:val="004320AC"/>
    <w:pPr>
      <w:spacing w:after="100"/>
      <w:ind w:left="1320"/>
    </w:pPr>
    <w:rPr>
      <w:rFonts w:asciiTheme="minorHAnsi" w:eastAsiaTheme="minorEastAsia" w:hAnsiTheme="minorHAnsi"/>
      <w:color w:val="auto"/>
      <w:kern w:val="2"/>
      <w:sz w:val="22"/>
      <w:lang w:eastAsia="en-AU"/>
      <w14:ligatures w14:val="standardContextual"/>
    </w:rPr>
  </w:style>
  <w:style w:type="paragraph" w:styleId="TOC8">
    <w:name w:val="toc 8"/>
    <w:basedOn w:val="Normal"/>
    <w:next w:val="Normal"/>
    <w:autoRedefine/>
    <w:uiPriority w:val="39"/>
    <w:unhideWhenUsed/>
    <w:rsid w:val="004320AC"/>
    <w:pPr>
      <w:spacing w:after="100"/>
      <w:ind w:left="1540"/>
    </w:pPr>
    <w:rPr>
      <w:rFonts w:asciiTheme="minorHAnsi" w:eastAsiaTheme="minorEastAsia" w:hAnsiTheme="minorHAnsi"/>
      <w:color w:val="auto"/>
      <w:kern w:val="2"/>
      <w:sz w:val="22"/>
      <w:lang w:eastAsia="en-AU"/>
      <w14:ligatures w14:val="standardContextual"/>
    </w:rPr>
  </w:style>
  <w:style w:type="paragraph" w:styleId="TOC9">
    <w:name w:val="toc 9"/>
    <w:basedOn w:val="Normal"/>
    <w:next w:val="Normal"/>
    <w:autoRedefine/>
    <w:uiPriority w:val="39"/>
    <w:unhideWhenUsed/>
    <w:rsid w:val="004320AC"/>
    <w:pPr>
      <w:spacing w:after="100"/>
      <w:ind w:left="1760"/>
    </w:pPr>
    <w:rPr>
      <w:rFonts w:asciiTheme="minorHAnsi" w:eastAsiaTheme="minorEastAsia" w:hAnsiTheme="minorHAnsi"/>
      <w:color w:val="auto"/>
      <w:kern w:val="2"/>
      <w:sz w:val="22"/>
      <w:lang w:eastAsia="en-AU"/>
      <w14:ligatures w14:val="standardContextual"/>
    </w:rPr>
  </w:style>
  <w:style w:type="paragraph" w:customStyle="1" w:styleId="Default">
    <w:name w:val="Default"/>
    <w:rsid w:val="009B06CA"/>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customStyle="1" w:styleId="paragraph">
    <w:name w:val="paragraph"/>
    <w:basedOn w:val="Normal"/>
    <w:rsid w:val="009B06C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TGAblue">
    <w:name w:val="Table TGA blue"/>
    <w:basedOn w:val="TableNormal"/>
    <w:uiPriority w:val="99"/>
    <w:qFormat/>
    <w:rsid w:val="009B06CA"/>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character" w:customStyle="1" w:styleId="eop">
    <w:name w:val="eop"/>
    <w:basedOn w:val="DefaultParagraphFont"/>
    <w:rsid w:val="009B06CA"/>
  </w:style>
  <w:style w:type="character" w:customStyle="1" w:styleId="scxw158489010">
    <w:name w:val="scxw158489010"/>
    <w:basedOn w:val="DefaultParagraphFont"/>
    <w:rsid w:val="009B06CA"/>
  </w:style>
  <w:style w:type="paragraph" w:styleId="TOCHeading">
    <w:name w:val="TOC Heading"/>
    <w:basedOn w:val="Heading1"/>
    <w:next w:val="Normal"/>
    <w:uiPriority w:val="39"/>
    <w:unhideWhenUsed/>
    <w:qFormat/>
    <w:rsid w:val="002B5C5B"/>
    <w:pPr>
      <w:outlineLvl w:val="9"/>
    </w:pPr>
    <w:rPr>
      <w:lang w:val="en-US"/>
    </w:rPr>
  </w:style>
  <w:style w:type="paragraph" w:styleId="EndnoteText">
    <w:name w:val="endnote text"/>
    <w:basedOn w:val="Normal"/>
    <w:link w:val="EndnoteTextChar"/>
    <w:uiPriority w:val="99"/>
    <w:semiHidden/>
    <w:unhideWhenUsed/>
    <w:rsid w:val="008C6CF9"/>
    <w:pPr>
      <w:spacing w:after="0" w:line="240" w:lineRule="auto"/>
    </w:pPr>
    <w:rPr>
      <w:szCs w:val="20"/>
    </w:rPr>
  </w:style>
  <w:style w:type="character" w:customStyle="1" w:styleId="EndnoteTextChar">
    <w:name w:val="Endnote Text Char"/>
    <w:basedOn w:val="DefaultParagraphFont"/>
    <w:link w:val="EndnoteText"/>
    <w:uiPriority w:val="99"/>
    <w:semiHidden/>
    <w:rsid w:val="008C6CF9"/>
    <w:rPr>
      <w:rFonts w:ascii="Arial" w:hAnsi="Arial"/>
      <w:color w:val="000000" w:themeColor="text1"/>
    </w:rPr>
  </w:style>
  <w:style w:type="character" w:styleId="EndnoteReference">
    <w:name w:val="endnote reference"/>
    <w:basedOn w:val="DefaultParagraphFont"/>
    <w:uiPriority w:val="99"/>
    <w:semiHidden/>
    <w:unhideWhenUsed/>
    <w:rsid w:val="008C6CF9"/>
    <w:rPr>
      <w:vertAlign w:val="superscript"/>
    </w:rPr>
  </w:style>
  <w:style w:type="paragraph" w:customStyle="1" w:styleId="Style2">
    <w:name w:val="Style2"/>
    <w:basedOn w:val="ListBulleta"/>
    <w:link w:val="Style2Char"/>
    <w:qFormat/>
    <w:rsid w:val="00B1385E"/>
    <w:pPr>
      <w:numPr>
        <w:numId w:val="33"/>
      </w:numPr>
      <w:ind w:left="1134"/>
    </w:pPr>
    <w:rPr>
      <w:color w:val="00B050"/>
      <w:u w:val="single"/>
    </w:rPr>
  </w:style>
  <w:style w:type="character" w:customStyle="1" w:styleId="ListBulletaChar">
    <w:name w:val="List Bullet (a) Char"/>
    <w:basedOn w:val="DefaultParagraphFont"/>
    <w:link w:val="ListBulleta"/>
    <w:uiPriority w:val="1"/>
    <w:rsid w:val="00BE3073"/>
    <w:rPr>
      <w:rFonts w:ascii="Arial" w:eastAsia="Cambria" w:hAnsi="Arial" w:cs="Arial"/>
      <w:color w:val="000000" w:themeColor="text1"/>
    </w:rPr>
  </w:style>
  <w:style w:type="character" w:customStyle="1" w:styleId="Style2Char">
    <w:name w:val="Style2 Char"/>
    <w:basedOn w:val="ListBulletaChar"/>
    <w:link w:val="Style2"/>
    <w:rsid w:val="00B1385E"/>
    <w:rPr>
      <w:rFonts w:ascii="Arial" w:eastAsia="Cambria" w:hAnsi="Arial" w:cs="Arial"/>
      <w:color w:val="00B050"/>
      <w:u w:val="single"/>
    </w:rPr>
  </w:style>
  <w:style w:type="paragraph" w:styleId="NormalWeb">
    <w:name w:val="Normal (Web)"/>
    <w:basedOn w:val="Normal"/>
    <w:uiPriority w:val="99"/>
    <w:unhideWhenUsed/>
    <w:rsid w:val="00B9409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930176">
      <w:bodyDiv w:val="1"/>
      <w:marLeft w:val="0"/>
      <w:marRight w:val="0"/>
      <w:marTop w:val="0"/>
      <w:marBottom w:val="0"/>
      <w:divBdr>
        <w:top w:val="none" w:sz="0" w:space="0" w:color="auto"/>
        <w:left w:val="none" w:sz="0" w:space="0" w:color="auto"/>
        <w:bottom w:val="none" w:sz="0" w:space="0" w:color="auto"/>
        <w:right w:val="none" w:sz="0" w:space="0" w:color="auto"/>
      </w:divBdr>
      <w:divsChild>
        <w:div w:id="1743988268">
          <w:marLeft w:val="0"/>
          <w:marRight w:val="0"/>
          <w:marTop w:val="0"/>
          <w:marBottom w:val="0"/>
          <w:divBdr>
            <w:top w:val="none" w:sz="0" w:space="0" w:color="auto"/>
            <w:left w:val="none" w:sz="0" w:space="0" w:color="auto"/>
            <w:bottom w:val="none" w:sz="0" w:space="0" w:color="auto"/>
            <w:right w:val="none" w:sz="0" w:space="0" w:color="auto"/>
          </w:divBdr>
        </w:div>
        <w:div w:id="2094618935">
          <w:marLeft w:val="0"/>
          <w:marRight w:val="0"/>
          <w:marTop w:val="0"/>
          <w:marBottom w:val="0"/>
          <w:divBdr>
            <w:top w:val="none" w:sz="0" w:space="0" w:color="auto"/>
            <w:left w:val="none" w:sz="0" w:space="0" w:color="auto"/>
            <w:bottom w:val="none" w:sz="0" w:space="0" w:color="auto"/>
            <w:right w:val="none" w:sz="0" w:space="0" w:color="auto"/>
          </w:divBdr>
        </w:div>
      </w:divsChild>
    </w:div>
    <w:div w:id="975795127">
      <w:bodyDiv w:val="1"/>
      <w:marLeft w:val="0"/>
      <w:marRight w:val="0"/>
      <w:marTop w:val="0"/>
      <w:marBottom w:val="0"/>
      <w:divBdr>
        <w:top w:val="none" w:sz="0" w:space="0" w:color="auto"/>
        <w:left w:val="none" w:sz="0" w:space="0" w:color="auto"/>
        <w:bottom w:val="none" w:sz="0" w:space="0" w:color="auto"/>
        <w:right w:val="none" w:sz="0" w:space="0" w:color="auto"/>
      </w:divBdr>
    </w:div>
    <w:div w:id="996493112">
      <w:bodyDiv w:val="1"/>
      <w:marLeft w:val="0"/>
      <w:marRight w:val="0"/>
      <w:marTop w:val="0"/>
      <w:marBottom w:val="0"/>
      <w:divBdr>
        <w:top w:val="none" w:sz="0" w:space="0" w:color="auto"/>
        <w:left w:val="none" w:sz="0" w:space="0" w:color="auto"/>
        <w:bottom w:val="none" w:sz="0" w:space="0" w:color="auto"/>
        <w:right w:val="none" w:sz="0" w:space="0" w:color="auto"/>
      </w:divBdr>
    </w:div>
    <w:div w:id="1477255627">
      <w:bodyDiv w:val="1"/>
      <w:marLeft w:val="0"/>
      <w:marRight w:val="0"/>
      <w:marTop w:val="0"/>
      <w:marBottom w:val="0"/>
      <w:divBdr>
        <w:top w:val="none" w:sz="0" w:space="0" w:color="auto"/>
        <w:left w:val="none" w:sz="0" w:space="0" w:color="auto"/>
        <w:bottom w:val="none" w:sz="0" w:space="0" w:color="auto"/>
        <w:right w:val="none" w:sz="0" w:space="0" w:color="auto"/>
      </w:divBdr>
    </w:div>
    <w:div w:id="1539665125">
      <w:bodyDiv w:val="1"/>
      <w:marLeft w:val="0"/>
      <w:marRight w:val="0"/>
      <w:marTop w:val="0"/>
      <w:marBottom w:val="0"/>
      <w:divBdr>
        <w:top w:val="none" w:sz="0" w:space="0" w:color="auto"/>
        <w:left w:val="none" w:sz="0" w:space="0" w:color="auto"/>
        <w:bottom w:val="none" w:sz="0" w:space="0" w:color="auto"/>
        <w:right w:val="none" w:sz="0" w:space="0" w:color="auto"/>
      </w:divBdr>
    </w:div>
    <w:div w:id="1548372662">
      <w:bodyDiv w:val="1"/>
      <w:marLeft w:val="0"/>
      <w:marRight w:val="0"/>
      <w:marTop w:val="0"/>
      <w:marBottom w:val="0"/>
      <w:divBdr>
        <w:top w:val="none" w:sz="0" w:space="0" w:color="auto"/>
        <w:left w:val="none" w:sz="0" w:space="0" w:color="auto"/>
        <w:bottom w:val="none" w:sz="0" w:space="0" w:color="auto"/>
        <w:right w:val="none" w:sz="0" w:space="0" w:color="auto"/>
      </w:divBdr>
    </w:div>
    <w:div w:id="1928463579">
      <w:bodyDiv w:val="1"/>
      <w:marLeft w:val="0"/>
      <w:marRight w:val="0"/>
      <w:marTop w:val="0"/>
      <w:marBottom w:val="0"/>
      <w:divBdr>
        <w:top w:val="none" w:sz="0" w:space="0" w:color="auto"/>
        <w:left w:val="none" w:sz="0" w:space="0" w:color="auto"/>
        <w:bottom w:val="none" w:sz="0" w:space="0" w:color="auto"/>
        <w:right w:val="none" w:sz="0" w:space="0" w:color="auto"/>
      </w:divBdr>
    </w:div>
    <w:div w:id="1933466533">
      <w:bodyDiv w:val="1"/>
      <w:marLeft w:val="0"/>
      <w:marRight w:val="0"/>
      <w:marTop w:val="0"/>
      <w:marBottom w:val="0"/>
      <w:divBdr>
        <w:top w:val="none" w:sz="0" w:space="0" w:color="auto"/>
        <w:left w:val="none" w:sz="0" w:space="0" w:color="auto"/>
        <w:bottom w:val="none" w:sz="0" w:space="0" w:color="auto"/>
        <w:right w:val="none" w:sz="0" w:space="0" w:color="auto"/>
      </w:divBdr>
    </w:div>
    <w:div w:id="20205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tga.gov.au/tga/scheduling-pre-meeting-june-2024/" TargetMode="External"/><Relationship Id="rId18" Type="http://schemas.openxmlformats.org/officeDocument/2006/relationships/hyperlink" Target="https://www.industrialchemicals.gov.au/sites/default/files/Allyl%20esters%20of%20acetic%20acid%20ethers_Human%20health%20tier%20II%20assessment.pdf" TargetMode="External"/><Relationship Id="rId26" Type="http://schemas.openxmlformats.org/officeDocument/2006/relationships/hyperlink" Target="https://consultations.tga.gov.au/tga/scheduling-interim-decision-march-2024/" TargetMode="External"/><Relationship Id="rId39" Type="http://schemas.openxmlformats.org/officeDocument/2006/relationships/hyperlink" Target="https://www.health.vic.gov.au/drugs-and-poisons/medicines-and-poisons-secretary-approvals" TargetMode="External"/><Relationship Id="rId3" Type="http://schemas.openxmlformats.org/officeDocument/2006/relationships/styles" Target="styles.xml"/><Relationship Id="rId21" Type="http://schemas.openxmlformats.org/officeDocument/2006/relationships/hyperlink" Target="https://consultations.tga.gov.au/tga/scheduling-interim-decision-march-2024/" TargetMode="External"/><Relationship Id="rId34" Type="http://schemas.openxmlformats.org/officeDocument/2006/relationships/hyperlink" Target="https://www.tga.gov.au/publication/ahmac-scheduling-policy-framework-medicines-and-chemicals" TargetMode="External"/><Relationship Id="rId42" Type="http://schemas.openxmlformats.org/officeDocument/2006/relationships/header" Target="header2.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ga.gov.au/publication/scheduling-handbook-guidance-amending-poisons-standard" TargetMode="External"/><Relationship Id="rId17" Type="http://schemas.openxmlformats.org/officeDocument/2006/relationships/hyperlink" Target="https://consultations.tga.gov.au/tga/scheduling-interim-decision-june-2024/" TargetMode="External"/><Relationship Id="rId25" Type="http://schemas.openxmlformats.org/officeDocument/2006/relationships/hyperlink" Target="https://www.tga.gov.au/resources/publication/scheduling-decisions-interim/notice-interim-decisions-proposed-amendments-poisons-standard-acms-45-accs-39-and-joint-acms-accs-37-june-2024" TargetMode="External"/><Relationship Id="rId33" Type="http://schemas.openxmlformats.org/officeDocument/2006/relationships/hyperlink" Target="https://consultations.tga.gov.au/tga/scheduling-interim-decision-june-2024/" TargetMode="External"/><Relationship Id="rId38" Type="http://schemas.openxmlformats.org/officeDocument/2006/relationships/hyperlink" Target="https://www.health.wa.gov.au/Articles/F_I/Fluoride-varnish-CEO-Approva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nsultations.tga.gov.au/tga/scheduling-interim-decision-march-2024/" TargetMode="External"/><Relationship Id="rId20" Type="http://schemas.openxmlformats.org/officeDocument/2006/relationships/hyperlink" Target="https://www.tga.gov.au/resources/publication/scheduling-decisions-interim/notice-interim-decisions-proposed-amendments-poisons-standard-acms-45-accs-39-and-joint-acms-accs-37-june-2024" TargetMode="External"/><Relationship Id="rId29" Type="http://schemas.openxmlformats.org/officeDocument/2006/relationships/hyperlink" Target="https://consultations.tga.gov.au/tga/scheduling-pre-meeting-june-2024/" TargetMode="External"/><Relationship Id="rId41" Type="http://schemas.openxmlformats.org/officeDocument/2006/relationships/hyperlink" Target="https://www.tga.gov.au/safety/safety/safety-monitoring-daen-database-adverse-event-notifications/database-adverse-event-notifications-d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ahmac-scheduling-policy-framework-medicines-and-chemicals" TargetMode="External"/><Relationship Id="rId24" Type="http://schemas.openxmlformats.org/officeDocument/2006/relationships/hyperlink" Target="https://consultations.tga.gov.au/tga/scheduling-pre-meeting-june-2024/" TargetMode="External"/><Relationship Id="rId32" Type="http://schemas.openxmlformats.org/officeDocument/2006/relationships/hyperlink" Target="https://consultations.tga.gov.au/tga/scheduling-interim-decision-march-2024/" TargetMode="External"/><Relationship Id="rId37" Type="http://schemas.openxmlformats.org/officeDocument/2006/relationships/hyperlink" Target="https://www.health.qld.gov.au/__data/assets/pdf_file/0024/1108941/epa-atsi-health-practitioners.pdf" TargetMode="External"/><Relationship Id="rId40" Type="http://schemas.openxmlformats.org/officeDocument/2006/relationships/hyperlink" Target="https://www.tga.gov.au/resources/resource/guidance/scheduling-handbook-guidance-amending-poisons-standard/decisions-scheduling" TargetMode="External"/><Relationship Id="rId45" Type="http://schemas.openxmlformats.org/officeDocument/2006/relationships/hyperlink" Target="https://www.tga.gov.au" TargetMode="External"/><Relationship Id="rId5" Type="http://schemas.openxmlformats.org/officeDocument/2006/relationships/webSettings" Target="webSettings.xml"/><Relationship Id="rId15" Type="http://schemas.openxmlformats.org/officeDocument/2006/relationships/hyperlink" Target="https://www.tga.gov.au/resources/publication/scheduling-decisions-interim/notice-interim-decisions-proposed-amendments-poisons-standard-acms-45-accs-39-and-joint-acms-accs-37-june-2024" TargetMode="External"/><Relationship Id="rId23" Type="http://schemas.openxmlformats.org/officeDocument/2006/relationships/hyperlink" Target="https://www.industrialchemicals.gov.au/sites/default/files/2022-12/EVA00110%20-%20Evaluation%20statement%20-%2022%20December%202022.pdf" TargetMode="External"/><Relationship Id="rId28" Type="http://schemas.openxmlformats.org/officeDocument/2006/relationships/hyperlink" Target="https://www.industrialchemicals.gov.au/sites/default/files/2022-01/EVA00070%20-%20Evaluation%20statement%20-%2014%20January%202022%20%5B1470%20KB%5D.pdf" TargetMode="External"/><Relationship Id="rId36" Type="http://schemas.openxmlformats.org/officeDocument/2006/relationships/hyperlink" Target="https://www.tga.gov.au/sites/default/files/ndpsc-record-54.pdf" TargetMode="External"/><Relationship Id="rId49" Type="http://schemas.openxmlformats.org/officeDocument/2006/relationships/glossaryDocument" Target="glossary/document.xml"/><Relationship Id="rId10" Type="http://schemas.openxmlformats.org/officeDocument/2006/relationships/hyperlink" Target="mailto:tga.copyright@tga.gov.au" TargetMode="External"/><Relationship Id="rId19" Type="http://schemas.openxmlformats.org/officeDocument/2006/relationships/hyperlink" Target="https://consultations.tga.gov.au/tga/scheduling-pre-meeting-june-2024/" TargetMode="External"/><Relationship Id="rId31" Type="http://schemas.openxmlformats.org/officeDocument/2006/relationships/hyperlink" Target="https://www.tga.gov.au/sites/default/files/2024-09/notice-interim-decisions-proposed-amendments-poisons-standard-acms-45-accs-39-and-joint-acms-accs-37-june-2024.pdf" TargetMode="External"/><Relationship Id="rId44" Type="http://schemas.openxmlformats.org/officeDocument/2006/relationships/hyperlink" Target="mailto:info@tg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ations.tga.gov.au/tga/scheduling-pre-meeting-june-2024/user_uploads/pre-meeting-public-notice---12-june-2024-2.pdf" TargetMode="External"/><Relationship Id="rId22" Type="http://schemas.openxmlformats.org/officeDocument/2006/relationships/hyperlink" Target="https://consultations.tga.gov.au/tga/scheduling-interim-decision-june-2024/" TargetMode="External"/><Relationship Id="rId27" Type="http://schemas.openxmlformats.org/officeDocument/2006/relationships/hyperlink" Target="https://consultations.tga.gov.au/tga/scheduling-interim-decision-june-2024/" TargetMode="External"/><Relationship Id="rId30" Type="http://schemas.openxmlformats.org/officeDocument/2006/relationships/hyperlink" Target="https://consultations.tga.gov.au/tga/scheduling-pre-meeting-june-2024/user_uploads/pre-meeting-public-notice---12-june-2024-2.pdf" TargetMode="External"/><Relationship Id="rId35" Type="http://schemas.openxmlformats.org/officeDocument/2006/relationships/hyperlink" Target="https://www.tga.gov.au/publication/scheduling-handbook-guidance-amending-poisons-standard"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mhonline.amh.net.au/" TargetMode="External"/><Relationship Id="rId3" Type="http://schemas.openxmlformats.org/officeDocument/2006/relationships/hyperlink" Target="https://www.researchgate.net/profile/Anima-Ghosal/publication/233650167_Metabolism_of_Loratadine_and_Further_Characterization_of_Its_In_Vitro_Metabolites/links/62a1f71ac660ab61f86fd68a/Metabolism-of-Loratadine-and-Further-Characterization-of-Its-In-Vitro-Metabolites.pdf?_sg%5B0%5D=started_experiment_milestone&amp;origin=journalDetail&amp;_rtd=e30%3D" TargetMode="External"/><Relationship Id="rId7" Type="http://schemas.openxmlformats.org/officeDocument/2006/relationships/hyperlink" Target="https://www.ebs.tga.gov.au/ebs/picmi/picmirepository.nsf/pdf?OpenAgent=&amp;id=CP-2024-PI-01260-1&amp;d=20241014172310101" TargetMode="External"/><Relationship Id="rId2" Type="http://schemas.openxmlformats.org/officeDocument/2006/relationships/hyperlink" Target="https://www.sciencedirect.com/science/article/abs/pii/B9780323554848000253" TargetMode="External"/><Relationship Id="rId1" Type="http://schemas.openxmlformats.org/officeDocument/2006/relationships/hyperlink" Target="https://www.ncbi.nlm.nih.gov/pmc/articles/PMC8229232/" TargetMode="External"/><Relationship Id="rId6" Type="http://schemas.openxmlformats.org/officeDocument/2006/relationships/hyperlink" Target="https://www.ebs.tga.gov.au/ebs/picmi/picmirepository.nsf/pdf?OpenAgent=&amp;id=CP-2024-PI-02412-1" TargetMode="External"/><Relationship Id="rId5" Type="http://schemas.openxmlformats.org/officeDocument/2006/relationships/hyperlink" Target="https://pubmed.ncbi.nlm.nih.gov/15651945/" TargetMode="External"/><Relationship Id="rId10" Type="http://schemas.openxmlformats.org/officeDocument/2006/relationships/hyperlink" Target="https://www.tga.gov.au/resources/artg" TargetMode="External"/><Relationship Id="rId4" Type="http://schemas.openxmlformats.org/officeDocument/2006/relationships/hyperlink" Target="https://pubmed.ncbi.nlm.nih.gov/25644617/" TargetMode="External"/><Relationship Id="rId9" Type="http://schemas.openxmlformats.org/officeDocument/2006/relationships/hyperlink" Target="https://www.legislation.gov.au/F2021L01888/latest/te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FEC71B2D24F19A335416C86137BFE"/>
        <w:category>
          <w:name w:val="General"/>
          <w:gallery w:val="placeholder"/>
        </w:category>
        <w:types>
          <w:type w:val="bbPlcHdr"/>
        </w:types>
        <w:behaviors>
          <w:behavior w:val="content"/>
        </w:behaviors>
        <w:guid w:val="{56ABB92D-19B1-40F0-868C-7186AB614E88}"/>
      </w:docPartPr>
      <w:docPartBody>
        <w:p w:rsidR="00F50AB7" w:rsidRDefault="005F2D33" w:rsidP="005F2D33">
          <w:pPr>
            <w:pStyle w:val="90FFEC71B2D24F19A335416C86137BFE"/>
          </w:pPr>
          <w:r w:rsidRPr="00B210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33"/>
    <w:rsid w:val="00065B73"/>
    <w:rsid w:val="000902CB"/>
    <w:rsid w:val="000C0877"/>
    <w:rsid w:val="000F4593"/>
    <w:rsid w:val="002C4F02"/>
    <w:rsid w:val="003A43C5"/>
    <w:rsid w:val="00416560"/>
    <w:rsid w:val="00435A73"/>
    <w:rsid w:val="00554D0E"/>
    <w:rsid w:val="005606B4"/>
    <w:rsid w:val="0056568F"/>
    <w:rsid w:val="005F2D33"/>
    <w:rsid w:val="005F63CA"/>
    <w:rsid w:val="00611D35"/>
    <w:rsid w:val="006E49AB"/>
    <w:rsid w:val="006E6974"/>
    <w:rsid w:val="007245E5"/>
    <w:rsid w:val="007709C7"/>
    <w:rsid w:val="0077587D"/>
    <w:rsid w:val="007F554E"/>
    <w:rsid w:val="00805444"/>
    <w:rsid w:val="008C20ED"/>
    <w:rsid w:val="00901EE5"/>
    <w:rsid w:val="00922508"/>
    <w:rsid w:val="00936157"/>
    <w:rsid w:val="009552F6"/>
    <w:rsid w:val="00A9135B"/>
    <w:rsid w:val="00BF09C4"/>
    <w:rsid w:val="00C079CA"/>
    <w:rsid w:val="00D02664"/>
    <w:rsid w:val="00DD176F"/>
    <w:rsid w:val="00DF658D"/>
    <w:rsid w:val="00E2027F"/>
    <w:rsid w:val="00E8058D"/>
    <w:rsid w:val="00EC117D"/>
    <w:rsid w:val="00EF5BC4"/>
    <w:rsid w:val="00F50AB7"/>
    <w:rsid w:val="00F92A51"/>
    <w:rsid w:val="00FF4C5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AB7"/>
    <w:rPr>
      <w:color w:val="808080"/>
    </w:rPr>
  </w:style>
  <w:style w:type="paragraph" w:customStyle="1" w:styleId="90FFEC71B2D24F19A335416C86137BFE">
    <w:name w:val="90FFEC71B2D24F19A335416C86137BFE"/>
    <w:rsid w:val="005F2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TotalTime>
  <Pages>29</Pages>
  <Words>8453</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Notice of final decisions to amend (or not amend) the current Poisons Standard - December 2024</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amend (or not amend) the current Poisons Standard - December 2024</dc:title>
  <dc:subject>scheduling</dc:subject>
  <dc:creator>Therapeutic Goods Administration</dc:creator>
  <cp:keywords/>
  <dc:description/>
  <cp:lastModifiedBy>SEARSON, Lisa</cp:lastModifiedBy>
  <cp:revision>3</cp:revision>
  <dcterms:created xsi:type="dcterms:W3CDTF">2024-12-19T02:52:00Z</dcterms:created>
  <dcterms:modified xsi:type="dcterms:W3CDTF">2024-12-19T02:53:00Z</dcterms:modified>
</cp:coreProperties>
</file>