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795B707A" w:rsidR="00F02AEC" w:rsidRPr="00215D48" w:rsidRDefault="004B6447" w:rsidP="007452E8">
            <w:pPr>
              <w:pStyle w:val="Title"/>
            </w:pPr>
            <w:r>
              <w:t xml:space="preserve">Australian </w:t>
            </w:r>
            <w:r w:rsidR="008A2825">
              <w:t>P</w:t>
            </w:r>
            <w:r>
              <w:t xml:space="preserve">ublic </w:t>
            </w:r>
            <w:r w:rsidR="008A2825">
              <w:t>A</w:t>
            </w:r>
            <w:r>
              <w:t xml:space="preserve">ssessment </w:t>
            </w:r>
            <w:r w:rsidR="008A2825">
              <w:t>R</w:t>
            </w:r>
            <w:r>
              <w:t>eport for</w:t>
            </w:r>
            <w:r w:rsidR="00346EC2" w:rsidRPr="00346EC2">
              <w:t xml:space="preserve"> </w:t>
            </w:r>
            <w:proofErr w:type="spellStart"/>
            <w:r w:rsidR="00A97929">
              <w:t>Truqap</w:t>
            </w:r>
            <w:proofErr w:type="spellEnd"/>
          </w:p>
        </w:tc>
      </w:tr>
      <w:tr w:rsidR="00F02AEC" w:rsidRPr="00215D48" w14:paraId="318A40A3" w14:textId="77777777" w:rsidTr="00346EC2">
        <w:trPr>
          <w:trHeight w:val="995"/>
        </w:trPr>
        <w:tc>
          <w:tcPr>
            <w:tcW w:w="8720" w:type="dxa"/>
          </w:tcPr>
          <w:p w14:paraId="1AA7C701" w14:textId="6E894523" w:rsidR="00F02AEC" w:rsidRPr="00215D48" w:rsidRDefault="00346EC2" w:rsidP="007452E8">
            <w:pPr>
              <w:pStyle w:val="Subtitle"/>
              <w:ind w:left="0"/>
            </w:pPr>
            <w:r w:rsidRPr="00346EC2">
              <w:t xml:space="preserve">Active ingredient: </w:t>
            </w:r>
            <w:proofErr w:type="spellStart"/>
            <w:r w:rsidR="00A97929">
              <w:t>Capivasertib</w:t>
            </w:r>
            <w:proofErr w:type="spellEnd"/>
          </w:p>
        </w:tc>
      </w:tr>
      <w:tr w:rsidR="00346EC2" w:rsidRPr="00215D48" w14:paraId="362CCAE4" w14:textId="77777777" w:rsidTr="007452E8">
        <w:trPr>
          <w:trHeight w:val="1916"/>
        </w:trPr>
        <w:tc>
          <w:tcPr>
            <w:tcW w:w="8720" w:type="dxa"/>
          </w:tcPr>
          <w:p w14:paraId="709C45C0" w14:textId="43900A38" w:rsidR="00346EC2" w:rsidRPr="00215D48" w:rsidRDefault="00346EC2" w:rsidP="007452E8">
            <w:pPr>
              <w:pStyle w:val="Subtitle"/>
              <w:ind w:left="0"/>
            </w:pPr>
            <w:r w:rsidRPr="00346EC2">
              <w:t xml:space="preserve">Sponsor: </w:t>
            </w:r>
            <w:r w:rsidR="00F262E7">
              <w:t>AstraZeneca</w:t>
            </w:r>
            <w:r w:rsidR="00A97929">
              <w:t xml:space="preserve"> Pty Ltd</w:t>
            </w:r>
          </w:p>
        </w:tc>
      </w:tr>
      <w:tr w:rsidR="00F02AEC" w:rsidRPr="00215D48" w14:paraId="37F2AA1F" w14:textId="77777777" w:rsidTr="007452E8">
        <w:tc>
          <w:tcPr>
            <w:tcW w:w="8720" w:type="dxa"/>
          </w:tcPr>
          <w:p w14:paraId="1FDE8DCD" w14:textId="5A867475" w:rsidR="00F02AEC" w:rsidRPr="00215D48" w:rsidRDefault="003A6F7A" w:rsidP="007452E8">
            <w:pPr>
              <w:pStyle w:val="Date"/>
            </w:pPr>
            <w:r>
              <w:t>January</w:t>
            </w:r>
            <w:r w:rsidR="00156CAB">
              <w:t xml:space="preserve"> </w:t>
            </w:r>
            <w:r w:rsidR="00A97929">
              <w:t>202</w:t>
            </w:r>
            <w:r w:rsidR="00852207">
              <w:t>5</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p>
    <w:p w14:paraId="2170A423" w14:textId="64C3F892"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7" w:history="1">
        <w:r w:rsidRPr="00A63C07">
          <w:rPr>
            <w:rStyle w:val="Hyperlink"/>
          </w:rPr>
          <w:t>TGA website</w:t>
        </w:r>
      </w:hyperlink>
      <w:r w:rsidRPr="003C6D1F">
        <w:t>.</w:t>
      </w:r>
    </w:p>
    <w:p w14:paraId="737B7A99" w14:textId="4D23E8E8" w:rsidR="00346EC2" w:rsidRDefault="00346EC2" w:rsidP="00346EC2">
      <w:pPr>
        <w:pStyle w:val="NonTOCHeading20"/>
      </w:pPr>
      <w:r>
        <w:t xml:space="preserve">About </w:t>
      </w:r>
      <w:proofErr w:type="spellStart"/>
      <w:r>
        <w:t>AusPARs</w:t>
      </w:r>
      <w:proofErr w:type="spellEnd"/>
    </w:p>
    <w:p w14:paraId="631B2209" w14:textId="6087CAC2" w:rsidR="00346EC2" w:rsidRPr="003C6D1F" w:rsidRDefault="00672E7B" w:rsidP="00346EC2">
      <w:pPr>
        <w:pStyle w:val="ListBullet"/>
      </w:pPr>
      <w:r>
        <w:t>An</w:t>
      </w:r>
      <w:r w:rsidR="00346EC2" w:rsidRPr="003C6D1F">
        <w:t xml:space="preserve"> Australian Public Assessment Report (</w:t>
      </w:r>
      <w:proofErr w:type="spellStart"/>
      <w:r w:rsidR="00346EC2" w:rsidRPr="003C6D1F">
        <w:t>AusPAR</w:t>
      </w:r>
      <w:proofErr w:type="spellEnd"/>
      <w:r w:rsidR="00346EC2" w:rsidRPr="003C6D1F">
        <w:t>) provides information about the evaluation of a prescription medicine and the considerations that led the TGA to approve or not approve a prescription medicine submission.</w:t>
      </w:r>
      <w:r w:rsidR="00346EC2">
        <w:t xml:space="preserve"> Further information can be found in </w:t>
      </w:r>
      <w:hyperlink r:id="rId18" w:history="1">
        <w:r w:rsidR="00346EC2" w:rsidRPr="005A2EB8">
          <w:rPr>
            <w:rStyle w:val="Hyperlink"/>
          </w:rPr>
          <w:t>Australian Public Assessment Report (</w:t>
        </w:r>
        <w:proofErr w:type="spellStart"/>
        <w:r w:rsidR="00346EC2" w:rsidRPr="005A2EB8">
          <w:rPr>
            <w:rStyle w:val="Hyperlink"/>
          </w:rPr>
          <w:t>AusPAR</w:t>
        </w:r>
        <w:proofErr w:type="spellEnd"/>
        <w:r w:rsidR="00346EC2" w:rsidRPr="005A2EB8">
          <w:rPr>
            <w:rStyle w:val="Hyperlink"/>
          </w:rPr>
          <w:t>) guidance</w:t>
        </w:r>
      </w:hyperlink>
      <w:r w:rsidR="00346EC2">
        <w:t>.</w:t>
      </w:r>
    </w:p>
    <w:p w14:paraId="1D3FA2A0" w14:textId="77777777" w:rsidR="003908AB" w:rsidRDefault="003908AB" w:rsidP="003908AB">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t xml:space="preserve"> The publication of an </w:t>
      </w:r>
      <w:proofErr w:type="spellStart"/>
      <w:r>
        <w:t>AusPAR</w:t>
      </w:r>
      <w:proofErr w:type="spellEnd"/>
      <w:r>
        <w:t xml:space="preserve"> is an important part of the transparency of the TGA’s decision-making process.</w:t>
      </w:r>
    </w:p>
    <w:p w14:paraId="2D4E8907" w14:textId="195773D9" w:rsidR="003908AB" w:rsidRPr="003C6D1F" w:rsidRDefault="003908AB" w:rsidP="003908AB">
      <w:pPr>
        <w:pStyle w:val="ListBullet"/>
      </w:pPr>
      <w:proofErr w:type="spellStart"/>
      <w:r w:rsidRPr="003C6D1F">
        <w:t>AusPARs</w:t>
      </w:r>
      <w:proofErr w:type="spellEnd"/>
      <w:r w:rsidRPr="003C6D1F">
        <w:t xml:space="preserve"> are prepared and published by the TGA</w:t>
      </w:r>
      <w:r>
        <w:t xml:space="preserve"> using excerpts from </w:t>
      </w:r>
      <w:r w:rsidR="00156CAB">
        <w:t xml:space="preserve">scientific </w:t>
      </w:r>
      <w:r>
        <w:t>evaluation reports and an overarching risk/benefit assessment</w:t>
      </w:r>
      <w:r w:rsidRPr="003C6D1F">
        <w:t>.</w:t>
      </w:r>
    </w:p>
    <w:p w14:paraId="4D69F5CF" w14:textId="77777777" w:rsidR="00346EC2" w:rsidRPr="003C6D1F" w:rsidRDefault="00346EC2" w:rsidP="00346EC2">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7067011F" w14:textId="75AAED63" w:rsidR="00F02AEC" w:rsidRPr="00E1198B" w:rsidRDefault="00F02AEC" w:rsidP="00D76355">
      <w:pPr>
        <w:pStyle w:val="LegalSubheading"/>
        <w:spacing w:before="2760"/>
      </w:pPr>
      <w:r w:rsidRPr="00BA0DFC">
        <w:t>Copyright</w:t>
      </w:r>
    </w:p>
    <w:p w14:paraId="170A8A5D" w14:textId="0AA110B2" w:rsidR="00175CD8" w:rsidRPr="00346EC2" w:rsidRDefault="00F02AEC" w:rsidP="00346EC2">
      <w:pPr>
        <w:pStyle w:val="LegalCopy"/>
        <w:rPr>
          <w:rFonts w:cs="Arial"/>
        </w:rPr>
      </w:pPr>
      <w:r w:rsidRPr="00215D48">
        <w:rPr>
          <w:rFonts w:cs="Arial"/>
        </w:rPr>
        <w:t>© Commonwealth of Australia 20</w:t>
      </w:r>
      <w:r>
        <w:rPr>
          <w:rFonts w:cs="Arial"/>
        </w:rPr>
        <w:t>2</w:t>
      </w:r>
      <w:r w:rsidR="00E67A59">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9"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3961D864" w:rsidR="00F02AEC" w:rsidRPr="00215D48" w:rsidRDefault="00F02AEC" w:rsidP="007452E8">
          <w:pPr>
            <w:pStyle w:val="NonTOCheading2"/>
          </w:pPr>
          <w:r w:rsidRPr="00215D48">
            <w:t>Contents</w:t>
          </w:r>
        </w:p>
        <w:p w14:paraId="7E06F98C" w14:textId="2052AA47" w:rsidR="009E72BE"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91292188" w:history="1">
            <w:r w:rsidR="009E72BE" w:rsidRPr="002653CE">
              <w:rPr>
                <w:rStyle w:val="Hyperlink"/>
                <w:noProof/>
              </w:rPr>
              <w:t>List of abbreviations</w:t>
            </w:r>
            <w:r w:rsidR="009E72BE">
              <w:rPr>
                <w:noProof/>
                <w:webHidden/>
              </w:rPr>
              <w:tab/>
            </w:r>
            <w:r w:rsidR="009E72BE">
              <w:rPr>
                <w:noProof/>
                <w:webHidden/>
              </w:rPr>
              <w:fldChar w:fldCharType="begin"/>
            </w:r>
            <w:r w:rsidR="009E72BE">
              <w:rPr>
                <w:noProof/>
                <w:webHidden/>
              </w:rPr>
              <w:instrText xml:space="preserve"> PAGEREF _Toc191292188 \h </w:instrText>
            </w:r>
            <w:r w:rsidR="009E72BE">
              <w:rPr>
                <w:noProof/>
                <w:webHidden/>
              </w:rPr>
            </w:r>
            <w:r w:rsidR="009E72BE">
              <w:rPr>
                <w:noProof/>
                <w:webHidden/>
              </w:rPr>
              <w:fldChar w:fldCharType="separate"/>
            </w:r>
            <w:r w:rsidR="009E72BE">
              <w:rPr>
                <w:noProof/>
                <w:webHidden/>
              </w:rPr>
              <w:t>4</w:t>
            </w:r>
            <w:r w:rsidR="009E72BE">
              <w:rPr>
                <w:noProof/>
                <w:webHidden/>
              </w:rPr>
              <w:fldChar w:fldCharType="end"/>
            </w:r>
          </w:hyperlink>
        </w:p>
        <w:p w14:paraId="6CA079BA" w14:textId="4DB22FCD" w:rsidR="009E72BE" w:rsidRDefault="009E72B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91292189" w:history="1">
            <w:r w:rsidRPr="002653CE">
              <w:rPr>
                <w:rStyle w:val="Hyperlink"/>
                <w:noProof/>
              </w:rPr>
              <w:t>Product submission</w:t>
            </w:r>
            <w:r>
              <w:rPr>
                <w:noProof/>
                <w:webHidden/>
              </w:rPr>
              <w:tab/>
            </w:r>
            <w:r>
              <w:rPr>
                <w:noProof/>
                <w:webHidden/>
              </w:rPr>
              <w:fldChar w:fldCharType="begin"/>
            </w:r>
            <w:r>
              <w:rPr>
                <w:noProof/>
                <w:webHidden/>
              </w:rPr>
              <w:instrText xml:space="preserve"> PAGEREF _Toc191292189 \h </w:instrText>
            </w:r>
            <w:r>
              <w:rPr>
                <w:noProof/>
                <w:webHidden/>
              </w:rPr>
            </w:r>
            <w:r>
              <w:rPr>
                <w:noProof/>
                <w:webHidden/>
              </w:rPr>
              <w:fldChar w:fldCharType="separate"/>
            </w:r>
            <w:r>
              <w:rPr>
                <w:noProof/>
                <w:webHidden/>
              </w:rPr>
              <w:t>12</w:t>
            </w:r>
            <w:r>
              <w:rPr>
                <w:noProof/>
                <w:webHidden/>
              </w:rPr>
              <w:fldChar w:fldCharType="end"/>
            </w:r>
          </w:hyperlink>
        </w:p>
        <w:p w14:paraId="636AB6CD" w14:textId="23539165" w:rsidR="009E72BE" w:rsidRDefault="009E72B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1292190" w:history="1">
            <w:r w:rsidRPr="002653CE">
              <w:rPr>
                <w:rStyle w:val="Hyperlink"/>
                <w:noProof/>
                <w:lang w:eastAsia="en-AU"/>
              </w:rPr>
              <w:t>Submission details</w:t>
            </w:r>
            <w:r>
              <w:rPr>
                <w:noProof/>
                <w:webHidden/>
              </w:rPr>
              <w:tab/>
            </w:r>
            <w:r>
              <w:rPr>
                <w:noProof/>
                <w:webHidden/>
              </w:rPr>
              <w:fldChar w:fldCharType="begin"/>
            </w:r>
            <w:r>
              <w:rPr>
                <w:noProof/>
                <w:webHidden/>
              </w:rPr>
              <w:instrText xml:space="preserve"> PAGEREF _Toc191292190 \h </w:instrText>
            </w:r>
            <w:r>
              <w:rPr>
                <w:noProof/>
                <w:webHidden/>
              </w:rPr>
            </w:r>
            <w:r>
              <w:rPr>
                <w:noProof/>
                <w:webHidden/>
              </w:rPr>
              <w:fldChar w:fldCharType="separate"/>
            </w:r>
            <w:r>
              <w:rPr>
                <w:noProof/>
                <w:webHidden/>
              </w:rPr>
              <w:t>12</w:t>
            </w:r>
            <w:r>
              <w:rPr>
                <w:noProof/>
                <w:webHidden/>
              </w:rPr>
              <w:fldChar w:fldCharType="end"/>
            </w:r>
          </w:hyperlink>
        </w:p>
        <w:p w14:paraId="0FF3B569" w14:textId="180FF71E" w:rsidR="009E72BE" w:rsidRDefault="009E72B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1292191" w:history="1">
            <w:r w:rsidRPr="002653CE">
              <w:rPr>
                <w:rStyle w:val="Hyperlink"/>
                <w:noProof/>
              </w:rPr>
              <w:t>Product background</w:t>
            </w:r>
            <w:r>
              <w:rPr>
                <w:noProof/>
                <w:webHidden/>
              </w:rPr>
              <w:tab/>
            </w:r>
            <w:r>
              <w:rPr>
                <w:noProof/>
                <w:webHidden/>
              </w:rPr>
              <w:fldChar w:fldCharType="begin"/>
            </w:r>
            <w:r>
              <w:rPr>
                <w:noProof/>
                <w:webHidden/>
              </w:rPr>
              <w:instrText xml:space="preserve"> PAGEREF _Toc191292191 \h </w:instrText>
            </w:r>
            <w:r>
              <w:rPr>
                <w:noProof/>
                <w:webHidden/>
              </w:rPr>
            </w:r>
            <w:r>
              <w:rPr>
                <w:noProof/>
                <w:webHidden/>
              </w:rPr>
              <w:fldChar w:fldCharType="separate"/>
            </w:r>
            <w:r>
              <w:rPr>
                <w:noProof/>
                <w:webHidden/>
              </w:rPr>
              <w:t>13</w:t>
            </w:r>
            <w:r>
              <w:rPr>
                <w:noProof/>
                <w:webHidden/>
              </w:rPr>
              <w:fldChar w:fldCharType="end"/>
            </w:r>
          </w:hyperlink>
        </w:p>
        <w:p w14:paraId="138335F1" w14:textId="6D76888D" w:rsidR="009E72BE" w:rsidRDefault="009E72B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1292192" w:history="1">
            <w:r w:rsidRPr="002653CE">
              <w:rPr>
                <w:rStyle w:val="Hyperlink"/>
                <w:noProof/>
              </w:rPr>
              <w:t>Disease or condition</w:t>
            </w:r>
            <w:r>
              <w:rPr>
                <w:noProof/>
                <w:webHidden/>
              </w:rPr>
              <w:tab/>
            </w:r>
            <w:r>
              <w:rPr>
                <w:noProof/>
                <w:webHidden/>
              </w:rPr>
              <w:fldChar w:fldCharType="begin"/>
            </w:r>
            <w:r>
              <w:rPr>
                <w:noProof/>
                <w:webHidden/>
              </w:rPr>
              <w:instrText xml:space="preserve"> PAGEREF _Toc191292192 \h </w:instrText>
            </w:r>
            <w:r>
              <w:rPr>
                <w:noProof/>
                <w:webHidden/>
              </w:rPr>
            </w:r>
            <w:r>
              <w:rPr>
                <w:noProof/>
                <w:webHidden/>
              </w:rPr>
              <w:fldChar w:fldCharType="separate"/>
            </w:r>
            <w:r>
              <w:rPr>
                <w:noProof/>
                <w:webHidden/>
              </w:rPr>
              <w:t>13</w:t>
            </w:r>
            <w:r>
              <w:rPr>
                <w:noProof/>
                <w:webHidden/>
              </w:rPr>
              <w:fldChar w:fldCharType="end"/>
            </w:r>
          </w:hyperlink>
        </w:p>
        <w:p w14:paraId="2BB92C41" w14:textId="2C16C7D4" w:rsidR="009E72BE" w:rsidRDefault="009E72B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1292193" w:history="1">
            <w:r w:rsidRPr="002653CE">
              <w:rPr>
                <w:rStyle w:val="Hyperlink"/>
                <w:noProof/>
              </w:rPr>
              <w:t>Breast cancer</w:t>
            </w:r>
            <w:r>
              <w:rPr>
                <w:noProof/>
                <w:webHidden/>
              </w:rPr>
              <w:tab/>
            </w:r>
            <w:r>
              <w:rPr>
                <w:noProof/>
                <w:webHidden/>
              </w:rPr>
              <w:fldChar w:fldCharType="begin"/>
            </w:r>
            <w:r>
              <w:rPr>
                <w:noProof/>
                <w:webHidden/>
              </w:rPr>
              <w:instrText xml:space="preserve"> PAGEREF _Toc191292193 \h </w:instrText>
            </w:r>
            <w:r>
              <w:rPr>
                <w:noProof/>
                <w:webHidden/>
              </w:rPr>
            </w:r>
            <w:r>
              <w:rPr>
                <w:noProof/>
                <w:webHidden/>
              </w:rPr>
              <w:fldChar w:fldCharType="separate"/>
            </w:r>
            <w:r>
              <w:rPr>
                <w:noProof/>
                <w:webHidden/>
              </w:rPr>
              <w:t>13</w:t>
            </w:r>
            <w:r>
              <w:rPr>
                <w:noProof/>
                <w:webHidden/>
              </w:rPr>
              <w:fldChar w:fldCharType="end"/>
            </w:r>
          </w:hyperlink>
        </w:p>
        <w:p w14:paraId="79E37AF3" w14:textId="6F711EB0" w:rsidR="009E72BE" w:rsidRDefault="009E72B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1292194" w:history="1">
            <w:r w:rsidRPr="002653CE">
              <w:rPr>
                <w:rStyle w:val="Hyperlink"/>
                <w:noProof/>
              </w:rPr>
              <w:t>Current treatment options</w:t>
            </w:r>
            <w:r>
              <w:rPr>
                <w:noProof/>
                <w:webHidden/>
              </w:rPr>
              <w:tab/>
            </w:r>
            <w:r>
              <w:rPr>
                <w:noProof/>
                <w:webHidden/>
              </w:rPr>
              <w:fldChar w:fldCharType="begin"/>
            </w:r>
            <w:r>
              <w:rPr>
                <w:noProof/>
                <w:webHidden/>
              </w:rPr>
              <w:instrText xml:space="preserve"> PAGEREF _Toc191292194 \h </w:instrText>
            </w:r>
            <w:r>
              <w:rPr>
                <w:noProof/>
                <w:webHidden/>
              </w:rPr>
            </w:r>
            <w:r>
              <w:rPr>
                <w:noProof/>
                <w:webHidden/>
              </w:rPr>
              <w:fldChar w:fldCharType="separate"/>
            </w:r>
            <w:r>
              <w:rPr>
                <w:noProof/>
                <w:webHidden/>
              </w:rPr>
              <w:t>14</w:t>
            </w:r>
            <w:r>
              <w:rPr>
                <w:noProof/>
                <w:webHidden/>
              </w:rPr>
              <w:fldChar w:fldCharType="end"/>
            </w:r>
          </w:hyperlink>
        </w:p>
        <w:p w14:paraId="26F0A51B" w14:textId="45D80063" w:rsidR="009E72BE" w:rsidRDefault="009E72B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1292195" w:history="1">
            <w:r w:rsidRPr="002653CE">
              <w:rPr>
                <w:rStyle w:val="Hyperlink"/>
                <w:noProof/>
              </w:rPr>
              <w:t>Clinical rationale</w:t>
            </w:r>
            <w:r>
              <w:rPr>
                <w:noProof/>
                <w:webHidden/>
              </w:rPr>
              <w:tab/>
            </w:r>
            <w:r>
              <w:rPr>
                <w:noProof/>
                <w:webHidden/>
              </w:rPr>
              <w:fldChar w:fldCharType="begin"/>
            </w:r>
            <w:r>
              <w:rPr>
                <w:noProof/>
                <w:webHidden/>
              </w:rPr>
              <w:instrText xml:space="preserve"> PAGEREF _Toc191292195 \h </w:instrText>
            </w:r>
            <w:r>
              <w:rPr>
                <w:noProof/>
                <w:webHidden/>
              </w:rPr>
            </w:r>
            <w:r>
              <w:rPr>
                <w:noProof/>
                <w:webHidden/>
              </w:rPr>
              <w:fldChar w:fldCharType="separate"/>
            </w:r>
            <w:r>
              <w:rPr>
                <w:noProof/>
                <w:webHidden/>
              </w:rPr>
              <w:t>15</w:t>
            </w:r>
            <w:r>
              <w:rPr>
                <w:noProof/>
                <w:webHidden/>
              </w:rPr>
              <w:fldChar w:fldCharType="end"/>
            </w:r>
          </w:hyperlink>
        </w:p>
        <w:p w14:paraId="78FAB4C7" w14:textId="18857176" w:rsidR="009E72BE" w:rsidRDefault="009E72B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1292196" w:history="1">
            <w:r w:rsidRPr="002653CE">
              <w:rPr>
                <w:rStyle w:val="Hyperlink"/>
                <w:noProof/>
              </w:rPr>
              <w:t>Regulatory status</w:t>
            </w:r>
            <w:r>
              <w:rPr>
                <w:noProof/>
                <w:webHidden/>
              </w:rPr>
              <w:tab/>
            </w:r>
            <w:r>
              <w:rPr>
                <w:noProof/>
                <w:webHidden/>
              </w:rPr>
              <w:fldChar w:fldCharType="begin"/>
            </w:r>
            <w:r>
              <w:rPr>
                <w:noProof/>
                <w:webHidden/>
              </w:rPr>
              <w:instrText xml:space="preserve"> PAGEREF _Toc191292196 \h </w:instrText>
            </w:r>
            <w:r>
              <w:rPr>
                <w:noProof/>
                <w:webHidden/>
              </w:rPr>
            </w:r>
            <w:r>
              <w:rPr>
                <w:noProof/>
                <w:webHidden/>
              </w:rPr>
              <w:fldChar w:fldCharType="separate"/>
            </w:r>
            <w:r>
              <w:rPr>
                <w:noProof/>
                <w:webHidden/>
              </w:rPr>
              <w:t>15</w:t>
            </w:r>
            <w:r>
              <w:rPr>
                <w:noProof/>
                <w:webHidden/>
              </w:rPr>
              <w:fldChar w:fldCharType="end"/>
            </w:r>
          </w:hyperlink>
        </w:p>
        <w:p w14:paraId="44F62A6F" w14:textId="75417922" w:rsidR="009E72BE" w:rsidRDefault="009E72B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1292197" w:history="1">
            <w:r w:rsidRPr="002653CE">
              <w:rPr>
                <w:rStyle w:val="Hyperlink"/>
                <w:noProof/>
              </w:rPr>
              <w:t>Australian regulatory status</w:t>
            </w:r>
            <w:r>
              <w:rPr>
                <w:noProof/>
                <w:webHidden/>
              </w:rPr>
              <w:tab/>
            </w:r>
            <w:r>
              <w:rPr>
                <w:noProof/>
                <w:webHidden/>
              </w:rPr>
              <w:fldChar w:fldCharType="begin"/>
            </w:r>
            <w:r>
              <w:rPr>
                <w:noProof/>
                <w:webHidden/>
              </w:rPr>
              <w:instrText xml:space="preserve"> PAGEREF _Toc191292197 \h </w:instrText>
            </w:r>
            <w:r>
              <w:rPr>
                <w:noProof/>
                <w:webHidden/>
              </w:rPr>
            </w:r>
            <w:r>
              <w:rPr>
                <w:noProof/>
                <w:webHidden/>
              </w:rPr>
              <w:fldChar w:fldCharType="separate"/>
            </w:r>
            <w:r>
              <w:rPr>
                <w:noProof/>
                <w:webHidden/>
              </w:rPr>
              <w:t>15</w:t>
            </w:r>
            <w:r>
              <w:rPr>
                <w:noProof/>
                <w:webHidden/>
              </w:rPr>
              <w:fldChar w:fldCharType="end"/>
            </w:r>
          </w:hyperlink>
        </w:p>
        <w:p w14:paraId="32C6ACC8" w14:textId="313A3B1F" w:rsidR="009E72BE" w:rsidRDefault="009E72B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1292198" w:history="1">
            <w:r w:rsidRPr="002653CE">
              <w:rPr>
                <w:rStyle w:val="Hyperlink"/>
                <w:noProof/>
              </w:rPr>
              <w:t>International regulatory status</w:t>
            </w:r>
            <w:r>
              <w:rPr>
                <w:noProof/>
                <w:webHidden/>
              </w:rPr>
              <w:tab/>
            </w:r>
            <w:r>
              <w:rPr>
                <w:noProof/>
                <w:webHidden/>
              </w:rPr>
              <w:fldChar w:fldCharType="begin"/>
            </w:r>
            <w:r>
              <w:rPr>
                <w:noProof/>
                <w:webHidden/>
              </w:rPr>
              <w:instrText xml:space="preserve"> PAGEREF _Toc191292198 \h </w:instrText>
            </w:r>
            <w:r>
              <w:rPr>
                <w:noProof/>
                <w:webHidden/>
              </w:rPr>
            </w:r>
            <w:r>
              <w:rPr>
                <w:noProof/>
                <w:webHidden/>
              </w:rPr>
              <w:fldChar w:fldCharType="separate"/>
            </w:r>
            <w:r>
              <w:rPr>
                <w:noProof/>
                <w:webHidden/>
              </w:rPr>
              <w:t>15</w:t>
            </w:r>
            <w:r>
              <w:rPr>
                <w:noProof/>
                <w:webHidden/>
              </w:rPr>
              <w:fldChar w:fldCharType="end"/>
            </w:r>
          </w:hyperlink>
        </w:p>
        <w:p w14:paraId="0ADF40F0" w14:textId="7726B724" w:rsidR="009E72BE" w:rsidRDefault="009E72B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91292199" w:history="1">
            <w:r w:rsidRPr="002653CE">
              <w:rPr>
                <w:rStyle w:val="Hyperlink"/>
                <w:noProof/>
              </w:rPr>
              <w:t>Registration timeline</w:t>
            </w:r>
            <w:r>
              <w:rPr>
                <w:noProof/>
                <w:webHidden/>
              </w:rPr>
              <w:tab/>
            </w:r>
            <w:r>
              <w:rPr>
                <w:noProof/>
                <w:webHidden/>
              </w:rPr>
              <w:fldChar w:fldCharType="begin"/>
            </w:r>
            <w:r>
              <w:rPr>
                <w:noProof/>
                <w:webHidden/>
              </w:rPr>
              <w:instrText xml:space="preserve"> PAGEREF _Toc191292199 \h </w:instrText>
            </w:r>
            <w:r>
              <w:rPr>
                <w:noProof/>
                <w:webHidden/>
              </w:rPr>
            </w:r>
            <w:r>
              <w:rPr>
                <w:noProof/>
                <w:webHidden/>
              </w:rPr>
              <w:fldChar w:fldCharType="separate"/>
            </w:r>
            <w:r>
              <w:rPr>
                <w:noProof/>
                <w:webHidden/>
              </w:rPr>
              <w:t>15</w:t>
            </w:r>
            <w:r>
              <w:rPr>
                <w:noProof/>
                <w:webHidden/>
              </w:rPr>
              <w:fldChar w:fldCharType="end"/>
            </w:r>
          </w:hyperlink>
        </w:p>
        <w:p w14:paraId="31CAE738" w14:textId="07487584" w:rsidR="009E72BE" w:rsidRDefault="009E72B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91292200" w:history="1">
            <w:r w:rsidRPr="002653CE">
              <w:rPr>
                <w:rStyle w:val="Hyperlink"/>
                <w:noProof/>
              </w:rPr>
              <w:t>Submission overview and risk/benefit assessment</w:t>
            </w:r>
            <w:r>
              <w:rPr>
                <w:noProof/>
                <w:webHidden/>
              </w:rPr>
              <w:tab/>
            </w:r>
            <w:r>
              <w:rPr>
                <w:noProof/>
                <w:webHidden/>
              </w:rPr>
              <w:fldChar w:fldCharType="begin"/>
            </w:r>
            <w:r>
              <w:rPr>
                <w:noProof/>
                <w:webHidden/>
              </w:rPr>
              <w:instrText xml:space="preserve"> PAGEREF _Toc191292200 \h </w:instrText>
            </w:r>
            <w:r>
              <w:rPr>
                <w:noProof/>
                <w:webHidden/>
              </w:rPr>
            </w:r>
            <w:r>
              <w:rPr>
                <w:noProof/>
                <w:webHidden/>
              </w:rPr>
              <w:fldChar w:fldCharType="separate"/>
            </w:r>
            <w:r>
              <w:rPr>
                <w:noProof/>
                <w:webHidden/>
              </w:rPr>
              <w:t>16</w:t>
            </w:r>
            <w:r>
              <w:rPr>
                <w:noProof/>
                <w:webHidden/>
              </w:rPr>
              <w:fldChar w:fldCharType="end"/>
            </w:r>
          </w:hyperlink>
        </w:p>
        <w:p w14:paraId="50151361" w14:textId="2CCD2177" w:rsidR="009E72BE" w:rsidRDefault="009E72B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1292201" w:history="1">
            <w:r w:rsidRPr="002653CE">
              <w:rPr>
                <w:rStyle w:val="Hyperlink"/>
                <w:noProof/>
              </w:rPr>
              <w:t>Quality evaluation summary</w:t>
            </w:r>
            <w:r>
              <w:rPr>
                <w:noProof/>
                <w:webHidden/>
              </w:rPr>
              <w:tab/>
            </w:r>
            <w:r>
              <w:rPr>
                <w:noProof/>
                <w:webHidden/>
              </w:rPr>
              <w:fldChar w:fldCharType="begin"/>
            </w:r>
            <w:r>
              <w:rPr>
                <w:noProof/>
                <w:webHidden/>
              </w:rPr>
              <w:instrText xml:space="preserve"> PAGEREF _Toc191292201 \h </w:instrText>
            </w:r>
            <w:r>
              <w:rPr>
                <w:noProof/>
                <w:webHidden/>
              </w:rPr>
            </w:r>
            <w:r>
              <w:rPr>
                <w:noProof/>
                <w:webHidden/>
              </w:rPr>
              <w:fldChar w:fldCharType="separate"/>
            </w:r>
            <w:r>
              <w:rPr>
                <w:noProof/>
                <w:webHidden/>
              </w:rPr>
              <w:t>16</w:t>
            </w:r>
            <w:r>
              <w:rPr>
                <w:noProof/>
                <w:webHidden/>
              </w:rPr>
              <w:fldChar w:fldCharType="end"/>
            </w:r>
          </w:hyperlink>
        </w:p>
        <w:p w14:paraId="53954761" w14:textId="339EE576" w:rsidR="009E72BE" w:rsidRDefault="009E72B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1292202" w:history="1">
            <w:r w:rsidRPr="002653CE">
              <w:rPr>
                <w:rStyle w:val="Hyperlink"/>
                <w:noProof/>
              </w:rPr>
              <w:t>Nonclinical (toxicology) evaluation summary</w:t>
            </w:r>
            <w:r>
              <w:rPr>
                <w:noProof/>
                <w:webHidden/>
              </w:rPr>
              <w:tab/>
            </w:r>
            <w:r>
              <w:rPr>
                <w:noProof/>
                <w:webHidden/>
              </w:rPr>
              <w:fldChar w:fldCharType="begin"/>
            </w:r>
            <w:r>
              <w:rPr>
                <w:noProof/>
                <w:webHidden/>
              </w:rPr>
              <w:instrText xml:space="preserve"> PAGEREF _Toc191292202 \h </w:instrText>
            </w:r>
            <w:r>
              <w:rPr>
                <w:noProof/>
                <w:webHidden/>
              </w:rPr>
            </w:r>
            <w:r>
              <w:rPr>
                <w:noProof/>
                <w:webHidden/>
              </w:rPr>
              <w:fldChar w:fldCharType="separate"/>
            </w:r>
            <w:r>
              <w:rPr>
                <w:noProof/>
                <w:webHidden/>
              </w:rPr>
              <w:t>17</w:t>
            </w:r>
            <w:r>
              <w:rPr>
                <w:noProof/>
                <w:webHidden/>
              </w:rPr>
              <w:fldChar w:fldCharType="end"/>
            </w:r>
          </w:hyperlink>
        </w:p>
        <w:p w14:paraId="20E03798" w14:textId="1D9CC65D" w:rsidR="009E72BE" w:rsidRDefault="009E72B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1292203" w:history="1">
            <w:r w:rsidRPr="002653CE">
              <w:rPr>
                <w:rStyle w:val="Hyperlink"/>
                <w:noProof/>
              </w:rPr>
              <w:t>Clinical evaluation summary</w:t>
            </w:r>
            <w:r>
              <w:rPr>
                <w:noProof/>
                <w:webHidden/>
              </w:rPr>
              <w:tab/>
            </w:r>
            <w:r>
              <w:rPr>
                <w:noProof/>
                <w:webHidden/>
              </w:rPr>
              <w:fldChar w:fldCharType="begin"/>
            </w:r>
            <w:r>
              <w:rPr>
                <w:noProof/>
                <w:webHidden/>
              </w:rPr>
              <w:instrText xml:space="preserve"> PAGEREF _Toc191292203 \h </w:instrText>
            </w:r>
            <w:r>
              <w:rPr>
                <w:noProof/>
                <w:webHidden/>
              </w:rPr>
            </w:r>
            <w:r>
              <w:rPr>
                <w:noProof/>
                <w:webHidden/>
              </w:rPr>
              <w:fldChar w:fldCharType="separate"/>
            </w:r>
            <w:r>
              <w:rPr>
                <w:noProof/>
                <w:webHidden/>
              </w:rPr>
              <w:t>18</w:t>
            </w:r>
            <w:r>
              <w:rPr>
                <w:noProof/>
                <w:webHidden/>
              </w:rPr>
              <w:fldChar w:fldCharType="end"/>
            </w:r>
          </w:hyperlink>
        </w:p>
        <w:p w14:paraId="54C19683" w14:textId="0F195AC1" w:rsidR="009E72BE" w:rsidRDefault="009E72B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1292204" w:history="1">
            <w:r w:rsidRPr="002653CE">
              <w:rPr>
                <w:rStyle w:val="Hyperlink"/>
                <w:noProof/>
              </w:rPr>
              <w:t>Summary of clinical studies</w:t>
            </w:r>
            <w:r>
              <w:rPr>
                <w:noProof/>
                <w:webHidden/>
              </w:rPr>
              <w:tab/>
            </w:r>
            <w:r>
              <w:rPr>
                <w:noProof/>
                <w:webHidden/>
              </w:rPr>
              <w:fldChar w:fldCharType="begin"/>
            </w:r>
            <w:r>
              <w:rPr>
                <w:noProof/>
                <w:webHidden/>
              </w:rPr>
              <w:instrText xml:space="preserve"> PAGEREF _Toc191292204 \h </w:instrText>
            </w:r>
            <w:r>
              <w:rPr>
                <w:noProof/>
                <w:webHidden/>
              </w:rPr>
            </w:r>
            <w:r>
              <w:rPr>
                <w:noProof/>
                <w:webHidden/>
              </w:rPr>
              <w:fldChar w:fldCharType="separate"/>
            </w:r>
            <w:r>
              <w:rPr>
                <w:noProof/>
                <w:webHidden/>
              </w:rPr>
              <w:t>18</w:t>
            </w:r>
            <w:r>
              <w:rPr>
                <w:noProof/>
                <w:webHidden/>
              </w:rPr>
              <w:fldChar w:fldCharType="end"/>
            </w:r>
          </w:hyperlink>
        </w:p>
        <w:p w14:paraId="21B806B1" w14:textId="67C1A0B7" w:rsidR="009E72BE" w:rsidRDefault="009E72B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1292205" w:history="1">
            <w:r w:rsidRPr="002653CE">
              <w:rPr>
                <w:rStyle w:val="Hyperlink"/>
                <w:noProof/>
              </w:rPr>
              <w:t>Pharmacology</w:t>
            </w:r>
            <w:r>
              <w:rPr>
                <w:noProof/>
                <w:webHidden/>
              </w:rPr>
              <w:tab/>
            </w:r>
            <w:r>
              <w:rPr>
                <w:noProof/>
                <w:webHidden/>
              </w:rPr>
              <w:fldChar w:fldCharType="begin"/>
            </w:r>
            <w:r>
              <w:rPr>
                <w:noProof/>
                <w:webHidden/>
              </w:rPr>
              <w:instrText xml:space="preserve"> PAGEREF _Toc191292205 \h </w:instrText>
            </w:r>
            <w:r>
              <w:rPr>
                <w:noProof/>
                <w:webHidden/>
              </w:rPr>
            </w:r>
            <w:r>
              <w:rPr>
                <w:noProof/>
                <w:webHidden/>
              </w:rPr>
              <w:fldChar w:fldCharType="separate"/>
            </w:r>
            <w:r>
              <w:rPr>
                <w:noProof/>
                <w:webHidden/>
              </w:rPr>
              <w:t>19</w:t>
            </w:r>
            <w:r>
              <w:rPr>
                <w:noProof/>
                <w:webHidden/>
              </w:rPr>
              <w:fldChar w:fldCharType="end"/>
            </w:r>
          </w:hyperlink>
        </w:p>
        <w:p w14:paraId="2BE58BBE" w14:textId="6F78FEA0" w:rsidR="009E72BE" w:rsidRDefault="009E72B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1292206" w:history="1">
            <w:r w:rsidRPr="002653CE">
              <w:rPr>
                <w:rStyle w:val="Hyperlink"/>
                <w:noProof/>
              </w:rPr>
              <w:t>Efficacy</w:t>
            </w:r>
            <w:r>
              <w:rPr>
                <w:noProof/>
                <w:webHidden/>
              </w:rPr>
              <w:tab/>
            </w:r>
            <w:r>
              <w:rPr>
                <w:noProof/>
                <w:webHidden/>
              </w:rPr>
              <w:fldChar w:fldCharType="begin"/>
            </w:r>
            <w:r>
              <w:rPr>
                <w:noProof/>
                <w:webHidden/>
              </w:rPr>
              <w:instrText xml:space="preserve"> PAGEREF _Toc191292206 \h </w:instrText>
            </w:r>
            <w:r>
              <w:rPr>
                <w:noProof/>
                <w:webHidden/>
              </w:rPr>
            </w:r>
            <w:r>
              <w:rPr>
                <w:noProof/>
                <w:webHidden/>
              </w:rPr>
              <w:fldChar w:fldCharType="separate"/>
            </w:r>
            <w:r>
              <w:rPr>
                <w:noProof/>
                <w:webHidden/>
              </w:rPr>
              <w:t>22</w:t>
            </w:r>
            <w:r>
              <w:rPr>
                <w:noProof/>
                <w:webHidden/>
              </w:rPr>
              <w:fldChar w:fldCharType="end"/>
            </w:r>
          </w:hyperlink>
        </w:p>
        <w:p w14:paraId="202ED0E4" w14:textId="04C25473" w:rsidR="009E72BE" w:rsidRDefault="009E72B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1292207" w:history="1">
            <w:r w:rsidRPr="002653CE">
              <w:rPr>
                <w:rStyle w:val="Hyperlink"/>
                <w:noProof/>
              </w:rPr>
              <w:t>Safety</w:t>
            </w:r>
            <w:r>
              <w:rPr>
                <w:noProof/>
                <w:webHidden/>
              </w:rPr>
              <w:tab/>
            </w:r>
            <w:r>
              <w:rPr>
                <w:noProof/>
                <w:webHidden/>
              </w:rPr>
              <w:fldChar w:fldCharType="begin"/>
            </w:r>
            <w:r>
              <w:rPr>
                <w:noProof/>
                <w:webHidden/>
              </w:rPr>
              <w:instrText xml:space="preserve"> PAGEREF _Toc191292207 \h </w:instrText>
            </w:r>
            <w:r>
              <w:rPr>
                <w:noProof/>
                <w:webHidden/>
              </w:rPr>
            </w:r>
            <w:r>
              <w:rPr>
                <w:noProof/>
                <w:webHidden/>
              </w:rPr>
              <w:fldChar w:fldCharType="separate"/>
            </w:r>
            <w:r>
              <w:rPr>
                <w:noProof/>
                <w:webHidden/>
              </w:rPr>
              <w:t>36</w:t>
            </w:r>
            <w:r>
              <w:rPr>
                <w:noProof/>
                <w:webHidden/>
              </w:rPr>
              <w:fldChar w:fldCharType="end"/>
            </w:r>
          </w:hyperlink>
        </w:p>
        <w:p w14:paraId="3F107EA3" w14:textId="46F2DBA3" w:rsidR="009E72BE" w:rsidRDefault="009E72B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91292208" w:history="1">
            <w:r w:rsidRPr="002653CE">
              <w:rPr>
                <w:rStyle w:val="Hyperlink"/>
                <w:noProof/>
              </w:rPr>
              <w:t>Risk</w:t>
            </w:r>
            <w:r w:rsidRPr="002653CE">
              <w:rPr>
                <w:rStyle w:val="Hyperlink"/>
                <w:noProof/>
                <w:spacing w:val="-10"/>
              </w:rPr>
              <w:t xml:space="preserve"> </w:t>
            </w:r>
            <w:r w:rsidRPr="002653CE">
              <w:rPr>
                <w:rStyle w:val="Hyperlink"/>
                <w:noProof/>
              </w:rPr>
              <w:t>Management</w:t>
            </w:r>
            <w:r w:rsidRPr="002653CE">
              <w:rPr>
                <w:rStyle w:val="Hyperlink"/>
                <w:noProof/>
                <w:spacing w:val="-7"/>
              </w:rPr>
              <w:t xml:space="preserve"> </w:t>
            </w:r>
            <w:r w:rsidRPr="002653CE">
              <w:rPr>
                <w:rStyle w:val="Hyperlink"/>
                <w:noProof/>
              </w:rPr>
              <w:t>Plan</w:t>
            </w:r>
            <w:r w:rsidRPr="002653CE">
              <w:rPr>
                <w:rStyle w:val="Hyperlink"/>
                <w:noProof/>
                <w:spacing w:val="-10"/>
              </w:rPr>
              <w:t xml:space="preserve"> </w:t>
            </w:r>
            <w:r w:rsidRPr="002653CE">
              <w:rPr>
                <w:rStyle w:val="Hyperlink"/>
                <w:noProof/>
              </w:rPr>
              <w:t>(RMP)</w:t>
            </w:r>
            <w:r w:rsidRPr="002653CE">
              <w:rPr>
                <w:rStyle w:val="Hyperlink"/>
                <w:noProof/>
                <w:spacing w:val="-10"/>
              </w:rPr>
              <w:t xml:space="preserve"> </w:t>
            </w:r>
            <w:r w:rsidRPr="002653CE">
              <w:rPr>
                <w:rStyle w:val="Hyperlink"/>
                <w:noProof/>
              </w:rPr>
              <w:t>evaluation</w:t>
            </w:r>
            <w:r>
              <w:rPr>
                <w:noProof/>
                <w:webHidden/>
              </w:rPr>
              <w:tab/>
            </w:r>
            <w:r>
              <w:rPr>
                <w:noProof/>
                <w:webHidden/>
              </w:rPr>
              <w:fldChar w:fldCharType="begin"/>
            </w:r>
            <w:r>
              <w:rPr>
                <w:noProof/>
                <w:webHidden/>
              </w:rPr>
              <w:instrText xml:space="preserve"> PAGEREF _Toc191292208 \h </w:instrText>
            </w:r>
            <w:r>
              <w:rPr>
                <w:noProof/>
                <w:webHidden/>
              </w:rPr>
            </w:r>
            <w:r>
              <w:rPr>
                <w:noProof/>
                <w:webHidden/>
              </w:rPr>
              <w:fldChar w:fldCharType="separate"/>
            </w:r>
            <w:r>
              <w:rPr>
                <w:noProof/>
                <w:webHidden/>
              </w:rPr>
              <w:t>41</w:t>
            </w:r>
            <w:r>
              <w:rPr>
                <w:noProof/>
                <w:webHidden/>
              </w:rPr>
              <w:fldChar w:fldCharType="end"/>
            </w:r>
          </w:hyperlink>
        </w:p>
        <w:p w14:paraId="76D71BD0" w14:textId="5ADC697C" w:rsidR="009E72BE" w:rsidRDefault="009E72B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1292209" w:history="1">
            <w:r w:rsidRPr="002653CE">
              <w:rPr>
                <w:rStyle w:val="Hyperlink"/>
                <w:noProof/>
              </w:rPr>
              <w:t>Risk-benefit analysis</w:t>
            </w:r>
            <w:r>
              <w:rPr>
                <w:noProof/>
                <w:webHidden/>
              </w:rPr>
              <w:tab/>
            </w:r>
            <w:r>
              <w:rPr>
                <w:noProof/>
                <w:webHidden/>
              </w:rPr>
              <w:fldChar w:fldCharType="begin"/>
            </w:r>
            <w:r>
              <w:rPr>
                <w:noProof/>
                <w:webHidden/>
              </w:rPr>
              <w:instrText xml:space="preserve"> PAGEREF _Toc191292209 \h </w:instrText>
            </w:r>
            <w:r>
              <w:rPr>
                <w:noProof/>
                <w:webHidden/>
              </w:rPr>
            </w:r>
            <w:r>
              <w:rPr>
                <w:noProof/>
                <w:webHidden/>
              </w:rPr>
              <w:fldChar w:fldCharType="separate"/>
            </w:r>
            <w:r>
              <w:rPr>
                <w:noProof/>
                <w:webHidden/>
              </w:rPr>
              <w:t>41</w:t>
            </w:r>
            <w:r>
              <w:rPr>
                <w:noProof/>
                <w:webHidden/>
              </w:rPr>
              <w:fldChar w:fldCharType="end"/>
            </w:r>
          </w:hyperlink>
        </w:p>
        <w:p w14:paraId="3552EA48" w14:textId="3EF4AFA0" w:rsidR="009E72BE" w:rsidRDefault="009E72B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1292210" w:history="1">
            <w:r w:rsidRPr="002653CE">
              <w:rPr>
                <w:rStyle w:val="Hyperlink"/>
                <w:noProof/>
              </w:rPr>
              <w:t>Delegate’s considerations</w:t>
            </w:r>
            <w:r>
              <w:rPr>
                <w:noProof/>
                <w:webHidden/>
              </w:rPr>
              <w:tab/>
            </w:r>
            <w:r>
              <w:rPr>
                <w:noProof/>
                <w:webHidden/>
              </w:rPr>
              <w:fldChar w:fldCharType="begin"/>
            </w:r>
            <w:r>
              <w:rPr>
                <w:noProof/>
                <w:webHidden/>
              </w:rPr>
              <w:instrText xml:space="preserve"> PAGEREF _Toc191292210 \h </w:instrText>
            </w:r>
            <w:r>
              <w:rPr>
                <w:noProof/>
                <w:webHidden/>
              </w:rPr>
            </w:r>
            <w:r>
              <w:rPr>
                <w:noProof/>
                <w:webHidden/>
              </w:rPr>
              <w:fldChar w:fldCharType="separate"/>
            </w:r>
            <w:r>
              <w:rPr>
                <w:noProof/>
                <w:webHidden/>
              </w:rPr>
              <w:t>41</w:t>
            </w:r>
            <w:r>
              <w:rPr>
                <w:noProof/>
                <w:webHidden/>
              </w:rPr>
              <w:fldChar w:fldCharType="end"/>
            </w:r>
          </w:hyperlink>
        </w:p>
        <w:p w14:paraId="48F29F67" w14:textId="43F60355" w:rsidR="009E72BE" w:rsidRDefault="009E72B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1292211" w:history="1">
            <w:r w:rsidRPr="002653CE">
              <w:rPr>
                <w:rStyle w:val="Hyperlink"/>
                <w:noProof/>
              </w:rPr>
              <w:t>Independent expert advice</w:t>
            </w:r>
            <w:r>
              <w:rPr>
                <w:noProof/>
                <w:webHidden/>
              </w:rPr>
              <w:tab/>
            </w:r>
            <w:r>
              <w:rPr>
                <w:noProof/>
                <w:webHidden/>
              </w:rPr>
              <w:fldChar w:fldCharType="begin"/>
            </w:r>
            <w:r>
              <w:rPr>
                <w:noProof/>
                <w:webHidden/>
              </w:rPr>
              <w:instrText xml:space="preserve"> PAGEREF _Toc191292211 \h </w:instrText>
            </w:r>
            <w:r>
              <w:rPr>
                <w:noProof/>
                <w:webHidden/>
              </w:rPr>
            </w:r>
            <w:r>
              <w:rPr>
                <w:noProof/>
                <w:webHidden/>
              </w:rPr>
              <w:fldChar w:fldCharType="separate"/>
            </w:r>
            <w:r>
              <w:rPr>
                <w:noProof/>
                <w:webHidden/>
              </w:rPr>
              <w:t>44</w:t>
            </w:r>
            <w:r>
              <w:rPr>
                <w:noProof/>
                <w:webHidden/>
              </w:rPr>
              <w:fldChar w:fldCharType="end"/>
            </w:r>
          </w:hyperlink>
        </w:p>
        <w:p w14:paraId="1EDA04B1" w14:textId="095B8EF6" w:rsidR="009E72BE" w:rsidRDefault="009E72B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1292212" w:history="1">
            <w:r w:rsidRPr="002653CE">
              <w:rPr>
                <w:rStyle w:val="Hyperlink"/>
                <w:noProof/>
              </w:rPr>
              <w:t>Advisory Committee on Medicines (ACM) considerations</w:t>
            </w:r>
            <w:r>
              <w:rPr>
                <w:noProof/>
                <w:webHidden/>
              </w:rPr>
              <w:tab/>
            </w:r>
            <w:r>
              <w:rPr>
                <w:noProof/>
                <w:webHidden/>
              </w:rPr>
              <w:fldChar w:fldCharType="begin"/>
            </w:r>
            <w:r>
              <w:rPr>
                <w:noProof/>
                <w:webHidden/>
              </w:rPr>
              <w:instrText xml:space="preserve"> PAGEREF _Toc191292212 \h </w:instrText>
            </w:r>
            <w:r>
              <w:rPr>
                <w:noProof/>
                <w:webHidden/>
              </w:rPr>
            </w:r>
            <w:r>
              <w:rPr>
                <w:noProof/>
                <w:webHidden/>
              </w:rPr>
              <w:fldChar w:fldCharType="separate"/>
            </w:r>
            <w:r>
              <w:rPr>
                <w:noProof/>
                <w:webHidden/>
              </w:rPr>
              <w:t>44</w:t>
            </w:r>
            <w:r>
              <w:rPr>
                <w:noProof/>
                <w:webHidden/>
              </w:rPr>
              <w:fldChar w:fldCharType="end"/>
            </w:r>
          </w:hyperlink>
        </w:p>
        <w:p w14:paraId="2CF2BEB6" w14:textId="73C57678" w:rsidR="009E72BE" w:rsidRDefault="009E72B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91292213" w:history="1">
            <w:r w:rsidRPr="002653CE">
              <w:rPr>
                <w:rStyle w:val="Hyperlink"/>
                <w:noProof/>
              </w:rPr>
              <w:t>Regulatory decision (outcome)</w:t>
            </w:r>
            <w:r>
              <w:rPr>
                <w:noProof/>
                <w:webHidden/>
              </w:rPr>
              <w:tab/>
            </w:r>
            <w:r>
              <w:rPr>
                <w:noProof/>
                <w:webHidden/>
              </w:rPr>
              <w:fldChar w:fldCharType="begin"/>
            </w:r>
            <w:r>
              <w:rPr>
                <w:noProof/>
                <w:webHidden/>
              </w:rPr>
              <w:instrText xml:space="preserve"> PAGEREF _Toc191292213 \h </w:instrText>
            </w:r>
            <w:r>
              <w:rPr>
                <w:noProof/>
                <w:webHidden/>
              </w:rPr>
            </w:r>
            <w:r>
              <w:rPr>
                <w:noProof/>
                <w:webHidden/>
              </w:rPr>
              <w:fldChar w:fldCharType="separate"/>
            </w:r>
            <w:r>
              <w:rPr>
                <w:noProof/>
                <w:webHidden/>
              </w:rPr>
              <w:t>45</w:t>
            </w:r>
            <w:r>
              <w:rPr>
                <w:noProof/>
                <w:webHidden/>
              </w:rPr>
              <w:fldChar w:fldCharType="end"/>
            </w:r>
          </w:hyperlink>
        </w:p>
        <w:p w14:paraId="778B1FBC" w14:textId="01DFFF14" w:rsidR="009E72BE" w:rsidRDefault="009E72B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1292214" w:history="1">
            <w:r w:rsidRPr="002653CE">
              <w:rPr>
                <w:rStyle w:val="Hyperlink"/>
                <w:noProof/>
              </w:rPr>
              <w:t>Specific conditions of registration applying to these goods</w:t>
            </w:r>
            <w:r>
              <w:rPr>
                <w:noProof/>
                <w:webHidden/>
              </w:rPr>
              <w:tab/>
            </w:r>
            <w:r>
              <w:rPr>
                <w:noProof/>
                <w:webHidden/>
              </w:rPr>
              <w:fldChar w:fldCharType="begin"/>
            </w:r>
            <w:r>
              <w:rPr>
                <w:noProof/>
                <w:webHidden/>
              </w:rPr>
              <w:instrText xml:space="preserve"> PAGEREF _Toc191292214 \h </w:instrText>
            </w:r>
            <w:r>
              <w:rPr>
                <w:noProof/>
                <w:webHidden/>
              </w:rPr>
            </w:r>
            <w:r>
              <w:rPr>
                <w:noProof/>
                <w:webHidden/>
              </w:rPr>
              <w:fldChar w:fldCharType="separate"/>
            </w:r>
            <w:r>
              <w:rPr>
                <w:noProof/>
                <w:webHidden/>
              </w:rPr>
              <w:t>45</w:t>
            </w:r>
            <w:r>
              <w:rPr>
                <w:noProof/>
                <w:webHidden/>
              </w:rPr>
              <w:fldChar w:fldCharType="end"/>
            </w:r>
          </w:hyperlink>
        </w:p>
        <w:p w14:paraId="2F4D6469" w14:textId="1748BF97" w:rsidR="009E72BE" w:rsidRDefault="009E72B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91292215" w:history="1">
            <w:r w:rsidRPr="002653CE">
              <w:rPr>
                <w:rStyle w:val="Hyperlink"/>
                <w:noProof/>
              </w:rPr>
              <w:t>Product Information (PI)</w:t>
            </w:r>
            <w:r>
              <w:rPr>
                <w:noProof/>
                <w:webHidden/>
              </w:rPr>
              <w:tab/>
            </w:r>
            <w:r>
              <w:rPr>
                <w:noProof/>
                <w:webHidden/>
              </w:rPr>
              <w:fldChar w:fldCharType="begin"/>
            </w:r>
            <w:r>
              <w:rPr>
                <w:noProof/>
                <w:webHidden/>
              </w:rPr>
              <w:instrText xml:space="preserve"> PAGEREF _Toc191292215 \h </w:instrText>
            </w:r>
            <w:r>
              <w:rPr>
                <w:noProof/>
                <w:webHidden/>
              </w:rPr>
            </w:r>
            <w:r>
              <w:rPr>
                <w:noProof/>
                <w:webHidden/>
              </w:rPr>
              <w:fldChar w:fldCharType="separate"/>
            </w:r>
            <w:r>
              <w:rPr>
                <w:noProof/>
                <w:webHidden/>
              </w:rPr>
              <w:t>46</w:t>
            </w:r>
            <w:r>
              <w:rPr>
                <w:noProof/>
                <w:webHidden/>
              </w:rPr>
              <w:fldChar w:fldCharType="end"/>
            </w:r>
          </w:hyperlink>
        </w:p>
        <w:p w14:paraId="77659F2D" w14:textId="4711E663"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9B73DAE" w:rsidR="00324B33" w:rsidRDefault="00324B33" w:rsidP="00324B33">
      <w:pPr>
        <w:pStyle w:val="Heading2"/>
      </w:pPr>
      <w:bookmarkStart w:id="0" w:name="_Toc98931917"/>
      <w:bookmarkStart w:id="1" w:name="_Toc103679287"/>
      <w:bookmarkStart w:id="2" w:name="_Toc191292188"/>
      <w:bookmarkStart w:id="3" w:name="_Toc323739589"/>
      <w:bookmarkStart w:id="4" w:name="_Toc356305216"/>
      <w:r>
        <w:lastRenderedPageBreak/>
        <w:t>List of abbreviations</w:t>
      </w:r>
      <w:bookmarkEnd w:id="0"/>
      <w:bookmarkEnd w:id="1"/>
      <w:bookmarkEnd w:id="2"/>
    </w:p>
    <w:tbl>
      <w:tblPr>
        <w:tblStyle w:val="TableTGAblue2023"/>
        <w:tblW w:w="4966" w:type="pct"/>
        <w:tblLook w:val="04A0" w:firstRow="1" w:lastRow="0" w:firstColumn="1" w:lastColumn="0" w:noHBand="0" w:noVBand="1"/>
      </w:tblPr>
      <w:tblGrid>
        <w:gridCol w:w="2174"/>
        <w:gridCol w:w="6824"/>
      </w:tblGrid>
      <w:tr w:rsidR="00324B33" w:rsidRPr="00D01DDB" w14:paraId="2117AEF6" w14:textId="77777777" w:rsidTr="00672E7B">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8" w:type="pct"/>
          </w:tcPr>
          <w:p w14:paraId="1207B6A7" w14:textId="67F7D360" w:rsidR="00324B33" w:rsidRPr="00D01DDB" w:rsidRDefault="00324B33" w:rsidP="00324B33">
            <w:pPr>
              <w:rPr>
                <w:szCs w:val="22"/>
              </w:rPr>
            </w:pPr>
            <w:r w:rsidRPr="00D01DDB">
              <w:rPr>
                <w:szCs w:val="22"/>
              </w:rPr>
              <w:t>Abbreviation</w:t>
            </w:r>
          </w:p>
        </w:tc>
        <w:tc>
          <w:tcPr>
            <w:tcW w:w="3792"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6719DD" w:rsidRPr="00D01DDB" w14:paraId="16C5C8C5"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6DE09A4" w14:textId="33C97788" w:rsidR="006719DD" w:rsidRPr="00D01DDB" w:rsidRDefault="006719DD" w:rsidP="006719DD">
            <w:pPr>
              <w:rPr>
                <w:szCs w:val="22"/>
              </w:rPr>
            </w:pPr>
            <w:r>
              <w:rPr>
                <w:rFonts w:cs="Cambria"/>
                <w:szCs w:val="22"/>
              </w:rPr>
              <w:t xml:space="preserve">ΔOFV </w:t>
            </w:r>
          </w:p>
        </w:tc>
        <w:tc>
          <w:tcPr>
            <w:tcW w:w="3792" w:type="pct"/>
          </w:tcPr>
          <w:p w14:paraId="4F24A873" w14:textId="052301D4" w:rsidR="006719DD" w:rsidRPr="00D01DDB" w:rsidRDefault="006719DD" w:rsidP="006719DD">
            <w:pPr>
              <w:cnfStyle w:val="000000000000" w:firstRow="0" w:lastRow="0" w:firstColumn="0" w:lastColumn="0" w:oddVBand="0" w:evenVBand="0" w:oddHBand="0" w:evenHBand="0" w:firstRowFirstColumn="0" w:firstRowLastColumn="0" w:lastRowFirstColumn="0" w:lastRowLastColumn="0"/>
              <w:rPr>
                <w:szCs w:val="22"/>
              </w:rPr>
            </w:pPr>
            <w:r>
              <w:rPr>
                <w:rFonts w:cs="Cambria"/>
                <w:szCs w:val="22"/>
              </w:rPr>
              <w:t>Change in the objective function value</w:t>
            </w:r>
          </w:p>
        </w:tc>
      </w:tr>
      <w:tr w:rsidR="006719DD" w:rsidRPr="00D01DDB" w14:paraId="35340A59"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D8B9F80" w14:textId="4773F1D6" w:rsidR="006719DD" w:rsidRPr="00D01DDB" w:rsidRDefault="006719DD" w:rsidP="006719DD">
            <w:pPr>
              <w:rPr>
                <w:szCs w:val="22"/>
              </w:rPr>
            </w:pPr>
            <w:r>
              <w:rPr>
                <w:rFonts w:cs="Cambria"/>
                <w:szCs w:val="22"/>
              </w:rPr>
              <w:t>χ</w:t>
            </w:r>
            <w:r>
              <w:rPr>
                <w:rFonts w:cs="Cambria"/>
                <w:sz w:val="14"/>
                <w:szCs w:val="14"/>
              </w:rPr>
              <w:t xml:space="preserve">2 </w:t>
            </w:r>
          </w:p>
        </w:tc>
        <w:tc>
          <w:tcPr>
            <w:tcW w:w="3792" w:type="pct"/>
          </w:tcPr>
          <w:p w14:paraId="5072E244" w14:textId="43D2B2D2" w:rsidR="006719DD" w:rsidRPr="00D01DDB" w:rsidRDefault="006719DD" w:rsidP="006719DD">
            <w:pPr>
              <w:cnfStyle w:val="000000000000" w:firstRow="0" w:lastRow="0" w:firstColumn="0" w:lastColumn="0" w:oddVBand="0" w:evenVBand="0" w:oddHBand="0" w:evenHBand="0" w:firstRowFirstColumn="0" w:firstRowLastColumn="0" w:lastRowFirstColumn="0" w:lastRowLastColumn="0"/>
              <w:rPr>
                <w:szCs w:val="22"/>
              </w:rPr>
            </w:pPr>
            <w:r>
              <w:rPr>
                <w:rFonts w:cs="Cambria"/>
                <w:szCs w:val="22"/>
              </w:rPr>
              <w:t>Chi-square distribution</w:t>
            </w:r>
          </w:p>
        </w:tc>
      </w:tr>
      <w:tr w:rsidR="006719DD" w:rsidRPr="00D01DDB" w14:paraId="69654661"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43A7AEA" w14:textId="31AEEE4A" w:rsidR="006719DD" w:rsidRPr="00D01DDB" w:rsidRDefault="006719DD" w:rsidP="006719DD">
            <w:pPr>
              <w:rPr>
                <w:szCs w:val="22"/>
              </w:rPr>
            </w:pPr>
            <w:r>
              <w:rPr>
                <w:rFonts w:cs="Cambria"/>
                <w:szCs w:val="22"/>
              </w:rPr>
              <w:t xml:space="preserve">ABC </w:t>
            </w:r>
          </w:p>
        </w:tc>
        <w:tc>
          <w:tcPr>
            <w:tcW w:w="3792" w:type="pct"/>
          </w:tcPr>
          <w:p w14:paraId="228A203A" w14:textId="25478554" w:rsidR="006719DD" w:rsidRPr="00D01DDB" w:rsidRDefault="006719DD" w:rsidP="006719DD">
            <w:pPr>
              <w:cnfStyle w:val="000000000000" w:firstRow="0" w:lastRow="0" w:firstColumn="0" w:lastColumn="0" w:oddVBand="0" w:evenVBand="0" w:oddHBand="0" w:evenHBand="0" w:firstRowFirstColumn="0" w:firstRowLastColumn="0" w:lastRowFirstColumn="0" w:lastRowLastColumn="0"/>
              <w:rPr>
                <w:szCs w:val="22"/>
              </w:rPr>
            </w:pPr>
            <w:r>
              <w:rPr>
                <w:rFonts w:cs="Cambria"/>
                <w:szCs w:val="22"/>
              </w:rPr>
              <w:t>Advanced breast cancer</w:t>
            </w:r>
          </w:p>
        </w:tc>
      </w:tr>
      <w:tr w:rsidR="006719DD" w:rsidRPr="00D01DDB" w14:paraId="05366769"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0516A80" w14:textId="302F02C8" w:rsidR="006719DD" w:rsidRPr="00D01DDB" w:rsidRDefault="006719DD" w:rsidP="006719DD">
            <w:pPr>
              <w:rPr>
                <w:szCs w:val="22"/>
              </w:rPr>
            </w:pPr>
            <w:r>
              <w:rPr>
                <w:rFonts w:cs="Cambria"/>
                <w:szCs w:val="22"/>
              </w:rPr>
              <w:t xml:space="preserve">ADR </w:t>
            </w:r>
          </w:p>
        </w:tc>
        <w:tc>
          <w:tcPr>
            <w:tcW w:w="3792" w:type="pct"/>
          </w:tcPr>
          <w:p w14:paraId="4E6F5284" w14:textId="03210849" w:rsidR="006719DD" w:rsidRPr="00D01DDB" w:rsidRDefault="006719DD" w:rsidP="006719DD">
            <w:pPr>
              <w:cnfStyle w:val="000000000000" w:firstRow="0" w:lastRow="0" w:firstColumn="0" w:lastColumn="0" w:oddVBand="0" w:evenVBand="0" w:oddHBand="0" w:evenHBand="0" w:firstRowFirstColumn="0" w:firstRowLastColumn="0" w:lastRowFirstColumn="0" w:lastRowLastColumn="0"/>
              <w:rPr>
                <w:szCs w:val="22"/>
              </w:rPr>
            </w:pPr>
            <w:r>
              <w:rPr>
                <w:rFonts w:cs="Cambria"/>
                <w:szCs w:val="22"/>
              </w:rPr>
              <w:t>Adverse drug reaction</w:t>
            </w:r>
          </w:p>
        </w:tc>
      </w:tr>
      <w:tr w:rsidR="006719DD" w:rsidRPr="00D01DDB" w14:paraId="7694A4EE"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AC18809" w14:textId="04C79682" w:rsidR="006719DD" w:rsidRPr="00D01DDB" w:rsidRDefault="006719DD" w:rsidP="006719DD">
            <w:pPr>
              <w:rPr>
                <w:szCs w:val="22"/>
              </w:rPr>
            </w:pPr>
            <w:r>
              <w:rPr>
                <w:rFonts w:cs="Cambria"/>
                <w:szCs w:val="22"/>
              </w:rPr>
              <w:t xml:space="preserve">AE </w:t>
            </w:r>
          </w:p>
        </w:tc>
        <w:tc>
          <w:tcPr>
            <w:tcW w:w="3792" w:type="pct"/>
          </w:tcPr>
          <w:p w14:paraId="5D8C9DF5" w14:textId="3AFFD1D1" w:rsidR="006719DD" w:rsidRPr="00D01DDB" w:rsidRDefault="006719DD" w:rsidP="006719DD">
            <w:pPr>
              <w:cnfStyle w:val="000000000000" w:firstRow="0" w:lastRow="0" w:firstColumn="0" w:lastColumn="0" w:oddVBand="0" w:evenVBand="0" w:oddHBand="0" w:evenHBand="0" w:firstRowFirstColumn="0" w:firstRowLastColumn="0" w:lastRowFirstColumn="0" w:lastRowLastColumn="0"/>
              <w:rPr>
                <w:szCs w:val="22"/>
              </w:rPr>
            </w:pPr>
            <w:r>
              <w:rPr>
                <w:rFonts w:cs="Cambria"/>
                <w:szCs w:val="22"/>
              </w:rPr>
              <w:t>Adverse event</w:t>
            </w:r>
          </w:p>
        </w:tc>
      </w:tr>
      <w:tr w:rsidR="006719DD" w:rsidRPr="00D01DDB" w14:paraId="7B873773"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CE05B04" w14:textId="2ADAC706" w:rsidR="006719DD" w:rsidRPr="00D01DDB" w:rsidRDefault="006719DD" w:rsidP="006719DD">
            <w:pPr>
              <w:rPr>
                <w:szCs w:val="22"/>
              </w:rPr>
            </w:pPr>
            <w:r>
              <w:rPr>
                <w:rFonts w:cs="Cambria"/>
                <w:szCs w:val="22"/>
              </w:rPr>
              <w:t xml:space="preserve">AESI </w:t>
            </w:r>
          </w:p>
        </w:tc>
        <w:tc>
          <w:tcPr>
            <w:tcW w:w="3792" w:type="pct"/>
          </w:tcPr>
          <w:p w14:paraId="26109D0B" w14:textId="71FABBB4" w:rsidR="006719DD" w:rsidRPr="00D01DDB" w:rsidRDefault="006719DD" w:rsidP="006719DD">
            <w:pPr>
              <w:cnfStyle w:val="000000000000" w:firstRow="0" w:lastRow="0" w:firstColumn="0" w:lastColumn="0" w:oddVBand="0" w:evenVBand="0" w:oddHBand="0" w:evenHBand="0" w:firstRowFirstColumn="0" w:firstRowLastColumn="0" w:lastRowFirstColumn="0" w:lastRowLastColumn="0"/>
              <w:rPr>
                <w:szCs w:val="22"/>
              </w:rPr>
            </w:pPr>
            <w:r>
              <w:rPr>
                <w:rFonts w:cs="Cambria"/>
                <w:szCs w:val="22"/>
              </w:rPr>
              <w:t>Adverse event(s) of special interest</w:t>
            </w:r>
          </w:p>
        </w:tc>
      </w:tr>
      <w:tr w:rsidR="006719DD" w:rsidRPr="00D01DDB" w14:paraId="2756B6F2"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2AA960E" w14:textId="668BF15E" w:rsidR="006719DD" w:rsidRPr="00D01DDB" w:rsidRDefault="006719DD" w:rsidP="006719DD">
            <w:pPr>
              <w:rPr>
                <w:szCs w:val="22"/>
              </w:rPr>
            </w:pPr>
            <w:r>
              <w:rPr>
                <w:rFonts w:cs="Cambria"/>
                <w:szCs w:val="22"/>
              </w:rPr>
              <w:t xml:space="preserve">AI </w:t>
            </w:r>
          </w:p>
        </w:tc>
        <w:tc>
          <w:tcPr>
            <w:tcW w:w="3792" w:type="pct"/>
          </w:tcPr>
          <w:p w14:paraId="354B5DB5" w14:textId="42D1496D" w:rsidR="006719DD" w:rsidRPr="00D01DDB" w:rsidRDefault="006719DD" w:rsidP="006719DD">
            <w:pPr>
              <w:cnfStyle w:val="000000000000" w:firstRow="0" w:lastRow="0" w:firstColumn="0" w:lastColumn="0" w:oddVBand="0" w:evenVBand="0" w:oddHBand="0" w:evenHBand="0" w:firstRowFirstColumn="0" w:firstRowLastColumn="0" w:lastRowFirstColumn="0" w:lastRowLastColumn="0"/>
              <w:rPr>
                <w:szCs w:val="22"/>
              </w:rPr>
            </w:pPr>
            <w:r>
              <w:rPr>
                <w:rFonts w:cs="Cambria"/>
                <w:szCs w:val="22"/>
              </w:rPr>
              <w:t>Aromatase inhibitor</w:t>
            </w:r>
          </w:p>
        </w:tc>
      </w:tr>
      <w:tr w:rsidR="006719DD" w:rsidRPr="00D01DDB" w14:paraId="3D3C703D"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6FC5D65" w14:textId="5D808D5A" w:rsidR="006719DD" w:rsidRPr="00D01DDB" w:rsidRDefault="006719DD" w:rsidP="006719DD">
            <w:pPr>
              <w:rPr>
                <w:szCs w:val="22"/>
              </w:rPr>
            </w:pPr>
            <w:r>
              <w:rPr>
                <w:rFonts w:cs="Cambria"/>
                <w:szCs w:val="22"/>
              </w:rPr>
              <w:t xml:space="preserve">AIC </w:t>
            </w:r>
          </w:p>
        </w:tc>
        <w:tc>
          <w:tcPr>
            <w:tcW w:w="3792" w:type="pct"/>
          </w:tcPr>
          <w:p w14:paraId="4A97D112" w14:textId="23E928DC" w:rsidR="006719DD" w:rsidRPr="00D01DDB" w:rsidRDefault="006719DD" w:rsidP="006719DD">
            <w:pPr>
              <w:cnfStyle w:val="000000000000" w:firstRow="0" w:lastRow="0" w:firstColumn="0" w:lastColumn="0" w:oddVBand="0" w:evenVBand="0" w:oddHBand="0" w:evenHBand="0" w:firstRowFirstColumn="0" w:firstRowLastColumn="0" w:lastRowFirstColumn="0" w:lastRowLastColumn="0"/>
              <w:rPr>
                <w:szCs w:val="22"/>
              </w:rPr>
            </w:pPr>
            <w:r>
              <w:rPr>
                <w:rFonts w:cs="Cambria"/>
                <w:szCs w:val="22"/>
              </w:rPr>
              <w:t>Akaike information</w:t>
            </w:r>
          </w:p>
        </w:tc>
      </w:tr>
      <w:tr w:rsidR="006719DD" w:rsidRPr="00D01DDB" w14:paraId="07F3695A"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9390BCA" w14:textId="2DE15D7B" w:rsidR="006719DD" w:rsidRPr="00D01DDB" w:rsidRDefault="006719DD" w:rsidP="006719DD">
            <w:pPr>
              <w:rPr>
                <w:szCs w:val="22"/>
              </w:rPr>
            </w:pPr>
            <w:r>
              <w:rPr>
                <w:rFonts w:cs="Cambria"/>
                <w:szCs w:val="22"/>
              </w:rPr>
              <w:t xml:space="preserve">AJCC </w:t>
            </w:r>
          </w:p>
        </w:tc>
        <w:tc>
          <w:tcPr>
            <w:tcW w:w="3792" w:type="pct"/>
          </w:tcPr>
          <w:p w14:paraId="2C862F75" w14:textId="44985B08" w:rsidR="006719DD" w:rsidRPr="00D01DDB" w:rsidRDefault="006719DD" w:rsidP="006719DD">
            <w:pPr>
              <w:cnfStyle w:val="000000000000" w:firstRow="0" w:lastRow="0" w:firstColumn="0" w:lastColumn="0" w:oddVBand="0" w:evenVBand="0" w:oddHBand="0" w:evenHBand="0" w:firstRowFirstColumn="0" w:firstRowLastColumn="0" w:lastRowFirstColumn="0" w:lastRowLastColumn="0"/>
              <w:rPr>
                <w:szCs w:val="22"/>
              </w:rPr>
            </w:pPr>
            <w:r>
              <w:rPr>
                <w:rFonts w:cs="Cambria"/>
                <w:szCs w:val="22"/>
              </w:rPr>
              <w:t>American Joint Committee on Cancer</w:t>
            </w:r>
          </w:p>
        </w:tc>
      </w:tr>
      <w:tr w:rsidR="006719DD" w:rsidRPr="00D01DDB" w14:paraId="254AC9B9"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74FC2A0" w14:textId="1E777BE2" w:rsidR="006719DD" w:rsidRPr="00D01DDB" w:rsidRDefault="006719DD" w:rsidP="006719DD">
            <w:pPr>
              <w:rPr>
                <w:szCs w:val="22"/>
              </w:rPr>
            </w:pPr>
            <w:r>
              <w:rPr>
                <w:rFonts w:cs="Cambria"/>
                <w:szCs w:val="22"/>
              </w:rPr>
              <w:t xml:space="preserve">AKT </w:t>
            </w:r>
          </w:p>
        </w:tc>
        <w:tc>
          <w:tcPr>
            <w:tcW w:w="3792" w:type="pct"/>
          </w:tcPr>
          <w:p w14:paraId="29EA6BA3" w14:textId="22A23A03" w:rsidR="006719DD" w:rsidRPr="00D01DDB" w:rsidRDefault="006719DD" w:rsidP="006719DD">
            <w:pPr>
              <w:cnfStyle w:val="000000000000" w:firstRow="0" w:lastRow="0" w:firstColumn="0" w:lastColumn="0" w:oddVBand="0" w:evenVBand="0" w:oddHBand="0" w:evenHBand="0" w:firstRowFirstColumn="0" w:firstRowLastColumn="0" w:lastRowFirstColumn="0" w:lastRowLastColumn="0"/>
              <w:rPr>
                <w:szCs w:val="22"/>
              </w:rPr>
            </w:pPr>
            <w:r>
              <w:rPr>
                <w:rFonts w:cs="Cambria"/>
                <w:szCs w:val="22"/>
              </w:rPr>
              <w:t>AKT serine/threonine kinase (protein)</w:t>
            </w:r>
          </w:p>
        </w:tc>
      </w:tr>
      <w:tr w:rsidR="006719DD" w:rsidRPr="00D01DDB" w14:paraId="4BDC33D2"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1819C5F" w14:textId="6ECD8CB8" w:rsidR="006719DD" w:rsidRPr="00D01DDB" w:rsidRDefault="006719DD" w:rsidP="006719DD">
            <w:pPr>
              <w:rPr>
                <w:szCs w:val="22"/>
              </w:rPr>
            </w:pPr>
            <w:r>
              <w:rPr>
                <w:rFonts w:cs="Cambria"/>
                <w:i/>
                <w:iCs/>
                <w:szCs w:val="22"/>
              </w:rPr>
              <w:t xml:space="preserve">AKT1 </w:t>
            </w:r>
          </w:p>
        </w:tc>
        <w:tc>
          <w:tcPr>
            <w:tcW w:w="3792" w:type="pct"/>
          </w:tcPr>
          <w:p w14:paraId="4458E485" w14:textId="54FDAB52" w:rsidR="006719DD" w:rsidRPr="00D01DDB" w:rsidRDefault="006719DD" w:rsidP="006719DD">
            <w:pPr>
              <w:cnfStyle w:val="000000000000" w:firstRow="0" w:lastRow="0" w:firstColumn="0" w:lastColumn="0" w:oddVBand="0" w:evenVBand="0" w:oddHBand="0" w:evenHBand="0" w:firstRowFirstColumn="0" w:firstRowLastColumn="0" w:lastRowFirstColumn="0" w:lastRowLastColumn="0"/>
              <w:rPr>
                <w:szCs w:val="22"/>
              </w:rPr>
            </w:pPr>
            <w:r>
              <w:rPr>
                <w:rFonts w:cs="Cambria"/>
                <w:szCs w:val="22"/>
              </w:rPr>
              <w:t>AKT serine/threonine kinase 1 (gene)</w:t>
            </w:r>
          </w:p>
        </w:tc>
      </w:tr>
      <w:tr w:rsidR="006719DD" w:rsidRPr="00D01DDB" w14:paraId="2C8657A9"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46CFA8D" w14:textId="38CB99C9" w:rsidR="006719DD" w:rsidRPr="00D01DDB" w:rsidRDefault="006719DD" w:rsidP="006719DD">
            <w:pPr>
              <w:rPr>
                <w:szCs w:val="22"/>
              </w:rPr>
            </w:pPr>
            <w:proofErr w:type="spellStart"/>
            <w:r>
              <w:rPr>
                <w:rFonts w:cs="Cambria"/>
                <w:szCs w:val="22"/>
              </w:rPr>
              <w:t>A</w:t>
            </w:r>
            <w:r>
              <w:rPr>
                <w:rFonts w:cs="Cambria"/>
                <w:sz w:val="14"/>
                <w:szCs w:val="14"/>
              </w:rPr>
              <w:t>lag</w:t>
            </w:r>
            <w:proofErr w:type="spellEnd"/>
            <w:r>
              <w:rPr>
                <w:rFonts w:cs="Cambria"/>
                <w:sz w:val="14"/>
                <w:szCs w:val="14"/>
              </w:rPr>
              <w:t xml:space="preserve"> </w:t>
            </w:r>
          </w:p>
        </w:tc>
        <w:tc>
          <w:tcPr>
            <w:tcW w:w="3792" w:type="pct"/>
          </w:tcPr>
          <w:p w14:paraId="53D4D108" w14:textId="036F041E" w:rsidR="006719DD" w:rsidRPr="00D01DDB" w:rsidRDefault="006719DD" w:rsidP="006719DD">
            <w:pPr>
              <w:cnfStyle w:val="000000000000" w:firstRow="0" w:lastRow="0" w:firstColumn="0" w:lastColumn="0" w:oddVBand="0" w:evenVBand="0" w:oddHBand="0" w:evenHBand="0" w:firstRowFirstColumn="0" w:firstRowLastColumn="0" w:lastRowFirstColumn="0" w:lastRowLastColumn="0"/>
              <w:rPr>
                <w:szCs w:val="22"/>
              </w:rPr>
            </w:pPr>
            <w:r>
              <w:rPr>
                <w:rFonts w:cs="Cambria"/>
                <w:szCs w:val="22"/>
              </w:rPr>
              <w:t>Absorption time lag</w:t>
            </w:r>
          </w:p>
        </w:tc>
      </w:tr>
      <w:tr w:rsidR="006719DD" w:rsidRPr="00D01DDB" w14:paraId="148CFD3F"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524F882" w14:textId="7E51F096" w:rsidR="006719DD" w:rsidRDefault="006719DD" w:rsidP="006719DD">
            <w:pPr>
              <w:rPr>
                <w:rFonts w:cs="Cambria"/>
                <w:szCs w:val="22"/>
              </w:rPr>
            </w:pPr>
            <w:r>
              <w:rPr>
                <w:rFonts w:cs="Cambria"/>
                <w:szCs w:val="22"/>
              </w:rPr>
              <w:t xml:space="preserve">ALP </w:t>
            </w:r>
          </w:p>
        </w:tc>
        <w:tc>
          <w:tcPr>
            <w:tcW w:w="3792" w:type="pct"/>
          </w:tcPr>
          <w:p w14:paraId="265E8E7C" w14:textId="07A2965C" w:rsid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Pr>
                <w:rFonts w:cs="Cambria"/>
                <w:szCs w:val="22"/>
              </w:rPr>
              <w:t>Alkaline phosphatase</w:t>
            </w:r>
          </w:p>
        </w:tc>
      </w:tr>
      <w:tr w:rsidR="006719DD" w:rsidRPr="00D01DDB" w14:paraId="6B630460"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E62C755" w14:textId="50ABC4F2" w:rsidR="006719DD" w:rsidRDefault="006719DD" w:rsidP="006719DD">
            <w:pPr>
              <w:rPr>
                <w:rFonts w:cs="Cambria"/>
                <w:szCs w:val="22"/>
              </w:rPr>
            </w:pPr>
            <w:r>
              <w:rPr>
                <w:rFonts w:cs="Cambria"/>
                <w:szCs w:val="22"/>
              </w:rPr>
              <w:t xml:space="preserve">ALT </w:t>
            </w:r>
          </w:p>
        </w:tc>
        <w:tc>
          <w:tcPr>
            <w:tcW w:w="3792" w:type="pct"/>
          </w:tcPr>
          <w:p w14:paraId="7E85BAFA" w14:textId="0911B6E8" w:rsid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Pr>
                <w:rFonts w:cs="Cambria"/>
                <w:szCs w:val="22"/>
              </w:rPr>
              <w:t>Alanine aminotransferase</w:t>
            </w:r>
          </w:p>
        </w:tc>
      </w:tr>
      <w:tr w:rsidR="006719DD" w:rsidRPr="00D01DDB" w14:paraId="4787E6BA"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BE8AAEF" w14:textId="43AB46CF" w:rsidR="006719DD" w:rsidRDefault="006719DD" w:rsidP="006719DD">
            <w:pPr>
              <w:rPr>
                <w:rFonts w:cs="Cambria"/>
                <w:szCs w:val="22"/>
              </w:rPr>
            </w:pPr>
            <w:r>
              <w:rPr>
                <w:rFonts w:cs="Cambria"/>
                <w:szCs w:val="22"/>
              </w:rPr>
              <w:t xml:space="preserve">ANCOVA </w:t>
            </w:r>
          </w:p>
        </w:tc>
        <w:tc>
          <w:tcPr>
            <w:tcW w:w="3792" w:type="pct"/>
          </w:tcPr>
          <w:p w14:paraId="17F25A89" w14:textId="0AB97D89" w:rsid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Pr>
                <w:rFonts w:cs="Cambria"/>
                <w:szCs w:val="22"/>
              </w:rPr>
              <w:t>Analysis of covariance</w:t>
            </w:r>
          </w:p>
        </w:tc>
      </w:tr>
      <w:tr w:rsidR="006719DD" w:rsidRPr="00D01DDB" w14:paraId="5E795043"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D7E1F79" w14:textId="6F0908A2" w:rsidR="006719DD" w:rsidRDefault="006719DD" w:rsidP="006719DD">
            <w:pPr>
              <w:rPr>
                <w:rFonts w:cs="Cambria"/>
                <w:szCs w:val="22"/>
              </w:rPr>
            </w:pPr>
            <w:r>
              <w:rPr>
                <w:rFonts w:cs="Cambria"/>
                <w:szCs w:val="22"/>
              </w:rPr>
              <w:t xml:space="preserve">AST </w:t>
            </w:r>
          </w:p>
        </w:tc>
        <w:tc>
          <w:tcPr>
            <w:tcW w:w="3792" w:type="pct"/>
          </w:tcPr>
          <w:p w14:paraId="3A8A15F6" w14:textId="57C06397" w:rsid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Pr>
                <w:rFonts w:cs="Cambria"/>
                <w:szCs w:val="22"/>
              </w:rPr>
              <w:t>Aspartate aminotransferase</w:t>
            </w:r>
          </w:p>
        </w:tc>
      </w:tr>
      <w:tr w:rsidR="006719DD" w:rsidRPr="00D01DDB" w14:paraId="15C2E226"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D6E3FE1" w14:textId="706A7BFB" w:rsidR="006719DD" w:rsidRDefault="006719DD" w:rsidP="006719DD">
            <w:pPr>
              <w:rPr>
                <w:rFonts w:cs="Cambria"/>
                <w:szCs w:val="22"/>
              </w:rPr>
            </w:pPr>
            <w:r>
              <w:rPr>
                <w:rFonts w:cs="Cambria"/>
                <w:szCs w:val="22"/>
              </w:rPr>
              <w:t xml:space="preserve">ATC </w:t>
            </w:r>
          </w:p>
        </w:tc>
        <w:tc>
          <w:tcPr>
            <w:tcW w:w="3792" w:type="pct"/>
          </w:tcPr>
          <w:p w14:paraId="19957554" w14:textId="143BDE00" w:rsid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Pr>
                <w:rFonts w:cs="Cambria"/>
                <w:szCs w:val="22"/>
              </w:rPr>
              <w:t>Anatomical Therapeutic Chemical</w:t>
            </w:r>
          </w:p>
        </w:tc>
      </w:tr>
      <w:tr w:rsidR="006719DD" w:rsidRPr="00D01DDB" w14:paraId="13BF7E18"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6640006" w14:textId="34550D66" w:rsidR="006719DD" w:rsidRDefault="006719DD" w:rsidP="006719DD">
            <w:pPr>
              <w:rPr>
                <w:rFonts w:cs="Cambria"/>
                <w:szCs w:val="22"/>
              </w:rPr>
            </w:pPr>
            <w:r>
              <w:rPr>
                <w:rFonts w:cs="Cambria"/>
                <w:szCs w:val="22"/>
              </w:rPr>
              <w:t xml:space="preserve">AUC </w:t>
            </w:r>
          </w:p>
        </w:tc>
        <w:tc>
          <w:tcPr>
            <w:tcW w:w="3792" w:type="pct"/>
          </w:tcPr>
          <w:p w14:paraId="0561CB43" w14:textId="33B7260F" w:rsid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Pr>
                <w:rFonts w:cs="Cambria"/>
                <w:szCs w:val="22"/>
              </w:rPr>
              <w:t>Area under the plasma concentration-time curve</w:t>
            </w:r>
          </w:p>
        </w:tc>
      </w:tr>
      <w:tr w:rsidR="006719DD" w:rsidRPr="00D01DDB" w14:paraId="6DB46564"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B246FE6" w14:textId="69815686" w:rsidR="006719DD" w:rsidRDefault="006719DD" w:rsidP="006719DD">
            <w:pPr>
              <w:rPr>
                <w:rFonts w:cs="Cambria"/>
                <w:szCs w:val="22"/>
              </w:rPr>
            </w:pPr>
            <w:r>
              <w:rPr>
                <w:rFonts w:cs="Cambria"/>
                <w:szCs w:val="22"/>
              </w:rPr>
              <w:t>AUC</w:t>
            </w:r>
            <w:r>
              <w:rPr>
                <w:rFonts w:cs="Cambria"/>
                <w:sz w:val="14"/>
                <w:szCs w:val="14"/>
              </w:rPr>
              <w:t xml:space="preserve">0-12 </w:t>
            </w:r>
          </w:p>
        </w:tc>
        <w:tc>
          <w:tcPr>
            <w:tcW w:w="3792" w:type="pct"/>
          </w:tcPr>
          <w:p w14:paraId="3FE5CB48" w14:textId="6E3649B9" w:rsid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Pr>
                <w:rFonts w:cs="Cambria"/>
                <w:szCs w:val="22"/>
              </w:rPr>
              <w:t>Area under the plasma concentration-time curve from zero to 12 hours</w:t>
            </w:r>
          </w:p>
        </w:tc>
      </w:tr>
      <w:tr w:rsidR="006719DD" w:rsidRPr="00D01DDB" w14:paraId="1811895F"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9B80306" w14:textId="73CFBE0D" w:rsidR="006719DD" w:rsidRDefault="006719DD" w:rsidP="006719DD">
            <w:pPr>
              <w:rPr>
                <w:rFonts w:cs="Cambria"/>
                <w:szCs w:val="22"/>
              </w:rPr>
            </w:pPr>
            <w:r>
              <w:rPr>
                <w:rFonts w:cs="Cambria"/>
                <w:szCs w:val="22"/>
              </w:rPr>
              <w:t>AUC</w:t>
            </w:r>
            <w:r>
              <w:rPr>
                <w:rFonts w:cs="Cambria"/>
                <w:sz w:val="14"/>
                <w:szCs w:val="14"/>
              </w:rPr>
              <w:t xml:space="preserve">0-th </w:t>
            </w:r>
          </w:p>
        </w:tc>
        <w:tc>
          <w:tcPr>
            <w:tcW w:w="3792" w:type="pct"/>
          </w:tcPr>
          <w:p w14:paraId="5358FDE8" w14:textId="05C635C0" w:rsid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Pr>
                <w:rFonts w:cs="Cambria"/>
                <w:szCs w:val="22"/>
              </w:rPr>
              <w:t>Area under the plasma concentration-time curve from zero to x hours</w:t>
            </w:r>
          </w:p>
        </w:tc>
      </w:tr>
      <w:tr w:rsidR="006719DD" w:rsidRPr="00D01DDB" w14:paraId="150CCEE2"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52511CA" w14:textId="276981A7" w:rsidR="006719DD" w:rsidRDefault="006719DD" w:rsidP="006719DD">
            <w:pPr>
              <w:rPr>
                <w:rFonts w:cs="Cambria"/>
                <w:szCs w:val="22"/>
              </w:rPr>
            </w:pPr>
            <w:r>
              <w:rPr>
                <w:rFonts w:cs="Cambria"/>
                <w:szCs w:val="22"/>
              </w:rPr>
              <w:t>AUC</w:t>
            </w:r>
            <w:r>
              <w:rPr>
                <w:rFonts w:cs="Cambria"/>
                <w:sz w:val="14"/>
                <w:szCs w:val="14"/>
              </w:rPr>
              <w:t>12</w:t>
            </w:r>
            <w:proofErr w:type="gramStart"/>
            <w:r>
              <w:rPr>
                <w:rFonts w:cs="Cambria"/>
                <w:sz w:val="14"/>
                <w:szCs w:val="14"/>
              </w:rPr>
              <w:t>h,ss</w:t>
            </w:r>
            <w:proofErr w:type="gramEnd"/>
            <w:r>
              <w:rPr>
                <w:rFonts w:cs="Cambria"/>
                <w:sz w:val="14"/>
                <w:szCs w:val="14"/>
              </w:rPr>
              <w:t xml:space="preserve"> </w:t>
            </w:r>
          </w:p>
        </w:tc>
        <w:tc>
          <w:tcPr>
            <w:tcW w:w="3792" w:type="pct"/>
          </w:tcPr>
          <w:p w14:paraId="1A283F30" w14:textId="4CA22B68" w:rsid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Pr>
                <w:rFonts w:cs="Cambria"/>
                <w:szCs w:val="22"/>
              </w:rPr>
              <w:t xml:space="preserve">Area under the plasma concentration-time curve from zero to 12 hours </w:t>
            </w:r>
            <w:r w:rsidR="00BB5653">
              <w:rPr>
                <w:rFonts w:cs="Cambria"/>
                <w:szCs w:val="22"/>
              </w:rPr>
              <w:t>at steady state</w:t>
            </w:r>
          </w:p>
        </w:tc>
      </w:tr>
      <w:tr w:rsidR="006719DD" w:rsidRPr="00D01DDB" w14:paraId="395F9B73"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5332EEF" w14:textId="23DB69CA" w:rsidR="006719DD" w:rsidRDefault="006719DD" w:rsidP="006719DD">
            <w:pPr>
              <w:rPr>
                <w:rFonts w:cs="Cambria"/>
                <w:szCs w:val="22"/>
              </w:rPr>
            </w:pPr>
            <w:r>
              <w:rPr>
                <w:rFonts w:cs="Cambria"/>
                <w:szCs w:val="22"/>
              </w:rPr>
              <w:t xml:space="preserve">B- </w:t>
            </w:r>
          </w:p>
        </w:tc>
        <w:tc>
          <w:tcPr>
            <w:tcW w:w="3792" w:type="pct"/>
          </w:tcPr>
          <w:p w14:paraId="279C7C77" w14:textId="2008ABD7" w:rsid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Pr>
                <w:rFonts w:cs="Cambria"/>
                <w:szCs w:val="22"/>
              </w:rPr>
              <w:t>Blood</w:t>
            </w:r>
          </w:p>
        </w:tc>
      </w:tr>
      <w:tr w:rsidR="006719DD" w:rsidRPr="00D01DDB" w14:paraId="48AE0655"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8071227" w14:textId="5735CC0F" w:rsidR="006719DD" w:rsidRDefault="006719DD" w:rsidP="006719DD">
            <w:pPr>
              <w:rPr>
                <w:rFonts w:cs="Cambria"/>
                <w:szCs w:val="22"/>
              </w:rPr>
            </w:pPr>
            <w:r>
              <w:rPr>
                <w:rFonts w:cs="Cambria"/>
                <w:szCs w:val="22"/>
              </w:rPr>
              <w:t xml:space="preserve">BD </w:t>
            </w:r>
          </w:p>
        </w:tc>
        <w:tc>
          <w:tcPr>
            <w:tcW w:w="3792" w:type="pct"/>
          </w:tcPr>
          <w:p w14:paraId="32502BD3" w14:textId="07B52D94" w:rsid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Pr>
                <w:rFonts w:cs="Cambria"/>
                <w:szCs w:val="22"/>
              </w:rPr>
              <w:t>Twice daily</w:t>
            </w:r>
          </w:p>
        </w:tc>
      </w:tr>
      <w:tr w:rsidR="006719DD" w:rsidRPr="00D01DDB" w14:paraId="51724D5A"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1F26314" w14:textId="3AA95605" w:rsidR="006719DD" w:rsidRDefault="006719DD" w:rsidP="006719DD">
            <w:pPr>
              <w:rPr>
                <w:rFonts w:cs="Cambria"/>
                <w:szCs w:val="22"/>
              </w:rPr>
            </w:pPr>
            <w:r w:rsidRPr="006719DD">
              <w:rPr>
                <w:rFonts w:cs="Cambria"/>
                <w:szCs w:val="22"/>
              </w:rPr>
              <w:t xml:space="preserve">BIC </w:t>
            </w:r>
          </w:p>
        </w:tc>
        <w:tc>
          <w:tcPr>
            <w:tcW w:w="3792" w:type="pct"/>
          </w:tcPr>
          <w:p w14:paraId="3ACFD02E" w14:textId="046807CE" w:rsid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Bayesian information criterion</w:t>
            </w:r>
          </w:p>
        </w:tc>
      </w:tr>
      <w:tr w:rsidR="006719DD" w:rsidRPr="00D01DDB" w14:paraId="668FA801"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9E70203" w14:textId="302D2713" w:rsidR="006719DD" w:rsidRPr="006719DD" w:rsidRDefault="006719DD" w:rsidP="006719DD">
            <w:pPr>
              <w:rPr>
                <w:rFonts w:cs="Cambria"/>
                <w:szCs w:val="22"/>
              </w:rPr>
            </w:pPr>
            <w:r w:rsidRPr="006719DD">
              <w:rPr>
                <w:rFonts w:cs="Cambria"/>
                <w:szCs w:val="22"/>
              </w:rPr>
              <w:t xml:space="preserve">BICR </w:t>
            </w:r>
          </w:p>
        </w:tc>
        <w:tc>
          <w:tcPr>
            <w:tcW w:w="3792" w:type="pct"/>
          </w:tcPr>
          <w:p w14:paraId="6E44F59E" w14:textId="26002734" w:rsidR="006719DD" w:rsidRP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Blinded independent central review</w:t>
            </w:r>
          </w:p>
        </w:tc>
      </w:tr>
      <w:tr w:rsidR="006719DD" w:rsidRPr="00D01DDB" w14:paraId="3F4F34D5"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EBF892D" w14:textId="5CAA9BE1" w:rsidR="006719DD" w:rsidRPr="006719DD" w:rsidRDefault="006719DD" w:rsidP="006719DD">
            <w:pPr>
              <w:rPr>
                <w:rFonts w:cs="Cambria"/>
                <w:szCs w:val="22"/>
              </w:rPr>
            </w:pPr>
            <w:r w:rsidRPr="006719DD">
              <w:rPr>
                <w:rFonts w:cs="Cambria"/>
                <w:szCs w:val="22"/>
              </w:rPr>
              <w:t xml:space="preserve">BLQ </w:t>
            </w:r>
          </w:p>
        </w:tc>
        <w:tc>
          <w:tcPr>
            <w:tcW w:w="3792" w:type="pct"/>
          </w:tcPr>
          <w:p w14:paraId="54FE6AAC" w14:textId="6EECC6A9" w:rsidR="006719DD" w:rsidRP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Below the limit of quantification</w:t>
            </w:r>
          </w:p>
        </w:tc>
      </w:tr>
      <w:tr w:rsidR="006719DD" w:rsidRPr="00D01DDB" w14:paraId="57A57338"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8E83DBC" w14:textId="01421AB1" w:rsidR="006719DD" w:rsidRPr="006719DD" w:rsidRDefault="006719DD" w:rsidP="006719DD">
            <w:pPr>
              <w:rPr>
                <w:rFonts w:cs="Cambria"/>
                <w:szCs w:val="22"/>
              </w:rPr>
            </w:pPr>
            <w:r w:rsidRPr="006719DD">
              <w:rPr>
                <w:rFonts w:cs="Cambria"/>
                <w:szCs w:val="22"/>
              </w:rPr>
              <w:t xml:space="preserve">BMI </w:t>
            </w:r>
          </w:p>
        </w:tc>
        <w:tc>
          <w:tcPr>
            <w:tcW w:w="3792" w:type="pct"/>
          </w:tcPr>
          <w:p w14:paraId="60953880" w14:textId="0C8E3A42" w:rsidR="006719DD" w:rsidRP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Body mass index</w:t>
            </w:r>
          </w:p>
        </w:tc>
      </w:tr>
      <w:tr w:rsidR="006719DD" w:rsidRPr="00D01DDB" w14:paraId="09C61531"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CB9B22F" w14:textId="0F27AFA7" w:rsidR="006719DD" w:rsidRPr="006719DD" w:rsidRDefault="006719DD" w:rsidP="006719DD">
            <w:pPr>
              <w:rPr>
                <w:rFonts w:cs="Cambria"/>
                <w:szCs w:val="22"/>
              </w:rPr>
            </w:pPr>
            <w:proofErr w:type="spellStart"/>
            <w:r w:rsidRPr="006719DD">
              <w:rPr>
                <w:rFonts w:cs="Cambria"/>
                <w:szCs w:val="22"/>
              </w:rPr>
              <w:t>BoR</w:t>
            </w:r>
            <w:proofErr w:type="spellEnd"/>
            <w:r w:rsidRPr="006719DD">
              <w:rPr>
                <w:rFonts w:cs="Cambria"/>
                <w:szCs w:val="22"/>
              </w:rPr>
              <w:t xml:space="preserve"> </w:t>
            </w:r>
          </w:p>
        </w:tc>
        <w:tc>
          <w:tcPr>
            <w:tcW w:w="3792" w:type="pct"/>
          </w:tcPr>
          <w:p w14:paraId="0AF590F1" w14:textId="475DA901" w:rsidR="006719DD" w:rsidRP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Best objective response</w:t>
            </w:r>
          </w:p>
        </w:tc>
      </w:tr>
      <w:tr w:rsidR="006719DD" w:rsidRPr="00D01DDB" w14:paraId="024A9B68"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4AE6CBB" w14:textId="03388CCC" w:rsidR="006719DD" w:rsidRPr="006719DD" w:rsidRDefault="006719DD" w:rsidP="006719DD">
            <w:pPr>
              <w:rPr>
                <w:rFonts w:cs="Cambria"/>
                <w:szCs w:val="22"/>
              </w:rPr>
            </w:pPr>
            <w:r w:rsidRPr="006719DD">
              <w:rPr>
                <w:rFonts w:cs="Cambria"/>
                <w:i/>
                <w:iCs/>
                <w:szCs w:val="22"/>
              </w:rPr>
              <w:t xml:space="preserve">BRCA1/2 </w:t>
            </w:r>
          </w:p>
        </w:tc>
        <w:tc>
          <w:tcPr>
            <w:tcW w:w="3792" w:type="pct"/>
          </w:tcPr>
          <w:p w14:paraId="628E25BC" w14:textId="6F295996" w:rsidR="006719DD" w:rsidRP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Breast cancer gene 1/2</w:t>
            </w:r>
          </w:p>
        </w:tc>
      </w:tr>
      <w:tr w:rsidR="006719DD" w:rsidRPr="00D01DDB" w14:paraId="24CC98D8"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1767EF7" w14:textId="58105F4C" w:rsidR="006719DD" w:rsidRPr="006719DD" w:rsidRDefault="006719DD" w:rsidP="006719DD">
            <w:pPr>
              <w:rPr>
                <w:rFonts w:cs="Cambria"/>
                <w:i/>
                <w:iCs/>
                <w:szCs w:val="22"/>
              </w:rPr>
            </w:pPr>
            <w:r w:rsidRPr="006719DD">
              <w:rPr>
                <w:rFonts w:cs="Cambria"/>
                <w:szCs w:val="22"/>
              </w:rPr>
              <w:lastRenderedPageBreak/>
              <w:t xml:space="preserve">C </w:t>
            </w:r>
          </w:p>
        </w:tc>
        <w:tc>
          <w:tcPr>
            <w:tcW w:w="3792" w:type="pct"/>
          </w:tcPr>
          <w:p w14:paraId="59F19ACD" w14:textId="205EC19C" w:rsidR="006719DD" w:rsidRP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Cycle</w:t>
            </w:r>
          </w:p>
        </w:tc>
      </w:tr>
      <w:tr w:rsidR="006719DD" w:rsidRPr="00D01DDB" w14:paraId="4A52CCE6"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BB0CF6E" w14:textId="658B6F57" w:rsidR="006719DD" w:rsidRPr="006719DD" w:rsidRDefault="006719DD" w:rsidP="006719DD">
            <w:pPr>
              <w:rPr>
                <w:rFonts w:cs="Cambria"/>
                <w:szCs w:val="22"/>
              </w:rPr>
            </w:pPr>
            <w:proofErr w:type="spellStart"/>
            <w:r w:rsidRPr="006719DD">
              <w:rPr>
                <w:rFonts w:cs="Cambria"/>
                <w:szCs w:val="22"/>
              </w:rPr>
              <w:t>C</w:t>
            </w:r>
            <w:r w:rsidRPr="006719DD">
              <w:rPr>
                <w:rFonts w:cs="Cambria"/>
                <w:sz w:val="14"/>
                <w:szCs w:val="14"/>
              </w:rPr>
              <w:t>xh</w:t>
            </w:r>
            <w:proofErr w:type="spellEnd"/>
            <w:r w:rsidRPr="006719DD">
              <w:rPr>
                <w:rFonts w:cs="Cambria"/>
                <w:sz w:val="14"/>
                <w:szCs w:val="14"/>
              </w:rPr>
              <w:t xml:space="preserve"> </w:t>
            </w:r>
          </w:p>
        </w:tc>
        <w:tc>
          <w:tcPr>
            <w:tcW w:w="3792" w:type="pct"/>
          </w:tcPr>
          <w:p w14:paraId="29129E62" w14:textId="2B09C5D5" w:rsidR="006719DD" w:rsidRP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Plasma concentration at x hours</w:t>
            </w:r>
          </w:p>
        </w:tc>
      </w:tr>
      <w:tr w:rsidR="006719DD" w:rsidRPr="00D01DDB" w14:paraId="30EA2AFF"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3A220C0" w14:textId="22804B96" w:rsidR="006719DD" w:rsidRPr="006719DD" w:rsidRDefault="006719DD" w:rsidP="006719DD">
            <w:pPr>
              <w:rPr>
                <w:rFonts w:cs="Cambria"/>
                <w:szCs w:val="22"/>
              </w:rPr>
            </w:pPr>
            <w:r w:rsidRPr="006719DD">
              <w:rPr>
                <w:rFonts w:cs="Cambria"/>
                <w:szCs w:val="22"/>
              </w:rPr>
              <w:t xml:space="preserve">CBR </w:t>
            </w:r>
          </w:p>
        </w:tc>
        <w:tc>
          <w:tcPr>
            <w:tcW w:w="3792" w:type="pct"/>
          </w:tcPr>
          <w:p w14:paraId="1DCF3327" w14:textId="30F74F7A" w:rsidR="006719DD" w:rsidRP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Clinical benefit rate</w:t>
            </w:r>
          </w:p>
        </w:tc>
      </w:tr>
      <w:tr w:rsidR="006719DD" w:rsidRPr="00D01DDB" w14:paraId="234B27F4"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6B9545B" w14:textId="1548727E" w:rsidR="006719DD" w:rsidRPr="006719DD" w:rsidRDefault="006719DD" w:rsidP="006719DD">
            <w:pPr>
              <w:rPr>
                <w:rFonts w:cs="Cambria"/>
                <w:szCs w:val="22"/>
              </w:rPr>
            </w:pPr>
            <w:r w:rsidRPr="006719DD">
              <w:rPr>
                <w:rFonts w:cs="Cambria"/>
                <w:szCs w:val="22"/>
              </w:rPr>
              <w:t xml:space="preserve">CDK4/6 </w:t>
            </w:r>
          </w:p>
        </w:tc>
        <w:tc>
          <w:tcPr>
            <w:tcW w:w="3792" w:type="pct"/>
          </w:tcPr>
          <w:p w14:paraId="0EE5DC90" w14:textId="1AB0BFA8" w:rsidR="006719DD" w:rsidRP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Cyclin-dependent kinase 4/6</w:t>
            </w:r>
          </w:p>
        </w:tc>
      </w:tr>
      <w:tr w:rsidR="006719DD" w:rsidRPr="00D01DDB" w14:paraId="5F6A0920"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231F3CC" w14:textId="01ECF269" w:rsidR="006719DD" w:rsidRPr="006719DD" w:rsidRDefault="006719DD" w:rsidP="006719DD">
            <w:pPr>
              <w:rPr>
                <w:rFonts w:cs="Cambria"/>
                <w:szCs w:val="22"/>
              </w:rPr>
            </w:pPr>
            <w:r w:rsidRPr="006719DD">
              <w:rPr>
                <w:rFonts w:cs="Cambria"/>
                <w:szCs w:val="22"/>
              </w:rPr>
              <w:t xml:space="preserve">CDK4/6i </w:t>
            </w:r>
          </w:p>
        </w:tc>
        <w:tc>
          <w:tcPr>
            <w:tcW w:w="3792" w:type="pct"/>
          </w:tcPr>
          <w:p w14:paraId="21629E92" w14:textId="09B55CB0" w:rsidR="006719DD" w:rsidRP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Cyclin-dependent kinase 4/6 inhibitor</w:t>
            </w:r>
          </w:p>
        </w:tc>
      </w:tr>
      <w:tr w:rsidR="006719DD" w:rsidRPr="00D01DDB" w14:paraId="69655C90"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9814042" w14:textId="709CE23E" w:rsidR="006719DD" w:rsidRPr="006719DD" w:rsidRDefault="006719DD" w:rsidP="006719DD">
            <w:pPr>
              <w:rPr>
                <w:rFonts w:cs="Cambria"/>
                <w:szCs w:val="22"/>
              </w:rPr>
            </w:pPr>
            <w:r w:rsidRPr="006719DD">
              <w:rPr>
                <w:rFonts w:cs="Cambria"/>
                <w:szCs w:val="22"/>
              </w:rPr>
              <w:t xml:space="preserve">CI </w:t>
            </w:r>
          </w:p>
        </w:tc>
        <w:tc>
          <w:tcPr>
            <w:tcW w:w="3792" w:type="pct"/>
          </w:tcPr>
          <w:p w14:paraId="6E8B19B0" w14:textId="0DB17873" w:rsidR="006719DD" w:rsidRP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Confidence interval</w:t>
            </w:r>
          </w:p>
        </w:tc>
      </w:tr>
      <w:tr w:rsidR="006719DD" w:rsidRPr="00D01DDB" w14:paraId="00A9C57A"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4EFC92B" w14:textId="0C09951E" w:rsidR="006719DD" w:rsidRPr="006719DD" w:rsidRDefault="006719DD" w:rsidP="006719DD">
            <w:pPr>
              <w:rPr>
                <w:rFonts w:cs="Cambria"/>
                <w:szCs w:val="22"/>
              </w:rPr>
            </w:pPr>
            <w:r w:rsidRPr="006719DD">
              <w:rPr>
                <w:rFonts w:cs="Cambria"/>
                <w:szCs w:val="22"/>
              </w:rPr>
              <w:t xml:space="preserve">CL </w:t>
            </w:r>
          </w:p>
        </w:tc>
        <w:tc>
          <w:tcPr>
            <w:tcW w:w="3792" w:type="pct"/>
          </w:tcPr>
          <w:p w14:paraId="0E05696A" w14:textId="6C668334" w:rsidR="006719DD" w:rsidRP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Clearance</w:t>
            </w:r>
          </w:p>
        </w:tc>
      </w:tr>
      <w:tr w:rsidR="006719DD" w:rsidRPr="00D01DDB" w14:paraId="66EDD459"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A3AC57B" w14:textId="4CF85B22" w:rsidR="006719DD" w:rsidRPr="006719DD" w:rsidRDefault="006719DD" w:rsidP="006719DD">
            <w:pPr>
              <w:rPr>
                <w:rFonts w:cs="Cambria"/>
                <w:szCs w:val="22"/>
              </w:rPr>
            </w:pPr>
            <w:r w:rsidRPr="006719DD">
              <w:rPr>
                <w:rFonts w:cs="Cambria"/>
                <w:szCs w:val="22"/>
              </w:rPr>
              <w:t xml:space="preserve">CL/F </w:t>
            </w:r>
          </w:p>
        </w:tc>
        <w:tc>
          <w:tcPr>
            <w:tcW w:w="3792" w:type="pct"/>
          </w:tcPr>
          <w:p w14:paraId="6BB702A8" w14:textId="33C46145" w:rsidR="006719DD" w:rsidRP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Apparent clearance</w:t>
            </w:r>
          </w:p>
        </w:tc>
      </w:tr>
      <w:tr w:rsidR="006719DD" w:rsidRPr="00D01DDB" w14:paraId="0AC2980F"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62CF25F" w14:textId="66503CB6" w:rsidR="006719DD" w:rsidRPr="006719DD" w:rsidRDefault="006719DD" w:rsidP="006719DD">
            <w:pPr>
              <w:rPr>
                <w:rFonts w:cs="Cambria"/>
                <w:szCs w:val="22"/>
              </w:rPr>
            </w:pPr>
            <w:proofErr w:type="spellStart"/>
            <w:r w:rsidRPr="006719DD">
              <w:rPr>
                <w:rFonts w:cs="Cambria"/>
                <w:szCs w:val="22"/>
              </w:rPr>
              <w:t>C</w:t>
            </w:r>
            <w:r w:rsidRPr="006719DD">
              <w:rPr>
                <w:rFonts w:cs="Cambria"/>
                <w:sz w:val="14"/>
                <w:szCs w:val="14"/>
              </w:rPr>
              <w:t>max</w:t>
            </w:r>
            <w:proofErr w:type="spellEnd"/>
            <w:r w:rsidRPr="006719DD">
              <w:rPr>
                <w:rFonts w:cs="Cambria"/>
                <w:sz w:val="14"/>
                <w:szCs w:val="14"/>
              </w:rPr>
              <w:t xml:space="preserve"> </w:t>
            </w:r>
          </w:p>
        </w:tc>
        <w:tc>
          <w:tcPr>
            <w:tcW w:w="3792" w:type="pct"/>
          </w:tcPr>
          <w:p w14:paraId="055AE2FC" w14:textId="0FD465D1" w:rsidR="006719DD" w:rsidRP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Maximum observed plasma (peak) concentration</w:t>
            </w:r>
          </w:p>
        </w:tc>
      </w:tr>
      <w:tr w:rsidR="006719DD" w:rsidRPr="00D01DDB" w14:paraId="338D052A"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13600B2" w14:textId="440BDE45" w:rsidR="006719DD" w:rsidRPr="006719DD" w:rsidRDefault="006719DD" w:rsidP="006719DD">
            <w:pPr>
              <w:rPr>
                <w:rFonts w:cs="Cambria"/>
                <w:szCs w:val="22"/>
              </w:rPr>
            </w:pPr>
            <w:proofErr w:type="spellStart"/>
            <w:proofErr w:type="gramStart"/>
            <w:r w:rsidRPr="006719DD">
              <w:rPr>
                <w:rFonts w:cs="Cambria"/>
                <w:szCs w:val="22"/>
              </w:rPr>
              <w:t>C</w:t>
            </w:r>
            <w:r w:rsidRPr="006719DD">
              <w:rPr>
                <w:rFonts w:cs="Cambria"/>
                <w:sz w:val="14"/>
                <w:szCs w:val="14"/>
              </w:rPr>
              <w:t>max,ss</w:t>
            </w:r>
            <w:proofErr w:type="spellEnd"/>
            <w:proofErr w:type="gramEnd"/>
            <w:r w:rsidRPr="006719DD">
              <w:rPr>
                <w:rFonts w:cs="Cambria"/>
                <w:sz w:val="14"/>
                <w:szCs w:val="14"/>
              </w:rPr>
              <w:t xml:space="preserve"> </w:t>
            </w:r>
          </w:p>
        </w:tc>
        <w:tc>
          <w:tcPr>
            <w:tcW w:w="3792" w:type="pct"/>
          </w:tcPr>
          <w:p w14:paraId="5FC56A54" w14:textId="6252BCEB" w:rsidR="006719DD" w:rsidRP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Maximum observed plasma (peak) concentration at steady state</w:t>
            </w:r>
          </w:p>
        </w:tc>
      </w:tr>
      <w:tr w:rsidR="006719DD" w:rsidRPr="00D01DDB" w14:paraId="6C2B8F70"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9F0C0C4" w14:textId="5E2AB0CD" w:rsidR="006719DD" w:rsidRPr="006719DD" w:rsidRDefault="006719DD" w:rsidP="006719DD">
            <w:pPr>
              <w:rPr>
                <w:rFonts w:cs="Cambria"/>
                <w:szCs w:val="22"/>
              </w:rPr>
            </w:pPr>
            <w:r w:rsidRPr="006719DD">
              <w:rPr>
                <w:rFonts w:cs="Cambria"/>
                <w:szCs w:val="22"/>
              </w:rPr>
              <w:t xml:space="preserve">CMH </w:t>
            </w:r>
          </w:p>
        </w:tc>
        <w:tc>
          <w:tcPr>
            <w:tcW w:w="3792" w:type="pct"/>
          </w:tcPr>
          <w:p w14:paraId="542009FA" w14:textId="1B2673D7" w:rsidR="006719DD" w:rsidRP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Cochran-Mantel Haenszel</w:t>
            </w:r>
          </w:p>
        </w:tc>
      </w:tr>
      <w:tr w:rsidR="006719DD" w:rsidRPr="00D01DDB" w14:paraId="0483CD90"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FA03D6E" w14:textId="4F71BAA5" w:rsidR="006719DD" w:rsidRPr="006719DD" w:rsidRDefault="006719DD" w:rsidP="006719DD">
            <w:pPr>
              <w:rPr>
                <w:rFonts w:cs="Cambria"/>
                <w:szCs w:val="22"/>
              </w:rPr>
            </w:pPr>
            <w:r w:rsidRPr="006719DD">
              <w:rPr>
                <w:rFonts w:cs="Cambria"/>
                <w:szCs w:val="22"/>
              </w:rPr>
              <w:t xml:space="preserve">CMV </w:t>
            </w:r>
          </w:p>
        </w:tc>
        <w:tc>
          <w:tcPr>
            <w:tcW w:w="3792" w:type="pct"/>
          </w:tcPr>
          <w:p w14:paraId="3161804D" w14:textId="2D36CB3C" w:rsidR="006719DD" w:rsidRP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Cytomegalovirus</w:t>
            </w:r>
          </w:p>
        </w:tc>
      </w:tr>
      <w:tr w:rsidR="006719DD" w:rsidRPr="00D01DDB" w14:paraId="0EDF6F4F"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F7EFD5C" w14:textId="2CBDF048" w:rsidR="006719DD" w:rsidRPr="006719DD" w:rsidRDefault="006719DD" w:rsidP="006719DD">
            <w:pPr>
              <w:rPr>
                <w:rFonts w:cs="Cambria"/>
                <w:szCs w:val="22"/>
              </w:rPr>
            </w:pPr>
            <w:r w:rsidRPr="006719DD">
              <w:rPr>
                <w:rFonts w:cs="Cambria"/>
                <w:szCs w:val="22"/>
              </w:rPr>
              <w:t xml:space="preserve">COVID-19 </w:t>
            </w:r>
          </w:p>
        </w:tc>
        <w:tc>
          <w:tcPr>
            <w:tcW w:w="3792" w:type="pct"/>
          </w:tcPr>
          <w:p w14:paraId="15CA59B0" w14:textId="2A1F8541" w:rsidR="006719DD" w:rsidRP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Coronavirus disease 2019</w:t>
            </w:r>
          </w:p>
        </w:tc>
      </w:tr>
      <w:tr w:rsidR="006719DD" w:rsidRPr="00D01DDB" w14:paraId="2C1E9907"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9A98288" w14:textId="2CE1747D" w:rsidR="006719DD" w:rsidRPr="006719DD" w:rsidRDefault="006719DD" w:rsidP="006719DD">
            <w:pPr>
              <w:rPr>
                <w:rFonts w:cs="Cambria"/>
                <w:szCs w:val="22"/>
              </w:rPr>
            </w:pPr>
            <w:r w:rsidRPr="006719DD">
              <w:rPr>
                <w:rFonts w:cs="Cambria"/>
                <w:szCs w:val="22"/>
              </w:rPr>
              <w:t xml:space="preserve">CR </w:t>
            </w:r>
          </w:p>
        </w:tc>
        <w:tc>
          <w:tcPr>
            <w:tcW w:w="3792" w:type="pct"/>
          </w:tcPr>
          <w:p w14:paraId="170168CF" w14:textId="1647DAE5" w:rsidR="006719DD" w:rsidRP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Complete response</w:t>
            </w:r>
          </w:p>
        </w:tc>
      </w:tr>
      <w:tr w:rsidR="006719DD" w:rsidRPr="00D01DDB" w14:paraId="388F867A"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88111C2" w14:textId="7526CF68" w:rsidR="006719DD" w:rsidRPr="006719DD" w:rsidRDefault="006719DD" w:rsidP="006719DD">
            <w:pPr>
              <w:rPr>
                <w:rFonts w:cs="Cambria"/>
                <w:szCs w:val="22"/>
              </w:rPr>
            </w:pPr>
            <w:r w:rsidRPr="006719DD">
              <w:rPr>
                <w:rFonts w:cs="Cambria"/>
                <w:szCs w:val="22"/>
              </w:rPr>
              <w:t xml:space="preserve">CRCL </w:t>
            </w:r>
          </w:p>
        </w:tc>
        <w:tc>
          <w:tcPr>
            <w:tcW w:w="3792" w:type="pct"/>
          </w:tcPr>
          <w:p w14:paraId="3A931B6A" w14:textId="5DA53338" w:rsidR="006719DD" w:rsidRP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Creatinine clearance</w:t>
            </w:r>
          </w:p>
        </w:tc>
      </w:tr>
      <w:tr w:rsidR="006719DD" w:rsidRPr="00D01DDB" w14:paraId="2B887AE9"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21F355B" w14:textId="2DDFFDE9" w:rsidR="006719DD" w:rsidRPr="006719DD" w:rsidRDefault="006719DD" w:rsidP="006719DD">
            <w:pPr>
              <w:rPr>
                <w:rFonts w:cs="Cambria"/>
                <w:szCs w:val="22"/>
              </w:rPr>
            </w:pPr>
            <w:r w:rsidRPr="006719DD">
              <w:rPr>
                <w:rFonts w:cs="Cambria"/>
                <w:szCs w:val="22"/>
              </w:rPr>
              <w:t xml:space="preserve">CT </w:t>
            </w:r>
          </w:p>
        </w:tc>
        <w:tc>
          <w:tcPr>
            <w:tcW w:w="3792" w:type="pct"/>
          </w:tcPr>
          <w:p w14:paraId="524E93CA" w14:textId="25AAD5BE" w:rsidR="006719DD" w:rsidRP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Computerised tomography</w:t>
            </w:r>
          </w:p>
        </w:tc>
      </w:tr>
      <w:tr w:rsidR="006719DD" w:rsidRPr="00D01DDB" w14:paraId="04D2A7A4"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CBE9CE6" w14:textId="20760490" w:rsidR="006719DD" w:rsidRPr="006719DD" w:rsidRDefault="006719DD" w:rsidP="006719DD">
            <w:pPr>
              <w:rPr>
                <w:rFonts w:cs="Cambria"/>
                <w:szCs w:val="22"/>
              </w:rPr>
            </w:pPr>
            <w:r w:rsidRPr="006719DD">
              <w:rPr>
                <w:rFonts w:cs="Cambria"/>
                <w:szCs w:val="22"/>
              </w:rPr>
              <w:t xml:space="preserve">CTC </w:t>
            </w:r>
          </w:p>
        </w:tc>
        <w:tc>
          <w:tcPr>
            <w:tcW w:w="3792" w:type="pct"/>
          </w:tcPr>
          <w:p w14:paraId="67961C90" w14:textId="25D6B12B" w:rsidR="006719DD" w:rsidRP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Circulating tumour cell</w:t>
            </w:r>
          </w:p>
        </w:tc>
      </w:tr>
      <w:tr w:rsidR="006719DD" w:rsidRPr="00D01DDB" w14:paraId="56543181"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2F25A46" w14:textId="76FC067D" w:rsidR="006719DD" w:rsidRPr="006719DD" w:rsidRDefault="006719DD" w:rsidP="006719DD">
            <w:pPr>
              <w:rPr>
                <w:rFonts w:cs="Cambria"/>
                <w:szCs w:val="22"/>
              </w:rPr>
            </w:pPr>
            <w:r w:rsidRPr="006719DD">
              <w:rPr>
                <w:rFonts w:cs="Cambria"/>
                <w:szCs w:val="22"/>
              </w:rPr>
              <w:t xml:space="preserve">CTCAE </w:t>
            </w:r>
          </w:p>
        </w:tc>
        <w:tc>
          <w:tcPr>
            <w:tcW w:w="3792" w:type="pct"/>
          </w:tcPr>
          <w:p w14:paraId="767DE201" w14:textId="38577B9D" w:rsidR="006719DD" w:rsidRP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Common Terminology Criteria for Adverse Event</w:t>
            </w:r>
          </w:p>
        </w:tc>
      </w:tr>
      <w:tr w:rsidR="006719DD" w:rsidRPr="00D01DDB" w14:paraId="0462A1CF"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DD83191" w14:textId="56E629E9" w:rsidR="006719DD" w:rsidRPr="006719DD" w:rsidRDefault="006719DD" w:rsidP="006719DD">
            <w:pPr>
              <w:rPr>
                <w:rFonts w:cs="Cambria"/>
                <w:szCs w:val="22"/>
              </w:rPr>
            </w:pPr>
            <w:proofErr w:type="spellStart"/>
            <w:r w:rsidRPr="006719DD">
              <w:rPr>
                <w:rFonts w:cs="Cambria"/>
                <w:szCs w:val="22"/>
              </w:rPr>
              <w:t>ctDNA</w:t>
            </w:r>
            <w:proofErr w:type="spellEnd"/>
            <w:r w:rsidRPr="006719DD">
              <w:rPr>
                <w:rFonts w:cs="Cambria"/>
                <w:szCs w:val="22"/>
              </w:rPr>
              <w:t xml:space="preserve"> </w:t>
            </w:r>
          </w:p>
        </w:tc>
        <w:tc>
          <w:tcPr>
            <w:tcW w:w="3792" w:type="pct"/>
          </w:tcPr>
          <w:p w14:paraId="19F26D95" w14:textId="0F2E0A55" w:rsidR="006719DD" w:rsidRPr="006719DD" w:rsidRDefault="006719DD" w:rsidP="006719DD">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Circulating tumour DNA</w:t>
            </w:r>
          </w:p>
        </w:tc>
      </w:tr>
      <w:tr w:rsidR="00E9128F" w:rsidRPr="00D01DDB" w14:paraId="690FC75B"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38359DE" w14:textId="423F07F5" w:rsidR="00E9128F" w:rsidRPr="006719DD" w:rsidRDefault="00E9128F" w:rsidP="00E9128F">
            <w:pPr>
              <w:rPr>
                <w:rFonts w:cs="Cambria"/>
                <w:szCs w:val="22"/>
              </w:rPr>
            </w:pPr>
            <w:proofErr w:type="spellStart"/>
            <w:r w:rsidRPr="00E9128F">
              <w:rPr>
                <w:rFonts w:cs="Cambria"/>
                <w:szCs w:val="22"/>
              </w:rPr>
              <w:t>C</w:t>
            </w:r>
            <w:r w:rsidRPr="00E9128F">
              <w:rPr>
                <w:rFonts w:cs="Cambria"/>
                <w:sz w:val="14"/>
                <w:szCs w:val="14"/>
              </w:rPr>
              <w:t>trough</w:t>
            </w:r>
            <w:proofErr w:type="spellEnd"/>
            <w:r w:rsidRPr="00E9128F">
              <w:rPr>
                <w:rFonts w:cs="Cambria"/>
                <w:sz w:val="14"/>
                <w:szCs w:val="14"/>
              </w:rPr>
              <w:t xml:space="preserve"> </w:t>
            </w:r>
          </w:p>
        </w:tc>
        <w:tc>
          <w:tcPr>
            <w:tcW w:w="3792" w:type="pct"/>
          </w:tcPr>
          <w:p w14:paraId="111B8D7E" w14:textId="744F1F9D" w:rsidR="00E9128F" w:rsidRPr="006719DD" w:rsidRDefault="00E9128F" w:rsidP="00E9128F">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Observed </w:t>
            </w:r>
            <w:proofErr w:type="spellStart"/>
            <w:r w:rsidRPr="00E9128F">
              <w:rPr>
                <w:rFonts w:cs="Cambria"/>
                <w:szCs w:val="22"/>
              </w:rPr>
              <w:t>capivasertib</w:t>
            </w:r>
            <w:proofErr w:type="spellEnd"/>
            <w:r w:rsidRPr="00E9128F">
              <w:rPr>
                <w:rFonts w:cs="Cambria"/>
                <w:szCs w:val="22"/>
              </w:rPr>
              <w:t xml:space="preserve"> plasma concentration in samples collected pre-dose</w:t>
            </w:r>
          </w:p>
        </w:tc>
      </w:tr>
      <w:tr w:rsidR="00E9128F" w:rsidRPr="00D01DDB" w14:paraId="63D401BB"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F2846D6" w14:textId="57534C5B" w:rsidR="00E9128F" w:rsidRPr="00E9128F" w:rsidRDefault="00E9128F" w:rsidP="00E9128F">
            <w:pPr>
              <w:rPr>
                <w:rFonts w:cs="Cambria"/>
                <w:szCs w:val="22"/>
              </w:rPr>
            </w:pPr>
            <w:r w:rsidRPr="00E9128F">
              <w:rPr>
                <w:rFonts w:cs="Cambria"/>
                <w:szCs w:val="22"/>
              </w:rPr>
              <w:t xml:space="preserve">CV </w:t>
            </w:r>
          </w:p>
        </w:tc>
        <w:tc>
          <w:tcPr>
            <w:tcW w:w="3792" w:type="pct"/>
          </w:tcPr>
          <w:p w14:paraId="77326830" w14:textId="1A7CC7D8" w:rsidR="00E9128F" w:rsidRPr="00E9128F" w:rsidRDefault="00E9128F" w:rsidP="00E9128F">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Coefficient of variation</w:t>
            </w:r>
          </w:p>
        </w:tc>
      </w:tr>
      <w:tr w:rsidR="00E9128F" w:rsidRPr="00D01DDB" w14:paraId="300EF7B6"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72B9319" w14:textId="4941C3A7" w:rsidR="00E9128F" w:rsidRPr="00E9128F" w:rsidRDefault="00E9128F" w:rsidP="00E9128F">
            <w:pPr>
              <w:rPr>
                <w:rFonts w:cs="Cambria"/>
                <w:szCs w:val="22"/>
              </w:rPr>
            </w:pPr>
            <w:r w:rsidRPr="00E9128F">
              <w:rPr>
                <w:rFonts w:cs="Cambria"/>
                <w:szCs w:val="22"/>
              </w:rPr>
              <w:t xml:space="preserve">CWRES </w:t>
            </w:r>
          </w:p>
        </w:tc>
        <w:tc>
          <w:tcPr>
            <w:tcW w:w="3792" w:type="pct"/>
          </w:tcPr>
          <w:p w14:paraId="3DB6FCD9" w14:textId="400B5C0C" w:rsidR="00E9128F" w:rsidRPr="00E9128F" w:rsidRDefault="00E9128F" w:rsidP="00E9128F">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Conditional weighted residuals</w:t>
            </w:r>
          </w:p>
        </w:tc>
      </w:tr>
      <w:tr w:rsidR="00E9128F" w:rsidRPr="00D01DDB" w14:paraId="52D4AA8A"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1F0BFB4" w14:textId="439F5A28" w:rsidR="00E9128F" w:rsidRPr="00E9128F" w:rsidRDefault="00E9128F" w:rsidP="00E9128F">
            <w:pPr>
              <w:rPr>
                <w:rFonts w:cs="Cambria"/>
                <w:szCs w:val="22"/>
              </w:rPr>
            </w:pPr>
            <w:proofErr w:type="spellStart"/>
            <w:r w:rsidRPr="00E9128F">
              <w:rPr>
                <w:rFonts w:cs="Cambria"/>
                <w:szCs w:val="22"/>
              </w:rPr>
              <w:t>CxWyDz</w:t>
            </w:r>
            <w:proofErr w:type="spellEnd"/>
            <w:r w:rsidRPr="00E9128F">
              <w:rPr>
                <w:rFonts w:cs="Cambria"/>
                <w:szCs w:val="22"/>
              </w:rPr>
              <w:t xml:space="preserve"> </w:t>
            </w:r>
          </w:p>
        </w:tc>
        <w:tc>
          <w:tcPr>
            <w:tcW w:w="3792" w:type="pct"/>
          </w:tcPr>
          <w:p w14:paraId="7BF721B2" w14:textId="0ED70324" w:rsidR="00E9128F" w:rsidRPr="00E9128F" w:rsidRDefault="00E9128F" w:rsidP="00E9128F">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Cycle X, Week Y Day Z</w:t>
            </w:r>
          </w:p>
        </w:tc>
      </w:tr>
      <w:tr w:rsidR="00E9128F" w:rsidRPr="00D01DDB" w14:paraId="665AB2EC"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77899B0" w14:textId="408EFD39" w:rsidR="00E9128F" w:rsidRPr="00E9128F" w:rsidRDefault="00E9128F" w:rsidP="00E9128F">
            <w:pPr>
              <w:rPr>
                <w:rFonts w:cs="Cambria"/>
                <w:szCs w:val="22"/>
              </w:rPr>
            </w:pPr>
            <w:r w:rsidRPr="00E9128F">
              <w:rPr>
                <w:rFonts w:cs="Cambria"/>
                <w:szCs w:val="22"/>
              </w:rPr>
              <w:t xml:space="preserve">CYP </w:t>
            </w:r>
          </w:p>
        </w:tc>
        <w:tc>
          <w:tcPr>
            <w:tcW w:w="3792" w:type="pct"/>
          </w:tcPr>
          <w:p w14:paraId="08ACC052" w14:textId="69A03A31" w:rsidR="00E9128F" w:rsidRPr="00E9128F" w:rsidRDefault="00E9128F" w:rsidP="00E9128F">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Cytochrome P450</w:t>
            </w:r>
          </w:p>
        </w:tc>
      </w:tr>
      <w:tr w:rsidR="00E9128F" w:rsidRPr="00D01DDB" w14:paraId="4F567898"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3730BDF" w14:textId="435D4C17" w:rsidR="00E9128F" w:rsidRPr="00E9128F" w:rsidRDefault="00E9128F" w:rsidP="00E9128F">
            <w:pPr>
              <w:rPr>
                <w:rFonts w:cs="Cambria"/>
                <w:szCs w:val="22"/>
              </w:rPr>
            </w:pPr>
            <w:r w:rsidRPr="00E9128F">
              <w:rPr>
                <w:rFonts w:cs="Cambria"/>
                <w:szCs w:val="22"/>
              </w:rPr>
              <w:t xml:space="preserve">DBL </w:t>
            </w:r>
          </w:p>
        </w:tc>
        <w:tc>
          <w:tcPr>
            <w:tcW w:w="3792" w:type="pct"/>
          </w:tcPr>
          <w:p w14:paraId="0F9B2E93" w14:textId="42E559E5" w:rsidR="00E9128F" w:rsidRPr="00E9128F" w:rsidRDefault="00E9128F" w:rsidP="00E9128F">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Database lock</w:t>
            </w:r>
          </w:p>
        </w:tc>
      </w:tr>
      <w:tr w:rsidR="00E9128F" w:rsidRPr="00D01DDB" w14:paraId="38FD81E3"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65D7C8A" w14:textId="706CBA41" w:rsidR="00E9128F" w:rsidRPr="00E9128F" w:rsidRDefault="00E9128F" w:rsidP="00E9128F">
            <w:pPr>
              <w:rPr>
                <w:rFonts w:cs="Cambria"/>
                <w:szCs w:val="22"/>
              </w:rPr>
            </w:pPr>
            <w:r w:rsidRPr="00E9128F">
              <w:rPr>
                <w:rFonts w:cs="Cambria"/>
                <w:szCs w:val="22"/>
              </w:rPr>
              <w:t xml:space="preserve">DCO </w:t>
            </w:r>
          </w:p>
        </w:tc>
        <w:tc>
          <w:tcPr>
            <w:tcW w:w="3792" w:type="pct"/>
          </w:tcPr>
          <w:p w14:paraId="0B7F982C" w14:textId="73B675D6" w:rsidR="00E9128F" w:rsidRPr="00E9128F" w:rsidRDefault="00E9128F" w:rsidP="00E9128F">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Data cut-off</w:t>
            </w:r>
          </w:p>
        </w:tc>
      </w:tr>
      <w:tr w:rsidR="00E9128F" w:rsidRPr="00D01DDB" w14:paraId="3B0430B3"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C69D437" w14:textId="2ACD27F5" w:rsidR="00E9128F" w:rsidRPr="00E9128F" w:rsidRDefault="00E9128F" w:rsidP="00E9128F">
            <w:pPr>
              <w:rPr>
                <w:rFonts w:cs="Cambria"/>
                <w:szCs w:val="22"/>
              </w:rPr>
            </w:pPr>
            <w:r w:rsidRPr="00E9128F">
              <w:rPr>
                <w:rFonts w:cs="Cambria"/>
                <w:szCs w:val="22"/>
              </w:rPr>
              <w:t xml:space="preserve">DCO1 </w:t>
            </w:r>
          </w:p>
        </w:tc>
        <w:tc>
          <w:tcPr>
            <w:tcW w:w="3792" w:type="pct"/>
          </w:tcPr>
          <w:p w14:paraId="72FEFB86" w14:textId="39D3962B" w:rsidR="00E9128F" w:rsidRPr="00E9128F" w:rsidRDefault="00E9128F" w:rsidP="00E9128F">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Data cut-off 1, 15</w:t>
            </w:r>
            <w:r w:rsidRPr="00E9128F">
              <w:rPr>
                <w:rFonts w:cs="Cambria"/>
                <w:sz w:val="14"/>
                <w:szCs w:val="14"/>
              </w:rPr>
              <w:t xml:space="preserve">th </w:t>
            </w:r>
            <w:r w:rsidRPr="00E9128F">
              <w:rPr>
                <w:rFonts w:cs="Cambria"/>
                <w:szCs w:val="22"/>
              </w:rPr>
              <w:t>August 2022</w:t>
            </w:r>
          </w:p>
        </w:tc>
      </w:tr>
      <w:tr w:rsidR="00E9128F" w:rsidRPr="00D01DDB" w14:paraId="10A450CA"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822B48D" w14:textId="0ABC0651" w:rsidR="00E9128F" w:rsidRPr="00E9128F" w:rsidRDefault="00E9128F" w:rsidP="00E9128F">
            <w:pPr>
              <w:rPr>
                <w:rFonts w:cs="Cambria"/>
                <w:szCs w:val="22"/>
              </w:rPr>
            </w:pPr>
            <w:r w:rsidRPr="00E9128F">
              <w:rPr>
                <w:rFonts w:cs="Cambria"/>
                <w:szCs w:val="22"/>
              </w:rPr>
              <w:t xml:space="preserve">DCO2 </w:t>
            </w:r>
          </w:p>
        </w:tc>
        <w:tc>
          <w:tcPr>
            <w:tcW w:w="3792" w:type="pct"/>
          </w:tcPr>
          <w:p w14:paraId="767564AE" w14:textId="0534BA2E" w:rsidR="00E9128F" w:rsidRPr="00E9128F" w:rsidRDefault="00E9128F" w:rsidP="00E9128F">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Data cut-off 2</w:t>
            </w:r>
          </w:p>
        </w:tc>
      </w:tr>
      <w:tr w:rsidR="00E9128F" w:rsidRPr="00D01DDB" w14:paraId="10ED207B"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38B73C3" w14:textId="7403D410" w:rsidR="00E9128F" w:rsidRPr="00E9128F" w:rsidRDefault="00E9128F" w:rsidP="00E9128F">
            <w:pPr>
              <w:rPr>
                <w:rFonts w:cs="Cambria"/>
                <w:szCs w:val="22"/>
              </w:rPr>
            </w:pPr>
            <w:r w:rsidRPr="00E9128F">
              <w:rPr>
                <w:rFonts w:cs="Cambria"/>
                <w:szCs w:val="22"/>
              </w:rPr>
              <w:t xml:space="preserve">DCO3 </w:t>
            </w:r>
          </w:p>
        </w:tc>
        <w:tc>
          <w:tcPr>
            <w:tcW w:w="3792" w:type="pct"/>
          </w:tcPr>
          <w:p w14:paraId="27E4D5DC" w14:textId="52D71FEC" w:rsidR="00E9128F" w:rsidRPr="00E9128F" w:rsidRDefault="00E9128F" w:rsidP="00E9128F">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Data cut-off 3</w:t>
            </w:r>
          </w:p>
        </w:tc>
      </w:tr>
      <w:tr w:rsidR="00E9128F" w:rsidRPr="00D01DDB" w14:paraId="083F8A8A"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A93CC41" w14:textId="08B2754E" w:rsidR="00E9128F" w:rsidRPr="00E9128F" w:rsidRDefault="00E9128F" w:rsidP="00E9128F">
            <w:pPr>
              <w:rPr>
                <w:rFonts w:cs="Cambria"/>
                <w:szCs w:val="22"/>
              </w:rPr>
            </w:pPr>
            <w:proofErr w:type="spellStart"/>
            <w:r w:rsidRPr="00E9128F">
              <w:rPr>
                <w:rFonts w:cs="Cambria"/>
                <w:szCs w:val="22"/>
              </w:rPr>
              <w:t>dECG</w:t>
            </w:r>
            <w:proofErr w:type="spellEnd"/>
            <w:r w:rsidRPr="00E9128F">
              <w:rPr>
                <w:rFonts w:cs="Cambria"/>
                <w:szCs w:val="22"/>
              </w:rPr>
              <w:t xml:space="preserve"> </w:t>
            </w:r>
          </w:p>
        </w:tc>
        <w:tc>
          <w:tcPr>
            <w:tcW w:w="3792" w:type="pct"/>
          </w:tcPr>
          <w:p w14:paraId="030F97CF" w14:textId="21F076D4" w:rsidR="00E9128F" w:rsidRPr="00E9128F" w:rsidRDefault="00E9128F" w:rsidP="00E9128F">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Digital electrocardiogram</w:t>
            </w:r>
          </w:p>
        </w:tc>
      </w:tr>
      <w:tr w:rsidR="00E9128F" w:rsidRPr="00D01DDB" w14:paraId="54098CAE"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09FD5DD" w14:textId="0D66C54F" w:rsidR="00E9128F" w:rsidRPr="00E9128F" w:rsidRDefault="00E9128F" w:rsidP="00E9128F">
            <w:pPr>
              <w:rPr>
                <w:rFonts w:cs="Cambria"/>
                <w:szCs w:val="22"/>
              </w:rPr>
            </w:pPr>
            <w:r w:rsidRPr="00E9128F">
              <w:rPr>
                <w:rFonts w:cs="Cambria"/>
                <w:szCs w:val="22"/>
              </w:rPr>
              <w:t xml:space="preserve">DF </w:t>
            </w:r>
          </w:p>
        </w:tc>
        <w:tc>
          <w:tcPr>
            <w:tcW w:w="3792" w:type="pct"/>
          </w:tcPr>
          <w:p w14:paraId="2EDC49D7" w14:textId="210B718B" w:rsidR="00E9128F" w:rsidRPr="00E9128F" w:rsidRDefault="00E9128F" w:rsidP="00E9128F">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Degrees of freedom</w:t>
            </w:r>
          </w:p>
        </w:tc>
      </w:tr>
      <w:tr w:rsidR="00E9128F" w:rsidRPr="00D01DDB" w14:paraId="20778694"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0D89D04" w14:textId="2472943A" w:rsidR="00E9128F" w:rsidRPr="00E9128F" w:rsidRDefault="00E9128F" w:rsidP="00E9128F">
            <w:pPr>
              <w:rPr>
                <w:rFonts w:cs="Cambria"/>
                <w:szCs w:val="22"/>
              </w:rPr>
            </w:pPr>
            <w:r w:rsidRPr="00E9128F">
              <w:rPr>
                <w:rFonts w:cs="Cambria"/>
                <w:szCs w:val="22"/>
              </w:rPr>
              <w:t xml:space="preserve">DLT </w:t>
            </w:r>
          </w:p>
        </w:tc>
        <w:tc>
          <w:tcPr>
            <w:tcW w:w="3792" w:type="pct"/>
          </w:tcPr>
          <w:p w14:paraId="110C5076" w14:textId="4F0FA2C2" w:rsidR="00E9128F" w:rsidRPr="00E9128F" w:rsidRDefault="00E9128F" w:rsidP="00E9128F">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Dose limiting toxicity</w:t>
            </w:r>
          </w:p>
        </w:tc>
      </w:tr>
      <w:tr w:rsidR="00E9128F" w:rsidRPr="00D01DDB" w14:paraId="59D92778"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903B46C" w14:textId="7ACC0F44" w:rsidR="00E9128F" w:rsidRPr="00E9128F" w:rsidRDefault="00E9128F" w:rsidP="00E9128F">
            <w:pPr>
              <w:rPr>
                <w:rFonts w:cs="Cambria"/>
                <w:szCs w:val="22"/>
              </w:rPr>
            </w:pPr>
            <w:r w:rsidRPr="00E9128F">
              <w:rPr>
                <w:rFonts w:cs="Cambria"/>
                <w:szCs w:val="22"/>
              </w:rPr>
              <w:lastRenderedPageBreak/>
              <w:t xml:space="preserve">DNA </w:t>
            </w:r>
          </w:p>
        </w:tc>
        <w:tc>
          <w:tcPr>
            <w:tcW w:w="3792" w:type="pct"/>
          </w:tcPr>
          <w:p w14:paraId="6E2D45BC" w14:textId="25E3CE56" w:rsidR="00E9128F" w:rsidRPr="00E9128F" w:rsidRDefault="00E9128F" w:rsidP="00E9128F">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Deoxyribonucleic acid</w:t>
            </w:r>
          </w:p>
        </w:tc>
      </w:tr>
      <w:tr w:rsidR="00E9128F" w:rsidRPr="00D01DDB" w14:paraId="690ACFD1"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2D3F0E2" w14:textId="5ED3825B" w:rsidR="00E9128F" w:rsidRPr="00E9128F" w:rsidRDefault="00E9128F" w:rsidP="00E9128F">
            <w:pPr>
              <w:rPr>
                <w:rFonts w:cs="Cambria"/>
                <w:szCs w:val="22"/>
              </w:rPr>
            </w:pPr>
            <w:proofErr w:type="spellStart"/>
            <w:r w:rsidRPr="00E9128F">
              <w:rPr>
                <w:rFonts w:cs="Cambria"/>
                <w:szCs w:val="22"/>
              </w:rPr>
              <w:t>DoR</w:t>
            </w:r>
            <w:proofErr w:type="spellEnd"/>
            <w:r w:rsidRPr="00E9128F">
              <w:rPr>
                <w:rFonts w:cs="Cambria"/>
                <w:szCs w:val="22"/>
              </w:rPr>
              <w:t xml:space="preserve"> </w:t>
            </w:r>
          </w:p>
        </w:tc>
        <w:tc>
          <w:tcPr>
            <w:tcW w:w="3792" w:type="pct"/>
          </w:tcPr>
          <w:p w14:paraId="57CCDB6D" w14:textId="733CB971" w:rsidR="00E9128F" w:rsidRPr="00E9128F" w:rsidRDefault="00E9128F" w:rsidP="00E9128F">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Duration of response </w:t>
            </w:r>
          </w:p>
        </w:tc>
      </w:tr>
      <w:tr w:rsidR="00E9128F" w:rsidRPr="00D01DDB" w14:paraId="65117CCB"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CF5250F" w14:textId="6AED59E6" w:rsidR="00E9128F" w:rsidRPr="00E9128F" w:rsidRDefault="00E9128F" w:rsidP="00E9128F">
            <w:pPr>
              <w:rPr>
                <w:rFonts w:cs="Cambria"/>
                <w:szCs w:val="22"/>
              </w:rPr>
            </w:pPr>
            <w:r w:rsidRPr="00E9128F">
              <w:rPr>
                <w:rFonts w:cs="Cambria"/>
                <w:szCs w:val="22"/>
              </w:rPr>
              <w:t xml:space="preserve">DRR </w:t>
            </w:r>
          </w:p>
        </w:tc>
        <w:tc>
          <w:tcPr>
            <w:tcW w:w="3792" w:type="pct"/>
          </w:tcPr>
          <w:p w14:paraId="639BA4E3" w14:textId="2E9ECACF" w:rsidR="00E9128F" w:rsidRPr="00E9128F" w:rsidRDefault="00E9128F" w:rsidP="00E9128F">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Durable response rate </w:t>
            </w:r>
          </w:p>
        </w:tc>
      </w:tr>
      <w:tr w:rsidR="00E9128F" w:rsidRPr="00D01DDB" w14:paraId="3ED80868"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3AB1002" w14:textId="00C76616" w:rsidR="00E9128F" w:rsidRPr="00E9128F" w:rsidRDefault="00E9128F" w:rsidP="00E9128F">
            <w:pPr>
              <w:rPr>
                <w:rFonts w:cs="Cambria"/>
                <w:szCs w:val="22"/>
              </w:rPr>
            </w:pPr>
            <w:r w:rsidRPr="00E9128F">
              <w:rPr>
                <w:rFonts w:cs="Cambria"/>
                <w:szCs w:val="22"/>
              </w:rPr>
              <w:t xml:space="preserve">EBE </w:t>
            </w:r>
          </w:p>
        </w:tc>
        <w:tc>
          <w:tcPr>
            <w:tcW w:w="3792" w:type="pct"/>
          </w:tcPr>
          <w:p w14:paraId="1491F7B1" w14:textId="7CA40778" w:rsidR="00E9128F" w:rsidRPr="00E9128F" w:rsidRDefault="00E9128F" w:rsidP="00E9128F">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Empirical Bayes estimate </w:t>
            </w:r>
          </w:p>
        </w:tc>
      </w:tr>
      <w:tr w:rsidR="00E9128F" w:rsidRPr="00D01DDB" w14:paraId="36A3E3CF"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3B0DACF" w14:textId="48675B6F" w:rsidR="00E9128F" w:rsidRPr="00E9128F" w:rsidRDefault="00E9128F" w:rsidP="00E9128F">
            <w:pPr>
              <w:rPr>
                <w:rFonts w:cs="Cambria"/>
                <w:szCs w:val="22"/>
              </w:rPr>
            </w:pPr>
            <w:r w:rsidRPr="00E9128F">
              <w:rPr>
                <w:rFonts w:cs="Cambria"/>
                <w:szCs w:val="22"/>
              </w:rPr>
              <w:t xml:space="preserve">EC </w:t>
            </w:r>
          </w:p>
        </w:tc>
        <w:tc>
          <w:tcPr>
            <w:tcW w:w="3792" w:type="pct"/>
          </w:tcPr>
          <w:p w14:paraId="52C6FB4F" w14:textId="402B85FE" w:rsidR="00E9128F" w:rsidRPr="00E9128F" w:rsidRDefault="00E9128F" w:rsidP="00E9128F">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Exclusion criteria </w:t>
            </w:r>
          </w:p>
        </w:tc>
      </w:tr>
      <w:tr w:rsidR="00E9128F" w:rsidRPr="00D01DDB" w14:paraId="7CDA9A57"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3CC256D" w14:textId="695FF4B0" w:rsidR="00E9128F" w:rsidRPr="00E9128F" w:rsidRDefault="00E9128F" w:rsidP="00E9128F">
            <w:pPr>
              <w:rPr>
                <w:rFonts w:cs="Cambria"/>
                <w:szCs w:val="22"/>
              </w:rPr>
            </w:pPr>
            <w:r w:rsidRPr="00E9128F">
              <w:rPr>
                <w:rFonts w:cs="Cambria"/>
                <w:szCs w:val="22"/>
              </w:rPr>
              <w:t xml:space="preserve">ECG </w:t>
            </w:r>
          </w:p>
        </w:tc>
        <w:tc>
          <w:tcPr>
            <w:tcW w:w="3792" w:type="pct"/>
          </w:tcPr>
          <w:p w14:paraId="29C4C587" w14:textId="213AF229" w:rsidR="00E9128F" w:rsidRPr="00E9128F" w:rsidRDefault="00E9128F" w:rsidP="00E9128F">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Electrocardiogram </w:t>
            </w:r>
          </w:p>
        </w:tc>
      </w:tr>
      <w:tr w:rsidR="00E9128F" w:rsidRPr="00D01DDB" w14:paraId="7AE8EAAD"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9B13FB8" w14:textId="547FDAE5" w:rsidR="00E9128F" w:rsidRPr="00E9128F" w:rsidRDefault="00E9128F" w:rsidP="00E9128F">
            <w:pPr>
              <w:rPr>
                <w:rFonts w:cs="Cambria"/>
                <w:szCs w:val="22"/>
              </w:rPr>
            </w:pPr>
            <w:r w:rsidRPr="00E9128F">
              <w:rPr>
                <w:rFonts w:cs="Cambria"/>
                <w:szCs w:val="22"/>
              </w:rPr>
              <w:t xml:space="preserve">ECHO </w:t>
            </w:r>
          </w:p>
        </w:tc>
        <w:tc>
          <w:tcPr>
            <w:tcW w:w="3792" w:type="pct"/>
          </w:tcPr>
          <w:p w14:paraId="3FE62367" w14:textId="47FD5A55" w:rsidR="00E9128F" w:rsidRPr="00E9128F" w:rsidRDefault="00E9128F" w:rsidP="00E9128F">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Echocardiogram </w:t>
            </w:r>
          </w:p>
        </w:tc>
      </w:tr>
      <w:tr w:rsidR="00E9128F" w:rsidRPr="00D01DDB" w14:paraId="284B8CC8"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5AB0575" w14:textId="75649877" w:rsidR="00E9128F" w:rsidRPr="00E9128F" w:rsidRDefault="00E9128F" w:rsidP="00E9128F">
            <w:pPr>
              <w:rPr>
                <w:rFonts w:cs="Cambria"/>
                <w:szCs w:val="22"/>
              </w:rPr>
            </w:pPr>
            <w:r w:rsidRPr="00E9128F">
              <w:rPr>
                <w:rFonts w:cs="Cambria"/>
                <w:szCs w:val="22"/>
              </w:rPr>
              <w:t xml:space="preserve">ECOG </w:t>
            </w:r>
          </w:p>
        </w:tc>
        <w:tc>
          <w:tcPr>
            <w:tcW w:w="3792" w:type="pct"/>
          </w:tcPr>
          <w:p w14:paraId="4CFD30F2" w14:textId="2F39F5D5" w:rsidR="00E9128F" w:rsidRPr="00E9128F" w:rsidRDefault="00E9128F" w:rsidP="00E9128F">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Eastern Cooperative Oncology Group </w:t>
            </w:r>
          </w:p>
        </w:tc>
      </w:tr>
      <w:tr w:rsidR="00E9128F" w:rsidRPr="00D01DDB" w14:paraId="7295953C"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46486E5" w14:textId="6F8B176E" w:rsidR="00E9128F" w:rsidRPr="00E9128F" w:rsidRDefault="00E9128F" w:rsidP="00E9128F">
            <w:pPr>
              <w:rPr>
                <w:rFonts w:cs="Cambria"/>
                <w:szCs w:val="22"/>
              </w:rPr>
            </w:pPr>
            <w:r w:rsidRPr="00E9128F">
              <w:rPr>
                <w:rFonts w:cs="Cambria"/>
                <w:szCs w:val="22"/>
              </w:rPr>
              <w:t xml:space="preserve">ECOG PS </w:t>
            </w:r>
          </w:p>
        </w:tc>
        <w:tc>
          <w:tcPr>
            <w:tcW w:w="3792" w:type="pct"/>
          </w:tcPr>
          <w:p w14:paraId="2F97EE16" w14:textId="460EC1E2" w:rsidR="00E9128F" w:rsidRPr="00E9128F" w:rsidRDefault="00E9128F" w:rsidP="00E9128F">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Eastern Cooperative Oncology Group performance status </w:t>
            </w:r>
          </w:p>
        </w:tc>
      </w:tr>
      <w:tr w:rsidR="00E9128F" w:rsidRPr="00D01DDB" w14:paraId="3CD69CD4"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1CBAFB9" w14:textId="104B4264" w:rsidR="00E9128F" w:rsidRPr="00E9128F" w:rsidRDefault="00E9128F" w:rsidP="00E9128F">
            <w:pPr>
              <w:rPr>
                <w:rFonts w:cs="Cambria"/>
                <w:szCs w:val="22"/>
              </w:rPr>
            </w:pPr>
            <w:r w:rsidRPr="00E9128F">
              <w:rPr>
                <w:rFonts w:cs="Cambria"/>
                <w:szCs w:val="22"/>
              </w:rPr>
              <w:t xml:space="preserve">EBE </w:t>
            </w:r>
          </w:p>
        </w:tc>
        <w:tc>
          <w:tcPr>
            <w:tcW w:w="3792" w:type="pct"/>
          </w:tcPr>
          <w:p w14:paraId="5E214165" w14:textId="323EB3D8" w:rsidR="00E9128F" w:rsidRPr="00E9128F" w:rsidRDefault="00E9128F" w:rsidP="00E9128F">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Empirical Bayes estimate </w:t>
            </w:r>
          </w:p>
        </w:tc>
      </w:tr>
      <w:tr w:rsidR="00E9128F" w:rsidRPr="00D01DDB" w14:paraId="03A335ED"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CCB77CC" w14:textId="275865D8" w:rsidR="00E9128F" w:rsidRPr="00E9128F" w:rsidRDefault="00E9128F" w:rsidP="00E9128F">
            <w:pPr>
              <w:rPr>
                <w:rFonts w:cs="Cambria"/>
                <w:szCs w:val="22"/>
              </w:rPr>
            </w:pPr>
            <w:r w:rsidRPr="00E9128F">
              <w:rPr>
                <w:rFonts w:cs="Cambria"/>
                <w:szCs w:val="22"/>
              </w:rPr>
              <w:t xml:space="preserve">EORTC </w:t>
            </w:r>
          </w:p>
        </w:tc>
        <w:tc>
          <w:tcPr>
            <w:tcW w:w="3792" w:type="pct"/>
          </w:tcPr>
          <w:p w14:paraId="44BF8D79" w14:textId="02DF9177" w:rsidR="00E9128F" w:rsidRPr="00E9128F" w:rsidRDefault="00E9128F" w:rsidP="00E9128F">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European Organisation for Research and Treatment of Cancer </w:t>
            </w:r>
          </w:p>
        </w:tc>
      </w:tr>
      <w:tr w:rsidR="00F1607B" w:rsidRPr="00D01DDB" w14:paraId="7D47A9E7"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898A6B0" w14:textId="17A7E526" w:rsidR="00F1607B" w:rsidRPr="00E9128F" w:rsidRDefault="00F1607B" w:rsidP="00F1607B">
            <w:pPr>
              <w:rPr>
                <w:rFonts w:cs="Cambria"/>
                <w:szCs w:val="22"/>
              </w:rPr>
            </w:pPr>
            <w:r w:rsidRPr="00F1607B">
              <w:rPr>
                <w:rFonts w:cs="Cambria"/>
                <w:szCs w:val="22"/>
              </w:rPr>
              <w:t xml:space="preserve">EORTC QLQ-BR23 </w:t>
            </w:r>
          </w:p>
        </w:tc>
        <w:tc>
          <w:tcPr>
            <w:tcW w:w="3792" w:type="pct"/>
          </w:tcPr>
          <w:p w14:paraId="433FAFCA" w14:textId="1F0EB06F" w:rsidR="00F1607B" w:rsidRPr="00E9128F"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EORTC Quality of Life questionnaire breast cancer specific module </w:t>
            </w:r>
          </w:p>
        </w:tc>
      </w:tr>
      <w:tr w:rsidR="00F1607B" w:rsidRPr="00D01DDB" w14:paraId="605F36F0"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4542629" w14:textId="11934CB2" w:rsidR="00F1607B" w:rsidRPr="00E9128F" w:rsidRDefault="00F1607B" w:rsidP="00F1607B">
            <w:pPr>
              <w:rPr>
                <w:rFonts w:cs="Cambria"/>
                <w:szCs w:val="22"/>
              </w:rPr>
            </w:pPr>
            <w:r w:rsidRPr="00F1607B">
              <w:rPr>
                <w:rFonts w:cs="Cambria"/>
                <w:szCs w:val="22"/>
              </w:rPr>
              <w:t xml:space="preserve">EORTC QLQ-C30 </w:t>
            </w:r>
          </w:p>
        </w:tc>
        <w:tc>
          <w:tcPr>
            <w:tcW w:w="3792" w:type="pct"/>
          </w:tcPr>
          <w:p w14:paraId="6B48BBF3" w14:textId="5AF20F3F" w:rsidR="00F1607B" w:rsidRPr="00E9128F"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EORTC Quality of Life questionnaire core 30 items </w:t>
            </w:r>
          </w:p>
        </w:tc>
      </w:tr>
      <w:tr w:rsidR="00F1607B" w:rsidRPr="00D01DDB" w14:paraId="66E1779F"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4932C01" w14:textId="72B70EE3" w:rsidR="00F1607B" w:rsidRPr="00F1607B" w:rsidRDefault="00F1607B" w:rsidP="00F1607B">
            <w:pPr>
              <w:rPr>
                <w:rFonts w:cs="Cambria"/>
                <w:szCs w:val="22"/>
              </w:rPr>
            </w:pPr>
            <w:r w:rsidRPr="00F1607B">
              <w:rPr>
                <w:rFonts w:cs="Cambria"/>
                <w:szCs w:val="22"/>
              </w:rPr>
              <w:t xml:space="preserve">EQ-5D </w:t>
            </w:r>
          </w:p>
        </w:tc>
        <w:tc>
          <w:tcPr>
            <w:tcW w:w="3792" w:type="pct"/>
          </w:tcPr>
          <w:p w14:paraId="4D0C2B2F" w14:textId="73C30B87"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European Quality of Life 5-Domain </w:t>
            </w:r>
          </w:p>
        </w:tc>
      </w:tr>
      <w:tr w:rsidR="00F1607B" w:rsidRPr="00D01DDB" w14:paraId="450795C9"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8D559BE" w14:textId="4F0A0E05" w:rsidR="00F1607B" w:rsidRPr="00F1607B" w:rsidRDefault="00F1607B" w:rsidP="00F1607B">
            <w:pPr>
              <w:rPr>
                <w:rFonts w:cs="Cambria"/>
                <w:szCs w:val="22"/>
              </w:rPr>
            </w:pPr>
            <w:r w:rsidRPr="00F1607B">
              <w:rPr>
                <w:rFonts w:cs="Cambria"/>
                <w:szCs w:val="22"/>
              </w:rPr>
              <w:t xml:space="preserve">EQ-5D-5L </w:t>
            </w:r>
          </w:p>
        </w:tc>
        <w:tc>
          <w:tcPr>
            <w:tcW w:w="3792" w:type="pct"/>
          </w:tcPr>
          <w:p w14:paraId="0BE0AADD" w14:textId="4FC8B307"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European Quality of Life 5-Domain 5-level scale </w:t>
            </w:r>
          </w:p>
        </w:tc>
      </w:tr>
      <w:tr w:rsidR="00F1607B" w:rsidRPr="00D01DDB" w14:paraId="614FB653"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A360301" w14:textId="4A12769A" w:rsidR="00F1607B" w:rsidRPr="00F1607B" w:rsidRDefault="00F1607B" w:rsidP="00F1607B">
            <w:pPr>
              <w:rPr>
                <w:rFonts w:cs="Cambria"/>
                <w:szCs w:val="22"/>
              </w:rPr>
            </w:pPr>
            <w:r w:rsidRPr="00F1607B">
              <w:rPr>
                <w:rFonts w:cs="Cambria"/>
                <w:szCs w:val="22"/>
              </w:rPr>
              <w:t xml:space="preserve">EQ-VAS </w:t>
            </w:r>
          </w:p>
        </w:tc>
        <w:tc>
          <w:tcPr>
            <w:tcW w:w="3792" w:type="pct"/>
          </w:tcPr>
          <w:p w14:paraId="351E2A76" w14:textId="415CD3BA"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European Quality of Life visual analogue scale </w:t>
            </w:r>
          </w:p>
        </w:tc>
      </w:tr>
      <w:tr w:rsidR="00F1607B" w:rsidRPr="00D01DDB" w14:paraId="0BE1EE2C"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C767405" w14:textId="757ACF3E" w:rsidR="00F1607B" w:rsidRPr="00F1607B" w:rsidRDefault="00F1607B" w:rsidP="00F1607B">
            <w:pPr>
              <w:rPr>
                <w:rFonts w:cs="Cambria"/>
                <w:szCs w:val="22"/>
              </w:rPr>
            </w:pPr>
            <w:r w:rsidRPr="00F1607B">
              <w:rPr>
                <w:rFonts w:cs="Cambria"/>
                <w:szCs w:val="22"/>
              </w:rPr>
              <w:t xml:space="preserve">ER </w:t>
            </w:r>
          </w:p>
        </w:tc>
        <w:tc>
          <w:tcPr>
            <w:tcW w:w="3792" w:type="pct"/>
          </w:tcPr>
          <w:p w14:paraId="474DB9E9" w14:textId="036D85BF"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Oestrogen receptor </w:t>
            </w:r>
          </w:p>
        </w:tc>
      </w:tr>
      <w:tr w:rsidR="00F1607B" w:rsidRPr="00D01DDB" w14:paraId="707997ED"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74A59B7" w14:textId="03C645C1" w:rsidR="00F1607B" w:rsidRPr="00F1607B" w:rsidRDefault="00F1607B" w:rsidP="00F1607B">
            <w:pPr>
              <w:rPr>
                <w:rFonts w:cs="Cambria"/>
                <w:szCs w:val="22"/>
              </w:rPr>
            </w:pPr>
            <w:r w:rsidRPr="00F1607B">
              <w:rPr>
                <w:rFonts w:cs="Cambria"/>
                <w:szCs w:val="22"/>
              </w:rPr>
              <w:t xml:space="preserve">ER+ </w:t>
            </w:r>
          </w:p>
        </w:tc>
        <w:tc>
          <w:tcPr>
            <w:tcW w:w="3792" w:type="pct"/>
          </w:tcPr>
          <w:p w14:paraId="4A606E70" w14:textId="686EAAE4"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Oestrogen receptor-positive </w:t>
            </w:r>
          </w:p>
        </w:tc>
      </w:tr>
      <w:tr w:rsidR="00F1607B" w:rsidRPr="00D01DDB" w14:paraId="2310E1CD"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019D738" w14:textId="59B3492B" w:rsidR="00F1607B" w:rsidRPr="00F1607B" w:rsidRDefault="00F1607B" w:rsidP="00F1607B">
            <w:pPr>
              <w:rPr>
                <w:rFonts w:cs="Cambria"/>
                <w:szCs w:val="22"/>
              </w:rPr>
            </w:pPr>
            <w:r w:rsidRPr="00F1607B">
              <w:rPr>
                <w:rFonts w:cs="Cambria"/>
                <w:szCs w:val="22"/>
              </w:rPr>
              <w:t xml:space="preserve">ER- </w:t>
            </w:r>
          </w:p>
        </w:tc>
        <w:tc>
          <w:tcPr>
            <w:tcW w:w="3792" w:type="pct"/>
          </w:tcPr>
          <w:p w14:paraId="7A622ACD" w14:textId="4E0ACC57"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Oestrogen receptor-negative </w:t>
            </w:r>
          </w:p>
        </w:tc>
      </w:tr>
      <w:tr w:rsidR="00F1607B" w:rsidRPr="00D01DDB" w14:paraId="26B13A65"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31C42C0" w14:textId="7819FB45" w:rsidR="00F1607B" w:rsidRPr="00F1607B" w:rsidRDefault="00F1607B" w:rsidP="00F1607B">
            <w:pPr>
              <w:rPr>
                <w:rFonts w:cs="Cambria"/>
                <w:szCs w:val="22"/>
              </w:rPr>
            </w:pPr>
            <w:r w:rsidRPr="00F1607B">
              <w:rPr>
                <w:rFonts w:cs="Cambria"/>
                <w:szCs w:val="22"/>
              </w:rPr>
              <w:t xml:space="preserve">FAS </w:t>
            </w:r>
          </w:p>
        </w:tc>
        <w:tc>
          <w:tcPr>
            <w:tcW w:w="3792" w:type="pct"/>
          </w:tcPr>
          <w:p w14:paraId="1E39B3BE" w14:textId="17C98A51"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Full analysis set </w:t>
            </w:r>
          </w:p>
        </w:tc>
      </w:tr>
      <w:tr w:rsidR="00F1607B" w:rsidRPr="00D01DDB" w14:paraId="75A0E333"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54117CA" w14:textId="3839004F" w:rsidR="00F1607B" w:rsidRPr="00F1607B" w:rsidRDefault="00F1607B" w:rsidP="00F1607B">
            <w:pPr>
              <w:rPr>
                <w:rFonts w:cs="Cambria"/>
                <w:szCs w:val="22"/>
              </w:rPr>
            </w:pPr>
            <w:r w:rsidRPr="00F1607B">
              <w:rPr>
                <w:rFonts w:cs="Cambria"/>
                <w:szCs w:val="22"/>
              </w:rPr>
              <w:t xml:space="preserve">FDA </w:t>
            </w:r>
          </w:p>
        </w:tc>
        <w:tc>
          <w:tcPr>
            <w:tcW w:w="3792" w:type="pct"/>
          </w:tcPr>
          <w:p w14:paraId="6D3A6E28" w14:textId="7DCD9603"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Food and Drug Administration </w:t>
            </w:r>
          </w:p>
        </w:tc>
      </w:tr>
      <w:tr w:rsidR="00F1607B" w:rsidRPr="00D01DDB" w14:paraId="4CD137E2"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7549684" w14:textId="1159AF0C" w:rsidR="00F1607B" w:rsidRPr="00F1607B" w:rsidRDefault="00F1607B" w:rsidP="00F1607B">
            <w:pPr>
              <w:rPr>
                <w:rFonts w:cs="Cambria"/>
                <w:szCs w:val="22"/>
              </w:rPr>
            </w:pPr>
            <w:r w:rsidRPr="00F1607B">
              <w:rPr>
                <w:rFonts w:cs="Cambria"/>
                <w:szCs w:val="22"/>
              </w:rPr>
              <w:t xml:space="preserve">FFPE </w:t>
            </w:r>
          </w:p>
        </w:tc>
        <w:tc>
          <w:tcPr>
            <w:tcW w:w="3792" w:type="pct"/>
          </w:tcPr>
          <w:p w14:paraId="331F24BD" w14:textId="389D1FF3"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Formalin-fixed paraffin-embedded </w:t>
            </w:r>
          </w:p>
        </w:tc>
      </w:tr>
      <w:tr w:rsidR="00F1607B" w:rsidRPr="00D01DDB" w14:paraId="41F749E6"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7829D43" w14:textId="46DAD9EA" w:rsidR="00F1607B" w:rsidRPr="00F1607B" w:rsidRDefault="00F1607B" w:rsidP="00F1607B">
            <w:pPr>
              <w:rPr>
                <w:rFonts w:cs="Cambria"/>
                <w:szCs w:val="22"/>
              </w:rPr>
            </w:pPr>
            <w:r w:rsidRPr="00F1607B">
              <w:rPr>
                <w:rFonts w:cs="Cambria"/>
                <w:szCs w:val="22"/>
              </w:rPr>
              <w:t xml:space="preserve">FSK </w:t>
            </w:r>
          </w:p>
        </w:tc>
        <w:tc>
          <w:tcPr>
            <w:tcW w:w="3792" w:type="pct"/>
          </w:tcPr>
          <w:p w14:paraId="68D802FB" w14:textId="54E6CC49"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Follicle stimulating hormone </w:t>
            </w:r>
          </w:p>
        </w:tc>
      </w:tr>
      <w:tr w:rsidR="00F1607B" w:rsidRPr="00D01DDB" w14:paraId="5CAC4F5E"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3E78480" w14:textId="596DAE13" w:rsidR="00F1607B" w:rsidRPr="00F1607B" w:rsidRDefault="00F1607B" w:rsidP="00F1607B">
            <w:pPr>
              <w:rPr>
                <w:rFonts w:cs="Cambria"/>
                <w:szCs w:val="22"/>
              </w:rPr>
            </w:pPr>
            <w:r w:rsidRPr="00F1607B">
              <w:rPr>
                <w:rFonts w:cs="Cambria"/>
                <w:szCs w:val="22"/>
              </w:rPr>
              <w:t xml:space="preserve">GCP </w:t>
            </w:r>
          </w:p>
        </w:tc>
        <w:tc>
          <w:tcPr>
            <w:tcW w:w="3792" w:type="pct"/>
          </w:tcPr>
          <w:p w14:paraId="53D2E51C" w14:textId="5FBC0271"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Good Clinical Practice </w:t>
            </w:r>
          </w:p>
        </w:tc>
      </w:tr>
      <w:tr w:rsidR="00F1607B" w:rsidRPr="00D01DDB" w14:paraId="6D6599CF"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A86ACDD" w14:textId="6DCA97C7" w:rsidR="00F1607B" w:rsidRPr="00F1607B" w:rsidRDefault="00F1607B" w:rsidP="00F1607B">
            <w:pPr>
              <w:rPr>
                <w:rFonts w:cs="Cambria"/>
                <w:szCs w:val="22"/>
              </w:rPr>
            </w:pPr>
            <w:r w:rsidRPr="00F1607B">
              <w:rPr>
                <w:rFonts w:cs="Cambria"/>
                <w:szCs w:val="22"/>
              </w:rPr>
              <w:t xml:space="preserve">GGT </w:t>
            </w:r>
          </w:p>
        </w:tc>
        <w:tc>
          <w:tcPr>
            <w:tcW w:w="3792" w:type="pct"/>
          </w:tcPr>
          <w:p w14:paraId="0BA25362" w14:textId="102D979F"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γ glutamyl transferase </w:t>
            </w:r>
          </w:p>
        </w:tc>
      </w:tr>
      <w:tr w:rsidR="00F1607B" w:rsidRPr="00D01DDB" w14:paraId="005D5E45"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584C5C3" w14:textId="18F63F75" w:rsidR="00F1607B" w:rsidRPr="00F1607B" w:rsidRDefault="00F1607B" w:rsidP="00F1607B">
            <w:pPr>
              <w:rPr>
                <w:rFonts w:cs="Cambria"/>
                <w:szCs w:val="22"/>
              </w:rPr>
            </w:pPr>
            <w:r w:rsidRPr="00F1607B">
              <w:rPr>
                <w:rFonts w:cs="Cambria"/>
                <w:szCs w:val="22"/>
              </w:rPr>
              <w:t xml:space="preserve">GMR </w:t>
            </w:r>
          </w:p>
        </w:tc>
        <w:tc>
          <w:tcPr>
            <w:tcW w:w="3792" w:type="pct"/>
          </w:tcPr>
          <w:p w14:paraId="01A3B4D7" w14:textId="39ED27EF"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Geometric mean ratio </w:t>
            </w:r>
          </w:p>
        </w:tc>
      </w:tr>
      <w:tr w:rsidR="00F1607B" w:rsidRPr="00D01DDB" w14:paraId="4246501F"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6294F18" w14:textId="1E7C84D7" w:rsidR="00F1607B" w:rsidRPr="00F1607B" w:rsidRDefault="00F1607B" w:rsidP="00F1607B">
            <w:pPr>
              <w:rPr>
                <w:rFonts w:cs="Cambria"/>
                <w:szCs w:val="22"/>
              </w:rPr>
            </w:pPr>
            <w:r w:rsidRPr="00F1607B">
              <w:rPr>
                <w:rFonts w:cs="Cambria"/>
                <w:szCs w:val="22"/>
              </w:rPr>
              <w:t xml:space="preserve">GOF </w:t>
            </w:r>
          </w:p>
        </w:tc>
        <w:tc>
          <w:tcPr>
            <w:tcW w:w="3792" w:type="pct"/>
          </w:tcPr>
          <w:p w14:paraId="19CC00C5" w14:textId="2A00DBD6"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Goodness of fit </w:t>
            </w:r>
          </w:p>
        </w:tc>
      </w:tr>
      <w:tr w:rsidR="00F1607B" w:rsidRPr="00D01DDB" w14:paraId="7AEFB6A9"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5C55772" w14:textId="593F7604" w:rsidR="00F1607B" w:rsidRPr="00F1607B" w:rsidRDefault="00F1607B" w:rsidP="00F1607B">
            <w:pPr>
              <w:rPr>
                <w:rFonts w:cs="Cambria"/>
                <w:szCs w:val="22"/>
              </w:rPr>
            </w:pPr>
            <w:r w:rsidRPr="00F1607B">
              <w:rPr>
                <w:rFonts w:cs="Cambria"/>
                <w:szCs w:val="22"/>
              </w:rPr>
              <w:t xml:space="preserve">HbA1c </w:t>
            </w:r>
          </w:p>
        </w:tc>
        <w:tc>
          <w:tcPr>
            <w:tcW w:w="3792" w:type="pct"/>
          </w:tcPr>
          <w:p w14:paraId="2EB899C4" w14:textId="729F64C5"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Glycosylated haemoglobin </w:t>
            </w:r>
          </w:p>
        </w:tc>
      </w:tr>
      <w:tr w:rsidR="00F1607B" w:rsidRPr="00D01DDB" w14:paraId="54FBDF84"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9249E86" w14:textId="5DBABF77" w:rsidR="00F1607B" w:rsidRPr="00F1607B" w:rsidRDefault="00F1607B" w:rsidP="00F1607B">
            <w:pPr>
              <w:rPr>
                <w:rFonts w:cs="Cambria"/>
                <w:szCs w:val="22"/>
              </w:rPr>
            </w:pPr>
            <w:r w:rsidRPr="00F1607B">
              <w:rPr>
                <w:rFonts w:cs="Cambria"/>
                <w:szCs w:val="22"/>
              </w:rPr>
              <w:t xml:space="preserve">HBV </w:t>
            </w:r>
          </w:p>
        </w:tc>
        <w:tc>
          <w:tcPr>
            <w:tcW w:w="3792" w:type="pct"/>
          </w:tcPr>
          <w:p w14:paraId="3CE269A6" w14:textId="60502360"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Hepatitis B virus </w:t>
            </w:r>
          </w:p>
        </w:tc>
      </w:tr>
      <w:tr w:rsidR="00F1607B" w:rsidRPr="00D01DDB" w14:paraId="03444736"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C8E04CA" w14:textId="6D6C8F7F" w:rsidR="00F1607B" w:rsidRPr="00F1607B" w:rsidRDefault="00F1607B" w:rsidP="00F1607B">
            <w:pPr>
              <w:rPr>
                <w:rFonts w:cs="Cambria"/>
                <w:szCs w:val="22"/>
              </w:rPr>
            </w:pPr>
            <w:r w:rsidRPr="00F1607B">
              <w:rPr>
                <w:rFonts w:cs="Cambria"/>
                <w:szCs w:val="22"/>
              </w:rPr>
              <w:t xml:space="preserve">HDL </w:t>
            </w:r>
          </w:p>
        </w:tc>
        <w:tc>
          <w:tcPr>
            <w:tcW w:w="3792" w:type="pct"/>
          </w:tcPr>
          <w:p w14:paraId="6F5AA3A1" w14:textId="78C9F3C5"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High-density lipoprotein </w:t>
            </w:r>
          </w:p>
        </w:tc>
      </w:tr>
      <w:tr w:rsidR="00F1607B" w:rsidRPr="00D01DDB" w14:paraId="4BCCFABE"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ACEBE18" w14:textId="11BC1AE6" w:rsidR="00F1607B" w:rsidRPr="00F1607B" w:rsidRDefault="00F1607B" w:rsidP="00F1607B">
            <w:pPr>
              <w:rPr>
                <w:rFonts w:cs="Cambria"/>
                <w:szCs w:val="22"/>
              </w:rPr>
            </w:pPr>
            <w:r w:rsidRPr="00F1607B">
              <w:rPr>
                <w:rFonts w:cs="Cambria"/>
                <w:szCs w:val="22"/>
              </w:rPr>
              <w:t xml:space="preserve">HER2 </w:t>
            </w:r>
          </w:p>
        </w:tc>
        <w:tc>
          <w:tcPr>
            <w:tcW w:w="3792" w:type="pct"/>
          </w:tcPr>
          <w:p w14:paraId="085F51AC" w14:textId="7860B527"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Human epidermal growth factor 2 </w:t>
            </w:r>
          </w:p>
        </w:tc>
      </w:tr>
      <w:tr w:rsidR="00F1607B" w:rsidRPr="00D01DDB" w14:paraId="162F5D4A"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E536E0D" w14:textId="321A8FC4" w:rsidR="00F1607B" w:rsidRPr="00F1607B" w:rsidRDefault="00F1607B" w:rsidP="00F1607B">
            <w:pPr>
              <w:rPr>
                <w:rFonts w:cs="Cambria"/>
                <w:szCs w:val="22"/>
              </w:rPr>
            </w:pPr>
            <w:r w:rsidRPr="00F1607B">
              <w:rPr>
                <w:rFonts w:cs="Cambria"/>
                <w:szCs w:val="22"/>
              </w:rPr>
              <w:t xml:space="preserve">HER2- </w:t>
            </w:r>
          </w:p>
        </w:tc>
        <w:tc>
          <w:tcPr>
            <w:tcW w:w="3792" w:type="pct"/>
          </w:tcPr>
          <w:p w14:paraId="01B19F0D" w14:textId="400A1F4E"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Human epidermal growth factor 2-negative </w:t>
            </w:r>
          </w:p>
        </w:tc>
      </w:tr>
      <w:tr w:rsidR="00F1607B" w:rsidRPr="00D01DDB" w14:paraId="45B620D6"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92C6D59" w14:textId="77167ED7" w:rsidR="00F1607B" w:rsidRPr="00F1607B" w:rsidRDefault="00F1607B" w:rsidP="00F1607B">
            <w:pPr>
              <w:rPr>
                <w:rFonts w:cs="Cambria"/>
                <w:szCs w:val="22"/>
              </w:rPr>
            </w:pPr>
            <w:r w:rsidRPr="00F1607B">
              <w:rPr>
                <w:rFonts w:cs="Cambria"/>
                <w:szCs w:val="22"/>
              </w:rPr>
              <w:t xml:space="preserve">HIV </w:t>
            </w:r>
          </w:p>
        </w:tc>
        <w:tc>
          <w:tcPr>
            <w:tcW w:w="3792" w:type="pct"/>
          </w:tcPr>
          <w:p w14:paraId="286BAC1A" w14:textId="350CFACA"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Human immunodeficiency virus </w:t>
            </w:r>
          </w:p>
        </w:tc>
      </w:tr>
      <w:tr w:rsidR="00F1607B" w:rsidRPr="00D01DDB" w14:paraId="23111F8A"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A36319D" w14:textId="62F3C6B3" w:rsidR="00F1607B" w:rsidRPr="00F1607B" w:rsidRDefault="00F1607B" w:rsidP="00F1607B">
            <w:pPr>
              <w:rPr>
                <w:rFonts w:cs="Cambria"/>
                <w:szCs w:val="22"/>
              </w:rPr>
            </w:pPr>
            <w:r w:rsidRPr="00F1607B">
              <w:rPr>
                <w:rFonts w:cs="Cambria"/>
                <w:szCs w:val="22"/>
              </w:rPr>
              <w:lastRenderedPageBreak/>
              <w:t xml:space="preserve">HMG-CoA </w:t>
            </w:r>
          </w:p>
        </w:tc>
        <w:tc>
          <w:tcPr>
            <w:tcW w:w="3792" w:type="pct"/>
          </w:tcPr>
          <w:p w14:paraId="4C1A2BDA" w14:textId="3D1AAB80"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3-hydroxy-3-methylglutaryl coenzyme A </w:t>
            </w:r>
          </w:p>
        </w:tc>
      </w:tr>
      <w:tr w:rsidR="00F1607B" w:rsidRPr="00D01DDB" w14:paraId="6250217F"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9D73EF3" w14:textId="3721FDFF" w:rsidR="00F1607B" w:rsidRPr="00F1607B" w:rsidRDefault="00F1607B" w:rsidP="00F1607B">
            <w:pPr>
              <w:rPr>
                <w:rFonts w:cs="Cambria"/>
                <w:szCs w:val="22"/>
              </w:rPr>
            </w:pPr>
            <w:r w:rsidRPr="00F1607B">
              <w:rPr>
                <w:rFonts w:cs="Cambria"/>
                <w:szCs w:val="22"/>
              </w:rPr>
              <w:t xml:space="preserve">HR </w:t>
            </w:r>
          </w:p>
        </w:tc>
        <w:tc>
          <w:tcPr>
            <w:tcW w:w="3792" w:type="pct"/>
          </w:tcPr>
          <w:p w14:paraId="1196D403" w14:textId="2E19F8F4"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Hazard ratio </w:t>
            </w:r>
          </w:p>
        </w:tc>
      </w:tr>
      <w:tr w:rsidR="00F1607B" w:rsidRPr="00D01DDB" w14:paraId="2EBDAE9B"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80E3990" w14:textId="13E4B0C8" w:rsidR="00F1607B" w:rsidRPr="00F1607B" w:rsidRDefault="00F1607B" w:rsidP="00F1607B">
            <w:pPr>
              <w:rPr>
                <w:rFonts w:cs="Cambria"/>
                <w:szCs w:val="22"/>
              </w:rPr>
            </w:pPr>
            <w:r w:rsidRPr="00F1607B">
              <w:rPr>
                <w:rFonts w:cs="Cambria"/>
                <w:szCs w:val="22"/>
              </w:rPr>
              <w:t xml:space="preserve">HR </w:t>
            </w:r>
          </w:p>
        </w:tc>
        <w:tc>
          <w:tcPr>
            <w:tcW w:w="3792" w:type="pct"/>
          </w:tcPr>
          <w:p w14:paraId="64C32DB7" w14:textId="475EA054"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Hormone receptor </w:t>
            </w:r>
          </w:p>
        </w:tc>
      </w:tr>
      <w:tr w:rsidR="00F1607B" w:rsidRPr="00D01DDB" w14:paraId="3121FCD5"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DBF5191" w14:textId="14398EC9" w:rsidR="00F1607B" w:rsidRPr="00F1607B" w:rsidRDefault="00F1607B" w:rsidP="00F1607B">
            <w:pPr>
              <w:rPr>
                <w:rFonts w:cs="Cambria"/>
                <w:szCs w:val="22"/>
              </w:rPr>
            </w:pPr>
            <w:r w:rsidRPr="00F1607B">
              <w:rPr>
                <w:rFonts w:cs="Cambria"/>
                <w:szCs w:val="22"/>
              </w:rPr>
              <w:t xml:space="preserve">HR+ </w:t>
            </w:r>
          </w:p>
        </w:tc>
        <w:tc>
          <w:tcPr>
            <w:tcW w:w="3792" w:type="pct"/>
          </w:tcPr>
          <w:p w14:paraId="1FA8FDEC" w14:textId="7F276771"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Hormone receptor-positive </w:t>
            </w:r>
          </w:p>
        </w:tc>
      </w:tr>
      <w:tr w:rsidR="00F1607B" w:rsidRPr="00D01DDB" w14:paraId="554F4DE4"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2161B3F" w14:textId="5E6C017D" w:rsidR="00F1607B" w:rsidRPr="00F1607B" w:rsidRDefault="00F1607B" w:rsidP="00F1607B">
            <w:pPr>
              <w:rPr>
                <w:rFonts w:cs="Cambria"/>
                <w:szCs w:val="22"/>
              </w:rPr>
            </w:pPr>
            <w:r w:rsidRPr="00F1607B">
              <w:rPr>
                <w:rFonts w:cs="Cambria"/>
                <w:szCs w:val="22"/>
              </w:rPr>
              <w:t xml:space="preserve">HR+/HER2- </w:t>
            </w:r>
          </w:p>
        </w:tc>
        <w:tc>
          <w:tcPr>
            <w:tcW w:w="3792" w:type="pct"/>
          </w:tcPr>
          <w:p w14:paraId="251FF038" w14:textId="7081F432"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Hormone receptor-positive, human epidermal growth factor receptor 2 negative </w:t>
            </w:r>
          </w:p>
        </w:tc>
      </w:tr>
      <w:tr w:rsidR="00F1607B" w:rsidRPr="00D01DDB" w14:paraId="357305D3"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E791C20" w14:textId="18B33484" w:rsidR="00F1607B" w:rsidRPr="00F1607B" w:rsidRDefault="00F1607B" w:rsidP="00F1607B">
            <w:pPr>
              <w:rPr>
                <w:rFonts w:cs="Cambria"/>
                <w:szCs w:val="22"/>
              </w:rPr>
            </w:pPr>
            <w:proofErr w:type="spellStart"/>
            <w:r w:rsidRPr="00F1607B">
              <w:rPr>
                <w:rFonts w:cs="Cambria"/>
                <w:szCs w:val="22"/>
              </w:rPr>
              <w:t>HRQoL</w:t>
            </w:r>
            <w:proofErr w:type="spellEnd"/>
            <w:r w:rsidRPr="00F1607B">
              <w:rPr>
                <w:rFonts w:cs="Cambria"/>
                <w:szCs w:val="22"/>
              </w:rPr>
              <w:t xml:space="preserve"> </w:t>
            </w:r>
          </w:p>
        </w:tc>
        <w:tc>
          <w:tcPr>
            <w:tcW w:w="3792" w:type="pct"/>
          </w:tcPr>
          <w:p w14:paraId="5738B48A" w14:textId="2DF25CA8"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Health-related quality of life </w:t>
            </w:r>
          </w:p>
        </w:tc>
      </w:tr>
      <w:tr w:rsidR="00F1607B" w:rsidRPr="00D01DDB" w14:paraId="38CF6A74"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C19713E" w14:textId="0833B405" w:rsidR="00F1607B" w:rsidRPr="00F1607B" w:rsidRDefault="00F1607B" w:rsidP="00F1607B">
            <w:pPr>
              <w:rPr>
                <w:rFonts w:cs="Cambria"/>
                <w:szCs w:val="22"/>
              </w:rPr>
            </w:pPr>
            <w:r w:rsidRPr="00F1607B">
              <w:rPr>
                <w:rFonts w:cs="Cambria"/>
                <w:szCs w:val="22"/>
              </w:rPr>
              <w:t xml:space="preserve">IB </w:t>
            </w:r>
          </w:p>
        </w:tc>
        <w:tc>
          <w:tcPr>
            <w:tcW w:w="3792" w:type="pct"/>
          </w:tcPr>
          <w:p w14:paraId="271A58DA" w14:textId="428DC90E"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Investigator’s brochure </w:t>
            </w:r>
          </w:p>
        </w:tc>
      </w:tr>
      <w:tr w:rsidR="00F1607B" w:rsidRPr="00D01DDB" w14:paraId="48DBB14A"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7528189" w14:textId="2F2D4118" w:rsidR="00F1607B" w:rsidRPr="00F1607B" w:rsidRDefault="00F1607B" w:rsidP="00F1607B">
            <w:pPr>
              <w:rPr>
                <w:rFonts w:cs="Cambria"/>
                <w:szCs w:val="22"/>
              </w:rPr>
            </w:pPr>
            <w:r w:rsidRPr="00F1607B">
              <w:rPr>
                <w:rFonts w:cs="Cambria"/>
                <w:szCs w:val="22"/>
              </w:rPr>
              <w:t xml:space="preserve">IC </w:t>
            </w:r>
          </w:p>
        </w:tc>
        <w:tc>
          <w:tcPr>
            <w:tcW w:w="3792" w:type="pct"/>
          </w:tcPr>
          <w:p w14:paraId="334067D2" w14:textId="76270E0E"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Inclusion criteria </w:t>
            </w:r>
          </w:p>
        </w:tc>
      </w:tr>
      <w:tr w:rsidR="00F1607B" w:rsidRPr="00D01DDB" w14:paraId="2FBFC6BF"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E04BD14" w14:textId="6B3848BA" w:rsidR="00F1607B" w:rsidRPr="00F1607B" w:rsidRDefault="00F1607B" w:rsidP="00F1607B">
            <w:pPr>
              <w:rPr>
                <w:rFonts w:cs="Cambria"/>
                <w:szCs w:val="22"/>
              </w:rPr>
            </w:pPr>
            <w:r w:rsidRPr="00F1607B">
              <w:rPr>
                <w:rFonts w:cs="Cambria"/>
                <w:szCs w:val="22"/>
              </w:rPr>
              <w:t xml:space="preserve">ICH </w:t>
            </w:r>
          </w:p>
        </w:tc>
        <w:tc>
          <w:tcPr>
            <w:tcW w:w="3792" w:type="pct"/>
          </w:tcPr>
          <w:p w14:paraId="46D68BD8" w14:textId="694B0260"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International Council for Harmonisation </w:t>
            </w:r>
          </w:p>
        </w:tc>
      </w:tr>
      <w:tr w:rsidR="00F1607B" w:rsidRPr="00D01DDB" w14:paraId="06866933"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3B8EDE9" w14:textId="6D7E82C5" w:rsidR="00F1607B" w:rsidRPr="00F1607B" w:rsidRDefault="00F1607B" w:rsidP="00F1607B">
            <w:pPr>
              <w:rPr>
                <w:rFonts w:cs="Cambria"/>
                <w:szCs w:val="22"/>
              </w:rPr>
            </w:pPr>
            <w:r w:rsidRPr="00F1607B">
              <w:rPr>
                <w:rFonts w:cs="Cambria"/>
                <w:szCs w:val="22"/>
              </w:rPr>
              <w:t xml:space="preserve">IHC </w:t>
            </w:r>
          </w:p>
        </w:tc>
        <w:tc>
          <w:tcPr>
            <w:tcW w:w="3792" w:type="pct"/>
          </w:tcPr>
          <w:p w14:paraId="588BCEB9" w14:textId="296BB714"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Immunohistochemistry </w:t>
            </w:r>
          </w:p>
        </w:tc>
      </w:tr>
      <w:tr w:rsidR="00F1607B" w:rsidRPr="00D01DDB" w14:paraId="6C21B09A"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E2AF4D2" w14:textId="63810379" w:rsidR="00F1607B" w:rsidRPr="00F1607B" w:rsidRDefault="00F1607B" w:rsidP="00F1607B">
            <w:pPr>
              <w:rPr>
                <w:rFonts w:cs="Cambria"/>
                <w:szCs w:val="22"/>
              </w:rPr>
            </w:pPr>
            <w:r w:rsidRPr="00F1607B">
              <w:rPr>
                <w:rFonts w:cs="Cambria"/>
                <w:szCs w:val="22"/>
              </w:rPr>
              <w:t xml:space="preserve">IIV </w:t>
            </w:r>
          </w:p>
        </w:tc>
        <w:tc>
          <w:tcPr>
            <w:tcW w:w="3792" w:type="pct"/>
          </w:tcPr>
          <w:p w14:paraId="20FEDAEE" w14:textId="676F18CA"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Inter-individual variability </w:t>
            </w:r>
          </w:p>
        </w:tc>
      </w:tr>
      <w:tr w:rsidR="00F1607B" w:rsidRPr="00D01DDB" w14:paraId="639B1461"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80509CE" w14:textId="4F69AA86" w:rsidR="00F1607B" w:rsidRPr="00F1607B" w:rsidRDefault="00F1607B" w:rsidP="00F1607B">
            <w:pPr>
              <w:rPr>
                <w:rFonts w:cs="Cambria"/>
                <w:szCs w:val="22"/>
              </w:rPr>
            </w:pPr>
            <w:r w:rsidRPr="00F1607B">
              <w:rPr>
                <w:rFonts w:cs="Cambria"/>
                <w:szCs w:val="22"/>
              </w:rPr>
              <w:t xml:space="preserve">IMP </w:t>
            </w:r>
          </w:p>
        </w:tc>
        <w:tc>
          <w:tcPr>
            <w:tcW w:w="3792" w:type="pct"/>
          </w:tcPr>
          <w:p w14:paraId="345608C4" w14:textId="23BFB5FE"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Investigational medicinal product </w:t>
            </w:r>
          </w:p>
        </w:tc>
      </w:tr>
      <w:tr w:rsidR="00F1607B" w:rsidRPr="00D01DDB" w14:paraId="2003204E"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53574FF" w14:textId="32FB2083" w:rsidR="00F1607B" w:rsidRPr="00F1607B" w:rsidRDefault="00F1607B" w:rsidP="00F1607B">
            <w:pPr>
              <w:rPr>
                <w:rFonts w:cs="Cambria"/>
                <w:szCs w:val="22"/>
              </w:rPr>
            </w:pPr>
            <w:r w:rsidRPr="00F1607B">
              <w:rPr>
                <w:rFonts w:cs="Cambria"/>
                <w:szCs w:val="22"/>
              </w:rPr>
              <w:t xml:space="preserve">IgG </w:t>
            </w:r>
          </w:p>
        </w:tc>
        <w:tc>
          <w:tcPr>
            <w:tcW w:w="3792" w:type="pct"/>
          </w:tcPr>
          <w:p w14:paraId="1ED65838" w14:textId="671B02B3"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Immunoglobulin G </w:t>
            </w:r>
          </w:p>
        </w:tc>
      </w:tr>
      <w:tr w:rsidR="00F1607B" w:rsidRPr="00D01DDB" w14:paraId="788AE2B6"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A6D51D7" w14:textId="03286305" w:rsidR="00F1607B" w:rsidRPr="00F1607B" w:rsidRDefault="00F1607B" w:rsidP="00F1607B">
            <w:pPr>
              <w:rPr>
                <w:rFonts w:cs="Cambria"/>
                <w:szCs w:val="22"/>
              </w:rPr>
            </w:pPr>
            <w:r w:rsidRPr="00F1607B">
              <w:rPr>
                <w:rFonts w:cs="Cambria"/>
                <w:szCs w:val="22"/>
              </w:rPr>
              <w:t xml:space="preserve">IgM </w:t>
            </w:r>
          </w:p>
        </w:tc>
        <w:tc>
          <w:tcPr>
            <w:tcW w:w="3792" w:type="pct"/>
          </w:tcPr>
          <w:p w14:paraId="1EE955BC" w14:textId="3F6B76E1"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Immunoglobulin M </w:t>
            </w:r>
          </w:p>
        </w:tc>
      </w:tr>
      <w:tr w:rsidR="00F1607B" w:rsidRPr="00D01DDB" w14:paraId="377686F8"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BA9016D" w14:textId="5924B9CD" w:rsidR="00F1607B" w:rsidRPr="00F1607B" w:rsidRDefault="00F1607B" w:rsidP="00F1607B">
            <w:pPr>
              <w:rPr>
                <w:rFonts w:cs="Cambria"/>
                <w:szCs w:val="22"/>
              </w:rPr>
            </w:pPr>
            <w:r w:rsidRPr="00F1607B">
              <w:rPr>
                <w:rFonts w:cs="Cambria"/>
                <w:szCs w:val="22"/>
              </w:rPr>
              <w:t xml:space="preserve">IIR </w:t>
            </w:r>
          </w:p>
        </w:tc>
        <w:tc>
          <w:tcPr>
            <w:tcW w:w="3792" w:type="pct"/>
          </w:tcPr>
          <w:p w14:paraId="2DA8955B" w14:textId="70F8C1EA"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Important identified risk </w:t>
            </w:r>
          </w:p>
        </w:tc>
      </w:tr>
      <w:tr w:rsidR="00F1607B" w:rsidRPr="00D01DDB" w14:paraId="1846C8F4"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03ED14F" w14:textId="6E9804D3" w:rsidR="00F1607B" w:rsidRPr="00F1607B" w:rsidRDefault="00F1607B" w:rsidP="00F1607B">
            <w:pPr>
              <w:rPr>
                <w:rFonts w:cs="Cambria"/>
                <w:szCs w:val="22"/>
              </w:rPr>
            </w:pPr>
            <w:r w:rsidRPr="00F1607B">
              <w:rPr>
                <w:rFonts w:cs="Cambria"/>
                <w:szCs w:val="22"/>
              </w:rPr>
              <w:t xml:space="preserve">IPD </w:t>
            </w:r>
          </w:p>
        </w:tc>
        <w:tc>
          <w:tcPr>
            <w:tcW w:w="3792" w:type="pct"/>
          </w:tcPr>
          <w:p w14:paraId="04F07861" w14:textId="58FE17E9"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Important protocol deviation </w:t>
            </w:r>
          </w:p>
        </w:tc>
      </w:tr>
      <w:tr w:rsidR="00F1607B" w:rsidRPr="00D01DDB" w14:paraId="632E24FD"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4687667" w14:textId="7C4DDE6A" w:rsidR="00F1607B" w:rsidRPr="00F1607B" w:rsidRDefault="00F1607B" w:rsidP="00F1607B">
            <w:pPr>
              <w:rPr>
                <w:rFonts w:cs="Cambria"/>
                <w:szCs w:val="22"/>
              </w:rPr>
            </w:pPr>
            <w:r w:rsidRPr="00F1607B">
              <w:rPr>
                <w:rFonts w:cs="Cambria"/>
                <w:szCs w:val="22"/>
              </w:rPr>
              <w:t xml:space="preserve">IPR </w:t>
            </w:r>
          </w:p>
        </w:tc>
        <w:tc>
          <w:tcPr>
            <w:tcW w:w="3792" w:type="pct"/>
          </w:tcPr>
          <w:p w14:paraId="56931233" w14:textId="525A86E9"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Important potential risk </w:t>
            </w:r>
          </w:p>
        </w:tc>
      </w:tr>
      <w:tr w:rsidR="00F1607B" w:rsidRPr="00D01DDB" w14:paraId="52DD92E5"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1E0FC55" w14:textId="195938A1" w:rsidR="00F1607B" w:rsidRPr="00F1607B" w:rsidRDefault="00F1607B" w:rsidP="00F1607B">
            <w:pPr>
              <w:rPr>
                <w:rFonts w:cs="Cambria"/>
                <w:szCs w:val="22"/>
              </w:rPr>
            </w:pPr>
            <w:r w:rsidRPr="00F1607B">
              <w:rPr>
                <w:rFonts w:cs="Cambria"/>
                <w:szCs w:val="22"/>
              </w:rPr>
              <w:t xml:space="preserve">IPRED </w:t>
            </w:r>
          </w:p>
        </w:tc>
        <w:tc>
          <w:tcPr>
            <w:tcW w:w="3792" w:type="pct"/>
          </w:tcPr>
          <w:p w14:paraId="2F3D0460" w14:textId="0EDE3F60"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Individual predictions </w:t>
            </w:r>
          </w:p>
        </w:tc>
      </w:tr>
      <w:tr w:rsidR="00F1607B" w:rsidRPr="00D01DDB" w14:paraId="21ABBD71"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9A733F1" w14:textId="548F6B72" w:rsidR="00F1607B" w:rsidRPr="00F1607B" w:rsidRDefault="00F1607B" w:rsidP="00F1607B">
            <w:pPr>
              <w:rPr>
                <w:rFonts w:cs="Cambria"/>
                <w:szCs w:val="22"/>
              </w:rPr>
            </w:pPr>
            <w:r w:rsidRPr="00F1607B">
              <w:rPr>
                <w:rFonts w:cs="Cambria"/>
                <w:szCs w:val="22"/>
              </w:rPr>
              <w:t xml:space="preserve">IQR </w:t>
            </w:r>
          </w:p>
        </w:tc>
        <w:tc>
          <w:tcPr>
            <w:tcW w:w="3792" w:type="pct"/>
          </w:tcPr>
          <w:p w14:paraId="7E8078EB" w14:textId="1D19D4A0"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Interquartile range </w:t>
            </w:r>
          </w:p>
        </w:tc>
      </w:tr>
      <w:tr w:rsidR="00F1607B" w:rsidRPr="00D01DDB" w14:paraId="004C1906"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4BAAC1C" w14:textId="02689988" w:rsidR="00F1607B" w:rsidRPr="00F1607B" w:rsidRDefault="00F1607B" w:rsidP="00F1607B">
            <w:pPr>
              <w:rPr>
                <w:rFonts w:cs="Cambria"/>
                <w:szCs w:val="22"/>
              </w:rPr>
            </w:pPr>
            <w:r w:rsidRPr="00F1607B">
              <w:rPr>
                <w:rFonts w:cs="Cambria"/>
                <w:szCs w:val="22"/>
              </w:rPr>
              <w:t xml:space="preserve">ISH </w:t>
            </w:r>
          </w:p>
        </w:tc>
        <w:tc>
          <w:tcPr>
            <w:tcW w:w="3792" w:type="pct"/>
          </w:tcPr>
          <w:p w14:paraId="7869721F" w14:textId="01D6992E"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In situ hybridisation </w:t>
            </w:r>
          </w:p>
        </w:tc>
      </w:tr>
      <w:tr w:rsidR="00F1607B" w:rsidRPr="00D01DDB" w14:paraId="721522E1"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577C141" w14:textId="2FE80BDF" w:rsidR="00F1607B" w:rsidRPr="00F1607B" w:rsidRDefault="00F1607B" w:rsidP="00F1607B">
            <w:pPr>
              <w:rPr>
                <w:rFonts w:cs="Cambria"/>
                <w:szCs w:val="22"/>
              </w:rPr>
            </w:pPr>
            <w:r w:rsidRPr="00F1607B">
              <w:rPr>
                <w:rFonts w:cs="Cambria"/>
                <w:szCs w:val="22"/>
              </w:rPr>
              <w:t xml:space="preserve">ITT </w:t>
            </w:r>
          </w:p>
        </w:tc>
        <w:tc>
          <w:tcPr>
            <w:tcW w:w="3792" w:type="pct"/>
          </w:tcPr>
          <w:p w14:paraId="0E3DC0AB" w14:textId="741C46D8"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Intention to treat </w:t>
            </w:r>
          </w:p>
        </w:tc>
      </w:tr>
      <w:tr w:rsidR="00F1607B" w:rsidRPr="00D01DDB" w14:paraId="5A633C40"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85D26C9" w14:textId="2C0B378C" w:rsidR="00F1607B" w:rsidRPr="00F1607B" w:rsidRDefault="00F1607B" w:rsidP="00F1607B">
            <w:pPr>
              <w:rPr>
                <w:rFonts w:cs="Cambria"/>
                <w:szCs w:val="22"/>
              </w:rPr>
            </w:pPr>
            <w:r w:rsidRPr="00F1607B">
              <w:rPr>
                <w:rFonts w:cs="Cambria"/>
                <w:szCs w:val="22"/>
              </w:rPr>
              <w:t xml:space="preserve">IV </w:t>
            </w:r>
          </w:p>
        </w:tc>
        <w:tc>
          <w:tcPr>
            <w:tcW w:w="3792" w:type="pct"/>
          </w:tcPr>
          <w:p w14:paraId="08A5C42A" w14:textId="455EB699"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Intravenous </w:t>
            </w:r>
          </w:p>
        </w:tc>
      </w:tr>
      <w:tr w:rsidR="00F1607B" w:rsidRPr="00D01DDB" w14:paraId="178503EF"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6F72E2C" w14:textId="64F4B6DF" w:rsidR="00F1607B" w:rsidRPr="00F1607B" w:rsidRDefault="00F1607B" w:rsidP="00F1607B">
            <w:pPr>
              <w:rPr>
                <w:rFonts w:cs="Cambria"/>
                <w:szCs w:val="22"/>
              </w:rPr>
            </w:pPr>
            <w:r w:rsidRPr="00F1607B">
              <w:rPr>
                <w:rFonts w:cs="Cambria"/>
                <w:szCs w:val="22"/>
              </w:rPr>
              <w:t xml:space="preserve">IVD </w:t>
            </w:r>
          </w:p>
        </w:tc>
        <w:tc>
          <w:tcPr>
            <w:tcW w:w="3792" w:type="pct"/>
          </w:tcPr>
          <w:p w14:paraId="53B3104C" w14:textId="1B187B0E"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In vitro diagnostic </w:t>
            </w:r>
          </w:p>
        </w:tc>
      </w:tr>
      <w:tr w:rsidR="00F1607B" w:rsidRPr="00D01DDB" w14:paraId="3EB9FB9B"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5D8AB5A" w14:textId="7FF6416C" w:rsidR="00F1607B" w:rsidRPr="00F1607B" w:rsidRDefault="00F1607B" w:rsidP="00F1607B">
            <w:pPr>
              <w:rPr>
                <w:rFonts w:cs="Cambria"/>
                <w:szCs w:val="22"/>
              </w:rPr>
            </w:pPr>
            <w:r w:rsidRPr="00F1607B">
              <w:rPr>
                <w:rFonts w:cs="Cambria"/>
                <w:szCs w:val="22"/>
              </w:rPr>
              <w:t xml:space="preserve">IVRS </w:t>
            </w:r>
          </w:p>
        </w:tc>
        <w:tc>
          <w:tcPr>
            <w:tcW w:w="3792" w:type="pct"/>
          </w:tcPr>
          <w:p w14:paraId="243274DD" w14:textId="2538BD74"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Interactive voice response system </w:t>
            </w:r>
          </w:p>
        </w:tc>
      </w:tr>
      <w:tr w:rsidR="00F1607B" w:rsidRPr="00D01DDB" w14:paraId="63F00AC5"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AF87B21" w14:textId="0ADA2347" w:rsidR="00F1607B" w:rsidRPr="00F1607B" w:rsidRDefault="00F1607B" w:rsidP="00F1607B">
            <w:pPr>
              <w:rPr>
                <w:rFonts w:cs="Cambria"/>
                <w:szCs w:val="22"/>
              </w:rPr>
            </w:pPr>
            <w:r w:rsidRPr="00F1607B">
              <w:rPr>
                <w:rFonts w:cs="Cambria"/>
                <w:szCs w:val="22"/>
              </w:rPr>
              <w:t xml:space="preserve">IWRS </w:t>
            </w:r>
          </w:p>
        </w:tc>
        <w:tc>
          <w:tcPr>
            <w:tcW w:w="3792" w:type="pct"/>
          </w:tcPr>
          <w:p w14:paraId="79985489" w14:textId="6D8809FF"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Interactive web response system </w:t>
            </w:r>
          </w:p>
        </w:tc>
      </w:tr>
      <w:tr w:rsidR="00F1607B" w:rsidRPr="00D01DDB" w14:paraId="4B39416B"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7DF6F44" w14:textId="6E8F8B8C" w:rsidR="00F1607B" w:rsidRPr="00F1607B" w:rsidRDefault="00F1607B" w:rsidP="00F1607B">
            <w:pPr>
              <w:rPr>
                <w:rFonts w:cs="Cambria"/>
                <w:szCs w:val="22"/>
              </w:rPr>
            </w:pPr>
            <w:r w:rsidRPr="00F1607B">
              <w:rPr>
                <w:rFonts w:cs="Cambria"/>
                <w:szCs w:val="22"/>
              </w:rPr>
              <w:t xml:space="preserve">IXRS </w:t>
            </w:r>
          </w:p>
        </w:tc>
        <w:tc>
          <w:tcPr>
            <w:tcW w:w="3792" w:type="pct"/>
          </w:tcPr>
          <w:p w14:paraId="21BC2DE4" w14:textId="13E9665C"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Interactive web/voice response system </w:t>
            </w:r>
          </w:p>
        </w:tc>
      </w:tr>
      <w:tr w:rsidR="00F1607B" w:rsidRPr="00D01DDB" w14:paraId="4486AD13"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8E2B8BD" w14:textId="7DAA957B" w:rsidR="00F1607B" w:rsidRPr="00F1607B" w:rsidRDefault="00F1607B" w:rsidP="00F1607B">
            <w:pPr>
              <w:rPr>
                <w:rFonts w:cs="Cambria"/>
                <w:szCs w:val="22"/>
              </w:rPr>
            </w:pPr>
            <w:r w:rsidRPr="00F1607B">
              <w:rPr>
                <w:rFonts w:cs="Cambria"/>
                <w:szCs w:val="22"/>
              </w:rPr>
              <w:t>k</w:t>
            </w:r>
            <w:r w:rsidRPr="00F1607B">
              <w:rPr>
                <w:rFonts w:cs="Cambria"/>
                <w:sz w:val="14"/>
                <w:szCs w:val="14"/>
              </w:rPr>
              <w:t xml:space="preserve">a </w:t>
            </w:r>
          </w:p>
        </w:tc>
        <w:tc>
          <w:tcPr>
            <w:tcW w:w="3792" w:type="pct"/>
          </w:tcPr>
          <w:p w14:paraId="4CD5E388" w14:textId="143578E3"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First order absorption rate constant </w:t>
            </w:r>
          </w:p>
        </w:tc>
      </w:tr>
      <w:tr w:rsidR="00F1607B" w:rsidRPr="00D01DDB" w14:paraId="23F8FA16"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38BE5DA" w14:textId="24695CE3" w:rsidR="00F1607B" w:rsidRPr="00F1607B" w:rsidRDefault="00F1607B" w:rsidP="00F1607B">
            <w:pPr>
              <w:rPr>
                <w:rFonts w:cs="Cambria"/>
                <w:szCs w:val="22"/>
              </w:rPr>
            </w:pPr>
            <w:r w:rsidRPr="00F1607B">
              <w:rPr>
                <w:rFonts w:cs="Cambria"/>
                <w:szCs w:val="22"/>
              </w:rPr>
              <w:t xml:space="preserve">KM </w:t>
            </w:r>
          </w:p>
        </w:tc>
        <w:tc>
          <w:tcPr>
            <w:tcW w:w="3792" w:type="pct"/>
          </w:tcPr>
          <w:p w14:paraId="28FD9990" w14:textId="791D4881"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Kaplan Meier </w:t>
            </w:r>
          </w:p>
        </w:tc>
      </w:tr>
      <w:tr w:rsidR="00F1607B" w:rsidRPr="00D01DDB" w14:paraId="5C60E494"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293DAD3" w14:textId="7373671C" w:rsidR="00F1607B" w:rsidRPr="00F1607B" w:rsidRDefault="00F1607B" w:rsidP="00F1607B">
            <w:pPr>
              <w:rPr>
                <w:rFonts w:cs="Cambria"/>
                <w:szCs w:val="22"/>
              </w:rPr>
            </w:pPr>
            <w:r w:rsidRPr="00F1607B">
              <w:rPr>
                <w:rFonts w:cs="Cambria"/>
                <w:szCs w:val="22"/>
              </w:rPr>
              <w:t xml:space="preserve">LDL </w:t>
            </w:r>
          </w:p>
        </w:tc>
        <w:tc>
          <w:tcPr>
            <w:tcW w:w="3792" w:type="pct"/>
          </w:tcPr>
          <w:p w14:paraId="2D3EC6E4" w14:textId="2D478CE4"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Low-density lipoprotein </w:t>
            </w:r>
          </w:p>
        </w:tc>
      </w:tr>
      <w:tr w:rsidR="00F1607B" w:rsidRPr="00D01DDB" w14:paraId="063A7ED6"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A57CBC1" w14:textId="0D20878D" w:rsidR="00F1607B" w:rsidRPr="00F1607B" w:rsidRDefault="00F1607B" w:rsidP="00F1607B">
            <w:pPr>
              <w:rPr>
                <w:rFonts w:cs="Cambria"/>
                <w:szCs w:val="22"/>
              </w:rPr>
            </w:pPr>
            <w:r w:rsidRPr="00F1607B">
              <w:rPr>
                <w:rFonts w:cs="Cambria"/>
                <w:szCs w:val="22"/>
              </w:rPr>
              <w:t xml:space="preserve">LFT </w:t>
            </w:r>
          </w:p>
        </w:tc>
        <w:tc>
          <w:tcPr>
            <w:tcW w:w="3792" w:type="pct"/>
          </w:tcPr>
          <w:p w14:paraId="1530A519" w14:textId="33FCDB5B"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Liver function test </w:t>
            </w:r>
          </w:p>
        </w:tc>
      </w:tr>
      <w:tr w:rsidR="00F1607B" w:rsidRPr="00D01DDB" w14:paraId="4A3D5938"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E204655" w14:textId="2E94A7A4" w:rsidR="00F1607B" w:rsidRPr="00F1607B" w:rsidRDefault="00F1607B" w:rsidP="00F1607B">
            <w:pPr>
              <w:rPr>
                <w:rFonts w:cs="Cambria"/>
                <w:szCs w:val="22"/>
              </w:rPr>
            </w:pPr>
            <w:r w:rsidRPr="00F1607B">
              <w:rPr>
                <w:rFonts w:cs="Cambria"/>
                <w:szCs w:val="22"/>
              </w:rPr>
              <w:t xml:space="preserve">LHRH </w:t>
            </w:r>
          </w:p>
        </w:tc>
        <w:tc>
          <w:tcPr>
            <w:tcW w:w="3792" w:type="pct"/>
          </w:tcPr>
          <w:p w14:paraId="6737296E" w14:textId="17F00071"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Luteinising-hormone releasing hormone </w:t>
            </w:r>
          </w:p>
        </w:tc>
      </w:tr>
      <w:tr w:rsidR="00F1607B" w:rsidRPr="00D01DDB" w14:paraId="0ABDEBE5"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5BE0CE1" w14:textId="330F7979" w:rsidR="00F1607B" w:rsidRPr="00F1607B" w:rsidRDefault="00F1607B" w:rsidP="00F1607B">
            <w:pPr>
              <w:rPr>
                <w:rFonts w:cs="Cambria"/>
                <w:szCs w:val="22"/>
              </w:rPr>
            </w:pPr>
            <w:r w:rsidRPr="00F1607B">
              <w:rPr>
                <w:rFonts w:cs="Cambria"/>
                <w:szCs w:val="22"/>
              </w:rPr>
              <w:t xml:space="preserve">LLOQ </w:t>
            </w:r>
          </w:p>
        </w:tc>
        <w:tc>
          <w:tcPr>
            <w:tcW w:w="3792" w:type="pct"/>
          </w:tcPr>
          <w:p w14:paraId="4700F4D8" w14:textId="73B3E328"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Lower limit of quantification </w:t>
            </w:r>
          </w:p>
        </w:tc>
      </w:tr>
      <w:tr w:rsidR="00F1607B" w:rsidRPr="00D01DDB" w14:paraId="1DBC20E5"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CB34AAE" w14:textId="5546B00E" w:rsidR="00F1607B" w:rsidRPr="00F1607B" w:rsidRDefault="00F1607B" w:rsidP="00F1607B">
            <w:pPr>
              <w:rPr>
                <w:rFonts w:cs="Cambria"/>
                <w:szCs w:val="22"/>
              </w:rPr>
            </w:pPr>
            <w:proofErr w:type="spellStart"/>
            <w:r w:rsidRPr="00F1607B">
              <w:rPr>
                <w:rFonts w:cs="Cambria"/>
                <w:szCs w:val="22"/>
              </w:rPr>
              <w:lastRenderedPageBreak/>
              <w:t>LoD</w:t>
            </w:r>
            <w:proofErr w:type="spellEnd"/>
            <w:r w:rsidRPr="00F1607B">
              <w:rPr>
                <w:rFonts w:cs="Cambria"/>
                <w:szCs w:val="22"/>
              </w:rPr>
              <w:t xml:space="preserve"> </w:t>
            </w:r>
          </w:p>
        </w:tc>
        <w:tc>
          <w:tcPr>
            <w:tcW w:w="3792" w:type="pct"/>
          </w:tcPr>
          <w:p w14:paraId="6544DC16" w14:textId="13DCF223"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Limit of detection </w:t>
            </w:r>
          </w:p>
        </w:tc>
      </w:tr>
      <w:tr w:rsidR="00F1607B" w:rsidRPr="00D01DDB" w14:paraId="4AAD246C"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DA16B65" w14:textId="6F5B20BE" w:rsidR="00F1607B" w:rsidRPr="00F1607B" w:rsidRDefault="00F1607B" w:rsidP="00F1607B">
            <w:pPr>
              <w:rPr>
                <w:rFonts w:cs="Cambria"/>
                <w:szCs w:val="22"/>
              </w:rPr>
            </w:pPr>
            <w:r w:rsidRPr="00F1607B">
              <w:rPr>
                <w:rFonts w:cs="Cambria"/>
                <w:szCs w:val="22"/>
              </w:rPr>
              <w:t xml:space="preserve">LPFV </w:t>
            </w:r>
          </w:p>
        </w:tc>
        <w:tc>
          <w:tcPr>
            <w:tcW w:w="3792" w:type="pct"/>
          </w:tcPr>
          <w:p w14:paraId="04A1B519" w14:textId="16040D3D"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Last patient first visit </w:t>
            </w:r>
          </w:p>
        </w:tc>
      </w:tr>
      <w:tr w:rsidR="00F1607B" w:rsidRPr="00D01DDB" w14:paraId="67D0EE09"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959532E" w14:textId="5548C91A" w:rsidR="00F1607B" w:rsidRPr="00F1607B" w:rsidRDefault="00F1607B" w:rsidP="00F1607B">
            <w:pPr>
              <w:rPr>
                <w:rFonts w:cs="Cambria"/>
                <w:szCs w:val="22"/>
              </w:rPr>
            </w:pPr>
            <w:r w:rsidRPr="00F1607B">
              <w:rPr>
                <w:rFonts w:cs="Cambria"/>
                <w:szCs w:val="22"/>
              </w:rPr>
              <w:t xml:space="preserve">LMWH </w:t>
            </w:r>
          </w:p>
        </w:tc>
        <w:tc>
          <w:tcPr>
            <w:tcW w:w="3792" w:type="pct"/>
          </w:tcPr>
          <w:p w14:paraId="52D8F236" w14:textId="6457D19F"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Low molecular weight heparin </w:t>
            </w:r>
          </w:p>
        </w:tc>
      </w:tr>
      <w:tr w:rsidR="00F1607B" w:rsidRPr="00D01DDB" w14:paraId="00808DAE"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C77DD1E" w14:textId="5EC7F2CC" w:rsidR="00F1607B" w:rsidRPr="00F1607B" w:rsidRDefault="00F1607B" w:rsidP="00F1607B">
            <w:pPr>
              <w:rPr>
                <w:rFonts w:cs="Cambria"/>
                <w:szCs w:val="22"/>
              </w:rPr>
            </w:pPr>
            <w:r w:rsidRPr="00F1607B">
              <w:rPr>
                <w:rFonts w:cs="Cambria"/>
                <w:szCs w:val="22"/>
              </w:rPr>
              <w:t xml:space="preserve">LS </w:t>
            </w:r>
          </w:p>
        </w:tc>
        <w:tc>
          <w:tcPr>
            <w:tcW w:w="3792" w:type="pct"/>
          </w:tcPr>
          <w:p w14:paraId="7D6AAD20" w14:textId="37BA6ADB"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Least square </w:t>
            </w:r>
          </w:p>
        </w:tc>
      </w:tr>
      <w:tr w:rsidR="00F1607B" w:rsidRPr="00D01DDB" w14:paraId="47B99D53"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B807331" w14:textId="36D544C2" w:rsidR="00F1607B" w:rsidRPr="00F1607B" w:rsidRDefault="00F1607B" w:rsidP="00F1607B">
            <w:pPr>
              <w:rPr>
                <w:rFonts w:cs="Cambria"/>
                <w:szCs w:val="22"/>
              </w:rPr>
            </w:pPr>
            <w:r w:rsidRPr="00F1607B">
              <w:rPr>
                <w:rFonts w:cs="Cambria"/>
                <w:szCs w:val="22"/>
              </w:rPr>
              <w:t xml:space="preserve">LVEF </w:t>
            </w:r>
          </w:p>
        </w:tc>
        <w:tc>
          <w:tcPr>
            <w:tcW w:w="3792" w:type="pct"/>
          </w:tcPr>
          <w:p w14:paraId="49CFE60F" w14:textId="2EBB8485"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Left ventricular ejection fraction </w:t>
            </w:r>
          </w:p>
        </w:tc>
      </w:tr>
      <w:tr w:rsidR="00F1607B" w:rsidRPr="00D01DDB" w14:paraId="6335996E"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C416A1A" w14:textId="1A4BF119" w:rsidR="00F1607B" w:rsidRPr="00F1607B" w:rsidRDefault="00F1607B" w:rsidP="00F1607B">
            <w:pPr>
              <w:rPr>
                <w:rFonts w:cs="Cambria"/>
                <w:szCs w:val="22"/>
              </w:rPr>
            </w:pPr>
            <w:r w:rsidRPr="00F1607B">
              <w:rPr>
                <w:rFonts w:cs="Cambria"/>
                <w:szCs w:val="22"/>
              </w:rPr>
              <w:t xml:space="preserve">MATE1 </w:t>
            </w:r>
          </w:p>
        </w:tc>
        <w:tc>
          <w:tcPr>
            <w:tcW w:w="3792" w:type="pct"/>
          </w:tcPr>
          <w:p w14:paraId="749069BE" w14:textId="6E6D0147"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Multidrug and toxin extrusion protein 1 </w:t>
            </w:r>
          </w:p>
        </w:tc>
      </w:tr>
      <w:tr w:rsidR="00F1607B" w:rsidRPr="00D01DDB" w14:paraId="2A9FE372"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8B105ED" w14:textId="52E54822" w:rsidR="00F1607B" w:rsidRPr="00F1607B" w:rsidRDefault="00F1607B" w:rsidP="00F1607B">
            <w:pPr>
              <w:rPr>
                <w:rFonts w:cs="Cambria"/>
                <w:szCs w:val="22"/>
              </w:rPr>
            </w:pPr>
            <w:r w:rsidRPr="00F1607B">
              <w:rPr>
                <w:rFonts w:cs="Cambria"/>
                <w:szCs w:val="22"/>
              </w:rPr>
              <w:t xml:space="preserve">MATE2K </w:t>
            </w:r>
          </w:p>
        </w:tc>
        <w:tc>
          <w:tcPr>
            <w:tcW w:w="3792" w:type="pct"/>
          </w:tcPr>
          <w:p w14:paraId="4A3D3ED2" w14:textId="410D1146"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Multidrug and toxin extrusion protein 2K </w:t>
            </w:r>
          </w:p>
        </w:tc>
      </w:tr>
      <w:tr w:rsidR="00F1607B" w:rsidRPr="00D01DDB" w14:paraId="4C7E1680"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1CEBE6E" w14:textId="1C3214A7" w:rsidR="00F1607B" w:rsidRPr="00F1607B" w:rsidRDefault="00F1607B" w:rsidP="00F1607B">
            <w:pPr>
              <w:rPr>
                <w:rFonts w:cs="Cambria"/>
                <w:szCs w:val="22"/>
              </w:rPr>
            </w:pPr>
            <w:r w:rsidRPr="00F1607B">
              <w:rPr>
                <w:rFonts w:cs="Cambria"/>
                <w:szCs w:val="22"/>
              </w:rPr>
              <w:t xml:space="preserve">Max </w:t>
            </w:r>
          </w:p>
        </w:tc>
        <w:tc>
          <w:tcPr>
            <w:tcW w:w="3792" w:type="pct"/>
          </w:tcPr>
          <w:p w14:paraId="636C4ACA" w14:textId="484F1093"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Maximum </w:t>
            </w:r>
          </w:p>
        </w:tc>
      </w:tr>
      <w:tr w:rsidR="00F1607B" w:rsidRPr="00D01DDB" w14:paraId="058AB43F"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6192C34" w14:textId="35318FDB" w:rsidR="00F1607B" w:rsidRPr="00F1607B" w:rsidRDefault="00F1607B" w:rsidP="00F1607B">
            <w:pPr>
              <w:rPr>
                <w:rFonts w:cs="Cambria"/>
                <w:szCs w:val="22"/>
              </w:rPr>
            </w:pPr>
            <w:r w:rsidRPr="00F1607B">
              <w:rPr>
                <w:rFonts w:cs="Cambria"/>
                <w:szCs w:val="22"/>
              </w:rPr>
              <w:t xml:space="preserve">MedDRA </w:t>
            </w:r>
          </w:p>
        </w:tc>
        <w:tc>
          <w:tcPr>
            <w:tcW w:w="3792" w:type="pct"/>
          </w:tcPr>
          <w:p w14:paraId="1EC1A2AE" w14:textId="49689C86"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Medical Dictionary for Regulatory Activities </w:t>
            </w:r>
          </w:p>
        </w:tc>
      </w:tr>
      <w:tr w:rsidR="00F1607B" w:rsidRPr="00D01DDB" w14:paraId="24E0F8C6"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4962E87" w14:textId="65B49C58" w:rsidR="00F1607B" w:rsidRPr="00F1607B" w:rsidRDefault="00F1607B" w:rsidP="00F1607B">
            <w:pPr>
              <w:rPr>
                <w:rFonts w:cs="Cambria"/>
                <w:szCs w:val="22"/>
              </w:rPr>
            </w:pPr>
            <w:r w:rsidRPr="00F1607B">
              <w:rPr>
                <w:rFonts w:cs="Cambria"/>
                <w:szCs w:val="22"/>
              </w:rPr>
              <w:t xml:space="preserve">Min </w:t>
            </w:r>
          </w:p>
        </w:tc>
        <w:tc>
          <w:tcPr>
            <w:tcW w:w="3792" w:type="pct"/>
          </w:tcPr>
          <w:p w14:paraId="1083A1C0" w14:textId="5CDEC2B2"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Minimum </w:t>
            </w:r>
          </w:p>
        </w:tc>
      </w:tr>
      <w:tr w:rsidR="00F1607B" w:rsidRPr="00D01DDB" w14:paraId="2B753D8D"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9736384" w14:textId="4BC71407" w:rsidR="00F1607B" w:rsidRPr="00F1607B" w:rsidRDefault="00F1607B" w:rsidP="00F1607B">
            <w:pPr>
              <w:rPr>
                <w:rFonts w:cs="Cambria"/>
                <w:szCs w:val="22"/>
              </w:rPr>
            </w:pPr>
            <w:r w:rsidRPr="00F1607B">
              <w:rPr>
                <w:rFonts w:cs="Cambria"/>
                <w:szCs w:val="22"/>
              </w:rPr>
              <w:t xml:space="preserve">MMRM </w:t>
            </w:r>
          </w:p>
        </w:tc>
        <w:tc>
          <w:tcPr>
            <w:tcW w:w="3792" w:type="pct"/>
          </w:tcPr>
          <w:p w14:paraId="0ABDB92A" w14:textId="2F582729"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Mixed </w:t>
            </w:r>
            <w:proofErr w:type="gramStart"/>
            <w:r w:rsidRPr="00F1607B">
              <w:rPr>
                <w:rFonts w:cs="Cambria"/>
                <w:szCs w:val="22"/>
              </w:rPr>
              <w:t>model</w:t>
            </w:r>
            <w:proofErr w:type="gramEnd"/>
            <w:r w:rsidRPr="00F1607B">
              <w:rPr>
                <w:rFonts w:cs="Cambria"/>
                <w:szCs w:val="22"/>
              </w:rPr>
              <w:t xml:space="preserve"> repeat measures </w:t>
            </w:r>
          </w:p>
        </w:tc>
      </w:tr>
      <w:tr w:rsidR="00F1607B" w:rsidRPr="00D01DDB" w14:paraId="7889ECC0"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CF726CC" w14:textId="5E4C852C" w:rsidR="00F1607B" w:rsidRPr="00F1607B" w:rsidRDefault="00F1607B" w:rsidP="00F1607B">
            <w:pPr>
              <w:rPr>
                <w:rFonts w:cs="Cambria"/>
                <w:szCs w:val="22"/>
              </w:rPr>
            </w:pPr>
            <w:r w:rsidRPr="00F1607B">
              <w:rPr>
                <w:rFonts w:cs="Cambria"/>
                <w:szCs w:val="22"/>
              </w:rPr>
              <w:t xml:space="preserve">MRI </w:t>
            </w:r>
          </w:p>
        </w:tc>
        <w:tc>
          <w:tcPr>
            <w:tcW w:w="3792" w:type="pct"/>
          </w:tcPr>
          <w:p w14:paraId="509829D7" w14:textId="389DD9E7"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Magnetic resonance imaging </w:t>
            </w:r>
          </w:p>
        </w:tc>
      </w:tr>
      <w:tr w:rsidR="00F1607B" w:rsidRPr="00D01DDB" w14:paraId="3BEEC587"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130602D" w14:textId="521CAE6C" w:rsidR="00F1607B" w:rsidRPr="00F1607B" w:rsidRDefault="00F1607B" w:rsidP="00F1607B">
            <w:pPr>
              <w:rPr>
                <w:rFonts w:cs="Cambria"/>
                <w:szCs w:val="22"/>
              </w:rPr>
            </w:pPr>
            <w:r w:rsidRPr="00F1607B">
              <w:rPr>
                <w:rFonts w:cs="Cambria"/>
                <w:szCs w:val="22"/>
              </w:rPr>
              <w:t xml:space="preserve">MS </w:t>
            </w:r>
          </w:p>
        </w:tc>
        <w:tc>
          <w:tcPr>
            <w:tcW w:w="3792" w:type="pct"/>
          </w:tcPr>
          <w:p w14:paraId="57E65F9C" w14:textId="315C5208"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Modelling and simulation </w:t>
            </w:r>
          </w:p>
        </w:tc>
      </w:tr>
      <w:tr w:rsidR="00F1607B" w:rsidRPr="00D01DDB" w14:paraId="0D0E6CEE"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1559246" w14:textId="7D7593A4" w:rsidR="00F1607B" w:rsidRPr="00F1607B" w:rsidRDefault="00F1607B" w:rsidP="00F1607B">
            <w:pPr>
              <w:rPr>
                <w:rFonts w:cs="Cambria"/>
                <w:szCs w:val="22"/>
              </w:rPr>
            </w:pPr>
            <w:r w:rsidRPr="00F1607B">
              <w:rPr>
                <w:rFonts w:cs="Cambria"/>
                <w:szCs w:val="22"/>
              </w:rPr>
              <w:t xml:space="preserve">MTD </w:t>
            </w:r>
          </w:p>
        </w:tc>
        <w:tc>
          <w:tcPr>
            <w:tcW w:w="3792" w:type="pct"/>
          </w:tcPr>
          <w:p w14:paraId="4AD94A91" w14:textId="22ADE8BA"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Maximum tolerated dose </w:t>
            </w:r>
          </w:p>
        </w:tc>
      </w:tr>
      <w:tr w:rsidR="00F1607B" w:rsidRPr="00D01DDB" w14:paraId="5D84B272"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40CB46C" w14:textId="46BEA65E" w:rsidR="00F1607B" w:rsidRPr="00F1607B" w:rsidRDefault="00F1607B" w:rsidP="00F1607B">
            <w:pPr>
              <w:rPr>
                <w:rFonts w:cs="Cambria"/>
                <w:szCs w:val="22"/>
              </w:rPr>
            </w:pPr>
            <w:r w:rsidRPr="00F1607B">
              <w:rPr>
                <w:rFonts w:cs="Cambria"/>
                <w:szCs w:val="22"/>
              </w:rPr>
              <w:t xml:space="preserve">mTOR </w:t>
            </w:r>
          </w:p>
        </w:tc>
        <w:tc>
          <w:tcPr>
            <w:tcW w:w="3792" w:type="pct"/>
          </w:tcPr>
          <w:p w14:paraId="36726475" w14:textId="1B012DA8"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Mammalian target of rapamycin </w:t>
            </w:r>
          </w:p>
        </w:tc>
      </w:tr>
      <w:tr w:rsidR="00F1607B" w:rsidRPr="00D01DDB" w14:paraId="7EE92AB2"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A2BCD56" w14:textId="5217E43A" w:rsidR="00F1607B" w:rsidRPr="00F1607B" w:rsidRDefault="00F1607B" w:rsidP="00F1607B">
            <w:pPr>
              <w:rPr>
                <w:rFonts w:cs="Cambria"/>
                <w:szCs w:val="22"/>
              </w:rPr>
            </w:pPr>
            <w:r w:rsidRPr="00F1607B">
              <w:rPr>
                <w:rFonts w:cs="Cambria"/>
                <w:szCs w:val="22"/>
              </w:rPr>
              <w:t xml:space="preserve">MTP </w:t>
            </w:r>
          </w:p>
        </w:tc>
        <w:tc>
          <w:tcPr>
            <w:tcW w:w="3792" w:type="pct"/>
          </w:tcPr>
          <w:p w14:paraId="7D714ECE" w14:textId="799B5EC2"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Multiple testing procedure </w:t>
            </w:r>
          </w:p>
        </w:tc>
      </w:tr>
      <w:tr w:rsidR="00F1607B" w:rsidRPr="00D01DDB" w14:paraId="267768E7"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7CE7DBF" w14:textId="4E001CB1" w:rsidR="00F1607B" w:rsidRPr="00F1607B" w:rsidRDefault="00F1607B" w:rsidP="00F1607B">
            <w:pPr>
              <w:rPr>
                <w:rFonts w:cs="Cambria"/>
                <w:szCs w:val="22"/>
              </w:rPr>
            </w:pPr>
            <w:r w:rsidRPr="00F1607B">
              <w:rPr>
                <w:rFonts w:cs="Cambria"/>
                <w:szCs w:val="22"/>
              </w:rPr>
              <w:t xml:space="preserve">MUGA </w:t>
            </w:r>
          </w:p>
        </w:tc>
        <w:tc>
          <w:tcPr>
            <w:tcW w:w="3792" w:type="pct"/>
          </w:tcPr>
          <w:p w14:paraId="07BADB30" w14:textId="755983AC"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Multiple gated acquisition (scan) </w:t>
            </w:r>
          </w:p>
        </w:tc>
      </w:tr>
      <w:tr w:rsidR="00F1607B" w:rsidRPr="00D01DDB" w14:paraId="36CDEA1C"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3689143" w14:textId="149AFDD4" w:rsidR="00F1607B" w:rsidRPr="00F1607B" w:rsidRDefault="00F1607B" w:rsidP="00F1607B">
            <w:pPr>
              <w:rPr>
                <w:rFonts w:cs="Cambria"/>
                <w:szCs w:val="22"/>
              </w:rPr>
            </w:pPr>
            <w:r w:rsidRPr="00F1607B">
              <w:rPr>
                <w:rFonts w:cs="Cambria"/>
                <w:szCs w:val="22"/>
              </w:rPr>
              <w:t xml:space="preserve">NA </w:t>
            </w:r>
          </w:p>
        </w:tc>
        <w:tc>
          <w:tcPr>
            <w:tcW w:w="3792" w:type="pct"/>
          </w:tcPr>
          <w:p w14:paraId="6D998D48" w14:textId="190876B3"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Not applicable </w:t>
            </w:r>
          </w:p>
        </w:tc>
      </w:tr>
      <w:tr w:rsidR="00F1607B" w:rsidRPr="00D01DDB" w14:paraId="7C66B52C"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7B83C72" w14:textId="0B415944" w:rsidR="00F1607B" w:rsidRPr="00F1607B" w:rsidRDefault="00F1607B" w:rsidP="00F1607B">
            <w:pPr>
              <w:rPr>
                <w:rFonts w:cs="Cambria"/>
                <w:szCs w:val="22"/>
              </w:rPr>
            </w:pPr>
            <w:r w:rsidRPr="00F1607B">
              <w:rPr>
                <w:rFonts w:cs="Cambria"/>
                <w:szCs w:val="22"/>
              </w:rPr>
              <w:t xml:space="preserve">NC </w:t>
            </w:r>
          </w:p>
        </w:tc>
        <w:tc>
          <w:tcPr>
            <w:tcW w:w="3792" w:type="pct"/>
          </w:tcPr>
          <w:p w14:paraId="01F3ADFF" w14:textId="650A4F0E"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Not calculable </w:t>
            </w:r>
          </w:p>
        </w:tc>
      </w:tr>
      <w:tr w:rsidR="00F1607B" w:rsidRPr="00D01DDB" w14:paraId="09B8FD46"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801C4B5" w14:textId="18D92AD8" w:rsidR="00F1607B" w:rsidRPr="00F1607B" w:rsidRDefault="00F1607B" w:rsidP="00F1607B">
            <w:pPr>
              <w:rPr>
                <w:rFonts w:cs="Cambria"/>
                <w:szCs w:val="22"/>
              </w:rPr>
            </w:pPr>
            <w:r w:rsidRPr="00F1607B">
              <w:rPr>
                <w:rFonts w:cs="Cambria"/>
                <w:szCs w:val="22"/>
              </w:rPr>
              <w:t xml:space="preserve">NCCN </w:t>
            </w:r>
          </w:p>
        </w:tc>
        <w:tc>
          <w:tcPr>
            <w:tcW w:w="3792" w:type="pct"/>
          </w:tcPr>
          <w:p w14:paraId="56E42700" w14:textId="5E4D4DB9" w:rsidR="00F1607B" w:rsidRPr="00F1607B" w:rsidRDefault="00F1607B" w:rsidP="00F1607B">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National Comprehensive Cancer Network </w:t>
            </w:r>
          </w:p>
        </w:tc>
      </w:tr>
      <w:tr w:rsidR="001C1D4A" w:rsidRPr="00D01DDB" w14:paraId="7BECB2CE"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DFCEE80" w14:textId="60F41BFA" w:rsidR="001C1D4A" w:rsidRPr="00F1607B" w:rsidRDefault="001C1D4A" w:rsidP="001C1D4A">
            <w:pPr>
              <w:rPr>
                <w:rFonts w:cs="Cambria"/>
                <w:szCs w:val="22"/>
              </w:rPr>
            </w:pPr>
            <w:r w:rsidRPr="001C1D4A">
              <w:rPr>
                <w:rFonts w:cs="Cambria"/>
                <w:szCs w:val="22"/>
              </w:rPr>
              <w:t xml:space="preserve">NE </w:t>
            </w:r>
          </w:p>
        </w:tc>
        <w:tc>
          <w:tcPr>
            <w:tcW w:w="3792" w:type="pct"/>
          </w:tcPr>
          <w:p w14:paraId="3B5661A4" w14:textId="0FE23431" w:rsidR="001C1D4A" w:rsidRPr="00F1607B"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Not evaluable </w:t>
            </w:r>
          </w:p>
        </w:tc>
      </w:tr>
      <w:tr w:rsidR="001C1D4A" w:rsidRPr="00D01DDB" w14:paraId="17AC33FE"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289FE25" w14:textId="73F904A1" w:rsidR="001C1D4A" w:rsidRPr="00F1607B" w:rsidRDefault="001C1D4A" w:rsidP="001C1D4A">
            <w:pPr>
              <w:rPr>
                <w:rFonts w:cs="Cambria"/>
                <w:szCs w:val="22"/>
              </w:rPr>
            </w:pPr>
            <w:r w:rsidRPr="001C1D4A">
              <w:rPr>
                <w:rFonts w:cs="Cambria"/>
                <w:szCs w:val="22"/>
              </w:rPr>
              <w:t xml:space="preserve">NGS </w:t>
            </w:r>
          </w:p>
        </w:tc>
        <w:tc>
          <w:tcPr>
            <w:tcW w:w="3792" w:type="pct"/>
          </w:tcPr>
          <w:p w14:paraId="52E78A29" w14:textId="3333839C" w:rsidR="001C1D4A" w:rsidRPr="00F1607B"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Next-generation sequencing </w:t>
            </w:r>
          </w:p>
        </w:tc>
      </w:tr>
      <w:tr w:rsidR="001C1D4A" w:rsidRPr="00D01DDB" w14:paraId="5A317E01"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0AD4362" w14:textId="5A4CB988" w:rsidR="001C1D4A" w:rsidRPr="00F1607B" w:rsidRDefault="001C1D4A" w:rsidP="001C1D4A">
            <w:pPr>
              <w:rPr>
                <w:rFonts w:cs="Cambria"/>
                <w:szCs w:val="22"/>
              </w:rPr>
            </w:pPr>
            <w:r w:rsidRPr="001C1D4A">
              <w:rPr>
                <w:rFonts w:cs="Cambria"/>
                <w:szCs w:val="22"/>
              </w:rPr>
              <w:t xml:space="preserve">NTD </w:t>
            </w:r>
          </w:p>
        </w:tc>
        <w:tc>
          <w:tcPr>
            <w:tcW w:w="3792" w:type="pct"/>
          </w:tcPr>
          <w:p w14:paraId="71FEE203" w14:textId="4C7689A5" w:rsidR="001C1D4A" w:rsidRPr="00F1607B"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Non-tolerated dose </w:t>
            </w:r>
          </w:p>
        </w:tc>
      </w:tr>
      <w:tr w:rsidR="001C1D4A" w:rsidRPr="00D01DDB" w14:paraId="4AACBC9D"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229D992" w14:textId="5FCCA2C2" w:rsidR="001C1D4A" w:rsidRPr="001C1D4A" w:rsidRDefault="001C1D4A" w:rsidP="001C1D4A">
            <w:pPr>
              <w:rPr>
                <w:rFonts w:cs="Cambria"/>
                <w:szCs w:val="22"/>
              </w:rPr>
            </w:pPr>
            <w:r w:rsidRPr="001C1D4A">
              <w:rPr>
                <w:rFonts w:cs="Cambria"/>
                <w:szCs w:val="22"/>
              </w:rPr>
              <w:t xml:space="preserve">NR </w:t>
            </w:r>
          </w:p>
        </w:tc>
        <w:tc>
          <w:tcPr>
            <w:tcW w:w="3792" w:type="pct"/>
          </w:tcPr>
          <w:p w14:paraId="0A8C7D39" w14:textId="488CD081"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Not reported </w:t>
            </w:r>
          </w:p>
        </w:tc>
      </w:tr>
      <w:tr w:rsidR="001C1D4A" w:rsidRPr="00D01DDB" w14:paraId="3BB49545"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D29FEC2" w14:textId="19CF4B2A" w:rsidR="001C1D4A" w:rsidRPr="001C1D4A" w:rsidRDefault="001C1D4A" w:rsidP="001C1D4A">
            <w:pPr>
              <w:rPr>
                <w:rFonts w:cs="Cambria"/>
                <w:szCs w:val="22"/>
              </w:rPr>
            </w:pPr>
            <w:r w:rsidRPr="001C1D4A">
              <w:rPr>
                <w:rFonts w:cs="Cambria"/>
                <w:szCs w:val="22"/>
              </w:rPr>
              <w:t xml:space="preserve">NTL </w:t>
            </w:r>
          </w:p>
        </w:tc>
        <w:tc>
          <w:tcPr>
            <w:tcW w:w="3792" w:type="pct"/>
          </w:tcPr>
          <w:p w14:paraId="0F1F3803" w14:textId="40834E98"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Non target lesion </w:t>
            </w:r>
          </w:p>
        </w:tc>
      </w:tr>
      <w:tr w:rsidR="001C1D4A" w:rsidRPr="00D01DDB" w14:paraId="4BDAFA00"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8FECDE5" w14:textId="2AB5B25C" w:rsidR="001C1D4A" w:rsidRPr="001C1D4A" w:rsidRDefault="001C1D4A" w:rsidP="001C1D4A">
            <w:pPr>
              <w:rPr>
                <w:rFonts w:cs="Cambria"/>
                <w:szCs w:val="22"/>
              </w:rPr>
            </w:pPr>
            <w:r w:rsidRPr="001C1D4A">
              <w:rPr>
                <w:rFonts w:cs="Cambria"/>
                <w:szCs w:val="22"/>
              </w:rPr>
              <w:t xml:space="preserve">NMPA </w:t>
            </w:r>
          </w:p>
        </w:tc>
        <w:tc>
          <w:tcPr>
            <w:tcW w:w="3792" w:type="pct"/>
          </w:tcPr>
          <w:p w14:paraId="222DA335" w14:textId="17883D87"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National Medical Product Administration </w:t>
            </w:r>
          </w:p>
        </w:tc>
      </w:tr>
      <w:tr w:rsidR="001C1D4A" w:rsidRPr="00D01DDB" w14:paraId="61F58D6B"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5D24B53" w14:textId="243F3723" w:rsidR="001C1D4A" w:rsidRPr="001C1D4A" w:rsidRDefault="001C1D4A" w:rsidP="001C1D4A">
            <w:pPr>
              <w:rPr>
                <w:rFonts w:cs="Cambria"/>
                <w:szCs w:val="22"/>
              </w:rPr>
            </w:pPr>
            <w:r w:rsidRPr="001C1D4A">
              <w:rPr>
                <w:rFonts w:cs="Cambria"/>
                <w:szCs w:val="22"/>
              </w:rPr>
              <w:t xml:space="preserve">NONMEM </w:t>
            </w:r>
          </w:p>
        </w:tc>
        <w:tc>
          <w:tcPr>
            <w:tcW w:w="3792" w:type="pct"/>
          </w:tcPr>
          <w:p w14:paraId="4FA0AC0F" w14:textId="2832F775"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Nonlinear mixed effects modelling </w:t>
            </w:r>
          </w:p>
        </w:tc>
      </w:tr>
      <w:tr w:rsidR="001C1D4A" w:rsidRPr="00D01DDB" w14:paraId="61BC357F"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7B41155" w14:textId="0C5D20F5" w:rsidR="001C1D4A" w:rsidRPr="001C1D4A" w:rsidRDefault="001C1D4A" w:rsidP="001C1D4A">
            <w:pPr>
              <w:rPr>
                <w:rFonts w:cs="Cambria"/>
                <w:szCs w:val="22"/>
              </w:rPr>
            </w:pPr>
            <w:r w:rsidRPr="001C1D4A">
              <w:rPr>
                <w:rFonts w:cs="Cambria"/>
                <w:szCs w:val="22"/>
              </w:rPr>
              <w:t xml:space="preserve">NPDE </w:t>
            </w:r>
          </w:p>
        </w:tc>
        <w:tc>
          <w:tcPr>
            <w:tcW w:w="3792" w:type="pct"/>
          </w:tcPr>
          <w:p w14:paraId="5209EC54" w14:textId="6BC605FB"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Normalised prediction distribution error </w:t>
            </w:r>
          </w:p>
        </w:tc>
      </w:tr>
      <w:tr w:rsidR="001C1D4A" w:rsidRPr="00D01DDB" w14:paraId="7CA0EEE4"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ABF7B94" w14:textId="44F9A3BA" w:rsidR="001C1D4A" w:rsidRPr="001C1D4A" w:rsidRDefault="001C1D4A" w:rsidP="001C1D4A">
            <w:pPr>
              <w:rPr>
                <w:rFonts w:cs="Cambria"/>
                <w:szCs w:val="22"/>
              </w:rPr>
            </w:pPr>
            <w:r w:rsidRPr="001C1D4A">
              <w:rPr>
                <w:rFonts w:cs="Cambria"/>
                <w:szCs w:val="22"/>
              </w:rPr>
              <w:t xml:space="preserve">NYHA </w:t>
            </w:r>
          </w:p>
        </w:tc>
        <w:tc>
          <w:tcPr>
            <w:tcW w:w="3792" w:type="pct"/>
          </w:tcPr>
          <w:p w14:paraId="2EF4B3C2" w14:textId="380AFD00"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New York Heart Association </w:t>
            </w:r>
          </w:p>
        </w:tc>
      </w:tr>
      <w:tr w:rsidR="001C1D4A" w:rsidRPr="00D01DDB" w14:paraId="5B838A7E"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6D597B7" w14:textId="6064EC72" w:rsidR="001C1D4A" w:rsidRPr="001C1D4A" w:rsidRDefault="001C1D4A" w:rsidP="001C1D4A">
            <w:pPr>
              <w:rPr>
                <w:rFonts w:cs="Cambria"/>
                <w:szCs w:val="22"/>
              </w:rPr>
            </w:pPr>
            <w:r w:rsidRPr="001C1D4A">
              <w:rPr>
                <w:rFonts w:cs="Cambria"/>
                <w:szCs w:val="22"/>
              </w:rPr>
              <w:t xml:space="preserve">OCT2 </w:t>
            </w:r>
          </w:p>
        </w:tc>
        <w:tc>
          <w:tcPr>
            <w:tcW w:w="3792" w:type="pct"/>
          </w:tcPr>
          <w:p w14:paraId="3B2A296A" w14:textId="1ACFC81A"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Organic cation transporter 2 </w:t>
            </w:r>
          </w:p>
        </w:tc>
      </w:tr>
      <w:tr w:rsidR="001C1D4A" w:rsidRPr="00D01DDB" w14:paraId="7A59DB28"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25DF9EF" w14:textId="64398D0F" w:rsidR="001C1D4A" w:rsidRPr="001C1D4A" w:rsidRDefault="001C1D4A" w:rsidP="001C1D4A">
            <w:pPr>
              <w:rPr>
                <w:rFonts w:cs="Cambria"/>
                <w:szCs w:val="22"/>
              </w:rPr>
            </w:pPr>
            <w:r w:rsidRPr="001C1D4A">
              <w:rPr>
                <w:rFonts w:cs="Cambria"/>
                <w:szCs w:val="22"/>
              </w:rPr>
              <w:t xml:space="preserve">OFV </w:t>
            </w:r>
          </w:p>
        </w:tc>
        <w:tc>
          <w:tcPr>
            <w:tcW w:w="3792" w:type="pct"/>
          </w:tcPr>
          <w:p w14:paraId="2A4A2AD4" w14:textId="0EE55849"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Objective function value </w:t>
            </w:r>
          </w:p>
        </w:tc>
      </w:tr>
      <w:tr w:rsidR="001C1D4A" w:rsidRPr="00D01DDB" w14:paraId="68586407"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BC8B745" w14:textId="22023DFB" w:rsidR="001C1D4A" w:rsidRPr="001C1D4A" w:rsidRDefault="001C1D4A" w:rsidP="001C1D4A">
            <w:pPr>
              <w:rPr>
                <w:rFonts w:cs="Cambria"/>
                <w:szCs w:val="22"/>
              </w:rPr>
            </w:pPr>
            <w:r w:rsidRPr="001C1D4A">
              <w:rPr>
                <w:rFonts w:cs="Cambria"/>
                <w:szCs w:val="22"/>
              </w:rPr>
              <w:t xml:space="preserve">ORR </w:t>
            </w:r>
          </w:p>
        </w:tc>
        <w:tc>
          <w:tcPr>
            <w:tcW w:w="3792" w:type="pct"/>
          </w:tcPr>
          <w:p w14:paraId="7E2B90A1" w14:textId="4B108D11"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Objective response rate </w:t>
            </w:r>
          </w:p>
        </w:tc>
      </w:tr>
      <w:tr w:rsidR="001C1D4A" w:rsidRPr="00D01DDB" w14:paraId="4E48633B"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50BC86B" w14:textId="4A13A1C1" w:rsidR="001C1D4A" w:rsidRPr="001C1D4A" w:rsidRDefault="001C1D4A" w:rsidP="001C1D4A">
            <w:pPr>
              <w:rPr>
                <w:rFonts w:cs="Cambria"/>
                <w:szCs w:val="22"/>
              </w:rPr>
            </w:pPr>
            <w:r w:rsidRPr="001C1D4A">
              <w:rPr>
                <w:rFonts w:cs="Cambria"/>
                <w:szCs w:val="22"/>
              </w:rPr>
              <w:t xml:space="preserve">OS </w:t>
            </w:r>
          </w:p>
        </w:tc>
        <w:tc>
          <w:tcPr>
            <w:tcW w:w="3792" w:type="pct"/>
          </w:tcPr>
          <w:p w14:paraId="2014853E" w14:textId="6E31425A"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Overall survival </w:t>
            </w:r>
          </w:p>
        </w:tc>
      </w:tr>
      <w:tr w:rsidR="001C1D4A" w:rsidRPr="00D01DDB" w14:paraId="35A9F3E3"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E31688E" w14:textId="53FE198A" w:rsidR="001C1D4A" w:rsidRPr="001C1D4A" w:rsidRDefault="001C1D4A" w:rsidP="001C1D4A">
            <w:pPr>
              <w:rPr>
                <w:rFonts w:cs="Cambria"/>
                <w:szCs w:val="22"/>
              </w:rPr>
            </w:pPr>
            <w:proofErr w:type="spellStart"/>
            <w:r w:rsidRPr="001C1D4A">
              <w:rPr>
                <w:rFonts w:cs="Cambria"/>
                <w:szCs w:val="22"/>
              </w:rPr>
              <w:lastRenderedPageBreak/>
              <w:t>pAKT</w:t>
            </w:r>
            <w:proofErr w:type="spellEnd"/>
            <w:r w:rsidRPr="001C1D4A">
              <w:rPr>
                <w:rFonts w:cs="Cambria"/>
                <w:szCs w:val="22"/>
              </w:rPr>
              <w:t xml:space="preserve"> </w:t>
            </w:r>
          </w:p>
        </w:tc>
        <w:tc>
          <w:tcPr>
            <w:tcW w:w="3792" w:type="pct"/>
          </w:tcPr>
          <w:p w14:paraId="48851CAD" w14:textId="5626A750"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Phosphorylated AKT </w:t>
            </w:r>
          </w:p>
        </w:tc>
      </w:tr>
      <w:tr w:rsidR="001C1D4A" w:rsidRPr="00D01DDB" w14:paraId="6BC0349C"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3EF1073" w14:textId="47AF41E0" w:rsidR="001C1D4A" w:rsidRPr="001C1D4A" w:rsidRDefault="001C1D4A" w:rsidP="001C1D4A">
            <w:pPr>
              <w:rPr>
                <w:rFonts w:cs="Cambria"/>
                <w:szCs w:val="22"/>
              </w:rPr>
            </w:pPr>
            <w:r w:rsidRPr="001C1D4A">
              <w:rPr>
                <w:rFonts w:cs="Cambria"/>
                <w:szCs w:val="22"/>
              </w:rPr>
              <w:t xml:space="preserve">PARP </w:t>
            </w:r>
          </w:p>
        </w:tc>
        <w:tc>
          <w:tcPr>
            <w:tcW w:w="3792" w:type="pct"/>
          </w:tcPr>
          <w:p w14:paraId="0556BDE9" w14:textId="297F1C4C"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Poly (ADP-ribose) polymerase </w:t>
            </w:r>
          </w:p>
        </w:tc>
      </w:tr>
      <w:tr w:rsidR="001C1D4A" w:rsidRPr="00D01DDB" w14:paraId="696EFED9"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14C5304" w14:textId="6233AF02" w:rsidR="001C1D4A" w:rsidRPr="001C1D4A" w:rsidRDefault="001C1D4A" w:rsidP="001C1D4A">
            <w:pPr>
              <w:rPr>
                <w:rFonts w:cs="Cambria"/>
                <w:szCs w:val="22"/>
              </w:rPr>
            </w:pPr>
            <w:proofErr w:type="spellStart"/>
            <w:r w:rsidRPr="001C1D4A">
              <w:rPr>
                <w:rFonts w:cs="Cambria"/>
                <w:szCs w:val="22"/>
              </w:rPr>
              <w:t>pcVPC</w:t>
            </w:r>
            <w:proofErr w:type="spellEnd"/>
            <w:r w:rsidRPr="001C1D4A">
              <w:rPr>
                <w:rFonts w:cs="Cambria"/>
                <w:szCs w:val="22"/>
              </w:rPr>
              <w:t xml:space="preserve"> </w:t>
            </w:r>
          </w:p>
        </w:tc>
        <w:tc>
          <w:tcPr>
            <w:tcW w:w="3792" w:type="pct"/>
          </w:tcPr>
          <w:p w14:paraId="58199B7D" w14:textId="73CDDA4E"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Prediction corrected visual predictive check </w:t>
            </w:r>
          </w:p>
        </w:tc>
      </w:tr>
      <w:tr w:rsidR="001C1D4A" w:rsidRPr="00D01DDB" w14:paraId="3281C290"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1F5EBEA" w14:textId="3711D246" w:rsidR="001C1D4A" w:rsidRPr="001C1D4A" w:rsidRDefault="001C1D4A" w:rsidP="001C1D4A">
            <w:pPr>
              <w:rPr>
                <w:rFonts w:cs="Cambria"/>
                <w:szCs w:val="22"/>
              </w:rPr>
            </w:pPr>
            <w:r w:rsidRPr="001C1D4A">
              <w:rPr>
                <w:rFonts w:cs="Cambria"/>
                <w:szCs w:val="22"/>
              </w:rPr>
              <w:t xml:space="preserve">PD </w:t>
            </w:r>
          </w:p>
        </w:tc>
        <w:tc>
          <w:tcPr>
            <w:tcW w:w="3792" w:type="pct"/>
          </w:tcPr>
          <w:p w14:paraId="42683338" w14:textId="41BC979A"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Progressive disease </w:t>
            </w:r>
          </w:p>
        </w:tc>
      </w:tr>
      <w:tr w:rsidR="001C1D4A" w:rsidRPr="00D01DDB" w14:paraId="65CA371A"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B44DFCA" w14:textId="19B0C3CE" w:rsidR="001C1D4A" w:rsidRPr="001C1D4A" w:rsidRDefault="001C1D4A" w:rsidP="001C1D4A">
            <w:pPr>
              <w:rPr>
                <w:rFonts w:cs="Cambria"/>
                <w:szCs w:val="22"/>
              </w:rPr>
            </w:pPr>
            <w:r w:rsidRPr="001C1D4A">
              <w:rPr>
                <w:rFonts w:cs="Cambria"/>
                <w:szCs w:val="22"/>
              </w:rPr>
              <w:t xml:space="preserve">PD </w:t>
            </w:r>
          </w:p>
        </w:tc>
        <w:tc>
          <w:tcPr>
            <w:tcW w:w="3792" w:type="pct"/>
          </w:tcPr>
          <w:p w14:paraId="1C4A346F" w14:textId="2D5463C5"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Pharmacodynamic </w:t>
            </w:r>
          </w:p>
        </w:tc>
      </w:tr>
      <w:tr w:rsidR="001C1D4A" w:rsidRPr="00D01DDB" w14:paraId="48A8E874"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3FA9B28" w14:textId="12EA91D9" w:rsidR="001C1D4A" w:rsidRPr="001C1D4A" w:rsidRDefault="001C1D4A" w:rsidP="001C1D4A">
            <w:pPr>
              <w:rPr>
                <w:rFonts w:cs="Cambria"/>
                <w:szCs w:val="22"/>
              </w:rPr>
            </w:pPr>
            <w:r w:rsidRPr="001C1D4A">
              <w:rPr>
                <w:rFonts w:cs="Cambria"/>
                <w:szCs w:val="22"/>
              </w:rPr>
              <w:t xml:space="preserve">PDMP </w:t>
            </w:r>
          </w:p>
        </w:tc>
        <w:tc>
          <w:tcPr>
            <w:tcW w:w="3792" w:type="pct"/>
          </w:tcPr>
          <w:p w14:paraId="001F37B6" w14:textId="4BE9DC51"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Protocol Deviation Management Plan </w:t>
            </w:r>
          </w:p>
        </w:tc>
      </w:tr>
      <w:tr w:rsidR="001C1D4A" w:rsidRPr="00D01DDB" w14:paraId="640DE65E"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53BD5D0" w14:textId="044B8A6E" w:rsidR="001C1D4A" w:rsidRPr="001C1D4A" w:rsidRDefault="001C1D4A" w:rsidP="001C1D4A">
            <w:pPr>
              <w:rPr>
                <w:rFonts w:cs="Cambria"/>
                <w:szCs w:val="22"/>
              </w:rPr>
            </w:pPr>
            <w:r w:rsidRPr="001C1D4A">
              <w:rPr>
                <w:rFonts w:cs="Cambria"/>
                <w:szCs w:val="22"/>
              </w:rPr>
              <w:t xml:space="preserve">PFS </w:t>
            </w:r>
          </w:p>
        </w:tc>
        <w:tc>
          <w:tcPr>
            <w:tcW w:w="3792" w:type="pct"/>
          </w:tcPr>
          <w:p w14:paraId="538658EA" w14:textId="610A4F1D"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Progression free survival </w:t>
            </w:r>
          </w:p>
        </w:tc>
      </w:tr>
      <w:tr w:rsidR="001C1D4A" w:rsidRPr="00D01DDB" w14:paraId="4D757F98"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4129C81" w14:textId="2FACB765" w:rsidR="001C1D4A" w:rsidRPr="001C1D4A" w:rsidRDefault="001C1D4A" w:rsidP="001C1D4A">
            <w:pPr>
              <w:rPr>
                <w:rFonts w:cs="Cambria"/>
                <w:szCs w:val="22"/>
              </w:rPr>
            </w:pPr>
            <w:r w:rsidRPr="001C1D4A">
              <w:rPr>
                <w:rFonts w:cs="Cambria"/>
                <w:szCs w:val="22"/>
              </w:rPr>
              <w:t xml:space="preserve">PFS2 </w:t>
            </w:r>
          </w:p>
        </w:tc>
        <w:tc>
          <w:tcPr>
            <w:tcW w:w="3792" w:type="pct"/>
          </w:tcPr>
          <w:p w14:paraId="190AC6B3" w14:textId="10047AFB"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Time from randomisation to second progression or death </w:t>
            </w:r>
          </w:p>
        </w:tc>
      </w:tr>
      <w:tr w:rsidR="001C1D4A" w:rsidRPr="00D01DDB" w14:paraId="4216839B"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0743A96" w14:textId="74C3BBA1" w:rsidR="001C1D4A" w:rsidRPr="001C1D4A" w:rsidRDefault="001C1D4A" w:rsidP="001C1D4A">
            <w:pPr>
              <w:rPr>
                <w:rFonts w:cs="Cambria"/>
                <w:szCs w:val="22"/>
              </w:rPr>
            </w:pPr>
            <w:r w:rsidRPr="001C1D4A">
              <w:rPr>
                <w:rFonts w:cs="Cambria"/>
                <w:szCs w:val="22"/>
              </w:rPr>
              <w:t xml:space="preserve">PGI-TT </w:t>
            </w:r>
          </w:p>
        </w:tc>
        <w:tc>
          <w:tcPr>
            <w:tcW w:w="3792" w:type="pct"/>
          </w:tcPr>
          <w:p w14:paraId="25F84FB4" w14:textId="14020607"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Patient Global Impression-Treatment Tolerability </w:t>
            </w:r>
          </w:p>
        </w:tc>
      </w:tr>
      <w:tr w:rsidR="001C1D4A" w:rsidRPr="00D01DDB" w14:paraId="13D26FAE"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4753BAF" w14:textId="0B13126C" w:rsidR="001C1D4A" w:rsidRPr="001C1D4A" w:rsidRDefault="001C1D4A" w:rsidP="001C1D4A">
            <w:pPr>
              <w:rPr>
                <w:rFonts w:cs="Cambria"/>
                <w:szCs w:val="22"/>
              </w:rPr>
            </w:pPr>
            <w:r w:rsidRPr="001C1D4A">
              <w:rPr>
                <w:rFonts w:cs="Cambria"/>
                <w:szCs w:val="22"/>
              </w:rPr>
              <w:t xml:space="preserve">PGIC </w:t>
            </w:r>
          </w:p>
        </w:tc>
        <w:tc>
          <w:tcPr>
            <w:tcW w:w="3792" w:type="pct"/>
          </w:tcPr>
          <w:p w14:paraId="607F6F01" w14:textId="75B67327"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Patient Global Impression-Change </w:t>
            </w:r>
          </w:p>
        </w:tc>
      </w:tr>
      <w:tr w:rsidR="001C1D4A" w:rsidRPr="00D01DDB" w14:paraId="29692558"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5507CAA" w14:textId="41CA6381" w:rsidR="001C1D4A" w:rsidRPr="001C1D4A" w:rsidRDefault="001C1D4A" w:rsidP="001C1D4A">
            <w:pPr>
              <w:rPr>
                <w:rFonts w:cs="Cambria"/>
                <w:szCs w:val="22"/>
              </w:rPr>
            </w:pPr>
            <w:r w:rsidRPr="001C1D4A">
              <w:rPr>
                <w:rFonts w:cs="Cambria"/>
                <w:szCs w:val="22"/>
              </w:rPr>
              <w:t xml:space="preserve">PGIS </w:t>
            </w:r>
          </w:p>
        </w:tc>
        <w:tc>
          <w:tcPr>
            <w:tcW w:w="3792" w:type="pct"/>
          </w:tcPr>
          <w:p w14:paraId="5BCB82E3" w14:textId="0C583118"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Patient Global Impression-Severity </w:t>
            </w:r>
          </w:p>
        </w:tc>
      </w:tr>
      <w:tr w:rsidR="001C1D4A" w:rsidRPr="00D01DDB" w14:paraId="57B6C66C"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A0636EF" w14:textId="19E70E4E" w:rsidR="001C1D4A" w:rsidRPr="001C1D4A" w:rsidRDefault="001C1D4A" w:rsidP="001C1D4A">
            <w:pPr>
              <w:rPr>
                <w:rFonts w:cs="Cambria"/>
                <w:szCs w:val="22"/>
              </w:rPr>
            </w:pPr>
            <w:r w:rsidRPr="001C1D4A">
              <w:rPr>
                <w:rFonts w:cs="Cambria"/>
                <w:szCs w:val="22"/>
              </w:rPr>
              <w:t xml:space="preserve">PI </w:t>
            </w:r>
          </w:p>
        </w:tc>
        <w:tc>
          <w:tcPr>
            <w:tcW w:w="3792" w:type="pct"/>
          </w:tcPr>
          <w:p w14:paraId="0B7662BE" w14:textId="501C7D7C"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Principal Investigator </w:t>
            </w:r>
          </w:p>
        </w:tc>
      </w:tr>
      <w:tr w:rsidR="001C1D4A" w:rsidRPr="00D01DDB" w14:paraId="44AD1CEA"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DF176BF" w14:textId="36FD0456" w:rsidR="001C1D4A" w:rsidRPr="001C1D4A" w:rsidRDefault="001C1D4A" w:rsidP="001C1D4A">
            <w:pPr>
              <w:rPr>
                <w:rFonts w:cs="Cambria"/>
                <w:szCs w:val="22"/>
              </w:rPr>
            </w:pPr>
            <w:r w:rsidRPr="001C1D4A">
              <w:rPr>
                <w:rFonts w:cs="Cambria"/>
                <w:szCs w:val="22"/>
              </w:rPr>
              <w:t xml:space="preserve">PI3K </w:t>
            </w:r>
          </w:p>
        </w:tc>
        <w:tc>
          <w:tcPr>
            <w:tcW w:w="3792" w:type="pct"/>
          </w:tcPr>
          <w:p w14:paraId="63656A55" w14:textId="239C2FCF"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Phosphatidylinositol-3-kinase </w:t>
            </w:r>
          </w:p>
        </w:tc>
      </w:tr>
      <w:tr w:rsidR="001C1D4A" w:rsidRPr="00D01DDB" w14:paraId="6B319A1B"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138028D" w14:textId="39E2E680" w:rsidR="001C1D4A" w:rsidRPr="001C1D4A" w:rsidRDefault="001C1D4A" w:rsidP="001C1D4A">
            <w:pPr>
              <w:rPr>
                <w:rFonts w:cs="Cambria"/>
                <w:szCs w:val="22"/>
              </w:rPr>
            </w:pPr>
            <w:r w:rsidRPr="001C1D4A">
              <w:rPr>
                <w:rFonts w:cs="Cambria"/>
                <w:i/>
                <w:iCs/>
                <w:szCs w:val="22"/>
              </w:rPr>
              <w:t xml:space="preserve">PIK3CA </w:t>
            </w:r>
          </w:p>
        </w:tc>
        <w:tc>
          <w:tcPr>
            <w:tcW w:w="3792" w:type="pct"/>
          </w:tcPr>
          <w:p w14:paraId="7CC6A194" w14:textId="50B18F38"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Phosphatidylinositol-4.5-biphosphate 3-kinase catalytic subunit alpha (gene) </w:t>
            </w:r>
          </w:p>
        </w:tc>
      </w:tr>
      <w:tr w:rsidR="001C1D4A" w:rsidRPr="00D01DDB" w14:paraId="645B336F"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B7C6009" w14:textId="19D11812" w:rsidR="001C1D4A" w:rsidRPr="001C1D4A" w:rsidRDefault="001C1D4A" w:rsidP="001C1D4A">
            <w:pPr>
              <w:rPr>
                <w:rFonts w:cs="Cambria"/>
                <w:i/>
                <w:iCs/>
                <w:szCs w:val="22"/>
              </w:rPr>
            </w:pPr>
            <w:r w:rsidRPr="001C1D4A">
              <w:rPr>
                <w:rFonts w:cs="Cambria"/>
                <w:szCs w:val="22"/>
              </w:rPr>
              <w:t xml:space="preserve">PK </w:t>
            </w:r>
          </w:p>
        </w:tc>
        <w:tc>
          <w:tcPr>
            <w:tcW w:w="3792" w:type="pct"/>
          </w:tcPr>
          <w:p w14:paraId="1D7D20AC" w14:textId="05952FDA"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Pharmacokinetic </w:t>
            </w:r>
          </w:p>
        </w:tc>
      </w:tr>
      <w:tr w:rsidR="001C1D4A" w:rsidRPr="00D01DDB" w14:paraId="443DE284"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FC881EF" w14:textId="1527BB58" w:rsidR="001C1D4A" w:rsidRPr="001C1D4A" w:rsidRDefault="001C1D4A" w:rsidP="001C1D4A">
            <w:pPr>
              <w:rPr>
                <w:rFonts w:cs="Cambria"/>
                <w:szCs w:val="22"/>
              </w:rPr>
            </w:pPr>
            <w:r w:rsidRPr="001C1D4A">
              <w:rPr>
                <w:rFonts w:cs="Cambria"/>
                <w:szCs w:val="22"/>
              </w:rPr>
              <w:t xml:space="preserve">PKB </w:t>
            </w:r>
          </w:p>
        </w:tc>
        <w:tc>
          <w:tcPr>
            <w:tcW w:w="3792" w:type="pct"/>
          </w:tcPr>
          <w:p w14:paraId="7A2DA5C8" w14:textId="304AED32"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Protein kinase B </w:t>
            </w:r>
          </w:p>
        </w:tc>
      </w:tr>
      <w:tr w:rsidR="001C1D4A" w:rsidRPr="00D01DDB" w14:paraId="7743E525"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16E4037" w14:textId="02BAA4D2" w:rsidR="001C1D4A" w:rsidRPr="001C1D4A" w:rsidRDefault="001C1D4A" w:rsidP="001C1D4A">
            <w:pPr>
              <w:rPr>
                <w:rFonts w:cs="Cambria"/>
                <w:szCs w:val="22"/>
              </w:rPr>
            </w:pPr>
            <w:r w:rsidRPr="001C1D4A">
              <w:rPr>
                <w:rFonts w:cs="Cambria"/>
                <w:szCs w:val="22"/>
              </w:rPr>
              <w:t xml:space="preserve">PKPD </w:t>
            </w:r>
          </w:p>
        </w:tc>
        <w:tc>
          <w:tcPr>
            <w:tcW w:w="3792" w:type="pct"/>
          </w:tcPr>
          <w:p w14:paraId="1DA25281" w14:textId="4D51C0D0"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Pharmacokinetic-pharmacodynamic </w:t>
            </w:r>
          </w:p>
        </w:tc>
      </w:tr>
      <w:tr w:rsidR="001C1D4A" w:rsidRPr="00D01DDB" w14:paraId="00324467"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6C1F591" w14:textId="2376CAE8" w:rsidR="001C1D4A" w:rsidRPr="001C1D4A" w:rsidRDefault="001C1D4A" w:rsidP="001C1D4A">
            <w:pPr>
              <w:rPr>
                <w:rFonts w:cs="Cambria"/>
                <w:szCs w:val="22"/>
              </w:rPr>
            </w:pPr>
            <w:proofErr w:type="spellStart"/>
            <w:r w:rsidRPr="001C1D4A">
              <w:rPr>
                <w:rFonts w:cs="Cambria"/>
                <w:szCs w:val="22"/>
              </w:rPr>
              <w:t>popPK</w:t>
            </w:r>
            <w:proofErr w:type="spellEnd"/>
            <w:r w:rsidRPr="001C1D4A">
              <w:rPr>
                <w:rFonts w:cs="Cambria"/>
                <w:szCs w:val="22"/>
              </w:rPr>
              <w:t xml:space="preserve"> </w:t>
            </w:r>
          </w:p>
        </w:tc>
        <w:tc>
          <w:tcPr>
            <w:tcW w:w="3792" w:type="pct"/>
          </w:tcPr>
          <w:p w14:paraId="79F67D4F" w14:textId="1F52F58F"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Population pharmacokinetic </w:t>
            </w:r>
          </w:p>
        </w:tc>
      </w:tr>
      <w:tr w:rsidR="001C1D4A" w:rsidRPr="00D01DDB" w14:paraId="5DAA82BE"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C38B2A0" w14:textId="71669387" w:rsidR="001C1D4A" w:rsidRPr="001C1D4A" w:rsidRDefault="001C1D4A" w:rsidP="001C1D4A">
            <w:pPr>
              <w:rPr>
                <w:rFonts w:cs="Cambria"/>
                <w:szCs w:val="22"/>
              </w:rPr>
            </w:pPr>
            <w:r w:rsidRPr="001C1D4A">
              <w:rPr>
                <w:rFonts w:cs="Cambria"/>
                <w:szCs w:val="22"/>
              </w:rPr>
              <w:t xml:space="preserve">PR </w:t>
            </w:r>
          </w:p>
        </w:tc>
        <w:tc>
          <w:tcPr>
            <w:tcW w:w="3792" w:type="pct"/>
          </w:tcPr>
          <w:p w14:paraId="662968E8" w14:textId="0736A073"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Partial response </w:t>
            </w:r>
          </w:p>
        </w:tc>
      </w:tr>
      <w:tr w:rsidR="001C1D4A" w:rsidRPr="00D01DDB" w14:paraId="2CF2FEF2"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60B83DA" w14:textId="012B4F9A" w:rsidR="001C1D4A" w:rsidRPr="001C1D4A" w:rsidRDefault="001C1D4A" w:rsidP="001C1D4A">
            <w:pPr>
              <w:rPr>
                <w:rFonts w:cs="Cambria"/>
                <w:szCs w:val="22"/>
              </w:rPr>
            </w:pPr>
            <w:r w:rsidRPr="001C1D4A">
              <w:rPr>
                <w:rFonts w:cs="Cambria"/>
                <w:szCs w:val="22"/>
              </w:rPr>
              <w:t xml:space="preserve">PR, PR+, PR- </w:t>
            </w:r>
          </w:p>
        </w:tc>
        <w:tc>
          <w:tcPr>
            <w:tcW w:w="3792" w:type="pct"/>
          </w:tcPr>
          <w:p w14:paraId="32CE3C7B" w14:textId="75997792"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Progesterone receptor, PR-positive, PR-negative </w:t>
            </w:r>
          </w:p>
        </w:tc>
      </w:tr>
      <w:tr w:rsidR="001C1D4A" w:rsidRPr="00D01DDB" w14:paraId="507BEBC5"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53BC418" w14:textId="3D10C5C0" w:rsidR="001C1D4A" w:rsidRPr="001C1D4A" w:rsidRDefault="001C1D4A" w:rsidP="001C1D4A">
            <w:pPr>
              <w:rPr>
                <w:rFonts w:cs="Cambria"/>
                <w:szCs w:val="22"/>
              </w:rPr>
            </w:pPr>
            <w:r w:rsidRPr="001C1D4A">
              <w:rPr>
                <w:rFonts w:cs="Cambria"/>
                <w:szCs w:val="22"/>
              </w:rPr>
              <w:t xml:space="preserve">PRO </w:t>
            </w:r>
          </w:p>
        </w:tc>
        <w:tc>
          <w:tcPr>
            <w:tcW w:w="3792" w:type="pct"/>
          </w:tcPr>
          <w:p w14:paraId="60DE7002" w14:textId="477F20C7"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Patient-reported outcome </w:t>
            </w:r>
          </w:p>
        </w:tc>
      </w:tr>
      <w:tr w:rsidR="001C1D4A" w:rsidRPr="00D01DDB" w14:paraId="03B08354"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22E0BEB" w14:textId="25AACDD0" w:rsidR="001C1D4A" w:rsidRPr="001C1D4A" w:rsidRDefault="001C1D4A" w:rsidP="001C1D4A">
            <w:pPr>
              <w:rPr>
                <w:rFonts w:cs="Cambria"/>
                <w:szCs w:val="22"/>
              </w:rPr>
            </w:pPr>
            <w:r w:rsidRPr="001C1D4A">
              <w:rPr>
                <w:rFonts w:cs="Cambria"/>
                <w:szCs w:val="22"/>
              </w:rPr>
              <w:t xml:space="preserve">PRO-CTCAE </w:t>
            </w:r>
          </w:p>
        </w:tc>
        <w:tc>
          <w:tcPr>
            <w:tcW w:w="3792" w:type="pct"/>
          </w:tcPr>
          <w:p w14:paraId="3B8BF7DC" w14:textId="24A6630E"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Patient-Reported Outcomes version of the Common Terminology Criteria for Adverse Events </w:t>
            </w:r>
          </w:p>
        </w:tc>
      </w:tr>
      <w:tr w:rsidR="001C1D4A" w:rsidRPr="00D01DDB" w14:paraId="678739A8"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F44D199" w14:textId="49BBD7AB" w:rsidR="001C1D4A" w:rsidRPr="001C1D4A" w:rsidRDefault="001C1D4A" w:rsidP="001C1D4A">
            <w:pPr>
              <w:rPr>
                <w:rFonts w:cs="Cambria"/>
                <w:szCs w:val="22"/>
              </w:rPr>
            </w:pPr>
            <w:r w:rsidRPr="001C1D4A">
              <w:rPr>
                <w:rFonts w:cs="Cambria"/>
                <w:szCs w:val="22"/>
              </w:rPr>
              <w:t xml:space="preserve">PS </w:t>
            </w:r>
          </w:p>
        </w:tc>
        <w:tc>
          <w:tcPr>
            <w:tcW w:w="3792" w:type="pct"/>
          </w:tcPr>
          <w:p w14:paraId="3E29E01B" w14:textId="464D9BB4"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Performance status </w:t>
            </w:r>
          </w:p>
        </w:tc>
      </w:tr>
      <w:tr w:rsidR="001C1D4A" w:rsidRPr="00D01DDB" w14:paraId="15BB0A54"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9A786A7" w14:textId="4388022C" w:rsidR="001C1D4A" w:rsidRPr="001C1D4A" w:rsidRDefault="001C1D4A" w:rsidP="001C1D4A">
            <w:pPr>
              <w:rPr>
                <w:rFonts w:cs="Cambria"/>
                <w:szCs w:val="22"/>
              </w:rPr>
            </w:pPr>
            <w:proofErr w:type="spellStart"/>
            <w:r w:rsidRPr="001C1D4A">
              <w:rPr>
                <w:rFonts w:cs="Cambria"/>
                <w:szCs w:val="22"/>
              </w:rPr>
              <w:t>PsN</w:t>
            </w:r>
            <w:proofErr w:type="spellEnd"/>
            <w:r w:rsidRPr="001C1D4A">
              <w:rPr>
                <w:rFonts w:cs="Cambria"/>
                <w:szCs w:val="22"/>
              </w:rPr>
              <w:t xml:space="preserve"> </w:t>
            </w:r>
          </w:p>
        </w:tc>
        <w:tc>
          <w:tcPr>
            <w:tcW w:w="3792" w:type="pct"/>
          </w:tcPr>
          <w:p w14:paraId="3AE59CBE" w14:textId="53C81AAA"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Perl-speaks-NONMEM </w:t>
            </w:r>
          </w:p>
        </w:tc>
      </w:tr>
      <w:tr w:rsidR="001C1D4A" w:rsidRPr="00D01DDB" w14:paraId="06CBA1EC"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AF83049" w14:textId="4D0F9C39" w:rsidR="001C1D4A" w:rsidRPr="001C1D4A" w:rsidRDefault="001C1D4A" w:rsidP="001C1D4A">
            <w:pPr>
              <w:rPr>
                <w:rFonts w:cs="Cambria"/>
                <w:szCs w:val="22"/>
              </w:rPr>
            </w:pPr>
            <w:r w:rsidRPr="001C1D4A">
              <w:rPr>
                <w:rFonts w:cs="Cambria"/>
                <w:szCs w:val="22"/>
              </w:rPr>
              <w:t xml:space="preserve">PT </w:t>
            </w:r>
          </w:p>
        </w:tc>
        <w:tc>
          <w:tcPr>
            <w:tcW w:w="3792" w:type="pct"/>
          </w:tcPr>
          <w:p w14:paraId="4E615376" w14:textId="6AE9071A"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Preferred term </w:t>
            </w:r>
          </w:p>
        </w:tc>
      </w:tr>
      <w:tr w:rsidR="001C1D4A" w:rsidRPr="00D01DDB" w14:paraId="281A2867"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57C74CA" w14:textId="0E8CD276" w:rsidR="001C1D4A" w:rsidRPr="001C1D4A" w:rsidRDefault="001C1D4A" w:rsidP="001C1D4A">
            <w:pPr>
              <w:rPr>
                <w:rFonts w:cs="Cambria"/>
                <w:szCs w:val="22"/>
              </w:rPr>
            </w:pPr>
            <w:r w:rsidRPr="001C1D4A">
              <w:rPr>
                <w:rFonts w:cs="Cambria"/>
                <w:szCs w:val="22"/>
              </w:rPr>
              <w:t xml:space="preserve">PTEN </w:t>
            </w:r>
          </w:p>
        </w:tc>
        <w:tc>
          <w:tcPr>
            <w:tcW w:w="3792" w:type="pct"/>
          </w:tcPr>
          <w:p w14:paraId="62992480" w14:textId="4B72A094"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Phosphatase and </w:t>
            </w:r>
            <w:proofErr w:type="spellStart"/>
            <w:r w:rsidRPr="001C1D4A">
              <w:rPr>
                <w:rFonts w:cs="Cambria"/>
                <w:szCs w:val="22"/>
              </w:rPr>
              <w:t>tensin</w:t>
            </w:r>
            <w:proofErr w:type="spellEnd"/>
            <w:r w:rsidRPr="001C1D4A">
              <w:rPr>
                <w:rFonts w:cs="Cambria"/>
                <w:szCs w:val="22"/>
              </w:rPr>
              <w:t xml:space="preserve"> homolog (protein) </w:t>
            </w:r>
          </w:p>
        </w:tc>
      </w:tr>
      <w:tr w:rsidR="001C1D4A" w:rsidRPr="00D01DDB" w14:paraId="022F1A2B"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CCA297D" w14:textId="640B8496" w:rsidR="001C1D4A" w:rsidRPr="001C1D4A" w:rsidRDefault="001C1D4A" w:rsidP="001C1D4A">
            <w:pPr>
              <w:rPr>
                <w:rFonts w:cs="Cambria"/>
                <w:szCs w:val="22"/>
              </w:rPr>
            </w:pPr>
            <w:r w:rsidRPr="001C1D4A">
              <w:rPr>
                <w:rFonts w:cs="Cambria"/>
                <w:i/>
                <w:iCs/>
                <w:szCs w:val="22"/>
              </w:rPr>
              <w:t xml:space="preserve">PTEN </w:t>
            </w:r>
          </w:p>
        </w:tc>
        <w:tc>
          <w:tcPr>
            <w:tcW w:w="3792" w:type="pct"/>
          </w:tcPr>
          <w:p w14:paraId="42A6559C" w14:textId="28EA6BB4"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Phosphatase and </w:t>
            </w:r>
            <w:proofErr w:type="spellStart"/>
            <w:r w:rsidRPr="001C1D4A">
              <w:rPr>
                <w:rFonts w:cs="Cambria"/>
                <w:szCs w:val="22"/>
              </w:rPr>
              <w:t>tensin</w:t>
            </w:r>
            <w:proofErr w:type="spellEnd"/>
            <w:r w:rsidRPr="001C1D4A">
              <w:rPr>
                <w:rFonts w:cs="Cambria"/>
                <w:szCs w:val="22"/>
              </w:rPr>
              <w:t xml:space="preserve"> homolog (gene) </w:t>
            </w:r>
          </w:p>
        </w:tc>
      </w:tr>
      <w:tr w:rsidR="001C1D4A" w:rsidRPr="00D01DDB" w14:paraId="7992F9D1"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876E967" w14:textId="1686ADBB" w:rsidR="001C1D4A" w:rsidRPr="001C1D4A" w:rsidRDefault="001C1D4A" w:rsidP="001C1D4A">
            <w:pPr>
              <w:rPr>
                <w:rFonts w:cs="Cambria"/>
                <w:i/>
                <w:iCs/>
                <w:szCs w:val="22"/>
              </w:rPr>
            </w:pPr>
            <w:r w:rsidRPr="001C1D4A">
              <w:rPr>
                <w:rFonts w:cs="Cambria"/>
                <w:szCs w:val="22"/>
              </w:rPr>
              <w:t xml:space="preserve">PS </w:t>
            </w:r>
          </w:p>
        </w:tc>
        <w:tc>
          <w:tcPr>
            <w:tcW w:w="3792" w:type="pct"/>
          </w:tcPr>
          <w:p w14:paraId="24E4D382" w14:textId="47C39A80"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Performance status </w:t>
            </w:r>
          </w:p>
        </w:tc>
      </w:tr>
      <w:tr w:rsidR="001C1D4A" w:rsidRPr="00D01DDB" w14:paraId="2471D61C"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41DF58E" w14:textId="3E2FB52E" w:rsidR="001C1D4A" w:rsidRPr="001C1D4A" w:rsidRDefault="001C1D4A" w:rsidP="001C1D4A">
            <w:pPr>
              <w:rPr>
                <w:rFonts w:cs="Cambria"/>
                <w:szCs w:val="22"/>
              </w:rPr>
            </w:pPr>
            <w:r w:rsidRPr="001C1D4A">
              <w:rPr>
                <w:rFonts w:cs="Cambria"/>
                <w:szCs w:val="22"/>
              </w:rPr>
              <w:t xml:space="preserve">Q </w:t>
            </w:r>
          </w:p>
        </w:tc>
        <w:tc>
          <w:tcPr>
            <w:tcW w:w="3792" w:type="pct"/>
          </w:tcPr>
          <w:p w14:paraId="0C61F147" w14:textId="47468AB7"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Intercompartmental clearance </w:t>
            </w:r>
          </w:p>
        </w:tc>
      </w:tr>
      <w:tr w:rsidR="001C1D4A" w:rsidRPr="00D01DDB" w14:paraId="1E363B54"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6D58FB7" w14:textId="218ECE46" w:rsidR="001C1D4A" w:rsidRPr="001C1D4A" w:rsidRDefault="001C1D4A" w:rsidP="001C1D4A">
            <w:pPr>
              <w:rPr>
                <w:rFonts w:cs="Cambria"/>
                <w:szCs w:val="22"/>
              </w:rPr>
            </w:pPr>
            <w:r w:rsidRPr="001C1D4A">
              <w:rPr>
                <w:rFonts w:cs="Cambria"/>
                <w:szCs w:val="22"/>
              </w:rPr>
              <w:t xml:space="preserve">Q1 </w:t>
            </w:r>
          </w:p>
        </w:tc>
        <w:tc>
          <w:tcPr>
            <w:tcW w:w="3792" w:type="pct"/>
          </w:tcPr>
          <w:p w14:paraId="79F7459B" w14:textId="7E8C1537"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First quartile </w:t>
            </w:r>
          </w:p>
        </w:tc>
      </w:tr>
      <w:tr w:rsidR="001C1D4A" w:rsidRPr="00D01DDB" w14:paraId="7B58F51E"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B7954BB" w14:textId="1EC069C6" w:rsidR="001C1D4A" w:rsidRPr="001C1D4A" w:rsidRDefault="001C1D4A" w:rsidP="001C1D4A">
            <w:pPr>
              <w:rPr>
                <w:rFonts w:cs="Cambria"/>
                <w:szCs w:val="22"/>
              </w:rPr>
            </w:pPr>
            <w:r w:rsidRPr="001C1D4A">
              <w:rPr>
                <w:rFonts w:cs="Cambria"/>
                <w:szCs w:val="22"/>
              </w:rPr>
              <w:t xml:space="preserve">Q3 </w:t>
            </w:r>
          </w:p>
        </w:tc>
        <w:tc>
          <w:tcPr>
            <w:tcW w:w="3792" w:type="pct"/>
          </w:tcPr>
          <w:p w14:paraId="38B46379" w14:textId="56A69DBB"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Third quartile </w:t>
            </w:r>
          </w:p>
        </w:tc>
      </w:tr>
      <w:tr w:rsidR="001C1D4A" w:rsidRPr="00D01DDB" w14:paraId="5C753FBD"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B58F62A" w14:textId="191B0A7B" w:rsidR="001C1D4A" w:rsidRPr="001C1D4A" w:rsidRDefault="001C1D4A" w:rsidP="001C1D4A">
            <w:pPr>
              <w:rPr>
                <w:rFonts w:cs="Cambria"/>
                <w:szCs w:val="22"/>
              </w:rPr>
            </w:pPr>
            <w:r w:rsidRPr="001C1D4A">
              <w:rPr>
                <w:rFonts w:cs="Cambria"/>
                <w:szCs w:val="22"/>
              </w:rPr>
              <w:lastRenderedPageBreak/>
              <w:t xml:space="preserve">QC </w:t>
            </w:r>
          </w:p>
        </w:tc>
        <w:tc>
          <w:tcPr>
            <w:tcW w:w="3792" w:type="pct"/>
          </w:tcPr>
          <w:p w14:paraId="1EE89A54" w14:textId="3D6DDBD6"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Quality control </w:t>
            </w:r>
          </w:p>
        </w:tc>
      </w:tr>
      <w:tr w:rsidR="001C1D4A" w:rsidRPr="00D01DDB" w14:paraId="73214178"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6901879" w14:textId="5DD990ED" w:rsidR="001C1D4A" w:rsidRPr="001C1D4A" w:rsidRDefault="001C1D4A" w:rsidP="001C1D4A">
            <w:pPr>
              <w:rPr>
                <w:rFonts w:cs="Cambria"/>
                <w:szCs w:val="22"/>
              </w:rPr>
            </w:pPr>
            <w:r w:rsidRPr="001C1D4A">
              <w:rPr>
                <w:rFonts w:cs="Cambria"/>
                <w:szCs w:val="22"/>
              </w:rPr>
              <w:t xml:space="preserve">QoL </w:t>
            </w:r>
          </w:p>
        </w:tc>
        <w:tc>
          <w:tcPr>
            <w:tcW w:w="3792" w:type="pct"/>
          </w:tcPr>
          <w:p w14:paraId="1107CBC7" w14:textId="7E99C982"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Quality of life </w:t>
            </w:r>
          </w:p>
        </w:tc>
      </w:tr>
      <w:tr w:rsidR="001C1D4A" w:rsidRPr="00D01DDB" w14:paraId="1E5D7410"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99A2BB9" w14:textId="023A3C78" w:rsidR="001C1D4A" w:rsidRPr="001C1D4A" w:rsidRDefault="001C1D4A" w:rsidP="001C1D4A">
            <w:pPr>
              <w:rPr>
                <w:rFonts w:cs="Cambria"/>
                <w:szCs w:val="22"/>
              </w:rPr>
            </w:pPr>
            <w:r w:rsidRPr="001C1D4A">
              <w:rPr>
                <w:rFonts w:cs="Cambria"/>
                <w:szCs w:val="22"/>
              </w:rPr>
              <w:t xml:space="preserve">QTc </w:t>
            </w:r>
          </w:p>
        </w:tc>
        <w:tc>
          <w:tcPr>
            <w:tcW w:w="3792" w:type="pct"/>
          </w:tcPr>
          <w:p w14:paraId="6A8C2B13" w14:textId="0F2E72FB"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Corrected QT interval </w:t>
            </w:r>
          </w:p>
        </w:tc>
      </w:tr>
      <w:tr w:rsidR="001C1D4A" w:rsidRPr="00D01DDB" w14:paraId="2F611106"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9525559" w14:textId="39D6E29B" w:rsidR="001C1D4A" w:rsidRPr="001C1D4A" w:rsidRDefault="001C1D4A" w:rsidP="001C1D4A">
            <w:pPr>
              <w:rPr>
                <w:rFonts w:cs="Cambria"/>
                <w:szCs w:val="22"/>
              </w:rPr>
            </w:pPr>
            <w:proofErr w:type="spellStart"/>
            <w:r w:rsidRPr="001C1D4A">
              <w:rPr>
                <w:rFonts w:cs="Cambria"/>
                <w:szCs w:val="22"/>
              </w:rPr>
              <w:t>QTcF</w:t>
            </w:r>
            <w:proofErr w:type="spellEnd"/>
            <w:r w:rsidRPr="001C1D4A">
              <w:rPr>
                <w:rFonts w:cs="Cambria"/>
                <w:szCs w:val="22"/>
              </w:rPr>
              <w:t xml:space="preserve"> </w:t>
            </w:r>
          </w:p>
        </w:tc>
        <w:tc>
          <w:tcPr>
            <w:tcW w:w="3792" w:type="pct"/>
          </w:tcPr>
          <w:p w14:paraId="46A126FA" w14:textId="03C01C78"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Corrected QT interval by Fridericia’s formula </w:t>
            </w:r>
          </w:p>
        </w:tc>
      </w:tr>
      <w:tr w:rsidR="001C1D4A" w:rsidRPr="00D01DDB" w14:paraId="2BFF5228"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3F3E290" w14:textId="7CFF95B4" w:rsidR="001C1D4A" w:rsidRPr="001C1D4A" w:rsidRDefault="001C1D4A" w:rsidP="001C1D4A">
            <w:pPr>
              <w:rPr>
                <w:rFonts w:cs="Cambria"/>
                <w:szCs w:val="22"/>
              </w:rPr>
            </w:pPr>
            <w:r w:rsidRPr="001C1D4A">
              <w:rPr>
                <w:rFonts w:cs="Cambria"/>
                <w:szCs w:val="22"/>
              </w:rPr>
              <w:t xml:space="preserve">RD </w:t>
            </w:r>
          </w:p>
        </w:tc>
        <w:tc>
          <w:tcPr>
            <w:tcW w:w="3792" w:type="pct"/>
          </w:tcPr>
          <w:p w14:paraId="4E479A82" w14:textId="741F1E09"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Recommended dose </w:t>
            </w:r>
          </w:p>
        </w:tc>
      </w:tr>
      <w:tr w:rsidR="001C1D4A" w:rsidRPr="00D01DDB" w14:paraId="6D4C6110"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8D733A8" w14:textId="0DCF939A" w:rsidR="001C1D4A" w:rsidRPr="001C1D4A" w:rsidRDefault="001C1D4A" w:rsidP="001C1D4A">
            <w:pPr>
              <w:rPr>
                <w:rFonts w:cs="Cambria"/>
                <w:szCs w:val="22"/>
              </w:rPr>
            </w:pPr>
            <w:r w:rsidRPr="001C1D4A">
              <w:rPr>
                <w:rFonts w:cs="Cambria"/>
                <w:szCs w:val="22"/>
              </w:rPr>
              <w:t xml:space="preserve">RECIST </w:t>
            </w:r>
          </w:p>
        </w:tc>
        <w:tc>
          <w:tcPr>
            <w:tcW w:w="3792" w:type="pct"/>
          </w:tcPr>
          <w:p w14:paraId="72E599DB" w14:textId="6F5E378F"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Response Evaluation Criteria in Solid Tumours </w:t>
            </w:r>
          </w:p>
        </w:tc>
      </w:tr>
      <w:tr w:rsidR="001C1D4A" w:rsidRPr="00D01DDB" w14:paraId="0FA9964B"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34E0FC2" w14:textId="0C866722" w:rsidR="001C1D4A" w:rsidRPr="001C1D4A" w:rsidRDefault="001C1D4A" w:rsidP="001C1D4A">
            <w:pPr>
              <w:rPr>
                <w:rFonts w:cs="Cambria"/>
                <w:szCs w:val="22"/>
              </w:rPr>
            </w:pPr>
            <w:r w:rsidRPr="001C1D4A">
              <w:rPr>
                <w:rFonts w:cs="Cambria"/>
                <w:szCs w:val="22"/>
              </w:rPr>
              <w:t xml:space="preserve">RECIST v1.1 </w:t>
            </w:r>
          </w:p>
        </w:tc>
        <w:tc>
          <w:tcPr>
            <w:tcW w:w="3792" w:type="pct"/>
          </w:tcPr>
          <w:p w14:paraId="14BF72F3" w14:textId="1B2F3256"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Response Evaluation Criteria in Solid Tumours version 1.1 </w:t>
            </w:r>
          </w:p>
        </w:tc>
      </w:tr>
      <w:tr w:rsidR="001C1D4A" w:rsidRPr="00D01DDB" w14:paraId="6EF37C6B"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67371C9" w14:textId="7CAABC72" w:rsidR="001C1D4A" w:rsidRPr="001C1D4A" w:rsidRDefault="001C1D4A" w:rsidP="001C1D4A">
            <w:pPr>
              <w:rPr>
                <w:rFonts w:cs="Cambria"/>
                <w:szCs w:val="22"/>
              </w:rPr>
            </w:pPr>
            <w:r w:rsidRPr="001C1D4A">
              <w:rPr>
                <w:rFonts w:cs="Cambria"/>
                <w:szCs w:val="22"/>
              </w:rPr>
              <w:t xml:space="preserve">RNA </w:t>
            </w:r>
          </w:p>
        </w:tc>
        <w:tc>
          <w:tcPr>
            <w:tcW w:w="3792" w:type="pct"/>
          </w:tcPr>
          <w:p w14:paraId="15E0DFB9" w14:textId="3D0C4BE3"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Ribonucleic acid </w:t>
            </w:r>
          </w:p>
        </w:tc>
      </w:tr>
      <w:tr w:rsidR="001C1D4A" w:rsidRPr="00D01DDB" w14:paraId="73AF68C7"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2BC22C6" w14:textId="2B5386CA" w:rsidR="001C1D4A" w:rsidRPr="001C1D4A" w:rsidRDefault="001C1D4A" w:rsidP="001C1D4A">
            <w:pPr>
              <w:rPr>
                <w:rFonts w:cs="Cambria"/>
                <w:szCs w:val="22"/>
              </w:rPr>
            </w:pPr>
            <w:r w:rsidRPr="001C1D4A">
              <w:rPr>
                <w:rFonts w:cs="Cambria"/>
                <w:szCs w:val="22"/>
              </w:rPr>
              <w:t xml:space="preserve">RSE </w:t>
            </w:r>
          </w:p>
        </w:tc>
        <w:tc>
          <w:tcPr>
            <w:tcW w:w="3792" w:type="pct"/>
          </w:tcPr>
          <w:p w14:paraId="468EE9E2" w14:textId="3E66CDD2"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Relative standard error </w:t>
            </w:r>
          </w:p>
        </w:tc>
      </w:tr>
      <w:tr w:rsidR="001C1D4A" w:rsidRPr="00D01DDB" w14:paraId="5A2DE606"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AE14756" w14:textId="2DDE640D" w:rsidR="001C1D4A" w:rsidRPr="001C1D4A" w:rsidRDefault="001C1D4A" w:rsidP="001C1D4A">
            <w:pPr>
              <w:rPr>
                <w:rFonts w:cs="Cambria"/>
                <w:szCs w:val="22"/>
              </w:rPr>
            </w:pPr>
            <w:r w:rsidRPr="001C1D4A">
              <w:rPr>
                <w:rFonts w:cs="Cambria"/>
                <w:szCs w:val="22"/>
              </w:rPr>
              <w:t xml:space="preserve">RUV </w:t>
            </w:r>
          </w:p>
        </w:tc>
        <w:tc>
          <w:tcPr>
            <w:tcW w:w="3792" w:type="pct"/>
          </w:tcPr>
          <w:p w14:paraId="3F7A842F" w14:textId="47B10177"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Residual unexplained variability </w:t>
            </w:r>
          </w:p>
        </w:tc>
      </w:tr>
      <w:tr w:rsidR="001C1D4A" w:rsidRPr="00D01DDB" w14:paraId="00E737EE"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C0D5A6A" w14:textId="4159569D" w:rsidR="001C1D4A" w:rsidRPr="001C1D4A" w:rsidRDefault="001C1D4A" w:rsidP="001C1D4A">
            <w:pPr>
              <w:rPr>
                <w:rFonts w:cs="Cambria"/>
                <w:szCs w:val="22"/>
              </w:rPr>
            </w:pPr>
            <w:r w:rsidRPr="001C1D4A">
              <w:rPr>
                <w:rFonts w:cs="Cambria"/>
                <w:szCs w:val="22"/>
              </w:rPr>
              <w:t xml:space="preserve">SAE </w:t>
            </w:r>
          </w:p>
        </w:tc>
        <w:tc>
          <w:tcPr>
            <w:tcW w:w="3792" w:type="pct"/>
          </w:tcPr>
          <w:p w14:paraId="075271DF" w14:textId="1B5CA4DF"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Serious adverse event </w:t>
            </w:r>
          </w:p>
        </w:tc>
      </w:tr>
      <w:tr w:rsidR="001C1D4A" w:rsidRPr="00D01DDB" w14:paraId="291D2A5A"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DA9AF78" w14:textId="5EEE9529" w:rsidR="001C1D4A" w:rsidRPr="001C1D4A" w:rsidRDefault="001C1D4A" w:rsidP="001C1D4A">
            <w:pPr>
              <w:rPr>
                <w:rFonts w:cs="Cambria"/>
                <w:szCs w:val="22"/>
              </w:rPr>
            </w:pPr>
            <w:r w:rsidRPr="001C1D4A">
              <w:rPr>
                <w:rFonts w:cs="Cambria"/>
                <w:szCs w:val="22"/>
              </w:rPr>
              <w:t xml:space="preserve">SAEM </w:t>
            </w:r>
          </w:p>
        </w:tc>
        <w:tc>
          <w:tcPr>
            <w:tcW w:w="3792" w:type="pct"/>
          </w:tcPr>
          <w:p w14:paraId="11BD601E" w14:textId="01DD3744"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Stochastic approximation expectation-maximisation </w:t>
            </w:r>
          </w:p>
        </w:tc>
      </w:tr>
      <w:tr w:rsidR="001C1D4A" w:rsidRPr="00D01DDB" w14:paraId="5407731B"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3D830F2" w14:textId="3CD7C05B" w:rsidR="001C1D4A" w:rsidRPr="001C1D4A" w:rsidRDefault="001C1D4A" w:rsidP="001C1D4A">
            <w:pPr>
              <w:rPr>
                <w:rFonts w:cs="Cambria"/>
                <w:szCs w:val="22"/>
              </w:rPr>
            </w:pPr>
            <w:r w:rsidRPr="001C1D4A">
              <w:rPr>
                <w:rFonts w:cs="Cambria"/>
                <w:szCs w:val="22"/>
              </w:rPr>
              <w:t xml:space="preserve">SAS </w:t>
            </w:r>
          </w:p>
        </w:tc>
        <w:tc>
          <w:tcPr>
            <w:tcW w:w="3792" w:type="pct"/>
          </w:tcPr>
          <w:p w14:paraId="37DA7D58" w14:textId="3BFB2BF7"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Safety analysis set </w:t>
            </w:r>
          </w:p>
        </w:tc>
      </w:tr>
      <w:tr w:rsidR="001C1D4A" w:rsidRPr="00D01DDB" w14:paraId="45BEECD2"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9DC4E44" w14:textId="48900BBB" w:rsidR="001C1D4A" w:rsidRPr="001C1D4A" w:rsidRDefault="001C1D4A" w:rsidP="001C1D4A">
            <w:pPr>
              <w:rPr>
                <w:rFonts w:cs="Cambria"/>
                <w:szCs w:val="22"/>
              </w:rPr>
            </w:pPr>
            <w:r w:rsidRPr="001C1D4A">
              <w:rPr>
                <w:rFonts w:cs="Cambria"/>
                <w:szCs w:val="22"/>
              </w:rPr>
              <w:t xml:space="preserve">SAP </w:t>
            </w:r>
          </w:p>
        </w:tc>
        <w:tc>
          <w:tcPr>
            <w:tcW w:w="3792" w:type="pct"/>
          </w:tcPr>
          <w:p w14:paraId="73B36F3A" w14:textId="591EDDCC"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Statistical Analysis Plan </w:t>
            </w:r>
          </w:p>
        </w:tc>
      </w:tr>
      <w:tr w:rsidR="001C1D4A" w:rsidRPr="00D01DDB" w14:paraId="0DEC34AE"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C2432D4" w14:textId="39ADA751" w:rsidR="001C1D4A" w:rsidRPr="001C1D4A" w:rsidRDefault="001C1D4A" w:rsidP="001C1D4A">
            <w:pPr>
              <w:rPr>
                <w:rFonts w:cs="Cambria"/>
                <w:szCs w:val="22"/>
              </w:rPr>
            </w:pPr>
            <w:r w:rsidRPr="001C1D4A">
              <w:rPr>
                <w:rFonts w:cs="Cambria"/>
                <w:szCs w:val="22"/>
              </w:rPr>
              <w:t xml:space="preserve">SARS-CoV-2/COVID-19 </w:t>
            </w:r>
          </w:p>
        </w:tc>
        <w:tc>
          <w:tcPr>
            <w:tcW w:w="3792" w:type="pct"/>
          </w:tcPr>
          <w:p w14:paraId="43BEE88D" w14:textId="55F8996E"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Coronavirus disease 2019 </w:t>
            </w:r>
          </w:p>
        </w:tc>
      </w:tr>
      <w:tr w:rsidR="001C1D4A" w:rsidRPr="00D01DDB" w14:paraId="3347AC3A"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A839CC8" w14:textId="5FA6EC15" w:rsidR="001C1D4A" w:rsidRPr="001C1D4A" w:rsidRDefault="001C1D4A" w:rsidP="001C1D4A">
            <w:pPr>
              <w:rPr>
                <w:rFonts w:cs="Cambria"/>
                <w:szCs w:val="22"/>
              </w:rPr>
            </w:pPr>
            <w:r w:rsidRPr="001C1D4A">
              <w:rPr>
                <w:rFonts w:cs="Cambria"/>
                <w:szCs w:val="22"/>
              </w:rPr>
              <w:t xml:space="preserve">SD </w:t>
            </w:r>
          </w:p>
        </w:tc>
        <w:tc>
          <w:tcPr>
            <w:tcW w:w="3792" w:type="pct"/>
          </w:tcPr>
          <w:p w14:paraId="4622774D" w14:textId="21BBD89E"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Stable disease </w:t>
            </w:r>
          </w:p>
        </w:tc>
      </w:tr>
      <w:tr w:rsidR="001C1D4A" w:rsidRPr="00D01DDB" w14:paraId="5CC84DB4"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02B83D2" w14:textId="0B59D30D" w:rsidR="001C1D4A" w:rsidRPr="001C1D4A" w:rsidRDefault="001C1D4A" w:rsidP="001C1D4A">
            <w:pPr>
              <w:rPr>
                <w:rFonts w:cs="Cambria"/>
                <w:szCs w:val="22"/>
              </w:rPr>
            </w:pPr>
            <w:r w:rsidRPr="001C1D4A">
              <w:rPr>
                <w:rFonts w:cs="Cambria"/>
                <w:szCs w:val="22"/>
              </w:rPr>
              <w:t xml:space="preserve">SD </w:t>
            </w:r>
          </w:p>
        </w:tc>
        <w:tc>
          <w:tcPr>
            <w:tcW w:w="3792" w:type="pct"/>
          </w:tcPr>
          <w:p w14:paraId="306CE635" w14:textId="10025957"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Standard deviation </w:t>
            </w:r>
          </w:p>
        </w:tc>
      </w:tr>
      <w:tr w:rsidR="001C1D4A" w:rsidRPr="00D01DDB" w14:paraId="1C94F7CF"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DDC5673" w14:textId="19F36F08" w:rsidR="001C1D4A" w:rsidRPr="001C1D4A" w:rsidRDefault="001C1D4A" w:rsidP="001C1D4A">
            <w:pPr>
              <w:rPr>
                <w:rFonts w:cs="Cambria"/>
                <w:szCs w:val="22"/>
              </w:rPr>
            </w:pPr>
            <w:r w:rsidRPr="001C1D4A">
              <w:rPr>
                <w:rFonts w:cs="Cambria"/>
                <w:szCs w:val="22"/>
              </w:rPr>
              <w:t xml:space="preserve">SE </w:t>
            </w:r>
          </w:p>
        </w:tc>
        <w:tc>
          <w:tcPr>
            <w:tcW w:w="3792" w:type="pct"/>
          </w:tcPr>
          <w:p w14:paraId="58ED2443" w14:textId="2AF74D8A"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Standard error </w:t>
            </w:r>
          </w:p>
        </w:tc>
      </w:tr>
      <w:tr w:rsidR="001C1D4A" w:rsidRPr="00D01DDB" w14:paraId="04FD2E59"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CCC3136" w14:textId="7FE7CCC4" w:rsidR="001C1D4A" w:rsidRPr="001C1D4A" w:rsidRDefault="001C1D4A" w:rsidP="001C1D4A">
            <w:pPr>
              <w:rPr>
                <w:rFonts w:cs="Cambria"/>
                <w:szCs w:val="22"/>
              </w:rPr>
            </w:pPr>
            <w:r w:rsidRPr="001C1D4A">
              <w:rPr>
                <w:rFonts w:cs="Cambria"/>
                <w:szCs w:val="22"/>
              </w:rPr>
              <w:t xml:space="preserve">SEM </w:t>
            </w:r>
          </w:p>
        </w:tc>
        <w:tc>
          <w:tcPr>
            <w:tcW w:w="3792" w:type="pct"/>
          </w:tcPr>
          <w:p w14:paraId="3088A3B5" w14:textId="7AA7837F"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Standard error of the mean </w:t>
            </w:r>
          </w:p>
        </w:tc>
      </w:tr>
      <w:tr w:rsidR="001C1D4A" w:rsidRPr="00D01DDB" w14:paraId="46CAF5D4"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D0F044A" w14:textId="7345A03A" w:rsidR="001C1D4A" w:rsidRPr="001C1D4A" w:rsidRDefault="001C1D4A" w:rsidP="001C1D4A">
            <w:pPr>
              <w:rPr>
                <w:rFonts w:cs="Cambria"/>
                <w:szCs w:val="22"/>
              </w:rPr>
            </w:pPr>
            <w:r w:rsidRPr="001C1D4A">
              <w:rPr>
                <w:rFonts w:cs="Cambria"/>
                <w:szCs w:val="22"/>
              </w:rPr>
              <w:t xml:space="preserve">SERDs </w:t>
            </w:r>
          </w:p>
        </w:tc>
        <w:tc>
          <w:tcPr>
            <w:tcW w:w="3792" w:type="pct"/>
          </w:tcPr>
          <w:p w14:paraId="44247C8D" w14:textId="5120C595"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Selective oestrogen receptor degrader </w:t>
            </w:r>
          </w:p>
        </w:tc>
      </w:tr>
      <w:tr w:rsidR="001C1D4A" w:rsidRPr="00D01DDB" w14:paraId="5ADE008E"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FC78C60" w14:textId="11C8234D" w:rsidR="001C1D4A" w:rsidRPr="001C1D4A" w:rsidRDefault="001C1D4A" w:rsidP="001C1D4A">
            <w:pPr>
              <w:rPr>
                <w:rFonts w:cs="Cambria"/>
                <w:szCs w:val="22"/>
              </w:rPr>
            </w:pPr>
            <w:r w:rsidRPr="001C1D4A">
              <w:rPr>
                <w:rFonts w:cs="Cambria"/>
                <w:szCs w:val="22"/>
              </w:rPr>
              <w:t xml:space="preserve">SGLT2 </w:t>
            </w:r>
          </w:p>
        </w:tc>
        <w:tc>
          <w:tcPr>
            <w:tcW w:w="3792" w:type="pct"/>
          </w:tcPr>
          <w:p w14:paraId="6561253A" w14:textId="45FF0109"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Sodium-glucose cotransporter-2 </w:t>
            </w:r>
          </w:p>
        </w:tc>
      </w:tr>
      <w:tr w:rsidR="001C1D4A" w:rsidRPr="00D01DDB" w14:paraId="422E9FD4"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BFF7BE9" w14:textId="11B6514C" w:rsidR="001C1D4A" w:rsidRPr="001C1D4A" w:rsidRDefault="001C1D4A" w:rsidP="001C1D4A">
            <w:pPr>
              <w:rPr>
                <w:rFonts w:cs="Cambria"/>
                <w:szCs w:val="22"/>
              </w:rPr>
            </w:pPr>
            <w:r w:rsidRPr="001C1D4A">
              <w:rPr>
                <w:rFonts w:cs="Cambria"/>
                <w:szCs w:val="22"/>
              </w:rPr>
              <w:t xml:space="preserve">SMQ </w:t>
            </w:r>
          </w:p>
        </w:tc>
        <w:tc>
          <w:tcPr>
            <w:tcW w:w="3792" w:type="pct"/>
          </w:tcPr>
          <w:p w14:paraId="43417B93" w14:textId="1A599CD0"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Standardised MedDRA query </w:t>
            </w:r>
          </w:p>
        </w:tc>
      </w:tr>
      <w:tr w:rsidR="001C1D4A" w:rsidRPr="00D01DDB" w14:paraId="1E480E8A"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F9F6304" w14:textId="4D62914F" w:rsidR="001C1D4A" w:rsidRPr="001C1D4A" w:rsidRDefault="001C1D4A" w:rsidP="001C1D4A">
            <w:pPr>
              <w:rPr>
                <w:rFonts w:cs="Cambria"/>
                <w:szCs w:val="22"/>
              </w:rPr>
            </w:pPr>
            <w:proofErr w:type="spellStart"/>
            <w:r w:rsidRPr="001C1D4A">
              <w:rPr>
                <w:rFonts w:cs="Cambria"/>
                <w:szCs w:val="22"/>
              </w:rPr>
              <w:t>SoA</w:t>
            </w:r>
            <w:proofErr w:type="spellEnd"/>
            <w:r w:rsidRPr="001C1D4A">
              <w:rPr>
                <w:rFonts w:cs="Cambria"/>
                <w:szCs w:val="22"/>
              </w:rPr>
              <w:t xml:space="preserve"> </w:t>
            </w:r>
          </w:p>
        </w:tc>
        <w:tc>
          <w:tcPr>
            <w:tcW w:w="3792" w:type="pct"/>
          </w:tcPr>
          <w:p w14:paraId="50A67E4C" w14:textId="596D60FC"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Schedule of activities </w:t>
            </w:r>
          </w:p>
        </w:tc>
      </w:tr>
      <w:tr w:rsidR="001C1D4A" w:rsidRPr="00D01DDB" w14:paraId="1878EB76"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ED848A0" w14:textId="71EDD1D3" w:rsidR="001C1D4A" w:rsidRPr="001C1D4A" w:rsidRDefault="001C1D4A" w:rsidP="001C1D4A">
            <w:pPr>
              <w:rPr>
                <w:rFonts w:cs="Cambria"/>
                <w:szCs w:val="22"/>
              </w:rPr>
            </w:pPr>
            <w:r w:rsidRPr="001C1D4A">
              <w:rPr>
                <w:rFonts w:cs="Cambria"/>
                <w:szCs w:val="22"/>
              </w:rPr>
              <w:t xml:space="preserve">SOC </w:t>
            </w:r>
          </w:p>
        </w:tc>
        <w:tc>
          <w:tcPr>
            <w:tcW w:w="3792" w:type="pct"/>
          </w:tcPr>
          <w:p w14:paraId="3A66E556" w14:textId="4B978230"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System organ class </w:t>
            </w:r>
          </w:p>
        </w:tc>
      </w:tr>
      <w:tr w:rsidR="001C1D4A" w:rsidRPr="00D01DDB" w14:paraId="5EF13A8E"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1FF7880" w14:textId="67605298" w:rsidR="001C1D4A" w:rsidRPr="001C1D4A" w:rsidRDefault="001C1D4A" w:rsidP="001C1D4A">
            <w:pPr>
              <w:rPr>
                <w:rFonts w:cs="Cambria"/>
                <w:szCs w:val="22"/>
              </w:rPr>
            </w:pPr>
            <w:r w:rsidRPr="001C1D4A">
              <w:rPr>
                <w:rFonts w:cs="Cambria"/>
                <w:szCs w:val="22"/>
              </w:rPr>
              <w:t xml:space="preserve">S/P- </w:t>
            </w:r>
          </w:p>
        </w:tc>
        <w:tc>
          <w:tcPr>
            <w:tcW w:w="3792" w:type="pct"/>
          </w:tcPr>
          <w:p w14:paraId="70BEB34B" w14:textId="754D7878"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Serum/plasma- </w:t>
            </w:r>
          </w:p>
        </w:tc>
      </w:tr>
      <w:tr w:rsidR="001C1D4A" w:rsidRPr="00D01DDB" w14:paraId="06A62E5A"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C0FFF0F" w14:textId="304CDFE1" w:rsidR="001C1D4A" w:rsidRPr="001C1D4A" w:rsidRDefault="001C1D4A" w:rsidP="001C1D4A">
            <w:pPr>
              <w:rPr>
                <w:rFonts w:cs="Cambria"/>
                <w:szCs w:val="22"/>
              </w:rPr>
            </w:pPr>
            <w:r w:rsidRPr="001C1D4A">
              <w:rPr>
                <w:rFonts w:cs="Cambria"/>
                <w:szCs w:val="22"/>
              </w:rPr>
              <w:t xml:space="preserve">SUSAR </w:t>
            </w:r>
          </w:p>
        </w:tc>
        <w:tc>
          <w:tcPr>
            <w:tcW w:w="3792" w:type="pct"/>
          </w:tcPr>
          <w:p w14:paraId="6CB8BFE2" w14:textId="10358286"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Suspected unexpected serious adverse reaction </w:t>
            </w:r>
          </w:p>
        </w:tc>
      </w:tr>
      <w:tr w:rsidR="001C1D4A" w:rsidRPr="00D01DDB" w14:paraId="20663592"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E7141A0" w14:textId="0C21E57A" w:rsidR="001C1D4A" w:rsidRPr="001C1D4A" w:rsidRDefault="001C1D4A" w:rsidP="001C1D4A">
            <w:pPr>
              <w:rPr>
                <w:rFonts w:cs="Cambria"/>
                <w:szCs w:val="22"/>
              </w:rPr>
            </w:pPr>
            <w:r w:rsidRPr="001C1D4A">
              <w:rPr>
                <w:rFonts w:cs="Cambria"/>
                <w:szCs w:val="22"/>
              </w:rPr>
              <w:t>t</w:t>
            </w:r>
            <w:r w:rsidRPr="001C1D4A">
              <w:rPr>
                <w:rFonts w:cs="Cambria"/>
                <w:sz w:val="14"/>
                <w:szCs w:val="14"/>
              </w:rPr>
              <w:t xml:space="preserve">½ </w:t>
            </w:r>
          </w:p>
        </w:tc>
        <w:tc>
          <w:tcPr>
            <w:tcW w:w="3792" w:type="pct"/>
          </w:tcPr>
          <w:p w14:paraId="69EF6799" w14:textId="0B6D3F15"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Half-life </w:t>
            </w:r>
          </w:p>
        </w:tc>
      </w:tr>
      <w:tr w:rsidR="001C1D4A" w:rsidRPr="00D01DDB" w14:paraId="4CBD4CDF"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B2EED22" w14:textId="153AE7D2" w:rsidR="001C1D4A" w:rsidRPr="001C1D4A" w:rsidRDefault="001C1D4A" w:rsidP="001C1D4A">
            <w:pPr>
              <w:rPr>
                <w:rFonts w:cs="Cambria"/>
                <w:szCs w:val="22"/>
              </w:rPr>
            </w:pPr>
            <w:r w:rsidRPr="001C1D4A">
              <w:rPr>
                <w:rFonts w:cs="Cambria"/>
                <w:szCs w:val="22"/>
              </w:rPr>
              <w:t xml:space="preserve">T4 </w:t>
            </w:r>
          </w:p>
        </w:tc>
        <w:tc>
          <w:tcPr>
            <w:tcW w:w="3792" w:type="pct"/>
          </w:tcPr>
          <w:p w14:paraId="524C1B39" w14:textId="0FDC30D8"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Thyroxine </w:t>
            </w:r>
          </w:p>
        </w:tc>
      </w:tr>
      <w:tr w:rsidR="001C1D4A" w:rsidRPr="00D01DDB" w14:paraId="550FEBE6"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68BD3FF" w14:textId="5ED9B723" w:rsidR="001C1D4A" w:rsidRPr="001C1D4A" w:rsidRDefault="001C1D4A" w:rsidP="001C1D4A">
            <w:pPr>
              <w:rPr>
                <w:rFonts w:cs="Cambria"/>
                <w:szCs w:val="22"/>
              </w:rPr>
            </w:pPr>
            <w:r w:rsidRPr="001C1D4A">
              <w:rPr>
                <w:rFonts w:cs="Cambria"/>
                <w:szCs w:val="22"/>
              </w:rPr>
              <w:t xml:space="preserve">TEAE </w:t>
            </w:r>
          </w:p>
        </w:tc>
        <w:tc>
          <w:tcPr>
            <w:tcW w:w="3792" w:type="pct"/>
          </w:tcPr>
          <w:p w14:paraId="3D508520" w14:textId="615398B9"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Treatment emergent adverse event </w:t>
            </w:r>
          </w:p>
        </w:tc>
      </w:tr>
      <w:tr w:rsidR="001C1D4A" w:rsidRPr="00D01DDB" w14:paraId="342BE003"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1B1AB5E" w14:textId="123D9BC6" w:rsidR="001C1D4A" w:rsidRPr="001C1D4A" w:rsidRDefault="001C1D4A" w:rsidP="001C1D4A">
            <w:pPr>
              <w:rPr>
                <w:rFonts w:cs="Cambria"/>
                <w:szCs w:val="22"/>
              </w:rPr>
            </w:pPr>
            <w:r w:rsidRPr="001C1D4A">
              <w:rPr>
                <w:rFonts w:cs="Cambria"/>
                <w:szCs w:val="22"/>
              </w:rPr>
              <w:t xml:space="preserve">TFSC </w:t>
            </w:r>
          </w:p>
        </w:tc>
        <w:tc>
          <w:tcPr>
            <w:tcW w:w="3792" w:type="pct"/>
          </w:tcPr>
          <w:p w14:paraId="0807F418" w14:textId="608DB5BF"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Time to first subsequent chemotherapy or death </w:t>
            </w:r>
          </w:p>
        </w:tc>
      </w:tr>
      <w:tr w:rsidR="001C1D4A" w:rsidRPr="00D01DDB" w14:paraId="7670681D"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C219781" w14:textId="4E180FE8" w:rsidR="001C1D4A" w:rsidRPr="001C1D4A" w:rsidRDefault="001C1D4A" w:rsidP="001C1D4A">
            <w:pPr>
              <w:rPr>
                <w:rFonts w:cs="Cambria"/>
                <w:szCs w:val="22"/>
              </w:rPr>
            </w:pPr>
            <w:r w:rsidRPr="001C1D4A">
              <w:rPr>
                <w:rFonts w:cs="Cambria"/>
                <w:szCs w:val="22"/>
              </w:rPr>
              <w:t xml:space="preserve">TL </w:t>
            </w:r>
          </w:p>
        </w:tc>
        <w:tc>
          <w:tcPr>
            <w:tcW w:w="3792" w:type="pct"/>
          </w:tcPr>
          <w:p w14:paraId="3FBDFBC4" w14:textId="0C272488"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Target lesion </w:t>
            </w:r>
          </w:p>
        </w:tc>
      </w:tr>
      <w:tr w:rsidR="001C1D4A" w:rsidRPr="00D01DDB" w14:paraId="5E00EE4C"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0080BE4" w14:textId="54B12270" w:rsidR="001C1D4A" w:rsidRPr="001C1D4A" w:rsidRDefault="001C1D4A" w:rsidP="001C1D4A">
            <w:pPr>
              <w:rPr>
                <w:rFonts w:cs="Cambria"/>
                <w:szCs w:val="22"/>
              </w:rPr>
            </w:pPr>
            <w:proofErr w:type="spellStart"/>
            <w:r w:rsidRPr="001C1D4A">
              <w:rPr>
                <w:rFonts w:cs="Cambria"/>
                <w:szCs w:val="22"/>
              </w:rPr>
              <w:lastRenderedPageBreak/>
              <w:t>t</w:t>
            </w:r>
            <w:r w:rsidRPr="001C1D4A">
              <w:rPr>
                <w:rFonts w:cs="Cambria"/>
                <w:sz w:val="14"/>
                <w:szCs w:val="14"/>
              </w:rPr>
              <w:t>max</w:t>
            </w:r>
            <w:proofErr w:type="spellEnd"/>
            <w:r w:rsidRPr="001C1D4A">
              <w:rPr>
                <w:rFonts w:cs="Cambria"/>
                <w:sz w:val="14"/>
                <w:szCs w:val="14"/>
              </w:rPr>
              <w:t xml:space="preserve"> </w:t>
            </w:r>
          </w:p>
        </w:tc>
        <w:tc>
          <w:tcPr>
            <w:tcW w:w="3792" w:type="pct"/>
          </w:tcPr>
          <w:p w14:paraId="0FBCEDF1" w14:textId="2A8302E6"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Time to reach peak or maximum observed concentration following drug administration </w:t>
            </w:r>
          </w:p>
        </w:tc>
      </w:tr>
      <w:tr w:rsidR="001C1D4A" w:rsidRPr="00D01DDB" w14:paraId="0698A728"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6CA214B" w14:textId="7F12EDB8" w:rsidR="001C1D4A" w:rsidRPr="001C1D4A" w:rsidRDefault="001C1D4A" w:rsidP="001C1D4A">
            <w:pPr>
              <w:rPr>
                <w:rFonts w:cs="Cambria"/>
                <w:szCs w:val="22"/>
              </w:rPr>
            </w:pPr>
            <w:r w:rsidRPr="001C1D4A">
              <w:rPr>
                <w:rFonts w:cs="Cambria"/>
                <w:szCs w:val="22"/>
              </w:rPr>
              <w:t xml:space="preserve">TNBC </w:t>
            </w:r>
          </w:p>
        </w:tc>
        <w:tc>
          <w:tcPr>
            <w:tcW w:w="3792" w:type="pct"/>
          </w:tcPr>
          <w:p w14:paraId="236C2373" w14:textId="1436A694"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Triple-negative breast cancer </w:t>
            </w:r>
          </w:p>
        </w:tc>
      </w:tr>
      <w:tr w:rsidR="001C1D4A" w:rsidRPr="00D01DDB" w14:paraId="78BEBE21"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432054D" w14:textId="0FA143A0" w:rsidR="001C1D4A" w:rsidRPr="001C1D4A" w:rsidRDefault="001C1D4A" w:rsidP="001C1D4A">
            <w:pPr>
              <w:rPr>
                <w:rFonts w:cs="Cambria"/>
                <w:szCs w:val="22"/>
              </w:rPr>
            </w:pPr>
            <w:r w:rsidRPr="001C1D4A">
              <w:rPr>
                <w:rFonts w:cs="Cambria"/>
                <w:szCs w:val="22"/>
              </w:rPr>
              <w:t xml:space="preserve">UK </w:t>
            </w:r>
          </w:p>
        </w:tc>
        <w:tc>
          <w:tcPr>
            <w:tcW w:w="3792" w:type="pct"/>
          </w:tcPr>
          <w:p w14:paraId="3E024931" w14:textId="38AC0C05"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United Kingdom </w:t>
            </w:r>
          </w:p>
        </w:tc>
      </w:tr>
      <w:tr w:rsidR="001C1D4A" w:rsidRPr="00D01DDB" w14:paraId="4A13FDA0"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39800D3" w14:textId="3B55ECD1" w:rsidR="001C1D4A" w:rsidRPr="001C1D4A" w:rsidRDefault="001C1D4A" w:rsidP="001C1D4A">
            <w:pPr>
              <w:rPr>
                <w:rFonts w:cs="Cambria"/>
                <w:szCs w:val="22"/>
              </w:rPr>
            </w:pPr>
            <w:r w:rsidRPr="001C1D4A">
              <w:rPr>
                <w:rFonts w:cs="Cambria"/>
                <w:szCs w:val="22"/>
              </w:rPr>
              <w:t xml:space="preserve">ULN </w:t>
            </w:r>
          </w:p>
        </w:tc>
        <w:tc>
          <w:tcPr>
            <w:tcW w:w="3792" w:type="pct"/>
          </w:tcPr>
          <w:p w14:paraId="69645B6B" w14:textId="6A6ACEF6"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Upper limit of normal </w:t>
            </w:r>
          </w:p>
        </w:tc>
      </w:tr>
      <w:tr w:rsidR="001C1D4A" w:rsidRPr="00D01DDB" w14:paraId="138AD34D"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2352F50" w14:textId="4FD8E127" w:rsidR="001C1D4A" w:rsidRPr="001C1D4A" w:rsidRDefault="001C1D4A" w:rsidP="001C1D4A">
            <w:pPr>
              <w:rPr>
                <w:rFonts w:cs="Cambria"/>
                <w:szCs w:val="22"/>
              </w:rPr>
            </w:pPr>
            <w:r w:rsidRPr="001C1D4A">
              <w:rPr>
                <w:rFonts w:cs="Cambria"/>
                <w:szCs w:val="22"/>
              </w:rPr>
              <w:t xml:space="preserve">US </w:t>
            </w:r>
          </w:p>
        </w:tc>
        <w:tc>
          <w:tcPr>
            <w:tcW w:w="3792" w:type="pct"/>
          </w:tcPr>
          <w:p w14:paraId="2D64EAA7" w14:textId="4E426724"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United states </w:t>
            </w:r>
          </w:p>
        </w:tc>
      </w:tr>
      <w:tr w:rsidR="001C1D4A" w:rsidRPr="00D01DDB" w14:paraId="5DCFA08D"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08C115A" w14:textId="014F249F" w:rsidR="001C1D4A" w:rsidRPr="001C1D4A" w:rsidRDefault="001C1D4A" w:rsidP="001C1D4A">
            <w:pPr>
              <w:rPr>
                <w:rFonts w:cs="Cambria"/>
                <w:szCs w:val="22"/>
              </w:rPr>
            </w:pPr>
            <w:r w:rsidRPr="001C1D4A">
              <w:rPr>
                <w:rFonts w:cs="Cambria"/>
                <w:szCs w:val="22"/>
              </w:rPr>
              <w:t xml:space="preserve">UTI </w:t>
            </w:r>
          </w:p>
        </w:tc>
        <w:tc>
          <w:tcPr>
            <w:tcW w:w="3792" w:type="pct"/>
          </w:tcPr>
          <w:p w14:paraId="188267AA" w14:textId="543C8608"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Urinary tract infection </w:t>
            </w:r>
          </w:p>
        </w:tc>
      </w:tr>
      <w:tr w:rsidR="001C1D4A" w:rsidRPr="00D01DDB" w14:paraId="4B7E70FB"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0460EA0" w14:textId="4CC11B51" w:rsidR="001C1D4A" w:rsidRPr="001C1D4A" w:rsidRDefault="001C1D4A" w:rsidP="001C1D4A">
            <w:pPr>
              <w:rPr>
                <w:rFonts w:cs="Cambria"/>
                <w:szCs w:val="22"/>
              </w:rPr>
            </w:pPr>
            <w:r w:rsidRPr="001C1D4A">
              <w:rPr>
                <w:rFonts w:cs="Cambria"/>
                <w:szCs w:val="22"/>
              </w:rPr>
              <w:t xml:space="preserve">V </w:t>
            </w:r>
          </w:p>
        </w:tc>
        <w:tc>
          <w:tcPr>
            <w:tcW w:w="3792" w:type="pct"/>
          </w:tcPr>
          <w:p w14:paraId="1AABCA59" w14:textId="2741BF14"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Volume of distribution </w:t>
            </w:r>
          </w:p>
        </w:tc>
      </w:tr>
      <w:tr w:rsidR="001C1D4A" w:rsidRPr="00D01DDB" w14:paraId="5B32006C"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9A0353E" w14:textId="28471FB4" w:rsidR="001C1D4A" w:rsidRPr="001C1D4A" w:rsidRDefault="001C1D4A" w:rsidP="001C1D4A">
            <w:pPr>
              <w:rPr>
                <w:rFonts w:cs="Cambria"/>
                <w:szCs w:val="22"/>
              </w:rPr>
            </w:pPr>
            <w:r w:rsidRPr="001C1D4A">
              <w:rPr>
                <w:rFonts w:cs="Cambria"/>
                <w:szCs w:val="22"/>
              </w:rPr>
              <w:t xml:space="preserve">VAS </w:t>
            </w:r>
          </w:p>
        </w:tc>
        <w:tc>
          <w:tcPr>
            <w:tcW w:w="3792" w:type="pct"/>
          </w:tcPr>
          <w:p w14:paraId="22275D46" w14:textId="4B980884"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Visual analogue scale </w:t>
            </w:r>
          </w:p>
        </w:tc>
      </w:tr>
      <w:tr w:rsidR="001C1D4A" w:rsidRPr="00D01DDB" w14:paraId="5F7C09BF"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C976DA5" w14:textId="348EC7BE" w:rsidR="001C1D4A" w:rsidRPr="001C1D4A" w:rsidRDefault="001C1D4A" w:rsidP="001C1D4A">
            <w:pPr>
              <w:rPr>
                <w:rFonts w:cs="Cambria"/>
                <w:szCs w:val="22"/>
              </w:rPr>
            </w:pPr>
            <w:r w:rsidRPr="001C1D4A">
              <w:rPr>
                <w:rFonts w:cs="Cambria"/>
                <w:szCs w:val="22"/>
              </w:rPr>
              <w:t xml:space="preserve">V/F </w:t>
            </w:r>
          </w:p>
        </w:tc>
        <w:tc>
          <w:tcPr>
            <w:tcW w:w="3792" w:type="pct"/>
          </w:tcPr>
          <w:p w14:paraId="38563D57" w14:textId="64919851"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Apparent volume of distribution </w:t>
            </w:r>
          </w:p>
        </w:tc>
      </w:tr>
      <w:tr w:rsidR="001C1D4A" w:rsidRPr="00D01DDB" w14:paraId="63C00F86"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571C9EA" w14:textId="5A207766" w:rsidR="001C1D4A" w:rsidRPr="001C1D4A" w:rsidRDefault="001C1D4A" w:rsidP="001C1D4A">
            <w:pPr>
              <w:rPr>
                <w:rFonts w:cs="Cambria"/>
                <w:szCs w:val="22"/>
              </w:rPr>
            </w:pPr>
            <w:r w:rsidRPr="001C1D4A">
              <w:rPr>
                <w:rFonts w:cs="Cambria"/>
                <w:szCs w:val="22"/>
              </w:rPr>
              <w:t xml:space="preserve">VPC </w:t>
            </w:r>
          </w:p>
        </w:tc>
        <w:tc>
          <w:tcPr>
            <w:tcW w:w="3792" w:type="pct"/>
          </w:tcPr>
          <w:p w14:paraId="495BD9D1" w14:textId="2A91573A"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Visual predictive check. </w:t>
            </w:r>
          </w:p>
        </w:tc>
      </w:tr>
      <w:tr w:rsidR="001C1D4A" w:rsidRPr="00D01DDB" w14:paraId="51FCCB56"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6961707" w14:textId="6A1175DC" w:rsidR="001C1D4A" w:rsidRPr="001C1D4A" w:rsidRDefault="001C1D4A" w:rsidP="001C1D4A">
            <w:pPr>
              <w:rPr>
                <w:rFonts w:cs="Cambria"/>
                <w:szCs w:val="22"/>
              </w:rPr>
            </w:pPr>
            <w:r w:rsidRPr="001C1D4A">
              <w:rPr>
                <w:rFonts w:cs="Cambria"/>
                <w:szCs w:val="22"/>
              </w:rPr>
              <w:t xml:space="preserve">Vs </w:t>
            </w:r>
          </w:p>
        </w:tc>
        <w:tc>
          <w:tcPr>
            <w:tcW w:w="3792" w:type="pct"/>
          </w:tcPr>
          <w:p w14:paraId="36FE39D1" w14:textId="3AE36E09"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Versus </w:t>
            </w:r>
          </w:p>
        </w:tc>
      </w:tr>
      <w:tr w:rsidR="001C1D4A" w:rsidRPr="00D01DDB" w14:paraId="0787E97B" w14:textId="77777777" w:rsidTr="00672E7B">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0813B38" w14:textId="0414C584" w:rsidR="001C1D4A" w:rsidRPr="001C1D4A" w:rsidRDefault="001C1D4A" w:rsidP="001C1D4A">
            <w:pPr>
              <w:rPr>
                <w:rFonts w:cs="Cambria"/>
                <w:szCs w:val="22"/>
              </w:rPr>
            </w:pPr>
            <w:r w:rsidRPr="001C1D4A">
              <w:rPr>
                <w:rFonts w:cs="Cambria"/>
                <w:szCs w:val="22"/>
              </w:rPr>
              <w:t xml:space="preserve">WHO </w:t>
            </w:r>
          </w:p>
        </w:tc>
        <w:tc>
          <w:tcPr>
            <w:tcW w:w="3792" w:type="pct"/>
          </w:tcPr>
          <w:p w14:paraId="18C98F37" w14:textId="2BEA046A" w:rsidR="001C1D4A" w:rsidRPr="001C1D4A" w:rsidRDefault="001C1D4A" w:rsidP="001C1D4A">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World Health Organisation </w:t>
            </w:r>
          </w:p>
        </w:tc>
      </w:tr>
    </w:tbl>
    <w:p w14:paraId="014865E5" w14:textId="77777777" w:rsidR="00047B85" w:rsidRDefault="00047B85" w:rsidP="008D2C01">
      <w:bookmarkStart w:id="5" w:name="_Toc103679288"/>
      <w:r>
        <w:br w:type="page"/>
      </w:r>
    </w:p>
    <w:p w14:paraId="44C2A39C" w14:textId="6853473C" w:rsidR="00324B33" w:rsidRDefault="00324B33" w:rsidP="00324B33">
      <w:pPr>
        <w:pStyle w:val="Heading2"/>
      </w:pPr>
      <w:bookmarkStart w:id="6" w:name="_Toc191292189"/>
      <w:r>
        <w:lastRenderedPageBreak/>
        <w:t>Product submission</w:t>
      </w:r>
      <w:bookmarkEnd w:id="5"/>
      <w:bookmarkEnd w:id="6"/>
    </w:p>
    <w:p w14:paraId="21D559DF" w14:textId="5DE0C3C1" w:rsidR="00324B33" w:rsidRDefault="00324B33" w:rsidP="00324B33">
      <w:pPr>
        <w:pStyle w:val="Heading3"/>
        <w:rPr>
          <w:lang w:eastAsia="en-AU"/>
        </w:rPr>
      </w:pPr>
      <w:bookmarkStart w:id="7" w:name="_Toc247691502"/>
      <w:bookmarkStart w:id="8" w:name="_Toc314842483"/>
      <w:bookmarkStart w:id="9" w:name="_Toc103679289"/>
      <w:bookmarkStart w:id="10" w:name="_Toc191292190"/>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0F47EA">
        <w:tc>
          <w:tcPr>
            <w:tcW w:w="1577" w:type="pct"/>
          </w:tcPr>
          <w:p w14:paraId="10E57D62" w14:textId="226DD65A" w:rsidR="00324B33" w:rsidRPr="00BD5DBD" w:rsidRDefault="00324B33" w:rsidP="007452E8">
            <w:pPr>
              <w:rPr>
                <w:i/>
                <w:szCs w:val="22"/>
              </w:rPr>
            </w:pPr>
            <w:r w:rsidRPr="00BD5DBD">
              <w:rPr>
                <w:i/>
                <w:szCs w:val="22"/>
              </w:rPr>
              <w:t>Type of submission:</w:t>
            </w:r>
          </w:p>
        </w:tc>
        <w:tc>
          <w:tcPr>
            <w:tcW w:w="3423" w:type="pct"/>
          </w:tcPr>
          <w:p w14:paraId="4F07C303" w14:textId="5F6374C8" w:rsidR="00324B33" w:rsidRPr="00BD5DBD" w:rsidRDefault="000F47EA" w:rsidP="007452E8">
            <w:pPr>
              <w:rPr>
                <w:szCs w:val="22"/>
              </w:rPr>
            </w:pPr>
            <w:hyperlink r:id="rId20" w:history="1">
              <w:r w:rsidRPr="000F47EA">
                <w:rPr>
                  <w:rStyle w:val="Hyperlink"/>
                  <w:szCs w:val="22"/>
                </w:rPr>
                <w:t>New chemical entity</w:t>
              </w:r>
            </w:hyperlink>
          </w:p>
        </w:tc>
      </w:tr>
      <w:tr w:rsidR="00324B33" w:rsidRPr="00BD5DBD" w14:paraId="13482B61" w14:textId="77777777" w:rsidTr="000F47EA">
        <w:tc>
          <w:tcPr>
            <w:tcW w:w="1577" w:type="pct"/>
          </w:tcPr>
          <w:p w14:paraId="2C427FCF" w14:textId="77777777" w:rsidR="00324B33" w:rsidRPr="00BD5DBD" w:rsidRDefault="00324B33" w:rsidP="007452E8">
            <w:pPr>
              <w:rPr>
                <w:i/>
                <w:szCs w:val="22"/>
              </w:rPr>
            </w:pPr>
            <w:r w:rsidRPr="00BD5DBD">
              <w:rPr>
                <w:i/>
                <w:szCs w:val="22"/>
              </w:rPr>
              <w:t>Product name(s):</w:t>
            </w:r>
          </w:p>
        </w:tc>
        <w:tc>
          <w:tcPr>
            <w:tcW w:w="3423" w:type="pct"/>
          </w:tcPr>
          <w:p w14:paraId="0E2DEF76" w14:textId="3CB446A4" w:rsidR="00324B33" w:rsidRPr="00BD5DBD" w:rsidRDefault="000F47EA" w:rsidP="007452E8">
            <w:pPr>
              <w:rPr>
                <w:szCs w:val="22"/>
              </w:rPr>
            </w:pPr>
            <w:proofErr w:type="spellStart"/>
            <w:r>
              <w:rPr>
                <w:szCs w:val="22"/>
              </w:rPr>
              <w:t>Truqap</w:t>
            </w:r>
            <w:proofErr w:type="spellEnd"/>
          </w:p>
        </w:tc>
      </w:tr>
      <w:tr w:rsidR="00324B33" w:rsidRPr="00BD5DBD" w14:paraId="01255B5B" w14:textId="77777777" w:rsidTr="000F47EA">
        <w:tc>
          <w:tcPr>
            <w:tcW w:w="1577" w:type="pct"/>
          </w:tcPr>
          <w:p w14:paraId="52B4F3D7" w14:textId="77777777" w:rsidR="00324B33" w:rsidRPr="00BD5DBD" w:rsidRDefault="00324B33" w:rsidP="007452E8">
            <w:pPr>
              <w:rPr>
                <w:i/>
                <w:szCs w:val="22"/>
              </w:rPr>
            </w:pPr>
            <w:r w:rsidRPr="00BD5DBD">
              <w:rPr>
                <w:i/>
                <w:szCs w:val="22"/>
              </w:rPr>
              <w:t>Active ingredient(s):</w:t>
            </w:r>
          </w:p>
        </w:tc>
        <w:tc>
          <w:tcPr>
            <w:tcW w:w="3423" w:type="pct"/>
          </w:tcPr>
          <w:p w14:paraId="02FB6383" w14:textId="2466E299" w:rsidR="00324B33" w:rsidRPr="00BD5DBD" w:rsidRDefault="000F47EA" w:rsidP="007452E8">
            <w:pPr>
              <w:rPr>
                <w:szCs w:val="22"/>
              </w:rPr>
            </w:pPr>
            <w:proofErr w:type="spellStart"/>
            <w:r>
              <w:rPr>
                <w:szCs w:val="22"/>
              </w:rPr>
              <w:t>Capivasertib</w:t>
            </w:r>
            <w:proofErr w:type="spellEnd"/>
          </w:p>
        </w:tc>
      </w:tr>
      <w:tr w:rsidR="00324B33" w:rsidRPr="00BD5DBD" w14:paraId="219A281B" w14:textId="77777777" w:rsidTr="000F47EA">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3DCE7CF3" w:rsidR="00324B33" w:rsidRPr="00BD5DBD" w:rsidRDefault="00324B33" w:rsidP="007452E8">
            <w:pPr>
              <w:rPr>
                <w:szCs w:val="22"/>
              </w:rPr>
            </w:pPr>
            <w:r w:rsidRPr="00BD5DBD">
              <w:rPr>
                <w:szCs w:val="22"/>
              </w:rPr>
              <w:t xml:space="preserve">Approved </w:t>
            </w:r>
            <w:r w:rsidR="000F47EA" w:rsidRPr="000F47EA">
              <w:rPr>
                <w:szCs w:val="22"/>
              </w:rPr>
              <w:t xml:space="preserve">for registration in the </w:t>
            </w:r>
            <w:hyperlink r:id="rId21" w:history="1">
              <w:r w:rsidR="000F47EA" w:rsidRPr="000F47EA">
                <w:rPr>
                  <w:rStyle w:val="Hyperlink"/>
                </w:rPr>
                <w:t>Australian Register of Therapeutic Goods (ARTG)</w:t>
              </w:r>
            </w:hyperlink>
          </w:p>
        </w:tc>
      </w:tr>
      <w:tr w:rsidR="00AE1947" w:rsidRPr="00BD5DBD" w14:paraId="32B72632" w14:textId="77777777" w:rsidTr="000F47EA">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30096F79" w:rsidR="000F47EA" w:rsidRPr="00BD5DBD" w:rsidRDefault="000F47EA" w:rsidP="000F47EA">
            <w:pPr>
              <w:rPr>
                <w:szCs w:val="22"/>
              </w:rPr>
            </w:pPr>
            <w:r>
              <w:rPr>
                <w:szCs w:val="22"/>
              </w:rPr>
              <w:t>7 May 2024</w:t>
            </w:r>
          </w:p>
        </w:tc>
      </w:tr>
      <w:tr w:rsidR="000F47EA" w:rsidRPr="00BD5DBD" w14:paraId="7A882FB3" w14:textId="77777777" w:rsidTr="000F47EA">
        <w:tc>
          <w:tcPr>
            <w:tcW w:w="1577" w:type="pct"/>
          </w:tcPr>
          <w:p w14:paraId="54D27A48" w14:textId="2C81FCA0" w:rsidR="000F47EA" w:rsidRPr="009E72BE" w:rsidRDefault="000F47EA" w:rsidP="009E72BE">
            <w:pPr>
              <w:rPr>
                <w:i/>
                <w:iCs/>
              </w:rPr>
            </w:pPr>
            <w:r w:rsidRPr="009E72BE">
              <w:rPr>
                <w:i/>
                <w:iCs/>
              </w:rPr>
              <w:t>Date of ARTG</w:t>
            </w:r>
            <w:r w:rsidR="0012245E" w:rsidRPr="009E72BE">
              <w:rPr>
                <w:i/>
                <w:iCs/>
              </w:rPr>
              <w:t xml:space="preserve"> ent</w:t>
            </w:r>
            <w:r w:rsidR="000D6F0C" w:rsidRPr="009E72BE">
              <w:rPr>
                <w:i/>
                <w:iCs/>
              </w:rPr>
              <w:t>ry</w:t>
            </w:r>
            <w:r w:rsidRPr="009E72BE">
              <w:rPr>
                <w:i/>
                <w:iCs/>
              </w:rPr>
              <w:t>:</w:t>
            </w:r>
          </w:p>
        </w:tc>
        <w:tc>
          <w:tcPr>
            <w:tcW w:w="3423" w:type="pct"/>
          </w:tcPr>
          <w:p w14:paraId="29AA04D5" w14:textId="6B17B4E9" w:rsidR="000F47EA" w:rsidRPr="000F47EA" w:rsidRDefault="000F47EA" w:rsidP="009E72BE">
            <w:r>
              <w:t>9 May 2024</w:t>
            </w:r>
          </w:p>
        </w:tc>
      </w:tr>
      <w:tr w:rsidR="000F47EA" w:rsidRPr="00BD5DBD" w14:paraId="200C1F72" w14:textId="77777777" w:rsidTr="000F47EA">
        <w:tc>
          <w:tcPr>
            <w:tcW w:w="1577" w:type="pct"/>
          </w:tcPr>
          <w:p w14:paraId="30E149CE" w14:textId="600A3801" w:rsidR="000F47EA" w:rsidRPr="009E72BE" w:rsidRDefault="000F47EA" w:rsidP="009E72BE">
            <w:pPr>
              <w:rPr>
                <w:i/>
                <w:iCs/>
              </w:rPr>
            </w:pPr>
            <w:r w:rsidRPr="009E72BE">
              <w:rPr>
                <w:i/>
                <w:iCs/>
              </w:rPr>
              <w:t>ARTG number</w:t>
            </w:r>
            <w:r w:rsidR="00E67A59" w:rsidRPr="009E72BE">
              <w:rPr>
                <w:i/>
                <w:iCs/>
              </w:rPr>
              <w:t>s</w:t>
            </w:r>
            <w:r w:rsidRPr="009E72BE">
              <w:rPr>
                <w:i/>
                <w:iCs/>
              </w:rPr>
              <w:t>:</w:t>
            </w:r>
          </w:p>
        </w:tc>
        <w:tc>
          <w:tcPr>
            <w:tcW w:w="3423" w:type="pct"/>
          </w:tcPr>
          <w:p w14:paraId="4DD92FD0" w14:textId="7D1DDC6C" w:rsidR="000F47EA" w:rsidRPr="00BD5DBD" w:rsidRDefault="00F2778A" w:rsidP="009E72BE">
            <w:r w:rsidRPr="00BF2564">
              <w:t>407960 and</w:t>
            </w:r>
            <w:r>
              <w:t xml:space="preserve"> </w:t>
            </w:r>
            <w:r w:rsidR="000F47EA" w:rsidRPr="00136D02">
              <w:t>407961</w:t>
            </w:r>
          </w:p>
        </w:tc>
      </w:tr>
      <w:tr w:rsidR="000F47EA" w:rsidRPr="00BD5DBD" w14:paraId="7F74C078" w14:textId="77777777" w:rsidTr="000F47EA">
        <w:tc>
          <w:tcPr>
            <w:tcW w:w="1577" w:type="pct"/>
          </w:tcPr>
          <w:p w14:paraId="230BA278" w14:textId="667EF482" w:rsidR="000F47EA" w:rsidRPr="009E72BE" w:rsidRDefault="000F47EA" w:rsidP="009E72BE">
            <w:r w:rsidRPr="00BD5DBD">
              <w:rPr>
                <w:rFonts w:ascii="Wingdings 3" w:hAnsi="Wingdings 3"/>
                <w:szCs w:val="22"/>
                <w:lang w:eastAsia="en-AU"/>
              </w:rPr>
              <w:t></w:t>
            </w:r>
            <w:hyperlink r:id="rId22" w:history="1">
              <w:r w:rsidRPr="00BD5DBD">
                <w:rPr>
                  <w:rStyle w:val="Hyperlink"/>
                  <w:i/>
                  <w:szCs w:val="22"/>
                </w:rPr>
                <w:t>Black Triangle Scheme</w:t>
              </w:r>
            </w:hyperlink>
            <w:r w:rsidR="009E72BE">
              <w:t xml:space="preserve"> </w:t>
            </w:r>
            <w:r w:rsidRPr="009E72BE">
              <w:rPr>
                <w:i/>
                <w:iCs/>
              </w:rPr>
              <w:t>for this submission:</w:t>
            </w:r>
          </w:p>
        </w:tc>
        <w:tc>
          <w:tcPr>
            <w:tcW w:w="3423" w:type="pct"/>
          </w:tcPr>
          <w:p w14:paraId="1064A0AD" w14:textId="5AC43ACA" w:rsidR="000F47EA" w:rsidRPr="00BD5DBD" w:rsidRDefault="000F47EA">
            <w:pPr>
              <w:rPr>
                <w:szCs w:val="22"/>
              </w:rPr>
            </w:pPr>
            <w:r>
              <w:rPr>
                <w:szCs w:val="22"/>
              </w:rPr>
              <w:t>Yes</w:t>
            </w:r>
          </w:p>
        </w:tc>
      </w:tr>
      <w:tr w:rsidR="000F47EA" w:rsidRPr="00BD5DBD" w14:paraId="31286633" w14:textId="77777777" w:rsidTr="000F47EA">
        <w:tc>
          <w:tcPr>
            <w:tcW w:w="1577" w:type="pct"/>
          </w:tcPr>
          <w:p w14:paraId="13F6A8D3" w14:textId="4A62A4A0" w:rsidR="000F47EA" w:rsidRPr="009E72BE" w:rsidRDefault="000F47EA" w:rsidP="009E72BE">
            <w:pPr>
              <w:rPr>
                <w:i/>
                <w:iCs/>
              </w:rPr>
            </w:pPr>
            <w:r w:rsidRPr="009E72BE">
              <w:rPr>
                <w:i/>
                <w:iCs/>
              </w:rPr>
              <w:t>Sponsor’s name and address:</w:t>
            </w:r>
          </w:p>
        </w:tc>
        <w:tc>
          <w:tcPr>
            <w:tcW w:w="3423" w:type="pct"/>
          </w:tcPr>
          <w:p w14:paraId="78B775A0" w14:textId="30AFEA96" w:rsidR="000F47EA" w:rsidRPr="00BD5DBD" w:rsidRDefault="000F47EA" w:rsidP="009E72BE">
            <w:pPr>
              <w:rPr>
                <w:szCs w:val="22"/>
              </w:rPr>
            </w:pPr>
            <w:r>
              <w:t>AstraZeneca Pty Ltd</w:t>
            </w:r>
            <w:r>
              <w:br/>
              <w:t>PO Box 131, NORTH RYDE, NSW, 1670 Australia</w:t>
            </w:r>
          </w:p>
        </w:tc>
      </w:tr>
      <w:tr w:rsidR="000F47EA" w:rsidRPr="00BD5DBD" w14:paraId="60A25F5A" w14:textId="77777777" w:rsidTr="000F47EA">
        <w:tc>
          <w:tcPr>
            <w:tcW w:w="1577" w:type="pct"/>
          </w:tcPr>
          <w:p w14:paraId="5C5E4CBA" w14:textId="66D721B3" w:rsidR="000F47EA" w:rsidRPr="00BD5DBD" w:rsidRDefault="000F47EA" w:rsidP="007452E8">
            <w:pPr>
              <w:rPr>
                <w:i/>
                <w:szCs w:val="22"/>
              </w:rPr>
            </w:pPr>
            <w:r w:rsidRPr="00BD5DBD">
              <w:rPr>
                <w:i/>
                <w:szCs w:val="22"/>
              </w:rPr>
              <w:t>Dose form:</w:t>
            </w:r>
          </w:p>
        </w:tc>
        <w:tc>
          <w:tcPr>
            <w:tcW w:w="3423" w:type="pct"/>
          </w:tcPr>
          <w:p w14:paraId="28B270E9" w14:textId="5E9E751F" w:rsidR="000F47EA" w:rsidRPr="00BD5DBD" w:rsidRDefault="000F47EA" w:rsidP="007452E8">
            <w:pPr>
              <w:rPr>
                <w:szCs w:val="22"/>
              </w:rPr>
            </w:pPr>
            <w:r w:rsidRPr="000F47EA">
              <w:rPr>
                <w:szCs w:val="22"/>
              </w:rPr>
              <w:t>Film-coated tablets</w:t>
            </w:r>
          </w:p>
        </w:tc>
      </w:tr>
      <w:tr w:rsidR="000F47EA" w:rsidRPr="00BD5DBD" w14:paraId="547E08D7" w14:textId="77777777" w:rsidTr="000F47EA">
        <w:tc>
          <w:tcPr>
            <w:tcW w:w="1577" w:type="pct"/>
          </w:tcPr>
          <w:p w14:paraId="5030EF30" w14:textId="62880C6B" w:rsidR="000F47EA" w:rsidRPr="00BD5DBD" w:rsidRDefault="000F47EA" w:rsidP="007452E8">
            <w:pPr>
              <w:rPr>
                <w:i/>
                <w:szCs w:val="22"/>
              </w:rPr>
            </w:pPr>
            <w:r w:rsidRPr="00BD5DBD">
              <w:rPr>
                <w:i/>
                <w:szCs w:val="22"/>
              </w:rPr>
              <w:t>Strength(s):</w:t>
            </w:r>
          </w:p>
        </w:tc>
        <w:tc>
          <w:tcPr>
            <w:tcW w:w="3423" w:type="pct"/>
          </w:tcPr>
          <w:p w14:paraId="0054E912" w14:textId="673F22B1" w:rsidR="000F47EA" w:rsidRPr="00BD5DBD" w:rsidRDefault="00490136" w:rsidP="007452E8">
            <w:pPr>
              <w:rPr>
                <w:szCs w:val="22"/>
              </w:rPr>
            </w:pPr>
            <w:r>
              <w:rPr>
                <w:szCs w:val="22"/>
              </w:rPr>
              <w:t>160mg and 200mg</w:t>
            </w:r>
          </w:p>
        </w:tc>
      </w:tr>
      <w:tr w:rsidR="000F47EA" w:rsidRPr="00BD5DBD" w14:paraId="7618393F" w14:textId="77777777" w:rsidTr="000F47EA">
        <w:tc>
          <w:tcPr>
            <w:tcW w:w="1577" w:type="pct"/>
          </w:tcPr>
          <w:p w14:paraId="02260DE2" w14:textId="1AE8A574" w:rsidR="000F47EA" w:rsidRPr="00BD5DBD" w:rsidRDefault="000F47EA" w:rsidP="007452E8">
            <w:pPr>
              <w:rPr>
                <w:i/>
                <w:szCs w:val="22"/>
              </w:rPr>
            </w:pPr>
            <w:r w:rsidRPr="00BD5DBD">
              <w:rPr>
                <w:i/>
                <w:szCs w:val="22"/>
              </w:rPr>
              <w:t>Container:</w:t>
            </w:r>
          </w:p>
        </w:tc>
        <w:tc>
          <w:tcPr>
            <w:tcW w:w="3423" w:type="pct"/>
          </w:tcPr>
          <w:p w14:paraId="6FF3C6A2" w14:textId="0734B318" w:rsidR="000F47EA" w:rsidRPr="00BD5DBD" w:rsidRDefault="00490136" w:rsidP="007452E8">
            <w:pPr>
              <w:rPr>
                <w:szCs w:val="22"/>
              </w:rPr>
            </w:pPr>
            <w:r>
              <w:rPr>
                <w:szCs w:val="22"/>
              </w:rPr>
              <w:t>Blister pack</w:t>
            </w:r>
          </w:p>
        </w:tc>
      </w:tr>
      <w:tr w:rsidR="000F47EA" w:rsidRPr="00BD5DBD" w14:paraId="179E09FE" w14:textId="77777777" w:rsidTr="000F47EA">
        <w:tc>
          <w:tcPr>
            <w:tcW w:w="1577" w:type="pct"/>
          </w:tcPr>
          <w:p w14:paraId="1A592498" w14:textId="35EC0BD6" w:rsidR="000F47EA" w:rsidRPr="00BD5DBD" w:rsidRDefault="000F47EA" w:rsidP="007452E8">
            <w:pPr>
              <w:rPr>
                <w:i/>
                <w:szCs w:val="22"/>
              </w:rPr>
            </w:pPr>
            <w:r w:rsidRPr="00BD5DBD">
              <w:rPr>
                <w:i/>
                <w:szCs w:val="22"/>
              </w:rPr>
              <w:t>Pack size:</w:t>
            </w:r>
          </w:p>
        </w:tc>
        <w:tc>
          <w:tcPr>
            <w:tcW w:w="3423" w:type="pct"/>
          </w:tcPr>
          <w:p w14:paraId="68DD94B0" w14:textId="48E73D26" w:rsidR="000F47EA" w:rsidRPr="00BD5DBD" w:rsidRDefault="00490136" w:rsidP="007452E8">
            <w:pPr>
              <w:rPr>
                <w:szCs w:val="22"/>
              </w:rPr>
            </w:pPr>
            <w:r>
              <w:rPr>
                <w:szCs w:val="22"/>
              </w:rPr>
              <w:t>64 tablets for both strengths</w:t>
            </w:r>
          </w:p>
        </w:tc>
      </w:tr>
      <w:tr w:rsidR="000F47EA" w:rsidRPr="00BD5DBD" w14:paraId="5322B989" w14:textId="77777777" w:rsidTr="000F47EA">
        <w:tc>
          <w:tcPr>
            <w:tcW w:w="1577" w:type="pct"/>
          </w:tcPr>
          <w:p w14:paraId="24F217E3" w14:textId="497083CA" w:rsidR="000F47EA" w:rsidRPr="00BD5DBD" w:rsidRDefault="000F47EA" w:rsidP="007452E8">
            <w:pPr>
              <w:rPr>
                <w:i/>
                <w:szCs w:val="22"/>
              </w:rPr>
            </w:pPr>
            <w:r w:rsidRPr="00BD5DBD">
              <w:rPr>
                <w:i/>
                <w:szCs w:val="22"/>
              </w:rPr>
              <w:t xml:space="preserve">Approved therapeutic use for </w:t>
            </w:r>
            <w:r w:rsidR="00490136">
              <w:rPr>
                <w:i/>
                <w:szCs w:val="22"/>
              </w:rPr>
              <w:t>this</w:t>
            </w:r>
            <w:r w:rsidRPr="00BD5DBD">
              <w:rPr>
                <w:i/>
                <w:szCs w:val="22"/>
              </w:rPr>
              <w:t xml:space="preserve"> submission:</w:t>
            </w:r>
          </w:p>
        </w:tc>
        <w:tc>
          <w:tcPr>
            <w:tcW w:w="3423" w:type="pct"/>
          </w:tcPr>
          <w:p w14:paraId="43EA4F1C" w14:textId="77777777" w:rsidR="00490136" w:rsidRPr="00490136" w:rsidRDefault="00490136" w:rsidP="00490136">
            <w:pPr>
              <w:autoSpaceDE w:val="0"/>
              <w:autoSpaceDN w:val="0"/>
              <w:adjustRightInd w:val="0"/>
              <w:spacing w:after="0" w:line="240" w:lineRule="auto"/>
              <w:rPr>
                <w:rFonts w:cs="Cambria-Italic"/>
                <w:szCs w:val="22"/>
              </w:rPr>
            </w:pPr>
            <w:r w:rsidRPr="00490136">
              <w:rPr>
                <w:rFonts w:cs="Cambria-Italic"/>
                <w:szCs w:val="22"/>
              </w:rPr>
              <w:t xml:space="preserve">TRUQAP is indicated in combination with </w:t>
            </w:r>
            <w:proofErr w:type="spellStart"/>
            <w:r w:rsidRPr="00490136">
              <w:rPr>
                <w:rFonts w:cs="Cambria-Italic"/>
                <w:szCs w:val="22"/>
              </w:rPr>
              <w:t>fulvestrant</w:t>
            </w:r>
            <w:proofErr w:type="spellEnd"/>
            <w:r w:rsidRPr="00490136">
              <w:rPr>
                <w:rFonts w:cs="Cambria-Italic"/>
                <w:szCs w:val="22"/>
              </w:rPr>
              <w:t xml:space="preserve"> for the treatment of adult patients with hormone receptor (HR) positive, human epidermal growth factor receptor 2</w:t>
            </w:r>
          </w:p>
          <w:p w14:paraId="0EE9B56C" w14:textId="77777777" w:rsidR="00490136" w:rsidRPr="00490136" w:rsidRDefault="00490136" w:rsidP="00490136">
            <w:pPr>
              <w:autoSpaceDE w:val="0"/>
              <w:autoSpaceDN w:val="0"/>
              <w:adjustRightInd w:val="0"/>
              <w:spacing w:after="0" w:line="240" w:lineRule="auto"/>
              <w:rPr>
                <w:rFonts w:cs="Cambria-Italic"/>
                <w:szCs w:val="22"/>
              </w:rPr>
            </w:pPr>
            <w:r w:rsidRPr="00490136">
              <w:rPr>
                <w:rFonts w:cs="Cambria-Italic"/>
                <w:szCs w:val="22"/>
              </w:rPr>
              <w:t>(HER2) negative (defined as IHC 0 or 1+, or IHC 2+/ISH-) locally advanced or metastatic breast cancer following recurrence or progression on or after an endocrine-based</w:t>
            </w:r>
          </w:p>
          <w:p w14:paraId="768B254C" w14:textId="36E1B851" w:rsidR="000F47EA" w:rsidRPr="00490136" w:rsidRDefault="00490136" w:rsidP="00490136">
            <w:pPr>
              <w:rPr>
                <w:szCs w:val="22"/>
              </w:rPr>
            </w:pPr>
            <w:r w:rsidRPr="00490136">
              <w:rPr>
                <w:rFonts w:cs="Cambria-Italic"/>
                <w:szCs w:val="22"/>
              </w:rPr>
              <w:t>regimen.</w:t>
            </w:r>
          </w:p>
        </w:tc>
      </w:tr>
    </w:tbl>
    <w:p w14:paraId="67398E99" w14:textId="12C29FBA" w:rsidR="002108B1" w:rsidRDefault="00490136" w:rsidP="009E72BE">
      <w:bookmarkStart w:id="11" w:name="_Toc247691503"/>
      <w:bookmarkStart w:id="12" w:name="_Toc314842484"/>
      <w:bookmarkStart w:id="13" w:name="_Toc103679290"/>
      <w:r>
        <w:t xml:space="preserve">For information on </w:t>
      </w:r>
      <w:r w:rsidR="002108B1">
        <w:t xml:space="preserve">use, </w:t>
      </w:r>
      <w:r w:rsidR="00642FCA">
        <w:t>such as</w:t>
      </w:r>
      <w:r w:rsidR="002108B1">
        <w:t xml:space="preserve"> </w:t>
      </w:r>
      <w:r>
        <w:t>dosage, pregnancy category, contraindications, and precautions</w:t>
      </w:r>
      <w:r w:rsidR="000D6F0C">
        <w:t xml:space="preserve"> etc.</w:t>
      </w:r>
      <w:r>
        <w:t xml:space="preserve"> refer to the</w:t>
      </w:r>
      <w:r w:rsidR="002108B1">
        <w:t xml:space="preserve"> current </w:t>
      </w:r>
      <w:hyperlink r:id="rId23" w:history="1">
        <w:r w:rsidRPr="002108B1">
          <w:rPr>
            <w:rStyle w:val="Hyperlink"/>
          </w:rPr>
          <w:t>Product Information</w:t>
        </w:r>
      </w:hyperlink>
      <w:r>
        <w:t xml:space="preserve"> (PI)</w:t>
      </w:r>
      <w:r w:rsidR="002108B1">
        <w:t xml:space="preserve"> </w:t>
      </w:r>
      <w:r>
        <w:t xml:space="preserve">or </w:t>
      </w:r>
      <w:hyperlink r:id="rId24" w:history="1">
        <w:r w:rsidRPr="002108B1">
          <w:rPr>
            <w:rStyle w:val="Hyperlink"/>
          </w:rPr>
          <w:t>Consumer Medicines Information</w:t>
        </w:r>
      </w:hyperlink>
      <w:r>
        <w:t xml:space="preserve"> </w:t>
      </w:r>
      <w:r w:rsidR="002108B1">
        <w:t xml:space="preserve">(CMI) </w:t>
      </w:r>
      <w:r>
        <w:t>or contact a doctor or pharmacist.</w:t>
      </w:r>
    </w:p>
    <w:p w14:paraId="424F25F4" w14:textId="01A16BD4" w:rsidR="008D2C01" w:rsidRDefault="002108B1" w:rsidP="00490136">
      <w:pPr>
        <w:rPr>
          <w:szCs w:val="22"/>
        </w:rPr>
      </w:pPr>
      <w:r>
        <w:t>Us</w:t>
      </w:r>
      <w:r w:rsidR="00642FCA">
        <w:t>e</w:t>
      </w:r>
      <w:r>
        <w:t xml:space="preserve"> the </w:t>
      </w:r>
      <w:r w:rsidR="00490136" w:rsidRPr="00BD5DBD">
        <w:rPr>
          <w:szCs w:val="22"/>
        </w:rPr>
        <w:t xml:space="preserve">TGA </w:t>
      </w:r>
      <w:hyperlink r:id="rId25" w:history="1">
        <w:r w:rsidR="00490136" w:rsidRPr="00BD5DBD">
          <w:rPr>
            <w:rStyle w:val="Hyperlink"/>
            <w:szCs w:val="22"/>
          </w:rPr>
          <w:t>PI/CMI search facility</w:t>
        </w:r>
        <w:r w:rsidR="00490136">
          <w:rPr>
            <w:rStyle w:val="Hyperlink"/>
            <w:szCs w:val="22"/>
          </w:rPr>
          <w:t xml:space="preserve"> </w:t>
        </w:r>
      </w:hyperlink>
      <w:r>
        <w:rPr>
          <w:szCs w:val="22"/>
        </w:rPr>
        <w:t xml:space="preserve">to </w:t>
      </w:r>
      <w:r w:rsidR="00425334">
        <w:rPr>
          <w:szCs w:val="22"/>
        </w:rPr>
        <w:t>view</w:t>
      </w:r>
      <w:r>
        <w:rPr>
          <w:szCs w:val="22"/>
        </w:rPr>
        <w:t xml:space="preserve"> a PI or CMI by medicine/trade name or active ingredient.</w:t>
      </w:r>
    </w:p>
    <w:p w14:paraId="51F2479F" w14:textId="1FFC5EC2" w:rsidR="00324B33" w:rsidRDefault="00324B33" w:rsidP="008D2C01">
      <w:pPr>
        <w:pStyle w:val="Heading3"/>
        <w:pageBreakBefore/>
      </w:pPr>
      <w:bookmarkStart w:id="14" w:name="_Toc191292191"/>
      <w:r>
        <w:lastRenderedPageBreak/>
        <w:t>Product background</w:t>
      </w:r>
      <w:bookmarkEnd w:id="11"/>
      <w:bookmarkEnd w:id="12"/>
      <w:bookmarkEnd w:id="13"/>
      <w:bookmarkEnd w:id="14"/>
    </w:p>
    <w:p w14:paraId="0DBB7804" w14:textId="64C01B6E" w:rsidR="00047B85" w:rsidRDefault="00047B85" w:rsidP="00047B85">
      <w:pPr>
        <w:rPr>
          <w:rFonts w:cs="Segoe UI"/>
          <w:color w:val="313131"/>
          <w:shd w:val="clear" w:color="auto" w:fill="FFFFFF"/>
        </w:rPr>
      </w:pPr>
      <w:r>
        <w:rPr>
          <w:rFonts w:cs="Segoe UI"/>
          <w:color w:val="313131"/>
          <w:shd w:val="clear" w:color="auto" w:fill="FFFFFF"/>
        </w:rPr>
        <w:t xml:space="preserve">This </w:t>
      </w:r>
      <w:proofErr w:type="spellStart"/>
      <w:r>
        <w:rPr>
          <w:rFonts w:cs="Segoe UI"/>
          <w:color w:val="313131"/>
          <w:shd w:val="clear" w:color="auto" w:fill="FFFFFF"/>
        </w:rPr>
        <w:t>AusPAR</w:t>
      </w:r>
      <w:proofErr w:type="spellEnd"/>
      <w:r>
        <w:rPr>
          <w:rFonts w:cs="Segoe UI"/>
          <w:color w:val="313131"/>
          <w:shd w:val="clear" w:color="auto" w:fill="FFFFFF"/>
        </w:rPr>
        <w:t xml:space="preserve"> provides information on the assessment of </w:t>
      </w:r>
      <w:proofErr w:type="spellStart"/>
      <w:r>
        <w:t>Truqap</w:t>
      </w:r>
      <w:proofErr w:type="spellEnd"/>
      <w:r>
        <w:t xml:space="preserve"> (</w:t>
      </w:r>
      <w:proofErr w:type="spellStart"/>
      <w:r w:rsidR="00672E7B">
        <w:t>c</w:t>
      </w:r>
      <w:r>
        <w:rPr>
          <w:szCs w:val="22"/>
        </w:rPr>
        <w:t>apivasertib</w:t>
      </w:r>
      <w:proofErr w:type="spellEnd"/>
      <w:r>
        <w:rPr>
          <w:szCs w:val="22"/>
        </w:rPr>
        <w:t xml:space="preserve">) </w:t>
      </w:r>
      <w:r>
        <w:rPr>
          <w:rFonts w:cs="Segoe UI"/>
          <w:color w:val="313131"/>
          <w:shd w:val="clear" w:color="auto" w:fill="FFFFFF"/>
        </w:rPr>
        <w:t>160mg tablets and 200mg tablets for the following proposed indication</w:t>
      </w:r>
      <w:r w:rsidR="00444D2A">
        <w:rPr>
          <w:rFonts w:cs="Segoe UI"/>
          <w:color w:val="313131"/>
          <w:shd w:val="clear" w:color="auto" w:fill="FFFFFF"/>
        </w:rPr>
        <w:t>.</w:t>
      </w:r>
      <w:r w:rsidRPr="00065839">
        <w:rPr>
          <w:vertAlign w:val="superscript"/>
        </w:rPr>
        <w:footnoteReference w:id="2"/>
      </w:r>
      <w:r>
        <w:rPr>
          <w:rFonts w:cs="Segoe UI"/>
          <w:color w:val="313131"/>
          <w:shd w:val="clear" w:color="auto" w:fill="FFFFFF"/>
        </w:rPr>
        <w:t xml:space="preserve"> </w:t>
      </w:r>
    </w:p>
    <w:p w14:paraId="6BF7E1EE" w14:textId="1561F207" w:rsidR="00047B85" w:rsidRPr="00672E7B" w:rsidRDefault="00047B85" w:rsidP="00047B85">
      <w:pPr>
        <w:ind w:left="720"/>
        <w:rPr>
          <w:rFonts w:cs="Segoe UI"/>
          <w:i/>
          <w:color w:val="313131"/>
          <w:szCs w:val="22"/>
          <w:shd w:val="clear" w:color="auto" w:fill="FFFFFF"/>
        </w:rPr>
      </w:pPr>
      <w:proofErr w:type="spellStart"/>
      <w:r w:rsidRPr="00672E7B">
        <w:rPr>
          <w:i/>
          <w:szCs w:val="22"/>
        </w:rPr>
        <w:t>T</w:t>
      </w:r>
      <w:r w:rsidR="00B43F5C">
        <w:rPr>
          <w:i/>
          <w:szCs w:val="22"/>
        </w:rPr>
        <w:t>ruqap</w:t>
      </w:r>
      <w:proofErr w:type="spellEnd"/>
      <w:r w:rsidRPr="00672E7B">
        <w:rPr>
          <w:i/>
          <w:spacing w:val="-4"/>
          <w:szCs w:val="22"/>
        </w:rPr>
        <w:t xml:space="preserve"> </w:t>
      </w:r>
      <w:r w:rsidRPr="00672E7B">
        <w:rPr>
          <w:i/>
          <w:szCs w:val="22"/>
        </w:rPr>
        <w:t>in</w:t>
      </w:r>
      <w:r w:rsidRPr="00672E7B">
        <w:rPr>
          <w:i/>
          <w:spacing w:val="-4"/>
          <w:szCs w:val="22"/>
        </w:rPr>
        <w:t xml:space="preserve"> </w:t>
      </w:r>
      <w:r w:rsidRPr="00672E7B">
        <w:rPr>
          <w:i/>
          <w:szCs w:val="22"/>
        </w:rPr>
        <w:t>combination</w:t>
      </w:r>
      <w:r w:rsidRPr="00672E7B">
        <w:rPr>
          <w:i/>
          <w:spacing w:val="-4"/>
          <w:szCs w:val="22"/>
        </w:rPr>
        <w:t xml:space="preserve"> </w:t>
      </w:r>
      <w:r w:rsidRPr="00672E7B">
        <w:rPr>
          <w:i/>
          <w:szCs w:val="22"/>
        </w:rPr>
        <w:t>with</w:t>
      </w:r>
      <w:r w:rsidRPr="00672E7B">
        <w:rPr>
          <w:i/>
          <w:spacing w:val="-3"/>
          <w:szCs w:val="22"/>
        </w:rPr>
        <w:t xml:space="preserve"> </w:t>
      </w:r>
      <w:proofErr w:type="spellStart"/>
      <w:r w:rsidRPr="00672E7B">
        <w:rPr>
          <w:i/>
          <w:szCs w:val="22"/>
        </w:rPr>
        <w:t>fulvestrant</w:t>
      </w:r>
      <w:proofErr w:type="spellEnd"/>
      <w:r w:rsidRPr="00672E7B">
        <w:rPr>
          <w:i/>
          <w:spacing w:val="-5"/>
          <w:szCs w:val="22"/>
        </w:rPr>
        <w:t xml:space="preserve"> </w:t>
      </w:r>
      <w:r w:rsidRPr="00672E7B">
        <w:rPr>
          <w:i/>
          <w:szCs w:val="22"/>
        </w:rPr>
        <w:t>for</w:t>
      </w:r>
      <w:r w:rsidRPr="00672E7B">
        <w:rPr>
          <w:i/>
          <w:spacing w:val="-4"/>
          <w:szCs w:val="22"/>
        </w:rPr>
        <w:t xml:space="preserve"> </w:t>
      </w:r>
      <w:r w:rsidRPr="00672E7B">
        <w:rPr>
          <w:i/>
          <w:szCs w:val="22"/>
        </w:rPr>
        <w:t>the</w:t>
      </w:r>
      <w:r w:rsidRPr="00672E7B">
        <w:rPr>
          <w:i/>
          <w:spacing w:val="-5"/>
          <w:szCs w:val="22"/>
        </w:rPr>
        <w:t xml:space="preserve"> </w:t>
      </w:r>
      <w:r w:rsidRPr="00672E7B">
        <w:rPr>
          <w:i/>
          <w:szCs w:val="22"/>
        </w:rPr>
        <w:t xml:space="preserve">treatment of adult patients with hormone receptor (HR) positive, human epidermal growth factor receptor 2 (HER2) negative (defined as IHC 0 or 1+, or IHC 2+/ISH-) locally advanced or metastatic breast cancer following recurrence or progression on or after an endocrine based </w:t>
      </w:r>
      <w:r w:rsidRPr="00672E7B">
        <w:rPr>
          <w:i/>
          <w:spacing w:val="-2"/>
          <w:szCs w:val="22"/>
        </w:rPr>
        <w:t>regimen.</w:t>
      </w:r>
    </w:p>
    <w:p w14:paraId="1E63A2AE" w14:textId="28B24403" w:rsidR="00CB6813" w:rsidRDefault="00047B85" w:rsidP="00047B85">
      <w:pPr>
        <w:pStyle w:val="Heading3"/>
      </w:pPr>
      <w:bookmarkStart w:id="15" w:name="_Toc191292192"/>
      <w:bookmarkStart w:id="16" w:name="_Toc314842485"/>
      <w:bookmarkStart w:id="17" w:name="_Toc247691504"/>
      <w:r>
        <w:t>Disease or condition</w:t>
      </w:r>
      <w:bookmarkEnd w:id="15"/>
    </w:p>
    <w:p w14:paraId="2B4712C5" w14:textId="59E7F012" w:rsidR="00047B85" w:rsidRDefault="00047B85" w:rsidP="00047B85">
      <w:pPr>
        <w:pStyle w:val="Heading4"/>
      </w:pPr>
      <w:bookmarkStart w:id="18" w:name="_Toc191292193"/>
      <w:r>
        <w:t>Breast cancer</w:t>
      </w:r>
      <w:bookmarkEnd w:id="18"/>
    </w:p>
    <w:p w14:paraId="1655B0EC" w14:textId="31F1C4BC" w:rsidR="00341218" w:rsidRPr="00341218" w:rsidRDefault="00341218" w:rsidP="007D5C25">
      <w:r w:rsidRPr="00341218">
        <w:t>Breast cancer is the second most commonly diagnosed cancer in Australia, with an age-standardised incidence rate of 78.6/100,000 population per year, and the most commonly diagnosed cancer in women with an age standardised incidence rate of 149.9/100.000 women.</w:t>
      </w:r>
      <w:r w:rsidR="00D44664">
        <w:rPr>
          <w:rStyle w:val="FootnoteReference"/>
        </w:rPr>
        <w:footnoteReference w:id="3"/>
      </w:r>
      <w:r w:rsidRPr="00341218">
        <w:t xml:space="preserve"> It is the fifth most common cause of cancer death in Australia with an age-standardised mortality rate of 12.5/100,000 population, and the second most common cause of cancer death in women with an age-standardised mortality rate of 23.1/100,000 women.</w:t>
      </w:r>
    </w:p>
    <w:p w14:paraId="3E6FD670" w14:textId="23152888" w:rsidR="00341218" w:rsidRPr="00341218" w:rsidRDefault="00341218" w:rsidP="007D5C25">
      <w:r w:rsidRPr="00341218">
        <w:t>Breast cancer is classified depending on the site, the size, the stage (depending on size, invasive, lymphatic involvement and metastasis), the histology (whether the tumour is invasive, ductal or adenocarcinoma), molecular markers (hormone receptors [HR] and human epidermal growth factor receptor 2 [HER2] receptors), and cytogenetics (mutations and epigenetics).</w:t>
      </w:r>
      <w:r w:rsidR="00D44664">
        <w:rPr>
          <w:rStyle w:val="FootnoteReference"/>
        </w:rPr>
        <w:footnoteReference w:id="4"/>
      </w:r>
      <w:r w:rsidR="00D44664">
        <w:rPr>
          <w:vertAlign w:val="superscript"/>
        </w:rPr>
        <w:t xml:space="preserve"> </w:t>
      </w:r>
      <w:r w:rsidRPr="00341218">
        <w:t>The classification is used in guiding assessments of prognosis, in determining treatment regimens and in research. The target condition of the present application is a specific subtype of breast cancer: HR positive (+), HER2 negative (-) locally advanced or metastatic breast cancer.</w:t>
      </w:r>
    </w:p>
    <w:p w14:paraId="1D225CAE" w14:textId="7DC0A0C6" w:rsidR="00341218" w:rsidRPr="00341218" w:rsidRDefault="00341218" w:rsidP="007D5C25">
      <w:r w:rsidRPr="00341218">
        <w:t>HR+/HER2- is the most common molecular subtype of breast cancer, accounting for approximately 70% of new presentations. It is also the molecular subtype with the best prognosis, with survival rate at 4 years of 92.5%, compared to 90.3% for HR+/HER</w:t>
      </w:r>
      <w:r w:rsidR="00F2778A" w:rsidRPr="00BF2564">
        <w:t>2</w:t>
      </w:r>
      <w:r w:rsidRPr="00341218">
        <w:t>+, 82.7% for HR-/HER2+ and 77.0% for triple negative (negative for oestrogen receptors, progesterone receptors and HER2).</w:t>
      </w:r>
      <w:r w:rsidRPr="00341218">
        <w:rPr>
          <w:vertAlign w:val="superscript"/>
        </w:rPr>
        <w:footnoteReference w:id="5"/>
      </w:r>
      <w:r w:rsidRPr="00341218">
        <w:t xml:space="preserve"> However, in patients presenting with advanced HR+/HER2- breast cancer median overall survival time is 32.2 months, and in patients who also have PIK3CA mutations this is decreased to 26.9 months.</w:t>
      </w:r>
      <w:r w:rsidRPr="00341218">
        <w:rPr>
          <w:vertAlign w:val="superscript"/>
        </w:rPr>
        <w:footnoteReference w:id="6"/>
      </w:r>
      <w:r w:rsidRPr="00341218">
        <w:t xml:space="preserve"> This indicates a significantly poorer prognosis if the cancer presents when advanced.</w:t>
      </w:r>
    </w:p>
    <w:p w14:paraId="1F5E6F62" w14:textId="61E4D50C" w:rsidR="00341218" w:rsidRPr="00341218" w:rsidRDefault="00341218" w:rsidP="007D5C25">
      <w:r w:rsidRPr="00341218">
        <w:t xml:space="preserve">In HR+/HER2- locally advanced or metastatic breast cancer the tumour has advanced beyond the breast to areas near the breast, such as the chest wall (locally advanced), or to other parts of </w:t>
      </w:r>
      <w:r w:rsidRPr="00341218">
        <w:lastRenderedPageBreak/>
        <w:t>the body, typically the bones, liver lungs and/or brain (metastatic). This often means that the tumour cells have had further mutations and changes, which may be epigenetic, and there is immune tolerance to the tumour cells.</w:t>
      </w:r>
      <w:r w:rsidRPr="00341218">
        <w:rPr>
          <w:vertAlign w:val="superscript"/>
        </w:rPr>
        <w:footnoteReference w:id="7"/>
      </w:r>
      <w:r w:rsidRPr="00341218">
        <w:t xml:space="preserve"> The tumour may now have multiple cell lines, with different responses to treatment. This may involve resistance or partial resistance to hormone treatment.</w:t>
      </w:r>
    </w:p>
    <w:p w14:paraId="303CDE63" w14:textId="22CE16C9" w:rsidR="00341218" w:rsidRPr="00341218" w:rsidRDefault="00341218" w:rsidP="001A216F">
      <w:pPr>
        <w:spacing w:after="0"/>
        <w:rPr>
          <w:sz w:val="24"/>
          <w:szCs w:val="24"/>
        </w:rPr>
      </w:pPr>
      <w:r w:rsidRPr="00341218">
        <w:t>AKT is a component of cell signalling pathways involved in cell proliferation and survival</w:t>
      </w:r>
      <w:r w:rsidRPr="00341218">
        <w:rPr>
          <w:sz w:val="24"/>
        </w:rPr>
        <w:t>.</w:t>
      </w:r>
      <w:r w:rsidRPr="00672E7B">
        <w:rPr>
          <w:szCs w:val="22"/>
          <w:vertAlign w:val="superscript"/>
        </w:rPr>
        <w:footnoteReference w:id="8"/>
      </w:r>
      <w:r w:rsidRPr="00672E7B">
        <w:rPr>
          <w:szCs w:val="22"/>
        </w:rPr>
        <w:t xml:space="preserve"> </w:t>
      </w:r>
      <w:r w:rsidRPr="00341218">
        <w:t xml:space="preserve">These involve activation through cell surface receptors such as GPCR endocrine receptors, through PI3K pathway activating AKT. The pathway is then inactivated (regulated) by PTEN. Hence, AKT inhibitors would be expected to have activity in endocrine responsive cell lines, and where there are mutations affecting the function of PI3K, AKT1 or PTEN. These mutations may prevent the inactivation of AKT1, upregulate the effects of PI3K or downregulate the effects of PTEN. The end-result being increased proliferation and survival of the neoplastic cell lines. Hence the potential role of AKT inhibitors in </w:t>
      </w:r>
      <w:r w:rsidR="001A216F">
        <w:t>e</w:t>
      </w:r>
      <w:r w:rsidRPr="00341218">
        <w:t>strogen receptor positive breast cancers</w:t>
      </w:r>
      <w:r w:rsidRPr="00341218">
        <w:rPr>
          <w:sz w:val="24"/>
        </w:rPr>
        <w:t>.</w:t>
      </w:r>
      <w:r w:rsidRPr="00672E7B">
        <w:rPr>
          <w:szCs w:val="22"/>
          <w:vertAlign w:val="superscript"/>
        </w:rPr>
        <w:footnoteReference w:id="9"/>
      </w:r>
    </w:p>
    <w:p w14:paraId="255E083A" w14:textId="574CE64C" w:rsidR="00CB6813" w:rsidRDefault="00CB6813" w:rsidP="00CB6813">
      <w:pPr>
        <w:pStyle w:val="Heading4"/>
      </w:pPr>
      <w:bookmarkStart w:id="19" w:name="_Toc191292194"/>
      <w:r>
        <w:t>Current treatment options</w:t>
      </w:r>
      <w:bookmarkEnd w:id="19"/>
    </w:p>
    <w:p w14:paraId="25FF9AEE" w14:textId="3C2BE42D" w:rsidR="00B05102" w:rsidRDefault="00B05102" w:rsidP="007D5C25">
      <w:r w:rsidRPr="00B05102">
        <w:t>In early breast cancer, treatment options include combinations of surgery, radiotherapy, targeted treatments (endocrine therapy or HER2 blockade) and chemotherapy based upon the classification of the tumour.</w:t>
      </w:r>
      <w:r w:rsidR="001A216F" w:rsidRPr="001A216F">
        <w:rPr>
          <w:vertAlign w:val="superscript"/>
        </w:rPr>
        <w:t xml:space="preserve"> </w:t>
      </w:r>
      <w:r w:rsidR="00AD5098">
        <w:rPr>
          <w:vertAlign w:val="superscript"/>
        </w:rPr>
        <w:t>8</w:t>
      </w:r>
      <w:r w:rsidRPr="00B05102">
        <w:t xml:space="preserve"> Neoadjuvant refers to chemotherapy prior to surgery, whereas adjuvant refers to chemotherapy after surgery. The aim of targeting therapy based on tumour subtype is to improve response rates and to decrease adverse effects.</w:t>
      </w:r>
    </w:p>
    <w:p w14:paraId="59E7666A" w14:textId="7ADD61C5" w:rsidR="00B05102" w:rsidRPr="00B05102" w:rsidRDefault="00B05102" w:rsidP="007D5C25">
      <w:r w:rsidRPr="00B05102">
        <w:t>The treatments for advanced breast cancer differ, in that there is less emphasis on surgery and more emphasis on targeted therapy and chemotherapy.</w:t>
      </w:r>
      <w:r w:rsidR="001A216F" w:rsidRPr="001A216F">
        <w:rPr>
          <w:vertAlign w:val="superscript"/>
        </w:rPr>
        <w:t xml:space="preserve"> </w:t>
      </w:r>
      <w:r w:rsidR="00AD5098">
        <w:rPr>
          <w:vertAlign w:val="superscript"/>
        </w:rPr>
        <w:t>8</w:t>
      </w:r>
      <w:r w:rsidRPr="00B05102">
        <w:t xml:space="preserve"> For HR+/HER2- locally advanced or metastatic breast cancer there may be an advantage to using </w:t>
      </w:r>
      <w:proofErr w:type="spellStart"/>
      <w:r w:rsidRPr="00B05102">
        <w:t>fulvestrant</w:t>
      </w:r>
      <w:proofErr w:type="spellEnd"/>
      <w:r w:rsidRPr="00B05102">
        <w:t xml:space="preserve"> as hormone therapy because it is less susceptible to acquired resistance. Cyclin-dependent kinase 4 and 6 inhibitors (CDK4/6i) as a group improve progression free survival (PFS) but there are differences between individual agents in overall survival (OS)</w:t>
      </w:r>
      <w:r w:rsidR="006D03FD">
        <w:rPr>
          <w:rStyle w:val="FootnoteReference"/>
        </w:rPr>
        <w:footnoteReference w:id="10"/>
      </w:r>
      <w:r w:rsidRPr="00B05102">
        <w:t xml:space="preserve">. There was a significant improvement in PFS but not OS with palbociclib, whereas </w:t>
      </w:r>
      <w:proofErr w:type="spellStart"/>
      <w:r w:rsidRPr="00B05102">
        <w:t>ribociclib</w:t>
      </w:r>
      <w:proofErr w:type="spellEnd"/>
      <w:r w:rsidRPr="00B05102">
        <w:t xml:space="preserve"> and </w:t>
      </w:r>
      <w:proofErr w:type="spellStart"/>
      <w:r w:rsidRPr="00B05102">
        <w:t>abemaciclib</w:t>
      </w:r>
      <w:proofErr w:type="spellEnd"/>
      <w:r w:rsidRPr="00B05102">
        <w:t xml:space="preserve"> significantly improved both PFS and OS. Palbociclib, </w:t>
      </w:r>
      <w:proofErr w:type="spellStart"/>
      <w:r w:rsidRPr="00B05102">
        <w:t>ribociclib</w:t>
      </w:r>
      <w:proofErr w:type="spellEnd"/>
      <w:r w:rsidRPr="00B05102">
        <w:t xml:space="preserve"> and </w:t>
      </w:r>
      <w:proofErr w:type="spellStart"/>
      <w:r w:rsidRPr="00B05102">
        <w:t>abemaciclib</w:t>
      </w:r>
      <w:proofErr w:type="spellEnd"/>
      <w:r w:rsidRPr="00B05102">
        <w:t xml:space="preserve"> are currently registered in Australia for the treatment of HR+/HER2- advanced or metastatic breast cancer in combination with either an aromatase inhibitor as initial endocrine-based therapy or </w:t>
      </w:r>
      <w:proofErr w:type="spellStart"/>
      <w:r w:rsidRPr="00B05102">
        <w:t>fulvestrant</w:t>
      </w:r>
      <w:proofErr w:type="spellEnd"/>
      <w:r w:rsidRPr="00B05102">
        <w:t>.</w:t>
      </w:r>
    </w:p>
    <w:p w14:paraId="3435F599" w14:textId="19FCB117" w:rsidR="00BC7834" w:rsidRDefault="00B05102" w:rsidP="007D5C25">
      <w:r w:rsidRPr="00B05102">
        <w:t xml:space="preserve">Another treatment option is </w:t>
      </w:r>
      <w:proofErr w:type="spellStart"/>
      <w:r w:rsidRPr="00B05102">
        <w:t>alpelisib</w:t>
      </w:r>
      <w:proofErr w:type="spellEnd"/>
      <w:r w:rsidRPr="00B05102">
        <w:t>, a PI3K inhibitor which in Australia is approved for the treatment of postmenopausal women, and men, with HR+/HER2-, advanced or metastatic breast cancer with a PIK3CA mutation. Everolimus (an inhibitor of growth factor-stimulated phosphorylation of the p70 S6 kinase) is mentioned by the Sponsor as a current treatment option, but it is not registered for the proposed indication in Australia.</w:t>
      </w:r>
    </w:p>
    <w:p w14:paraId="7058324D" w14:textId="151BB7F1" w:rsidR="00B05102" w:rsidRPr="00B05102" w:rsidRDefault="00B05102" w:rsidP="007D5C25">
      <w:r w:rsidRPr="00B05102">
        <w:lastRenderedPageBreak/>
        <w:t xml:space="preserve">Hence the proposed role of </w:t>
      </w:r>
      <w:proofErr w:type="spellStart"/>
      <w:r w:rsidRPr="00B05102">
        <w:t>capivasertib</w:t>
      </w:r>
      <w:proofErr w:type="spellEnd"/>
      <w:r w:rsidRPr="00B05102">
        <w:t xml:space="preserve"> would be as an alternative to CDK4/6i or as second-line treatment for patients who have failed CDK4/6i. However, </w:t>
      </w:r>
      <w:proofErr w:type="spellStart"/>
      <w:r w:rsidRPr="00B05102">
        <w:t>capivasertib</w:t>
      </w:r>
      <w:proofErr w:type="spellEnd"/>
      <w:r w:rsidRPr="00B05102">
        <w:t xml:space="preserve"> has a different mechanism of action than CDK4/6i and therefore may have an advantage, or disadvantage, with </w:t>
      </w:r>
      <w:proofErr w:type="gramStart"/>
      <w:r w:rsidRPr="00B05102">
        <w:t>particular mutations</w:t>
      </w:r>
      <w:proofErr w:type="gramEnd"/>
      <w:r w:rsidRPr="00B05102">
        <w:t>, e.g. mutations affecting the function of PI3K, AKT1 or PTEN. Also, given the differences between the individual CDK4/6i, it would be important to consider OS in addition to PFS.</w:t>
      </w:r>
    </w:p>
    <w:p w14:paraId="37C47E09" w14:textId="2BF86180" w:rsidR="00CB6813" w:rsidRDefault="00CB6813" w:rsidP="00CB6813">
      <w:pPr>
        <w:pStyle w:val="Heading4"/>
      </w:pPr>
      <w:bookmarkStart w:id="20" w:name="_Toc191292195"/>
      <w:r>
        <w:t>C</w:t>
      </w:r>
      <w:r w:rsidRPr="00DE1344">
        <w:t>linical rational</w:t>
      </w:r>
      <w:r w:rsidR="0025785B">
        <w:t>e</w:t>
      </w:r>
      <w:bookmarkEnd w:id="20"/>
    </w:p>
    <w:p w14:paraId="48B41C44" w14:textId="510F38C9" w:rsidR="00E85681" w:rsidRPr="00E85681" w:rsidRDefault="00E85681" w:rsidP="007D5C25">
      <w:r>
        <w:t>Advanced breast cancer remains virtually incurable. There is a need for new regimens that can extend the utility of endocrine therapy, thereby delaying the need for chemotherapy for patients with recurrence or progression after endocrine therapy with or without a CDK4/6 inhibitor, regardless of menopausal status and tumour mutational status.</w:t>
      </w:r>
    </w:p>
    <w:p w14:paraId="0D615854" w14:textId="72C13886" w:rsidR="00324B33" w:rsidRPr="003F31A2" w:rsidRDefault="00324B33" w:rsidP="00324B33">
      <w:pPr>
        <w:pStyle w:val="Heading3"/>
      </w:pPr>
      <w:bookmarkStart w:id="21" w:name="_Toc103679291"/>
      <w:bookmarkStart w:id="22" w:name="_Toc191292196"/>
      <w:r>
        <w:t>Regulatory status</w:t>
      </w:r>
      <w:bookmarkEnd w:id="16"/>
      <w:bookmarkEnd w:id="17"/>
      <w:bookmarkEnd w:id="21"/>
      <w:bookmarkEnd w:id="22"/>
    </w:p>
    <w:p w14:paraId="72C889D6" w14:textId="79A26264" w:rsidR="0017005C" w:rsidRDefault="0017005C" w:rsidP="00741AB9">
      <w:pPr>
        <w:pStyle w:val="Heading4"/>
      </w:pPr>
      <w:bookmarkStart w:id="23" w:name="_Toc191292197"/>
      <w:r w:rsidRPr="00BD5DBD">
        <w:t>Australian regulatory</w:t>
      </w:r>
      <w:r>
        <w:t xml:space="preserve"> sta</w:t>
      </w:r>
      <w:r w:rsidR="0025785B">
        <w:t>t</w:t>
      </w:r>
      <w:r>
        <w:t>us</w:t>
      </w:r>
      <w:bookmarkEnd w:id="23"/>
    </w:p>
    <w:p w14:paraId="39A3F846" w14:textId="3DB9A51F" w:rsidR="00E85681" w:rsidRPr="00E85681" w:rsidRDefault="00E85681" w:rsidP="007D5C25">
      <w:r>
        <w:t xml:space="preserve">This is the first application to register </w:t>
      </w:r>
      <w:proofErr w:type="spellStart"/>
      <w:r>
        <w:t>Capivasertib</w:t>
      </w:r>
      <w:proofErr w:type="spellEnd"/>
      <w:r>
        <w:t xml:space="preserve"> in Australia.</w:t>
      </w:r>
    </w:p>
    <w:p w14:paraId="546C1031" w14:textId="65A57DF4" w:rsidR="0017005C" w:rsidRDefault="00B05136" w:rsidP="0017005C">
      <w:pPr>
        <w:pStyle w:val="Heading4"/>
      </w:pPr>
      <w:bookmarkStart w:id="24" w:name="_Toc191292198"/>
      <w:r>
        <w:t>International</w:t>
      </w:r>
      <w:r w:rsidR="0017005C" w:rsidRPr="00BD5DBD">
        <w:t xml:space="preserve"> regulatory</w:t>
      </w:r>
      <w:r w:rsidR="0017005C">
        <w:t xml:space="preserve"> status</w:t>
      </w:r>
      <w:bookmarkEnd w:id="24"/>
    </w:p>
    <w:p w14:paraId="48CB7BE4" w14:textId="688C9618" w:rsidR="00F1082F" w:rsidRPr="00F1082F" w:rsidRDefault="00F1082F" w:rsidP="00333142">
      <w:r w:rsidRPr="00F1082F">
        <w:t>This submission was evaluated under Project Orbis in collaboration with the US FDA and regulators in Canada, the UK, Switzerland, Israel, Singapore and Australia.</w:t>
      </w:r>
    </w:p>
    <w:p w14:paraId="13CCA2CD" w14:textId="18DDDB93" w:rsidR="00F1082F" w:rsidRPr="00F1082F" w:rsidRDefault="00F1082F" w:rsidP="00333142">
      <w:pPr>
        <w:rPr>
          <w:rFonts w:cs="Cambria"/>
          <w:color w:val="000000"/>
        </w:rPr>
      </w:pPr>
      <w:r w:rsidRPr="00F1082F">
        <w:rPr>
          <w:rFonts w:cs="Cambria"/>
          <w:color w:val="000000"/>
        </w:rPr>
        <w:t xml:space="preserve">The US FDA granted approval of </w:t>
      </w:r>
      <w:proofErr w:type="spellStart"/>
      <w:r w:rsidRPr="00F1082F">
        <w:rPr>
          <w:rFonts w:cs="Cambria"/>
          <w:color w:val="000000"/>
        </w:rPr>
        <w:t>Capivasertib</w:t>
      </w:r>
      <w:proofErr w:type="spellEnd"/>
      <w:r w:rsidRPr="00F1082F">
        <w:rPr>
          <w:rFonts w:cs="Cambria"/>
          <w:color w:val="000000"/>
        </w:rPr>
        <w:t xml:space="preserve"> for the following restricted indication on November 16</w:t>
      </w:r>
      <w:r w:rsidR="00914B99">
        <w:rPr>
          <w:rFonts w:cs="Cambria"/>
          <w:color w:val="000000"/>
        </w:rPr>
        <w:t>,</w:t>
      </w:r>
      <w:r w:rsidRPr="00F1082F">
        <w:rPr>
          <w:rFonts w:cs="Cambria"/>
          <w:color w:val="000000"/>
        </w:rPr>
        <w:t xml:space="preserve"> 2023:</w:t>
      </w:r>
    </w:p>
    <w:p w14:paraId="5E485420" w14:textId="1114BB58" w:rsidR="00F1082F" w:rsidRPr="004530D0" w:rsidRDefault="00F1082F" w:rsidP="004530D0">
      <w:pPr>
        <w:ind w:left="720"/>
        <w:rPr>
          <w:i/>
          <w:iCs/>
        </w:rPr>
      </w:pPr>
      <w:r w:rsidRPr="004530D0">
        <w:rPr>
          <w:i/>
          <w:iCs/>
        </w:rPr>
        <w:t xml:space="preserve">TRUQAP is a kinase inhibitor indicated, in combination with </w:t>
      </w:r>
      <w:proofErr w:type="spellStart"/>
      <w:r w:rsidRPr="004530D0">
        <w:rPr>
          <w:i/>
          <w:iCs/>
        </w:rPr>
        <w:t>fulvestrant</w:t>
      </w:r>
      <w:proofErr w:type="spellEnd"/>
      <w:r w:rsidRPr="004530D0">
        <w:rPr>
          <w:i/>
          <w:iCs/>
        </w:rPr>
        <w:t xml:space="preserve"> for the treatment of adult patients with hormone receptor (HR)-positive, human epidermal growth factor </w:t>
      </w:r>
      <w:r w:rsidRPr="004530D0">
        <w:rPr>
          <w:i/>
          <w:iCs/>
          <w:szCs w:val="22"/>
        </w:rPr>
        <w:t>receptor 2 (HER2)-negative, locally advanced or metastatic breast cancer with one or more PIK3CA/AKT1/PTEN-alterations as detected by an FDA-approved test following progression on at least one endocrine-based regimen in the metastatic setting or recurrence on or within 12 months of completing adjuvant therapy.</w:t>
      </w:r>
    </w:p>
    <w:p w14:paraId="23489A14" w14:textId="123D5964" w:rsidR="00F1082F" w:rsidRPr="00F1082F" w:rsidRDefault="00F1082F" w:rsidP="007D5C25">
      <w:r w:rsidRPr="00F1082F">
        <w:t xml:space="preserve">Health Canada approved </w:t>
      </w:r>
      <w:proofErr w:type="spellStart"/>
      <w:r w:rsidRPr="00F1082F">
        <w:t>capivasertib</w:t>
      </w:r>
      <w:proofErr w:type="spellEnd"/>
      <w:r w:rsidRPr="00F1082F">
        <w:t xml:space="preserve"> on January 26, </w:t>
      </w:r>
      <w:proofErr w:type="gramStart"/>
      <w:r w:rsidRPr="00F1082F">
        <w:t>2024</w:t>
      </w:r>
      <w:proofErr w:type="gramEnd"/>
      <w:r w:rsidRPr="00F1082F">
        <w:t xml:space="preserve"> </w:t>
      </w:r>
      <w:r w:rsidR="008921C5">
        <w:t>for</w:t>
      </w:r>
      <w:r w:rsidRPr="00F1082F">
        <w:t xml:space="preserve"> the following indication:</w:t>
      </w:r>
    </w:p>
    <w:p w14:paraId="334BBDB2" w14:textId="63AEAD9A" w:rsidR="00F1082F" w:rsidRPr="004530D0" w:rsidRDefault="00F1082F" w:rsidP="004530D0">
      <w:pPr>
        <w:ind w:left="720"/>
        <w:rPr>
          <w:i/>
          <w:iCs/>
        </w:rPr>
      </w:pPr>
      <w:r w:rsidRPr="004530D0">
        <w:rPr>
          <w:i/>
          <w:iCs/>
        </w:rPr>
        <w:t>TRUQAP (</w:t>
      </w:r>
      <w:proofErr w:type="spellStart"/>
      <w:r w:rsidRPr="004530D0">
        <w:rPr>
          <w:i/>
          <w:iCs/>
        </w:rPr>
        <w:t>capivasertib</w:t>
      </w:r>
      <w:proofErr w:type="spellEnd"/>
      <w:r w:rsidRPr="004530D0">
        <w:rPr>
          <w:i/>
          <w:iCs/>
        </w:rPr>
        <w:t xml:space="preserve"> tablets), in combination with </w:t>
      </w:r>
      <w:proofErr w:type="spellStart"/>
      <w:r w:rsidRPr="004530D0">
        <w:rPr>
          <w:i/>
          <w:iCs/>
        </w:rPr>
        <w:t>fulvestrant</w:t>
      </w:r>
      <w:proofErr w:type="spellEnd"/>
      <w:r w:rsidRPr="004530D0">
        <w:rPr>
          <w:i/>
          <w:iCs/>
        </w:rPr>
        <w:t xml:space="preserve">, is indicated for the treatment of adult females with hormone receptor (HR) positive, human epidermal growth factor receptor 2 (HER2) negative locally advanced or metastatic breast cancer with one or more PIK3CA/AKT1/PTEN alterations following progression on at least one endocrine-based regimen in the metastatic setting or recurrence on or within 12 months of completing adjuvant therapy. </w:t>
      </w:r>
    </w:p>
    <w:p w14:paraId="19B9E0AC" w14:textId="5CC2233F" w:rsidR="00324B33" w:rsidRDefault="4663E97A" w:rsidP="004530D0">
      <w:r>
        <w:t>At the time of this submission, s</w:t>
      </w:r>
      <w:r w:rsidR="0CA171A6">
        <w:t>imilar submissions are currently under evaluation in Singapore, Switzerland, the UK, Brazil, the EU, and Japan.</w:t>
      </w:r>
    </w:p>
    <w:p w14:paraId="6D92589C" w14:textId="569B13A3" w:rsidR="00324B33" w:rsidRDefault="00324B33" w:rsidP="00324B33">
      <w:pPr>
        <w:pStyle w:val="Heading2"/>
      </w:pPr>
      <w:bookmarkStart w:id="25" w:name="_Toc504480011"/>
      <w:bookmarkStart w:id="26" w:name="_Toc103679293"/>
      <w:bookmarkStart w:id="27" w:name="_Toc191292199"/>
      <w:r>
        <w:t>Registration timeline</w:t>
      </w:r>
      <w:bookmarkEnd w:id="25"/>
      <w:bookmarkEnd w:id="26"/>
      <w:bookmarkEnd w:id="27"/>
    </w:p>
    <w:p w14:paraId="59F589FE" w14:textId="77777777" w:rsidR="0097728F" w:rsidRPr="00BD5DBD" w:rsidRDefault="0097728F" w:rsidP="00333142">
      <w:pPr>
        <w:rPr>
          <w:szCs w:val="22"/>
        </w:rPr>
      </w:pPr>
      <w:bookmarkStart w:id="28" w:name="_Hlk172015931"/>
      <w:r w:rsidRPr="00BD5DBD">
        <w:rPr>
          <w:szCs w:val="22"/>
        </w:rPr>
        <w:t xml:space="preserve">This submission was </w:t>
      </w:r>
      <w:r>
        <w:rPr>
          <w:szCs w:val="22"/>
        </w:rPr>
        <w:t>assessed</w:t>
      </w:r>
      <w:r w:rsidRPr="00BD5DBD">
        <w:rPr>
          <w:szCs w:val="22"/>
        </w:rPr>
        <w:t xml:space="preserve"> under the </w:t>
      </w:r>
      <w:hyperlink r:id="rId26" w:history="1">
        <w:r w:rsidRPr="00BD5DBD">
          <w:rPr>
            <w:rStyle w:val="Hyperlink"/>
            <w:szCs w:val="22"/>
          </w:rPr>
          <w:t>standard prescription medicines registration process</w:t>
        </w:r>
      </w:hyperlink>
      <w:r w:rsidRPr="00BD5DBD">
        <w:rPr>
          <w:szCs w:val="22"/>
        </w:rPr>
        <w:t>.</w:t>
      </w:r>
      <w:bookmarkEnd w:id="28"/>
    </w:p>
    <w:p w14:paraId="3BBBCA2A" w14:textId="77777777" w:rsidR="0097728F" w:rsidRPr="00BD5DBD" w:rsidRDefault="0097728F" w:rsidP="00333142">
      <w:r>
        <w:lastRenderedPageBreak/>
        <w:t>Table 1</w:t>
      </w:r>
      <w:r w:rsidRPr="00BD5DBD">
        <w:t xml:space="preserve"> captures the key steps and dates</w:t>
      </w:r>
      <w:r>
        <w:t xml:space="preserve"> of the assessment and registration process for this submission</w:t>
      </w:r>
      <w:r w:rsidRPr="00BD5DBD">
        <w:t>.</w:t>
      </w:r>
    </w:p>
    <w:p w14:paraId="2E476E86" w14:textId="77777777" w:rsidR="0097728F" w:rsidRPr="00333142" w:rsidRDefault="0097728F" w:rsidP="00333142">
      <w:pPr>
        <w:pStyle w:val="TableTitle"/>
      </w:pPr>
      <w:r w:rsidRPr="00333142">
        <w:t>Table 1:</w:t>
      </w:r>
      <w:bookmarkStart w:id="29" w:name="_Hlk172015897"/>
      <w:r w:rsidRPr="00333142">
        <w:t xml:space="preserve"> Timeline for assessment and registration of </w:t>
      </w:r>
      <w:proofErr w:type="spellStart"/>
      <w:r w:rsidRPr="00333142">
        <w:t>Truqap</w:t>
      </w:r>
      <w:proofErr w:type="spellEnd"/>
    </w:p>
    <w:tbl>
      <w:tblPr>
        <w:tblStyle w:val="TableTGAblue2023"/>
        <w:tblW w:w="8642" w:type="dxa"/>
        <w:tblLook w:val="04A0" w:firstRow="1" w:lastRow="0" w:firstColumn="1" w:lastColumn="0" w:noHBand="0" w:noVBand="1"/>
      </w:tblPr>
      <w:tblGrid>
        <w:gridCol w:w="5665"/>
        <w:gridCol w:w="2977"/>
      </w:tblGrid>
      <w:tr w:rsidR="0097728F" w:rsidRPr="00D01DDB" w14:paraId="6AF2A494" w14:textId="77777777" w:rsidTr="4DEF61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bookmarkEnd w:id="29"/>
          <w:p w14:paraId="0567C62D" w14:textId="77777777" w:rsidR="0097728F" w:rsidRPr="00D01DDB" w:rsidRDefault="0097728F">
            <w:pPr>
              <w:rPr>
                <w:szCs w:val="22"/>
              </w:rPr>
            </w:pPr>
            <w:r w:rsidRPr="00D01DDB">
              <w:rPr>
                <w:szCs w:val="22"/>
              </w:rPr>
              <w:t>Description</w:t>
            </w:r>
          </w:p>
        </w:tc>
        <w:tc>
          <w:tcPr>
            <w:tcW w:w="2977" w:type="dxa"/>
          </w:tcPr>
          <w:p w14:paraId="792A685D" w14:textId="77777777" w:rsidR="0097728F" w:rsidRPr="00D01DDB" w:rsidRDefault="0097728F">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97728F" w:rsidRPr="00D01DDB" w14:paraId="37FD36F9" w14:textId="77777777" w:rsidTr="4DEF61A2">
        <w:tc>
          <w:tcPr>
            <w:cnfStyle w:val="001000000000" w:firstRow="0" w:lastRow="0" w:firstColumn="1" w:lastColumn="0" w:oddVBand="0" w:evenVBand="0" w:oddHBand="0" w:evenHBand="0" w:firstRowFirstColumn="0" w:firstRowLastColumn="0" w:lastRowFirstColumn="0" w:lastRowLastColumn="0"/>
            <w:tcW w:w="5665" w:type="dxa"/>
          </w:tcPr>
          <w:p w14:paraId="79A0B813" w14:textId="77777777" w:rsidR="0097728F" w:rsidRPr="00E679D1" w:rsidRDefault="0097728F">
            <w:r w:rsidRPr="00E679D1">
              <w:t>Submission dossier accepted and first round evaluation commenced</w:t>
            </w:r>
          </w:p>
        </w:tc>
        <w:tc>
          <w:tcPr>
            <w:tcW w:w="2977" w:type="dxa"/>
          </w:tcPr>
          <w:p w14:paraId="25C2A9EA" w14:textId="77777777" w:rsidR="0097728F" w:rsidRPr="00D01DDB" w:rsidRDefault="0097728F">
            <w:pPr>
              <w:cnfStyle w:val="000000000000" w:firstRow="0" w:lastRow="0" w:firstColumn="0" w:lastColumn="0" w:oddVBand="0" w:evenVBand="0" w:oddHBand="0" w:evenHBand="0" w:firstRowFirstColumn="0" w:firstRowLastColumn="0" w:lastRowFirstColumn="0" w:lastRowLastColumn="0"/>
              <w:rPr>
                <w:szCs w:val="22"/>
              </w:rPr>
            </w:pPr>
            <w:r>
              <w:rPr>
                <w:szCs w:val="22"/>
              </w:rPr>
              <w:t>31 May 2023</w:t>
            </w:r>
          </w:p>
        </w:tc>
      </w:tr>
      <w:tr w:rsidR="0097728F" w:rsidRPr="00D01DDB" w14:paraId="09644F86" w14:textId="77777777" w:rsidTr="4DEF61A2">
        <w:tc>
          <w:tcPr>
            <w:cnfStyle w:val="001000000000" w:firstRow="0" w:lastRow="0" w:firstColumn="1" w:lastColumn="0" w:oddVBand="0" w:evenVBand="0" w:oddHBand="0" w:evenHBand="0" w:firstRowFirstColumn="0" w:firstRowLastColumn="0" w:lastRowFirstColumn="0" w:lastRowLastColumn="0"/>
            <w:tcW w:w="5665" w:type="dxa"/>
          </w:tcPr>
          <w:p w14:paraId="0832B472" w14:textId="77777777" w:rsidR="0097728F" w:rsidRPr="00E679D1" w:rsidRDefault="0097728F">
            <w:r w:rsidRPr="00E679D1">
              <w:t>First round evaluation completed</w:t>
            </w:r>
          </w:p>
        </w:tc>
        <w:tc>
          <w:tcPr>
            <w:tcW w:w="2977" w:type="dxa"/>
          </w:tcPr>
          <w:p w14:paraId="1C411F8E" w14:textId="77777777" w:rsidR="0097728F" w:rsidRPr="00D01DDB" w:rsidRDefault="0097728F">
            <w:pPr>
              <w:cnfStyle w:val="000000000000" w:firstRow="0" w:lastRow="0" w:firstColumn="0" w:lastColumn="0" w:oddVBand="0" w:evenVBand="0" w:oddHBand="0" w:evenHBand="0" w:firstRowFirstColumn="0" w:firstRowLastColumn="0" w:lastRowFirstColumn="0" w:lastRowLastColumn="0"/>
              <w:rPr>
                <w:szCs w:val="22"/>
              </w:rPr>
            </w:pPr>
            <w:r>
              <w:rPr>
                <w:szCs w:val="22"/>
              </w:rPr>
              <w:t>17 November 2023</w:t>
            </w:r>
          </w:p>
        </w:tc>
      </w:tr>
      <w:tr w:rsidR="0097728F" w:rsidRPr="00D01DDB" w14:paraId="3D43F128" w14:textId="77777777" w:rsidTr="4DEF61A2">
        <w:tc>
          <w:tcPr>
            <w:cnfStyle w:val="001000000000" w:firstRow="0" w:lastRow="0" w:firstColumn="1" w:lastColumn="0" w:oddVBand="0" w:evenVBand="0" w:oddHBand="0" w:evenHBand="0" w:firstRowFirstColumn="0" w:firstRowLastColumn="0" w:lastRowFirstColumn="0" w:lastRowLastColumn="0"/>
            <w:tcW w:w="5665" w:type="dxa"/>
          </w:tcPr>
          <w:p w14:paraId="684B7F59" w14:textId="77777777" w:rsidR="0097728F" w:rsidRPr="00E679D1" w:rsidRDefault="0097728F">
            <w:r w:rsidRPr="00E679D1">
              <w:t>Second round evaluation completed</w:t>
            </w:r>
          </w:p>
        </w:tc>
        <w:tc>
          <w:tcPr>
            <w:tcW w:w="2977" w:type="dxa"/>
          </w:tcPr>
          <w:p w14:paraId="336177F6" w14:textId="25DDB1E0" w:rsidR="0097728F" w:rsidRPr="00D01DDB" w:rsidRDefault="00681DB8">
            <w:pPr>
              <w:cnfStyle w:val="000000000000" w:firstRow="0" w:lastRow="0" w:firstColumn="0" w:lastColumn="0" w:oddVBand="0" w:evenVBand="0" w:oddHBand="0" w:evenHBand="0" w:firstRowFirstColumn="0" w:firstRowLastColumn="0" w:lastRowFirstColumn="0" w:lastRowLastColumn="0"/>
              <w:rPr>
                <w:szCs w:val="22"/>
              </w:rPr>
            </w:pPr>
            <w:r>
              <w:rPr>
                <w:szCs w:val="22"/>
              </w:rPr>
              <w:t>31 January</w:t>
            </w:r>
            <w:r w:rsidR="0097728F">
              <w:rPr>
                <w:szCs w:val="22"/>
              </w:rPr>
              <w:t xml:space="preserve"> 2024</w:t>
            </w:r>
          </w:p>
        </w:tc>
      </w:tr>
      <w:tr w:rsidR="0097728F" w:rsidRPr="00D01DDB" w14:paraId="0D3CFBE0" w14:textId="77777777" w:rsidTr="4DEF61A2">
        <w:tc>
          <w:tcPr>
            <w:cnfStyle w:val="001000000000" w:firstRow="0" w:lastRow="0" w:firstColumn="1" w:lastColumn="0" w:oddVBand="0" w:evenVBand="0" w:oddHBand="0" w:evenHBand="0" w:firstRowFirstColumn="0" w:firstRowLastColumn="0" w:lastRowFirstColumn="0" w:lastRowLastColumn="0"/>
            <w:tcW w:w="5665" w:type="dxa"/>
          </w:tcPr>
          <w:p w14:paraId="72876EBC" w14:textId="2903E64A" w:rsidR="0097728F" w:rsidRPr="00D01DDB" w:rsidRDefault="0097728F">
            <w:pPr>
              <w:rPr>
                <w:szCs w:val="22"/>
              </w:rPr>
            </w:pPr>
            <w:r w:rsidRPr="00D01DDB">
              <w:rPr>
                <w:szCs w:val="22"/>
              </w:rPr>
              <w:t>Delegate’s</w:t>
            </w:r>
            <w:r w:rsidR="00C81C3B">
              <w:rPr>
                <w:rStyle w:val="FootnoteReference"/>
                <w:szCs w:val="22"/>
              </w:rPr>
              <w:footnoteReference w:id="11"/>
            </w:r>
            <w:r w:rsidRPr="00D01DDB">
              <w:rPr>
                <w:szCs w:val="22"/>
              </w:rPr>
              <w:t xml:space="preserve"> Overall benefit-risk assessment </w:t>
            </w:r>
            <w:r w:rsidRPr="00D60898">
              <w:rPr>
                <w:color w:val="auto"/>
                <w:szCs w:val="22"/>
              </w:rPr>
              <w:t xml:space="preserve">and request for Advisory Committee advice </w:t>
            </w:r>
          </w:p>
        </w:tc>
        <w:tc>
          <w:tcPr>
            <w:tcW w:w="2977" w:type="dxa"/>
          </w:tcPr>
          <w:p w14:paraId="50B00F04" w14:textId="539DCC12" w:rsidR="0097728F" w:rsidRPr="00D01DDB" w:rsidRDefault="003F3C97">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29 </w:t>
            </w:r>
            <w:r w:rsidR="00D60898">
              <w:rPr>
                <w:szCs w:val="22"/>
              </w:rPr>
              <w:t>February</w:t>
            </w:r>
            <w:r w:rsidR="0097728F">
              <w:rPr>
                <w:szCs w:val="22"/>
              </w:rPr>
              <w:t xml:space="preserve"> 2024</w:t>
            </w:r>
          </w:p>
        </w:tc>
      </w:tr>
      <w:tr w:rsidR="0097728F" w:rsidRPr="00D01DDB" w14:paraId="35F38D8A" w14:textId="77777777" w:rsidTr="4DEF61A2">
        <w:tc>
          <w:tcPr>
            <w:cnfStyle w:val="001000000000" w:firstRow="0" w:lastRow="0" w:firstColumn="1" w:lastColumn="0" w:oddVBand="0" w:evenVBand="0" w:oddHBand="0" w:evenHBand="0" w:firstRowFirstColumn="0" w:firstRowLastColumn="0" w:lastRowFirstColumn="0" w:lastRowLastColumn="0"/>
            <w:tcW w:w="5665" w:type="dxa"/>
          </w:tcPr>
          <w:p w14:paraId="779777AB" w14:textId="77777777" w:rsidR="0097728F" w:rsidRPr="00D60898" w:rsidRDefault="0097728F">
            <w:r w:rsidRPr="00D60898">
              <w:t>Advisory Committee meeting</w:t>
            </w:r>
          </w:p>
        </w:tc>
        <w:tc>
          <w:tcPr>
            <w:tcW w:w="2977" w:type="dxa"/>
          </w:tcPr>
          <w:p w14:paraId="08D6DD46" w14:textId="2F56381D" w:rsidR="0097728F" w:rsidRPr="00D01DDB" w:rsidRDefault="00D60898">
            <w:pPr>
              <w:cnfStyle w:val="000000000000" w:firstRow="0" w:lastRow="0" w:firstColumn="0" w:lastColumn="0" w:oddVBand="0" w:evenVBand="0" w:oddHBand="0" w:evenHBand="0" w:firstRowFirstColumn="0" w:firstRowLastColumn="0" w:lastRowFirstColumn="0" w:lastRowLastColumn="0"/>
              <w:rPr>
                <w:szCs w:val="22"/>
              </w:rPr>
            </w:pPr>
            <w:r>
              <w:rPr>
                <w:szCs w:val="22"/>
              </w:rPr>
              <w:t>April 2024</w:t>
            </w:r>
          </w:p>
        </w:tc>
      </w:tr>
      <w:tr w:rsidR="0097728F" w:rsidRPr="00D01DDB" w14:paraId="557DF241" w14:textId="77777777" w:rsidTr="4DEF61A2">
        <w:tc>
          <w:tcPr>
            <w:cnfStyle w:val="001000000000" w:firstRow="0" w:lastRow="0" w:firstColumn="1" w:lastColumn="0" w:oddVBand="0" w:evenVBand="0" w:oddHBand="0" w:evenHBand="0" w:firstRowFirstColumn="0" w:firstRowLastColumn="0" w:lastRowFirstColumn="0" w:lastRowLastColumn="0"/>
            <w:tcW w:w="5665" w:type="dxa"/>
          </w:tcPr>
          <w:p w14:paraId="5B89A911" w14:textId="77777777" w:rsidR="0097728F" w:rsidRPr="00E679D1" w:rsidRDefault="0097728F">
            <w:r w:rsidRPr="00E679D1">
              <w:t>Registration decision (Outcome)</w:t>
            </w:r>
          </w:p>
        </w:tc>
        <w:tc>
          <w:tcPr>
            <w:tcW w:w="2977" w:type="dxa"/>
          </w:tcPr>
          <w:p w14:paraId="4B27EB62" w14:textId="7D17F3D0" w:rsidR="0097728F" w:rsidRPr="00D01DDB" w:rsidRDefault="00637708">
            <w:pPr>
              <w:cnfStyle w:val="000000000000" w:firstRow="0" w:lastRow="0" w:firstColumn="0" w:lastColumn="0" w:oddVBand="0" w:evenVBand="0" w:oddHBand="0" w:evenHBand="0" w:firstRowFirstColumn="0" w:firstRowLastColumn="0" w:lastRowFirstColumn="0" w:lastRowLastColumn="0"/>
              <w:rPr>
                <w:szCs w:val="22"/>
              </w:rPr>
            </w:pPr>
            <w:r>
              <w:rPr>
                <w:szCs w:val="22"/>
              </w:rPr>
              <w:t>7</w:t>
            </w:r>
            <w:r w:rsidR="00D60898">
              <w:rPr>
                <w:szCs w:val="22"/>
              </w:rPr>
              <w:t xml:space="preserve"> May</w:t>
            </w:r>
            <w:r>
              <w:rPr>
                <w:szCs w:val="22"/>
              </w:rPr>
              <w:t xml:space="preserve"> 2024</w:t>
            </w:r>
          </w:p>
        </w:tc>
      </w:tr>
      <w:tr w:rsidR="0097728F" w:rsidRPr="00D01DDB" w14:paraId="706B185E" w14:textId="77777777" w:rsidTr="4DEF61A2">
        <w:tc>
          <w:tcPr>
            <w:cnfStyle w:val="001000000000" w:firstRow="0" w:lastRow="0" w:firstColumn="1" w:lastColumn="0" w:oddVBand="0" w:evenVBand="0" w:oddHBand="0" w:evenHBand="0" w:firstRowFirstColumn="0" w:firstRowLastColumn="0" w:lastRowFirstColumn="0" w:lastRowLastColumn="0"/>
            <w:tcW w:w="5665" w:type="dxa"/>
          </w:tcPr>
          <w:p w14:paraId="5BC397C8" w14:textId="77777777" w:rsidR="0097728F" w:rsidRPr="00E679D1" w:rsidRDefault="0097728F">
            <w:r w:rsidRPr="00E679D1">
              <w:t>Administrative activities and registration in the ARTG completed</w:t>
            </w:r>
          </w:p>
        </w:tc>
        <w:tc>
          <w:tcPr>
            <w:tcW w:w="2977" w:type="dxa"/>
          </w:tcPr>
          <w:p w14:paraId="79A2AA45" w14:textId="77777777" w:rsidR="0097728F" w:rsidRPr="00D01DDB" w:rsidRDefault="0097728F">
            <w:pPr>
              <w:cnfStyle w:val="000000000000" w:firstRow="0" w:lastRow="0" w:firstColumn="0" w:lastColumn="0" w:oddVBand="0" w:evenVBand="0" w:oddHBand="0" w:evenHBand="0" w:firstRowFirstColumn="0" w:firstRowLastColumn="0" w:lastRowFirstColumn="0" w:lastRowLastColumn="0"/>
              <w:rPr>
                <w:szCs w:val="22"/>
              </w:rPr>
            </w:pPr>
            <w:r w:rsidRPr="00D60898">
              <w:rPr>
                <w:szCs w:val="22"/>
              </w:rPr>
              <w:t>9</w:t>
            </w:r>
            <w:r>
              <w:rPr>
                <w:szCs w:val="22"/>
              </w:rPr>
              <w:t xml:space="preserve"> May 2024</w:t>
            </w:r>
          </w:p>
        </w:tc>
      </w:tr>
      <w:tr w:rsidR="0097728F" w:rsidRPr="00D01DDB" w14:paraId="0A972948" w14:textId="77777777" w:rsidTr="4DEF61A2">
        <w:tc>
          <w:tcPr>
            <w:cnfStyle w:val="001000000000" w:firstRow="0" w:lastRow="0" w:firstColumn="1" w:lastColumn="0" w:oddVBand="0" w:evenVBand="0" w:oddHBand="0" w:evenHBand="0" w:firstRowFirstColumn="0" w:firstRowLastColumn="0" w:lastRowFirstColumn="0" w:lastRowLastColumn="0"/>
            <w:tcW w:w="5665" w:type="dxa"/>
          </w:tcPr>
          <w:p w14:paraId="5792BF5D" w14:textId="77777777" w:rsidR="0097728F" w:rsidRPr="00E679D1" w:rsidRDefault="0097728F">
            <w:r w:rsidRPr="00E679D1">
              <w:t>Number of working days from submission dossier acceptance to registration decision*</w:t>
            </w:r>
          </w:p>
        </w:tc>
        <w:tc>
          <w:tcPr>
            <w:tcW w:w="2977" w:type="dxa"/>
          </w:tcPr>
          <w:p w14:paraId="33C43E4F" w14:textId="1AF165BB" w:rsidR="0097728F" w:rsidRPr="00D01DDB" w:rsidRDefault="0024660C" w:rsidP="4DEF61A2">
            <w:pPr>
              <w:cnfStyle w:val="000000000000" w:firstRow="0" w:lastRow="0" w:firstColumn="0" w:lastColumn="0" w:oddVBand="0" w:evenVBand="0" w:oddHBand="0" w:evenHBand="0" w:firstRowFirstColumn="0" w:firstRowLastColumn="0" w:lastRowFirstColumn="0" w:lastRowLastColumn="0"/>
            </w:pPr>
            <w:r>
              <w:t>198</w:t>
            </w:r>
          </w:p>
        </w:tc>
      </w:tr>
    </w:tbl>
    <w:p w14:paraId="641754B2" w14:textId="77777777" w:rsidR="0097728F" w:rsidRDefault="0097728F" w:rsidP="0097728F">
      <w:pPr>
        <w:pStyle w:val="TableDescription"/>
      </w:pPr>
      <w:r>
        <w:t>*</w:t>
      </w:r>
      <w:r w:rsidRPr="00BF3774">
        <w:t xml:space="preserve">Statutory </w:t>
      </w:r>
      <w:r>
        <w:t>timeframe for standard submissions is 255 working days</w:t>
      </w:r>
    </w:p>
    <w:p w14:paraId="220925F1" w14:textId="164D4AE7" w:rsidR="00C22214" w:rsidRPr="00792A32" w:rsidRDefault="00C22214" w:rsidP="00C22214">
      <w:pPr>
        <w:pStyle w:val="Heading2"/>
      </w:pPr>
      <w:bookmarkStart w:id="30" w:name="_Toc196046504"/>
      <w:bookmarkStart w:id="31" w:name="_Toc247691527"/>
      <w:bookmarkStart w:id="32" w:name="_Toc314842510"/>
      <w:bookmarkStart w:id="33" w:name="_Toc103679294"/>
      <w:bookmarkStart w:id="34" w:name="_Toc191292200"/>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30"/>
      <w:bookmarkEnd w:id="31"/>
      <w:bookmarkEnd w:id="32"/>
      <w:bookmarkEnd w:id="33"/>
      <w:bookmarkEnd w:id="34"/>
    </w:p>
    <w:p w14:paraId="540151FC" w14:textId="77777777" w:rsidR="00C22214" w:rsidRDefault="00C22214" w:rsidP="00333142">
      <w:bookmarkStart w:id="35" w:name="_Toc247691528"/>
      <w:bookmarkStart w:id="36" w:name="_Toc314842511"/>
      <w:r w:rsidRPr="00BD5DBD">
        <w:t>A summary of the TGA’s assessment for this submission is provided below.</w:t>
      </w:r>
    </w:p>
    <w:p w14:paraId="37F5A1C0" w14:textId="2E3F4EF8" w:rsidR="00C22214" w:rsidRDefault="00C22214" w:rsidP="00C22214">
      <w:pPr>
        <w:pStyle w:val="Heading3"/>
      </w:pPr>
      <w:bookmarkStart w:id="37" w:name="_Toc103679295"/>
      <w:bookmarkStart w:id="38" w:name="_Toc191292201"/>
      <w:r>
        <w:t>Quality</w:t>
      </w:r>
      <w:bookmarkEnd w:id="35"/>
      <w:bookmarkEnd w:id="36"/>
      <w:bookmarkEnd w:id="37"/>
      <w:r w:rsidR="00970BF1">
        <w:t xml:space="preserve"> evaluation summary</w:t>
      </w:r>
      <w:bookmarkEnd w:id="38"/>
    </w:p>
    <w:p w14:paraId="19656BBB" w14:textId="77777777" w:rsidR="00970BF1" w:rsidRDefault="00970BF1" w:rsidP="00333142">
      <w:bookmarkStart w:id="39" w:name="_Hlk172033531"/>
      <w:r w:rsidRPr="00563220">
        <w:t>The composition, development, manufacture, quality control, stability and bioavailability of the product were assessed and checked for compliance with Australian legislation</w:t>
      </w:r>
      <w:r>
        <w:t>, standards and guidelines.</w:t>
      </w:r>
    </w:p>
    <w:p w14:paraId="62E2B2B5" w14:textId="4DC54BC5" w:rsidR="00970BF1" w:rsidRDefault="00970BF1" w:rsidP="00333142">
      <w:r>
        <w:t xml:space="preserve">There are currently no compendial monographs on </w:t>
      </w:r>
      <w:proofErr w:type="spellStart"/>
      <w:r>
        <w:t>capivasertib</w:t>
      </w:r>
      <w:proofErr w:type="spellEnd"/>
      <w:r>
        <w:t xml:space="preserve">. The quality of the drug substance is controlled in the specification to meet relevant International Conference on Harmonization (ICH) guidelines. There are appropriate tests and limits for </w:t>
      </w:r>
      <w:r w:rsidR="00E646EE">
        <w:t>chemical identification</w:t>
      </w:r>
      <w:r>
        <w:t xml:space="preserve"> (by FT-IR), assay</w:t>
      </w:r>
      <w:r w:rsidR="00A97998">
        <w:t xml:space="preserve">, </w:t>
      </w:r>
      <w:r>
        <w:t>organic impurities</w:t>
      </w:r>
      <w:r w:rsidR="00A97998">
        <w:t xml:space="preserve">, </w:t>
      </w:r>
      <w:r>
        <w:t>chiral</w:t>
      </w:r>
      <w:r>
        <w:rPr>
          <w:spacing w:val="-4"/>
        </w:rPr>
        <w:t xml:space="preserve"> </w:t>
      </w:r>
      <w:r>
        <w:t>impurit</w:t>
      </w:r>
      <w:r w:rsidR="00A97998">
        <w:t>y</w:t>
      </w:r>
      <w:r>
        <w:t>,</w:t>
      </w:r>
      <w:r>
        <w:rPr>
          <w:spacing w:val="-4"/>
        </w:rPr>
        <w:t xml:space="preserve"> </w:t>
      </w:r>
      <w:r>
        <w:t>residual</w:t>
      </w:r>
      <w:r>
        <w:rPr>
          <w:spacing w:val="-4"/>
        </w:rPr>
        <w:t xml:space="preserve"> </w:t>
      </w:r>
      <w:r>
        <w:t>solvents</w:t>
      </w:r>
      <w:r w:rsidR="00A97998">
        <w:rPr>
          <w:spacing w:val="-3"/>
        </w:rPr>
        <w:t xml:space="preserve">, </w:t>
      </w:r>
      <w:r>
        <w:rPr>
          <w:position w:val="2"/>
        </w:rPr>
        <w:t>water content and particle size distribution</w:t>
      </w:r>
      <w:r w:rsidR="00D75FC5">
        <w:rPr>
          <w:position w:val="2"/>
        </w:rPr>
        <w:t>.</w:t>
      </w:r>
    </w:p>
    <w:p w14:paraId="2DEEB86D" w14:textId="77777777" w:rsidR="00970BF1" w:rsidRPr="00970BF1" w:rsidRDefault="00970BF1" w:rsidP="00333142">
      <w:bookmarkStart w:id="40" w:name="_Hlk172033842"/>
      <w:bookmarkEnd w:id="39"/>
      <w:r w:rsidRPr="00970BF1">
        <w:t>The quality evaluator recommended approval for registration from a pharmaceutical chemistry perspective and with respect to:</w:t>
      </w:r>
    </w:p>
    <w:p w14:paraId="3A25EBF0" w14:textId="24F8AFF1" w:rsidR="00970BF1" w:rsidRPr="006527AF" w:rsidRDefault="00970BF1" w:rsidP="00F907E6">
      <w:pPr>
        <w:pStyle w:val="ListBullet"/>
      </w:pPr>
      <w:r w:rsidRPr="006527AF">
        <w:t>GMP compliance</w:t>
      </w:r>
    </w:p>
    <w:p w14:paraId="5BD934D2" w14:textId="77777777" w:rsidR="00970BF1" w:rsidRPr="006527AF" w:rsidRDefault="00970BF1" w:rsidP="00F907E6">
      <w:pPr>
        <w:pStyle w:val="ListBullet"/>
      </w:pPr>
      <w:r w:rsidRPr="006527AF">
        <w:t>stability and release specifications (which dictate the medicine’s physicochemical properties, biological activity, immunochemical properties and purity)</w:t>
      </w:r>
    </w:p>
    <w:p w14:paraId="36CC45F0" w14:textId="77777777" w:rsidR="00970BF1" w:rsidRPr="006527AF" w:rsidRDefault="00970BF1" w:rsidP="00F907E6">
      <w:pPr>
        <w:pStyle w:val="ListBullet"/>
      </w:pPr>
      <w:r w:rsidRPr="006527AF">
        <w:lastRenderedPageBreak/>
        <w:t>validation of analytical procedures</w:t>
      </w:r>
    </w:p>
    <w:p w14:paraId="55A3E65F" w14:textId="77777777" w:rsidR="00970BF1" w:rsidRPr="006527AF" w:rsidRDefault="00970BF1" w:rsidP="00F907E6">
      <w:pPr>
        <w:pStyle w:val="ListBullet"/>
      </w:pPr>
      <w:r w:rsidRPr="006527AF">
        <w:t>appropriate choice of reference standards and reference materials</w:t>
      </w:r>
    </w:p>
    <w:p w14:paraId="0BC9B0B8" w14:textId="77777777" w:rsidR="00970BF1" w:rsidRPr="006527AF" w:rsidRDefault="00970BF1" w:rsidP="00F907E6">
      <w:pPr>
        <w:pStyle w:val="ListBullet"/>
      </w:pPr>
      <w:r w:rsidRPr="006527AF">
        <w:t>consistency of medicine manufacture as demonstrated by appropriate in-process acceptance criteria and action limits</w:t>
      </w:r>
    </w:p>
    <w:p w14:paraId="538D2D07" w14:textId="77777777" w:rsidR="00970BF1" w:rsidRPr="006527AF" w:rsidRDefault="00970BF1" w:rsidP="00F907E6">
      <w:pPr>
        <w:pStyle w:val="ListBullet"/>
      </w:pPr>
      <w:r w:rsidRPr="006527AF">
        <w:t>medicine sterility</w:t>
      </w:r>
    </w:p>
    <w:p w14:paraId="6A05497F" w14:textId="6736D0F0" w:rsidR="00970BF1" w:rsidRPr="006527AF" w:rsidRDefault="00970BF1" w:rsidP="00F907E6">
      <w:pPr>
        <w:pStyle w:val="ListBullet"/>
      </w:pPr>
      <w:r w:rsidRPr="006527AF">
        <w:t>appropriate/compatible container closure systems</w:t>
      </w:r>
    </w:p>
    <w:p w14:paraId="67E172D0" w14:textId="3CFA867E" w:rsidR="00970BF1" w:rsidRPr="006527AF" w:rsidRDefault="00970BF1" w:rsidP="00F907E6">
      <w:pPr>
        <w:pStyle w:val="ListBullet"/>
      </w:pPr>
      <w:r w:rsidRPr="006527AF">
        <w:t>labelling that conformed to relevant Therapeutic Goods Orders.</w:t>
      </w:r>
    </w:p>
    <w:p w14:paraId="2BE90AAE" w14:textId="72065A8D" w:rsidR="00C22214" w:rsidRDefault="00C22214" w:rsidP="00C22214">
      <w:pPr>
        <w:pStyle w:val="Heading3"/>
      </w:pPr>
      <w:bookmarkStart w:id="41" w:name="_Toc314842512"/>
      <w:bookmarkStart w:id="42" w:name="_Toc103679296"/>
      <w:bookmarkStart w:id="43" w:name="_Toc191292202"/>
      <w:bookmarkEnd w:id="40"/>
      <w:r>
        <w:t>Nonclinical</w:t>
      </w:r>
      <w:bookmarkEnd w:id="41"/>
      <w:bookmarkEnd w:id="42"/>
      <w:r w:rsidR="00970BF1">
        <w:t xml:space="preserve"> (toxicology) evaluation summary</w:t>
      </w:r>
      <w:bookmarkEnd w:id="43"/>
    </w:p>
    <w:p w14:paraId="3F1F6BD9" w14:textId="78CCB7B3" w:rsidR="0055426E" w:rsidRPr="0055426E" w:rsidRDefault="0055426E" w:rsidP="00333142">
      <w:r w:rsidRPr="0055426E">
        <w:t xml:space="preserve">The toxicology evaluator stated that the module 4 dossier was adequate, and there are no non-clinical objections to the registration of </w:t>
      </w:r>
      <w:proofErr w:type="spellStart"/>
      <w:r w:rsidRPr="0055426E">
        <w:t>capivasertib</w:t>
      </w:r>
      <w:proofErr w:type="spellEnd"/>
      <w:r w:rsidRPr="0055426E">
        <w:t xml:space="preserve"> provided adverse effects in patients are manageable. The conclusions and recommendations from the </w:t>
      </w:r>
      <w:r w:rsidR="00173116">
        <w:t>nonclinical</w:t>
      </w:r>
      <w:r w:rsidRPr="0055426E">
        <w:t xml:space="preserve"> evaluation are reproduced below</w:t>
      </w:r>
      <w:r w:rsidR="00173116">
        <w:t>.</w:t>
      </w:r>
    </w:p>
    <w:p w14:paraId="33793AFA" w14:textId="5F191907" w:rsidR="0055426E" w:rsidRPr="0055426E" w:rsidRDefault="0055426E" w:rsidP="00F907E6">
      <w:pPr>
        <w:pStyle w:val="ListBullet"/>
      </w:pPr>
      <w:r w:rsidRPr="0055426E">
        <w:t xml:space="preserve">The </w:t>
      </w:r>
      <w:r w:rsidRPr="00F907E6">
        <w:t>module</w:t>
      </w:r>
      <w:r w:rsidRPr="0055426E">
        <w:t xml:space="preserve"> 4 dossier was adequate with no major deficiencies.</w:t>
      </w:r>
    </w:p>
    <w:p w14:paraId="4CD845D0" w14:textId="14215DD3" w:rsidR="0055426E" w:rsidRPr="0055426E" w:rsidRDefault="0055426E" w:rsidP="0055426E">
      <w:pPr>
        <w:pStyle w:val="ListBullet"/>
      </w:pPr>
      <w:r w:rsidRPr="0055426E">
        <w:t xml:space="preserve">The </w:t>
      </w:r>
      <w:r w:rsidRPr="0055426E">
        <w:rPr>
          <w:i/>
          <w:iCs/>
        </w:rPr>
        <w:t xml:space="preserve">in vitro </w:t>
      </w:r>
      <w:r w:rsidRPr="0055426E">
        <w:t xml:space="preserve">and </w:t>
      </w:r>
      <w:r w:rsidRPr="0055426E">
        <w:rPr>
          <w:i/>
          <w:iCs/>
        </w:rPr>
        <w:t xml:space="preserve">in vivo </w:t>
      </w:r>
      <w:r w:rsidRPr="0055426E">
        <w:t xml:space="preserve">pharmacology data together provided a mechanism of action of using </w:t>
      </w:r>
      <w:proofErr w:type="spellStart"/>
      <w:r w:rsidRPr="0055426E">
        <w:t>capivasertib</w:t>
      </w:r>
      <w:proofErr w:type="spellEnd"/>
      <w:r w:rsidRPr="0055426E">
        <w:t xml:space="preserve"> in combination with </w:t>
      </w:r>
      <w:proofErr w:type="spellStart"/>
      <w:r w:rsidRPr="0055426E">
        <w:t>fulvestrant</w:t>
      </w:r>
      <w:proofErr w:type="spellEnd"/>
      <w:r w:rsidRPr="0055426E">
        <w:t xml:space="preserve"> in HR-positive, HER2 negative breast cancer, supporting the drug’s use for the proposed indication.</w:t>
      </w:r>
    </w:p>
    <w:p w14:paraId="1A33C75D" w14:textId="60E21648" w:rsidR="003874D9" w:rsidRDefault="0055426E" w:rsidP="0055426E">
      <w:pPr>
        <w:pStyle w:val="ListBullet"/>
        <w:rPr>
          <w:rFonts w:cs="Cambria"/>
          <w:color w:val="000000"/>
          <w:szCs w:val="22"/>
        </w:rPr>
      </w:pPr>
      <w:r w:rsidRPr="0055426E">
        <w:rPr>
          <w:rFonts w:cs="Cambria"/>
          <w:i/>
          <w:iCs/>
          <w:color w:val="000000"/>
          <w:szCs w:val="22"/>
        </w:rPr>
        <w:t xml:space="preserve">In vitro </w:t>
      </w:r>
      <w:r w:rsidRPr="0055426E">
        <w:rPr>
          <w:rFonts w:cs="Cambria"/>
          <w:color w:val="000000"/>
          <w:szCs w:val="22"/>
        </w:rPr>
        <w:t>studies predicted:</w:t>
      </w:r>
    </w:p>
    <w:p w14:paraId="1FFB10DC" w14:textId="049F1902" w:rsidR="0055426E" w:rsidRPr="0055426E" w:rsidRDefault="0055426E" w:rsidP="003874D9">
      <w:pPr>
        <w:pStyle w:val="ListBullet2"/>
      </w:pPr>
      <w:r w:rsidRPr="0055426E">
        <w:t>inhibitors and inducers of CYP3A4/5, UGT2B7 and P-</w:t>
      </w:r>
      <w:proofErr w:type="spellStart"/>
      <w:r w:rsidRPr="0055426E">
        <w:t>gp</w:t>
      </w:r>
      <w:proofErr w:type="spellEnd"/>
      <w:r w:rsidRPr="0055426E">
        <w:t xml:space="preserve"> may alter the systemic exposure to </w:t>
      </w:r>
      <w:proofErr w:type="spellStart"/>
      <w:r w:rsidRPr="0055426E">
        <w:t>capivasertib</w:t>
      </w:r>
      <w:proofErr w:type="spellEnd"/>
      <w:r w:rsidRPr="0055426E">
        <w:t xml:space="preserve"> </w:t>
      </w:r>
    </w:p>
    <w:p w14:paraId="7DC288A8" w14:textId="59ADC3A9" w:rsidR="0055426E" w:rsidRPr="0055426E" w:rsidRDefault="0055426E" w:rsidP="0055426E">
      <w:pPr>
        <w:pStyle w:val="ListBullet2"/>
      </w:pPr>
      <w:proofErr w:type="spellStart"/>
      <w:r w:rsidRPr="0055426E">
        <w:t>capivasertib</w:t>
      </w:r>
      <w:proofErr w:type="spellEnd"/>
      <w:r w:rsidRPr="0055426E">
        <w:t xml:space="preserve"> is expected to alter the exposure of co-administered drugs that are CYP3A4 substrates and may increase plasma concentrations of CYP2D6 substrates </w:t>
      </w:r>
    </w:p>
    <w:p w14:paraId="2B0192D6" w14:textId="4451AC0C" w:rsidR="0055426E" w:rsidRPr="0055426E" w:rsidRDefault="0055426E" w:rsidP="0055426E">
      <w:pPr>
        <w:pStyle w:val="ListBullet2"/>
      </w:pPr>
      <w:proofErr w:type="spellStart"/>
      <w:r w:rsidRPr="0055426E">
        <w:t>capivasertib</w:t>
      </w:r>
      <w:proofErr w:type="spellEnd"/>
      <w:r w:rsidRPr="0055426E">
        <w:t xml:space="preserve"> is expected to increase the exposure of co-administered drugs that are substrates of OCT2 or MATE1, and the exposure of OATP1B1 substrates, which are cleared by hepatic metabolism </w:t>
      </w:r>
    </w:p>
    <w:p w14:paraId="0039A85B" w14:textId="32BCBEBD" w:rsidR="0055426E" w:rsidRPr="0055426E" w:rsidRDefault="0055426E">
      <w:pPr>
        <w:pStyle w:val="ListBullet2"/>
        <w:autoSpaceDE w:val="0"/>
        <w:autoSpaceDN w:val="0"/>
        <w:adjustRightInd w:val="0"/>
        <w:spacing w:after="0" w:line="240" w:lineRule="auto"/>
        <w:rPr>
          <w:rFonts w:cs="Cambria"/>
          <w:color w:val="000000"/>
          <w:szCs w:val="22"/>
        </w:rPr>
      </w:pPr>
      <w:proofErr w:type="spellStart"/>
      <w:r w:rsidRPr="0055426E">
        <w:t>capivasertib</w:t>
      </w:r>
      <w:proofErr w:type="spellEnd"/>
      <w:r w:rsidRPr="0055426E">
        <w:t xml:space="preserve"> may increase the exposure of co-administered drugs that are substrates of BCRP, OATP1B3, OAT3, and MATE2K. </w:t>
      </w:r>
    </w:p>
    <w:p w14:paraId="7CD026B7" w14:textId="77777777" w:rsidR="0055509F" w:rsidRDefault="0055426E" w:rsidP="0055426E">
      <w:pPr>
        <w:pStyle w:val="ListBullet"/>
      </w:pPr>
      <w:r w:rsidRPr="0055426E">
        <w:t xml:space="preserve">Safety pharmacology studies and toxicity studies identified effects on cardiovascular, renal and GI functions at exposures </w:t>
      </w:r>
      <w:proofErr w:type="gramStart"/>
      <w:r w:rsidRPr="0055426E">
        <w:t>similar to</w:t>
      </w:r>
      <w:proofErr w:type="gramEnd"/>
      <w:r w:rsidRPr="0055426E">
        <w:t xml:space="preserve"> the clinical exposure: </w:t>
      </w:r>
    </w:p>
    <w:p w14:paraId="3EFC6953" w14:textId="5AB6C591" w:rsidR="0055426E" w:rsidRPr="0055426E" w:rsidRDefault="0055426E" w:rsidP="0055509F">
      <w:pPr>
        <w:pStyle w:val="ListBullet2"/>
      </w:pPr>
      <w:r w:rsidRPr="0055426E">
        <w:t>prolonged QTc interval, decreased heart rate and blood pressure, vasodilation, and increased cardiac contractility</w:t>
      </w:r>
    </w:p>
    <w:p w14:paraId="74616CD1" w14:textId="5C7DA1D8" w:rsidR="0055426E" w:rsidRPr="0055426E" w:rsidRDefault="0055426E" w:rsidP="0055509F">
      <w:pPr>
        <w:pStyle w:val="ListBullet2"/>
        <w:rPr>
          <w:rFonts w:cs="Cambria"/>
          <w:color w:val="000000"/>
          <w:szCs w:val="22"/>
        </w:rPr>
      </w:pPr>
      <w:r w:rsidRPr="0055426E">
        <w:rPr>
          <w:rFonts w:cs="Cambria"/>
          <w:color w:val="000000"/>
          <w:szCs w:val="22"/>
        </w:rPr>
        <w:t>glucosuria with concurrent diuresis and increased electrolytes excretion (and hypokalaemia)</w:t>
      </w:r>
    </w:p>
    <w:p w14:paraId="58988A15" w14:textId="30C62D4F" w:rsidR="0055426E" w:rsidRPr="0055426E" w:rsidRDefault="0055426E" w:rsidP="0055509F">
      <w:pPr>
        <w:pStyle w:val="ListBullet2"/>
        <w:rPr>
          <w:rFonts w:cs="Cambria"/>
          <w:color w:val="000000"/>
          <w:szCs w:val="22"/>
        </w:rPr>
      </w:pPr>
      <w:r w:rsidRPr="0055426E">
        <w:rPr>
          <w:rFonts w:cs="Cambria"/>
          <w:color w:val="000000"/>
          <w:szCs w:val="22"/>
        </w:rPr>
        <w:t>decreased GI tract movement</w:t>
      </w:r>
    </w:p>
    <w:p w14:paraId="6EF620B7" w14:textId="3DC4FD2D" w:rsidR="0055426E" w:rsidRPr="0055426E" w:rsidRDefault="0055426E" w:rsidP="0055509F">
      <w:pPr>
        <w:pStyle w:val="ListBullet2"/>
        <w:rPr>
          <w:rFonts w:cs="Cambria"/>
          <w:color w:val="000000"/>
          <w:szCs w:val="22"/>
        </w:rPr>
      </w:pPr>
      <w:r w:rsidRPr="0055426E">
        <w:rPr>
          <w:rFonts w:cs="Cambria"/>
          <w:color w:val="000000"/>
          <w:szCs w:val="22"/>
        </w:rPr>
        <w:t>decreased motor activity</w:t>
      </w:r>
      <w:r w:rsidR="00CD3055">
        <w:rPr>
          <w:rFonts w:cs="Cambria"/>
          <w:color w:val="000000"/>
          <w:szCs w:val="22"/>
        </w:rPr>
        <w:t>.</w:t>
      </w:r>
    </w:p>
    <w:p w14:paraId="4E140F16" w14:textId="49317A25" w:rsidR="00CD3055" w:rsidRDefault="0055426E" w:rsidP="0055509F">
      <w:pPr>
        <w:pStyle w:val="ListBullet"/>
      </w:pPr>
      <w:r w:rsidRPr="0055426E">
        <w:t>Notable target organs/systems for toxicity are:</w:t>
      </w:r>
    </w:p>
    <w:p w14:paraId="2D924930" w14:textId="0A27AC45" w:rsidR="0055426E" w:rsidRPr="0055426E" w:rsidRDefault="00CD3055" w:rsidP="00CD3055">
      <w:pPr>
        <w:pStyle w:val="ListBullet2"/>
      </w:pPr>
      <w:r>
        <w:t>i</w:t>
      </w:r>
      <w:r w:rsidR="0055426E" w:rsidRPr="0055426E">
        <w:t>nsulin signalling (hyperglycaemia and insulinemia)</w:t>
      </w:r>
    </w:p>
    <w:p w14:paraId="600E80FD" w14:textId="759CCE7A" w:rsidR="0055426E" w:rsidRPr="0055426E" w:rsidRDefault="0055426E" w:rsidP="0055509F">
      <w:pPr>
        <w:pStyle w:val="ListBullet2"/>
      </w:pPr>
      <w:r w:rsidRPr="0055426E">
        <w:t>male reproductive organs (tubular degeneration in the testis and debris and reduced spermatocytes in the epididymides)</w:t>
      </w:r>
    </w:p>
    <w:p w14:paraId="27775FD9" w14:textId="2F0889D7" w:rsidR="0055426E" w:rsidRPr="0055426E" w:rsidRDefault="0055426E" w:rsidP="0055509F">
      <w:pPr>
        <w:pStyle w:val="ListBullet2"/>
      </w:pPr>
      <w:r w:rsidRPr="0055426E">
        <w:lastRenderedPageBreak/>
        <w:t>haematopoietic and lymphoid systems (decreased cellularity in bone marrow, thymus and spleen)</w:t>
      </w:r>
    </w:p>
    <w:p w14:paraId="29A4DDED" w14:textId="1BAA0234" w:rsidR="0055426E" w:rsidRPr="0055426E" w:rsidRDefault="0055426E" w:rsidP="0055509F">
      <w:pPr>
        <w:pStyle w:val="ListBullet2"/>
      </w:pPr>
      <w:r w:rsidRPr="0055426E">
        <w:t>hypothalamic pituitary adrenal/thyroid axis (hypertrophy of the pituitary, thyroid and adrenal glands)</w:t>
      </w:r>
    </w:p>
    <w:p w14:paraId="34E29BA0" w14:textId="64233D4F" w:rsidR="0055426E" w:rsidRPr="0055426E" w:rsidRDefault="0055426E" w:rsidP="0055509F">
      <w:pPr>
        <w:pStyle w:val="ListBullet2"/>
      </w:pPr>
      <w:r w:rsidRPr="0055426E">
        <w:t>liver (necrosis and hepatocyte vacuolation)</w:t>
      </w:r>
    </w:p>
    <w:p w14:paraId="74790A62" w14:textId="36F3F749" w:rsidR="0055426E" w:rsidRPr="0055426E" w:rsidRDefault="0055426E" w:rsidP="0055509F">
      <w:pPr>
        <w:pStyle w:val="ListBullet2"/>
      </w:pPr>
      <w:r w:rsidRPr="0055426E">
        <w:t>GIT (erosive enteritis)</w:t>
      </w:r>
      <w:r w:rsidR="00CD3055">
        <w:t>.</w:t>
      </w:r>
    </w:p>
    <w:p w14:paraId="55241E1A" w14:textId="48628176" w:rsidR="0055426E" w:rsidRPr="0055426E" w:rsidRDefault="0055426E" w:rsidP="0055509F">
      <w:pPr>
        <w:pStyle w:val="ListBullet"/>
      </w:pPr>
      <w:r w:rsidRPr="0055426E">
        <w:t>All the above effects may occur in patients.</w:t>
      </w:r>
    </w:p>
    <w:p w14:paraId="65A39ED7" w14:textId="24B72B0B" w:rsidR="0055426E" w:rsidRPr="0055426E" w:rsidRDefault="0055426E" w:rsidP="0055509F">
      <w:pPr>
        <w:pStyle w:val="ListBullet"/>
      </w:pPr>
      <w:proofErr w:type="spellStart"/>
      <w:r w:rsidRPr="0055426E">
        <w:t>Capivasertib</w:t>
      </w:r>
      <w:proofErr w:type="spellEnd"/>
      <w:r w:rsidRPr="0055426E">
        <w:t xml:space="preserve"> induced micronuclei in the bone marrow </w:t>
      </w:r>
      <w:r w:rsidRPr="0055426E">
        <w:rPr>
          <w:i/>
          <w:iCs/>
        </w:rPr>
        <w:t xml:space="preserve">in vivo </w:t>
      </w:r>
      <w:r w:rsidRPr="0055426E">
        <w:t xml:space="preserve">in rats via an </w:t>
      </w:r>
      <w:proofErr w:type="spellStart"/>
      <w:r w:rsidRPr="0055426E">
        <w:t>aneugenic</w:t>
      </w:r>
      <w:proofErr w:type="spellEnd"/>
      <w:r w:rsidRPr="0055426E">
        <w:t xml:space="preserve"> mode of action. </w:t>
      </w:r>
    </w:p>
    <w:p w14:paraId="51117E50" w14:textId="060D72D3" w:rsidR="0055426E" w:rsidRPr="0055426E" w:rsidRDefault="0055426E" w:rsidP="0055509F">
      <w:pPr>
        <w:pStyle w:val="ListBullet"/>
      </w:pPr>
      <w:r w:rsidRPr="0055426E">
        <w:t xml:space="preserve">The nonclinical studies and pharmacological activities of </w:t>
      </w:r>
      <w:proofErr w:type="spellStart"/>
      <w:r w:rsidRPr="0055426E">
        <w:t>capivasertib</w:t>
      </w:r>
      <w:proofErr w:type="spellEnd"/>
      <w:r w:rsidRPr="0055426E">
        <w:t xml:space="preserve"> predicted embryofetal toxicity if administered to pregnant patients at the proposed clinical dose. A pregnancy category D is recommended.</w:t>
      </w:r>
    </w:p>
    <w:p w14:paraId="2727A598" w14:textId="4CFAABCB" w:rsidR="0055426E" w:rsidRPr="0055426E" w:rsidRDefault="0055426E" w:rsidP="0055509F">
      <w:pPr>
        <w:pStyle w:val="ListBullet"/>
      </w:pPr>
      <w:r w:rsidRPr="0055426E">
        <w:t>There are no nonclinical objections to registration provided adverse effects in patients are manageable.</w:t>
      </w:r>
    </w:p>
    <w:p w14:paraId="37088C97" w14:textId="5955168C" w:rsidR="0055426E" w:rsidRPr="0055426E" w:rsidRDefault="0055426E" w:rsidP="0055509F">
      <w:pPr>
        <w:pStyle w:val="ListBullet"/>
      </w:pPr>
      <w:r w:rsidRPr="0055426E">
        <w:t xml:space="preserve">The draft Product Information </w:t>
      </w:r>
      <w:r w:rsidR="005F2CA8">
        <w:t xml:space="preserve">(PI) </w:t>
      </w:r>
      <w:r w:rsidRPr="0055426E">
        <w:t>should be amended</w:t>
      </w:r>
      <w:r w:rsidR="0055509F">
        <w:t>.</w:t>
      </w:r>
    </w:p>
    <w:p w14:paraId="3FCD6316" w14:textId="23A802F8" w:rsidR="00333142" w:rsidRDefault="0055426E">
      <w:pPr>
        <w:pStyle w:val="ListBullet"/>
        <w:autoSpaceDE w:val="0"/>
        <w:autoSpaceDN w:val="0"/>
        <w:adjustRightInd w:val="0"/>
        <w:spacing w:after="0" w:line="259" w:lineRule="auto"/>
        <w:ind w:left="357" w:hanging="357"/>
      </w:pPr>
      <w:r w:rsidRPr="0055426E">
        <w:t xml:space="preserve">Additional text </w:t>
      </w:r>
      <w:r w:rsidR="005F2CA8">
        <w:t>is</w:t>
      </w:r>
      <w:r w:rsidRPr="0055426E">
        <w:t xml:space="preserve"> recommended for the Nonclinical Safety Specifications of the Risk Management Plan</w:t>
      </w:r>
      <w:r w:rsidR="0055509F">
        <w:t>.</w:t>
      </w:r>
    </w:p>
    <w:p w14:paraId="167A92E3" w14:textId="5F64F9BB" w:rsidR="0055426E" w:rsidRDefault="0055426E" w:rsidP="00333142">
      <w:pPr>
        <w:pStyle w:val="ListBullet"/>
        <w:numPr>
          <w:ilvl w:val="0"/>
          <w:numId w:val="0"/>
        </w:numPr>
        <w:autoSpaceDE w:val="0"/>
        <w:autoSpaceDN w:val="0"/>
        <w:adjustRightInd w:val="0"/>
        <w:spacing w:after="0" w:line="259" w:lineRule="auto"/>
      </w:pPr>
      <w:r w:rsidRPr="0055426E">
        <w:t>The potential for adverse effects, toxicities and drug interactions identified in the toxicology data is in line with the findings of the clinical studies, discussed below.</w:t>
      </w:r>
    </w:p>
    <w:p w14:paraId="35B580A5" w14:textId="479D6BDA" w:rsidR="00C22214" w:rsidRDefault="00C22214" w:rsidP="008804CF">
      <w:pPr>
        <w:pStyle w:val="Heading3"/>
      </w:pPr>
      <w:bookmarkStart w:id="44" w:name="_Toc247691530"/>
      <w:bookmarkStart w:id="45" w:name="_Toc314842513"/>
      <w:bookmarkStart w:id="46" w:name="_Toc103679297"/>
      <w:bookmarkStart w:id="47" w:name="_Toc191292203"/>
      <w:r>
        <w:t>Clinical</w:t>
      </w:r>
      <w:bookmarkEnd w:id="44"/>
      <w:bookmarkEnd w:id="45"/>
      <w:bookmarkEnd w:id="46"/>
      <w:r w:rsidR="00970BF1">
        <w:t xml:space="preserve"> evaluation summary</w:t>
      </w:r>
      <w:bookmarkEnd w:id="47"/>
    </w:p>
    <w:p w14:paraId="32B0DEDA" w14:textId="7F4F2A47" w:rsidR="00C22214" w:rsidRPr="00433318" w:rsidRDefault="00C22214" w:rsidP="00433318">
      <w:pPr>
        <w:pStyle w:val="Heading4"/>
      </w:pPr>
      <w:bookmarkStart w:id="48" w:name="_Toc98931928"/>
      <w:bookmarkStart w:id="49" w:name="_Toc191292204"/>
      <w:r>
        <w:t>Summary of clinical studies</w:t>
      </w:r>
      <w:bookmarkEnd w:id="48"/>
      <w:bookmarkEnd w:id="49"/>
    </w:p>
    <w:p w14:paraId="2883D9C9" w14:textId="330B2F0A" w:rsidR="0055426E" w:rsidRPr="0055426E" w:rsidRDefault="0055426E" w:rsidP="006013D7">
      <w:r w:rsidRPr="0055426E">
        <w:t xml:space="preserve">The </w:t>
      </w:r>
      <w:r>
        <w:t xml:space="preserve">clinical </w:t>
      </w:r>
      <w:r w:rsidRPr="0055426E">
        <w:t>dossier represent</w:t>
      </w:r>
      <w:r>
        <w:t>ed</w:t>
      </w:r>
      <w:r w:rsidRPr="0055426E">
        <w:t xml:space="preserve"> a full development program for a new chemical entity. The dossier contain</w:t>
      </w:r>
      <w:r>
        <w:t>ed</w:t>
      </w:r>
      <w:r w:rsidRPr="0055426E">
        <w:t xml:space="preserve"> the following studies</w:t>
      </w:r>
      <w:r w:rsidR="00921969">
        <w:t>.</w:t>
      </w:r>
    </w:p>
    <w:p w14:paraId="6546C876" w14:textId="3F81F88A" w:rsidR="0055426E" w:rsidRPr="0055426E" w:rsidRDefault="0055426E" w:rsidP="006013D7">
      <w:r w:rsidRPr="0055426E">
        <w:t>Phase I</w:t>
      </w:r>
    </w:p>
    <w:p w14:paraId="67854BE7" w14:textId="38CAD87F" w:rsidR="0055426E" w:rsidRPr="0055426E" w:rsidRDefault="0055426E" w:rsidP="0055426E">
      <w:pPr>
        <w:pStyle w:val="ListBullet"/>
      </w:pPr>
      <w:r w:rsidRPr="0055426E">
        <w:t>Study D3610C00007</w:t>
      </w:r>
    </w:p>
    <w:p w14:paraId="7FBDD27A" w14:textId="58E050AF" w:rsidR="0055426E" w:rsidRPr="0055426E" w:rsidRDefault="0055426E" w:rsidP="0055426E">
      <w:pPr>
        <w:pStyle w:val="ListBullet"/>
      </w:pPr>
      <w:r w:rsidRPr="0055426E">
        <w:t>Study D3614C00007</w:t>
      </w:r>
    </w:p>
    <w:p w14:paraId="3040924D" w14:textId="30842D88" w:rsidR="0055426E" w:rsidRPr="0055426E" w:rsidRDefault="0055426E" w:rsidP="0055426E">
      <w:pPr>
        <w:pStyle w:val="ListBullet"/>
      </w:pPr>
      <w:r w:rsidRPr="0055426E">
        <w:t>Study D3610C00001</w:t>
      </w:r>
    </w:p>
    <w:p w14:paraId="383950BE" w14:textId="59D379B8" w:rsidR="0055426E" w:rsidRPr="0055426E" w:rsidRDefault="0055426E" w:rsidP="0055426E">
      <w:pPr>
        <w:pStyle w:val="ListBullet"/>
      </w:pPr>
      <w:r w:rsidRPr="0055426E">
        <w:t>Study D3610C00002</w:t>
      </w:r>
    </w:p>
    <w:p w14:paraId="09DB486B" w14:textId="20F17458" w:rsidR="0055426E" w:rsidRPr="0055426E" w:rsidRDefault="0055426E" w:rsidP="0055426E">
      <w:pPr>
        <w:pStyle w:val="ListBullet"/>
      </w:pPr>
      <w:r w:rsidRPr="0055426E">
        <w:t>Study D3610C00004</w:t>
      </w:r>
    </w:p>
    <w:p w14:paraId="3C75D79C" w14:textId="6A09080B" w:rsidR="0055426E" w:rsidRPr="0055426E" w:rsidRDefault="0055426E" w:rsidP="0055426E">
      <w:pPr>
        <w:pStyle w:val="ListBullet"/>
      </w:pPr>
      <w:r w:rsidRPr="0055426E">
        <w:t>Study D3610C00003</w:t>
      </w:r>
    </w:p>
    <w:p w14:paraId="0FDD51FE" w14:textId="7786710C" w:rsidR="0055426E" w:rsidRPr="0055426E" w:rsidRDefault="0055426E" w:rsidP="0055426E">
      <w:pPr>
        <w:pStyle w:val="ListBullet"/>
      </w:pPr>
      <w:r w:rsidRPr="0055426E">
        <w:t>Study D3614C00004</w:t>
      </w:r>
    </w:p>
    <w:p w14:paraId="4F8DF6DE" w14:textId="7BABDE81" w:rsidR="0055426E" w:rsidRPr="0055426E" w:rsidRDefault="0055426E" w:rsidP="00027F2F">
      <w:pPr>
        <w:pStyle w:val="ListBullet"/>
        <w:rPr>
          <w:rFonts w:cs="Cambria"/>
          <w:color w:val="000000"/>
          <w:szCs w:val="22"/>
        </w:rPr>
      </w:pPr>
      <w:r w:rsidRPr="0055426E">
        <w:t xml:space="preserve">Study </w:t>
      </w:r>
      <w:r w:rsidRPr="00027F2F">
        <w:t>D3614C00005</w:t>
      </w:r>
    </w:p>
    <w:p w14:paraId="144485A2" w14:textId="06DDCF68" w:rsidR="0055426E" w:rsidRPr="0055426E" w:rsidRDefault="0055426E" w:rsidP="00027F2F">
      <w:r w:rsidRPr="0055426E">
        <w:t>Population PK and PKPD</w:t>
      </w:r>
    </w:p>
    <w:p w14:paraId="23C7494E" w14:textId="0B83F287" w:rsidR="0055426E" w:rsidRPr="0055426E" w:rsidRDefault="0055426E" w:rsidP="0055426E">
      <w:pPr>
        <w:pStyle w:val="ListBullet"/>
      </w:pPr>
      <w:proofErr w:type="spellStart"/>
      <w:r w:rsidRPr="0055426E">
        <w:t>PopPK</w:t>
      </w:r>
      <w:proofErr w:type="spellEnd"/>
      <w:r w:rsidRPr="0055426E">
        <w:t xml:space="preserve"> analysis CAPI-MS-2022-002</w:t>
      </w:r>
    </w:p>
    <w:p w14:paraId="2F540AAE" w14:textId="5FFBDBAA" w:rsidR="0055426E" w:rsidRPr="0055426E" w:rsidRDefault="0055426E" w:rsidP="0055426E">
      <w:pPr>
        <w:pStyle w:val="ListBullet"/>
      </w:pPr>
      <w:proofErr w:type="spellStart"/>
      <w:r w:rsidRPr="0055426E">
        <w:t>PopPK</w:t>
      </w:r>
      <w:proofErr w:type="spellEnd"/>
      <w:r w:rsidRPr="0055426E">
        <w:t xml:space="preserve"> analysis CAPI-MS-2022-005</w:t>
      </w:r>
    </w:p>
    <w:p w14:paraId="462A8AC7" w14:textId="5C26F28E" w:rsidR="0055426E" w:rsidRPr="0055426E" w:rsidRDefault="0055426E" w:rsidP="0055426E">
      <w:pPr>
        <w:pStyle w:val="ListBullet"/>
      </w:pPr>
      <w:r w:rsidRPr="0055426E">
        <w:lastRenderedPageBreak/>
        <w:t>Population C-QT/QTc relationship analysis (D3610C00001)</w:t>
      </w:r>
    </w:p>
    <w:p w14:paraId="691ADEC4" w14:textId="5D341DB5" w:rsidR="0055426E" w:rsidRPr="0055426E" w:rsidRDefault="0055426E" w:rsidP="00027F2F">
      <w:pPr>
        <w:pStyle w:val="ListBullet"/>
      </w:pPr>
      <w:r w:rsidRPr="0055426E">
        <w:t xml:space="preserve">Exposure </w:t>
      </w:r>
      <w:r w:rsidRPr="00027F2F">
        <w:t>response</w:t>
      </w:r>
      <w:r w:rsidRPr="0055426E">
        <w:t xml:space="preserve"> analysis CAPI-MS-2022-006</w:t>
      </w:r>
    </w:p>
    <w:p w14:paraId="46E0E350" w14:textId="336486B7" w:rsidR="0055426E" w:rsidRPr="0055426E" w:rsidRDefault="0055426E" w:rsidP="0055426E">
      <w:pPr>
        <w:pStyle w:val="ListBullet"/>
      </w:pPr>
      <w:r w:rsidRPr="0055426E">
        <w:t>Exposure response analysis CAPI-MS-2022-004</w:t>
      </w:r>
    </w:p>
    <w:p w14:paraId="1A3F5CBD" w14:textId="1955AD15" w:rsidR="0055426E" w:rsidRPr="00027F2F" w:rsidRDefault="0055426E" w:rsidP="00027F2F">
      <w:pPr>
        <w:pStyle w:val="ListBullet"/>
        <w:rPr>
          <w:rFonts w:cs="Cambria"/>
          <w:color w:val="000000"/>
          <w:szCs w:val="22"/>
        </w:rPr>
      </w:pPr>
      <w:r w:rsidRPr="0055426E">
        <w:t xml:space="preserve">PBPK </w:t>
      </w:r>
      <w:r w:rsidRPr="00027F2F">
        <w:t>modelling</w:t>
      </w:r>
      <w:r w:rsidRPr="0055426E">
        <w:t xml:space="preserve"> report</w:t>
      </w:r>
    </w:p>
    <w:p w14:paraId="7CE10A5F" w14:textId="7CB20E33" w:rsidR="0055426E" w:rsidRPr="0055426E" w:rsidRDefault="0055426E" w:rsidP="00027F2F">
      <w:r w:rsidRPr="0055426E">
        <w:t>Phase</w:t>
      </w:r>
      <w:r w:rsidR="00236681">
        <w:t xml:space="preserve"> II and</w:t>
      </w:r>
      <w:r w:rsidRPr="0055426E">
        <w:t xml:space="preserve"> III studies</w:t>
      </w:r>
    </w:p>
    <w:p w14:paraId="6E4FD36C" w14:textId="0F0F4AC0" w:rsidR="00236681" w:rsidRDefault="00236681" w:rsidP="0055426E">
      <w:pPr>
        <w:pStyle w:val="ListBullet"/>
      </w:pPr>
      <w:r>
        <w:t>Jones et. al. 2020 (FAKTION)</w:t>
      </w:r>
    </w:p>
    <w:p w14:paraId="6057C7B6" w14:textId="55D7C3B8" w:rsidR="0055426E" w:rsidRPr="0055426E" w:rsidRDefault="0055426E" w:rsidP="00027F2F">
      <w:pPr>
        <w:pStyle w:val="ListBullet"/>
      </w:pPr>
      <w:r w:rsidRPr="0055426E">
        <w:t>Study D3615C00001 (CAPItello-</w:t>
      </w:r>
      <w:r w:rsidRPr="00027F2F">
        <w:t>291</w:t>
      </w:r>
      <w:r w:rsidRPr="0055426E">
        <w:t>)</w:t>
      </w:r>
    </w:p>
    <w:p w14:paraId="0E345EEE" w14:textId="42338855" w:rsidR="0055426E" w:rsidRPr="0055426E" w:rsidRDefault="0055426E" w:rsidP="00027F2F">
      <w:r w:rsidRPr="0055426E">
        <w:t>Additional reports</w:t>
      </w:r>
    </w:p>
    <w:p w14:paraId="0A2A7CD2" w14:textId="4E01FD85" w:rsidR="0055426E" w:rsidRPr="0055426E" w:rsidRDefault="0055426E" w:rsidP="0055426E">
      <w:pPr>
        <w:pStyle w:val="ListBullet"/>
      </w:pPr>
      <w:r w:rsidRPr="0055426E">
        <w:t>Integrated Summary of Safety</w:t>
      </w:r>
    </w:p>
    <w:p w14:paraId="1B034C26" w14:textId="3D67AC96" w:rsidR="0055426E" w:rsidRPr="0055426E" w:rsidRDefault="0055426E" w:rsidP="0055426E">
      <w:pPr>
        <w:pStyle w:val="ListBullet"/>
      </w:pPr>
      <w:r w:rsidRPr="0055426E">
        <w:t>Integrated Summary of Efficacy</w:t>
      </w:r>
    </w:p>
    <w:p w14:paraId="64587489" w14:textId="4D54C517" w:rsidR="007D5C25" w:rsidRPr="007D5C25" w:rsidRDefault="007D5C25" w:rsidP="00B50BFB">
      <w:pPr>
        <w:pStyle w:val="Heading4"/>
      </w:pPr>
      <w:bookmarkStart w:id="50" w:name="_Toc191292205"/>
      <w:bookmarkStart w:id="51" w:name="_Toc314842514"/>
      <w:r w:rsidRPr="007D5C25">
        <w:t>Pharmacology</w:t>
      </w:r>
      <w:bookmarkEnd w:id="50"/>
    </w:p>
    <w:p w14:paraId="307B9532" w14:textId="4819F1F3" w:rsidR="007D5C25" w:rsidRPr="007D5C25" w:rsidRDefault="007D5C25" w:rsidP="001C2C3A">
      <w:r w:rsidRPr="007D5C25">
        <w:t xml:space="preserve">The pharmacology data presented in the dossier included 8 phase 1 studies, two </w:t>
      </w:r>
      <w:proofErr w:type="spellStart"/>
      <w:r w:rsidRPr="007D5C25">
        <w:t>popPK</w:t>
      </w:r>
      <w:proofErr w:type="spellEnd"/>
      <w:r w:rsidRPr="007D5C25">
        <w:t xml:space="preserve"> analyses, a population C-QT/QTc relationship analysis, two exposure response analyses and a PBPK modelling report.</w:t>
      </w:r>
    </w:p>
    <w:p w14:paraId="10176872" w14:textId="2D4665BF" w:rsidR="007D5C25" w:rsidRPr="007D5C25" w:rsidRDefault="007D5C25" w:rsidP="00027F2F">
      <w:pPr>
        <w:pStyle w:val="Heading5"/>
      </w:pPr>
      <w:r w:rsidRPr="007D5C25">
        <w:t xml:space="preserve">Pharmacokinetics (PK) and Population </w:t>
      </w:r>
      <w:r w:rsidRPr="00027F2F">
        <w:t>Pharmacokinetics</w:t>
      </w:r>
      <w:r w:rsidRPr="007D5C25">
        <w:t xml:space="preserve"> (</w:t>
      </w:r>
      <w:proofErr w:type="spellStart"/>
      <w:r w:rsidRPr="007D5C25">
        <w:t>PopPK</w:t>
      </w:r>
      <w:proofErr w:type="spellEnd"/>
      <w:r w:rsidRPr="007D5C25">
        <w:t>)</w:t>
      </w:r>
    </w:p>
    <w:p w14:paraId="6D0EA99D" w14:textId="00B60BF7" w:rsidR="007D5C25" w:rsidRDefault="007D5C25" w:rsidP="004909F0">
      <w:r w:rsidRPr="007D5C25">
        <w:t xml:space="preserve">The following extract from the proposed PI summarises the PK of </w:t>
      </w:r>
      <w:proofErr w:type="spellStart"/>
      <w:r w:rsidRPr="007D5C25">
        <w:t>Capivasertib</w:t>
      </w:r>
      <w:proofErr w:type="spellEnd"/>
      <w:r w:rsidRPr="007D5C25">
        <w:t>. This version under</w:t>
      </w:r>
      <w:r w:rsidR="002A4135">
        <w:t>went</w:t>
      </w:r>
      <w:r w:rsidRPr="007D5C25">
        <w:t xml:space="preserve"> some revisions, and the clinical evaluator determined that the text is an accurate reflection of the PK data in the dossier.</w:t>
      </w:r>
    </w:p>
    <w:p w14:paraId="6AF7E9EE" w14:textId="62F5B275" w:rsidR="00C52186" w:rsidRPr="007D5C25" w:rsidRDefault="00C52186" w:rsidP="00C52186">
      <w:pPr>
        <w:pStyle w:val="Heading6"/>
      </w:pPr>
      <w:r>
        <w:t>PK</w:t>
      </w:r>
      <w:r w:rsidR="00A21D82">
        <w:t xml:space="preserve"> and </w:t>
      </w:r>
      <w:proofErr w:type="spellStart"/>
      <w:r w:rsidR="00A21D82">
        <w:t>PopPK</w:t>
      </w:r>
      <w:proofErr w:type="spellEnd"/>
    </w:p>
    <w:p w14:paraId="668DE1D2" w14:textId="06CC2766" w:rsidR="007D5C25" w:rsidRPr="007D5C25" w:rsidRDefault="007D5C25" w:rsidP="00C52186">
      <w:proofErr w:type="spellStart"/>
      <w:r w:rsidRPr="007D5C25">
        <w:t>Capivasertib</w:t>
      </w:r>
      <w:proofErr w:type="spellEnd"/>
      <w:r w:rsidRPr="007D5C25">
        <w:t xml:space="preserve"> pharmacokinetics have been characterised in healthy subjects and patients with solid tumours. The systemic exposure (AUC and </w:t>
      </w:r>
      <w:proofErr w:type="spellStart"/>
      <w:r w:rsidRPr="007D5C25">
        <w:t>Cmax</w:t>
      </w:r>
      <w:proofErr w:type="spellEnd"/>
      <w:r w:rsidRPr="007D5C25">
        <w:t xml:space="preserve">) increased approximately proportionally to the dose over the 80 to 800 mg dose range when given to patients. Following intermittent dosing of </w:t>
      </w:r>
      <w:proofErr w:type="spellStart"/>
      <w:r w:rsidRPr="007D5C25">
        <w:t>capivasertib</w:t>
      </w:r>
      <w:proofErr w:type="spellEnd"/>
      <w:r w:rsidRPr="007D5C25">
        <w:t xml:space="preserve"> 400 mg twice daily, 4 days on, 3 days off, steady-state levels are predicted to be attained on every 3rd and 4th dosing day each week, starting from week 2. During the off-dosing days, the plasma concentrations are low (approximately 0.5% to 15% of the steady state </w:t>
      </w:r>
      <w:proofErr w:type="spellStart"/>
      <w:r w:rsidRPr="007D5C25">
        <w:t>Cmax</w:t>
      </w:r>
      <w:proofErr w:type="spellEnd"/>
      <w:r w:rsidRPr="007D5C25">
        <w:t>).</w:t>
      </w:r>
    </w:p>
    <w:p w14:paraId="6C1D23CE" w14:textId="61101A6B" w:rsidR="007D5C25" w:rsidRPr="00921969" w:rsidRDefault="007D5C25" w:rsidP="00A21D82">
      <w:pPr>
        <w:pStyle w:val="Heading6"/>
      </w:pPr>
      <w:r w:rsidRPr="00921969">
        <w:t>Absorption</w:t>
      </w:r>
    </w:p>
    <w:p w14:paraId="34F392F8" w14:textId="4B791328" w:rsidR="007D5C25" w:rsidRPr="007D5C25" w:rsidRDefault="007D5C25" w:rsidP="00A21D82">
      <w:proofErr w:type="spellStart"/>
      <w:r w:rsidRPr="007D5C25">
        <w:t>Capivasertib</w:t>
      </w:r>
      <w:proofErr w:type="spellEnd"/>
      <w:r w:rsidRPr="007D5C25">
        <w:t xml:space="preserve"> is rapidly absorbed with peak concentration (</w:t>
      </w:r>
      <w:proofErr w:type="spellStart"/>
      <w:r w:rsidRPr="007D5C25">
        <w:t>Cmax</w:t>
      </w:r>
      <w:proofErr w:type="spellEnd"/>
      <w:r w:rsidRPr="007D5C25">
        <w:t>) observed at approximately 1-2 hours in patients. The mean absolute bioavailability is 29%.</w:t>
      </w:r>
    </w:p>
    <w:p w14:paraId="7F59F4C1" w14:textId="0E4D6DC7" w:rsidR="007D5C25" w:rsidRPr="007D5C25" w:rsidRDefault="007D5C25" w:rsidP="00A21D82">
      <w:pPr>
        <w:pStyle w:val="Heading6"/>
      </w:pPr>
      <w:r w:rsidRPr="007D5C25">
        <w:t xml:space="preserve">Food </w:t>
      </w:r>
      <w:r w:rsidR="00027F2F">
        <w:t>e</w:t>
      </w:r>
      <w:r w:rsidRPr="007D5C25">
        <w:t>ffect</w:t>
      </w:r>
    </w:p>
    <w:p w14:paraId="390F86F3" w14:textId="7EE0B148" w:rsidR="007D5C25" w:rsidRPr="007D5C25" w:rsidRDefault="007D5C25" w:rsidP="00A21D82">
      <w:r w:rsidRPr="007D5C25">
        <w:t xml:space="preserve">When </w:t>
      </w:r>
      <w:proofErr w:type="spellStart"/>
      <w:r w:rsidRPr="007D5C25">
        <w:t>capivasertib</w:t>
      </w:r>
      <w:proofErr w:type="spellEnd"/>
      <w:r w:rsidRPr="007D5C25">
        <w:t xml:space="preserve"> was administered after a high-fat, high-calorie meal (approximately 1000 kcal), the fed to fasted ratio was 1.32 and 1.23, for AUC and </w:t>
      </w:r>
      <w:proofErr w:type="spellStart"/>
      <w:r w:rsidRPr="007D5C25">
        <w:t>Cmax</w:t>
      </w:r>
      <w:proofErr w:type="spellEnd"/>
      <w:r w:rsidRPr="007D5C25">
        <w:t xml:space="preserve">, respectively, compared to when given after an overnight fast. When </w:t>
      </w:r>
      <w:proofErr w:type="spellStart"/>
      <w:r w:rsidRPr="007D5C25">
        <w:t>capivasertib</w:t>
      </w:r>
      <w:proofErr w:type="spellEnd"/>
      <w:r w:rsidRPr="007D5C25">
        <w:t xml:space="preserve"> was administered after a low-fat, low-calorie (approximately 400 kcal), the exposure was </w:t>
      </w:r>
      <w:proofErr w:type="gramStart"/>
      <w:r w:rsidRPr="007D5C25">
        <w:t>similar to</w:t>
      </w:r>
      <w:proofErr w:type="gramEnd"/>
      <w:r w:rsidRPr="007D5C25">
        <w:t xml:space="preserve"> that after fasted administration with fed to fasted ratios of 1.14 and 1.21, for AUC and </w:t>
      </w:r>
      <w:proofErr w:type="spellStart"/>
      <w:r w:rsidRPr="007D5C25">
        <w:t>Cmax</w:t>
      </w:r>
      <w:proofErr w:type="spellEnd"/>
      <w:r w:rsidRPr="007D5C25">
        <w:t>, respectively. Co-administration with food did not result in clinically relevant changes to the exposure.</w:t>
      </w:r>
    </w:p>
    <w:p w14:paraId="09ABB4E2" w14:textId="0CFE0980" w:rsidR="007D5C25" w:rsidRPr="007D5C25" w:rsidRDefault="007D5C25" w:rsidP="00A21D82">
      <w:pPr>
        <w:pStyle w:val="Heading6"/>
      </w:pPr>
      <w:r w:rsidRPr="007D5C25">
        <w:lastRenderedPageBreak/>
        <w:t>Distribution</w:t>
      </w:r>
    </w:p>
    <w:p w14:paraId="1B46FF9F" w14:textId="6F52BECE" w:rsidR="007D5C25" w:rsidRPr="007D5C25" w:rsidRDefault="007D5C25" w:rsidP="00027F2F">
      <w:r w:rsidRPr="007D5C25">
        <w:t>The mean volume of distribution (</w:t>
      </w:r>
      <w:proofErr w:type="spellStart"/>
      <w:r w:rsidRPr="007D5C25">
        <w:t>Vss</w:t>
      </w:r>
      <w:proofErr w:type="spellEnd"/>
      <w:r w:rsidRPr="007D5C25">
        <w:t xml:space="preserve">) was 205 L after intravenous administration to healthy subjects. </w:t>
      </w:r>
      <w:proofErr w:type="spellStart"/>
      <w:r w:rsidRPr="007D5C25">
        <w:t>Capivasertib</w:t>
      </w:r>
      <w:proofErr w:type="spellEnd"/>
      <w:r w:rsidRPr="007D5C25">
        <w:t xml:space="preserve"> is not extensively bound to plasma protein (percentage unbound 22%) and the plasma to blood ratio is 0.71.</w:t>
      </w:r>
    </w:p>
    <w:p w14:paraId="0DC92F1C" w14:textId="546EE2DD" w:rsidR="007D5C25" w:rsidRPr="007D5C25" w:rsidRDefault="007D5C25" w:rsidP="00A21D82">
      <w:pPr>
        <w:pStyle w:val="Heading6"/>
      </w:pPr>
      <w:r w:rsidRPr="007D5C25">
        <w:t>Metabolism</w:t>
      </w:r>
    </w:p>
    <w:p w14:paraId="7A210F6C" w14:textId="3D022635" w:rsidR="007D5C25" w:rsidRPr="007D5C25" w:rsidRDefault="007D5C25" w:rsidP="00A21D82">
      <w:proofErr w:type="spellStart"/>
      <w:r w:rsidRPr="007D5C25">
        <w:t>Capivasertib</w:t>
      </w:r>
      <w:proofErr w:type="spellEnd"/>
      <w:r w:rsidRPr="007D5C25">
        <w:t xml:space="preserve"> is primarily metabolised by CYP3A4 and UGT2B7 enzymes. The major metabolite in human plasma was an ether glucuronide that accounted for 83% of total drug-related material. A minor oxidative metabolite was quantified at 2% and </w:t>
      </w:r>
      <w:proofErr w:type="spellStart"/>
      <w:r w:rsidRPr="007D5C25">
        <w:t>capivasertib</w:t>
      </w:r>
      <w:proofErr w:type="spellEnd"/>
      <w:r w:rsidRPr="007D5C25">
        <w:t xml:space="preserve"> accounted for 15% of total circulating drug-related material. No active metabolites have been identified.</w:t>
      </w:r>
    </w:p>
    <w:p w14:paraId="6159A2A9" w14:textId="168084A4" w:rsidR="007D5C25" w:rsidRPr="007D5C25" w:rsidRDefault="007D5C25" w:rsidP="00A21D82">
      <w:pPr>
        <w:pStyle w:val="Heading6"/>
      </w:pPr>
      <w:r w:rsidRPr="007D5C25">
        <w:t>Excretion</w:t>
      </w:r>
    </w:p>
    <w:p w14:paraId="46C2141F" w14:textId="08B171B8" w:rsidR="007D5C25" w:rsidRPr="007D5C25" w:rsidRDefault="007D5C25" w:rsidP="00A21D82">
      <w:r w:rsidRPr="007D5C25">
        <w:t>The effective half-life after multiple dosing in patients was 8.3 hours. The mean total plasma clearance was 38 L/h after a single intravenous administration to healthy subjects. The mean total oral plasma clearance was 60 L/h after single oral administration and decreased by 8% after repeated dosing of 400 mg twice daily.</w:t>
      </w:r>
    </w:p>
    <w:p w14:paraId="1E8AC43A" w14:textId="1419F6C5" w:rsidR="007D5C25" w:rsidRPr="007D5C25" w:rsidRDefault="007D5C25" w:rsidP="00A21D82">
      <w:r w:rsidRPr="007D5C25">
        <w:t xml:space="preserve">Following single oral dose of 400 mg, the mean total recovery of radioactive dose was 45% from urine and 50% from faeces. Renal clearance was 21% of total clearance. </w:t>
      </w:r>
      <w:proofErr w:type="spellStart"/>
      <w:r w:rsidRPr="007D5C25">
        <w:t>Capivasertib</w:t>
      </w:r>
      <w:proofErr w:type="spellEnd"/>
      <w:r w:rsidRPr="007D5C25">
        <w:t xml:space="preserve"> is primarily eliminated by metabolism.</w:t>
      </w:r>
    </w:p>
    <w:p w14:paraId="4C96AC2D" w14:textId="1A64478F" w:rsidR="007D5C25" w:rsidRPr="004909F0" w:rsidRDefault="007D5C25" w:rsidP="00027F2F">
      <w:pPr>
        <w:pStyle w:val="Heading6"/>
      </w:pPr>
      <w:r w:rsidRPr="00027F2F">
        <w:t>Special</w:t>
      </w:r>
      <w:r w:rsidRPr="004909F0">
        <w:t xml:space="preserve"> populations</w:t>
      </w:r>
    </w:p>
    <w:p w14:paraId="4B5822A6" w14:textId="53673403" w:rsidR="007D5C25" w:rsidRPr="009926D2" w:rsidRDefault="007D5C25" w:rsidP="00027F2F">
      <w:pPr>
        <w:pStyle w:val="Heading7"/>
        <w:rPr>
          <w:b/>
          <w:bCs/>
        </w:rPr>
      </w:pPr>
      <w:r w:rsidRPr="009926D2">
        <w:t xml:space="preserve">Effect of race, age, </w:t>
      </w:r>
      <w:r w:rsidRPr="00027F2F">
        <w:t>gender</w:t>
      </w:r>
      <w:r w:rsidRPr="009926D2">
        <w:t xml:space="preserve"> and weight</w:t>
      </w:r>
    </w:p>
    <w:p w14:paraId="0F360E27" w14:textId="582A6D2D" w:rsidR="007D5C25" w:rsidRPr="007D5C25" w:rsidRDefault="007D5C25" w:rsidP="00027F2F">
      <w:r w:rsidRPr="007D5C25">
        <w:t xml:space="preserve">There were no clinically significant differences in pharmacokinetics of </w:t>
      </w:r>
      <w:proofErr w:type="spellStart"/>
      <w:r w:rsidRPr="007D5C25">
        <w:t>capivasertib</w:t>
      </w:r>
      <w:proofErr w:type="spellEnd"/>
      <w:r w:rsidRPr="007D5C25">
        <w:t xml:space="preserve"> based on race/ethnicity (including White and Asian patients), gender or age. There was a statistically significant correlation of apparent oral clearance of </w:t>
      </w:r>
      <w:proofErr w:type="spellStart"/>
      <w:r w:rsidRPr="007D5C25">
        <w:t>capivasertib</w:t>
      </w:r>
      <w:proofErr w:type="spellEnd"/>
      <w:r w:rsidRPr="007D5C25">
        <w:t xml:space="preserve"> to body weight. Compared to a patient with a body weight of 66 kg, a 47 kg patient is predicted to have 12% higher AUC. There is no basis for dose modification based on body weight as the predicted effect on </w:t>
      </w:r>
      <w:proofErr w:type="spellStart"/>
      <w:r w:rsidRPr="007D5C25">
        <w:t>capivasertib</w:t>
      </w:r>
      <w:proofErr w:type="spellEnd"/>
      <w:r w:rsidRPr="007D5C25">
        <w:t xml:space="preserve"> exposure was small.</w:t>
      </w:r>
    </w:p>
    <w:p w14:paraId="27C9AB76" w14:textId="6EAB3096" w:rsidR="007D5C25" w:rsidRPr="009926D2" w:rsidRDefault="007D5C25" w:rsidP="00027F2F">
      <w:pPr>
        <w:pStyle w:val="Heading7"/>
        <w:rPr>
          <w:b/>
          <w:bCs/>
        </w:rPr>
      </w:pPr>
      <w:r w:rsidRPr="009926D2">
        <w:t>Renal impairment</w:t>
      </w:r>
    </w:p>
    <w:p w14:paraId="7EC397AB" w14:textId="42A01FA1" w:rsidR="007D5C25" w:rsidRPr="007D5C25" w:rsidRDefault="007D5C25" w:rsidP="00027F2F">
      <w:r w:rsidRPr="007D5C25">
        <w:t xml:space="preserve">Based on population pharmacokinetic analyses, AUC and </w:t>
      </w:r>
      <w:proofErr w:type="spellStart"/>
      <w:r w:rsidRPr="007D5C25">
        <w:t>Cmax</w:t>
      </w:r>
      <w:proofErr w:type="spellEnd"/>
      <w:r w:rsidRPr="007D5C25">
        <w:t xml:space="preserve"> were 1% higher in patients with mild renal impairment (creatinine clearance 60 to 89 mL/min), compared to patients with normal renal function. AUC and </w:t>
      </w:r>
      <w:proofErr w:type="spellStart"/>
      <w:r w:rsidRPr="007D5C25">
        <w:t>Cmax</w:t>
      </w:r>
      <w:proofErr w:type="spellEnd"/>
      <w:r w:rsidRPr="007D5C25">
        <w:t xml:space="preserve"> were 16% higher in patients with moderate renal impairment (creatinine clearance 30 to 59 mL/min), compared to patients with normal renal function.</w:t>
      </w:r>
    </w:p>
    <w:p w14:paraId="309E781A" w14:textId="736C7BC2" w:rsidR="007D5C25" w:rsidRPr="007D5C25" w:rsidRDefault="007D5C25" w:rsidP="00634CEB">
      <w:r w:rsidRPr="007D5C25">
        <w:t>There is no data in severe renal impairment or end-stage renal disease (creatinine clearance &lt; 30 mL/min).</w:t>
      </w:r>
    </w:p>
    <w:p w14:paraId="4A725663" w14:textId="23D4C367" w:rsidR="007D5C25" w:rsidRPr="00634CEB" w:rsidRDefault="007D5C25" w:rsidP="00027F2F">
      <w:pPr>
        <w:pStyle w:val="Heading7"/>
        <w:rPr>
          <w:b/>
          <w:bCs/>
        </w:rPr>
      </w:pPr>
      <w:r w:rsidRPr="00634CEB">
        <w:t>Hepatic impairment</w:t>
      </w:r>
    </w:p>
    <w:p w14:paraId="1F68DEBF" w14:textId="6AFFA13D" w:rsidR="007D5C25" w:rsidRPr="007D5C25" w:rsidRDefault="007D5C25" w:rsidP="00027F2F">
      <w:r w:rsidRPr="007D5C25">
        <w:t xml:space="preserve">Based on population pharmacokinetic analyses, AUC and </w:t>
      </w:r>
      <w:proofErr w:type="spellStart"/>
      <w:r w:rsidRPr="007D5C25">
        <w:t>Cmax</w:t>
      </w:r>
      <w:proofErr w:type="spellEnd"/>
      <w:r w:rsidRPr="007D5C25">
        <w:t xml:space="preserve"> were 5% higher in patients with mild hepatic impairment (bilirubin </w:t>
      </w:r>
      <w:r w:rsidRPr="001C2C3A">
        <w:rPr>
          <w:rFonts w:hint="eastAsia"/>
        </w:rPr>
        <w:t>≤</w:t>
      </w:r>
      <w:r w:rsidRPr="001C2C3A">
        <w:t xml:space="preserve"> </w:t>
      </w:r>
      <w:r w:rsidRPr="007D5C25">
        <w:t xml:space="preserve">ULN and AST &gt; ULN, or bilirubin &gt; 1 ULN to </w:t>
      </w:r>
      <w:r w:rsidRPr="001C2C3A">
        <w:rPr>
          <w:rFonts w:hint="eastAsia"/>
        </w:rPr>
        <w:t>≤</w:t>
      </w:r>
      <w:r w:rsidRPr="001C2C3A">
        <w:t xml:space="preserve"> </w:t>
      </w:r>
      <w:r w:rsidRPr="007D5C25">
        <w:t>1.5 ULN), compared to patients with normal hepatic function. No dose adjustment is required for patients with mild hepatic impairment.</w:t>
      </w:r>
    </w:p>
    <w:p w14:paraId="15360381" w14:textId="2082AA4D" w:rsidR="007D5C25" w:rsidRPr="007D5C25" w:rsidRDefault="007D5C25" w:rsidP="00027F2F">
      <w:r w:rsidRPr="007D5C25">
        <w:t xml:space="preserve">Based on limited data the AUC and </w:t>
      </w:r>
      <w:proofErr w:type="spellStart"/>
      <w:r w:rsidRPr="007D5C25">
        <w:t>Cmax</w:t>
      </w:r>
      <w:proofErr w:type="spellEnd"/>
      <w:r w:rsidRPr="007D5C25">
        <w:t xml:space="preserve"> was 17% and 13% higher respectively in patients with moderate hepatic impairment (bilirubin &gt; 1.5 ULN to </w:t>
      </w:r>
      <w:r w:rsidRPr="001C2C3A">
        <w:rPr>
          <w:rFonts w:hint="eastAsia"/>
        </w:rPr>
        <w:t>≤</w:t>
      </w:r>
      <w:r w:rsidRPr="001C2C3A">
        <w:t xml:space="preserve"> </w:t>
      </w:r>
      <w:r w:rsidRPr="007D5C25">
        <w:t>3 ULN), compared to patients with normal hepatic function. There is limited data in patients with moderate hepatic impairment and no data in severe hepatic impairment.</w:t>
      </w:r>
    </w:p>
    <w:p w14:paraId="7EE1D7DD" w14:textId="4FCC0AFD" w:rsidR="007D5C25" w:rsidRPr="007D5C25" w:rsidRDefault="007D5C25" w:rsidP="00921969">
      <w:r w:rsidRPr="004909F0">
        <w:lastRenderedPageBreak/>
        <w:t>To address the limited data in moderate hepatic impairment, the FDA requires the sponsor to conduct a hepatic impairment study in patients with moderate hepatic impairment</w:t>
      </w:r>
      <w:r w:rsidRPr="007D5C25">
        <w:t>.</w:t>
      </w:r>
    </w:p>
    <w:p w14:paraId="17DCDCAC" w14:textId="61CE5C88" w:rsidR="007D5C25" w:rsidRPr="007D5C25" w:rsidRDefault="007D5C25" w:rsidP="00921969">
      <w:r w:rsidRPr="007D5C25">
        <w:t>The delegate intends to impose a condition of registration requiring the sponsor to provide this study to the TGA when available.</w:t>
      </w:r>
    </w:p>
    <w:p w14:paraId="0F0A8210" w14:textId="44C0B854" w:rsidR="007D5C25" w:rsidRPr="007D5C25" w:rsidRDefault="007D5C25" w:rsidP="004909F0">
      <w:r w:rsidRPr="007D5C25">
        <w:t>The proposed dose of 400mg bd for 4 days, followed by 3 days off, and the advice for oral administration with or without food is supported by the PK data.</w:t>
      </w:r>
    </w:p>
    <w:p w14:paraId="212C4F8B" w14:textId="6D7E260F" w:rsidR="007D5C25" w:rsidRPr="007D5C25" w:rsidRDefault="007D5C25" w:rsidP="00027F2F">
      <w:pPr>
        <w:pStyle w:val="Heading5"/>
      </w:pPr>
      <w:r w:rsidRPr="007D5C25">
        <w:t xml:space="preserve">Drug </w:t>
      </w:r>
      <w:r w:rsidR="00027F2F" w:rsidRPr="00027F2F">
        <w:t>i</w:t>
      </w:r>
      <w:r w:rsidRPr="00027F2F">
        <w:t>nteractions</w:t>
      </w:r>
    </w:p>
    <w:p w14:paraId="3BF45606" w14:textId="179C9355" w:rsidR="007D5C25" w:rsidRPr="007D5C25" w:rsidRDefault="007D5C25" w:rsidP="00027F2F">
      <w:pPr>
        <w:pStyle w:val="Heading6"/>
        <w:rPr>
          <w:rFonts w:eastAsia="MS Mincho"/>
        </w:rPr>
      </w:pPr>
      <w:r w:rsidRPr="007D5C25">
        <w:rPr>
          <w:rFonts w:eastAsia="MS Mincho"/>
        </w:rPr>
        <w:t xml:space="preserve">Effects of other drugs on </w:t>
      </w:r>
      <w:proofErr w:type="spellStart"/>
      <w:r w:rsidRPr="007D5C25">
        <w:rPr>
          <w:rFonts w:eastAsia="MS Mincho"/>
        </w:rPr>
        <w:t>Capivasertib</w:t>
      </w:r>
      <w:proofErr w:type="spellEnd"/>
    </w:p>
    <w:p w14:paraId="38A96800" w14:textId="120E559B" w:rsidR="008D2AC0" w:rsidRDefault="007D5C25" w:rsidP="00027F2F">
      <w:proofErr w:type="spellStart"/>
      <w:r w:rsidRPr="007D5C25">
        <w:t>Capivasertib</w:t>
      </w:r>
      <w:proofErr w:type="spellEnd"/>
      <w:r w:rsidRPr="007D5C25">
        <w:t xml:space="preserve"> is extensively metabolised with 11 different metabolites identified in plasma and urine. The risk of drug interactions is an important consideration. Strong CYP3A4 inhibitors increase </w:t>
      </w:r>
      <w:proofErr w:type="spellStart"/>
      <w:r w:rsidRPr="007D5C25">
        <w:t>capivasertib</w:t>
      </w:r>
      <w:proofErr w:type="spellEnd"/>
      <w:r w:rsidRPr="007D5C25">
        <w:t xml:space="preserve"> concentration.</w:t>
      </w:r>
    </w:p>
    <w:p w14:paraId="2794E572" w14:textId="45A09559" w:rsidR="007D5C25" w:rsidRPr="007D5C25" w:rsidRDefault="007D5C25" w:rsidP="00027F2F">
      <w:r w:rsidRPr="007D5C25">
        <w:t xml:space="preserve">The proposed PI recommends reducing the dose of </w:t>
      </w:r>
      <w:proofErr w:type="spellStart"/>
      <w:r w:rsidRPr="007D5C25">
        <w:t>Capivasertib</w:t>
      </w:r>
      <w:proofErr w:type="spellEnd"/>
      <w:r w:rsidRPr="007D5C25">
        <w:t xml:space="preserve"> when administered with strong CYP3A4 inhibitors, however, the pivotal study, CAPItello-291 excluded concomitant or recent treatment with strong CYP3A4 inhibitors, and given the risk of increased toxicity, avoidance of the combination is the safest option. For moderate CYP3A4 inhibitors, the dose of </w:t>
      </w:r>
      <w:proofErr w:type="spellStart"/>
      <w:r w:rsidRPr="007D5C25">
        <w:t>capivasertib</w:t>
      </w:r>
      <w:proofErr w:type="spellEnd"/>
      <w:r w:rsidRPr="007D5C25">
        <w:t xml:space="preserve"> should be reduced. This is what is recommended in the US PI, and the delegate requested similar wording in the Australian PI.</w:t>
      </w:r>
    </w:p>
    <w:p w14:paraId="163301E9" w14:textId="3C8E4722" w:rsidR="007D5C25" w:rsidRPr="007D5C25" w:rsidRDefault="007D5C25" w:rsidP="00027F2F">
      <w:r w:rsidRPr="007D5C25">
        <w:t xml:space="preserve">The Australian PI also recommends avoidance of strong </w:t>
      </w:r>
      <w:r w:rsidR="4C7A063F">
        <w:t>CYP3A4 inducers</w:t>
      </w:r>
      <w:r w:rsidR="2B9E5D67">
        <w:t xml:space="preserve"> and caution should be used when co-administered with moderate </w:t>
      </w:r>
      <w:r w:rsidRPr="007D5C25">
        <w:t xml:space="preserve">CYP3A4 inducers, which decrease </w:t>
      </w:r>
      <w:proofErr w:type="spellStart"/>
      <w:r w:rsidRPr="007D5C25">
        <w:t>capivasertib</w:t>
      </w:r>
      <w:proofErr w:type="spellEnd"/>
      <w:r w:rsidRPr="007D5C25">
        <w:t xml:space="preserve"> concentration and may reduce efficacy. Th</w:t>
      </w:r>
      <w:r w:rsidR="008D2AC0">
        <w:t>e delegate considered this to be appropriate</w:t>
      </w:r>
      <w:r w:rsidRPr="007D5C25">
        <w:t>.</w:t>
      </w:r>
    </w:p>
    <w:p w14:paraId="3DDD03AA" w14:textId="0D609CB5" w:rsidR="007D5C25" w:rsidRPr="007D5C25" w:rsidRDefault="007D5C25" w:rsidP="00027F2F">
      <w:pPr>
        <w:pStyle w:val="Heading6"/>
        <w:rPr>
          <w:rFonts w:eastAsia="MS Mincho"/>
        </w:rPr>
      </w:pPr>
      <w:r w:rsidRPr="007D5C25">
        <w:rPr>
          <w:rFonts w:eastAsia="MS Mincho"/>
        </w:rPr>
        <w:t xml:space="preserve">Effects of </w:t>
      </w:r>
      <w:proofErr w:type="spellStart"/>
      <w:r w:rsidRPr="007D5C25">
        <w:rPr>
          <w:rFonts w:eastAsia="MS Mincho"/>
        </w:rPr>
        <w:t>Capivasertib</w:t>
      </w:r>
      <w:proofErr w:type="spellEnd"/>
      <w:r w:rsidRPr="007D5C25">
        <w:rPr>
          <w:rFonts w:eastAsia="MS Mincho"/>
        </w:rPr>
        <w:t xml:space="preserve"> on other </w:t>
      </w:r>
      <w:r w:rsidRPr="00027F2F">
        <w:rPr>
          <w:rFonts w:eastAsia="MS Mincho"/>
        </w:rPr>
        <w:t>drugs</w:t>
      </w:r>
    </w:p>
    <w:p w14:paraId="62E25730" w14:textId="36C281CD" w:rsidR="007D5C25" w:rsidRPr="007D5C25" w:rsidRDefault="007D5C25" w:rsidP="00027F2F">
      <w:r w:rsidRPr="007D5C25">
        <w:t xml:space="preserve">Information about the clinical impact of co-administration of </w:t>
      </w:r>
      <w:proofErr w:type="spellStart"/>
      <w:r w:rsidRPr="007D5C25">
        <w:t>capivasertib</w:t>
      </w:r>
      <w:proofErr w:type="spellEnd"/>
      <w:r w:rsidRPr="007D5C25">
        <w:t xml:space="preserve"> with CYP3A substrates, hepatic transporters (OATP1B1 and OATP1B3) and renal transporters (MATE1, MATE2K and OCT2) </w:t>
      </w:r>
      <w:r w:rsidR="00A8320A">
        <w:t>wa</w:t>
      </w:r>
      <w:r w:rsidRPr="007D5C25">
        <w:t>s included in the proposed PI.</w:t>
      </w:r>
    </w:p>
    <w:p w14:paraId="2037C2C0" w14:textId="64FB822E" w:rsidR="007D5C25" w:rsidRPr="007D5C25" w:rsidRDefault="007D5C25" w:rsidP="00027F2F">
      <w:r w:rsidRPr="007D5C25">
        <w:t xml:space="preserve">The clinical evaluator identified an important potential interaction with metformin. This is highly relevant because hyperglycaemia is one of the key adverse effects of </w:t>
      </w:r>
      <w:proofErr w:type="spellStart"/>
      <w:r w:rsidRPr="007D5C25">
        <w:t>Capivasertib</w:t>
      </w:r>
      <w:proofErr w:type="spellEnd"/>
      <w:r w:rsidRPr="007D5C25">
        <w:t>, and metformin may be used to treat it. The evaluator stated:</w:t>
      </w:r>
    </w:p>
    <w:p w14:paraId="75FDE4B2" w14:textId="46EFB2BB" w:rsidR="00EA7979" w:rsidRDefault="007D5C25" w:rsidP="001C2C3A">
      <w:pPr>
        <w:ind w:left="720"/>
      </w:pPr>
      <w:r w:rsidRPr="001C2C3A">
        <w:t xml:space="preserve">In-vitro, </w:t>
      </w:r>
      <w:proofErr w:type="spellStart"/>
      <w:r w:rsidRPr="001C2C3A">
        <w:t>capivasertib</w:t>
      </w:r>
      <w:proofErr w:type="spellEnd"/>
      <w:r w:rsidRPr="001C2C3A">
        <w:t xml:space="preserve"> inhibited the transporter mediated PK of metformin at the expected plasma concentrations of </w:t>
      </w:r>
      <w:proofErr w:type="spellStart"/>
      <w:r w:rsidRPr="001C2C3A">
        <w:t>capivasertib</w:t>
      </w:r>
      <w:proofErr w:type="spellEnd"/>
      <w:r w:rsidRPr="001C2C3A">
        <w:t xml:space="preserve">. Specifically, </w:t>
      </w:r>
      <w:proofErr w:type="spellStart"/>
      <w:r w:rsidRPr="001C2C3A">
        <w:t>capivasertib</w:t>
      </w:r>
      <w:proofErr w:type="spellEnd"/>
      <w:r w:rsidRPr="001C2C3A">
        <w:t xml:space="preserve"> inhibited the OCT2-mediated uptake of [14C]-metformin by 94% (100 </w:t>
      </w:r>
      <w:proofErr w:type="spellStart"/>
      <w:r w:rsidRPr="001C2C3A">
        <w:t>μM</w:t>
      </w:r>
      <w:proofErr w:type="spellEnd"/>
      <w:r w:rsidRPr="001C2C3A">
        <w:t xml:space="preserve">) in an HEK293 cell system with a calculated IC50 value of 1.34 </w:t>
      </w:r>
      <w:proofErr w:type="spellStart"/>
      <w:r w:rsidRPr="001C2C3A">
        <w:t>μM</w:t>
      </w:r>
      <w:proofErr w:type="spellEnd"/>
      <w:r w:rsidRPr="001C2C3A">
        <w:t xml:space="preserve"> (Study KMN025).</w:t>
      </w:r>
    </w:p>
    <w:p w14:paraId="16371253" w14:textId="74A89C0D" w:rsidR="007D5C25" w:rsidRPr="001C2C3A" w:rsidRDefault="007D5C25" w:rsidP="001C2C3A">
      <w:pPr>
        <w:ind w:left="720"/>
      </w:pPr>
      <w:r w:rsidRPr="001C2C3A">
        <w:t>Also clinically significant is that metformin glucose lowering effect is dependent upon OCT1 mediated uptake into hepatocytes (Shu 2007). In addition, OCT3 is involved in the absorption of metformin from the gastrointestinal tract (</w:t>
      </w:r>
      <w:proofErr w:type="spellStart"/>
      <w:r w:rsidRPr="001C2C3A">
        <w:t>Shirasaka</w:t>
      </w:r>
      <w:proofErr w:type="spellEnd"/>
      <w:r w:rsidRPr="001C2C3A">
        <w:t xml:space="preserve"> 2016). Hence, the PBPK model has not fully considered the PK and PD effects upon metformin of coadministration with </w:t>
      </w:r>
      <w:proofErr w:type="spellStart"/>
      <w:r w:rsidRPr="001C2C3A">
        <w:t>capivasertib</w:t>
      </w:r>
      <w:proofErr w:type="spellEnd"/>
      <w:r w:rsidRPr="001C2C3A">
        <w:t>. The model did not account for any effects on OCT3 mediated absorption of metformin or the uptake of metformin into hepatocytes (mediated by OCT1). Hence, although the effects on PK of metformin are unlikely to be significant, effects on OCT1 may result in lack of efficacy for metformin.</w:t>
      </w:r>
    </w:p>
    <w:p w14:paraId="069AE153" w14:textId="0377A30D" w:rsidR="00A8320A" w:rsidRDefault="007D5C25" w:rsidP="001C2C3A">
      <w:r w:rsidRPr="007D5C25">
        <w:t xml:space="preserve">Metformin may not be effective when administered with </w:t>
      </w:r>
      <w:proofErr w:type="spellStart"/>
      <w:r w:rsidRPr="007D5C25">
        <w:t>capivasertib</w:t>
      </w:r>
      <w:proofErr w:type="spellEnd"/>
      <w:r w:rsidR="00A8320A">
        <w:t>. T</w:t>
      </w:r>
      <w:r w:rsidRPr="007D5C25">
        <w:t xml:space="preserve">herefore, there is uncertainty as to the optimal management of hyperglycaemia, one of the key adverse effects of </w:t>
      </w:r>
      <w:proofErr w:type="spellStart"/>
      <w:r w:rsidRPr="007D5C25">
        <w:t>capivasertib</w:t>
      </w:r>
      <w:proofErr w:type="spellEnd"/>
      <w:r w:rsidRPr="007D5C25">
        <w:t xml:space="preserve">. There is a lack of clinical evidence regarding the efficacy of metformin in the treatment of </w:t>
      </w:r>
      <w:proofErr w:type="spellStart"/>
      <w:r w:rsidRPr="007D5C25">
        <w:t>capivasertib</w:t>
      </w:r>
      <w:proofErr w:type="spellEnd"/>
      <w:r w:rsidRPr="007D5C25">
        <w:t xml:space="preserve"> induced hyperglycaemia.</w:t>
      </w:r>
    </w:p>
    <w:p w14:paraId="36F7000A" w14:textId="1FB6D4CF" w:rsidR="007D5C25" w:rsidRPr="007D5C25" w:rsidRDefault="007D5C25" w:rsidP="001C2C3A">
      <w:r w:rsidRPr="007D5C25">
        <w:lastRenderedPageBreak/>
        <w:t xml:space="preserve">ACM advice </w:t>
      </w:r>
      <w:r w:rsidR="00A8320A">
        <w:t>wa</w:t>
      </w:r>
      <w:r w:rsidRPr="007D5C25">
        <w:t>s requested on the proposed post-market condition of registration intended to address this evidence gap. The delegate also requested changes to the PI to highlight this uncertainty.</w:t>
      </w:r>
    </w:p>
    <w:p w14:paraId="3CC94FE2" w14:textId="4FD76834" w:rsidR="007D5C25" w:rsidRPr="007D5C25" w:rsidRDefault="007D5C25" w:rsidP="00921969">
      <w:pPr>
        <w:pStyle w:val="Heading5"/>
        <w:rPr>
          <w:rFonts w:eastAsia="MS Mincho"/>
        </w:rPr>
      </w:pPr>
      <w:r w:rsidRPr="007D5C25">
        <w:rPr>
          <w:rFonts w:eastAsia="MS Mincho"/>
        </w:rPr>
        <w:t>Pharmacodynamics (PD)</w:t>
      </w:r>
    </w:p>
    <w:p w14:paraId="18956903" w14:textId="7B4D963B" w:rsidR="007D5C25" w:rsidRPr="007D5C25" w:rsidRDefault="007D5C25" w:rsidP="00027F2F">
      <w:proofErr w:type="spellStart"/>
      <w:r w:rsidRPr="007D5C25">
        <w:t>Capivasertib</w:t>
      </w:r>
      <w:proofErr w:type="spellEnd"/>
      <w:r w:rsidRPr="007D5C25">
        <w:t xml:space="preserve"> is an oral inhibitor of all three serine/threonine-specific kinase (AKT) isoforms (AKT1/2/3), with additional activity vs p70 and protein kinase A at higher concentrations in cell lines. </w:t>
      </w:r>
      <w:proofErr w:type="spellStart"/>
      <w:r w:rsidRPr="007D5C25">
        <w:t>Capivasertib</w:t>
      </w:r>
      <w:proofErr w:type="spellEnd"/>
      <w:r w:rsidRPr="007D5C25">
        <w:t xml:space="preserve"> reduces cell proliferation in multiple tumour cell line panels with and without phosphatidylinositol-4,5-bisphosphate 3-kinase catalytic subunit</w:t>
      </w:r>
      <w:r w:rsidR="00BD46B6">
        <w:t xml:space="preserve"> </w:t>
      </w:r>
      <w:r w:rsidRPr="007D5C25">
        <w:t xml:space="preserve">alpha (PIK3CA), AKT1 or phosphatase and </w:t>
      </w:r>
      <w:proofErr w:type="spellStart"/>
      <w:r w:rsidRPr="007D5C25">
        <w:t>tensin</w:t>
      </w:r>
      <w:proofErr w:type="spellEnd"/>
      <w:r w:rsidRPr="007D5C25">
        <w:t xml:space="preserve"> homologue (PTEN) gene alterations, although activity is more marked in</w:t>
      </w:r>
      <w:r w:rsidR="00F5194D">
        <w:t xml:space="preserve"> </w:t>
      </w:r>
      <w:r w:rsidRPr="007D5C25">
        <w:t>mutated cell lines.</w:t>
      </w:r>
    </w:p>
    <w:p w14:paraId="36EA5A41" w14:textId="652E28DE" w:rsidR="007D5C25" w:rsidRPr="007D5C25" w:rsidRDefault="007D5C25" w:rsidP="001C2C3A">
      <w:r w:rsidRPr="007D5C25">
        <w:t>Exposure-response analyses</w:t>
      </w:r>
      <w:r w:rsidR="001C2C3A">
        <w:t xml:space="preserve"> </w:t>
      </w:r>
      <w:r w:rsidRPr="007D5C25">
        <w:t>did not</w:t>
      </w:r>
      <w:r w:rsidR="001C2C3A">
        <w:t xml:space="preserve"> </w:t>
      </w:r>
      <w:r w:rsidRPr="007D5C25">
        <w:t>clearly demonstrate a dose response relationship for</w:t>
      </w:r>
      <w:r w:rsidR="001C2C3A">
        <w:t xml:space="preserve"> </w:t>
      </w:r>
      <w:proofErr w:type="spellStart"/>
      <w:r w:rsidRPr="007D5C25">
        <w:t>Capivasertib</w:t>
      </w:r>
      <w:proofErr w:type="spellEnd"/>
      <w:r w:rsidRPr="007D5C25">
        <w:t>, however there was a</w:t>
      </w:r>
      <w:r w:rsidR="001C2C3A">
        <w:t xml:space="preserve"> </w:t>
      </w:r>
      <w:r w:rsidRPr="007D5C25">
        <w:t>clear increase in</w:t>
      </w:r>
      <w:r w:rsidR="001C2C3A">
        <w:t xml:space="preserve"> </w:t>
      </w:r>
      <w:r w:rsidRPr="007D5C25">
        <w:t>adverse events</w:t>
      </w:r>
      <w:r w:rsidR="001C2C3A">
        <w:t xml:space="preserve"> </w:t>
      </w:r>
      <w:r w:rsidRPr="007D5C25">
        <w:t>(diarrhoea, rash and</w:t>
      </w:r>
      <w:r w:rsidR="001C2C3A">
        <w:t xml:space="preserve"> </w:t>
      </w:r>
      <w:r w:rsidRPr="007D5C25">
        <w:t>hyperglycaemia)</w:t>
      </w:r>
      <w:r w:rsidR="001C2C3A">
        <w:t xml:space="preserve"> </w:t>
      </w:r>
      <w:r w:rsidRPr="007D5C25">
        <w:t>with increasing dose.</w:t>
      </w:r>
      <w:r w:rsidR="001C2C3A">
        <w:t xml:space="preserve"> </w:t>
      </w:r>
      <w:r w:rsidRPr="007D5C25">
        <w:t>The proposed dose</w:t>
      </w:r>
      <w:r w:rsidR="001C2C3A">
        <w:t xml:space="preserve"> </w:t>
      </w:r>
      <w:r w:rsidRPr="007D5C25">
        <w:t>regimen</w:t>
      </w:r>
      <w:r w:rsidR="001C2C3A">
        <w:t xml:space="preserve"> </w:t>
      </w:r>
      <w:r w:rsidRPr="007D5C25">
        <w:t>of</w:t>
      </w:r>
      <w:r w:rsidR="001C2C3A">
        <w:t xml:space="preserve"> </w:t>
      </w:r>
      <w:r w:rsidRPr="007D5C25">
        <w:t>400 mg twice daily for 4</w:t>
      </w:r>
      <w:r w:rsidR="001C2C3A">
        <w:t xml:space="preserve"> </w:t>
      </w:r>
      <w:r w:rsidRPr="007D5C25">
        <w:t>days followed by 3 days off, was</w:t>
      </w:r>
      <w:r w:rsidR="001C2C3A">
        <w:t xml:space="preserve"> </w:t>
      </w:r>
      <w:r w:rsidRPr="007D5C25">
        <w:t>in the middle range of the risk</w:t>
      </w:r>
      <w:r w:rsidR="001C2C3A">
        <w:t xml:space="preserve"> </w:t>
      </w:r>
      <w:r w:rsidRPr="007D5C25">
        <w:t>curves.</w:t>
      </w:r>
    </w:p>
    <w:p w14:paraId="57953200" w14:textId="6F01422B" w:rsidR="007D5C25" w:rsidRPr="007D5C25" w:rsidRDefault="007D5C25" w:rsidP="001C2C3A">
      <w:r w:rsidRPr="007D5C25">
        <w:t>A population C-QT/QTc relationship analysis (D3610C00001)</w:t>
      </w:r>
      <w:r w:rsidR="001C2C3A">
        <w:t xml:space="preserve"> </w:t>
      </w:r>
      <w:r w:rsidRPr="007D5C25">
        <w:t>found a significant relationship</w:t>
      </w:r>
      <w:r w:rsidR="001C2C3A">
        <w:t xml:space="preserve"> </w:t>
      </w:r>
      <w:r w:rsidRPr="007D5C25">
        <w:t>between</w:t>
      </w:r>
      <w:r w:rsidR="001C2C3A">
        <w:t xml:space="preserve"> </w:t>
      </w:r>
      <w:r w:rsidRPr="007D5C25">
        <w:t>plasma concentration</w:t>
      </w:r>
      <w:r w:rsidR="001C2C3A">
        <w:t xml:space="preserve"> </w:t>
      </w:r>
      <w:r w:rsidRPr="007D5C25">
        <w:t>and</w:t>
      </w:r>
      <w:r w:rsidR="001C2C3A">
        <w:t xml:space="preserve"> </w:t>
      </w:r>
      <w:proofErr w:type="spellStart"/>
      <w:r w:rsidRPr="007D5C25">
        <w:t>ΔQTc</w:t>
      </w:r>
      <w:proofErr w:type="spellEnd"/>
      <w:r w:rsidRPr="007D5C25">
        <w:t>, however</w:t>
      </w:r>
      <w:r w:rsidR="00F5194D">
        <w:t xml:space="preserve"> </w:t>
      </w:r>
      <w:r w:rsidRPr="007D5C25">
        <w:t>the predicted mean (95% CI)</w:t>
      </w:r>
      <w:r w:rsidR="001C2C3A">
        <w:t xml:space="preserve"> </w:t>
      </w:r>
      <w:proofErr w:type="spellStart"/>
      <w:r w:rsidRPr="007D5C25">
        <w:t>ΔQTc</w:t>
      </w:r>
      <w:proofErr w:type="spellEnd"/>
      <w:r w:rsidRPr="007D5C25">
        <w:t xml:space="preserve"> was</w:t>
      </w:r>
      <w:r w:rsidR="001C2C3A">
        <w:t xml:space="preserve"> </w:t>
      </w:r>
      <w:r w:rsidRPr="007D5C25">
        <w:t xml:space="preserve">minor, at3.87 (2.77 to 4.97) </w:t>
      </w:r>
      <w:proofErr w:type="spellStart"/>
      <w:r w:rsidRPr="007D5C25">
        <w:t>ms</w:t>
      </w:r>
      <w:proofErr w:type="spellEnd"/>
      <w:r w:rsidRPr="007D5C25">
        <w:t>, which</w:t>
      </w:r>
      <w:r w:rsidR="001C2C3A">
        <w:t xml:space="preserve"> </w:t>
      </w:r>
      <w:r w:rsidRPr="007D5C25">
        <w:t>is unlikely to be clinically</w:t>
      </w:r>
      <w:r w:rsidR="001C2C3A">
        <w:t xml:space="preserve"> </w:t>
      </w:r>
      <w:r w:rsidRPr="007D5C25">
        <w:t>significant. Notably,</w:t>
      </w:r>
      <w:r w:rsidR="001C2C3A">
        <w:t xml:space="preserve"> </w:t>
      </w:r>
      <w:r w:rsidRPr="007D5C25">
        <w:t>patients</w:t>
      </w:r>
      <w:r w:rsidR="001C2C3A">
        <w:t xml:space="preserve"> </w:t>
      </w:r>
      <w:r w:rsidRPr="007D5C25">
        <w:t>with</w:t>
      </w:r>
      <w:r w:rsidR="001C2C3A">
        <w:t xml:space="preserve"> </w:t>
      </w:r>
      <w:r w:rsidRPr="007D5C25">
        <w:t>pre-existing</w:t>
      </w:r>
      <w:r w:rsidR="001C2C3A">
        <w:t xml:space="preserve"> </w:t>
      </w:r>
      <w:r w:rsidRPr="007D5C25">
        <w:t>cardiac</w:t>
      </w:r>
      <w:r w:rsidR="001C2C3A">
        <w:t xml:space="preserve"> </w:t>
      </w:r>
      <w:r w:rsidRPr="007D5C25">
        <w:t xml:space="preserve">disease including </w:t>
      </w:r>
      <w:proofErr w:type="spellStart"/>
      <w:r w:rsidRPr="007D5C25">
        <w:t>QTcF</w:t>
      </w:r>
      <w:proofErr w:type="spellEnd"/>
      <w:r w:rsidRPr="007D5C25">
        <w:t xml:space="preserve"> &gt;470ms were excluded from the study, thus,</w:t>
      </w:r>
      <w:r w:rsidR="001C2C3A">
        <w:t xml:space="preserve"> </w:t>
      </w:r>
      <w:r w:rsidRPr="007D5C25">
        <w:t xml:space="preserve">the impact of </w:t>
      </w:r>
      <w:proofErr w:type="spellStart"/>
      <w:r w:rsidRPr="007D5C25">
        <w:t>capivasertib</w:t>
      </w:r>
      <w:proofErr w:type="spellEnd"/>
      <w:r w:rsidRPr="007D5C25">
        <w:t xml:space="preserve"> on</w:t>
      </w:r>
      <w:r w:rsidR="001C2C3A">
        <w:t xml:space="preserve"> </w:t>
      </w:r>
      <w:r w:rsidRPr="007D5C25">
        <w:t>QTc</w:t>
      </w:r>
      <w:r w:rsidR="001C2C3A">
        <w:t xml:space="preserve"> </w:t>
      </w:r>
      <w:r w:rsidRPr="007D5C25">
        <w:t>in this patient group is</w:t>
      </w:r>
      <w:r w:rsidR="001C2C3A">
        <w:t xml:space="preserve"> </w:t>
      </w:r>
      <w:r w:rsidRPr="007D5C25">
        <w:t>unknown.</w:t>
      </w:r>
      <w:r w:rsidR="001C2C3A">
        <w:t xml:space="preserve"> </w:t>
      </w:r>
      <w:r w:rsidRPr="007D5C25">
        <w:t>The</w:t>
      </w:r>
      <w:r w:rsidR="001C2C3A">
        <w:t xml:space="preserve"> </w:t>
      </w:r>
      <w:r w:rsidRPr="007D5C25">
        <w:t>delegate requested</w:t>
      </w:r>
      <w:r w:rsidR="001C2C3A">
        <w:t xml:space="preserve"> </w:t>
      </w:r>
      <w:r w:rsidRPr="007D5C25">
        <w:t>that this information be added to the</w:t>
      </w:r>
      <w:r w:rsidR="001C2C3A">
        <w:t xml:space="preserve"> </w:t>
      </w:r>
      <w:r w:rsidRPr="007D5C25">
        <w:t>cardiac electrophysiology section of the PI.</w:t>
      </w:r>
    </w:p>
    <w:p w14:paraId="11AC014B" w14:textId="6A894BAB" w:rsidR="007D5C25" w:rsidRPr="007D5C25" w:rsidRDefault="007D5C25" w:rsidP="00027F2F">
      <w:pPr>
        <w:pStyle w:val="Heading4"/>
      </w:pPr>
      <w:bookmarkStart w:id="52" w:name="_Toc191292206"/>
      <w:r w:rsidRPr="00027F2F">
        <w:t>Efficacy</w:t>
      </w:r>
      <w:bookmarkEnd w:id="52"/>
    </w:p>
    <w:p w14:paraId="0EBA652D" w14:textId="53A002B5" w:rsidR="007D5C25" w:rsidRPr="007D5C25" w:rsidRDefault="007D5C25" w:rsidP="001C2C3A">
      <w:r w:rsidRPr="007D5C25">
        <w:t>Clinical</w:t>
      </w:r>
      <w:r w:rsidR="001C2C3A">
        <w:t xml:space="preserve"> </w:t>
      </w:r>
      <w:r w:rsidRPr="007D5C25">
        <w:t>efficacy</w:t>
      </w:r>
      <w:r w:rsidR="001C2C3A">
        <w:t xml:space="preserve"> </w:t>
      </w:r>
      <w:r w:rsidRPr="007D5C25">
        <w:t>evidence was provided by the pivotal study CAPItello-291, and the supportive study FAKTION.</w:t>
      </w:r>
    </w:p>
    <w:p w14:paraId="1FC83B67" w14:textId="42A8626B" w:rsidR="007D5C25" w:rsidRPr="00027F2F" w:rsidRDefault="007D5C25" w:rsidP="00027F2F">
      <w:pPr>
        <w:pStyle w:val="Heading5"/>
        <w:rPr>
          <w:rFonts w:eastAsia="MS Mincho"/>
        </w:rPr>
      </w:pPr>
      <w:r w:rsidRPr="00027F2F">
        <w:rPr>
          <w:rFonts w:eastAsia="MS Mincho"/>
        </w:rPr>
        <w:t xml:space="preserve">Pivotal </w:t>
      </w:r>
      <w:r w:rsidR="00027F2F" w:rsidRPr="00027F2F">
        <w:rPr>
          <w:rFonts w:eastAsia="MS Mincho"/>
        </w:rPr>
        <w:t>s</w:t>
      </w:r>
      <w:r w:rsidRPr="00027F2F">
        <w:rPr>
          <w:rFonts w:eastAsia="MS Mincho"/>
        </w:rPr>
        <w:t>tudy: CAPItello-291</w:t>
      </w:r>
      <w:r w:rsidR="00921969" w:rsidRPr="00027F2F">
        <w:rPr>
          <w:rFonts w:eastAsia="MS Mincho"/>
        </w:rPr>
        <w:t xml:space="preserve"> </w:t>
      </w:r>
      <w:r w:rsidRPr="00027F2F">
        <w:rPr>
          <w:rFonts w:eastAsia="MS Mincho"/>
        </w:rPr>
        <w:t>(StudyD3615C00001)</w:t>
      </w:r>
    </w:p>
    <w:p w14:paraId="5F9B9FE7" w14:textId="50D4816E" w:rsidR="007D5C25" w:rsidRDefault="007D5C25" w:rsidP="001C2C3A">
      <w:pPr>
        <w:pStyle w:val="Heading6"/>
        <w:rPr>
          <w:rFonts w:eastAsia="MS Mincho"/>
        </w:rPr>
      </w:pPr>
      <w:r w:rsidRPr="007D5C25">
        <w:rPr>
          <w:rFonts w:eastAsia="MS Mincho"/>
        </w:rPr>
        <w:t>Study design</w:t>
      </w:r>
    </w:p>
    <w:p w14:paraId="3E81DD27" w14:textId="1D7C22CE" w:rsidR="009C4CA4" w:rsidRDefault="009C4CA4" w:rsidP="00027F2F">
      <w:r>
        <w:t>CAPItello-291 is a Phase III randomised, blinded, placebo</w:t>
      </w:r>
      <w:r w:rsidR="000E0AD4">
        <w:t>-</w:t>
      </w:r>
      <w:r>
        <w:t xml:space="preserve">controlled study of </w:t>
      </w:r>
      <w:proofErr w:type="spellStart"/>
      <w:r>
        <w:t>capivasertib</w:t>
      </w:r>
      <w:proofErr w:type="spellEnd"/>
      <w:r>
        <w:t xml:space="preserve"> and </w:t>
      </w:r>
      <w:proofErr w:type="spellStart"/>
      <w:r>
        <w:t>fulvestrant</w:t>
      </w:r>
      <w:proofErr w:type="spellEnd"/>
      <w:r>
        <w:rPr>
          <w:spacing w:val="-3"/>
        </w:rPr>
        <w:t xml:space="preserve"> </w:t>
      </w:r>
      <w:r>
        <w:t>compared</w:t>
      </w:r>
      <w:r>
        <w:rPr>
          <w:spacing w:val="-3"/>
        </w:rPr>
        <w:t xml:space="preserve"> </w:t>
      </w:r>
      <w:r>
        <w:t>to</w:t>
      </w:r>
      <w:r>
        <w:rPr>
          <w:spacing w:val="-3"/>
        </w:rPr>
        <w:t xml:space="preserve"> </w:t>
      </w:r>
      <w:r>
        <w:t>placebo</w:t>
      </w:r>
      <w:r>
        <w:rPr>
          <w:spacing w:val="-3"/>
        </w:rPr>
        <w:t xml:space="preserve"> </w:t>
      </w:r>
      <w:r>
        <w:t>and</w:t>
      </w:r>
      <w:r>
        <w:rPr>
          <w:spacing w:val="-3"/>
        </w:rPr>
        <w:t xml:space="preserve"> </w:t>
      </w:r>
      <w:proofErr w:type="spellStart"/>
      <w:r>
        <w:t>fulvestrant</w:t>
      </w:r>
      <w:proofErr w:type="spellEnd"/>
      <w:r>
        <w:rPr>
          <w:spacing w:val="-3"/>
        </w:rPr>
        <w:t xml:space="preserve"> </w:t>
      </w:r>
      <w:r>
        <w:t>in</w:t>
      </w:r>
      <w:r>
        <w:rPr>
          <w:spacing w:val="-6"/>
        </w:rPr>
        <w:t xml:space="preserve"> </w:t>
      </w:r>
      <w:r>
        <w:t>patients</w:t>
      </w:r>
      <w:r>
        <w:rPr>
          <w:spacing w:val="-2"/>
        </w:rPr>
        <w:t xml:space="preserve"> </w:t>
      </w:r>
      <w:r>
        <w:t>with</w:t>
      </w:r>
      <w:r>
        <w:rPr>
          <w:spacing w:val="-2"/>
        </w:rPr>
        <w:t xml:space="preserve"> </w:t>
      </w:r>
      <w:r>
        <w:t>HR+/HER2-</w:t>
      </w:r>
      <w:r>
        <w:rPr>
          <w:spacing w:val="-4"/>
        </w:rPr>
        <w:t xml:space="preserve"> </w:t>
      </w:r>
      <w:r>
        <w:t>breast</w:t>
      </w:r>
      <w:r>
        <w:rPr>
          <w:spacing w:val="-3"/>
        </w:rPr>
        <w:t xml:space="preserve"> </w:t>
      </w:r>
      <w:r>
        <w:t>cancer.</w:t>
      </w:r>
      <w:r>
        <w:rPr>
          <w:spacing w:val="-5"/>
        </w:rPr>
        <w:t xml:space="preserve"> </w:t>
      </w:r>
      <w:r>
        <w:t xml:space="preserve">The study was conducted from April 2020 to August 2022 at 181 sites in 19 countries, including 12 sites in Australia. </w:t>
      </w:r>
      <w:proofErr w:type="gramStart"/>
      <w:r>
        <w:t>Patient</w:t>
      </w:r>
      <w:r w:rsidR="00684237">
        <w:t>s</w:t>
      </w:r>
      <w:proofErr w:type="gramEnd"/>
      <w:r w:rsidR="00587AC1">
        <w:t xml:space="preserve"> </w:t>
      </w:r>
      <w:r>
        <w:t xml:space="preserve">assessments </w:t>
      </w:r>
      <w:r w:rsidR="00684237">
        <w:t xml:space="preserve">typically occurred every </w:t>
      </w:r>
      <w:r w:rsidR="00587AC1">
        <w:t>4</w:t>
      </w:r>
      <w:r w:rsidR="003F04F9">
        <w:t xml:space="preserve"> weeks </w:t>
      </w:r>
      <w:r>
        <w:t xml:space="preserve">for the first 18 months, then 12 weekly thereafter. The study design is summarised in </w:t>
      </w:r>
      <w:r w:rsidR="00E07A85">
        <w:t>Table 2.</w:t>
      </w:r>
    </w:p>
    <w:p w14:paraId="170E0101" w14:textId="3F86871C" w:rsidR="009C4CA4" w:rsidRDefault="009C4CA4" w:rsidP="003C413F">
      <w:pPr>
        <w:pStyle w:val="TableTitle"/>
      </w:pPr>
      <w:r w:rsidRPr="003C413F">
        <w:lastRenderedPageBreak/>
        <w:t>Table</w:t>
      </w:r>
      <w:r>
        <w:rPr>
          <w:spacing w:val="-8"/>
        </w:rPr>
        <w:t xml:space="preserve"> </w:t>
      </w:r>
      <w:r w:rsidR="00E07A85">
        <w:t>2</w:t>
      </w:r>
      <w:r>
        <w:t>:</w:t>
      </w:r>
      <w:r>
        <w:rPr>
          <w:spacing w:val="-9"/>
        </w:rPr>
        <w:t xml:space="preserve"> </w:t>
      </w:r>
      <w:r>
        <w:t>CAPItello-291,</w:t>
      </w:r>
      <w:r>
        <w:rPr>
          <w:spacing w:val="-9"/>
        </w:rPr>
        <w:t xml:space="preserve"> </w:t>
      </w:r>
      <w:r>
        <w:t>PICO</w:t>
      </w:r>
      <w:r>
        <w:rPr>
          <w:spacing w:val="-8"/>
        </w:rPr>
        <w:t xml:space="preserve"> </w:t>
      </w:r>
      <w:r>
        <w:rPr>
          <w:spacing w:val="-4"/>
        </w:rPr>
        <w:t>table</w:t>
      </w:r>
    </w:p>
    <w:tbl>
      <w:tblPr>
        <w:tblStyle w:val="TableTGAblue2023"/>
        <w:tblW w:w="9371" w:type="dxa"/>
        <w:tblLayout w:type="fixed"/>
        <w:tblLook w:val="01E0" w:firstRow="1" w:lastRow="1" w:firstColumn="1" w:lastColumn="1" w:noHBand="0" w:noVBand="0"/>
      </w:tblPr>
      <w:tblGrid>
        <w:gridCol w:w="1701"/>
        <w:gridCol w:w="7670"/>
      </w:tblGrid>
      <w:tr w:rsidR="009C4CA4" w14:paraId="6E40FAAF" w14:textId="77777777" w:rsidTr="003C413F">
        <w:trPr>
          <w:cnfStyle w:val="100000000000" w:firstRow="1" w:lastRow="0" w:firstColumn="0" w:lastColumn="0" w:oddVBand="0" w:evenVBand="0" w:oddHBand="0" w:evenHBand="0" w:firstRowFirstColumn="0" w:firstRowLastColumn="0" w:lastRowFirstColumn="0" w:lastRowLastColumn="0"/>
          <w:trHeight w:val="5272"/>
          <w:tblHeader w:val="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089E32B3" w14:textId="77777777" w:rsidR="009C4CA4" w:rsidRPr="003C413F" w:rsidRDefault="009C4CA4" w:rsidP="003C413F">
            <w:pPr>
              <w:keepNext w:val="0"/>
              <w:rPr>
                <w:b w:val="0"/>
                <w:color w:val="000000"/>
                <w:spacing w:val="-2"/>
                <w:sz w:val="21"/>
              </w:rPr>
            </w:pPr>
            <w:r w:rsidRPr="003C413F">
              <w:rPr>
                <w:b w:val="0"/>
                <w:color w:val="000000"/>
                <w:spacing w:val="-2"/>
                <w:sz w:val="21"/>
              </w:rPr>
              <w:t>Population</w:t>
            </w:r>
          </w:p>
        </w:tc>
        <w:tc>
          <w:tcPr>
            <w:tcW w:w="7670" w:type="dxa"/>
            <w:shd w:val="clear" w:color="auto" w:fill="auto"/>
          </w:tcPr>
          <w:p w14:paraId="380BC2DC" w14:textId="77777777" w:rsidR="009C4CA4" w:rsidRPr="003C413F" w:rsidRDefault="009C4CA4" w:rsidP="003C413F">
            <w:pPr>
              <w:keepNext w:val="0"/>
              <w:cnfStyle w:val="100000000000" w:firstRow="1" w:lastRow="0" w:firstColumn="0" w:lastColumn="0" w:oddVBand="0" w:evenVBand="0" w:oddHBand="0" w:evenHBand="0" w:firstRowFirstColumn="0" w:firstRowLastColumn="0" w:lastRowFirstColumn="0" w:lastRowLastColumn="0"/>
              <w:rPr>
                <w:b w:val="0"/>
                <w:color w:val="000000"/>
                <w:spacing w:val="-2"/>
                <w:sz w:val="21"/>
              </w:rPr>
            </w:pPr>
            <w:r w:rsidRPr="003C413F">
              <w:rPr>
                <w:b w:val="0"/>
                <w:color w:val="000000"/>
                <w:spacing w:val="-2"/>
                <w:sz w:val="21"/>
              </w:rPr>
              <w:t>Patients aged 18 years and older with histologically confirmed HR+/HER2- locally advanced or metastatic breast cancer, both male and female, were eligible. Patients were either post-menopausal; or pre/peri-menopausal and amenable to treatment with an LHRH agonist. Patients were required to have ECOG performance status (PS) of 0 or 1.</w:t>
            </w:r>
          </w:p>
          <w:p w14:paraId="363F56DA" w14:textId="77777777" w:rsidR="009C4CA4" w:rsidRPr="003C413F" w:rsidRDefault="009C4CA4" w:rsidP="003C413F">
            <w:pPr>
              <w:keepNext w:val="0"/>
              <w:cnfStyle w:val="100000000000" w:firstRow="1" w:lastRow="0" w:firstColumn="0" w:lastColumn="0" w:oddVBand="0" w:evenVBand="0" w:oddHBand="0" w:evenHBand="0" w:firstRowFirstColumn="0" w:firstRowLastColumn="0" w:lastRowFirstColumn="0" w:lastRowLastColumn="0"/>
              <w:rPr>
                <w:b w:val="0"/>
                <w:color w:val="000000"/>
                <w:spacing w:val="-2"/>
                <w:sz w:val="21"/>
              </w:rPr>
            </w:pPr>
            <w:r w:rsidRPr="003C413F">
              <w:rPr>
                <w:b w:val="0"/>
                <w:color w:val="000000"/>
                <w:spacing w:val="-2"/>
                <w:sz w:val="21"/>
              </w:rPr>
              <w:t>Recruitment of subjects with prior CDK4/6 inhibitor treatment was monitored to ensure that a minimum of 51% were recruited.</w:t>
            </w:r>
          </w:p>
          <w:p w14:paraId="36F3B65F" w14:textId="77777777" w:rsidR="009C4CA4" w:rsidRPr="003C413F" w:rsidRDefault="009C4CA4" w:rsidP="003C413F">
            <w:pPr>
              <w:keepNext w:val="0"/>
              <w:cnfStyle w:val="100000000000" w:firstRow="1" w:lastRow="0" w:firstColumn="0" w:lastColumn="0" w:oddVBand="0" w:evenVBand="0" w:oddHBand="0" w:evenHBand="0" w:firstRowFirstColumn="0" w:firstRowLastColumn="0" w:lastRowFirstColumn="0" w:lastRowLastColumn="0"/>
              <w:rPr>
                <w:b w:val="0"/>
                <w:color w:val="000000"/>
                <w:spacing w:val="-2"/>
                <w:sz w:val="21"/>
              </w:rPr>
            </w:pPr>
            <w:r w:rsidRPr="003C413F">
              <w:rPr>
                <w:b w:val="0"/>
                <w:color w:val="000000"/>
                <w:spacing w:val="-2"/>
                <w:sz w:val="21"/>
              </w:rPr>
              <w:t>Patients with cardiac disease, significant abnormalities of glucose metabolism, or inadequate bone marrow reserve or organ function were excluded. Full inclusion and exclusion criteria are listed in the clinical evaluation report, p40- 42.</w:t>
            </w:r>
          </w:p>
          <w:p w14:paraId="3EA837CC" w14:textId="77777777" w:rsidR="009C4CA4" w:rsidRPr="003C413F" w:rsidRDefault="009C4CA4" w:rsidP="003C413F">
            <w:pPr>
              <w:keepNext w:val="0"/>
              <w:cnfStyle w:val="100000000000" w:firstRow="1" w:lastRow="0" w:firstColumn="0" w:lastColumn="0" w:oddVBand="0" w:evenVBand="0" w:oddHBand="0" w:evenHBand="0" w:firstRowFirstColumn="0" w:firstRowLastColumn="0" w:lastRowFirstColumn="0" w:lastRowLastColumn="0"/>
              <w:rPr>
                <w:b w:val="0"/>
                <w:color w:val="000000"/>
                <w:spacing w:val="-2"/>
                <w:sz w:val="21"/>
              </w:rPr>
            </w:pPr>
            <w:r w:rsidRPr="003C413F">
              <w:rPr>
                <w:b w:val="0"/>
                <w:color w:val="000000"/>
                <w:spacing w:val="-2"/>
                <w:sz w:val="21"/>
              </w:rPr>
              <w:t xml:space="preserve">Subjects were randomised 1:1 to the </w:t>
            </w:r>
            <w:proofErr w:type="spellStart"/>
            <w:r w:rsidRPr="003C413F">
              <w:rPr>
                <w:b w:val="0"/>
                <w:color w:val="000000"/>
                <w:spacing w:val="-2"/>
                <w:sz w:val="21"/>
              </w:rPr>
              <w:t>Capivasertib</w:t>
            </w:r>
            <w:proofErr w:type="spellEnd"/>
            <w:r w:rsidRPr="003C413F">
              <w:rPr>
                <w:b w:val="0"/>
                <w:color w:val="000000"/>
                <w:spacing w:val="-2"/>
                <w:sz w:val="21"/>
              </w:rPr>
              <w:t xml:space="preserve"> or placebo groups.</w:t>
            </w:r>
          </w:p>
          <w:p w14:paraId="56716C6B" w14:textId="77777777" w:rsidR="009C4CA4" w:rsidRPr="003C413F" w:rsidRDefault="009C4CA4" w:rsidP="003C413F">
            <w:pPr>
              <w:keepNext w:val="0"/>
              <w:cnfStyle w:val="100000000000" w:firstRow="1" w:lastRow="0" w:firstColumn="0" w:lastColumn="0" w:oddVBand="0" w:evenVBand="0" w:oddHBand="0" w:evenHBand="0" w:firstRowFirstColumn="0" w:firstRowLastColumn="0" w:lastRowFirstColumn="0" w:lastRowLastColumn="0"/>
              <w:rPr>
                <w:b w:val="0"/>
                <w:color w:val="000000"/>
                <w:spacing w:val="-2"/>
                <w:sz w:val="21"/>
              </w:rPr>
            </w:pPr>
            <w:r w:rsidRPr="003C413F">
              <w:rPr>
                <w:b w:val="0"/>
                <w:color w:val="000000"/>
                <w:spacing w:val="-2"/>
                <w:sz w:val="21"/>
              </w:rPr>
              <w:t>Randomisation was stratified according to the presence or absence of liver metastases, prior CDK4/6i (yes/no) and geographic region.</w:t>
            </w:r>
          </w:p>
          <w:p w14:paraId="58592082" w14:textId="77777777" w:rsidR="009C4CA4" w:rsidRPr="003C413F" w:rsidRDefault="009C4CA4" w:rsidP="003C413F">
            <w:pPr>
              <w:keepNext w:val="0"/>
              <w:cnfStyle w:val="100000000000" w:firstRow="1" w:lastRow="0" w:firstColumn="0" w:lastColumn="0" w:oddVBand="0" w:evenVBand="0" w:oddHBand="0" w:evenHBand="0" w:firstRowFirstColumn="0" w:firstRowLastColumn="0" w:lastRowFirstColumn="0" w:lastRowLastColumn="0"/>
              <w:rPr>
                <w:b w:val="0"/>
                <w:color w:val="000000"/>
                <w:spacing w:val="-2"/>
                <w:sz w:val="21"/>
              </w:rPr>
            </w:pPr>
            <w:r w:rsidRPr="003C413F">
              <w:rPr>
                <w:b w:val="0"/>
                <w:color w:val="000000"/>
                <w:spacing w:val="-2"/>
                <w:sz w:val="21"/>
              </w:rPr>
              <w:t xml:space="preserve">AKT1/PIK3CA/PTEN alteration status was determined after randomisation using the </w:t>
            </w:r>
            <w:proofErr w:type="spellStart"/>
            <w:r w:rsidRPr="003C413F">
              <w:rPr>
                <w:b w:val="0"/>
                <w:color w:val="000000"/>
                <w:spacing w:val="-2"/>
                <w:sz w:val="21"/>
              </w:rPr>
              <w:t>FoundationOne</w:t>
            </w:r>
            <w:proofErr w:type="spellEnd"/>
            <w:r w:rsidRPr="003C413F">
              <w:rPr>
                <w:b w:val="0"/>
                <w:color w:val="000000"/>
                <w:spacing w:val="-2"/>
                <w:sz w:val="21"/>
              </w:rPr>
              <w:t xml:space="preserve"> </w:t>
            </w:r>
            <w:proofErr w:type="spellStart"/>
            <w:r w:rsidRPr="003C413F">
              <w:rPr>
                <w:b w:val="0"/>
                <w:color w:val="000000"/>
                <w:spacing w:val="-2"/>
                <w:sz w:val="21"/>
              </w:rPr>
              <w:t>CDx</w:t>
            </w:r>
            <w:proofErr w:type="spellEnd"/>
            <w:r w:rsidRPr="003C413F">
              <w:rPr>
                <w:b w:val="0"/>
                <w:color w:val="000000"/>
                <w:spacing w:val="-2"/>
                <w:sz w:val="21"/>
              </w:rPr>
              <w:t xml:space="preserve"> assay. 106 patients (15.0% of the overall population) had no result due to preanalytical failure (n=73), post analytical failure (n=19) or no FFPE tissue sample provided (n=14).</w:t>
            </w:r>
          </w:p>
        </w:tc>
      </w:tr>
      <w:tr w:rsidR="003C413F" w14:paraId="67FBBB24" w14:textId="77777777" w:rsidTr="003C413F">
        <w:trPr>
          <w:trHeight w:val="1098"/>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4DDDF526" w14:textId="77777777" w:rsidR="003C413F" w:rsidRDefault="003C413F" w:rsidP="003C413F">
            <w:pPr>
              <w:rPr>
                <w:sz w:val="21"/>
              </w:rPr>
            </w:pPr>
            <w:r>
              <w:rPr>
                <w:spacing w:val="-2"/>
                <w:sz w:val="21"/>
              </w:rPr>
              <w:t>Intervention</w:t>
            </w:r>
          </w:p>
        </w:tc>
        <w:tc>
          <w:tcPr>
            <w:tcW w:w="7670" w:type="dxa"/>
          </w:tcPr>
          <w:p w14:paraId="57128A18" w14:textId="77777777" w:rsidR="003C413F" w:rsidRDefault="003C413F" w:rsidP="003C413F">
            <w:pPr>
              <w:cnfStyle w:val="000000000000" w:firstRow="0" w:lastRow="0" w:firstColumn="0" w:lastColumn="0" w:oddVBand="0" w:evenVBand="0" w:oddHBand="0" w:evenHBand="0" w:firstRowFirstColumn="0" w:firstRowLastColumn="0" w:lastRowFirstColumn="0" w:lastRowLastColumn="0"/>
              <w:rPr>
                <w:sz w:val="21"/>
              </w:rPr>
            </w:pPr>
            <w:proofErr w:type="spellStart"/>
            <w:r>
              <w:rPr>
                <w:sz w:val="21"/>
              </w:rPr>
              <w:t>Capivasertib</w:t>
            </w:r>
            <w:proofErr w:type="spellEnd"/>
            <w:r>
              <w:rPr>
                <w:spacing w:val="-6"/>
                <w:sz w:val="21"/>
              </w:rPr>
              <w:t xml:space="preserve"> </w:t>
            </w:r>
            <w:r>
              <w:rPr>
                <w:sz w:val="21"/>
              </w:rPr>
              <w:t>400mg</w:t>
            </w:r>
            <w:r>
              <w:rPr>
                <w:spacing w:val="-3"/>
                <w:sz w:val="21"/>
              </w:rPr>
              <w:t xml:space="preserve"> </w:t>
            </w:r>
            <w:r>
              <w:rPr>
                <w:sz w:val="21"/>
              </w:rPr>
              <w:t>twice</w:t>
            </w:r>
            <w:r>
              <w:rPr>
                <w:spacing w:val="-7"/>
                <w:sz w:val="21"/>
              </w:rPr>
              <w:t xml:space="preserve"> </w:t>
            </w:r>
            <w:r>
              <w:rPr>
                <w:sz w:val="21"/>
              </w:rPr>
              <w:t>daily</w:t>
            </w:r>
            <w:r>
              <w:rPr>
                <w:spacing w:val="-5"/>
                <w:sz w:val="21"/>
              </w:rPr>
              <w:t xml:space="preserve"> </w:t>
            </w:r>
            <w:r>
              <w:rPr>
                <w:sz w:val="21"/>
              </w:rPr>
              <w:t>on</w:t>
            </w:r>
            <w:r>
              <w:rPr>
                <w:spacing w:val="-5"/>
                <w:sz w:val="21"/>
              </w:rPr>
              <w:t xml:space="preserve"> </w:t>
            </w:r>
            <w:r>
              <w:rPr>
                <w:sz w:val="21"/>
              </w:rPr>
              <w:t>days</w:t>
            </w:r>
            <w:r>
              <w:rPr>
                <w:spacing w:val="-4"/>
                <w:sz w:val="21"/>
              </w:rPr>
              <w:t xml:space="preserve"> </w:t>
            </w:r>
            <w:r>
              <w:rPr>
                <w:sz w:val="21"/>
              </w:rPr>
              <w:t>1-4</w:t>
            </w:r>
            <w:r>
              <w:rPr>
                <w:spacing w:val="-4"/>
                <w:sz w:val="21"/>
              </w:rPr>
              <w:t xml:space="preserve"> </w:t>
            </w:r>
            <w:r>
              <w:rPr>
                <w:sz w:val="21"/>
              </w:rPr>
              <w:t>of</w:t>
            </w:r>
            <w:r>
              <w:rPr>
                <w:spacing w:val="-3"/>
                <w:sz w:val="21"/>
              </w:rPr>
              <w:t xml:space="preserve"> </w:t>
            </w:r>
            <w:r>
              <w:rPr>
                <w:sz w:val="21"/>
              </w:rPr>
              <w:t>each</w:t>
            </w:r>
            <w:r>
              <w:rPr>
                <w:spacing w:val="-4"/>
                <w:sz w:val="21"/>
              </w:rPr>
              <w:t xml:space="preserve"> </w:t>
            </w:r>
            <w:r>
              <w:rPr>
                <w:sz w:val="21"/>
              </w:rPr>
              <w:t>week</w:t>
            </w:r>
            <w:r>
              <w:rPr>
                <w:spacing w:val="-4"/>
                <w:sz w:val="21"/>
              </w:rPr>
              <w:t xml:space="preserve"> </w:t>
            </w:r>
            <w:r>
              <w:rPr>
                <w:sz w:val="21"/>
              </w:rPr>
              <w:t>(days</w:t>
            </w:r>
            <w:r>
              <w:rPr>
                <w:spacing w:val="-5"/>
                <w:sz w:val="21"/>
              </w:rPr>
              <w:t xml:space="preserve"> </w:t>
            </w:r>
            <w:r>
              <w:rPr>
                <w:sz w:val="21"/>
              </w:rPr>
              <w:t>5-7</w:t>
            </w:r>
            <w:r>
              <w:rPr>
                <w:spacing w:val="-3"/>
                <w:sz w:val="21"/>
              </w:rPr>
              <w:t xml:space="preserve"> </w:t>
            </w:r>
            <w:r>
              <w:rPr>
                <w:spacing w:val="-4"/>
                <w:sz w:val="21"/>
              </w:rPr>
              <w:t>off)</w:t>
            </w:r>
          </w:p>
          <w:p w14:paraId="7D48AC02" w14:textId="77777777" w:rsidR="003C413F" w:rsidRDefault="003C413F" w:rsidP="003C413F">
            <w:pPr>
              <w:cnfStyle w:val="000000000000" w:firstRow="0" w:lastRow="0" w:firstColumn="0" w:lastColumn="0" w:oddVBand="0" w:evenVBand="0" w:oddHBand="0" w:evenHBand="0" w:firstRowFirstColumn="0" w:firstRowLastColumn="0" w:lastRowFirstColumn="0" w:lastRowLastColumn="0"/>
              <w:rPr>
                <w:sz w:val="21"/>
              </w:rPr>
            </w:pPr>
            <w:r>
              <w:rPr>
                <w:sz w:val="21"/>
              </w:rPr>
              <w:t>+</w:t>
            </w:r>
            <w:r>
              <w:rPr>
                <w:spacing w:val="-2"/>
                <w:sz w:val="21"/>
              </w:rPr>
              <w:t xml:space="preserve"> </w:t>
            </w:r>
            <w:proofErr w:type="spellStart"/>
            <w:r>
              <w:rPr>
                <w:sz w:val="21"/>
              </w:rPr>
              <w:t>Fulvestrant</w:t>
            </w:r>
            <w:proofErr w:type="spellEnd"/>
            <w:r>
              <w:rPr>
                <w:spacing w:val="-3"/>
                <w:sz w:val="21"/>
              </w:rPr>
              <w:t xml:space="preserve"> </w:t>
            </w:r>
            <w:r>
              <w:rPr>
                <w:sz w:val="21"/>
              </w:rPr>
              <w:t>500mg</w:t>
            </w:r>
            <w:r>
              <w:rPr>
                <w:spacing w:val="-2"/>
                <w:sz w:val="21"/>
              </w:rPr>
              <w:t xml:space="preserve"> </w:t>
            </w:r>
            <w:r>
              <w:rPr>
                <w:sz w:val="21"/>
              </w:rPr>
              <w:t>administered</w:t>
            </w:r>
            <w:r>
              <w:rPr>
                <w:spacing w:val="-3"/>
                <w:sz w:val="21"/>
              </w:rPr>
              <w:t xml:space="preserve"> </w:t>
            </w:r>
            <w:r>
              <w:rPr>
                <w:sz w:val="21"/>
              </w:rPr>
              <w:t>on</w:t>
            </w:r>
            <w:r>
              <w:rPr>
                <w:spacing w:val="-3"/>
                <w:sz w:val="21"/>
              </w:rPr>
              <w:t xml:space="preserve"> </w:t>
            </w:r>
            <w:r>
              <w:rPr>
                <w:sz w:val="21"/>
              </w:rPr>
              <w:t>day</w:t>
            </w:r>
            <w:r>
              <w:rPr>
                <w:spacing w:val="-6"/>
                <w:sz w:val="21"/>
              </w:rPr>
              <w:t xml:space="preserve"> </w:t>
            </w:r>
            <w:r>
              <w:rPr>
                <w:sz w:val="21"/>
              </w:rPr>
              <w:t>1,</w:t>
            </w:r>
            <w:r>
              <w:rPr>
                <w:spacing w:val="-3"/>
                <w:sz w:val="21"/>
              </w:rPr>
              <w:t xml:space="preserve"> </w:t>
            </w:r>
            <w:r>
              <w:rPr>
                <w:sz w:val="21"/>
              </w:rPr>
              <w:t>15</w:t>
            </w:r>
            <w:r>
              <w:rPr>
                <w:spacing w:val="-2"/>
                <w:sz w:val="21"/>
              </w:rPr>
              <w:t xml:space="preserve"> </w:t>
            </w:r>
            <w:r>
              <w:rPr>
                <w:sz w:val="21"/>
              </w:rPr>
              <w:t>and</w:t>
            </w:r>
            <w:r>
              <w:rPr>
                <w:spacing w:val="-3"/>
                <w:sz w:val="21"/>
              </w:rPr>
              <w:t xml:space="preserve"> </w:t>
            </w:r>
            <w:r>
              <w:rPr>
                <w:sz w:val="21"/>
              </w:rPr>
              <w:t>29,</w:t>
            </w:r>
            <w:r>
              <w:rPr>
                <w:spacing w:val="-3"/>
                <w:sz w:val="21"/>
              </w:rPr>
              <w:t xml:space="preserve"> </w:t>
            </w:r>
            <w:r>
              <w:rPr>
                <w:sz w:val="21"/>
              </w:rPr>
              <w:t>and</w:t>
            </w:r>
            <w:r>
              <w:rPr>
                <w:spacing w:val="-5"/>
                <w:sz w:val="21"/>
              </w:rPr>
              <w:t xml:space="preserve"> </w:t>
            </w:r>
            <w:r>
              <w:rPr>
                <w:sz w:val="21"/>
              </w:rPr>
              <w:t>once</w:t>
            </w:r>
            <w:r>
              <w:rPr>
                <w:spacing w:val="-3"/>
                <w:sz w:val="21"/>
              </w:rPr>
              <w:t xml:space="preserve"> </w:t>
            </w:r>
            <w:r>
              <w:rPr>
                <w:sz w:val="21"/>
              </w:rPr>
              <w:t xml:space="preserve">monthly </w:t>
            </w:r>
            <w:r>
              <w:rPr>
                <w:spacing w:val="-2"/>
                <w:sz w:val="21"/>
              </w:rPr>
              <w:t>thereafter</w:t>
            </w:r>
          </w:p>
        </w:tc>
      </w:tr>
      <w:tr w:rsidR="003C413F" w14:paraId="05E881EE" w14:textId="77777777" w:rsidTr="003C413F">
        <w:trPr>
          <w:trHeight w:val="613"/>
        </w:trPr>
        <w:tc>
          <w:tcPr>
            <w:cnfStyle w:val="001000000000" w:firstRow="0" w:lastRow="0" w:firstColumn="1" w:lastColumn="0" w:oddVBand="0" w:evenVBand="0" w:oddHBand="0" w:evenHBand="0" w:firstRowFirstColumn="0" w:firstRowLastColumn="0" w:lastRowFirstColumn="0" w:lastRowLastColumn="0"/>
            <w:tcW w:w="1701" w:type="dxa"/>
            <w:vMerge/>
          </w:tcPr>
          <w:p w14:paraId="66A8DCD4" w14:textId="77777777" w:rsidR="003C413F" w:rsidRDefault="003C413F" w:rsidP="003C413F">
            <w:pPr>
              <w:rPr>
                <w:rFonts w:ascii="Times New Roman"/>
                <w:sz w:val="20"/>
              </w:rPr>
            </w:pPr>
          </w:p>
        </w:tc>
        <w:tc>
          <w:tcPr>
            <w:tcW w:w="7670" w:type="dxa"/>
          </w:tcPr>
          <w:p w14:paraId="772C9F4F" w14:textId="77777777" w:rsidR="003C413F" w:rsidRDefault="003C413F" w:rsidP="003C413F">
            <w:pPr>
              <w:cnfStyle w:val="000000000000" w:firstRow="0" w:lastRow="0" w:firstColumn="0" w:lastColumn="0" w:oddVBand="0" w:evenVBand="0" w:oddHBand="0" w:evenHBand="0" w:firstRowFirstColumn="0" w:firstRowLastColumn="0" w:lastRowFirstColumn="0" w:lastRowLastColumn="0"/>
              <w:rPr>
                <w:sz w:val="21"/>
              </w:rPr>
            </w:pPr>
            <w:r>
              <w:rPr>
                <w:sz w:val="21"/>
              </w:rPr>
              <w:t>Treatment</w:t>
            </w:r>
            <w:r>
              <w:rPr>
                <w:spacing w:val="-3"/>
                <w:sz w:val="21"/>
              </w:rPr>
              <w:t xml:space="preserve"> </w:t>
            </w:r>
            <w:r>
              <w:rPr>
                <w:sz w:val="21"/>
              </w:rPr>
              <w:t>continued</w:t>
            </w:r>
            <w:r>
              <w:rPr>
                <w:spacing w:val="-3"/>
                <w:sz w:val="21"/>
              </w:rPr>
              <w:t xml:space="preserve"> </w:t>
            </w:r>
            <w:r>
              <w:rPr>
                <w:sz w:val="21"/>
              </w:rPr>
              <w:t>until</w:t>
            </w:r>
            <w:r>
              <w:rPr>
                <w:spacing w:val="-5"/>
                <w:sz w:val="21"/>
              </w:rPr>
              <w:t xml:space="preserve"> </w:t>
            </w:r>
            <w:r>
              <w:rPr>
                <w:sz w:val="21"/>
              </w:rPr>
              <w:t>disease</w:t>
            </w:r>
            <w:r>
              <w:rPr>
                <w:spacing w:val="-3"/>
                <w:sz w:val="21"/>
              </w:rPr>
              <w:t xml:space="preserve"> </w:t>
            </w:r>
            <w:r>
              <w:rPr>
                <w:sz w:val="21"/>
              </w:rPr>
              <w:t>progression</w:t>
            </w:r>
            <w:r>
              <w:rPr>
                <w:spacing w:val="-6"/>
                <w:sz w:val="21"/>
              </w:rPr>
              <w:t xml:space="preserve"> </w:t>
            </w:r>
            <w:r>
              <w:rPr>
                <w:sz w:val="21"/>
              </w:rPr>
              <w:t>or</w:t>
            </w:r>
            <w:r>
              <w:rPr>
                <w:spacing w:val="-4"/>
                <w:sz w:val="21"/>
              </w:rPr>
              <w:t xml:space="preserve"> </w:t>
            </w:r>
            <w:r>
              <w:rPr>
                <w:sz w:val="21"/>
              </w:rPr>
              <w:t>unacceptable</w:t>
            </w:r>
            <w:r>
              <w:rPr>
                <w:spacing w:val="-3"/>
                <w:sz w:val="21"/>
              </w:rPr>
              <w:t xml:space="preserve"> </w:t>
            </w:r>
            <w:r>
              <w:rPr>
                <w:sz w:val="21"/>
              </w:rPr>
              <w:t>toxicity</w:t>
            </w:r>
            <w:r>
              <w:rPr>
                <w:spacing w:val="-6"/>
                <w:sz w:val="21"/>
              </w:rPr>
              <w:t xml:space="preserve"> </w:t>
            </w:r>
            <w:r>
              <w:rPr>
                <w:sz w:val="21"/>
              </w:rPr>
              <w:t>or otherwise discontinued.</w:t>
            </w:r>
          </w:p>
        </w:tc>
      </w:tr>
      <w:tr w:rsidR="009C4CA4" w14:paraId="1BC4FF6A" w14:textId="77777777" w:rsidTr="003C413F">
        <w:trPr>
          <w:trHeight w:val="1343"/>
        </w:trPr>
        <w:tc>
          <w:tcPr>
            <w:cnfStyle w:val="001000000000" w:firstRow="0" w:lastRow="0" w:firstColumn="1" w:lastColumn="0" w:oddVBand="0" w:evenVBand="0" w:oddHBand="0" w:evenHBand="0" w:firstRowFirstColumn="0" w:firstRowLastColumn="0" w:lastRowFirstColumn="0" w:lastRowLastColumn="0"/>
            <w:tcW w:w="1701" w:type="dxa"/>
          </w:tcPr>
          <w:p w14:paraId="43CD2E0D" w14:textId="77777777" w:rsidR="009C4CA4" w:rsidRDefault="009C4CA4" w:rsidP="003C413F">
            <w:pPr>
              <w:rPr>
                <w:sz w:val="21"/>
              </w:rPr>
            </w:pPr>
            <w:r>
              <w:rPr>
                <w:spacing w:val="-2"/>
                <w:sz w:val="21"/>
              </w:rPr>
              <w:t>Control</w:t>
            </w:r>
          </w:p>
        </w:tc>
        <w:tc>
          <w:tcPr>
            <w:tcW w:w="7670" w:type="dxa"/>
          </w:tcPr>
          <w:p w14:paraId="316C711B" w14:textId="77777777" w:rsidR="009C4CA4" w:rsidRDefault="009C4CA4" w:rsidP="003C413F">
            <w:pPr>
              <w:cnfStyle w:val="000000000000" w:firstRow="0" w:lastRow="0" w:firstColumn="0" w:lastColumn="0" w:oddVBand="0" w:evenVBand="0" w:oddHBand="0" w:evenHBand="0" w:firstRowFirstColumn="0" w:firstRowLastColumn="0" w:lastRowFirstColumn="0" w:lastRowLastColumn="0"/>
              <w:rPr>
                <w:sz w:val="21"/>
              </w:rPr>
            </w:pPr>
            <w:r>
              <w:rPr>
                <w:sz w:val="21"/>
              </w:rPr>
              <w:t>Placebo</w:t>
            </w:r>
            <w:r>
              <w:rPr>
                <w:spacing w:val="-5"/>
                <w:sz w:val="21"/>
              </w:rPr>
              <w:t xml:space="preserve"> </w:t>
            </w:r>
            <w:r>
              <w:rPr>
                <w:sz w:val="21"/>
              </w:rPr>
              <w:t>(tablets</w:t>
            </w:r>
            <w:r>
              <w:rPr>
                <w:spacing w:val="-4"/>
                <w:sz w:val="21"/>
              </w:rPr>
              <w:t xml:space="preserve"> </w:t>
            </w:r>
            <w:r>
              <w:rPr>
                <w:sz w:val="21"/>
              </w:rPr>
              <w:t>identical</w:t>
            </w:r>
            <w:r>
              <w:rPr>
                <w:spacing w:val="-4"/>
                <w:sz w:val="21"/>
              </w:rPr>
              <w:t xml:space="preserve"> </w:t>
            </w:r>
            <w:r>
              <w:rPr>
                <w:sz w:val="21"/>
              </w:rPr>
              <w:t>in</w:t>
            </w:r>
            <w:r>
              <w:rPr>
                <w:spacing w:val="-4"/>
                <w:sz w:val="21"/>
              </w:rPr>
              <w:t xml:space="preserve"> </w:t>
            </w:r>
            <w:r>
              <w:rPr>
                <w:sz w:val="21"/>
              </w:rPr>
              <w:t>appearance</w:t>
            </w:r>
            <w:r>
              <w:rPr>
                <w:spacing w:val="-4"/>
                <w:sz w:val="21"/>
              </w:rPr>
              <w:t xml:space="preserve"> </w:t>
            </w:r>
            <w:r>
              <w:rPr>
                <w:sz w:val="21"/>
              </w:rPr>
              <w:t>and</w:t>
            </w:r>
            <w:r>
              <w:rPr>
                <w:spacing w:val="-4"/>
                <w:sz w:val="21"/>
              </w:rPr>
              <w:t xml:space="preserve"> </w:t>
            </w:r>
            <w:r>
              <w:rPr>
                <w:sz w:val="21"/>
              </w:rPr>
              <w:t>packaging</w:t>
            </w:r>
            <w:r>
              <w:rPr>
                <w:spacing w:val="-3"/>
                <w:sz w:val="21"/>
              </w:rPr>
              <w:t xml:space="preserve"> </w:t>
            </w:r>
            <w:r>
              <w:rPr>
                <w:sz w:val="21"/>
              </w:rPr>
              <w:t>to</w:t>
            </w:r>
            <w:r>
              <w:rPr>
                <w:spacing w:val="-3"/>
                <w:sz w:val="21"/>
              </w:rPr>
              <w:t xml:space="preserve"> </w:t>
            </w:r>
            <w:r>
              <w:rPr>
                <w:sz w:val="21"/>
              </w:rPr>
              <w:t>active</w:t>
            </w:r>
            <w:r>
              <w:rPr>
                <w:spacing w:val="-4"/>
                <w:sz w:val="21"/>
              </w:rPr>
              <w:t xml:space="preserve"> </w:t>
            </w:r>
            <w:r>
              <w:rPr>
                <w:sz w:val="21"/>
              </w:rPr>
              <w:t>treatment) 400mg twice daily on days 1-4 of each week (days 5-7 off)</w:t>
            </w:r>
          </w:p>
          <w:p w14:paraId="283BDE1E" w14:textId="77777777" w:rsidR="009C4CA4" w:rsidRDefault="009C4CA4" w:rsidP="003C413F">
            <w:pPr>
              <w:cnfStyle w:val="000000000000" w:firstRow="0" w:lastRow="0" w:firstColumn="0" w:lastColumn="0" w:oddVBand="0" w:evenVBand="0" w:oddHBand="0" w:evenHBand="0" w:firstRowFirstColumn="0" w:firstRowLastColumn="0" w:lastRowFirstColumn="0" w:lastRowLastColumn="0"/>
              <w:rPr>
                <w:sz w:val="21"/>
              </w:rPr>
            </w:pPr>
            <w:r>
              <w:rPr>
                <w:sz w:val="21"/>
              </w:rPr>
              <w:t>+</w:t>
            </w:r>
            <w:r>
              <w:rPr>
                <w:spacing w:val="-2"/>
                <w:sz w:val="21"/>
              </w:rPr>
              <w:t xml:space="preserve"> </w:t>
            </w:r>
            <w:proofErr w:type="spellStart"/>
            <w:r>
              <w:rPr>
                <w:sz w:val="21"/>
              </w:rPr>
              <w:t>Fulvestrant</w:t>
            </w:r>
            <w:proofErr w:type="spellEnd"/>
            <w:r>
              <w:rPr>
                <w:spacing w:val="-3"/>
                <w:sz w:val="21"/>
              </w:rPr>
              <w:t xml:space="preserve"> </w:t>
            </w:r>
            <w:r>
              <w:rPr>
                <w:sz w:val="21"/>
              </w:rPr>
              <w:t>500mg</w:t>
            </w:r>
            <w:r>
              <w:rPr>
                <w:spacing w:val="-2"/>
                <w:sz w:val="21"/>
              </w:rPr>
              <w:t xml:space="preserve"> </w:t>
            </w:r>
            <w:r>
              <w:rPr>
                <w:sz w:val="21"/>
              </w:rPr>
              <w:t>administered</w:t>
            </w:r>
            <w:r>
              <w:rPr>
                <w:spacing w:val="-3"/>
                <w:sz w:val="21"/>
              </w:rPr>
              <w:t xml:space="preserve"> </w:t>
            </w:r>
            <w:r>
              <w:rPr>
                <w:sz w:val="21"/>
              </w:rPr>
              <w:t>on</w:t>
            </w:r>
            <w:r>
              <w:rPr>
                <w:spacing w:val="-3"/>
                <w:sz w:val="21"/>
              </w:rPr>
              <w:t xml:space="preserve"> </w:t>
            </w:r>
            <w:r>
              <w:rPr>
                <w:sz w:val="21"/>
              </w:rPr>
              <w:t>day</w:t>
            </w:r>
            <w:r>
              <w:rPr>
                <w:spacing w:val="-6"/>
                <w:sz w:val="21"/>
              </w:rPr>
              <w:t xml:space="preserve"> </w:t>
            </w:r>
            <w:r>
              <w:rPr>
                <w:sz w:val="21"/>
              </w:rPr>
              <w:t>1,</w:t>
            </w:r>
            <w:r>
              <w:rPr>
                <w:spacing w:val="-3"/>
                <w:sz w:val="21"/>
              </w:rPr>
              <w:t xml:space="preserve"> </w:t>
            </w:r>
            <w:r>
              <w:rPr>
                <w:sz w:val="21"/>
              </w:rPr>
              <w:t>15</w:t>
            </w:r>
            <w:r>
              <w:rPr>
                <w:spacing w:val="-2"/>
                <w:sz w:val="21"/>
              </w:rPr>
              <w:t xml:space="preserve"> </w:t>
            </w:r>
            <w:r>
              <w:rPr>
                <w:sz w:val="21"/>
              </w:rPr>
              <w:t>and</w:t>
            </w:r>
            <w:r>
              <w:rPr>
                <w:spacing w:val="-3"/>
                <w:sz w:val="21"/>
              </w:rPr>
              <w:t xml:space="preserve"> </w:t>
            </w:r>
            <w:r>
              <w:rPr>
                <w:sz w:val="21"/>
              </w:rPr>
              <w:t>29,</w:t>
            </w:r>
            <w:r>
              <w:rPr>
                <w:spacing w:val="-3"/>
                <w:sz w:val="21"/>
              </w:rPr>
              <w:t xml:space="preserve"> </w:t>
            </w:r>
            <w:r>
              <w:rPr>
                <w:sz w:val="21"/>
              </w:rPr>
              <w:t>and</w:t>
            </w:r>
            <w:r>
              <w:rPr>
                <w:spacing w:val="-5"/>
                <w:sz w:val="21"/>
              </w:rPr>
              <w:t xml:space="preserve"> </w:t>
            </w:r>
            <w:r>
              <w:rPr>
                <w:sz w:val="21"/>
              </w:rPr>
              <w:t>once</w:t>
            </w:r>
            <w:r>
              <w:rPr>
                <w:spacing w:val="-3"/>
                <w:sz w:val="21"/>
              </w:rPr>
              <w:t xml:space="preserve"> </w:t>
            </w:r>
            <w:r>
              <w:rPr>
                <w:sz w:val="21"/>
              </w:rPr>
              <w:t xml:space="preserve">monthly </w:t>
            </w:r>
            <w:r>
              <w:rPr>
                <w:spacing w:val="-2"/>
                <w:sz w:val="21"/>
              </w:rPr>
              <w:t>thereafter</w:t>
            </w:r>
          </w:p>
        </w:tc>
      </w:tr>
      <w:tr w:rsidR="009C4CA4" w14:paraId="3BE60D33" w14:textId="77777777" w:rsidTr="003C413F">
        <w:trPr>
          <w:trHeight w:val="5884"/>
        </w:trPr>
        <w:tc>
          <w:tcPr>
            <w:cnfStyle w:val="001000000000" w:firstRow="0" w:lastRow="0" w:firstColumn="1" w:lastColumn="0" w:oddVBand="0" w:evenVBand="0" w:oddHBand="0" w:evenHBand="0" w:firstRowFirstColumn="0" w:firstRowLastColumn="0" w:lastRowFirstColumn="0" w:lastRowLastColumn="0"/>
            <w:tcW w:w="1701" w:type="dxa"/>
          </w:tcPr>
          <w:p w14:paraId="6F87492A" w14:textId="77777777" w:rsidR="009C4CA4" w:rsidRDefault="009C4CA4" w:rsidP="003C413F">
            <w:pPr>
              <w:rPr>
                <w:sz w:val="21"/>
              </w:rPr>
            </w:pPr>
            <w:r>
              <w:rPr>
                <w:spacing w:val="-2"/>
                <w:sz w:val="21"/>
              </w:rPr>
              <w:lastRenderedPageBreak/>
              <w:t>Outcome</w:t>
            </w:r>
          </w:p>
        </w:tc>
        <w:tc>
          <w:tcPr>
            <w:tcW w:w="7670" w:type="dxa"/>
          </w:tcPr>
          <w:p w14:paraId="340ED149" w14:textId="77777777" w:rsidR="009C4CA4" w:rsidRDefault="009C4CA4" w:rsidP="003C413F">
            <w:pPr>
              <w:cnfStyle w:val="000000000000" w:firstRow="0" w:lastRow="0" w:firstColumn="0" w:lastColumn="0" w:oddVBand="0" w:evenVBand="0" w:oddHBand="0" w:evenHBand="0" w:firstRowFirstColumn="0" w:firstRowLastColumn="0" w:lastRowFirstColumn="0" w:lastRowLastColumn="0"/>
              <w:rPr>
                <w:sz w:val="21"/>
              </w:rPr>
            </w:pPr>
            <w:r>
              <w:rPr>
                <w:sz w:val="21"/>
              </w:rPr>
              <w:t>Dual</w:t>
            </w:r>
            <w:r>
              <w:rPr>
                <w:spacing w:val="-5"/>
                <w:sz w:val="21"/>
              </w:rPr>
              <w:t xml:space="preserve"> </w:t>
            </w:r>
            <w:r>
              <w:rPr>
                <w:sz w:val="21"/>
              </w:rPr>
              <w:t>primary</w:t>
            </w:r>
            <w:r>
              <w:rPr>
                <w:spacing w:val="-4"/>
                <w:sz w:val="21"/>
              </w:rPr>
              <w:t xml:space="preserve"> </w:t>
            </w:r>
            <w:r>
              <w:rPr>
                <w:spacing w:val="-2"/>
                <w:sz w:val="21"/>
              </w:rPr>
              <w:t>endpoints:</w:t>
            </w:r>
          </w:p>
          <w:p w14:paraId="3873A410" w14:textId="2E4FBBFB" w:rsidR="009C4CA4" w:rsidRPr="003C413F" w:rsidRDefault="009C4CA4" w:rsidP="003C413F">
            <w:pPr>
              <w:pStyle w:val="ListBullet"/>
              <w:cnfStyle w:val="000000000000" w:firstRow="0" w:lastRow="0" w:firstColumn="0" w:lastColumn="0" w:oddVBand="0" w:evenVBand="0" w:oddHBand="0" w:evenHBand="0" w:firstRowFirstColumn="0" w:firstRowLastColumn="0" w:lastRowFirstColumn="0" w:lastRowLastColumn="0"/>
            </w:pPr>
            <w:r>
              <w:t>Progression</w:t>
            </w:r>
            <w:r>
              <w:rPr>
                <w:spacing w:val="-6"/>
              </w:rPr>
              <w:t xml:space="preserve"> </w:t>
            </w:r>
            <w:r>
              <w:t>free</w:t>
            </w:r>
            <w:r>
              <w:rPr>
                <w:spacing w:val="-9"/>
              </w:rPr>
              <w:t xml:space="preserve"> </w:t>
            </w:r>
            <w:r>
              <w:t>survival</w:t>
            </w:r>
            <w:r>
              <w:rPr>
                <w:spacing w:val="-6"/>
              </w:rPr>
              <w:t xml:space="preserve"> </w:t>
            </w:r>
            <w:r>
              <w:t>(PFS)</w:t>
            </w:r>
            <w:r>
              <w:rPr>
                <w:spacing w:val="-5"/>
              </w:rPr>
              <w:t xml:space="preserve"> </w:t>
            </w:r>
            <w:r>
              <w:t>by</w:t>
            </w:r>
            <w:r>
              <w:rPr>
                <w:spacing w:val="-7"/>
              </w:rPr>
              <w:t xml:space="preserve"> </w:t>
            </w:r>
            <w:r>
              <w:t>investigator</w:t>
            </w:r>
            <w:r>
              <w:rPr>
                <w:spacing w:val="-7"/>
              </w:rPr>
              <w:t xml:space="preserve"> </w:t>
            </w:r>
            <w:r>
              <w:t>assessment</w:t>
            </w:r>
            <w:r>
              <w:rPr>
                <w:spacing w:val="-5"/>
              </w:rPr>
              <w:t xml:space="preserve"> </w:t>
            </w:r>
            <w:r>
              <w:t>in</w:t>
            </w:r>
            <w:r>
              <w:rPr>
                <w:spacing w:val="-5"/>
              </w:rPr>
              <w:t xml:space="preserve"> the</w:t>
            </w:r>
            <w:r w:rsidR="003C413F">
              <w:rPr>
                <w:spacing w:val="-5"/>
              </w:rPr>
              <w:t xml:space="preserve"> </w:t>
            </w:r>
            <w:r w:rsidRPr="003C413F">
              <w:rPr>
                <w:b/>
                <w:bCs/>
                <w:color w:val="000000"/>
                <w:sz w:val="21"/>
              </w:rPr>
              <w:t>overall</w:t>
            </w:r>
            <w:r w:rsidRPr="003C413F">
              <w:rPr>
                <w:b/>
                <w:bCs/>
                <w:color w:val="000000"/>
                <w:spacing w:val="-10"/>
                <w:sz w:val="21"/>
              </w:rPr>
              <w:t xml:space="preserve"> </w:t>
            </w:r>
            <w:r w:rsidRPr="003C413F">
              <w:rPr>
                <w:b/>
                <w:bCs/>
                <w:color w:val="000000"/>
                <w:sz w:val="21"/>
              </w:rPr>
              <w:t>population</w:t>
            </w:r>
            <w:r w:rsidRPr="003C413F">
              <w:rPr>
                <w:color w:val="000000"/>
                <w:spacing w:val="-10"/>
                <w:sz w:val="21"/>
              </w:rPr>
              <w:t xml:space="preserve"> </w:t>
            </w:r>
            <w:r w:rsidRPr="003C413F">
              <w:rPr>
                <w:color w:val="000000"/>
                <w:sz w:val="21"/>
              </w:rPr>
              <w:t>(all</w:t>
            </w:r>
            <w:r w:rsidRPr="003C413F">
              <w:rPr>
                <w:color w:val="000000"/>
                <w:spacing w:val="-7"/>
                <w:sz w:val="21"/>
              </w:rPr>
              <w:t xml:space="preserve"> </w:t>
            </w:r>
            <w:r w:rsidRPr="003C413F">
              <w:rPr>
                <w:color w:val="000000"/>
                <w:sz w:val="21"/>
              </w:rPr>
              <w:t>randomised</w:t>
            </w:r>
            <w:r w:rsidRPr="003C413F">
              <w:rPr>
                <w:color w:val="000000"/>
                <w:spacing w:val="-7"/>
                <w:sz w:val="21"/>
              </w:rPr>
              <w:t xml:space="preserve"> </w:t>
            </w:r>
            <w:r w:rsidRPr="003C413F">
              <w:rPr>
                <w:color w:val="000000"/>
                <w:sz w:val="21"/>
              </w:rPr>
              <w:t>patients,</w:t>
            </w:r>
            <w:r w:rsidRPr="003C413F">
              <w:rPr>
                <w:color w:val="000000"/>
                <w:spacing w:val="-6"/>
                <w:sz w:val="21"/>
              </w:rPr>
              <w:t xml:space="preserve"> </w:t>
            </w:r>
            <w:r w:rsidRPr="003C413F">
              <w:rPr>
                <w:color w:val="000000"/>
                <w:spacing w:val="-4"/>
                <w:sz w:val="21"/>
              </w:rPr>
              <w:t>ITT)</w:t>
            </w:r>
          </w:p>
          <w:p w14:paraId="3F8DDA80" w14:textId="7F3A72DD" w:rsidR="009C4CA4" w:rsidRDefault="009C4CA4" w:rsidP="003C413F">
            <w:pPr>
              <w:pStyle w:val="ListBullet"/>
              <w:cnfStyle w:val="000000000000" w:firstRow="0" w:lastRow="0" w:firstColumn="0" w:lastColumn="0" w:oddVBand="0" w:evenVBand="0" w:oddHBand="0" w:evenHBand="0" w:firstRowFirstColumn="0" w:firstRowLastColumn="0" w:lastRowFirstColumn="0" w:lastRowLastColumn="0"/>
            </w:pPr>
            <w:r>
              <w:t>PFS</w:t>
            </w:r>
            <w:r>
              <w:rPr>
                <w:spacing w:val="-5"/>
              </w:rPr>
              <w:t xml:space="preserve"> </w:t>
            </w:r>
            <w:r>
              <w:t>in</w:t>
            </w:r>
            <w:r>
              <w:rPr>
                <w:spacing w:val="-6"/>
              </w:rPr>
              <w:t xml:space="preserve"> </w:t>
            </w:r>
            <w:r>
              <w:t>the</w:t>
            </w:r>
            <w:r>
              <w:rPr>
                <w:spacing w:val="-6"/>
              </w:rPr>
              <w:t xml:space="preserve"> </w:t>
            </w:r>
            <w:r w:rsidRPr="003C413F">
              <w:rPr>
                <w:b/>
                <w:bCs/>
              </w:rPr>
              <w:t>altered</w:t>
            </w:r>
            <w:r w:rsidRPr="003C413F">
              <w:rPr>
                <w:b/>
                <w:bCs/>
                <w:spacing w:val="-8"/>
              </w:rPr>
              <w:t xml:space="preserve"> </w:t>
            </w:r>
            <w:r w:rsidRPr="003C413F">
              <w:rPr>
                <w:b/>
                <w:bCs/>
              </w:rPr>
              <w:t>population</w:t>
            </w:r>
            <w:r>
              <w:rPr>
                <w:spacing w:val="-6"/>
              </w:rPr>
              <w:t xml:space="preserve"> </w:t>
            </w:r>
            <w:r>
              <w:t>(patients</w:t>
            </w:r>
            <w:r>
              <w:rPr>
                <w:spacing w:val="-6"/>
              </w:rPr>
              <w:t xml:space="preserve"> </w:t>
            </w:r>
            <w:r>
              <w:t>with</w:t>
            </w:r>
            <w:r>
              <w:rPr>
                <w:spacing w:val="-5"/>
              </w:rPr>
              <w:t xml:space="preserve"> </w:t>
            </w:r>
            <w:r>
              <w:t xml:space="preserve">PIK3CA/AKT1/PTEN </w:t>
            </w:r>
            <w:r>
              <w:rPr>
                <w:spacing w:val="-2"/>
              </w:rPr>
              <w:t>mutations)</w:t>
            </w:r>
            <w:r w:rsidR="003C413F">
              <w:rPr>
                <w:spacing w:val="-2"/>
              </w:rPr>
              <w:t xml:space="preserve"> </w:t>
            </w:r>
            <w:r w:rsidRPr="003C413F">
              <w:rPr>
                <w:i/>
                <w:iCs/>
              </w:rPr>
              <w:t>(alpha</w:t>
            </w:r>
            <w:r w:rsidRPr="003C413F">
              <w:rPr>
                <w:i/>
                <w:iCs/>
                <w:spacing w:val="-5"/>
              </w:rPr>
              <w:t xml:space="preserve"> </w:t>
            </w:r>
            <w:r w:rsidRPr="003C413F">
              <w:rPr>
                <w:i/>
                <w:iCs/>
              </w:rPr>
              <w:t>control</w:t>
            </w:r>
            <w:r w:rsidRPr="003C413F">
              <w:rPr>
                <w:i/>
                <w:iCs/>
                <w:spacing w:val="-3"/>
              </w:rPr>
              <w:t xml:space="preserve"> </w:t>
            </w:r>
            <w:r w:rsidRPr="003C413F">
              <w:rPr>
                <w:i/>
                <w:iCs/>
              </w:rPr>
              <w:t>via</w:t>
            </w:r>
            <w:r w:rsidRPr="003C413F">
              <w:rPr>
                <w:i/>
                <w:iCs/>
                <w:spacing w:val="-5"/>
              </w:rPr>
              <w:t xml:space="preserve"> </w:t>
            </w:r>
            <w:r w:rsidRPr="003C413F">
              <w:rPr>
                <w:i/>
                <w:iCs/>
              </w:rPr>
              <w:t>an</w:t>
            </w:r>
            <w:r w:rsidRPr="003C413F">
              <w:rPr>
                <w:i/>
                <w:iCs/>
                <w:spacing w:val="-4"/>
              </w:rPr>
              <w:t xml:space="preserve"> </w:t>
            </w:r>
            <w:r w:rsidRPr="003C413F">
              <w:rPr>
                <w:i/>
                <w:iCs/>
              </w:rPr>
              <w:t>alpha-exhaustive</w:t>
            </w:r>
            <w:r w:rsidRPr="003C413F">
              <w:rPr>
                <w:i/>
                <w:iCs/>
                <w:spacing w:val="-5"/>
              </w:rPr>
              <w:t xml:space="preserve"> </w:t>
            </w:r>
            <w:r w:rsidRPr="003C413F">
              <w:rPr>
                <w:i/>
                <w:iCs/>
              </w:rPr>
              <w:t>recycling</w:t>
            </w:r>
            <w:r w:rsidRPr="003C413F">
              <w:rPr>
                <w:i/>
                <w:iCs/>
                <w:spacing w:val="-6"/>
              </w:rPr>
              <w:t xml:space="preserve"> </w:t>
            </w:r>
            <w:r w:rsidRPr="003C413F">
              <w:rPr>
                <w:i/>
                <w:iCs/>
              </w:rPr>
              <w:t>strategy</w:t>
            </w:r>
            <w:r w:rsidRPr="003C413F">
              <w:rPr>
                <w:i/>
                <w:iCs/>
                <w:spacing w:val="-3"/>
              </w:rPr>
              <w:t xml:space="preserve"> </w:t>
            </w:r>
            <w:r w:rsidRPr="003C413F">
              <w:rPr>
                <w:i/>
                <w:iCs/>
              </w:rPr>
              <w:t>outlined</w:t>
            </w:r>
            <w:r w:rsidRPr="003C413F">
              <w:rPr>
                <w:i/>
                <w:iCs/>
                <w:spacing w:val="-4"/>
              </w:rPr>
              <w:t xml:space="preserve"> </w:t>
            </w:r>
            <w:r w:rsidRPr="003C413F">
              <w:rPr>
                <w:i/>
                <w:iCs/>
              </w:rPr>
              <w:t>in</w:t>
            </w:r>
            <w:r w:rsidRPr="003C413F">
              <w:rPr>
                <w:i/>
                <w:iCs/>
                <w:spacing w:val="-4"/>
              </w:rPr>
              <w:t xml:space="preserve"> </w:t>
            </w:r>
            <w:r w:rsidRPr="003C413F">
              <w:rPr>
                <w:i/>
                <w:iCs/>
              </w:rPr>
              <w:t>the statistical analysis plan)</w:t>
            </w:r>
          </w:p>
          <w:p w14:paraId="400428F5" w14:textId="77777777" w:rsidR="009C4CA4" w:rsidRDefault="009C4CA4" w:rsidP="003C413F">
            <w:pPr>
              <w:cnfStyle w:val="000000000000" w:firstRow="0" w:lastRow="0" w:firstColumn="0" w:lastColumn="0" w:oddVBand="0" w:evenVBand="0" w:oddHBand="0" w:evenHBand="0" w:firstRowFirstColumn="0" w:firstRowLastColumn="0" w:lastRowFirstColumn="0" w:lastRowLastColumn="0"/>
              <w:rPr>
                <w:sz w:val="21"/>
              </w:rPr>
            </w:pPr>
            <w:r>
              <w:rPr>
                <w:sz w:val="21"/>
              </w:rPr>
              <w:t>Secondary</w:t>
            </w:r>
            <w:r>
              <w:rPr>
                <w:spacing w:val="-8"/>
                <w:sz w:val="21"/>
              </w:rPr>
              <w:t xml:space="preserve"> </w:t>
            </w:r>
            <w:r>
              <w:rPr>
                <w:spacing w:val="-2"/>
                <w:sz w:val="21"/>
              </w:rPr>
              <w:t>endpoints:</w:t>
            </w:r>
          </w:p>
          <w:p w14:paraId="7AA40B47" w14:textId="77777777" w:rsidR="009C4CA4" w:rsidRDefault="009C4CA4" w:rsidP="003C413F">
            <w:pPr>
              <w:pStyle w:val="ListBullet"/>
              <w:cnfStyle w:val="000000000000" w:firstRow="0" w:lastRow="0" w:firstColumn="0" w:lastColumn="0" w:oddVBand="0" w:evenVBand="0" w:oddHBand="0" w:evenHBand="0" w:firstRowFirstColumn="0" w:firstRowLastColumn="0" w:lastRowFirstColumn="0" w:lastRowLastColumn="0"/>
            </w:pPr>
            <w:r>
              <w:t>Overall</w:t>
            </w:r>
            <w:r>
              <w:rPr>
                <w:spacing w:val="-4"/>
              </w:rPr>
              <w:t xml:space="preserve"> </w:t>
            </w:r>
            <w:r>
              <w:t>survival</w:t>
            </w:r>
            <w:r>
              <w:rPr>
                <w:spacing w:val="-6"/>
              </w:rPr>
              <w:t xml:space="preserve"> </w:t>
            </w:r>
            <w:r>
              <w:t>(OS)</w:t>
            </w:r>
            <w:r>
              <w:rPr>
                <w:spacing w:val="-3"/>
              </w:rPr>
              <w:t xml:space="preserve"> </w:t>
            </w:r>
            <w:r>
              <w:t>in</w:t>
            </w:r>
            <w:r>
              <w:rPr>
                <w:spacing w:val="-4"/>
              </w:rPr>
              <w:t xml:space="preserve"> </w:t>
            </w:r>
            <w:r>
              <w:t>the</w:t>
            </w:r>
            <w:r>
              <w:rPr>
                <w:spacing w:val="-5"/>
              </w:rPr>
              <w:t xml:space="preserve"> </w:t>
            </w:r>
            <w:r>
              <w:t>overall</w:t>
            </w:r>
            <w:r>
              <w:rPr>
                <w:spacing w:val="-4"/>
              </w:rPr>
              <w:t xml:space="preserve"> </w:t>
            </w:r>
            <w:r>
              <w:t>and</w:t>
            </w:r>
            <w:r>
              <w:rPr>
                <w:spacing w:val="-4"/>
              </w:rPr>
              <w:t xml:space="preserve"> </w:t>
            </w:r>
            <w:r>
              <w:t>altered</w:t>
            </w:r>
            <w:r>
              <w:rPr>
                <w:spacing w:val="-3"/>
              </w:rPr>
              <w:t xml:space="preserve"> </w:t>
            </w:r>
            <w:r>
              <w:rPr>
                <w:spacing w:val="-2"/>
              </w:rPr>
              <w:t>population</w:t>
            </w:r>
          </w:p>
          <w:p w14:paraId="02519F8D" w14:textId="77777777" w:rsidR="009C4CA4" w:rsidRDefault="009C4CA4" w:rsidP="003C413F">
            <w:pPr>
              <w:pStyle w:val="ListBullet"/>
              <w:cnfStyle w:val="000000000000" w:firstRow="0" w:lastRow="0" w:firstColumn="0" w:lastColumn="0" w:oddVBand="0" w:evenVBand="0" w:oddHBand="0" w:evenHBand="0" w:firstRowFirstColumn="0" w:firstRowLastColumn="0" w:lastRowFirstColumn="0" w:lastRowLastColumn="0"/>
            </w:pPr>
            <w:r>
              <w:t>Time</w:t>
            </w:r>
            <w:r>
              <w:rPr>
                <w:spacing w:val="-6"/>
              </w:rPr>
              <w:t xml:space="preserve"> </w:t>
            </w:r>
            <w:r>
              <w:t>from</w:t>
            </w:r>
            <w:r>
              <w:rPr>
                <w:spacing w:val="-6"/>
              </w:rPr>
              <w:t xml:space="preserve"> </w:t>
            </w:r>
            <w:r>
              <w:t>randomisation</w:t>
            </w:r>
            <w:r>
              <w:rPr>
                <w:spacing w:val="-8"/>
              </w:rPr>
              <w:t xml:space="preserve"> </w:t>
            </w:r>
            <w:r>
              <w:t>to</w:t>
            </w:r>
            <w:r>
              <w:rPr>
                <w:spacing w:val="-5"/>
              </w:rPr>
              <w:t xml:space="preserve"> </w:t>
            </w:r>
            <w:r>
              <w:t>second</w:t>
            </w:r>
            <w:r>
              <w:rPr>
                <w:spacing w:val="-6"/>
              </w:rPr>
              <w:t xml:space="preserve"> </w:t>
            </w:r>
            <w:r>
              <w:t>progression/death</w:t>
            </w:r>
            <w:r>
              <w:rPr>
                <w:spacing w:val="-5"/>
              </w:rPr>
              <w:t xml:space="preserve"> </w:t>
            </w:r>
            <w:r>
              <w:t>(PFS2)</w:t>
            </w:r>
            <w:r>
              <w:rPr>
                <w:spacing w:val="-5"/>
              </w:rPr>
              <w:t xml:space="preserve"> </w:t>
            </w:r>
            <w:r>
              <w:t>in overall and altered population</w:t>
            </w:r>
          </w:p>
          <w:p w14:paraId="1062A856" w14:textId="77777777" w:rsidR="009C4CA4" w:rsidRDefault="009C4CA4" w:rsidP="003C413F">
            <w:pPr>
              <w:pStyle w:val="ListBullet"/>
              <w:cnfStyle w:val="000000000000" w:firstRow="0" w:lastRow="0" w:firstColumn="0" w:lastColumn="0" w:oddVBand="0" w:evenVBand="0" w:oddHBand="0" w:evenHBand="0" w:firstRowFirstColumn="0" w:firstRowLastColumn="0" w:lastRowFirstColumn="0" w:lastRowLastColumn="0"/>
            </w:pPr>
            <w:r>
              <w:t>Objective</w:t>
            </w:r>
            <w:r>
              <w:rPr>
                <w:spacing w:val="-7"/>
              </w:rPr>
              <w:t xml:space="preserve"> </w:t>
            </w:r>
            <w:r>
              <w:t>response</w:t>
            </w:r>
            <w:r>
              <w:rPr>
                <w:spacing w:val="-5"/>
              </w:rPr>
              <w:t xml:space="preserve"> </w:t>
            </w:r>
            <w:r>
              <w:t>rate</w:t>
            </w:r>
            <w:r>
              <w:rPr>
                <w:spacing w:val="-7"/>
              </w:rPr>
              <w:t xml:space="preserve"> </w:t>
            </w:r>
            <w:r>
              <w:t>(ORR)</w:t>
            </w:r>
            <w:r>
              <w:rPr>
                <w:spacing w:val="-4"/>
              </w:rPr>
              <w:t xml:space="preserve"> </w:t>
            </w:r>
            <w:r>
              <w:t>in</w:t>
            </w:r>
            <w:r>
              <w:rPr>
                <w:spacing w:val="-5"/>
              </w:rPr>
              <w:t xml:space="preserve"> </w:t>
            </w:r>
            <w:r>
              <w:t>the</w:t>
            </w:r>
            <w:r>
              <w:rPr>
                <w:spacing w:val="-5"/>
              </w:rPr>
              <w:t xml:space="preserve"> </w:t>
            </w:r>
            <w:r>
              <w:t>overall</w:t>
            </w:r>
            <w:r>
              <w:rPr>
                <w:spacing w:val="-5"/>
              </w:rPr>
              <w:t xml:space="preserve"> </w:t>
            </w:r>
            <w:r>
              <w:t>and</w:t>
            </w:r>
            <w:r>
              <w:rPr>
                <w:spacing w:val="-5"/>
              </w:rPr>
              <w:t xml:space="preserve"> </w:t>
            </w:r>
            <w:r>
              <w:t>altered</w:t>
            </w:r>
            <w:r>
              <w:rPr>
                <w:spacing w:val="-4"/>
              </w:rPr>
              <w:t xml:space="preserve"> </w:t>
            </w:r>
            <w:r>
              <w:rPr>
                <w:spacing w:val="-2"/>
              </w:rPr>
              <w:t>population</w:t>
            </w:r>
          </w:p>
          <w:p w14:paraId="33E0A2FE" w14:textId="77777777" w:rsidR="009C4CA4" w:rsidRDefault="009C4CA4" w:rsidP="003C413F">
            <w:pPr>
              <w:pStyle w:val="ListBullet"/>
              <w:cnfStyle w:val="000000000000" w:firstRow="0" w:lastRow="0" w:firstColumn="0" w:lastColumn="0" w:oddVBand="0" w:evenVBand="0" w:oddHBand="0" w:evenHBand="0" w:firstRowFirstColumn="0" w:firstRowLastColumn="0" w:lastRowFirstColumn="0" w:lastRowLastColumn="0"/>
            </w:pPr>
            <w:r>
              <w:t>Duration</w:t>
            </w:r>
            <w:r>
              <w:rPr>
                <w:spacing w:val="-7"/>
              </w:rPr>
              <w:t xml:space="preserve"> </w:t>
            </w:r>
            <w:r>
              <w:t>and</w:t>
            </w:r>
            <w:r>
              <w:rPr>
                <w:spacing w:val="-7"/>
              </w:rPr>
              <w:t xml:space="preserve"> </w:t>
            </w:r>
            <w:r>
              <w:t>onset</w:t>
            </w:r>
            <w:r>
              <w:rPr>
                <w:spacing w:val="-4"/>
              </w:rPr>
              <w:t xml:space="preserve"> </w:t>
            </w:r>
            <w:r>
              <w:t>of</w:t>
            </w:r>
            <w:r>
              <w:rPr>
                <w:spacing w:val="-4"/>
              </w:rPr>
              <w:t xml:space="preserve"> </w:t>
            </w:r>
            <w:r>
              <w:t>response</w:t>
            </w:r>
            <w:r>
              <w:rPr>
                <w:spacing w:val="-7"/>
              </w:rPr>
              <w:t xml:space="preserve"> </w:t>
            </w:r>
            <w:r>
              <w:t>(</w:t>
            </w:r>
            <w:proofErr w:type="spellStart"/>
            <w:r>
              <w:t>DoR</w:t>
            </w:r>
            <w:proofErr w:type="spellEnd"/>
            <w:r>
              <w:t>)</w:t>
            </w:r>
            <w:r>
              <w:rPr>
                <w:spacing w:val="-4"/>
              </w:rPr>
              <w:t xml:space="preserve"> </w:t>
            </w:r>
            <w:r>
              <w:t>in</w:t>
            </w:r>
            <w:r>
              <w:rPr>
                <w:spacing w:val="-4"/>
              </w:rPr>
              <w:t xml:space="preserve"> </w:t>
            </w:r>
            <w:r>
              <w:t>overall</w:t>
            </w:r>
            <w:r>
              <w:rPr>
                <w:spacing w:val="-5"/>
              </w:rPr>
              <w:t xml:space="preserve"> </w:t>
            </w:r>
            <w:r>
              <w:t>and</w:t>
            </w:r>
            <w:r>
              <w:rPr>
                <w:spacing w:val="-5"/>
              </w:rPr>
              <w:t xml:space="preserve"> </w:t>
            </w:r>
            <w:r>
              <w:t>altered</w:t>
            </w:r>
            <w:r>
              <w:rPr>
                <w:spacing w:val="-4"/>
              </w:rPr>
              <w:t xml:space="preserve"> </w:t>
            </w:r>
            <w:r>
              <w:rPr>
                <w:spacing w:val="-2"/>
              </w:rPr>
              <w:t>population</w:t>
            </w:r>
          </w:p>
          <w:p w14:paraId="4BD9BA26" w14:textId="77777777" w:rsidR="009C4CA4" w:rsidRDefault="009C4CA4" w:rsidP="003C413F">
            <w:pPr>
              <w:pStyle w:val="ListBullet"/>
              <w:cnfStyle w:val="000000000000" w:firstRow="0" w:lastRow="0" w:firstColumn="0" w:lastColumn="0" w:oddVBand="0" w:evenVBand="0" w:oddHBand="0" w:evenHBand="0" w:firstRowFirstColumn="0" w:firstRowLastColumn="0" w:lastRowFirstColumn="0" w:lastRowLastColumn="0"/>
            </w:pPr>
            <w:r>
              <w:t>Clinical</w:t>
            </w:r>
            <w:r>
              <w:rPr>
                <w:spacing w:val="-7"/>
              </w:rPr>
              <w:t xml:space="preserve"> </w:t>
            </w:r>
            <w:r>
              <w:t>benefit</w:t>
            </w:r>
            <w:r>
              <w:rPr>
                <w:spacing w:val="-5"/>
              </w:rPr>
              <w:t xml:space="preserve"> </w:t>
            </w:r>
            <w:r>
              <w:t>rate</w:t>
            </w:r>
            <w:r>
              <w:rPr>
                <w:spacing w:val="-6"/>
              </w:rPr>
              <w:t xml:space="preserve"> </w:t>
            </w:r>
            <w:r>
              <w:t>(CBR)</w:t>
            </w:r>
            <w:r>
              <w:rPr>
                <w:spacing w:val="-3"/>
              </w:rPr>
              <w:t xml:space="preserve"> </w:t>
            </w:r>
            <w:r>
              <w:t>in</w:t>
            </w:r>
            <w:r>
              <w:rPr>
                <w:spacing w:val="-5"/>
              </w:rPr>
              <w:t xml:space="preserve"> </w:t>
            </w:r>
            <w:r>
              <w:t>overall</w:t>
            </w:r>
            <w:r>
              <w:rPr>
                <w:spacing w:val="-4"/>
              </w:rPr>
              <w:t xml:space="preserve"> </w:t>
            </w:r>
            <w:r>
              <w:t>and</w:t>
            </w:r>
            <w:r>
              <w:rPr>
                <w:spacing w:val="-5"/>
              </w:rPr>
              <w:t xml:space="preserve"> </w:t>
            </w:r>
            <w:r>
              <w:t>altered</w:t>
            </w:r>
            <w:r>
              <w:rPr>
                <w:spacing w:val="-4"/>
              </w:rPr>
              <w:t xml:space="preserve"> </w:t>
            </w:r>
            <w:r>
              <w:rPr>
                <w:spacing w:val="-2"/>
              </w:rPr>
              <w:t>population</w:t>
            </w:r>
          </w:p>
          <w:p w14:paraId="7AC70F67" w14:textId="10B1972B" w:rsidR="009C4CA4" w:rsidRDefault="009C4CA4" w:rsidP="003C413F">
            <w:pPr>
              <w:pStyle w:val="ListBullet"/>
              <w:cnfStyle w:val="000000000000" w:firstRow="0" w:lastRow="0" w:firstColumn="0" w:lastColumn="0" w:oddVBand="0" w:evenVBand="0" w:oddHBand="0" w:evenHBand="0" w:firstRowFirstColumn="0" w:firstRowLastColumn="0" w:lastRowFirstColumn="0" w:lastRowLastColumn="0"/>
            </w:pPr>
            <w:r>
              <w:t>Time</w:t>
            </w:r>
            <w:r>
              <w:rPr>
                <w:spacing w:val="-7"/>
              </w:rPr>
              <w:t xml:space="preserve"> </w:t>
            </w:r>
            <w:r>
              <w:t>to</w:t>
            </w:r>
            <w:r>
              <w:rPr>
                <w:spacing w:val="-4"/>
              </w:rPr>
              <w:t xml:space="preserve"> </w:t>
            </w:r>
            <w:r>
              <w:t>deterioration</w:t>
            </w:r>
            <w:r>
              <w:rPr>
                <w:spacing w:val="-5"/>
              </w:rPr>
              <w:t xml:space="preserve"> </w:t>
            </w:r>
            <w:r>
              <w:t>of</w:t>
            </w:r>
            <w:r>
              <w:rPr>
                <w:spacing w:val="-4"/>
              </w:rPr>
              <w:t xml:space="preserve"> </w:t>
            </w:r>
            <w:r>
              <w:t>ECOG</w:t>
            </w:r>
            <w:r>
              <w:rPr>
                <w:spacing w:val="-4"/>
              </w:rPr>
              <w:t xml:space="preserve"> </w:t>
            </w:r>
            <w:r>
              <w:t>PS</w:t>
            </w:r>
            <w:r>
              <w:rPr>
                <w:spacing w:val="-3"/>
              </w:rPr>
              <w:t xml:space="preserve"> </w:t>
            </w:r>
            <w:r>
              <w:t>in</w:t>
            </w:r>
            <w:r>
              <w:rPr>
                <w:spacing w:val="-5"/>
              </w:rPr>
              <w:t xml:space="preserve"> </w:t>
            </w:r>
            <w:r>
              <w:t>overall</w:t>
            </w:r>
            <w:r>
              <w:rPr>
                <w:spacing w:val="-5"/>
              </w:rPr>
              <w:t xml:space="preserve"> </w:t>
            </w:r>
            <w:r>
              <w:t>and</w:t>
            </w:r>
            <w:r>
              <w:rPr>
                <w:spacing w:val="-5"/>
              </w:rPr>
              <w:t xml:space="preserve"> </w:t>
            </w:r>
            <w:r>
              <w:t>altered</w:t>
            </w:r>
            <w:r>
              <w:rPr>
                <w:spacing w:val="-4"/>
              </w:rPr>
              <w:t xml:space="preserve"> </w:t>
            </w:r>
            <w:r>
              <w:rPr>
                <w:spacing w:val="-2"/>
              </w:rPr>
              <w:t>population</w:t>
            </w:r>
            <w:r w:rsidR="003C413F">
              <w:rPr>
                <w:spacing w:val="-2"/>
              </w:rPr>
              <w:t>.</w:t>
            </w:r>
          </w:p>
          <w:p w14:paraId="41A6ED2F" w14:textId="77777777" w:rsidR="009C4CA4" w:rsidRDefault="009C4CA4" w:rsidP="003C413F">
            <w:pPr>
              <w:cnfStyle w:val="000000000000" w:firstRow="0" w:lastRow="0" w:firstColumn="0" w:lastColumn="0" w:oddVBand="0" w:evenVBand="0" w:oddHBand="0" w:evenHBand="0" w:firstRowFirstColumn="0" w:firstRowLastColumn="0" w:lastRowFirstColumn="0" w:lastRowLastColumn="0"/>
              <w:rPr>
                <w:sz w:val="21"/>
              </w:rPr>
            </w:pPr>
            <w:r>
              <w:rPr>
                <w:sz w:val="21"/>
              </w:rPr>
              <w:t>Additional</w:t>
            </w:r>
            <w:r>
              <w:rPr>
                <w:spacing w:val="-4"/>
                <w:sz w:val="21"/>
              </w:rPr>
              <w:t xml:space="preserve"> </w:t>
            </w:r>
            <w:r>
              <w:rPr>
                <w:sz w:val="21"/>
              </w:rPr>
              <w:t>exploratory</w:t>
            </w:r>
            <w:r>
              <w:rPr>
                <w:spacing w:val="-5"/>
                <w:sz w:val="21"/>
              </w:rPr>
              <w:t xml:space="preserve"> </w:t>
            </w:r>
            <w:r>
              <w:rPr>
                <w:sz w:val="21"/>
              </w:rPr>
              <w:t>analyses</w:t>
            </w:r>
            <w:r>
              <w:rPr>
                <w:spacing w:val="-4"/>
                <w:sz w:val="21"/>
              </w:rPr>
              <w:t xml:space="preserve"> </w:t>
            </w:r>
            <w:r>
              <w:rPr>
                <w:sz w:val="21"/>
              </w:rPr>
              <w:t>were</w:t>
            </w:r>
            <w:r>
              <w:rPr>
                <w:spacing w:val="-4"/>
                <w:sz w:val="21"/>
              </w:rPr>
              <w:t xml:space="preserve"> </w:t>
            </w:r>
            <w:r>
              <w:rPr>
                <w:sz w:val="21"/>
              </w:rPr>
              <w:t>performed</w:t>
            </w:r>
            <w:r>
              <w:rPr>
                <w:spacing w:val="-4"/>
                <w:sz w:val="21"/>
              </w:rPr>
              <w:t xml:space="preserve"> </w:t>
            </w:r>
            <w:r>
              <w:rPr>
                <w:sz w:val="21"/>
              </w:rPr>
              <w:t>in</w:t>
            </w:r>
            <w:r>
              <w:rPr>
                <w:spacing w:val="-4"/>
                <w:sz w:val="21"/>
              </w:rPr>
              <w:t xml:space="preserve"> </w:t>
            </w:r>
            <w:r>
              <w:rPr>
                <w:sz w:val="21"/>
              </w:rPr>
              <w:t>the</w:t>
            </w:r>
            <w:r>
              <w:rPr>
                <w:spacing w:val="-4"/>
                <w:sz w:val="21"/>
              </w:rPr>
              <w:t xml:space="preserve"> </w:t>
            </w:r>
            <w:r>
              <w:rPr>
                <w:sz w:val="21"/>
              </w:rPr>
              <w:t>non-altered</w:t>
            </w:r>
            <w:r>
              <w:rPr>
                <w:spacing w:val="-4"/>
                <w:sz w:val="21"/>
              </w:rPr>
              <w:t xml:space="preserve"> </w:t>
            </w:r>
            <w:r>
              <w:rPr>
                <w:sz w:val="21"/>
              </w:rPr>
              <w:t xml:space="preserve">population, which was further divided into the </w:t>
            </w:r>
            <w:r w:rsidRPr="003C413F">
              <w:rPr>
                <w:b/>
                <w:bCs/>
                <w:sz w:val="21"/>
              </w:rPr>
              <w:t>Known non-altered population</w:t>
            </w:r>
            <w:r>
              <w:rPr>
                <w:sz w:val="21"/>
              </w:rPr>
              <w:t xml:space="preserve"> (patients in the non-altered population with a valid central test result), and the </w:t>
            </w:r>
            <w:r w:rsidRPr="003C413F">
              <w:rPr>
                <w:b/>
                <w:bCs/>
                <w:sz w:val="21"/>
              </w:rPr>
              <w:t>No</w:t>
            </w:r>
            <w:r w:rsidRPr="003C413F">
              <w:rPr>
                <w:b/>
                <w:bCs/>
                <w:spacing w:val="40"/>
                <w:sz w:val="21"/>
              </w:rPr>
              <w:t xml:space="preserve"> </w:t>
            </w:r>
            <w:r w:rsidRPr="003C413F">
              <w:rPr>
                <w:b/>
                <w:bCs/>
                <w:sz w:val="21"/>
              </w:rPr>
              <w:t>result population</w:t>
            </w:r>
            <w:r>
              <w:rPr>
                <w:sz w:val="21"/>
              </w:rPr>
              <w:t xml:space="preserve"> (patients in the non-altered population without a valid central test result).</w:t>
            </w:r>
          </w:p>
        </w:tc>
      </w:tr>
    </w:tbl>
    <w:p w14:paraId="0395314D" w14:textId="3A1A05F8" w:rsidR="009C4CA4" w:rsidRPr="0084527E" w:rsidRDefault="009C4CA4" w:rsidP="0084527E">
      <w:pPr>
        <w:pStyle w:val="Heading6"/>
        <w:rPr>
          <w:b w:val="0"/>
          <w:bCs w:val="0"/>
        </w:rPr>
      </w:pPr>
      <w:bookmarkStart w:id="53" w:name="Participant_flow_and_baseline_characteri"/>
      <w:bookmarkEnd w:id="53"/>
      <w:r w:rsidRPr="0084527E">
        <w:rPr>
          <w:b w:val="0"/>
          <w:bCs w:val="0"/>
        </w:rPr>
        <w:t>Participant</w:t>
      </w:r>
      <w:r w:rsidRPr="0084527E">
        <w:rPr>
          <w:b w:val="0"/>
          <w:bCs w:val="0"/>
          <w:spacing w:val="-5"/>
        </w:rPr>
        <w:t xml:space="preserve"> </w:t>
      </w:r>
      <w:r w:rsidRPr="0084527E">
        <w:rPr>
          <w:b w:val="0"/>
          <w:bCs w:val="0"/>
        </w:rPr>
        <w:t>flow</w:t>
      </w:r>
      <w:r w:rsidRPr="0084527E">
        <w:rPr>
          <w:b w:val="0"/>
          <w:bCs w:val="0"/>
          <w:spacing w:val="-5"/>
        </w:rPr>
        <w:t xml:space="preserve"> </w:t>
      </w:r>
      <w:r w:rsidRPr="0084527E">
        <w:rPr>
          <w:b w:val="0"/>
          <w:bCs w:val="0"/>
        </w:rPr>
        <w:t>and</w:t>
      </w:r>
      <w:r w:rsidRPr="0084527E">
        <w:rPr>
          <w:b w:val="0"/>
          <w:bCs w:val="0"/>
          <w:spacing w:val="-5"/>
        </w:rPr>
        <w:t xml:space="preserve"> </w:t>
      </w:r>
      <w:r w:rsidRPr="0084527E">
        <w:rPr>
          <w:b w:val="0"/>
          <w:bCs w:val="0"/>
        </w:rPr>
        <w:t>baseline</w:t>
      </w:r>
      <w:r w:rsidRPr="0084527E">
        <w:rPr>
          <w:b w:val="0"/>
          <w:bCs w:val="0"/>
          <w:spacing w:val="-5"/>
        </w:rPr>
        <w:t xml:space="preserve"> </w:t>
      </w:r>
      <w:r w:rsidRPr="0084527E">
        <w:rPr>
          <w:b w:val="0"/>
          <w:bCs w:val="0"/>
          <w:spacing w:val="-2"/>
        </w:rPr>
        <w:t>characteristics</w:t>
      </w:r>
    </w:p>
    <w:p w14:paraId="0D910D4D" w14:textId="77777777" w:rsidR="009C4CA4" w:rsidRDefault="009C4CA4" w:rsidP="00BF4FB6">
      <w:r>
        <w:t xml:space="preserve">Of 901 patients enrolled, 708 were randomised (the overall population): 355 to </w:t>
      </w:r>
      <w:proofErr w:type="spellStart"/>
      <w:r>
        <w:t>capivasertib</w:t>
      </w:r>
      <w:proofErr w:type="spellEnd"/>
      <w:r>
        <w:t xml:space="preserve"> and 353 to placebo. All patients</w:t>
      </w:r>
      <w:r>
        <w:rPr>
          <w:spacing w:val="-1"/>
        </w:rPr>
        <w:t xml:space="preserve"> </w:t>
      </w:r>
      <w:r>
        <w:t>in</w:t>
      </w:r>
      <w:r>
        <w:rPr>
          <w:spacing w:val="-1"/>
        </w:rPr>
        <w:t xml:space="preserve"> </w:t>
      </w:r>
      <w:r>
        <w:t xml:space="preserve">the </w:t>
      </w:r>
      <w:proofErr w:type="spellStart"/>
      <w:r>
        <w:t>capivasertib</w:t>
      </w:r>
      <w:proofErr w:type="spellEnd"/>
      <w:r>
        <w:rPr>
          <w:spacing w:val="-1"/>
        </w:rPr>
        <w:t xml:space="preserve"> </w:t>
      </w:r>
      <w:r>
        <w:t>group (100%)</w:t>
      </w:r>
      <w:r>
        <w:rPr>
          <w:spacing w:val="-3"/>
        </w:rPr>
        <w:t xml:space="preserve"> </w:t>
      </w:r>
      <w:r>
        <w:t>and all but</w:t>
      </w:r>
      <w:r>
        <w:rPr>
          <w:spacing w:val="-3"/>
        </w:rPr>
        <w:t xml:space="preserve"> </w:t>
      </w:r>
      <w:r>
        <w:t>3 patients in</w:t>
      </w:r>
      <w:r>
        <w:rPr>
          <w:spacing w:val="-1"/>
        </w:rPr>
        <w:t xml:space="preserve"> </w:t>
      </w:r>
      <w:r>
        <w:t xml:space="preserve">the placebo group (99.1%) received study treatment. 292 (82.7%) in the </w:t>
      </w:r>
      <w:proofErr w:type="spellStart"/>
      <w:r>
        <w:t>capivasertib</w:t>
      </w:r>
      <w:proofErr w:type="spellEnd"/>
      <w:r>
        <w:t xml:space="preserve"> group and 307 (87.0%) in the placebo group discontinued treatment.</w:t>
      </w:r>
      <w:r>
        <w:rPr>
          <w:spacing w:val="40"/>
        </w:rPr>
        <w:t xml:space="preserve"> </w:t>
      </w:r>
      <w:r>
        <w:t>The most common reason for discontinuation</w:t>
      </w:r>
      <w:r>
        <w:rPr>
          <w:spacing w:val="-4"/>
        </w:rPr>
        <w:t xml:space="preserve"> </w:t>
      </w:r>
      <w:r>
        <w:t>was</w:t>
      </w:r>
      <w:r>
        <w:rPr>
          <w:spacing w:val="-2"/>
        </w:rPr>
        <w:t xml:space="preserve"> </w:t>
      </w:r>
      <w:r>
        <w:t>disease</w:t>
      </w:r>
      <w:r>
        <w:rPr>
          <w:spacing w:val="-3"/>
        </w:rPr>
        <w:t xml:space="preserve"> </w:t>
      </w:r>
      <w:r>
        <w:t>progression:</w:t>
      </w:r>
      <w:r>
        <w:rPr>
          <w:spacing w:val="-4"/>
        </w:rPr>
        <w:t xml:space="preserve"> </w:t>
      </w:r>
      <w:r>
        <w:t>209</w:t>
      </w:r>
      <w:r>
        <w:rPr>
          <w:spacing w:val="-3"/>
        </w:rPr>
        <w:t xml:space="preserve"> </w:t>
      </w:r>
      <w:r>
        <w:t>(58.9%)</w:t>
      </w:r>
      <w:r>
        <w:rPr>
          <w:spacing w:val="-3"/>
        </w:rPr>
        <w:t xml:space="preserve"> </w:t>
      </w:r>
      <w:r>
        <w:t>in</w:t>
      </w:r>
      <w:r>
        <w:rPr>
          <w:spacing w:val="-4"/>
        </w:rPr>
        <w:t xml:space="preserve"> </w:t>
      </w:r>
      <w:r>
        <w:t>the</w:t>
      </w:r>
      <w:r>
        <w:rPr>
          <w:spacing w:val="-5"/>
        </w:rPr>
        <w:t xml:space="preserve"> </w:t>
      </w:r>
      <w:proofErr w:type="spellStart"/>
      <w:r>
        <w:t>capivasertib</w:t>
      </w:r>
      <w:proofErr w:type="spellEnd"/>
      <w:r>
        <w:rPr>
          <w:spacing w:val="-4"/>
        </w:rPr>
        <w:t xml:space="preserve"> </w:t>
      </w:r>
      <w:r>
        <w:t>and</w:t>
      </w:r>
      <w:r>
        <w:rPr>
          <w:spacing w:val="-3"/>
        </w:rPr>
        <w:t xml:space="preserve"> </w:t>
      </w:r>
      <w:r>
        <w:t>273</w:t>
      </w:r>
      <w:r>
        <w:rPr>
          <w:spacing w:val="-3"/>
        </w:rPr>
        <w:t xml:space="preserve"> </w:t>
      </w:r>
      <w:r>
        <w:t>(77.3%)</w:t>
      </w:r>
      <w:r>
        <w:rPr>
          <w:spacing w:val="-3"/>
        </w:rPr>
        <w:t xml:space="preserve"> </w:t>
      </w:r>
      <w:r>
        <w:t>in the placebo groups.</w:t>
      </w:r>
    </w:p>
    <w:p w14:paraId="10B7EA8A" w14:textId="3B61DA00" w:rsidR="009C4CA4" w:rsidRDefault="009C4CA4" w:rsidP="00BF4FB6">
      <w:r>
        <w:t xml:space="preserve">There were 289 (40.8%) patients with altered </w:t>
      </w:r>
      <w:r>
        <w:rPr>
          <w:i/>
        </w:rPr>
        <w:t xml:space="preserve">PIK3CA/AKT1/PTEN </w:t>
      </w:r>
      <w:r>
        <w:t>confirmed by central</w:t>
      </w:r>
      <w:r>
        <w:rPr>
          <w:spacing w:val="-1"/>
        </w:rPr>
        <w:t xml:space="preserve"> </w:t>
      </w:r>
      <w:r>
        <w:t>testing,</w:t>
      </w:r>
      <w:r>
        <w:rPr>
          <w:spacing w:val="-1"/>
        </w:rPr>
        <w:t xml:space="preserve"> </w:t>
      </w:r>
      <w:r>
        <w:t>155</w:t>
      </w:r>
      <w:r>
        <w:rPr>
          <w:spacing w:val="-1"/>
        </w:rPr>
        <w:t xml:space="preserve"> </w:t>
      </w:r>
      <w:r>
        <w:t>(43.7%)</w:t>
      </w:r>
      <w:r>
        <w:rPr>
          <w:spacing w:val="-1"/>
        </w:rPr>
        <w:t xml:space="preserve"> </w:t>
      </w:r>
      <w:r>
        <w:t>in</w:t>
      </w:r>
      <w:r>
        <w:rPr>
          <w:spacing w:val="-2"/>
        </w:rPr>
        <w:t xml:space="preserve"> </w:t>
      </w:r>
      <w:r>
        <w:t>the</w:t>
      </w:r>
      <w:r>
        <w:rPr>
          <w:spacing w:val="-3"/>
        </w:rPr>
        <w:t xml:space="preserve"> </w:t>
      </w:r>
      <w:proofErr w:type="spellStart"/>
      <w:r>
        <w:t>capivasertib</w:t>
      </w:r>
      <w:proofErr w:type="spellEnd"/>
      <w:r>
        <w:rPr>
          <w:spacing w:val="-2"/>
        </w:rPr>
        <w:t xml:space="preserve"> </w:t>
      </w:r>
      <w:r>
        <w:t>group</w:t>
      </w:r>
      <w:r>
        <w:rPr>
          <w:spacing w:val="-1"/>
        </w:rPr>
        <w:t xml:space="preserve"> </w:t>
      </w:r>
      <w:r>
        <w:t>and</w:t>
      </w:r>
      <w:r>
        <w:rPr>
          <w:spacing w:val="-1"/>
        </w:rPr>
        <w:t xml:space="preserve"> </w:t>
      </w:r>
      <w:r>
        <w:t>134</w:t>
      </w:r>
      <w:r>
        <w:rPr>
          <w:spacing w:val="-1"/>
        </w:rPr>
        <w:t xml:space="preserve"> </w:t>
      </w:r>
      <w:r>
        <w:t>(38.0%)</w:t>
      </w:r>
      <w:r>
        <w:rPr>
          <w:spacing w:val="-1"/>
        </w:rPr>
        <w:t xml:space="preserve"> </w:t>
      </w:r>
      <w:r>
        <w:t>in</w:t>
      </w:r>
      <w:r>
        <w:rPr>
          <w:spacing w:val="-2"/>
        </w:rPr>
        <w:t xml:space="preserve"> </w:t>
      </w:r>
      <w:r>
        <w:t>the</w:t>
      </w:r>
      <w:r>
        <w:rPr>
          <w:spacing w:val="-1"/>
        </w:rPr>
        <w:t xml:space="preserve"> </w:t>
      </w:r>
      <w:r>
        <w:t>placebo</w:t>
      </w:r>
      <w:r>
        <w:rPr>
          <w:spacing w:val="-1"/>
        </w:rPr>
        <w:t xml:space="preserve"> </w:t>
      </w:r>
      <w:r>
        <w:t xml:space="preserve">(altered population). Of these, 155 (100%) in the </w:t>
      </w:r>
      <w:proofErr w:type="spellStart"/>
      <w:r>
        <w:t>capivasertib</w:t>
      </w:r>
      <w:proofErr w:type="spellEnd"/>
      <w:r>
        <w:t xml:space="preserve"> group and 133 (99.3%) in the placebo received</w:t>
      </w:r>
      <w:r>
        <w:rPr>
          <w:spacing w:val="-2"/>
        </w:rPr>
        <w:t xml:space="preserve"> </w:t>
      </w:r>
      <w:r>
        <w:t>study</w:t>
      </w:r>
      <w:r>
        <w:rPr>
          <w:spacing w:val="-3"/>
        </w:rPr>
        <w:t xml:space="preserve"> </w:t>
      </w:r>
      <w:r>
        <w:t>treatment;</w:t>
      </w:r>
      <w:r>
        <w:rPr>
          <w:spacing w:val="-5"/>
        </w:rPr>
        <w:t xml:space="preserve"> </w:t>
      </w:r>
      <w:r>
        <w:t>and</w:t>
      </w:r>
      <w:r>
        <w:rPr>
          <w:spacing w:val="-2"/>
        </w:rPr>
        <w:t xml:space="preserve"> </w:t>
      </w:r>
      <w:r>
        <w:t>128</w:t>
      </w:r>
      <w:r>
        <w:rPr>
          <w:spacing w:val="-2"/>
        </w:rPr>
        <w:t xml:space="preserve"> </w:t>
      </w:r>
      <w:r>
        <w:t>(82.6%)</w:t>
      </w:r>
      <w:r>
        <w:rPr>
          <w:spacing w:val="-2"/>
        </w:rPr>
        <w:t xml:space="preserve"> </w:t>
      </w:r>
      <w:r>
        <w:t>in</w:t>
      </w:r>
      <w:r>
        <w:rPr>
          <w:spacing w:val="-3"/>
        </w:rPr>
        <w:t xml:space="preserve"> </w:t>
      </w:r>
      <w:r>
        <w:t>the</w:t>
      </w:r>
      <w:r>
        <w:rPr>
          <w:spacing w:val="-4"/>
        </w:rPr>
        <w:t xml:space="preserve"> </w:t>
      </w:r>
      <w:proofErr w:type="spellStart"/>
      <w:r>
        <w:t>capivasertib</w:t>
      </w:r>
      <w:proofErr w:type="spellEnd"/>
      <w:r>
        <w:rPr>
          <w:spacing w:val="-3"/>
        </w:rPr>
        <w:t xml:space="preserve"> </w:t>
      </w:r>
      <w:r>
        <w:t>and</w:t>
      </w:r>
      <w:r>
        <w:rPr>
          <w:spacing w:val="-2"/>
        </w:rPr>
        <w:t xml:space="preserve"> </w:t>
      </w:r>
      <w:r>
        <w:t>120</w:t>
      </w:r>
      <w:r>
        <w:rPr>
          <w:spacing w:val="-2"/>
        </w:rPr>
        <w:t xml:space="preserve"> </w:t>
      </w:r>
      <w:r>
        <w:t>(90.2%)</w:t>
      </w:r>
      <w:r>
        <w:rPr>
          <w:spacing w:val="-2"/>
        </w:rPr>
        <w:t xml:space="preserve"> </w:t>
      </w:r>
      <w:r>
        <w:t>in</w:t>
      </w:r>
      <w:r>
        <w:rPr>
          <w:spacing w:val="-3"/>
        </w:rPr>
        <w:t xml:space="preserve"> </w:t>
      </w:r>
      <w:r>
        <w:t>the</w:t>
      </w:r>
      <w:r>
        <w:rPr>
          <w:spacing w:val="-2"/>
        </w:rPr>
        <w:t xml:space="preserve"> </w:t>
      </w:r>
      <w:r>
        <w:t>placebo discontinued treatment.</w:t>
      </w:r>
      <w:r>
        <w:rPr>
          <w:spacing w:val="40"/>
        </w:rPr>
        <w:t xml:space="preserve"> </w:t>
      </w:r>
      <w:r>
        <w:t xml:space="preserve">The most common reason for discontinuation was disease progression: 94 (60.6%) in the </w:t>
      </w:r>
      <w:proofErr w:type="spellStart"/>
      <w:r>
        <w:t>capivasertib</w:t>
      </w:r>
      <w:proofErr w:type="spellEnd"/>
      <w:r>
        <w:t xml:space="preserve"> and 106 (79.1%) in the placebo groups.</w:t>
      </w:r>
    </w:p>
    <w:p w14:paraId="7AAD6002" w14:textId="38A9DE94" w:rsidR="009C4CA4" w:rsidRDefault="009C4CA4" w:rsidP="00BF4FB6">
      <w:r>
        <w:t>Although</w:t>
      </w:r>
      <w:r>
        <w:rPr>
          <w:spacing w:val="-2"/>
        </w:rPr>
        <w:t xml:space="preserve"> </w:t>
      </w:r>
      <w:r>
        <w:t>not</w:t>
      </w:r>
      <w:r>
        <w:rPr>
          <w:spacing w:val="-6"/>
        </w:rPr>
        <w:t xml:space="preserve"> </w:t>
      </w:r>
      <w:r>
        <w:t>specified</w:t>
      </w:r>
      <w:r>
        <w:rPr>
          <w:spacing w:val="-3"/>
        </w:rPr>
        <w:t xml:space="preserve"> </w:t>
      </w:r>
      <w:r>
        <w:t>as</w:t>
      </w:r>
      <w:r>
        <w:rPr>
          <w:spacing w:val="-4"/>
        </w:rPr>
        <w:t xml:space="preserve"> </w:t>
      </w:r>
      <w:r>
        <w:t>a</w:t>
      </w:r>
      <w:r>
        <w:rPr>
          <w:spacing w:val="-3"/>
        </w:rPr>
        <w:t xml:space="preserve"> </w:t>
      </w:r>
      <w:r>
        <w:t>primary</w:t>
      </w:r>
      <w:r>
        <w:rPr>
          <w:spacing w:val="-4"/>
        </w:rPr>
        <w:t xml:space="preserve"> </w:t>
      </w:r>
      <w:r>
        <w:t>outcome,</w:t>
      </w:r>
      <w:r>
        <w:rPr>
          <w:spacing w:val="-3"/>
        </w:rPr>
        <w:t xml:space="preserve"> </w:t>
      </w:r>
      <w:r>
        <w:t>additional</w:t>
      </w:r>
      <w:r>
        <w:rPr>
          <w:spacing w:val="-3"/>
        </w:rPr>
        <w:t xml:space="preserve"> </w:t>
      </w:r>
      <w:r>
        <w:t>exploratory</w:t>
      </w:r>
      <w:r>
        <w:rPr>
          <w:spacing w:val="-4"/>
        </w:rPr>
        <w:t xml:space="preserve"> </w:t>
      </w:r>
      <w:r>
        <w:t>analyses</w:t>
      </w:r>
      <w:r>
        <w:rPr>
          <w:spacing w:val="-4"/>
        </w:rPr>
        <w:t xml:space="preserve"> </w:t>
      </w:r>
      <w:r>
        <w:t>were</w:t>
      </w:r>
      <w:r>
        <w:rPr>
          <w:spacing w:val="-3"/>
        </w:rPr>
        <w:t xml:space="preserve"> </w:t>
      </w:r>
      <w:r>
        <w:t>conducted in the 419 patients from the overall population not included in the altered population. These were classified as the Known non-altered population (those with no alteration confirmed by central testing (313 patients) and the No Result population (those without confirmation by central</w:t>
      </w:r>
      <w:r>
        <w:rPr>
          <w:spacing w:val="-2"/>
        </w:rPr>
        <w:t xml:space="preserve"> </w:t>
      </w:r>
      <w:r>
        <w:t>testing</w:t>
      </w:r>
      <w:r>
        <w:rPr>
          <w:spacing w:val="-1"/>
        </w:rPr>
        <w:t xml:space="preserve"> </w:t>
      </w:r>
      <w:r>
        <w:t>(106</w:t>
      </w:r>
      <w:r>
        <w:rPr>
          <w:spacing w:val="-2"/>
        </w:rPr>
        <w:t xml:space="preserve"> </w:t>
      </w:r>
      <w:r>
        <w:t>patients,</w:t>
      </w:r>
      <w:r>
        <w:rPr>
          <w:spacing w:val="-2"/>
        </w:rPr>
        <w:t xml:space="preserve"> </w:t>
      </w:r>
      <w:r>
        <w:t>15.0%</w:t>
      </w:r>
      <w:r>
        <w:rPr>
          <w:spacing w:val="-2"/>
        </w:rPr>
        <w:t xml:space="preserve"> </w:t>
      </w:r>
      <w:r>
        <w:t>of</w:t>
      </w:r>
      <w:r>
        <w:rPr>
          <w:spacing w:val="-2"/>
        </w:rPr>
        <w:t xml:space="preserve"> </w:t>
      </w:r>
      <w:r>
        <w:t>the</w:t>
      </w:r>
      <w:r>
        <w:rPr>
          <w:spacing w:val="-2"/>
        </w:rPr>
        <w:t xml:space="preserve"> </w:t>
      </w:r>
      <w:r>
        <w:t>overall</w:t>
      </w:r>
      <w:r>
        <w:rPr>
          <w:spacing w:val="-2"/>
        </w:rPr>
        <w:t xml:space="preserve"> </w:t>
      </w:r>
      <w:r>
        <w:t>population).</w:t>
      </w:r>
      <w:r>
        <w:rPr>
          <w:spacing w:val="-2"/>
        </w:rPr>
        <w:t xml:space="preserve"> </w:t>
      </w:r>
      <w:r w:rsidR="0084527E">
        <w:t>Figure 1</w:t>
      </w:r>
      <w:r>
        <w:rPr>
          <w:spacing w:val="-4"/>
        </w:rPr>
        <w:t xml:space="preserve"> </w:t>
      </w:r>
      <w:r>
        <w:t>shows</w:t>
      </w:r>
      <w:r>
        <w:rPr>
          <w:spacing w:val="-1"/>
        </w:rPr>
        <w:t xml:space="preserve"> </w:t>
      </w:r>
      <w:r>
        <w:t>the analysis populations relevant to the interpretation of efficacy. Analysis of the non-altered population was exploratory, and the no result population was post-hoc and exploratory:</w:t>
      </w:r>
    </w:p>
    <w:p w14:paraId="68492F8D" w14:textId="67526BB7" w:rsidR="009C4CA4" w:rsidRDefault="009C4CA4" w:rsidP="003C413F">
      <w:pPr>
        <w:pStyle w:val="FigureTitle"/>
      </w:pPr>
      <w:r>
        <w:lastRenderedPageBreak/>
        <w:t>Figure</w:t>
      </w:r>
      <w:r>
        <w:rPr>
          <w:spacing w:val="-10"/>
        </w:rPr>
        <w:t xml:space="preserve"> </w:t>
      </w:r>
      <w:r>
        <w:t>1:</w:t>
      </w:r>
      <w:r>
        <w:rPr>
          <w:spacing w:val="-9"/>
        </w:rPr>
        <w:t xml:space="preserve"> </w:t>
      </w:r>
      <w:r>
        <w:t>CAPITello-291</w:t>
      </w:r>
      <w:r>
        <w:rPr>
          <w:spacing w:val="-10"/>
        </w:rPr>
        <w:t xml:space="preserve"> </w:t>
      </w:r>
      <w:r w:rsidRPr="003C413F">
        <w:t>Analysis</w:t>
      </w:r>
      <w:r>
        <w:rPr>
          <w:spacing w:val="-9"/>
        </w:rPr>
        <w:t xml:space="preserve"> </w:t>
      </w:r>
      <w:r>
        <w:rPr>
          <w:spacing w:val="-2"/>
        </w:rPr>
        <w:t>populations</w:t>
      </w:r>
    </w:p>
    <w:p w14:paraId="0ADAD721" w14:textId="77777777" w:rsidR="009C4CA4" w:rsidRDefault="009C4CA4" w:rsidP="0068316A">
      <w:r>
        <w:rPr>
          <w:noProof/>
        </w:rPr>
        <w:drawing>
          <wp:inline distT="0" distB="0" distL="0" distR="0" wp14:anchorId="0E663DD7" wp14:editId="6B94979B">
            <wp:extent cx="5162563" cy="4762500"/>
            <wp:effectExtent l="0" t="0" r="0" b="0"/>
            <wp:docPr id="15" name="Image 15" descr="Diagram showing the distribution of analysis populations in the CAPITello-291 study. Categories include overall population, altered population, and non-altered popul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Diagram showing the distribution of analysis populations in the CAPITello-291 study. Categories include overall population, altered population, and non-altered population."/>
                    <pic:cNvPicPr/>
                  </pic:nvPicPr>
                  <pic:blipFill>
                    <a:blip r:embed="rId27" cstate="print"/>
                    <a:stretch>
                      <a:fillRect/>
                    </a:stretch>
                  </pic:blipFill>
                  <pic:spPr>
                    <a:xfrm>
                      <a:off x="0" y="0"/>
                      <a:ext cx="5162563" cy="4762500"/>
                    </a:xfrm>
                    <a:prstGeom prst="rect">
                      <a:avLst/>
                    </a:prstGeom>
                  </pic:spPr>
                </pic:pic>
              </a:graphicData>
            </a:graphic>
          </wp:inline>
        </w:drawing>
      </w:r>
    </w:p>
    <w:p w14:paraId="111D09AE" w14:textId="60BD8D72" w:rsidR="009C4CA4" w:rsidRDefault="009C4CA4" w:rsidP="0068316A">
      <w:r>
        <w:t>Of</w:t>
      </w:r>
      <w:r>
        <w:rPr>
          <w:spacing w:val="-2"/>
        </w:rPr>
        <w:t xml:space="preserve"> </w:t>
      </w:r>
      <w:r>
        <w:t>the</w:t>
      </w:r>
      <w:r>
        <w:rPr>
          <w:spacing w:val="-2"/>
        </w:rPr>
        <w:t xml:space="preserve"> </w:t>
      </w:r>
      <w:r>
        <w:t>708</w:t>
      </w:r>
      <w:r>
        <w:rPr>
          <w:spacing w:val="-2"/>
        </w:rPr>
        <w:t xml:space="preserve"> </w:t>
      </w:r>
      <w:r>
        <w:t>patients</w:t>
      </w:r>
      <w:r>
        <w:rPr>
          <w:spacing w:val="-1"/>
        </w:rPr>
        <w:t xml:space="preserve"> </w:t>
      </w:r>
      <w:r>
        <w:t>in</w:t>
      </w:r>
      <w:r>
        <w:rPr>
          <w:spacing w:val="-3"/>
        </w:rPr>
        <w:t xml:space="preserve"> </w:t>
      </w:r>
      <w:r>
        <w:t>the</w:t>
      </w:r>
      <w:r>
        <w:rPr>
          <w:spacing w:val="-4"/>
        </w:rPr>
        <w:t xml:space="preserve"> </w:t>
      </w:r>
      <w:r>
        <w:t>overall</w:t>
      </w:r>
      <w:r>
        <w:rPr>
          <w:spacing w:val="-2"/>
        </w:rPr>
        <w:t xml:space="preserve"> </w:t>
      </w:r>
      <w:r>
        <w:t>population,</w:t>
      </w:r>
      <w:r>
        <w:rPr>
          <w:spacing w:val="-2"/>
        </w:rPr>
        <w:t xml:space="preserve"> </w:t>
      </w:r>
      <w:r>
        <w:t>701</w:t>
      </w:r>
      <w:r>
        <w:rPr>
          <w:spacing w:val="-2"/>
        </w:rPr>
        <w:t xml:space="preserve"> </w:t>
      </w:r>
      <w:r>
        <w:t>(99.0%)</w:t>
      </w:r>
      <w:r>
        <w:rPr>
          <w:spacing w:val="-2"/>
        </w:rPr>
        <w:t xml:space="preserve"> </w:t>
      </w:r>
      <w:r>
        <w:t>were</w:t>
      </w:r>
      <w:r>
        <w:rPr>
          <w:spacing w:val="-2"/>
        </w:rPr>
        <w:t xml:space="preserve"> </w:t>
      </w:r>
      <w:r>
        <w:t>female</w:t>
      </w:r>
      <w:r>
        <w:rPr>
          <w:spacing w:val="-2"/>
        </w:rPr>
        <w:t xml:space="preserve"> </w:t>
      </w:r>
      <w:r>
        <w:t>and</w:t>
      </w:r>
      <w:r>
        <w:rPr>
          <w:spacing w:val="-2"/>
        </w:rPr>
        <w:t xml:space="preserve"> </w:t>
      </w:r>
      <w:r>
        <w:t>7</w:t>
      </w:r>
      <w:r>
        <w:rPr>
          <w:spacing w:val="-4"/>
        </w:rPr>
        <w:t xml:space="preserve"> </w:t>
      </w:r>
      <w:r>
        <w:t>(1.0%)</w:t>
      </w:r>
      <w:r>
        <w:rPr>
          <w:spacing w:val="-2"/>
        </w:rPr>
        <w:t xml:space="preserve"> </w:t>
      </w:r>
      <w:r>
        <w:t>were</w:t>
      </w:r>
      <w:r>
        <w:rPr>
          <w:spacing w:val="-2"/>
        </w:rPr>
        <w:t xml:space="preserve"> </w:t>
      </w:r>
      <w:r>
        <w:t>male. The age range was 26 – 90 years, 48.4% were Caucasian and 26.7% of Asian ethnicity. Other demographics were similar in both groups.</w:t>
      </w:r>
    </w:p>
    <w:p w14:paraId="22090099" w14:textId="77777777" w:rsidR="009C4CA4" w:rsidRDefault="009C4CA4" w:rsidP="00BF4FB6">
      <w:r>
        <w:t>There</w:t>
      </w:r>
      <w:r>
        <w:rPr>
          <w:spacing w:val="-3"/>
        </w:rPr>
        <w:t xml:space="preserve"> </w:t>
      </w:r>
      <w:r>
        <w:t>were</w:t>
      </w:r>
      <w:r>
        <w:rPr>
          <w:spacing w:val="-3"/>
        </w:rPr>
        <w:t xml:space="preserve"> </w:t>
      </w:r>
      <w:r>
        <w:t>287</w:t>
      </w:r>
      <w:r>
        <w:rPr>
          <w:spacing w:val="-3"/>
        </w:rPr>
        <w:t xml:space="preserve"> </w:t>
      </w:r>
      <w:r>
        <w:t>(99.3%)</w:t>
      </w:r>
      <w:r>
        <w:rPr>
          <w:spacing w:val="-3"/>
        </w:rPr>
        <w:t xml:space="preserve"> </w:t>
      </w:r>
      <w:r>
        <w:t>females</w:t>
      </w:r>
      <w:r>
        <w:rPr>
          <w:spacing w:val="-2"/>
        </w:rPr>
        <w:t xml:space="preserve"> </w:t>
      </w:r>
      <w:r>
        <w:t>and</w:t>
      </w:r>
      <w:r>
        <w:rPr>
          <w:spacing w:val="-3"/>
        </w:rPr>
        <w:t xml:space="preserve"> </w:t>
      </w:r>
      <w:r>
        <w:t>two</w:t>
      </w:r>
      <w:r>
        <w:rPr>
          <w:spacing w:val="-3"/>
        </w:rPr>
        <w:t xml:space="preserve"> </w:t>
      </w:r>
      <w:r>
        <w:t>(0.7%)</w:t>
      </w:r>
      <w:r>
        <w:rPr>
          <w:spacing w:val="-6"/>
        </w:rPr>
        <w:t xml:space="preserve"> </w:t>
      </w:r>
      <w:r>
        <w:t>males</w:t>
      </w:r>
      <w:r>
        <w:rPr>
          <w:spacing w:val="-2"/>
        </w:rPr>
        <w:t xml:space="preserve"> </w:t>
      </w:r>
      <w:r>
        <w:t>with</w:t>
      </w:r>
      <w:r>
        <w:rPr>
          <w:spacing w:val="-2"/>
        </w:rPr>
        <w:t xml:space="preserve"> </w:t>
      </w:r>
      <w:r>
        <w:t>PIK3CA/AKT1/PTEN</w:t>
      </w:r>
      <w:r>
        <w:rPr>
          <w:spacing w:val="-4"/>
        </w:rPr>
        <w:t xml:space="preserve"> </w:t>
      </w:r>
      <w:r>
        <w:t>alterations, and</w:t>
      </w:r>
      <w:r>
        <w:rPr>
          <w:spacing w:val="-1"/>
        </w:rPr>
        <w:t xml:space="preserve"> </w:t>
      </w:r>
      <w:r>
        <w:t>these</w:t>
      </w:r>
      <w:r>
        <w:rPr>
          <w:spacing w:val="-1"/>
        </w:rPr>
        <w:t xml:space="preserve"> </w:t>
      </w:r>
      <w:r>
        <w:t>patients formed</w:t>
      </w:r>
      <w:r>
        <w:rPr>
          <w:spacing w:val="-3"/>
        </w:rPr>
        <w:t xml:space="preserve"> </w:t>
      </w:r>
      <w:r>
        <w:t>the</w:t>
      </w:r>
      <w:r>
        <w:rPr>
          <w:spacing w:val="-1"/>
        </w:rPr>
        <w:t xml:space="preserve"> </w:t>
      </w:r>
      <w:r>
        <w:t>altered</w:t>
      </w:r>
      <w:r>
        <w:rPr>
          <w:spacing w:val="-1"/>
        </w:rPr>
        <w:t xml:space="preserve"> </w:t>
      </w:r>
      <w:r>
        <w:t>population.</w:t>
      </w:r>
      <w:r>
        <w:rPr>
          <w:spacing w:val="-1"/>
        </w:rPr>
        <w:t xml:space="preserve"> </w:t>
      </w:r>
      <w:r>
        <w:t>In</w:t>
      </w:r>
      <w:r>
        <w:rPr>
          <w:spacing w:val="-4"/>
        </w:rPr>
        <w:t xml:space="preserve"> </w:t>
      </w:r>
      <w:r>
        <w:t>terms</w:t>
      </w:r>
      <w:r>
        <w:rPr>
          <w:spacing w:val="-2"/>
        </w:rPr>
        <w:t xml:space="preserve"> </w:t>
      </w:r>
      <w:r>
        <w:t>of</w:t>
      </w:r>
      <w:r>
        <w:rPr>
          <w:spacing w:val="-1"/>
        </w:rPr>
        <w:t xml:space="preserve"> </w:t>
      </w:r>
      <w:r>
        <w:t>alterations,</w:t>
      </w:r>
      <w:r>
        <w:rPr>
          <w:spacing w:val="-1"/>
        </w:rPr>
        <w:t xml:space="preserve"> </w:t>
      </w:r>
      <w:r>
        <w:t>the</w:t>
      </w:r>
      <w:r>
        <w:rPr>
          <w:spacing w:val="-1"/>
        </w:rPr>
        <w:t xml:space="preserve"> </w:t>
      </w:r>
      <w:r>
        <w:t>largest</w:t>
      </w:r>
      <w:r>
        <w:rPr>
          <w:spacing w:val="-1"/>
        </w:rPr>
        <w:t xml:space="preserve"> </w:t>
      </w:r>
      <w:r>
        <w:t xml:space="preserve">subgroup was </w:t>
      </w:r>
      <w:r>
        <w:rPr>
          <w:i/>
        </w:rPr>
        <w:t xml:space="preserve">PIK3CA </w:t>
      </w:r>
      <w:r>
        <w:t xml:space="preserve">alterations only: 110 (31.0%) in the </w:t>
      </w:r>
      <w:proofErr w:type="spellStart"/>
      <w:r>
        <w:t>capivasertib</w:t>
      </w:r>
      <w:proofErr w:type="spellEnd"/>
      <w:r>
        <w:t xml:space="preserve"> group and 92 (26.1%) in the placebo. The age range was 34-90; 52.2% of the population were Caucasian and 28.7% were </w:t>
      </w:r>
      <w:r>
        <w:rPr>
          <w:spacing w:val="-2"/>
        </w:rPr>
        <w:t>Asian.</w:t>
      </w:r>
    </w:p>
    <w:p w14:paraId="4E68C3C0" w14:textId="77777777" w:rsidR="009C4CA4" w:rsidRDefault="009C4CA4" w:rsidP="00BF4FB6">
      <w:r>
        <w:t>In</w:t>
      </w:r>
      <w:r>
        <w:rPr>
          <w:spacing w:val="-4"/>
        </w:rPr>
        <w:t xml:space="preserve"> </w:t>
      </w:r>
      <w:r>
        <w:t>both</w:t>
      </w:r>
      <w:r>
        <w:rPr>
          <w:spacing w:val="-2"/>
        </w:rPr>
        <w:t xml:space="preserve"> </w:t>
      </w:r>
      <w:r>
        <w:t>populations,</w:t>
      </w:r>
      <w:r>
        <w:rPr>
          <w:spacing w:val="-3"/>
        </w:rPr>
        <w:t xml:space="preserve"> </w:t>
      </w:r>
      <w:r>
        <w:t>there</w:t>
      </w:r>
      <w:r>
        <w:rPr>
          <w:spacing w:val="-5"/>
        </w:rPr>
        <w:t xml:space="preserve"> </w:t>
      </w:r>
      <w:r>
        <w:t>was</w:t>
      </w:r>
      <w:r>
        <w:rPr>
          <w:spacing w:val="-2"/>
        </w:rPr>
        <w:t xml:space="preserve"> </w:t>
      </w:r>
      <w:r>
        <w:t>a</w:t>
      </w:r>
      <w:r>
        <w:rPr>
          <w:spacing w:val="-3"/>
        </w:rPr>
        <w:t xml:space="preserve"> </w:t>
      </w:r>
      <w:r>
        <w:t>higher</w:t>
      </w:r>
      <w:r>
        <w:rPr>
          <w:spacing w:val="-3"/>
        </w:rPr>
        <w:t xml:space="preserve"> </w:t>
      </w:r>
      <w:r>
        <w:t>proportion</w:t>
      </w:r>
      <w:r>
        <w:rPr>
          <w:spacing w:val="-4"/>
        </w:rPr>
        <w:t xml:space="preserve"> </w:t>
      </w:r>
      <w:r>
        <w:t>of</w:t>
      </w:r>
      <w:r>
        <w:rPr>
          <w:spacing w:val="-3"/>
        </w:rPr>
        <w:t xml:space="preserve"> </w:t>
      </w:r>
      <w:r>
        <w:t>patients</w:t>
      </w:r>
      <w:r>
        <w:rPr>
          <w:spacing w:val="-2"/>
        </w:rPr>
        <w:t xml:space="preserve"> </w:t>
      </w:r>
      <w:r>
        <w:t>with</w:t>
      </w:r>
      <w:r>
        <w:rPr>
          <w:spacing w:val="-2"/>
        </w:rPr>
        <w:t xml:space="preserve"> </w:t>
      </w:r>
      <w:r>
        <w:t>ECOG</w:t>
      </w:r>
      <w:r>
        <w:rPr>
          <w:spacing w:val="-3"/>
        </w:rPr>
        <w:t xml:space="preserve"> </w:t>
      </w:r>
      <w:r>
        <w:t>PS</w:t>
      </w:r>
      <w:r>
        <w:rPr>
          <w:spacing w:val="-2"/>
        </w:rPr>
        <w:t xml:space="preserve"> </w:t>
      </w:r>
      <w:r>
        <w:t>1,</w:t>
      </w:r>
      <w:r>
        <w:rPr>
          <w:spacing w:val="-3"/>
        </w:rPr>
        <w:t xml:space="preserve"> </w:t>
      </w:r>
      <w:r>
        <w:t>and</w:t>
      </w:r>
      <w:r>
        <w:rPr>
          <w:spacing w:val="-3"/>
        </w:rPr>
        <w:t xml:space="preserve"> </w:t>
      </w:r>
      <w:r>
        <w:t xml:space="preserve">with diabetes in the </w:t>
      </w:r>
      <w:proofErr w:type="spellStart"/>
      <w:r>
        <w:t>capivasertib</w:t>
      </w:r>
      <w:proofErr w:type="spellEnd"/>
      <w:r>
        <w:t xml:space="preserve"> group compared to the control group.</w:t>
      </w:r>
    </w:p>
    <w:p w14:paraId="242A723F" w14:textId="77777777" w:rsidR="009C4CA4" w:rsidRDefault="009C4CA4" w:rsidP="00BF4FB6">
      <w:r>
        <w:t>In terms of prior treatments, all patients had received hormonal therapy, 496 (70.1%) had received</w:t>
      </w:r>
      <w:r>
        <w:rPr>
          <w:spacing w:val="-3"/>
        </w:rPr>
        <w:t xml:space="preserve"> </w:t>
      </w:r>
      <w:r>
        <w:t>CDK4/6</w:t>
      </w:r>
      <w:r>
        <w:rPr>
          <w:spacing w:val="-5"/>
        </w:rPr>
        <w:t xml:space="preserve"> </w:t>
      </w:r>
      <w:r>
        <w:t>inhibitors</w:t>
      </w:r>
      <w:r>
        <w:rPr>
          <w:spacing w:val="-2"/>
        </w:rPr>
        <w:t xml:space="preserve"> </w:t>
      </w:r>
      <w:r>
        <w:t>and</w:t>
      </w:r>
      <w:r>
        <w:rPr>
          <w:spacing w:val="-3"/>
        </w:rPr>
        <w:t xml:space="preserve"> </w:t>
      </w:r>
      <w:r>
        <w:t>422</w:t>
      </w:r>
      <w:r>
        <w:rPr>
          <w:spacing w:val="-3"/>
        </w:rPr>
        <w:t xml:space="preserve"> </w:t>
      </w:r>
      <w:r>
        <w:t>(59.6%)</w:t>
      </w:r>
      <w:r>
        <w:rPr>
          <w:spacing w:val="-6"/>
        </w:rPr>
        <w:t xml:space="preserve"> </w:t>
      </w:r>
      <w:r>
        <w:t>had</w:t>
      </w:r>
      <w:r>
        <w:rPr>
          <w:spacing w:val="-3"/>
        </w:rPr>
        <w:t xml:space="preserve"> </w:t>
      </w:r>
      <w:r>
        <w:t>received</w:t>
      </w:r>
      <w:r>
        <w:rPr>
          <w:spacing w:val="-3"/>
        </w:rPr>
        <w:t xml:space="preserve"> </w:t>
      </w:r>
      <w:r>
        <w:t>cytotoxic</w:t>
      </w:r>
      <w:r>
        <w:rPr>
          <w:spacing w:val="-2"/>
        </w:rPr>
        <w:t xml:space="preserve"> </w:t>
      </w:r>
      <w:r>
        <w:t>chemotherapy.</w:t>
      </w:r>
      <w:r>
        <w:rPr>
          <w:spacing w:val="-3"/>
        </w:rPr>
        <w:t xml:space="preserve"> </w:t>
      </w:r>
      <w:r>
        <w:t>Mastectomy had been performed for 25.6% patients and breast conserving surgery for 24.2%.</w:t>
      </w:r>
    </w:p>
    <w:p w14:paraId="066E26C7" w14:textId="795E9210" w:rsidR="009C4CA4" w:rsidRPr="00EC60A7" w:rsidRDefault="009C4CA4" w:rsidP="0068316A">
      <w:pPr>
        <w:pStyle w:val="Heading6"/>
      </w:pPr>
      <w:bookmarkStart w:id="54" w:name="Results:_dual_primary_endpoints:_PFS_per"/>
      <w:bookmarkEnd w:id="54"/>
      <w:r w:rsidRPr="00EC60A7">
        <w:t xml:space="preserve">Results: </w:t>
      </w:r>
      <w:r w:rsidRPr="0068316A">
        <w:t>dual</w:t>
      </w:r>
      <w:r w:rsidRPr="00EC60A7">
        <w:t xml:space="preserve"> primary endpoints: PFS per investigator</w:t>
      </w:r>
    </w:p>
    <w:p w14:paraId="02A51594" w14:textId="0A1ECE0A" w:rsidR="009C4CA4" w:rsidRDefault="009C4CA4" w:rsidP="00BF4FB6">
      <w:r>
        <w:t>In the overall population,</w:t>
      </w:r>
      <w:r>
        <w:rPr>
          <w:spacing w:val="-1"/>
        </w:rPr>
        <w:t xml:space="preserve"> </w:t>
      </w:r>
      <w:r>
        <w:t>median PFS per investigator was 7.2 months (97%</w:t>
      </w:r>
      <w:r>
        <w:rPr>
          <w:spacing w:val="-1"/>
        </w:rPr>
        <w:t xml:space="preserve"> </w:t>
      </w:r>
      <w:r>
        <w:t>CI: 5.5 to 7.4) in the</w:t>
      </w:r>
      <w:r>
        <w:rPr>
          <w:spacing w:val="-2"/>
        </w:rPr>
        <w:t xml:space="preserve"> </w:t>
      </w:r>
      <w:proofErr w:type="spellStart"/>
      <w:r>
        <w:t>capivasertib</w:t>
      </w:r>
      <w:proofErr w:type="spellEnd"/>
      <w:r>
        <w:rPr>
          <w:spacing w:val="-5"/>
        </w:rPr>
        <w:t xml:space="preserve"> </w:t>
      </w:r>
      <w:r>
        <w:t>group</w:t>
      </w:r>
      <w:r>
        <w:rPr>
          <w:spacing w:val="-2"/>
        </w:rPr>
        <w:t xml:space="preserve"> </w:t>
      </w:r>
      <w:r>
        <w:t>and</w:t>
      </w:r>
      <w:r>
        <w:rPr>
          <w:spacing w:val="-2"/>
        </w:rPr>
        <w:t xml:space="preserve"> </w:t>
      </w:r>
      <w:r>
        <w:t>3.6</w:t>
      </w:r>
      <w:r>
        <w:rPr>
          <w:spacing w:val="-1"/>
        </w:rPr>
        <w:t xml:space="preserve"> </w:t>
      </w:r>
      <w:r>
        <w:t>months</w:t>
      </w:r>
      <w:r>
        <w:rPr>
          <w:spacing w:val="-1"/>
        </w:rPr>
        <w:t xml:space="preserve"> </w:t>
      </w:r>
      <w:r>
        <w:t>(95%</w:t>
      </w:r>
      <w:r>
        <w:rPr>
          <w:spacing w:val="-2"/>
        </w:rPr>
        <w:t xml:space="preserve"> </w:t>
      </w:r>
      <w:r>
        <w:t>CI:</w:t>
      </w:r>
      <w:r>
        <w:rPr>
          <w:spacing w:val="-3"/>
        </w:rPr>
        <w:t xml:space="preserve"> </w:t>
      </w:r>
      <w:r>
        <w:t>2.8</w:t>
      </w:r>
      <w:r>
        <w:rPr>
          <w:spacing w:val="-4"/>
        </w:rPr>
        <w:t xml:space="preserve"> </w:t>
      </w:r>
      <w:r>
        <w:t>to</w:t>
      </w:r>
      <w:r>
        <w:rPr>
          <w:spacing w:val="-2"/>
        </w:rPr>
        <w:t xml:space="preserve"> </w:t>
      </w:r>
      <w:r>
        <w:t>3.7)</w:t>
      </w:r>
      <w:r>
        <w:rPr>
          <w:spacing w:val="-2"/>
        </w:rPr>
        <w:t xml:space="preserve"> </w:t>
      </w:r>
      <w:r>
        <w:t>in</w:t>
      </w:r>
      <w:r>
        <w:rPr>
          <w:spacing w:val="-3"/>
        </w:rPr>
        <w:t xml:space="preserve"> </w:t>
      </w:r>
      <w:r>
        <w:t>the</w:t>
      </w:r>
      <w:r>
        <w:rPr>
          <w:spacing w:val="-2"/>
        </w:rPr>
        <w:t xml:space="preserve"> </w:t>
      </w:r>
      <w:r>
        <w:t>placebo,</w:t>
      </w:r>
      <w:r>
        <w:rPr>
          <w:spacing w:val="-2"/>
        </w:rPr>
        <w:t xml:space="preserve"> </w:t>
      </w:r>
      <w:r>
        <w:t>HR</w:t>
      </w:r>
      <w:r>
        <w:rPr>
          <w:spacing w:val="-2"/>
        </w:rPr>
        <w:t xml:space="preserve"> </w:t>
      </w:r>
      <w:r>
        <w:t>=</w:t>
      </w:r>
      <w:r>
        <w:rPr>
          <w:spacing w:val="-1"/>
        </w:rPr>
        <w:t xml:space="preserve"> </w:t>
      </w:r>
      <w:r>
        <w:t>0.60</w:t>
      </w:r>
      <w:r>
        <w:rPr>
          <w:spacing w:val="-2"/>
        </w:rPr>
        <w:t xml:space="preserve"> </w:t>
      </w:r>
      <w:r>
        <w:t>(95%</w:t>
      </w:r>
      <w:r>
        <w:rPr>
          <w:spacing w:val="-2"/>
        </w:rPr>
        <w:t xml:space="preserve"> </w:t>
      </w:r>
      <w:r>
        <w:t>CI:</w:t>
      </w:r>
      <w:r w:rsidR="00D1645D">
        <w:t xml:space="preserve"> </w:t>
      </w:r>
      <w:r>
        <w:t>0.51</w:t>
      </w:r>
      <w:r>
        <w:rPr>
          <w:spacing w:val="-6"/>
        </w:rPr>
        <w:t xml:space="preserve"> </w:t>
      </w:r>
      <w:r>
        <w:t>to</w:t>
      </w:r>
      <w:r>
        <w:rPr>
          <w:spacing w:val="-3"/>
        </w:rPr>
        <w:t xml:space="preserve"> </w:t>
      </w:r>
      <w:r>
        <w:t>0.71),</w:t>
      </w:r>
      <w:r>
        <w:rPr>
          <w:spacing w:val="-3"/>
        </w:rPr>
        <w:t xml:space="preserve"> </w:t>
      </w:r>
      <w:r>
        <w:t>p</w:t>
      </w:r>
      <w:r>
        <w:rPr>
          <w:spacing w:val="-3"/>
        </w:rPr>
        <w:t xml:space="preserve"> </w:t>
      </w:r>
      <w:r>
        <w:t>&lt;0.001.</w:t>
      </w:r>
      <w:r>
        <w:rPr>
          <w:spacing w:val="-5"/>
        </w:rPr>
        <w:t xml:space="preserve"> </w:t>
      </w:r>
      <w:r>
        <w:t>The</w:t>
      </w:r>
      <w:r>
        <w:rPr>
          <w:spacing w:val="-3"/>
        </w:rPr>
        <w:t xml:space="preserve"> </w:t>
      </w:r>
      <w:r>
        <w:t>Kaplan-Meier</w:t>
      </w:r>
      <w:r>
        <w:rPr>
          <w:spacing w:val="-5"/>
        </w:rPr>
        <w:t xml:space="preserve"> </w:t>
      </w:r>
      <w:r>
        <w:t>curve</w:t>
      </w:r>
      <w:r>
        <w:rPr>
          <w:spacing w:val="-4"/>
        </w:rPr>
        <w:t xml:space="preserve"> </w:t>
      </w:r>
      <w:r>
        <w:t>is</w:t>
      </w:r>
      <w:r>
        <w:rPr>
          <w:spacing w:val="-4"/>
        </w:rPr>
        <w:t xml:space="preserve"> </w:t>
      </w:r>
      <w:r>
        <w:t>shown</w:t>
      </w:r>
      <w:r>
        <w:rPr>
          <w:spacing w:val="-4"/>
        </w:rPr>
        <w:t xml:space="preserve"> </w:t>
      </w:r>
      <w:r w:rsidR="00BF4FB6">
        <w:t>in Figure 2.</w:t>
      </w:r>
    </w:p>
    <w:p w14:paraId="64F76A41" w14:textId="4F6E0FBC" w:rsidR="009C4CA4" w:rsidRPr="0068316A" w:rsidRDefault="009C4CA4" w:rsidP="0068316A">
      <w:pPr>
        <w:pStyle w:val="FigureTitle"/>
      </w:pPr>
      <w:r>
        <w:lastRenderedPageBreak/>
        <w:t>Figure</w:t>
      </w:r>
      <w:r>
        <w:rPr>
          <w:spacing w:val="-7"/>
        </w:rPr>
        <w:t xml:space="preserve"> </w:t>
      </w:r>
      <w:r>
        <w:t>2:</w:t>
      </w:r>
      <w:r>
        <w:rPr>
          <w:spacing w:val="-7"/>
        </w:rPr>
        <w:t xml:space="preserve"> </w:t>
      </w:r>
      <w:r>
        <w:t>CAPItello-291:</w:t>
      </w:r>
      <w:r>
        <w:rPr>
          <w:spacing w:val="-6"/>
        </w:rPr>
        <w:t xml:space="preserve"> </w:t>
      </w:r>
      <w:r>
        <w:t>Kaplan-Meier</w:t>
      </w:r>
      <w:r>
        <w:rPr>
          <w:spacing w:val="-7"/>
        </w:rPr>
        <w:t xml:space="preserve"> </w:t>
      </w:r>
      <w:r>
        <w:t>curve</w:t>
      </w:r>
      <w:r>
        <w:rPr>
          <w:spacing w:val="-6"/>
        </w:rPr>
        <w:t xml:space="preserve"> </w:t>
      </w:r>
      <w:r>
        <w:t>of</w:t>
      </w:r>
      <w:r>
        <w:rPr>
          <w:spacing w:val="-6"/>
        </w:rPr>
        <w:t xml:space="preserve"> </w:t>
      </w:r>
      <w:r>
        <w:t>PFS</w:t>
      </w:r>
      <w:r>
        <w:rPr>
          <w:spacing w:val="-8"/>
        </w:rPr>
        <w:t xml:space="preserve"> </w:t>
      </w:r>
      <w:r>
        <w:t>in</w:t>
      </w:r>
      <w:r>
        <w:rPr>
          <w:spacing w:val="-7"/>
        </w:rPr>
        <w:t xml:space="preserve"> </w:t>
      </w:r>
      <w:r>
        <w:t>the</w:t>
      </w:r>
      <w:r>
        <w:rPr>
          <w:spacing w:val="-6"/>
        </w:rPr>
        <w:t xml:space="preserve"> </w:t>
      </w:r>
      <w:r>
        <w:t>overall</w:t>
      </w:r>
      <w:r>
        <w:rPr>
          <w:spacing w:val="-8"/>
        </w:rPr>
        <w:t xml:space="preserve"> </w:t>
      </w:r>
      <w:r>
        <w:rPr>
          <w:spacing w:val="-2"/>
        </w:rPr>
        <w:t>population</w:t>
      </w:r>
    </w:p>
    <w:p w14:paraId="02B4296B" w14:textId="77777777" w:rsidR="009C4CA4" w:rsidRDefault="009C4CA4" w:rsidP="0068316A">
      <w:r>
        <w:rPr>
          <w:noProof/>
        </w:rPr>
        <w:drawing>
          <wp:inline distT="0" distB="0" distL="0" distR="0" wp14:anchorId="6FBCBFC9" wp14:editId="30C30EB8">
            <wp:extent cx="5590715" cy="3593306"/>
            <wp:effectExtent l="0" t="0" r="0" b="0"/>
            <wp:docPr id="16" name="Image 16" descr="Kaplan-Meier curve illustrating progression-free survival (PFS) in the overall population of the CAPItello-291 study, with survival probability on the y-axis and time in months on the x-axis. The curve shows the comparison between different treatment grou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Kaplan-Meier curve illustrating progression-free survival (PFS) in the overall population of the CAPItello-291 study, with survival probability on the y-axis and time in months on the x-axis. The curve shows the comparison between different treatment groups."/>
                    <pic:cNvPicPr/>
                  </pic:nvPicPr>
                  <pic:blipFill>
                    <a:blip r:embed="rId28" cstate="print"/>
                    <a:stretch>
                      <a:fillRect/>
                    </a:stretch>
                  </pic:blipFill>
                  <pic:spPr>
                    <a:xfrm>
                      <a:off x="0" y="0"/>
                      <a:ext cx="5590715" cy="3593306"/>
                    </a:xfrm>
                    <a:prstGeom prst="rect">
                      <a:avLst/>
                    </a:prstGeom>
                  </pic:spPr>
                </pic:pic>
              </a:graphicData>
            </a:graphic>
          </wp:inline>
        </w:drawing>
      </w:r>
    </w:p>
    <w:p w14:paraId="40AF2D0F" w14:textId="2F498921" w:rsidR="009C4CA4" w:rsidRDefault="009C4CA4" w:rsidP="0068316A">
      <w:r>
        <w:t>In</w:t>
      </w:r>
      <w:r>
        <w:rPr>
          <w:spacing w:val="-3"/>
        </w:rPr>
        <w:t xml:space="preserve"> </w:t>
      </w:r>
      <w:r>
        <w:t>the</w:t>
      </w:r>
      <w:r>
        <w:rPr>
          <w:spacing w:val="-2"/>
        </w:rPr>
        <w:t xml:space="preserve"> </w:t>
      </w:r>
      <w:r>
        <w:t>altered</w:t>
      </w:r>
      <w:r>
        <w:rPr>
          <w:spacing w:val="-2"/>
        </w:rPr>
        <w:t xml:space="preserve"> </w:t>
      </w:r>
      <w:r>
        <w:t>population,</w:t>
      </w:r>
      <w:r>
        <w:rPr>
          <w:spacing w:val="-4"/>
        </w:rPr>
        <w:t xml:space="preserve"> </w:t>
      </w:r>
      <w:r>
        <w:t>median</w:t>
      </w:r>
      <w:r>
        <w:rPr>
          <w:spacing w:val="-3"/>
        </w:rPr>
        <w:t xml:space="preserve"> </w:t>
      </w:r>
      <w:r>
        <w:t>PFS</w:t>
      </w:r>
      <w:r>
        <w:rPr>
          <w:spacing w:val="-1"/>
        </w:rPr>
        <w:t xml:space="preserve"> </w:t>
      </w:r>
      <w:r>
        <w:t>was</w:t>
      </w:r>
      <w:r>
        <w:rPr>
          <w:spacing w:val="-1"/>
        </w:rPr>
        <w:t xml:space="preserve"> </w:t>
      </w:r>
      <w:r>
        <w:t>7.3</w:t>
      </w:r>
      <w:r>
        <w:rPr>
          <w:spacing w:val="-4"/>
        </w:rPr>
        <w:t xml:space="preserve"> </w:t>
      </w:r>
      <w:r>
        <w:t>months</w:t>
      </w:r>
      <w:r>
        <w:rPr>
          <w:spacing w:val="-1"/>
        </w:rPr>
        <w:t xml:space="preserve"> </w:t>
      </w:r>
      <w:r>
        <w:t>(95%</w:t>
      </w:r>
      <w:r>
        <w:rPr>
          <w:spacing w:val="-2"/>
        </w:rPr>
        <w:t xml:space="preserve"> </w:t>
      </w:r>
      <w:r>
        <w:t>CI:</w:t>
      </w:r>
      <w:r>
        <w:rPr>
          <w:spacing w:val="-3"/>
        </w:rPr>
        <w:t xml:space="preserve"> </w:t>
      </w:r>
      <w:r>
        <w:t>5.5</w:t>
      </w:r>
      <w:r>
        <w:rPr>
          <w:spacing w:val="-2"/>
        </w:rPr>
        <w:t xml:space="preserve"> </w:t>
      </w:r>
      <w:r>
        <w:t>to</w:t>
      </w:r>
      <w:r>
        <w:rPr>
          <w:spacing w:val="-2"/>
        </w:rPr>
        <w:t xml:space="preserve"> </w:t>
      </w:r>
      <w:r>
        <w:t>9.0)</w:t>
      </w:r>
      <w:r>
        <w:rPr>
          <w:spacing w:val="-5"/>
        </w:rPr>
        <w:t xml:space="preserve"> </w:t>
      </w:r>
      <w:r>
        <w:t>in</w:t>
      </w:r>
      <w:r>
        <w:rPr>
          <w:spacing w:val="-3"/>
        </w:rPr>
        <w:t xml:space="preserve"> </w:t>
      </w:r>
      <w:r>
        <w:t>the</w:t>
      </w:r>
      <w:r>
        <w:rPr>
          <w:spacing w:val="-2"/>
        </w:rPr>
        <w:t xml:space="preserve"> </w:t>
      </w:r>
      <w:proofErr w:type="spellStart"/>
      <w:r>
        <w:t>capivasertib</w:t>
      </w:r>
      <w:proofErr w:type="spellEnd"/>
      <w:r>
        <w:t xml:space="preserve"> group and 3.1 months (95% CI: 2.0 to 3.7) in the placebo, HR = 0.50 (95% CI:</w:t>
      </w:r>
      <w:r>
        <w:rPr>
          <w:spacing w:val="-1"/>
        </w:rPr>
        <w:t xml:space="preserve"> </w:t>
      </w:r>
      <w:r>
        <w:t>0.38 to 0.65), p&lt;0.001.</w:t>
      </w:r>
      <w:r>
        <w:rPr>
          <w:spacing w:val="-6"/>
        </w:rPr>
        <w:t xml:space="preserve"> </w:t>
      </w:r>
      <w:r>
        <w:t>The</w:t>
      </w:r>
      <w:r>
        <w:rPr>
          <w:spacing w:val="-3"/>
        </w:rPr>
        <w:t xml:space="preserve"> </w:t>
      </w:r>
      <w:r>
        <w:t>K-M</w:t>
      </w:r>
      <w:r>
        <w:rPr>
          <w:spacing w:val="-3"/>
        </w:rPr>
        <w:t xml:space="preserve"> </w:t>
      </w:r>
      <w:r>
        <w:t>curve</w:t>
      </w:r>
      <w:r>
        <w:rPr>
          <w:spacing w:val="-3"/>
        </w:rPr>
        <w:t xml:space="preserve"> </w:t>
      </w:r>
      <w:r>
        <w:t>is</w:t>
      </w:r>
      <w:r>
        <w:rPr>
          <w:spacing w:val="-3"/>
        </w:rPr>
        <w:t xml:space="preserve"> </w:t>
      </w:r>
      <w:r>
        <w:t>shown</w:t>
      </w:r>
      <w:r>
        <w:rPr>
          <w:spacing w:val="-4"/>
        </w:rPr>
        <w:t xml:space="preserve"> </w:t>
      </w:r>
      <w:r w:rsidR="00BF4FB6">
        <w:t>in Figure 3.</w:t>
      </w:r>
    </w:p>
    <w:p w14:paraId="1B606C4C" w14:textId="63D1B2C5" w:rsidR="009C4CA4" w:rsidRDefault="009C4CA4" w:rsidP="0068316A">
      <w:pPr>
        <w:pStyle w:val="FigureTitle"/>
      </w:pPr>
      <w:r>
        <w:t>Figure</w:t>
      </w:r>
      <w:r>
        <w:rPr>
          <w:spacing w:val="-7"/>
        </w:rPr>
        <w:t xml:space="preserve"> </w:t>
      </w:r>
      <w:r>
        <w:t>3:</w:t>
      </w:r>
      <w:r>
        <w:rPr>
          <w:spacing w:val="-7"/>
        </w:rPr>
        <w:t xml:space="preserve"> </w:t>
      </w:r>
      <w:r>
        <w:t>CAPItello-291:</w:t>
      </w:r>
      <w:r>
        <w:rPr>
          <w:spacing w:val="-7"/>
        </w:rPr>
        <w:t xml:space="preserve"> </w:t>
      </w:r>
      <w:r>
        <w:t>Kaplan-Meier</w:t>
      </w:r>
      <w:r>
        <w:rPr>
          <w:spacing w:val="-7"/>
        </w:rPr>
        <w:t xml:space="preserve"> </w:t>
      </w:r>
      <w:r>
        <w:t>curve</w:t>
      </w:r>
      <w:r>
        <w:rPr>
          <w:spacing w:val="-6"/>
        </w:rPr>
        <w:t xml:space="preserve"> </w:t>
      </w:r>
      <w:r>
        <w:t>of</w:t>
      </w:r>
      <w:r>
        <w:rPr>
          <w:spacing w:val="-7"/>
        </w:rPr>
        <w:t xml:space="preserve"> </w:t>
      </w:r>
      <w:r>
        <w:t>PFS</w:t>
      </w:r>
      <w:r>
        <w:rPr>
          <w:spacing w:val="-8"/>
        </w:rPr>
        <w:t xml:space="preserve"> </w:t>
      </w:r>
      <w:r>
        <w:t>in</w:t>
      </w:r>
      <w:r>
        <w:rPr>
          <w:spacing w:val="-8"/>
        </w:rPr>
        <w:t xml:space="preserve"> </w:t>
      </w:r>
      <w:r w:rsidRPr="0068316A">
        <w:t>altered</w:t>
      </w:r>
      <w:r>
        <w:rPr>
          <w:spacing w:val="-7"/>
        </w:rPr>
        <w:t xml:space="preserve"> </w:t>
      </w:r>
      <w:r>
        <w:rPr>
          <w:spacing w:val="-2"/>
        </w:rPr>
        <w:t>population</w:t>
      </w:r>
    </w:p>
    <w:p w14:paraId="5D275CE6" w14:textId="77777777" w:rsidR="009C4CA4" w:rsidRDefault="009C4CA4" w:rsidP="0068316A">
      <w:pPr>
        <w:rPr>
          <w:sz w:val="8"/>
        </w:rPr>
      </w:pPr>
      <w:r>
        <w:rPr>
          <w:noProof/>
        </w:rPr>
        <w:drawing>
          <wp:inline distT="0" distB="0" distL="0" distR="0" wp14:anchorId="713EC81D" wp14:editId="34F73F02">
            <wp:extent cx="5558196" cy="3371850"/>
            <wp:effectExtent l="0" t="0" r="4445" b="0"/>
            <wp:docPr id="17" name="Image 17" descr="Kaplan-Meier curve depicting progression-free survival (PFS) in the altered population of the CAPItello-291 study. The graph shows survival probability on the y-axis and time in months on the x-axis, comparing different treatment grou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Kaplan-Meier curve depicting progression-free survival (PFS) in the altered population of the CAPItello-291 study. The graph shows survival probability on the y-axis and time in months on the x-axis, comparing different treatment group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58196" cy="3371850"/>
                    </a:xfrm>
                    <a:prstGeom prst="rect">
                      <a:avLst/>
                    </a:prstGeom>
                  </pic:spPr>
                </pic:pic>
              </a:graphicData>
            </a:graphic>
          </wp:inline>
        </w:drawing>
      </w:r>
    </w:p>
    <w:p w14:paraId="5B7E36D3" w14:textId="0C38F8C9" w:rsidR="009C4CA4" w:rsidRPr="0068316A" w:rsidRDefault="009C4CA4" w:rsidP="0068316A">
      <w:pPr>
        <w:pStyle w:val="Heading7"/>
      </w:pPr>
      <w:bookmarkStart w:id="55" w:name="Sensitivity_analyses"/>
      <w:bookmarkEnd w:id="55"/>
      <w:r w:rsidRPr="00CF293E">
        <w:t>Sensitivity</w:t>
      </w:r>
      <w:r w:rsidRPr="00CF293E">
        <w:rPr>
          <w:spacing w:val="-7"/>
        </w:rPr>
        <w:t xml:space="preserve"> </w:t>
      </w:r>
      <w:r w:rsidRPr="00CF293E">
        <w:rPr>
          <w:spacing w:val="-2"/>
        </w:rPr>
        <w:t>analyses</w:t>
      </w:r>
    </w:p>
    <w:p w14:paraId="140A1598" w14:textId="77777777" w:rsidR="009C4CA4" w:rsidRDefault="009C4CA4" w:rsidP="0068316A">
      <w:r>
        <w:t>A</w:t>
      </w:r>
      <w:r>
        <w:rPr>
          <w:spacing w:val="-3"/>
        </w:rPr>
        <w:t xml:space="preserve"> </w:t>
      </w:r>
      <w:r>
        <w:t>sensitivity</w:t>
      </w:r>
      <w:r>
        <w:rPr>
          <w:spacing w:val="-3"/>
        </w:rPr>
        <w:t xml:space="preserve"> </w:t>
      </w:r>
      <w:r>
        <w:t>analysis</w:t>
      </w:r>
      <w:r>
        <w:rPr>
          <w:spacing w:val="-1"/>
        </w:rPr>
        <w:t xml:space="preserve"> </w:t>
      </w:r>
      <w:r>
        <w:t>of</w:t>
      </w:r>
      <w:r>
        <w:rPr>
          <w:spacing w:val="-2"/>
        </w:rPr>
        <w:t xml:space="preserve"> </w:t>
      </w:r>
      <w:r>
        <w:t>PFS</w:t>
      </w:r>
      <w:r>
        <w:rPr>
          <w:spacing w:val="-1"/>
        </w:rPr>
        <w:t xml:space="preserve"> </w:t>
      </w:r>
      <w:r>
        <w:t>per</w:t>
      </w:r>
      <w:r>
        <w:rPr>
          <w:spacing w:val="-2"/>
        </w:rPr>
        <w:t xml:space="preserve"> </w:t>
      </w:r>
      <w:r>
        <w:t>BICR</w:t>
      </w:r>
      <w:r>
        <w:rPr>
          <w:spacing w:val="-2"/>
        </w:rPr>
        <w:t xml:space="preserve"> </w:t>
      </w:r>
      <w:r>
        <w:t>showed</w:t>
      </w:r>
      <w:r>
        <w:rPr>
          <w:spacing w:val="-2"/>
        </w:rPr>
        <w:t xml:space="preserve"> </w:t>
      </w:r>
      <w:r>
        <w:t>consistent</w:t>
      </w:r>
      <w:r>
        <w:rPr>
          <w:spacing w:val="-2"/>
        </w:rPr>
        <w:t xml:space="preserve"> </w:t>
      </w:r>
      <w:r>
        <w:t>results</w:t>
      </w:r>
      <w:r>
        <w:rPr>
          <w:spacing w:val="-1"/>
        </w:rPr>
        <w:t xml:space="preserve"> </w:t>
      </w:r>
      <w:r>
        <w:t>in</w:t>
      </w:r>
      <w:r>
        <w:rPr>
          <w:spacing w:val="-3"/>
        </w:rPr>
        <w:t xml:space="preserve"> </w:t>
      </w:r>
      <w:r>
        <w:t>the</w:t>
      </w:r>
      <w:r>
        <w:rPr>
          <w:spacing w:val="-2"/>
        </w:rPr>
        <w:t xml:space="preserve"> </w:t>
      </w:r>
      <w:r>
        <w:t>overall</w:t>
      </w:r>
      <w:r>
        <w:rPr>
          <w:spacing w:val="-4"/>
        </w:rPr>
        <w:t xml:space="preserve"> </w:t>
      </w:r>
      <w:r>
        <w:t>(HR=0.61</w:t>
      </w:r>
      <w:r>
        <w:rPr>
          <w:spacing w:val="-2"/>
        </w:rPr>
        <w:t xml:space="preserve"> </w:t>
      </w:r>
      <w:r>
        <w:t>(95%</w:t>
      </w:r>
      <w:r>
        <w:rPr>
          <w:spacing w:val="-2"/>
        </w:rPr>
        <w:t xml:space="preserve"> </w:t>
      </w:r>
      <w:r>
        <w:t>CI 0.50-0.73), p&lt;0.001) and altered (HR=0.51 (95% CI 0.38-0.68), p&lt;0.001) populations.</w:t>
      </w:r>
    </w:p>
    <w:p w14:paraId="1710451E" w14:textId="7060974B" w:rsidR="009C4CA4" w:rsidRDefault="009C4CA4" w:rsidP="00BF4FB6">
      <w:r>
        <w:lastRenderedPageBreak/>
        <w:t xml:space="preserve">In a question to the sponsor, </w:t>
      </w:r>
      <w:proofErr w:type="spellStart"/>
      <w:r>
        <w:t>SwissMedic</w:t>
      </w:r>
      <w:proofErr w:type="spellEnd"/>
      <w:r>
        <w:t xml:space="preserve"> noted that “</w:t>
      </w:r>
      <w:proofErr w:type="spellStart"/>
      <w:r>
        <w:t>mPFS</w:t>
      </w:r>
      <w:proofErr w:type="spellEnd"/>
      <w:r>
        <w:t xml:space="preserve"> by BICR in the known non-altered population</w:t>
      </w:r>
      <w:r>
        <w:rPr>
          <w:spacing w:val="-4"/>
        </w:rPr>
        <w:t xml:space="preserve"> </w:t>
      </w:r>
      <w:r>
        <w:t>was</w:t>
      </w:r>
      <w:r>
        <w:rPr>
          <w:spacing w:val="-4"/>
        </w:rPr>
        <w:t xml:space="preserve"> </w:t>
      </w:r>
      <w:r>
        <w:t>3.9</w:t>
      </w:r>
      <w:r>
        <w:rPr>
          <w:spacing w:val="-3"/>
        </w:rPr>
        <w:t xml:space="preserve"> </w:t>
      </w:r>
      <w:r>
        <w:t>months</w:t>
      </w:r>
      <w:r>
        <w:rPr>
          <w:spacing w:val="-2"/>
        </w:rPr>
        <w:t xml:space="preserve"> </w:t>
      </w:r>
      <w:r>
        <w:t>in</w:t>
      </w:r>
      <w:r>
        <w:rPr>
          <w:spacing w:val="-4"/>
        </w:rPr>
        <w:t xml:space="preserve"> </w:t>
      </w:r>
      <w:r>
        <w:t>the</w:t>
      </w:r>
      <w:r>
        <w:rPr>
          <w:spacing w:val="-5"/>
        </w:rPr>
        <w:t xml:space="preserve"> </w:t>
      </w:r>
      <w:proofErr w:type="spellStart"/>
      <w:r>
        <w:t>capivasertib</w:t>
      </w:r>
      <w:proofErr w:type="spellEnd"/>
      <w:r>
        <w:rPr>
          <w:spacing w:val="-4"/>
        </w:rPr>
        <w:t xml:space="preserve"> </w:t>
      </w:r>
      <w:r>
        <w:t>containing</w:t>
      </w:r>
      <w:r>
        <w:rPr>
          <w:spacing w:val="-1"/>
        </w:rPr>
        <w:t xml:space="preserve"> </w:t>
      </w:r>
      <w:r>
        <w:t>arm</w:t>
      </w:r>
      <w:r>
        <w:rPr>
          <w:spacing w:val="-2"/>
        </w:rPr>
        <w:t xml:space="preserve"> </w:t>
      </w:r>
      <w:r>
        <w:t>versus</w:t>
      </w:r>
      <w:r>
        <w:rPr>
          <w:spacing w:val="-2"/>
        </w:rPr>
        <w:t xml:space="preserve"> </w:t>
      </w:r>
      <w:r>
        <w:t>3.7</w:t>
      </w:r>
      <w:r>
        <w:rPr>
          <w:spacing w:val="-5"/>
        </w:rPr>
        <w:t xml:space="preserve"> </w:t>
      </w:r>
      <w:r>
        <w:t>months</w:t>
      </w:r>
      <w:r>
        <w:rPr>
          <w:spacing w:val="-2"/>
        </w:rPr>
        <w:t xml:space="preserve"> </w:t>
      </w:r>
      <w:r>
        <w:t>in</w:t>
      </w:r>
      <w:r>
        <w:rPr>
          <w:spacing w:val="-4"/>
        </w:rPr>
        <w:t xml:space="preserve"> </w:t>
      </w:r>
      <w:r>
        <w:t>the</w:t>
      </w:r>
      <w:r>
        <w:rPr>
          <w:spacing w:val="-3"/>
        </w:rPr>
        <w:t xml:space="preserve"> </w:t>
      </w:r>
      <w:r>
        <w:t>control arm,</w:t>
      </w:r>
      <w:r>
        <w:rPr>
          <w:spacing w:val="-3"/>
        </w:rPr>
        <w:t xml:space="preserve"> </w:t>
      </w:r>
      <w:r>
        <w:t>HR</w:t>
      </w:r>
      <w:r>
        <w:rPr>
          <w:spacing w:val="-3"/>
        </w:rPr>
        <w:t xml:space="preserve"> </w:t>
      </w:r>
      <w:r>
        <w:t>=</w:t>
      </w:r>
      <w:r>
        <w:rPr>
          <w:spacing w:val="-3"/>
        </w:rPr>
        <w:t xml:space="preserve"> </w:t>
      </w:r>
      <w:r>
        <w:t>0.81</w:t>
      </w:r>
      <w:r>
        <w:rPr>
          <w:spacing w:val="-3"/>
        </w:rPr>
        <w:t xml:space="preserve"> </w:t>
      </w:r>
      <w:r>
        <w:t>(95%</w:t>
      </w:r>
      <w:r>
        <w:rPr>
          <w:spacing w:val="-3"/>
        </w:rPr>
        <w:t xml:space="preserve"> </w:t>
      </w:r>
      <w:r>
        <w:t>CI</w:t>
      </w:r>
      <w:r>
        <w:rPr>
          <w:spacing w:val="-3"/>
        </w:rPr>
        <w:t xml:space="preserve"> </w:t>
      </w:r>
      <w:r>
        <w:t>0.61-1.06)</w:t>
      </w:r>
      <w:r>
        <w:rPr>
          <w:spacing w:val="-3"/>
        </w:rPr>
        <w:t xml:space="preserve"> </w:t>
      </w:r>
      <w:r>
        <w:t>(according</w:t>
      </w:r>
      <w:r>
        <w:rPr>
          <w:spacing w:val="-2"/>
        </w:rPr>
        <w:t xml:space="preserve"> </w:t>
      </w:r>
      <w:r>
        <w:t>to</w:t>
      </w:r>
      <w:r>
        <w:rPr>
          <w:spacing w:val="-3"/>
        </w:rPr>
        <w:t xml:space="preserve"> </w:t>
      </w:r>
      <w:r>
        <w:t>FDA’s</w:t>
      </w:r>
      <w:r>
        <w:rPr>
          <w:spacing w:val="-2"/>
        </w:rPr>
        <w:t xml:space="preserve"> </w:t>
      </w:r>
      <w:r>
        <w:t>analyses)</w:t>
      </w:r>
      <w:r w:rsidR="00154462">
        <w:t>”</w:t>
      </w:r>
      <w:r>
        <w:t>.</w:t>
      </w:r>
      <w:r>
        <w:rPr>
          <w:spacing w:val="-3"/>
        </w:rPr>
        <w:t xml:space="preserve"> </w:t>
      </w:r>
      <w:r>
        <w:t>This</w:t>
      </w:r>
      <w:r>
        <w:rPr>
          <w:spacing w:val="-2"/>
        </w:rPr>
        <w:t xml:space="preserve"> </w:t>
      </w:r>
      <w:r>
        <w:t>suggests</w:t>
      </w:r>
      <w:r>
        <w:rPr>
          <w:spacing w:val="-2"/>
        </w:rPr>
        <w:t xml:space="preserve"> </w:t>
      </w:r>
      <w:r>
        <w:t>that</w:t>
      </w:r>
      <w:r>
        <w:rPr>
          <w:spacing w:val="-3"/>
        </w:rPr>
        <w:t xml:space="preserve"> </w:t>
      </w:r>
      <w:r>
        <w:t>there</w:t>
      </w:r>
      <w:r>
        <w:rPr>
          <w:spacing w:val="-3"/>
        </w:rPr>
        <w:t xml:space="preserve"> </w:t>
      </w:r>
      <w:r>
        <w:t>is</w:t>
      </w:r>
      <w:r>
        <w:rPr>
          <w:spacing w:val="-2"/>
        </w:rPr>
        <w:t xml:space="preserve"> </w:t>
      </w:r>
      <w:r>
        <w:t>no meaningful benefit for this patient group. The sponsor responded:</w:t>
      </w:r>
    </w:p>
    <w:p w14:paraId="663859A0" w14:textId="77777777" w:rsidR="009C4CA4" w:rsidRDefault="009C4CA4" w:rsidP="00BF4FB6">
      <w:pPr>
        <w:ind w:left="720"/>
      </w:pPr>
      <w:r>
        <w:t>The</w:t>
      </w:r>
      <w:r>
        <w:rPr>
          <w:spacing w:val="-3"/>
        </w:rPr>
        <w:t xml:space="preserve"> </w:t>
      </w:r>
      <w:r>
        <w:t>Applicant</w:t>
      </w:r>
      <w:r>
        <w:rPr>
          <w:spacing w:val="-3"/>
        </w:rPr>
        <w:t xml:space="preserve"> </w:t>
      </w:r>
      <w:r>
        <w:t>considers</w:t>
      </w:r>
      <w:r>
        <w:rPr>
          <w:spacing w:val="-2"/>
        </w:rPr>
        <w:t xml:space="preserve"> </w:t>
      </w:r>
      <w:r>
        <w:t>the</w:t>
      </w:r>
      <w:r>
        <w:rPr>
          <w:spacing w:val="-3"/>
        </w:rPr>
        <w:t xml:space="preserve"> </w:t>
      </w:r>
      <w:r>
        <w:t>benefit-risk</w:t>
      </w:r>
      <w:r>
        <w:rPr>
          <w:spacing w:val="-4"/>
        </w:rPr>
        <w:t xml:space="preserve"> </w:t>
      </w:r>
      <w:r>
        <w:t>ratio</w:t>
      </w:r>
      <w:r>
        <w:rPr>
          <w:spacing w:val="-3"/>
        </w:rPr>
        <w:t xml:space="preserve"> </w:t>
      </w:r>
      <w:r>
        <w:t>to</w:t>
      </w:r>
      <w:r>
        <w:rPr>
          <w:spacing w:val="-3"/>
        </w:rPr>
        <w:t xml:space="preserve"> </w:t>
      </w:r>
      <w:r>
        <w:t>be</w:t>
      </w:r>
      <w:r>
        <w:rPr>
          <w:spacing w:val="-5"/>
        </w:rPr>
        <w:t xml:space="preserve"> </w:t>
      </w:r>
      <w:r>
        <w:t>positive</w:t>
      </w:r>
      <w:r>
        <w:rPr>
          <w:spacing w:val="-3"/>
        </w:rPr>
        <w:t xml:space="preserve"> </w:t>
      </w:r>
      <w:r>
        <w:t>irrespective</w:t>
      </w:r>
      <w:r>
        <w:rPr>
          <w:spacing w:val="-3"/>
        </w:rPr>
        <w:t xml:space="preserve"> </w:t>
      </w:r>
      <w:r>
        <w:t>of</w:t>
      </w:r>
      <w:r>
        <w:rPr>
          <w:spacing w:val="-3"/>
        </w:rPr>
        <w:t xml:space="preserve"> </w:t>
      </w:r>
      <w:r>
        <w:t>the</w:t>
      </w:r>
      <w:r>
        <w:rPr>
          <w:spacing w:val="-3"/>
        </w:rPr>
        <w:t xml:space="preserve"> </w:t>
      </w:r>
      <w:r>
        <w:t>AKT pathway alteration status.</w:t>
      </w:r>
    </w:p>
    <w:p w14:paraId="1AD34524" w14:textId="77777777" w:rsidR="009C4CA4" w:rsidRDefault="009C4CA4" w:rsidP="00BF4FB6">
      <w:pPr>
        <w:ind w:left="720"/>
      </w:pPr>
      <w:r>
        <w:t>Results</w:t>
      </w:r>
      <w:r>
        <w:rPr>
          <w:spacing w:val="-2"/>
        </w:rPr>
        <w:t xml:space="preserve"> </w:t>
      </w:r>
      <w:r>
        <w:t>suggest</w:t>
      </w:r>
      <w:r>
        <w:rPr>
          <w:spacing w:val="-3"/>
        </w:rPr>
        <w:t xml:space="preserve"> </w:t>
      </w:r>
      <w:r>
        <w:t>that</w:t>
      </w:r>
      <w:r>
        <w:rPr>
          <w:spacing w:val="-3"/>
        </w:rPr>
        <w:t xml:space="preserve"> </w:t>
      </w:r>
      <w:r>
        <w:t>sensitivity</w:t>
      </w:r>
      <w:r>
        <w:rPr>
          <w:spacing w:val="-4"/>
        </w:rPr>
        <w:t xml:space="preserve"> </w:t>
      </w:r>
      <w:r>
        <w:t>analysis</w:t>
      </w:r>
      <w:r>
        <w:rPr>
          <w:spacing w:val="-4"/>
        </w:rPr>
        <w:t xml:space="preserve"> </w:t>
      </w:r>
      <w:r>
        <w:t>of</w:t>
      </w:r>
      <w:r>
        <w:rPr>
          <w:spacing w:val="-3"/>
        </w:rPr>
        <w:t xml:space="preserve"> </w:t>
      </w:r>
      <w:r>
        <w:t>PFS</w:t>
      </w:r>
      <w:r>
        <w:rPr>
          <w:spacing w:val="-2"/>
        </w:rPr>
        <w:t xml:space="preserve"> </w:t>
      </w:r>
      <w:r>
        <w:t>by</w:t>
      </w:r>
      <w:r>
        <w:rPr>
          <w:spacing w:val="-4"/>
        </w:rPr>
        <w:t xml:space="preserve"> </w:t>
      </w:r>
      <w:r>
        <w:t>BICR</w:t>
      </w:r>
      <w:r>
        <w:rPr>
          <w:spacing w:val="-3"/>
        </w:rPr>
        <w:t xml:space="preserve"> </w:t>
      </w:r>
      <w:r>
        <w:t>is</w:t>
      </w:r>
      <w:r>
        <w:rPr>
          <w:spacing w:val="-2"/>
        </w:rPr>
        <w:t xml:space="preserve"> </w:t>
      </w:r>
      <w:r>
        <w:t>broadly</w:t>
      </w:r>
      <w:r>
        <w:rPr>
          <w:spacing w:val="-4"/>
        </w:rPr>
        <w:t xml:space="preserve"> </w:t>
      </w:r>
      <w:r>
        <w:t>consistent</w:t>
      </w:r>
      <w:r>
        <w:rPr>
          <w:spacing w:val="-3"/>
        </w:rPr>
        <w:t xml:space="preserve"> </w:t>
      </w:r>
      <w:r>
        <w:t>with</w:t>
      </w:r>
      <w:r>
        <w:rPr>
          <w:spacing w:val="-2"/>
        </w:rPr>
        <w:t xml:space="preserve"> </w:t>
      </w:r>
      <w:r>
        <w:t>the primary endpoint of PFS by investigator assessment across populations.</w:t>
      </w:r>
    </w:p>
    <w:p w14:paraId="36102CC7" w14:textId="77777777" w:rsidR="009C4CA4" w:rsidRDefault="009C4CA4" w:rsidP="00BF4FB6">
      <w:pPr>
        <w:ind w:left="720"/>
      </w:pPr>
      <w:r>
        <w:t>Hazard ratios provide a more appropriate measure of treatment effect than medians, representing data across time points rather than at a single point on the Kaplan-Meier plot.</w:t>
      </w:r>
      <w:r>
        <w:rPr>
          <w:spacing w:val="-2"/>
        </w:rPr>
        <w:t xml:space="preserve"> </w:t>
      </w:r>
      <w:r>
        <w:t>In</w:t>
      </w:r>
      <w:r>
        <w:rPr>
          <w:spacing w:val="-3"/>
        </w:rPr>
        <w:t xml:space="preserve"> </w:t>
      </w:r>
      <w:r>
        <w:t>the</w:t>
      </w:r>
      <w:r>
        <w:rPr>
          <w:spacing w:val="-2"/>
        </w:rPr>
        <w:t xml:space="preserve"> </w:t>
      </w:r>
      <w:r>
        <w:t>Known</w:t>
      </w:r>
      <w:r>
        <w:rPr>
          <w:spacing w:val="-5"/>
        </w:rPr>
        <w:t xml:space="preserve"> </w:t>
      </w:r>
      <w:r>
        <w:t>Non-altered</w:t>
      </w:r>
      <w:r>
        <w:rPr>
          <w:spacing w:val="-2"/>
        </w:rPr>
        <w:t xml:space="preserve"> </w:t>
      </w:r>
      <w:r>
        <w:t>population,</w:t>
      </w:r>
      <w:r>
        <w:rPr>
          <w:spacing w:val="-3"/>
        </w:rPr>
        <w:t xml:space="preserve"> </w:t>
      </w:r>
      <w:r>
        <w:t>the</w:t>
      </w:r>
      <w:r>
        <w:rPr>
          <w:spacing w:val="-2"/>
        </w:rPr>
        <w:t xml:space="preserve"> </w:t>
      </w:r>
      <w:r>
        <w:t>hazard</w:t>
      </w:r>
      <w:r>
        <w:rPr>
          <w:spacing w:val="-3"/>
        </w:rPr>
        <w:t xml:space="preserve"> </w:t>
      </w:r>
      <w:r>
        <w:t>ratio</w:t>
      </w:r>
      <w:r>
        <w:rPr>
          <w:spacing w:val="-4"/>
        </w:rPr>
        <w:t xml:space="preserve"> </w:t>
      </w:r>
      <w:r>
        <w:t>of</w:t>
      </w:r>
      <w:r>
        <w:rPr>
          <w:spacing w:val="-2"/>
        </w:rPr>
        <w:t xml:space="preserve"> </w:t>
      </w:r>
      <w:r>
        <w:t>BICR-assessed</w:t>
      </w:r>
      <w:r>
        <w:rPr>
          <w:spacing w:val="-3"/>
        </w:rPr>
        <w:t xml:space="preserve"> </w:t>
      </w:r>
      <w:r>
        <w:t>PFS</w:t>
      </w:r>
      <w:r>
        <w:rPr>
          <w:spacing w:val="-2"/>
        </w:rPr>
        <w:t xml:space="preserve"> </w:t>
      </w:r>
      <w:r>
        <w:t>in</w:t>
      </w:r>
      <w:r>
        <w:rPr>
          <w:spacing w:val="-3"/>
        </w:rPr>
        <w:t xml:space="preserve"> </w:t>
      </w:r>
      <w:r>
        <w:t xml:space="preserve">the </w:t>
      </w:r>
      <w:proofErr w:type="spellStart"/>
      <w:r>
        <w:t>capivasertib</w:t>
      </w:r>
      <w:proofErr w:type="spellEnd"/>
      <w:r>
        <w:t xml:space="preserve"> +</w:t>
      </w:r>
      <w:proofErr w:type="spellStart"/>
      <w:r>
        <w:t>fulvestrant</w:t>
      </w:r>
      <w:proofErr w:type="spellEnd"/>
      <w:r>
        <w:t xml:space="preserve"> arm to the placebo + </w:t>
      </w:r>
      <w:proofErr w:type="spellStart"/>
      <w:r>
        <w:t>fulvestrant</w:t>
      </w:r>
      <w:proofErr w:type="spellEnd"/>
      <w:r>
        <w:t xml:space="preserve"> arm was 0.85 (95% CI 0.65, 1.12) and the hazard ratio of investigator-assessed PFS was 0.79 (95% CI 0.61, 1.02).</w:t>
      </w:r>
    </w:p>
    <w:p w14:paraId="259298B3" w14:textId="77777777" w:rsidR="009C4CA4" w:rsidRDefault="009C4CA4" w:rsidP="00BF4FB6">
      <w:pPr>
        <w:ind w:left="720"/>
      </w:pPr>
      <w:r>
        <w:t>The</w:t>
      </w:r>
      <w:r>
        <w:rPr>
          <w:spacing w:val="-3"/>
        </w:rPr>
        <w:t xml:space="preserve"> </w:t>
      </w:r>
      <w:r>
        <w:t>results,</w:t>
      </w:r>
      <w:r>
        <w:rPr>
          <w:spacing w:val="-3"/>
        </w:rPr>
        <w:t xml:space="preserve"> </w:t>
      </w:r>
      <w:r>
        <w:t>with</w:t>
      </w:r>
      <w:r>
        <w:rPr>
          <w:spacing w:val="-2"/>
        </w:rPr>
        <w:t xml:space="preserve"> </w:t>
      </w:r>
      <w:r>
        <w:t>an</w:t>
      </w:r>
      <w:r>
        <w:rPr>
          <w:spacing w:val="-4"/>
        </w:rPr>
        <w:t xml:space="preserve"> </w:t>
      </w:r>
      <w:r>
        <w:t>average</w:t>
      </w:r>
      <w:r>
        <w:rPr>
          <w:spacing w:val="-2"/>
        </w:rPr>
        <w:t xml:space="preserve"> </w:t>
      </w:r>
      <w:r>
        <w:t>treatment</w:t>
      </w:r>
      <w:r>
        <w:rPr>
          <w:spacing w:val="-3"/>
        </w:rPr>
        <w:t xml:space="preserve"> </w:t>
      </w:r>
      <w:r>
        <w:t>benefit</w:t>
      </w:r>
      <w:r>
        <w:rPr>
          <w:spacing w:val="-3"/>
        </w:rPr>
        <w:t xml:space="preserve"> </w:t>
      </w:r>
      <w:r>
        <w:t>of</w:t>
      </w:r>
      <w:r>
        <w:rPr>
          <w:spacing w:val="-3"/>
        </w:rPr>
        <w:t xml:space="preserve"> </w:t>
      </w:r>
      <w:r>
        <w:t>approximately</w:t>
      </w:r>
      <w:r>
        <w:rPr>
          <w:spacing w:val="-4"/>
        </w:rPr>
        <w:t xml:space="preserve"> </w:t>
      </w:r>
      <w:r>
        <w:t>20%</w:t>
      </w:r>
      <w:r>
        <w:rPr>
          <w:spacing w:val="-3"/>
        </w:rPr>
        <w:t xml:space="preserve"> </w:t>
      </w:r>
      <w:r>
        <w:t>in</w:t>
      </w:r>
      <w:r>
        <w:rPr>
          <w:spacing w:val="-4"/>
        </w:rPr>
        <w:t xml:space="preserve"> </w:t>
      </w:r>
      <w:r>
        <w:t>the</w:t>
      </w:r>
      <w:r>
        <w:rPr>
          <w:spacing w:val="-3"/>
        </w:rPr>
        <w:t xml:space="preserve"> </w:t>
      </w:r>
      <w:r>
        <w:t>risk</w:t>
      </w:r>
      <w:r>
        <w:rPr>
          <w:spacing w:val="-4"/>
        </w:rPr>
        <w:t xml:space="preserve"> </w:t>
      </w:r>
      <w:r>
        <w:t xml:space="preserve">of progression, suggest efficacy of </w:t>
      </w:r>
      <w:proofErr w:type="spellStart"/>
      <w:r>
        <w:t>capivasertib</w:t>
      </w:r>
      <w:proofErr w:type="spellEnd"/>
      <w:r>
        <w:t xml:space="preserve"> + </w:t>
      </w:r>
      <w:proofErr w:type="spellStart"/>
      <w:r>
        <w:t>fulvestrant</w:t>
      </w:r>
      <w:proofErr w:type="spellEnd"/>
      <w:r>
        <w:t xml:space="preserve"> in this population.</w:t>
      </w:r>
    </w:p>
    <w:p w14:paraId="03F8CCAB" w14:textId="77777777" w:rsidR="009C4CA4" w:rsidRDefault="009C4CA4" w:rsidP="00BF4FB6">
      <w:pPr>
        <w:ind w:left="720"/>
      </w:pPr>
      <w:r>
        <w:t>Acknowledging that the efficacy appears stronger in the AKT pathway altered cancers, the</w:t>
      </w:r>
      <w:r>
        <w:rPr>
          <w:spacing w:val="-3"/>
        </w:rPr>
        <w:t xml:space="preserve"> </w:t>
      </w:r>
      <w:r>
        <w:t>Applicant</w:t>
      </w:r>
      <w:r>
        <w:rPr>
          <w:spacing w:val="-3"/>
        </w:rPr>
        <w:t xml:space="preserve"> </w:t>
      </w:r>
      <w:r>
        <w:t>considers</w:t>
      </w:r>
      <w:r>
        <w:rPr>
          <w:spacing w:val="-2"/>
        </w:rPr>
        <w:t xml:space="preserve"> </w:t>
      </w:r>
      <w:r>
        <w:t>that</w:t>
      </w:r>
      <w:r>
        <w:rPr>
          <w:spacing w:val="-3"/>
        </w:rPr>
        <w:t xml:space="preserve"> </w:t>
      </w:r>
      <w:r>
        <w:t>efficacy</w:t>
      </w:r>
      <w:r>
        <w:rPr>
          <w:spacing w:val="-4"/>
        </w:rPr>
        <w:t xml:space="preserve"> </w:t>
      </w:r>
      <w:r>
        <w:t>of</w:t>
      </w:r>
      <w:r>
        <w:rPr>
          <w:spacing w:val="-3"/>
        </w:rPr>
        <w:t xml:space="preserve"> </w:t>
      </w:r>
      <w:proofErr w:type="spellStart"/>
      <w:r>
        <w:t>capivasertib</w:t>
      </w:r>
      <w:proofErr w:type="spellEnd"/>
      <w:r>
        <w:rPr>
          <w:spacing w:val="-4"/>
        </w:rPr>
        <w:t xml:space="preserve"> </w:t>
      </w:r>
      <w:r>
        <w:t>+</w:t>
      </w:r>
      <w:r>
        <w:rPr>
          <w:spacing w:val="-2"/>
        </w:rPr>
        <w:t xml:space="preserve"> </w:t>
      </w:r>
      <w:proofErr w:type="spellStart"/>
      <w:r>
        <w:t>fulvestrant</w:t>
      </w:r>
      <w:proofErr w:type="spellEnd"/>
      <w:r>
        <w:rPr>
          <w:spacing w:val="-3"/>
        </w:rPr>
        <w:t xml:space="preserve"> </w:t>
      </w:r>
      <w:r>
        <w:t>can</w:t>
      </w:r>
      <w:r>
        <w:rPr>
          <w:spacing w:val="-4"/>
        </w:rPr>
        <w:t xml:space="preserve"> </w:t>
      </w:r>
      <w:r>
        <w:t>be</w:t>
      </w:r>
      <w:r>
        <w:rPr>
          <w:spacing w:val="-3"/>
        </w:rPr>
        <w:t xml:space="preserve"> </w:t>
      </w:r>
      <w:r>
        <w:t>expected</w:t>
      </w:r>
      <w:r>
        <w:rPr>
          <w:spacing w:val="-3"/>
        </w:rPr>
        <w:t xml:space="preserve"> </w:t>
      </w:r>
      <w:r>
        <w:t>also</w:t>
      </w:r>
      <w:r>
        <w:rPr>
          <w:spacing w:val="-3"/>
        </w:rPr>
        <w:t xml:space="preserve"> </w:t>
      </w:r>
      <w:r>
        <w:t>in the AKT pathway non-altered population.</w:t>
      </w:r>
    </w:p>
    <w:p w14:paraId="2A028A7F" w14:textId="54A910F2" w:rsidR="009C4CA4" w:rsidRPr="0065527A" w:rsidRDefault="009C4CA4" w:rsidP="0068316A">
      <w:pPr>
        <w:pStyle w:val="Heading7"/>
        <w:rPr>
          <w:b/>
          <w:bCs/>
        </w:rPr>
      </w:pPr>
      <w:bookmarkStart w:id="56" w:name="Subgroup_analyses"/>
      <w:bookmarkEnd w:id="56"/>
      <w:r w:rsidRPr="0065527A">
        <w:t>Subgroup</w:t>
      </w:r>
      <w:r w:rsidRPr="0065527A">
        <w:rPr>
          <w:spacing w:val="-5"/>
        </w:rPr>
        <w:t xml:space="preserve"> </w:t>
      </w:r>
      <w:r w:rsidRPr="0068316A">
        <w:t>analyses</w:t>
      </w:r>
    </w:p>
    <w:p w14:paraId="3E87F298" w14:textId="0FE6D6E4" w:rsidR="009C4CA4" w:rsidRDefault="009C4CA4" w:rsidP="00BF4FB6">
      <w:r>
        <w:t xml:space="preserve">Analysis of PFS in the non-altered population was not included as part of the study’s primary objectives, however, the </w:t>
      </w:r>
      <w:r w:rsidR="00862F49">
        <w:t>k</w:t>
      </w:r>
      <w:r>
        <w:t>nown altered population (determined by central testing) was a pre- specified</w:t>
      </w:r>
      <w:r>
        <w:rPr>
          <w:spacing w:val="-6"/>
        </w:rPr>
        <w:t xml:space="preserve"> </w:t>
      </w:r>
      <w:r>
        <w:t>subgroup.</w:t>
      </w:r>
      <w:r>
        <w:rPr>
          <w:spacing w:val="-3"/>
        </w:rPr>
        <w:t xml:space="preserve"> </w:t>
      </w:r>
      <w:r>
        <w:t>In</w:t>
      </w:r>
      <w:r>
        <w:rPr>
          <w:spacing w:val="-4"/>
        </w:rPr>
        <w:t xml:space="preserve"> </w:t>
      </w:r>
      <w:r>
        <w:t>addition,</w:t>
      </w:r>
      <w:r>
        <w:rPr>
          <w:spacing w:val="-3"/>
        </w:rPr>
        <w:t xml:space="preserve"> </w:t>
      </w:r>
      <w:r>
        <w:t>PFS</w:t>
      </w:r>
      <w:r>
        <w:rPr>
          <w:spacing w:val="-2"/>
        </w:rPr>
        <w:t xml:space="preserve"> </w:t>
      </w:r>
      <w:r>
        <w:t>was</w:t>
      </w:r>
      <w:r>
        <w:rPr>
          <w:spacing w:val="-2"/>
        </w:rPr>
        <w:t xml:space="preserve"> </w:t>
      </w:r>
      <w:r>
        <w:t>analysed</w:t>
      </w:r>
      <w:r>
        <w:rPr>
          <w:spacing w:val="-5"/>
        </w:rPr>
        <w:t xml:space="preserve"> </w:t>
      </w:r>
      <w:r>
        <w:t>post-hoc</w:t>
      </w:r>
      <w:r>
        <w:rPr>
          <w:spacing w:val="-2"/>
        </w:rPr>
        <w:t xml:space="preserve"> </w:t>
      </w:r>
      <w:r>
        <w:t>in</w:t>
      </w:r>
      <w:r>
        <w:rPr>
          <w:spacing w:val="-4"/>
        </w:rPr>
        <w:t xml:space="preserve"> </w:t>
      </w:r>
      <w:r>
        <w:t>the</w:t>
      </w:r>
      <w:r w:rsidR="008E0574">
        <w:t xml:space="preserve"> </w:t>
      </w:r>
      <w:r>
        <w:t>no</w:t>
      </w:r>
      <w:r>
        <w:rPr>
          <w:spacing w:val="-3"/>
        </w:rPr>
        <w:t xml:space="preserve"> </w:t>
      </w:r>
      <w:r>
        <w:t>result</w:t>
      </w:r>
      <w:r>
        <w:rPr>
          <w:spacing w:val="-4"/>
        </w:rPr>
        <w:t xml:space="preserve"> </w:t>
      </w:r>
      <w:r>
        <w:t>population.</w:t>
      </w:r>
      <w:r>
        <w:rPr>
          <w:spacing w:val="-3"/>
        </w:rPr>
        <w:t xml:space="preserve"> </w:t>
      </w:r>
      <w:r>
        <w:t xml:space="preserve">Results for the </w:t>
      </w:r>
      <w:r w:rsidR="008E0574">
        <w:t>2</w:t>
      </w:r>
      <w:r>
        <w:t xml:space="preserve"> non-altered populations combined (</w:t>
      </w:r>
      <w:r w:rsidR="008E0574">
        <w:t>n</w:t>
      </w:r>
      <w:r>
        <w:t>on-altered population) are also presented.</w:t>
      </w:r>
    </w:p>
    <w:p w14:paraId="00727D80" w14:textId="1B2921D3" w:rsidR="009C4CA4" w:rsidRDefault="009C4CA4" w:rsidP="00BF4FB6">
      <w:r>
        <w:t xml:space="preserve">In the </w:t>
      </w:r>
      <w:r w:rsidR="008E0574">
        <w:t>k</w:t>
      </w:r>
      <w:r>
        <w:t>nown non-altered population, the hazard ratio was 0.79 and did not reach statistical significance (95% CI: 0.61 to 1.02).</w:t>
      </w:r>
      <w:r>
        <w:rPr>
          <w:spacing w:val="40"/>
        </w:rPr>
        <w:t xml:space="preserve"> </w:t>
      </w:r>
      <w:r>
        <w:t xml:space="preserve">The median PFS was 5.3 months in the </w:t>
      </w:r>
      <w:proofErr w:type="spellStart"/>
      <w:r>
        <w:t>capivasertib</w:t>
      </w:r>
      <w:proofErr w:type="spellEnd"/>
      <w:r>
        <w:t xml:space="preserve"> group compared</w:t>
      </w:r>
      <w:r>
        <w:rPr>
          <w:spacing w:val="-3"/>
        </w:rPr>
        <w:t xml:space="preserve"> </w:t>
      </w:r>
      <w:r>
        <w:t>with</w:t>
      </w:r>
      <w:r>
        <w:rPr>
          <w:spacing w:val="-2"/>
        </w:rPr>
        <w:t xml:space="preserve"> </w:t>
      </w:r>
      <w:r>
        <w:t>3.7</w:t>
      </w:r>
      <w:r>
        <w:rPr>
          <w:spacing w:val="-3"/>
        </w:rPr>
        <w:t xml:space="preserve"> </w:t>
      </w:r>
      <w:r>
        <w:t>months</w:t>
      </w:r>
      <w:r>
        <w:rPr>
          <w:spacing w:val="-2"/>
        </w:rPr>
        <w:t xml:space="preserve"> </w:t>
      </w:r>
      <w:r>
        <w:t>in</w:t>
      </w:r>
      <w:r>
        <w:rPr>
          <w:spacing w:val="-4"/>
        </w:rPr>
        <w:t xml:space="preserve"> </w:t>
      </w:r>
      <w:r>
        <w:t>the</w:t>
      </w:r>
      <w:r>
        <w:rPr>
          <w:spacing w:val="-3"/>
        </w:rPr>
        <w:t xml:space="preserve"> </w:t>
      </w:r>
      <w:r>
        <w:t>placebo</w:t>
      </w:r>
      <w:r>
        <w:rPr>
          <w:spacing w:val="-3"/>
        </w:rPr>
        <w:t xml:space="preserve"> </w:t>
      </w:r>
      <w:r>
        <w:t>(note</w:t>
      </w:r>
      <w:r>
        <w:rPr>
          <w:spacing w:val="-3"/>
        </w:rPr>
        <w:t xml:space="preserve"> </w:t>
      </w:r>
      <w:r>
        <w:t>that</w:t>
      </w:r>
      <w:r>
        <w:rPr>
          <w:spacing w:val="-6"/>
        </w:rPr>
        <w:t xml:space="preserve"> </w:t>
      </w:r>
      <w:r>
        <w:t>patient</w:t>
      </w:r>
      <w:r>
        <w:rPr>
          <w:spacing w:val="-3"/>
        </w:rPr>
        <w:t xml:space="preserve"> </w:t>
      </w:r>
      <w:r>
        <w:t>assessments</w:t>
      </w:r>
      <w:r>
        <w:rPr>
          <w:spacing w:val="-2"/>
        </w:rPr>
        <w:t xml:space="preserve"> </w:t>
      </w:r>
      <w:r>
        <w:t>were</w:t>
      </w:r>
      <w:r>
        <w:rPr>
          <w:spacing w:val="-3"/>
        </w:rPr>
        <w:t xml:space="preserve"> </w:t>
      </w:r>
      <w:r>
        <w:t>conducted</w:t>
      </w:r>
      <w:r>
        <w:rPr>
          <w:spacing w:val="-3"/>
        </w:rPr>
        <w:t xml:space="preserve"> </w:t>
      </w:r>
      <w:r>
        <w:t xml:space="preserve">every 8 weeks for the first 18 months). This is illustrated in the K-M curve </w:t>
      </w:r>
      <w:r w:rsidR="00BF4FB6">
        <w:t>in Figure 4.</w:t>
      </w:r>
    </w:p>
    <w:p w14:paraId="43454787" w14:textId="763A06B8" w:rsidR="009C4CA4" w:rsidRDefault="009C4CA4" w:rsidP="0068316A">
      <w:pPr>
        <w:pStyle w:val="FigureTitle"/>
      </w:pPr>
      <w:r>
        <w:lastRenderedPageBreak/>
        <w:t>Figure</w:t>
      </w:r>
      <w:r>
        <w:rPr>
          <w:spacing w:val="-8"/>
        </w:rPr>
        <w:t xml:space="preserve"> </w:t>
      </w:r>
      <w:r>
        <w:t>4:</w:t>
      </w:r>
      <w:r>
        <w:rPr>
          <w:spacing w:val="-7"/>
        </w:rPr>
        <w:t xml:space="preserve"> </w:t>
      </w:r>
      <w:r>
        <w:t>CAPItello-291:</w:t>
      </w:r>
      <w:r>
        <w:rPr>
          <w:spacing w:val="-7"/>
        </w:rPr>
        <w:t xml:space="preserve"> </w:t>
      </w:r>
      <w:r>
        <w:t>Kaplan-Meier</w:t>
      </w:r>
      <w:r>
        <w:rPr>
          <w:spacing w:val="-7"/>
        </w:rPr>
        <w:t xml:space="preserve"> </w:t>
      </w:r>
      <w:r>
        <w:t>curve</w:t>
      </w:r>
      <w:r>
        <w:rPr>
          <w:spacing w:val="-6"/>
        </w:rPr>
        <w:t xml:space="preserve"> </w:t>
      </w:r>
      <w:r>
        <w:t>of</w:t>
      </w:r>
      <w:r>
        <w:rPr>
          <w:spacing w:val="-7"/>
        </w:rPr>
        <w:t xml:space="preserve"> </w:t>
      </w:r>
      <w:r>
        <w:t>PFS</w:t>
      </w:r>
      <w:r>
        <w:rPr>
          <w:spacing w:val="-8"/>
        </w:rPr>
        <w:t xml:space="preserve"> </w:t>
      </w:r>
      <w:r>
        <w:t>in</w:t>
      </w:r>
      <w:r>
        <w:rPr>
          <w:spacing w:val="-8"/>
        </w:rPr>
        <w:t xml:space="preserve"> </w:t>
      </w:r>
      <w:r>
        <w:t>the</w:t>
      </w:r>
      <w:r>
        <w:rPr>
          <w:spacing w:val="-7"/>
        </w:rPr>
        <w:t xml:space="preserve"> </w:t>
      </w:r>
      <w:r w:rsidR="004E6470">
        <w:rPr>
          <w:spacing w:val="-7"/>
        </w:rPr>
        <w:t>k</w:t>
      </w:r>
      <w:r>
        <w:t>nown</w:t>
      </w:r>
      <w:r>
        <w:rPr>
          <w:spacing w:val="-8"/>
        </w:rPr>
        <w:t xml:space="preserve"> </w:t>
      </w:r>
      <w:r>
        <w:t>non-altered</w:t>
      </w:r>
      <w:r>
        <w:rPr>
          <w:spacing w:val="-7"/>
        </w:rPr>
        <w:t xml:space="preserve"> </w:t>
      </w:r>
      <w:r>
        <w:rPr>
          <w:spacing w:val="-2"/>
        </w:rPr>
        <w:t>population</w:t>
      </w:r>
    </w:p>
    <w:p w14:paraId="53D5F071" w14:textId="77777777" w:rsidR="009C4CA4" w:rsidRDefault="009C4CA4" w:rsidP="0068316A">
      <w:pPr>
        <w:rPr>
          <w:sz w:val="13"/>
        </w:rPr>
      </w:pPr>
      <w:r>
        <w:rPr>
          <w:noProof/>
        </w:rPr>
        <w:drawing>
          <wp:inline distT="0" distB="0" distL="0" distR="0" wp14:anchorId="7C236AE3" wp14:editId="4DC8F26F">
            <wp:extent cx="5558303" cy="3314700"/>
            <wp:effectExtent l="0" t="0" r="4445" b="0"/>
            <wp:docPr id="18" name="Image 18" descr="Kaplan-Meier curve illustrating progression-free survival (PFS) in the known non-altered population of the CAPItello-291 study. The graph displays survival probability on the y-axis and time in months on the x-axis, comparing different treatment grou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Kaplan-Meier curve illustrating progression-free survival (PFS) in the known non-altered population of the CAPItello-291 study. The graph displays survival probability on the y-axis and time in months on the x-axis, comparing different treatment group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58303" cy="3314700"/>
                    </a:xfrm>
                    <a:prstGeom prst="rect">
                      <a:avLst/>
                    </a:prstGeom>
                  </pic:spPr>
                </pic:pic>
              </a:graphicData>
            </a:graphic>
          </wp:inline>
        </w:drawing>
      </w:r>
    </w:p>
    <w:p w14:paraId="2A5AD8B9" w14:textId="3F842005" w:rsidR="00B17D2D" w:rsidRDefault="00B17D2D" w:rsidP="0068316A">
      <w:r>
        <w:t>In</w:t>
      </w:r>
      <w:r>
        <w:rPr>
          <w:spacing w:val="-3"/>
        </w:rPr>
        <w:t xml:space="preserve"> </w:t>
      </w:r>
      <w:r>
        <w:t>the</w:t>
      </w:r>
      <w:r>
        <w:rPr>
          <w:spacing w:val="-2"/>
        </w:rPr>
        <w:t xml:space="preserve"> </w:t>
      </w:r>
      <w:r w:rsidR="004E6470">
        <w:rPr>
          <w:spacing w:val="-2"/>
        </w:rPr>
        <w:t>n</w:t>
      </w:r>
      <w:r>
        <w:t>o</w:t>
      </w:r>
      <w:r>
        <w:rPr>
          <w:spacing w:val="-2"/>
        </w:rPr>
        <w:t xml:space="preserve"> </w:t>
      </w:r>
      <w:r>
        <w:t>result</w:t>
      </w:r>
      <w:r>
        <w:rPr>
          <w:spacing w:val="-2"/>
        </w:rPr>
        <w:t xml:space="preserve"> </w:t>
      </w:r>
      <w:r>
        <w:t>population,</w:t>
      </w:r>
      <w:r>
        <w:rPr>
          <w:spacing w:val="-2"/>
        </w:rPr>
        <w:t xml:space="preserve"> </w:t>
      </w:r>
      <w:r>
        <w:t>a</w:t>
      </w:r>
      <w:r>
        <w:rPr>
          <w:spacing w:val="-2"/>
        </w:rPr>
        <w:t xml:space="preserve"> </w:t>
      </w:r>
      <w:r>
        <w:t>48%</w:t>
      </w:r>
      <w:r>
        <w:rPr>
          <w:spacing w:val="-2"/>
        </w:rPr>
        <w:t xml:space="preserve"> </w:t>
      </w:r>
      <w:r>
        <w:t>reduction</w:t>
      </w:r>
      <w:r>
        <w:rPr>
          <w:spacing w:val="-3"/>
        </w:rPr>
        <w:t xml:space="preserve"> </w:t>
      </w:r>
      <w:r>
        <w:t>in</w:t>
      </w:r>
      <w:r>
        <w:rPr>
          <w:spacing w:val="-3"/>
        </w:rPr>
        <w:t xml:space="preserve"> </w:t>
      </w:r>
      <w:r>
        <w:t>the</w:t>
      </w:r>
      <w:r>
        <w:rPr>
          <w:spacing w:val="-4"/>
        </w:rPr>
        <w:t xml:space="preserve"> </w:t>
      </w:r>
      <w:r>
        <w:t>risk</w:t>
      </w:r>
      <w:r>
        <w:rPr>
          <w:spacing w:val="-3"/>
        </w:rPr>
        <w:t xml:space="preserve"> </w:t>
      </w:r>
      <w:r>
        <w:t>of</w:t>
      </w:r>
      <w:r>
        <w:rPr>
          <w:spacing w:val="-2"/>
        </w:rPr>
        <w:t xml:space="preserve"> </w:t>
      </w:r>
      <w:r>
        <w:t>progression</w:t>
      </w:r>
      <w:r>
        <w:rPr>
          <w:spacing w:val="-3"/>
        </w:rPr>
        <w:t xml:space="preserve"> </w:t>
      </w:r>
      <w:r>
        <w:t>in</w:t>
      </w:r>
      <w:r>
        <w:rPr>
          <w:spacing w:val="-3"/>
        </w:rPr>
        <w:t xml:space="preserve"> </w:t>
      </w:r>
      <w:r>
        <w:t>favour</w:t>
      </w:r>
      <w:r>
        <w:rPr>
          <w:spacing w:val="-2"/>
        </w:rPr>
        <w:t xml:space="preserve"> </w:t>
      </w:r>
      <w:r>
        <w:t>of</w:t>
      </w:r>
      <w:r>
        <w:rPr>
          <w:spacing w:val="-1"/>
        </w:rPr>
        <w:t xml:space="preserve"> </w:t>
      </w:r>
      <w:proofErr w:type="spellStart"/>
      <w:r>
        <w:t>capivasertib</w:t>
      </w:r>
      <w:proofErr w:type="spellEnd"/>
      <w:r>
        <w:t xml:space="preserve"> was reported: HR = 0.52 (95% CI: 0.32 to 0.83).</w:t>
      </w:r>
      <w:r>
        <w:rPr>
          <w:spacing w:val="40"/>
        </w:rPr>
        <w:t xml:space="preserve"> </w:t>
      </w:r>
      <w:r>
        <w:t xml:space="preserve">The median PFS was 10.0 months in the </w:t>
      </w:r>
      <w:proofErr w:type="spellStart"/>
      <w:r>
        <w:t>capivasertib</w:t>
      </w:r>
      <w:proofErr w:type="spellEnd"/>
      <w:r>
        <w:t xml:space="preserve"> group compared with 1.9 months in the placebo, shown in Figure 5.</w:t>
      </w:r>
    </w:p>
    <w:p w14:paraId="7A38EF3F" w14:textId="1FC09BF5" w:rsidR="00B17D2D" w:rsidRDefault="00B17D2D" w:rsidP="0068316A">
      <w:pPr>
        <w:pStyle w:val="FigureTitle"/>
      </w:pPr>
      <w:r>
        <w:t>Figure</w:t>
      </w:r>
      <w:r>
        <w:rPr>
          <w:spacing w:val="-7"/>
        </w:rPr>
        <w:t xml:space="preserve"> </w:t>
      </w:r>
      <w:r>
        <w:t>5:</w:t>
      </w:r>
      <w:r>
        <w:rPr>
          <w:spacing w:val="-6"/>
        </w:rPr>
        <w:t xml:space="preserve"> </w:t>
      </w:r>
      <w:r>
        <w:t>CAPItello-291:</w:t>
      </w:r>
      <w:r>
        <w:rPr>
          <w:spacing w:val="-6"/>
        </w:rPr>
        <w:t xml:space="preserve"> </w:t>
      </w:r>
      <w:r>
        <w:t>Kaplan-Meier</w:t>
      </w:r>
      <w:r>
        <w:rPr>
          <w:spacing w:val="-7"/>
        </w:rPr>
        <w:t xml:space="preserve"> </w:t>
      </w:r>
      <w:r>
        <w:t>curve</w:t>
      </w:r>
      <w:r>
        <w:rPr>
          <w:spacing w:val="-5"/>
        </w:rPr>
        <w:t xml:space="preserve"> </w:t>
      </w:r>
      <w:r>
        <w:t>of</w:t>
      </w:r>
      <w:r>
        <w:rPr>
          <w:spacing w:val="-6"/>
        </w:rPr>
        <w:t xml:space="preserve"> </w:t>
      </w:r>
      <w:r>
        <w:t>PFS</w:t>
      </w:r>
      <w:r>
        <w:rPr>
          <w:spacing w:val="-7"/>
        </w:rPr>
        <w:t xml:space="preserve"> </w:t>
      </w:r>
      <w:r>
        <w:t>in</w:t>
      </w:r>
      <w:r>
        <w:rPr>
          <w:spacing w:val="-8"/>
        </w:rPr>
        <w:t xml:space="preserve"> </w:t>
      </w:r>
      <w:r>
        <w:t>the</w:t>
      </w:r>
      <w:r>
        <w:rPr>
          <w:spacing w:val="-5"/>
        </w:rPr>
        <w:t xml:space="preserve"> </w:t>
      </w:r>
      <w:r w:rsidR="004E6470">
        <w:rPr>
          <w:spacing w:val="-5"/>
        </w:rPr>
        <w:t>n</w:t>
      </w:r>
      <w:r>
        <w:t>o</w:t>
      </w:r>
      <w:r>
        <w:rPr>
          <w:spacing w:val="-6"/>
        </w:rPr>
        <w:t xml:space="preserve"> </w:t>
      </w:r>
      <w:r w:rsidRPr="0068316A">
        <w:t>result</w:t>
      </w:r>
      <w:r>
        <w:rPr>
          <w:spacing w:val="-7"/>
        </w:rPr>
        <w:t xml:space="preserve"> </w:t>
      </w:r>
      <w:r>
        <w:rPr>
          <w:spacing w:val="-2"/>
        </w:rPr>
        <w:t>population</w:t>
      </w:r>
    </w:p>
    <w:p w14:paraId="49228048" w14:textId="7D334973" w:rsidR="00B17D2D" w:rsidRDefault="00B17D2D" w:rsidP="0068316A">
      <w:r>
        <w:rPr>
          <w:noProof/>
        </w:rPr>
        <w:drawing>
          <wp:inline distT="0" distB="0" distL="0" distR="0" wp14:anchorId="13AE9FF0" wp14:editId="67EFF737">
            <wp:extent cx="5581775" cy="3549777"/>
            <wp:effectExtent l="0" t="0" r="0" b="0"/>
            <wp:docPr id="19" name="Image 19" descr="Kaplan-Meier curve showing progression-free survival (PFS) in the no result population of the CAPItello-291 study. The graph illustrates survival probability on the y-axis and time in months on the x-axis, comparing different treatment grou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Kaplan-Meier curve showing progression-free survival (PFS) in the no result population of the CAPItello-291 study. The graph illustrates survival probability on the y-axis and time in months on the x-axis, comparing different treatment group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81775" cy="3549777"/>
                    </a:xfrm>
                    <a:prstGeom prst="rect">
                      <a:avLst/>
                    </a:prstGeom>
                  </pic:spPr>
                </pic:pic>
              </a:graphicData>
            </a:graphic>
          </wp:inline>
        </w:drawing>
      </w:r>
    </w:p>
    <w:p w14:paraId="27CAB259" w14:textId="2C4C7709" w:rsidR="009C4CA4" w:rsidRDefault="009C4CA4" w:rsidP="0068316A">
      <w:r>
        <w:t xml:space="preserve">In the </w:t>
      </w:r>
      <w:r w:rsidR="00104AC8">
        <w:t>n</w:t>
      </w:r>
      <w:r>
        <w:t xml:space="preserve">on-altered population (combination of the </w:t>
      </w:r>
      <w:r w:rsidR="00104AC8">
        <w:t>k</w:t>
      </w:r>
      <w:r>
        <w:t xml:space="preserve">nown non-altered and </w:t>
      </w:r>
      <w:r w:rsidR="00104AC8">
        <w:t>n</w:t>
      </w:r>
      <w:r>
        <w:t>o result population),</w:t>
      </w:r>
      <w:r>
        <w:rPr>
          <w:spacing w:val="-3"/>
        </w:rPr>
        <w:t xml:space="preserve"> </w:t>
      </w:r>
      <w:r>
        <w:t>the</w:t>
      </w:r>
      <w:r>
        <w:rPr>
          <w:spacing w:val="-3"/>
        </w:rPr>
        <w:t xml:space="preserve"> </w:t>
      </w:r>
      <w:r>
        <w:t>HR</w:t>
      </w:r>
      <w:r>
        <w:rPr>
          <w:spacing w:val="-3"/>
        </w:rPr>
        <w:t xml:space="preserve"> </w:t>
      </w:r>
      <w:r>
        <w:t>for</w:t>
      </w:r>
      <w:r>
        <w:rPr>
          <w:spacing w:val="-3"/>
        </w:rPr>
        <w:t xml:space="preserve"> </w:t>
      </w:r>
      <w:r>
        <w:t>PFS</w:t>
      </w:r>
      <w:r>
        <w:rPr>
          <w:spacing w:val="-2"/>
        </w:rPr>
        <w:t xml:space="preserve"> </w:t>
      </w:r>
      <w:r>
        <w:t>was</w:t>
      </w:r>
      <w:r>
        <w:rPr>
          <w:spacing w:val="-2"/>
        </w:rPr>
        <w:t xml:space="preserve"> </w:t>
      </w:r>
      <w:r>
        <w:t>0.70</w:t>
      </w:r>
      <w:r>
        <w:rPr>
          <w:spacing w:val="-3"/>
        </w:rPr>
        <w:t xml:space="preserve"> </w:t>
      </w:r>
      <w:r>
        <w:t>(95%</w:t>
      </w:r>
      <w:r>
        <w:rPr>
          <w:spacing w:val="-5"/>
        </w:rPr>
        <w:t xml:space="preserve"> </w:t>
      </w:r>
      <w:r>
        <w:t>CI:</w:t>
      </w:r>
      <w:r>
        <w:rPr>
          <w:spacing w:val="-3"/>
        </w:rPr>
        <w:t xml:space="preserve"> </w:t>
      </w:r>
      <w:r>
        <w:t>0.56-0.88),</w:t>
      </w:r>
      <w:r>
        <w:rPr>
          <w:spacing w:val="-3"/>
        </w:rPr>
        <w:t xml:space="preserve"> </w:t>
      </w:r>
      <w:r>
        <w:t>median</w:t>
      </w:r>
      <w:r>
        <w:rPr>
          <w:spacing w:val="-4"/>
        </w:rPr>
        <w:t xml:space="preserve"> </w:t>
      </w:r>
      <w:r>
        <w:t>PFS</w:t>
      </w:r>
      <w:r>
        <w:rPr>
          <w:spacing w:val="-2"/>
        </w:rPr>
        <w:t xml:space="preserve"> </w:t>
      </w:r>
      <w:r>
        <w:t>was</w:t>
      </w:r>
      <w:r>
        <w:rPr>
          <w:spacing w:val="-2"/>
        </w:rPr>
        <w:t xml:space="preserve"> </w:t>
      </w:r>
      <w:r>
        <w:t>7.2</w:t>
      </w:r>
      <w:r>
        <w:rPr>
          <w:spacing w:val="-3"/>
        </w:rPr>
        <w:t xml:space="preserve"> </w:t>
      </w:r>
      <w:r>
        <w:t>months</w:t>
      </w:r>
      <w:r>
        <w:rPr>
          <w:spacing w:val="-2"/>
        </w:rPr>
        <w:t xml:space="preserve"> </w:t>
      </w:r>
      <w:r>
        <w:t>in</w:t>
      </w:r>
      <w:r>
        <w:rPr>
          <w:spacing w:val="-4"/>
        </w:rPr>
        <w:t xml:space="preserve"> </w:t>
      </w:r>
      <w:r>
        <w:t xml:space="preserve">the </w:t>
      </w:r>
      <w:proofErr w:type="spellStart"/>
      <w:r>
        <w:t>capivasertib</w:t>
      </w:r>
      <w:proofErr w:type="spellEnd"/>
      <w:r>
        <w:t xml:space="preserve"> group and 3.7 months in the placebo group. The K-M curve is shown </w:t>
      </w:r>
      <w:r w:rsidR="00B17D2D">
        <w:t>in Figure 6.</w:t>
      </w:r>
    </w:p>
    <w:p w14:paraId="2628B635" w14:textId="0E86E9A5" w:rsidR="009C4CA4" w:rsidRDefault="009C4CA4" w:rsidP="0068316A">
      <w:pPr>
        <w:pStyle w:val="FigureTitle"/>
      </w:pPr>
      <w:r>
        <w:lastRenderedPageBreak/>
        <w:t>Figure</w:t>
      </w:r>
      <w:r>
        <w:rPr>
          <w:spacing w:val="-7"/>
        </w:rPr>
        <w:t xml:space="preserve"> </w:t>
      </w:r>
      <w:r>
        <w:t>6:</w:t>
      </w:r>
      <w:r>
        <w:rPr>
          <w:spacing w:val="28"/>
        </w:rPr>
        <w:t xml:space="preserve"> </w:t>
      </w:r>
      <w:r>
        <w:t>CAPItello-</w:t>
      </w:r>
      <w:r w:rsidRPr="0068316A">
        <w:t>291</w:t>
      </w:r>
      <w:r>
        <w:t>:</w:t>
      </w:r>
      <w:r>
        <w:rPr>
          <w:spacing w:val="-7"/>
        </w:rPr>
        <w:t xml:space="preserve"> </w:t>
      </w:r>
      <w:r>
        <w:t>Kaplan-Meier</w:t>
      </w:r>
      <w:r>
        <w:rPr>
          <w:spacing w:val="-6"/>
        </w:rPr>
        <w:t xml:space="preserve"> </w:t>
      </w:r>
      <w:r>
        <w:t>curve</w:t>
      </w:r>
      <w:r>
        <w:rPr>
          <w:spacing w:val="-6"/>
        </w:rPr>
        <w:t xml:space="preserve"> </w:t>
      </w:r>
      <w:r>
        <w:t>of</w:t>
      </w:r>
      <w:r>
        <w:rPr>
          <w:spacing w:val="-7"/>
        </w:rPr>
        <w:t xml:space="preserve"> </w:t>
      </w:r>
      <w:r>
        <w:t>PFS</w:t>
      </w:r>
      <w:r>
        <w:rPr>
          <w:spacing w:val="-7"/>
        </w:rPr>
        <w:t xml:space="preserve"> </w:t>
      </w:r>
      <w:r>
        <w:t>in</w:t>
      </w:r>
      <w:r>
        <w:rPr>
          <w:spacing w:val="-5"/>
        </w:rPr>
        <w:t xml:space="preserve"> </w:t>
      </w:r>
      <w:r>
        <w:t>the</w:t>
      </w:r>
      <w:r>
        <w:rPr>
          <w:spacing w:val="-6"/>
        </w:rPr>
        <w:t xml:space="preserve"> </w:t>
      </w:r>
      <w:r>
        <w:t>combined</w:t>
      </w:r>
      <w:r>
        <w:rPr>
          <w:spacing w:val="-7"/>
        </w:rPr>
        <w:t xml:space="preserve"> </w:t>
      </w:r>
      <w:r>
        <w:t>non-altered</w:t>
      </w:r>
      <w:r>
        <w:rPr>
          <w:spacing w:val="-6"/>
        </w:rPr>
        <w:t xml:space="preserve"> </w:t>
      </w:r>
      <w:r>
        <w:rPr>
          <w:spacing w:val="-2"/>
        </w:rPr>
        <w:t>population</w:t>
      </w:r>
    </w:p>
    <w:p w14:paraId="7CBCF119" w14:textId="77777777" w:rsidR="00B17D2D" w:rsidRDefault="009C4CA4" w:rsidP="0068316A">
      <w:r>
        <w:rPr>
          <w:noProof/>
        </w:rPr>
        <w:drawing>
          <wp:inline distT="0" distB="0" distL="0" distR="0" wp14:anchorId="5BDB3327" wp14:editId="2F8C8ED5">
            <wp:extent cx="5470946" cy="3362134"/>
            <wp:effectExtent l="0" t="0" r="0" b="0"/>
            <wp:docPr id="20" name="Image 20" descr="Kaplan-Meier curve depicting progression-free survival (PFS) in the combined non-altered population of the CAPItello-291 study. The graph shows survival probability on the y-axis and time in months on the x-axis, comparing different treatment grou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Kaplan-Meier curve depicting progression-free survival (PFS) in the combined non-altered population of the CAPItello-291 study. The graph shows survival probability on the y-axis and time in months on the x-axis, comparing different treatment group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70946" cy="3362134"/>
                    </a:xfrm>
                    <a:prstGeom prst="rect">
                      <a:avLst/>
                    </a:prstGeom>
                  </pic:spPr>
                </pic:pic>
              </a:graphicData>
            </a:graphic>
          </wp:inline>
        </w:drawing>
      </w:r>
    </w:p>
    <w:p w14:paraId="45626681" w14:textId="3E505530" w:rsidR="009C4CA4" w:rsidRDefault="009C4CA4" w:rsidP="00B17D2D">
      <w:r>
        <w:t>Other</w:t>
      </w:r>
      <w:r>
        <w:rPr>
          <w:spacing w:val="-7"/>
        </w:rPr>
        <w:t xml:space="preserve"> </w:t>
      </w:r>
      <w:r>
        <w:t>subgroup</w:t>
      </w:r>
      <w:r>
        <w:rPr>
          <w:spacing w:val="-4"/>
        </w:rPr>
        <w:t xml:space="preserve"> </w:t>
      </w:r>
      <w:r>
        <w:t>analyses</w:t>
      </w:r>
      <w:r>
        <w:rPr>
          <w:spacing w:val="-3"/>
        </w:rPr>
        <w:t xml:space="preserve"> </w:t>
      </w:r>
      <w:r>
        <w:t>showed</w:t>
      </w:r>
      <w:r>
        <w:rPr>
          <w:spacing w:val="-4"/>
        </w:rPr>
        <w:t xml:space="preserve"> </w:t>
      </w:r>
      <w:r>
        <w:t>a</w:t>
      </w:r>
      <w:r>
        <w:rPr>
          <w:spacing w:val="-4"/>
        </w:rPr>
        <w:t xml:space="preserve"> </w:t>
      </w:r>
      <w:r>
        <w:t>consistent</w:t>
      </w:r>
      <w:r>
        <w:rPr>
          <w:spacing w:val="-4"/>
        </w:rPr>
        <w:t xml:space="preserve"> </w:t>
      </w:r>
      <w:r>
        <w:t>effect</w:t>
      </w:r>
      <w:r>
        <w:rPr>
          <w:spacing w:val="-5"/>
        </w:rPr>
        <w:t xml:space="preserve"> </w:t>
      </w:r>
      <w:r>
        <w:t>for</w:t>
      </w:r>
      <w:r>
        <w:rPr>
          <w:spacing w:val="-4"/>
        </w:rPr>
        <w:t xml:space="preserve"> </w:t>
      </w:r>
      <w:r>
        <w:t>most</w:t>
      </w:r>
      <w:r>
        <w:rPr>
          <w:spacing w:val="-4"/>
        </w:rPr>
        <w:t xml:space="preserve"> </w:t>
      </w:r>
      <w:r>
        <w:t>subgroups</w:t>
      </w:r>
      <w:r>
        <w:rPr>
          <w:spacing w:val="-2"/>
        </w:rPr>
        <w:t xml:space="preserve"> </w:t>
      </w:r>
      <w:r>
        <w:t>and</w:t>
      </w:r>
      <w:r>
        <w:rPr>
          <w:spacing w:val="-6"/>
        </w:rPr>
        <w:t xml:space="preserve"> </w:t>
      </w:r>
      <w:r>
        <w:t>are</w:t>
      </w:r>
      <w:r>
        <w:rPr>
          <w:spacing w:val="-4"/>
        </w:rPr>
        <w:t xml:space="preserve"> </w:t>
      </w:r>
      <w:r w:rsidR="00B17D2D">
        <w:t>shown in</w:t>
      </w:r>
      <w:r w:rsidR="003B75ED">
        <w:br/>
      </w:r>
      <w:r w:rsidR="00B17D2D">
        <w:t>Figure 7.</w:t>
      </w:r>
    </w:p>
    <w:p w14:paraId="6B0344F1" w14:textId="6644B36B" w:rsidR="009C4CA4" w:rsidRDefault="009C4CA4" w:rsidP="0068316A">
      <w:pPr>
        <w:pStyle w:val="FigureTitle"/>
        <w:rPr>
          <w:spacing w:val="-2"/>
        </w:rPr>
      </w:pPr>
      <w:r>
        <w:t>Figure</w:t>
      </w:r>
      <w:r>
        <w:rPr>
          <w:spacing w:val="-7"/>
        </w:rPr>
        <w:t xml:space="preserve"> </w:t>
      </w:r>
      <w:r>
        <w:t>7:</w:t>
      </w:r>
      <w:r>
        <w:rPr>
          <w:spacing w:val="-6"/>
        </w:rPr>
        <w:t xml:space="preserve"> </w:t>
      </w:r>
      <w:r>
        <w:t>CAPITello-291,</w:t>
      </w:r>
      <w:r>
        <w:rPr>
          <w:spacing w:val="-7"/>
        </w:rPr>
        <w:t xml:space="preserve"> </w:t>
      </w:r>
      <w:r>
        <w:t>Forest</w:t>
      </w:r>
      <w:r>
        <w:rPr>
          <w:spacing w:val="-6"/>
        </w:rPr>
        <w:t xml:space="preserve"> </w:t>
      </w:r>
      <w:r>
        <w:t>Plot</w:t>
      </w:r>
      <w:r>
        <w:rPr>
          <w:spacing w:val="-6"/>
        </w:rPr>
        <w:t xml:space="preserve"> </w:t>
      </w:r>
      <w:r>
        <w:t>of</w:t>
      </w:r>
      <w:r>
        <w:rPr>
          <w:spacing w:val="-6"/>
        </w:rPr>
        <w:t xml:space="preserve"> </w:t>
      </w:r>
      <w:r>
        <w:t>PFS</w:t>
      </w:r>
      <w:r>
        <w:rPr>
          <w:spacing w:val="-5"/>
        </w:rPr>
        <w:t xml:space="preserve"> </w:t>
      </w:r>
      <w:r>
        <w:t>by</w:t>
      </w:r>
      <w:r>
        <w:rPr>
          <w:spacing w:val="-7"/>
        </w:rPr>
        <w:t xml:space="preserve"> </w:t>
      </w:r>
      <w:r w:rsidRPr="0068316A">
        <w:t>subgroups</w:t>
      </w:r>
    </w:p>
    <w:p w14:paraId="5E15E8FD" w14:textId="5D287662" w:rsidR="004B569B" w:rsidRDefault="00DE04F6" w:rsidP="0068316A">
      <w:r w:rsidRPr="008F4B87">
        <w:rPr>
          <w:noProof/>
        </w:rPr>
        <w:drawing>
          <wp:inline distT="0" distB="0" distL="0" distR="0" wp14:anchorId="4BE08B44" wp14:editId="141FBEC7">
            <wp:extent cx="5759450" cy="2828009"/>
            <wp:effectExtent l="0" t="0" r="0" b="0"/>
            <wp:docPr id="47" name="Picture 47" descr="Forest plot showing the hazard ratios (HR) for progression-free survival (PFS) across various subgroups in the CAPItello-291 stu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orest plot showing the hazard ratios (HR) for progression-free survival (PFS) across various subgroups in the CAPItello-291 study.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2828009"/>
                    </a:xfrm>
                    <a:prstGeom prst="rect">
                      <a:avLst/>
                    </a:prstGeom>
                    <a:noFill/>
                  </pic:spPr>
                </pic:pic>
              </a:graphicData>
            </a:graphic>
          </wp:inline>
        </w:drawing>
      </w:r>
    </w:p>
    <w:p w14:paraId="13B313BF" w14:textId="368CF219" w:rsidR="004B569B" w:rsidRDefault="001053AE" w:rsidP="0068316A">
      <w:r w:rsidRPr="008F4B87">
        <w:rPr>
          <w:noProof/>
        </w:rPr>
        <w:lastRenderedPageBreak/>
        <w:drawing>
          <wp:inline distT="0" distB="0" distL="0" distR="0" wp14:anchorId="7BA9B230" wp14:editId="57C4A270">
            <wp:extent cx="5759450" cy="2806263"/>
            <wp:effectExtent l="0" t="0" r="0" b="0"/>
            <wp:docPr id="64" name="Picture 64" descr="Forest plot showing the hazard ratios (HR) for progression-free survival (PFS) across various subgroups in the CAPItello-291 stu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Forest plot showing the hazard ratios (HR) for progression-free survival (PFS) across various subgroups in the CAPItello-291 study.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3918" cy="2813312"/>
                    </a:xfrm>
                    <a:prstGeom prst="rect">
                      <a:avLst/>
                    </a:prstGeom>
                    <a:noFill/>
                  </pic:spPr>
                </pic:pic>
              </a:graphicData>
            </a:graphic>
          </wp:inline>
        </w:drawing>
      </w:r>
    </w:p>
    <w:p w14:paraId="38B4FD20" w14:textId="1D1DD2A1" w:rsidR="0022722D" w:rsidRDefault="003D75C1" w:rsidP="0068316A">
      <w:r w:rsidRPr="008F4B87">
        <w:rPr>
          <w:noProof/>
        </w:rPr>
        <w:drawing>
          <wp:inline distT="0" distB="0" distL="0" distR="0" wp14:anchorId="63363732" wp14:editId="23ED43E0">
            <wp:extent cx="5759450" cy="2838684"/>
            <wp:effectExtent l="0" t="0" r="0" b="0"/>
            <wp:docPr id="66" name="Picture 66" descr="Forest plot showing the hazard ratios (HR) for progression-free survival (PFS) across various subgroups in the CAPItello-291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Forest plot showing the hazard ratios (HR) for progression-free survival (PFS) across various subgroups in the CAPItello-291 stud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2838684"/>
                    </a:xfrm>
                    <a:prstGeom prst="rect">
                      <a:avLst/>
                    </a:prstGeom>
                    <a:noFill/>
                  </pic:spPr>
                </pic:pic>
              </a:graphicData>
            </a:graphic>
          </wp:inline>
        </w:drawing>
      </w:r>
    </w:p>
    <w:p w14:paraId="53E14491" w14:textId="77777777" w:rsidR="0022722D" w:rsidRPr="008F4B87" w:rsidRDefault="0022722D" w:rsidP="0068316A">
      <w:pPr>
        <w:pStyle w:val="FigureDescription"/>
      </w:pPr>
      <w:r w:rsidRPr="008F4B87">
        <w:lastRenderedPageBreak/>
        <w:t>Progression determined by RECIST v1.1.</w:t>
      </w:r>
    </w:p>
    <w:p w14:paraId="04105914" w14:textId="77777777" w:rsidR="0022722D" w:rsidRPr="008F4B87" w:rsidRDefault="0022722D" w:rsidP="0068316A">
      <w:pPr>
        <w:pStyle w:val="FigureDescription"/>
      </w:pPr>
      <w:r w:rsidRPr="008F4B87">
        <w:t xml:space="preserve">Hazard ratio &lt; 1 implies a lower risk of progression on </w:t>
      </w:r>
      <w:proofErr w:type="spellStart"/>
      <w:r w:rsidRPr="008F4B87">
        <w:t>capivasertib</w:t>
      </w:r>
      <w:proofErr w:type="spellEnd"/>
      <w:r w:rsidRPr="008F4B87">
        <w:t xml:space="preserve"> + </w:t>
      </w:r>
      <w:proofErr w:type="spellStart"/>
      <w:r w:rsidRPr="008F4B87">
        <w:t>fulvestrant</w:t>
      </w:r>
      <w:proofErr w:type="spellEnd"/>
      <w:r w:rsidRPr="008F4B87">
        <w:t>.</w:t>
      </w:r>
    </w:p>
    <w:p w14:paraId="0236050C" w14:textId="77777777" w:rsidR="0022722D" w:rsidRPr="008F4B87" w:rsidRDefault="0022722D" w:rsidP="0068316A">
      <w:pPr>
        <w:pStyle w:val="FigureDescription"/>
      </w:pPr>
      <w:r w:rsidRPr="008F4B87">
        <w:t>Cox proportional hazards model including treatment term only was fitted for each subgroup level as factor.</w:t>
      </w:r>
    </w:p>
    <w:p w14:paraId="6D6C5A59" w14:textId="77777777" w:rsidR="0022722D" w:rsidRPr="008F4B87" w:rsidRDefault="0022722D" w:rsidP="0068316A">
      <w:pPr>
        <w:pStyle w:val="FigureDescription"/>
      </w:pPr>
      <w:r w:rsidRPr="008F4B87">
        <w:t>‘All patients’ analysis presents primary analysis results.</w:t>
      </w:r>
    </w:p>
    <w:p w14:paraId="70D302FD" w14:textId="77777777" w:rsidR="0022722D" w:rsidRPr="008F4B87" w:rsidRDefault="0022722D" w:rsidP="0068316A">
      <w:pPr>
        <w:pStyle w:val="FigureDescription"/>
      </w:pPr>
      <w:r w:rsidRPr="008F4B87">
        <w:t>Size of circle is proportional to the number of events.</w:t>
      </w:r>
    </w:p>
    <w:p w14:paraId="6A26A203" w14:textId="77777777" w:rsidR="0022722D" w:rsidRPr="008F4B87" w:rsidRDefault="0022722D" w:rsidP="0068316A">
      <w:pPr>
        <w:pStyle w:val="FigureDescription"/>
      </w:pPr>
      <w:r w:rsidRPr="008F4B87">
        <w:t>Grey band represents the 95% CI for the overall (all patients) HR.</w:t>
      </w:r>
    </w:p>
    <w:p w14:paraId="672241E7" w14:textId="77777777" w:rsidR="0022722D" w:rsidRPr="008F4B87" w:rsidRDefault="0022722D" w:rsidP="0068316A">
      <w:pPr>
        <w:pStyle w:val="FigureDescription"/>
      </w:pPr>
      <w:r w:rsidRPr="008F4B87">
        <w:t>Progression includes deaths in the absence of RECIST progression.</w:t>
      </w:r>
    </w:p>
    <w:p w14:paraId="28471B94" w14:textId="77777777" w:rsidR="0022722D" w:rsidRPr="008F4B87" w:rsidRDefault="0022722D" w:rsidP="0068316A">
      <w:pPr>
        <w:pStyle w:val="FigureDescription"/>
      </w:pPr>
      <w:r w:rsidRPr="008F4B87">
        <w:t>Does not include RECIST progression events that occur after 2 or more missed visits or death after 2 visits of baseline where the patient has no evaluable visits or does not have a baseline assessment.</w:t>
      </w:r>
    </w:p>
    <w:p w14:paraId="4AF9BC61" w14:textId="77777777" w:rsidR="0022722D" w:rsidRPr="008F4B87" w:rsidRDefault="0022722D" w:rsidP="0068316A">
      <w:pPr>
        <w:pStyle w:val="FigureDescription"/>
      </w:pPr>
      <w:r w:rsidRPr="008F4B87">
        <w:t xml:space="preserve">The </w:t>
      </w:r>
      <w:r w:rsidRPr="008F4B87">
        <w:rPr>
          <w:i/>
        </w:rPr>
        <w:t>PIK3CA/AKT1/PTEN</w:t>
      </w:r>
      <w:r w:rsidRPr="008F4B87">
        <w:t xml:space="preserve"> non-altered (Non-altered Population) comprises the Known Non-altered Population and No Result Population.</w:t>
      </w:r>
    </w:p>
    <w:p w14:paraId="69BCB73E" w14:textId="77777777" w:rsidR="0022722D" w:rsidRPr="008F4B87" w:rsidRDefault="0022722D" w:rsidP="0068316A">
      <w:pPr>
        <w:pStyle w:val="FigureDescription"/>
      </w:pPr>
      <w:r w:rsidRPr="008F4B87">
        <w:t>Race ‘Other’ includes Black or African American, Native Hawaiian or Other Pacific Islander and American Indian or Alaska Native.</w:t>
      </w:r>
    </w:p>
    <w:p w14:paraId="07CEB5D8" w14:textId="77777777" w:rsidR="0022722D" w:rsidRPr="008F4B87" w:rsidRDefault="0022722D" w:rsidP="0068316A">
      <w:pPr>
        <w:pStyle w:val="FigureDescription"/>
      </w:pPr>
      <w:r w:rsidRPr="008F4B87">
        <w:t>Region 1: United States, Canada, Western Europe, Australia, and Israel; Region 2: Latin America, Eastern Europe, and Russia; Region 3: Asia.</w:t>
      </w:r>
    </w:p>
    <w:p w14:paraId="2022DDA9" w14:textId="77777777" w:rsidR="0022722D" w:rsidRPr="008F4B87" w:rsidRDefault="0022722D" w:rsidP="0068316A">
      <w:pPr>
        <w:pStyle w:val="FigureDescription"/>
      </w:pPr>
      <w:r w:rsidRPr="008F4B87">
        <w:t>* Hazard ratio</w:t>
      </w:r>
      <w:r w:rsidRPr="008F4B87" w:rsidDel="00A25776">
        <w:t xml:space="preserve"> </w:t>
      </w:r>
      <w:r w:rsidRPr="008F4B87">
        <w:t>and CI not calculated due to insufficient number of events.</w:t>
      </w:r>
    </w:p>
    <w:p w14:paraId="749E6D17" w14:textId="77777777" w:rsidR="0022722D" w:rsidRPr="008F4B87" w:rsidRDefault="0022722D" w:rsidP="0068316A">
      <w:pPr>
        <w:pStyle w:val="FigureDescription"/>
      </w:pPr>
      <w:r w:rsidRPr="008F4B87">
        <w:t xml:space="preserve">Source: </w:t>
      </w:r>
      <w:bookmarkStart w:id="57" w:name="_Hlk120015901"/>
      <w:bookmarkStart w:id="58" w:name="_Hlk123726242"/>
      <w:r w:rsidRPr="008F4B87">
        <w:t>Figure 14.2.1.9</w:t>
      </w:r>
      <w:bookmarkEnd w:id="57"/>
      <w:bookmarkEnd w:id="58"/>
      <w:r w:rsidRPr="008F4B87">
        <w:t>.</w:t>
      </w:r>
    </w:p>
    <w:p w14:paraId="0E778110" w14:textId="38FFF70E" w:rsidR="009C4CA4" w:rsidRDefault="00477E8C" w:rsidP="0068316A">
      <w:r>
        <w:t>T</w:t>
      </w:r>
      <w:r w:rsidR="009C4CA4">
        <w:t>hese analyses suggested that efficacy was not affected by prior CDK4/6i use. The clinical evaluator noted that efficacy was potentially reduced in pre/peri-menopausal patients and those with a smoking history, however small patient numbers make it difficult to draw any firm</w:t>
      </w:r>
      <w:r w:rsidR="009C4CA4">
        <w:rPr>
          <w:spacing w:val="-2"/>
        </w:rPr>
        <w:t xml:space="preserve"> </w:t>
      </w:r>
      <w:r w:rsidR="009C4CA4">
        <w:t>conclusions.</w:t>
      </w:r>
      <w:r w:rsidR="009C4CA4">
        <w:rPr>
          <w:spacing w:val="-5"/>
        </w:rPr>
        <w:t xml:space="preserve"> </w:t>
      </w:r>
      <w:r w:rsidR="009C4CA4">
        <w:t>The</w:t>
      </w:r>
      <w:r w:rsidR="009C4CA4">
        <w:rPr>
          <w:spacing w:val="-3"/>
        </w:rPr>
        <w:t xml:space="preserve"> </w:t>
      </w:r>
      <w:r w:rsidR="009C4CA4">
        <w:t>sponsor</w:t>
      </w:r>
      <w:r w:rsidR="009C4CA4">
        <w:rPr>
          <w:spacing w:val="-3"/>
        </w:rPr>
        <w:t xml:space="preserve"> </w:t>
      </w:r>
      <w:r w:rsidR="009C4CA4">
        <w:t>also</w:t>
      </w:r>
      <w:r w:rsidR="009C4CA4">
        <w:rPr>
          <w:spacing w:val="-3"/>
        </w:rPr>
        <w:t xml:space="preserve"> </w:t>
      </w:r>
      <w:r w:rsidR="009C4CA4">
        <w:t>provided</w:t>
      </w:r>
      <w:r w:rsidR="009C4CA4">
        <w:rPr>
          <w:spacing w:val="-3"/>
        </w:rPr>
        <w:t xml:space="preserve"> </w:t>
      </w:r>
      <w:r w:rsidR="009C4CA4">
        <w:t>the</w:t>
      </w:r>
      <w:r w:rsidR="009C4CA4">
        <w:rPr>
          <w:spacing w:val="-3"/>
        </w:rPr>
        <w:t xml:space="preserve"> </w:t>
      </w:r>
      <w:r w:rsidR="009C4CA4">
        <w:t>following</w:t>
      </w:r>
      <w:r w:rsidR="009C4CA4">
        <w:rPr>
          <w:spacing w:val="-2"/>
        </w:rPr>
        <w:t xml:space="preserve"> </w:t>
      </w:r>
      <w:r w:rsidR="009C4CA4">
        <w:t>rationale</w:t>
      </w:r>
      <w:r w:rsidR="009C4CA4">
        <w:rPr>
          <w:spacing w:val="-3"/>
        </w:rPr>
        <w:t xml:space="preserve"> </w:t>
      </w:r>
      <w:r w:rsidR="009C4CA4">
        <w:t>for</w:t>
      </w:r>
      <w:r w:rsidR="009C4CA4">
        <w:rPr>
          <w:spacing w:val="-3"/>
        </w:rPr>
        <w:t xml:space="preserve"> </w:t>
      </w:r>
      <w:r w:rsidR="009C4CA4">
        <w:t>the</w:t>
      </w:r>
      <w:r w:rsidR="009C4CA4">
        <w:rPr>
          <w:spacing w:val="-3"/>
        </w:rPr>
        <w:t xml:space="preserve"> </w:t>
      </w:r>
      <w:r w:rsidR="009C4CA4">
        <w:t>findings</w:t>
      </w:r>
      <w:r w:rsidR="009C4CA4">
        <w:rPr>
          <w:spacing w:val="-2"/>
        </w:rPr>
        <w:t xml:space="preserve"> </w:t>
      </w:r>
      <w:r w:rsidR="009C4CA4">
        <w:t>in</w:t>
      </w:r>
      <w:r w:rsidR="009C4CA4">
        <w:rPr>
          <w:spacing w:val="-4"/>
        </w:rPr>
        <w:t xml:space="preserve"> </w:t>
      </w:r>
      <w:r w:rsidR="009C4CA4">
        <w:t>pre/peri- menopausal patients</w:t>
      </w:r>
      <w:r w:rsidR="006E0E4A">
        <w:t>.</w:t>
      </w:r>
    </w:p>
    <w:p w14:paraId="199EE907" w14:textId="7812FA63" w:rsidR="009C4CA4" w:rsidRDefault="00E975DC" w:rsidP="00E975DC">
      <w:pPr>
        <w:ind w:left="720"/>
      </w:pPr>
      <w:r>
        <w:t>T</w:t>
      </w:r>
      <w:r w:rsidR="009C4CA4">
        <w:t>his finding may be attributed to numerical differences in baseline characteristics by menopausal status and by treatment arm, suggesting enrichment of poor prognosis characteristics</w:t>
      </w:r>
      <w:r w:rsidR="009C4CA4">
        <w:rPr>
          <w:spacing w:val="-2"/>
        </w:rPr>
        <w:t xml:space="preserve"> </w:t>
      </w:r>
      <w:r w:rsidR="009C4CA4">
        <w:t>(e</w:t>
      </w:r>
      <w:r w:rsidR="009634C2">
        <w:t>.</w:t>
      </w:r>
      <w:r w:rsidR="009C4CA4">
        <w:t>g</w:t>
      </w:r>
      <w:r w:rsidR="009634C2">
        <w:t>.</w:t>
      </w:r>
      <w:r w:rsidR="009C4CA4">
        <w:t>,</w:t>
      </w:r>
      <w:r w:rsidR="009C4CA4">
        <w:rPr>
          <w:spacing w:val="-3"/>
        </w:rPr>
        <w:t xml:space="preserve"> </w:t>
      </w:r>
      <w:r w:rsidR="009C4CA4">
        <w:t>prior</w:t>
      </w:r>
      <w:r w:rsidR="009C4CA4">
        <w:rPr>
          <w:spacing w:val="-6"/>
        </w:rPr>
        <w:t xml:space="preserve"> </w:t>
      </w:r>
      <w:r w:rsidR="009C4CA4">
        <w:t>use</w:t>
      </w:r>
      <w:r w:rsidR="009C4CA4">
        <w:rPr>
          <w:spacing w:val="-3"/>
        </w:rPr>
        <w:t xml:space="preserve"> </w:t>
      </w:r>
      <w:r w:rsidR="009C4CA4">
        <w:t>of</w:t>
      </w:r>
      <w:r w:rsidR="009C4CA4">
        <w:rPr>
          <w:spacing w:val="-3"/>
        </w:rPr>
        <w:t xml:space="preserve"> </w:t>
      </w:r>
      <w:r w:rsidR="009C4CA4">
        <w:t>CDK4/6</w:t>
      </w:r>
      <w:r w:rsidR="009C4CA4">
        <w:rPr>
          <w:spacing w:val="-3"/>
        </w:rPr>
        <w:t xml:space="preserve"> </w:t>
      </w:r>
      <w:r w:rsidR="009C4CA4">
        <w:t>inhibitors,</w:t>
      </w:r>
      <w:r w:rsidR="009C4CA4">
        <w:rPr>
          <w:spacing w:val="-5"/>
        </w:rPr>
        <w:t xml:space="preserve"> </w:t>
      </w:r>
      <w:r w:rsidR="009C4CA4">
        <w:t>presence</w:t>
      </w:r>
      <w:r w:rsidR="009C4CA4">
        <w:rPr>
          <w:spacing w:val="-3"/>
        </w:rPr>
        <w:t xml:space="preserve"> </w:t>
      </w:r>
      <w:r w:rsidR="009C4CA4">
        <w:t>of</w:t>
      </w:r>
      <w:r w:rsidR="009C4CA4">
        <w:rPr>
          <w:spacing w:val="-3"/>
        </w:rPr>
        <w:t xml:space="preserve"> </w:t>
      </w:r>
      <w:r w:rsidR="009C4CA4">
        <w:t>liver</w:t>
      </w:r>
      <w:r w:rsidR="009C4CA4">
        <w:rPr>
          <w:spacing w:val="-5"/>
        </w:rPr>
        <w:t xml:space="preserve"> </w:t>
      </w:r>
      <w:r w:rsidR="009C4CA4">
        <w:t>metastases)</w:t>
      </w:r>
      <w:r w:rsidR="009C4CA4">
        <w:rPr>
          <w:spacing w:val="-3"/>
        </w:rPr>
        <w:t xml:space="preserve"> </w:t>
      </w:r>
      <w:r w:rsidR="009C4CA4">
        <w:t>in</w:t>
      </w:r>
      <w:r w:rsidR="009C4CA4">
        <w:rPr>
          <w:spacing w:val="-4"/>
        </w:rPr>
        <w:t xml:space="preserve"> </w:t>
      </w:r>
      <w:r w:rsidR="009C4CA4">
        <w:t>the pre/peri-menopausal subgroup, with some numerical differences between arms.</w:t>
      </w:r>
    </w:p>
    <w:p w14:paraId="005E7D73" w14:textId="22DE551B" w:rsidR="009C4CA4" w:rsidRDefault="009C4CA4" w:rsidP="00381D02">
      <w:pPr>
        <w:spacing w:after="240"/>
        <w:ind w:left="720"/>
      </w:pPr>
      <w:r>
        <w:t>Although</w:t>
      </w:r>
      <w:r>
        <w:rPr>
          <w:spacing w:val="-2"/>
        </w:rPr>
        <w:t xml:space="preserve"> </w:t>
      </w:r>
      <w:r>
        <w:t>the</w:t>
      </w:r>
      <w:r>
        <w:rPr>
          <w:spacing w:val="-3"/>
        </w:rPr>
        <w:t xml:space="preserve"> </w:t>
      </w:r>
      <w:r>
        <w:t>number</w:t>
      </w:r>
      <w:r>
        <w:rPr>
          <w:spacing w:val="-3"/>
        </w:rPr>
        <w:t xml:space="preserve"> </w:t>
      </w:r>
      <w:r>
        <w:t>of</w:t>
      </w:r>
      <w:r>
        <w:rPr>
          <w:spacing w:val="-3"/>
        </w:rPr>
        <w:t xml:space="preserve"> </w:t>
      </w:r>
      <w:r>
        <w:t>patients</w:t>
      </w:r>
      <w:r>
        <w:rPr>
          <w:spacing w:val="-4"/>
        </w:rPr>
        <w:t xml:space="preserve"> </w:t>
      </w:r>
      <w:r>
        <w:t>and</w:t>
      </w:r>
      <w:r>
        <w:rPr>
          <w:spacing w:val="-3"/>
        </w:rPr>
        <w:t xml:space="preserve"> </w:t>
      </w:r>
      <w:r>
        <w:t>the</w:t>
      </w:r>
      <w:r>
        <w:rPr>
          <w:spacing w:val="-3"/>
        </w:rPr>
        <w:t xml:space="preserve"> </w:t>
      </w:r>
      <w:r>
        <w:t>number</w:t>
      </w:r>
      <w:r>
        <w:rPr>
          <w:spacing w:val="-3"/>
        </w:rPr>
        <w:t xml:space="preserve"> </w:t>
      </w:r>
      <w:r>
        <w:t>of</w:t>
      </w:r>
      <w:r>
        <w:rPr>
          <w:spacing w:val="-5"/>
        </w:rPr>
        <w:t xml:space="preserve"> </w:t>
      </w:r>
      <w:r>
        <w:t>PFS</w:t>
      </w:r>
      <w:r>
        <w:rPr>
          <w:spacing w:val="-2"/>
        </w:rPr>
        <w:t xml:space="preserve"> </w:t>
      </w:r>
      <w:r>
        <w:t>events</w:t>
      </w:r>
      <w:r>
        <w:rPr>
          <w:spacing w:val="-2"/>
        </w:rPr>
        <w:t xml:space="preserve"> </w:t>
      </w:r>
      <w:r>
        <w:t>in</w:t>
      </w:r>
      <w:r>
        <w:rPr>
          <w:spacing w:val="-4"/>
        </w:rPr>
        <w:t xml:space="preserve"> </w:t>
      </w:r>
      <w:r>
        <w:t xml:space="preserve">pre/perimenopausal patients are too small to interpret the data clearly, the PFS results numerically favour </w:t>
      </w:r>
      <w:proofErr w:type="spellStart"/>
      <w:r>
        <w:t>capivasertib</w:t>
      </w:r>
      <w:proofErr w:type="spellEnd"/>
      <w:r>
        <w:t xml:space="preserve"> + </w:t>
      </w:r>
      <w:proofErr w:type="spellStart"/>
      <w:r>
        <w:t>fulvestrant</w:t>
      </w:r>
      <w:proofErr w:type="spellEnd"/>
      <w:r>
        <w:t xml:space="preserve"> in this subgroup of patients.</w:t>
      </w:r>
    </w:p>
    <w:p w14:paraId="49A696A9" w14:textId="398FB4A7" w:rsidR="00154462" w:rsidRPr="00154462" w:rsidRDefault="009C4CA4" w:rsidP="0068316A">
      <w:pPr>
        <w:pStyle w:val="Heading6"/>
      </w:pPr>
      <w:bookmarkStart w:id="59" w:name="Results:_Secondary_Endpoints"/>
      <w:bookmarkEnd w:id="59"/>
      <w:r w:rsidRPr="00154462">
        <w:t xml:space="preserve">Results: Secondary </w:t>
      </w:r>
      <w:r w:rsidR="0068316A" w:rsidRPr="0068316A">
        <w:t>e</w:t>
      </w:r>
      <w:r w:rsidRPr="0068316A">
        <w:t>ndpoints</w:t>
      </w:r>
      <w:bookmarkStart w:id="60" w:name="Overall_survival"/>
      <w:bookmarkEnd w:id="60"/>
    </w:p>
    <w:p w14:paraId="35EC6728" w14:textId="351C7F68" w:rsidR="009C4CA4" w:rsidRPr="00EC60A7" w:rsidRDefault="009C4CA4" w:rsidP="0068316A">
      <w:pPr>
        <w:pStyle w:val="Heading7"/>
        <w:rPr>
          <w:b/>
          <w:bCs/>
        </w:rPr>
      </w:pPr>
      <w:r w:rsidRPr="00EC60A7">
        <w:t>Overall survival</w:t>
      </w:r>
    </w:p>
    <w:p w14:paraId="5C5DC524" w14:textId="57DAA4FA" w:rsidR="009C4CA4" w:rsidRDefault="009C4CA4" w:rsidP="00154462">
      <w:r>
        <w:t>At</w:t>
      </w:r>
      <w:r>
        <w:rPr>
          <w:spacing w:val="-2"/>
        </w:rPr>
        <w:t xml:space="preserve"> </w:t>
      </w:r>
      <w:r>
        <w:t>the</w:t>
      </w:r>
      <w:r>
        <w:rPr>
          <w:spacing w:val="-2"/>
        </w:rPr>
        <w:t xml:space="preserve"> </w:t>
      </w:r>
      <w:r>
        <w:t>15</w:t>
      </w:r>
      <w:r>
        <w:rPr>
          <w:spacing w:val="-2"/>
        </w:rPr>
        <w:t xml:space="preserve"> </w:t>
      </w:r>
      <w:r>
        <w:t>August</w:t>
      </w:r>
      <w:r>
        <w:rPr>
          <w:spacing w:val="-2"/>
        </w:rPr>
        <w:t xml:space="preserve"> </w:t>
      </w:r>
      <w:r>
        <w:t>2022</w:t>
      </w:r>
      <w:r>
        <w:rPr>
          <w:spacing w:val="-2"/>
        </w:rPr>
        <w:t xml:space="preserve"> </w:t>
      </w:r>
      <w:r w:rsidR="009634C2">
        <w:t>data cut off</w:t>
      </w:r>
      <w:r>
        <w:t>,</w:t>
      </w:r>
      <w:r>
        <w:rPr>
          <w:spacing w:val="-2"/>
        </w:rPr>
        <w:t xml:space="preserve"> </w:t>
      </w:r>
      <w:r w:rsidR="009634C2">
        <w:rPr>
          <w:spacing w:val="-2"/>
        </w:rPr>
        <w:t>overall survival (</w:t>
      </w:r>
      <w:r>
        <w:t>OS</w:t>
      </w:r>
      <w:r w:rsidR="006E0E4A">
        <w:t>)</w:t>
      </w:r>
      <w:r>
        <w:rPr>
          <w:spacing w:val="-1"/>
        </w:rPr>
        <w:t xml:space="preserve"> </w:t>
      </w:r>
      <w:r>
        <w:t>data</w:t>
      </w:r>
      <w:r>
        <w:rPr>
          <w:spacing w:val="-2"/>
        </w:rPr>
        <w:t xml:space="preserve"> </w:t>
      </w:r>
      <w:r>
        <w:t>were</w:t>
      </w:r>
      <w:r>
        <w:rPr>
          <w:spacing w:val="-2"/>
        </w:rPr>
        <w:t xml:space="preserve"> </w:t>
      </w:r>
      <w:r>
        <w:t>27.5%</w:t>
      </w:r>
      <w:r>
        <w:rPr>
          <w:spacing w:val="-2"/>
        </w:rPr>
        <w:t xml:space="preserve"> </w:t>
      </w:r>
      <w:r>
        <w:t>and</w:t>
      </w:r>
      <w:r>
        <w:rPr>
          <w:spacing w:val="-2"/>
        </w:rPr>
        <w:t xml:space="preserve"> </w:t>
      </w:r>
      <w:r>
        <w:t>30.1%</w:t>
      </w:r>
      <w:r>
        <w:rPr>
          <w:spacing w:val="-4"/>
        </w:rPr>
        <w:t xml:space="preserve"> </w:t>
      </w:r>
      <w:r>
        <w:t>mature</w:t>
      </w:r>
      <w:r>
        <w:rPr>
          <w:spacing w:val="-2"/>
        </w:rPr>
        <w:t xml:space="preserve"> </w:t>
      </w:r>
      <w:r>
        <w:t>in</w:t>
      </w:r>
      <w:r>
        <w:rPr>
          <w:spacing w:val="-3"/>
        </w:rPr>
        <w:t xml:space="preserve"> </w:t>
      </w:r>
      <w:r>
        <w:t>the</w:t>
      </w:r>
      <w:r>
        <w:rPr>
          <w:spacing w:val="-4"/>
        </w:rPr>
        <w:t xml:space="preserve"> </w:t>
      </w:r>
      <w:r>
        <w:t>overall</w:t>
      </w:r>
      <w:r>
        <w:rPr>
          <w:spacing w:val="-2"/>
        </w:rPr>
        <w:t xml:space="preserve"> </w:t>
      </w:r>
      <w:r>
        <w:t>and</w:t>
      </w:r>
      <w:r>
        <w:rPr>
          <w:spacing w:val="-2"/>
        </w:rPr>
        <w:t xml:space="preserve"> </w:t>
      </w:r>
      <w:r>
        <w:t>altered populations respectively. In the overall population, median OS was not calculable.</w:t>
      </w:r>
      <w:r>
        <w:rPr>
          <w:spacing w:val="40"/>
        </w:rPr>
        <w:t xml:space="preserve"> </w:t>
      </w:r>
      <w:r>
        <w:t>The proportion of patients surviving to 24 months was 64.3% (95% CI: 55.5 to 71.8) in the</w:t>
      </w:r>
      <w:r w:rsidR="00154462">
        <w:t xml:space="preserve"> </w:t>
      </w:r>
      <w:proofErr w:type="spellStart"/>
      <w:r>
        <w:t>capivasertib</w:t>
      </w:r>
      <w:proofErr w:type="spellEnd"/>
      <w:r>
        <w:rPr>
          <w:spacing w:val="-7"/>
        </w:rPr>
        <w:t xml:space="preserve"> </w:t>
      </w:r>
      <w:r>
        <w:t>group</w:t>
      </w:r>
      <w:r>
        <w:rPr>
          <w:spacing w:val="-3"/>
        </w:rPr>
        <w:t xml:space="preserve"> </w:t>
      </w:r>
      <w:r>
        <w:t>and</w:t>
      </w:r>
      <w:r>
        <w:rPr>
          <w:spacing w:val="-3"/>
        </w:rPr>
        <w:t xml:space="preserve"> </w:t>
      </w:r>
      <w:r>
        <w:t>56.5%</w:t>
      </w:r>
      <w:r>
        <w:rPr>
          <w:spacing w:val="-3"/>
        </w:rPr>
        <w:t xml:space="preserve"> </w:t>
      </w:r>
      <w:r>
        <w:t>(95%</w:t>
      </w:r>
      <w:r>
        <w:rPr>
          <w:spacing w:val="-3"/>
        </w:rPr>
        <w:t xml:space="preserve"> </w:t>
      </w:r>
      <w:r>
        <w:t>CI:</w:t>
      </w:r>
      <w:r>
        <w:rPr>
          <w:spacing w:val="-5"/>
        </w:rPr>
        <w:t xml:space="preserve"> </w:t>
      </w:r>
      <w:r>
        <w:t>48.3</w:t>
      </w:r>
      <w:r>
        <w:rPr>
          <w:spacing w:val="-3"/>
        </w:rPr>
        <w:t xml:space="preserve"> </w:t>
      </w:r>
      <w:r>
        <w:t>to</w:t>
      </w:r>
      <w:r>
        <w:rPr>
          <w:spacing w:val="-3"/>
        </w:rPr>
        <w:t xml:space="preserve"> </w:t>
      </w:r>
      <w:r>
        <w:t>63.9)</w:t>
      </w:r>
      <w:r>
        <w:rPr>
          <w:spacing w:val="-3"/>
        </w:rPr>
        <w:t xml:space="preserve"> </w:t>
      </w:r>
      <w:r>
        <w:t>in</w:t>
      </w:r>
      <w:r>
        <w:rPr>
          <w:spacing w:val="-4"/>
        </w:rPr>
        <w:t xml:space="preserve"> </w:t>
      </w:r>
      <w:r>
        <w:t>the</w:t>
      </w:r>
      <w:r>
        <w:rPr>
          <w:spacing w:val="-3"/>
        </w:rPr>
        <w:t xml:space="preserve"> </w:t>
      </w:r>
      <w:r>
        <w:t>placebo</w:t>
      </w:r>
      <w:r>
        <w:rPr>
          <w:spacing w:val="-3"/>
        </w:rPr>
        <w:t xml:space="preserve"> </w:t>
      </w:r>
      <w:r>
        <w:t>(HR</w:t>
      </w:r>
      <w:r>
        <w:rPr>
          <w:spacing w:val="-3"/>
        </w:rPr>
        <w:t xml:space="preserve"> </w:t>
      </w:r>
      <w:r>
        <w:t>=</w:t>
      </w:r>
      <w:r>
        <w:rPr>
          <w:spacing w:val="-3"/>
        </w:rPr>
        <w:t xml:space="preserve"> </w:t>
      </w:r>
      <w:r>
        <w:t>0.74</w:t>
      </w:r>
      <w:r>
        <w:rPr>
          <w:spacing w:val="-3"/>
        </w:rPr>
        <w:t xml:space="preserve"> </w:t>
      </w:r>
      <w:r>
        <w:t>(95%</w:t>
      </w:r>
      <w:r>
        <w:rPr>
          <w:spacing w:val="-3"/>
        </w:rPr>
        <w:t xml:space="preserve"> </w:t>
      </w:r>
      <w:r>
        <w:t>CI:</w:t>
      </w:r>
      <w:r>
        <w:rPr>
          <w:spacing w:val="-4"/>
        </w:rPr>
        <w:t xml:space="preserve"> </w:t>
      </w:r>
      <w:r>
        <w:rPr>
          <w:spacing w:val="-2"/>
        </w:rPr>
        <w:t>0.56-0.98)).</w:t>
      </w:r>
    </w:p>
    <w:p w14:paraId="60F2BD98" w14:textId="16EEB0A2" w:rsidR="009C4CA4" w:rsidRDefault="009C4CA4" w:rsidP="00154462">
      <w:r>
        <w:t>In the altered population, the proportion of patients surviving to 24 months was 63.8% (95% CI:</w:t>
      </w:r>
      <w:r>
        <w:rPr>
          <w:spacing w:val="-2"/>
        </w:rPr>
        <w:t xml:space="preserve"> </w:t>
      </w:r>
      <w:r>
        <w:t>50.8</w:t>
      </w:r>
      <w:r>
        <w:rPr>
          <w:spacing w:val="-4"/>
        </w:rPr>
        <w:t xml:space="preserve"> </w:t>
      </w:r>
      <w:r>
        <w:t>-</w:t>
      </w:r>
      <w:r>
        <w:rPr>
          <w:spacing w:val="-1"/>
        </w:rPr>
        <w:t xml:space="preserve"> </w:t>
      </w:r>
      <w:r>
        <w:t>74.2)</w:t>
      </w:r>
      <w:r>
        <w:rPr>
          <w:spacing w:val="-5"/>
        </w:rPr>
        <w:t xml:space="preserve"> </w:t>
      </w:r>
      <w:r>
        <w:t>in</w:t>
      </w:r>
      <w:r>
        <w:rPr>
          <w:spacing w:val="-3"/>
        </w:rPr>
        <w:t xml:space="preserve"> </w:t>
      </w:r>
      <w:r>
        <w:t>the</w:t>
      </w:r>
      <w:r>
        <w:rPr>
          <w:spacing w:val="-2"/>
        </w:rPr>
        <w:t xml:space="preserve"> </w:t>
      </w:r>
      <w:proofErr w:type="spellStart"/>
      <w:r>
        <w:t>capivasertib</w:t>
      </w:r>
      <w:proofErr w:type="spellEnd"/>
      <w:r>
        <w:rPr>
          <w:spacing w:val="-3"/>
        </w:rPr>
        <w:t xml:space="preserve"> </w:t>
      </w:r>
      <w:r>
        <w:t>group</w:t>
      </w:r>
      <w:r>
        <w:rPr>
          <w:spacing w:val="-2"/>
        </w:rPr>
        <w:t xml:space="preserve"> </w:t>
      </w:r>
      <w:r>
        <w:t>and</w:t>
      </w:r>
      <w:r>
        <w:rPr>
          <w:spacing w:val="-2"/>
        </w:rPr>
        <w:t xml:space="preserve"> </w:t>
      </w:r>
      <w:r>
        <w:t>57.7%</w:t>
      </w:r>
      <w:r>
        <w:rPr>
          <w:spacing w:val="-4"/>
        </w:rPr>
        <w:t xml:space="preserve"> </w:t>
      </w:r>
      <w:r>
        <w:t>(95%</w:t>
      </w:r>
      <w:r>
        <w:rPr>
          <w:spacing w:val="-2"/>
        </w:rPr>
        <w:t xml:space="preserve"> </w:t>
      </w:r>
      <w:r>
        <w:t>CI:</w:t>
      </w:r>
      <w:r>
        <w:rPr>
          <w:spacing w:val="-3"/>
        </w:rPr>
        <w:t xml:space="preserve"> </w:t>
      </w:r>
      <w:r>
        <w:t>46.1</w:t>
      </w:r>
      <w:r>
        <w:rPr>
          <w:spacing w:val="-2"/>
        </w:rPr>
        <w:t xml:space="preserve"> </w:t>
      </w:r>
      <w:r>
        <w:t>to</w:t>
      </w:r>
      <w:r>
        <w:rPr>
          <w:spacing w:val="-2"/>
        </w:rPr>
        <w:t xml:space="preserve"> </w:t>
      </w:r>
      <w:r>
        <w:t>67.7)</w:t>
      </w:r>
      <w:r>
        <w:rPr>
          <w:spacing w:val="-2"/>
        </w:rPr>
        <w:t xml:space="preserve"> </w:t>
      </w:r>
      <w:r>
        <w:t>in</w:t>
      </w:r>
      <w:r>
        <w:rPr>
          <w:spacing w:val="-5"/>
        </w:rPr>
        <w:t xml:space="preserve"> </w:t>
      </w:r>
      <w:r>
        <w:t>the</w:t>
      </w:r>
      <w:r>
        <w:rPr>
          <w:spacing w:val="-2"/>
        </w:rPr>
        <w:t xml:space="preserve"> </w:t>
      </w:r>
      <w:r>
        <w:t>placebo</w:t>
      </w:r>
      <w:r>
        <w:rPr>
          <w:spacing w:val="-2"/>
        </w:rPr>
        <w:t xml:space="preserve"> </w:t>
      </w:r>
      <w:r>
        <w:t>(HR</w:t>
      </w:r>
      <w:r>
        <w:rPr>
          <w:spacing w:val="-2"/>
        </w:rPr>
        <w:t xml:space="preserve"> </w:t>
      </w:r>
      <w:r>
        <w:t>=0.69</w:t>
      </w:r>
      <w:r>
        <w:rPr>
          <w:spacing w:val="-3"/>
        </w:rPr>
        <w:t xml:space="preserve"> </w:t>
      </w:r>
      <w:r>
        <w:t>(95%</w:t>
      </w:r>
      <w:r>
        <w:rPr>
          <w:spacing w:val="-3"/>
        </w:rPr>
        <w:t xml:space="preserve"> </w:t>
      </w:r>
      <w:r>
        <w:t>CI:</w:t>
      </w:r>
      <w:r>
        <w:rPr>
          <w:spacing w:val="-3"/>
        </w:rPr>
        <w:t xml:space="preserve"> </w:t>
      </w:r>
      <w:r>
        <w:t>0.45</w:t>
      </w:r>
      <w:r>
        <w:rPr>
          <w:spacing w:val="-3"/>
        </w:rPr>
        <w:t xml:space="preserve"> </w:t>
      </w:r>
      <w:r>
        <w:t>to</w:t>
      </w:r>
      <w:r>
        <w:rPr>
          <w:spacing w:val="-2"/>
        </w:rPr>
        <w:t xml:space="preserve"> 1.05).</w:t>
      </w:r>
    </w:p>
    <w:p w14:paraId="199E20C2" w14:textId="1DA59EA6" w:rsidR="009C4CA4" w:rsidRDefault="009C4CA4" w:rsidP="00154462">
      <w:r>
        <w:t xml:space="preserve">For the </w:t>
      </w:r>
      <w:r w:rsidR="006E0E4A">
        <w:t>n</w:t>
      </w:r>
      <w:r>
        <w:t xml:space="preserve">on-altered population, the HR was 0.76 (95% CI: 0.52-1.11), and for the </w:t>
      </w:r>
      <w:r w:rsidR="00AB2D6C">
        <w:t>k</w:t>
      </w:r>
      <w:r>
        <w:t>nown non- altered</w:t>
      </w:r>
      <w:r>
        <w:rPr>
          <w:spacing w:val="-3"/>
        </w:rPr>
        <w:t xml:space="preserve"> </w:t>
      </w:r>
      <w:r>
        <w:t>population,</w:t>
      </w:r>
      <w:r>
        <w:rPr>
          <w:spacing w:val="-3"/>
        </w:rPr>
        <w:t xml:space="preserve"> </w:t>
      </w:r>
      <w:r>
        <w:t>the</w:t>
      </w:r>
      <w:r>
        <w:rPr>
          <w:spacing w:val="-3"/>
        </w:rPr>
        <w:t xml:space="preserve"> </w:t>
      </w:r>
      <w:r>
        <w:t>HR</w:t>
      </w:r>
      <w:r>
        <w:rPr>
          <w:spacing w:val="-3"/>
        </w:rPr>
        <w:t xml:space="preserve"> </w:t>
      </w:r>
      <w:r>
        <w:t>was</w:t>
      </w:r>
      <w:r>
        <w:rPr>
          <w:spacing w:val="-2"/>
        </w:rPr>
        <w:t xml:space="preserve"> </w:t>
      </w:r>
      <w:r>
        <w:t>0.92</w:t>
      </w:r>
      <w:r>
        <w:rPr>
          <w:spacing w:val="-3"/>
        </w:rPr>
        <w:t xml:space="preserve"> </w:t>
      </w:r>
      <w:r>
        <w:t>(95%</w:t>
      </w:r>
      <w:r>
        <w:rPr>
          <w:spacing w:val="-3"/>
        </w:rPr>
        <w:t xml:space="preserve"> </w:t>
      </w:r>
      <w:r>
        <w:t>CI</w:t>
      </w:r>
      <w:r>
        <w:rPr>
          <w:spacing w:val="-3"/>
        </w:rPr>
        <w:t xml:space="preserve"> </w:t>
      </w:r>
      <w:r>
        <w:t>0.59-1.42).</w:t>
      </w:r>
      <w:r>
        <w:rPr>
          <w:spacing w:val="-3"/>
        </w:rPr>
        <w:t xml:space="preserve"> </w:t>
      </w:r>
      <w:r>
        <w:t>In</w:t>
      </w:r>
      <w:r>
        <w:rPr>
          <w:spacing w:val="-4"/>
        </w:rPr>
        <w:t xml:space="preserve"> </w:t>
      </w:r>
      <w:r>
        <w:t>the</w:t>
      </w:r>
      <w:r>
        <w:rPr>
          <w:spacing w:val="-3"/>
        </w:rPr>
        <w:t xml:space="preserve"> </w:t>
      </w:r>
      <w:r>
        <w:t>No</w:t>
      </w:r>
      <w:r>
        <w:rPr>
          <w:spacing w:val="-3"/>
        </w:rPr>
        <w:t xml:space="preserve"> </w:t>
      </w:r>
      <w:r>
        <w:t>Result</w:t>
      </w:r>
      <w:r>
        <w:rPr>
          <w:spacing w:val="-3"/>
        </w:rPr>
        <w:t xml:space="preserve"> </w:t>
      </w:r>
      <w:r>
        <w:t>population,</w:t>
      </w:r>
      <w:r>
        <w:rPr>
          <w:spacing w:val="-3"/>
        </w:rPr>
        <w:t xml:space="preserve"> </w:t>
      </w:r>
      <w:r>
        <w:t>the</w:t>
      </w:r>
      <w:r>
        <w:rPr>
          <w:spacing w:val="-3"/>
        </w:rPr>
        <w:t xml:space="preserve"> </w:t>
      </w:r>
      <w:r>
        <w:t>HR</w:t>
      </w:r>
      <w:r>
        <w:rPr>
          <w:spacing w:val="-3"/>
        </w:rPr>
        <w:t xml:space="preserve"> </w:t>
      </w:r>
      <w:r>
        <w:t>was</w:t>
      </w:r>
      <w:r w:rsidR="00154462">
        <w:t xml:space="preserve"> </w:t>
      </w:r>
      <w:r>
        <w:t>0.46</w:t>
      </w:r>
      <w:r>
        <w:rPr>
          <w:spacing w:val="-6"/>
        </w:rPr>
        <w:t xml:space="preserve"> </w:t>
      </w:r>
      <w:r>
        <w:t>(95%</w:t>
      </w:r>
      <w:r>
        <w:rPr>
          <w:spacing w:val="-3"/>
        </w:rPr>
        <w:t xml:space="preserve"> </w:t>
      </w:r>
      <w:r>
        <w:t>CI:</w:t>
      </w:r>
      <w:r>
        <w:rPr>
          <w:spacing w:val="-4"/>
        </w:rPr>
        <w:t xml:space="preserve"> </w:t>
      </w:r>
      <w:r>
        <w:t>0.20-1.00).</w:t>
      </w:r>
      <w:r>
        <w:rPr>
          <w:spacing w:val="-6"/>
        </w:rPr>
        <w:t xml:space="preserve"> </w:t>
      </w:r>
      <w:r>
        <w:t>K-M</w:t>
      </w:r>
      <w:r>
        <w:rPr>
          <w:spacing w:val="-5"/>
        </w:rPr>
        <w:t xml:space="preserve"> </w:t>
      </w:r>
      <w:r>
        <w:t>curves</w:t>
      </w:r>
      <w:r>
        <w:rPr>
          <w:spacing w:val="-2"/>
        </w:rPr>
        <w:t xml:space="preserve"> </w:t>
      </w:r>
      <w:r>
        <w:t>for</w:t>
      </w:r>
      <w:r>
        <w:rPr>
          <w:spacing w:val="-3"/>
        </w:rPr>
        <w:t xml:space="preserve"> </w:t>
      </w:r>
      <w:r>
        <w:t>OS</w:t>
      </w:r>
      <w:r>
        <w:rPr>
          <w:spacing w:val="-3"/>
        </w:rPr>
        <w:t xml:space="preserve"> </w:t>
      </w:r>
      <w:r>
        <w:t>in</w:t>
      </w:r>
      <w:r>
        <w:rPr>
          <w:spacing w:val="-4"/>
        </w:rPr>
        <w:t xml:space="preserve"> </w:t>
      </w:r>
      <w:r>
        <w:t>the</w:t>
      </w:r>
      <w:r>
        <w:rPr>
          <w:spacing w:val="-3"/>
        </w:rPr>
        <w:t xml:space="preserve"> </w:t>
      </w:r>
      <w:r>
        <w:t>five</w:t>
      </w:r>
      <w:r>
        <w:rPr>
          <w:spacing w:val="-4"/>
        </w:rPr>
        <w:t xml:space="preserve"> </w:t>
      </w:r>
      <w:r>
        <w:t>populations</w:t>
      </w:r>
      <w:r>
        <w:rPr>
          <w:spacing w:val="-2"/>
        </w:rPr>
        <w:t xml:space="preserve"> </w:t>
      </w:r>
      <w:r>
        <w:t>are</w:t>
      </w:r>
      <w:r>
        <w:rPr>
          <w:spacing w:val="-3"/>
        </w:rPr>
        <w:t xml:space="preserve"> </w:t>
      </w:r>
      <w:r>
        <w:t>shown</w:t>
      </w:r>
      <w:r>
        <w:rPr>
          <w:spacing w:val="-6"/>
        </w:rPr>
        <w:t xml:space="preserve"> </w:t>
      </w:r>
      <w:r w:rsidR="00154462">
        <w:rPr>
          <w:spacing w:val="-2"/>
        </w:rPr>
        <w:t>in Figure</w:t>
      </w:r>
      <w:r w:rsidR="004911D7">
        <w:rPr>
          <w:spacing w:val="-2"/>
        </w:rPr>
        <w:t>s</w:t>
      </w:r>
      <w:r w:rsidR="00154462">
        <w:rPr>
          <w:spacing w:val="-2"/>
        </w:rPr>
        <w:t xml:space="preserve"> 8</w:t>
      </w:r>
      <w:r w:rsidR="00AE5AF4">
        <w:rPr>
          <w:spacing w:val="-2"/>
        </w:rPr>
        <w:t xml:space="preserve"> </w:t>
      </w:r>
      <w:r w:rsidR="00B90C34">
        <w:rPr>
          <w:spacing w:val="-2"/>
        </w:rPr>
        <w:t xml:space="preserve">to </w:t>
      </w:r>
      <w:r w:rsidR="004911D7">
        <w:rPr>
          <w:spacing w:val="-2"/>
        </w:rPr>
        <w:t>12</w:t>
      </w:r>
      <w:r w:rsidR="00154462">
        <w:rPr>
          <w:spacing w:val="-2"/>
        </w:rPr>
        <w:t>.</w:t>
      </w:r>
    </w:p>
    <w:p w14:paraId="625B8220" w14:textId="0C2FDAF1" w:rsidR="009C4CA4" w:rsidRDefault="009C4CA4" w:rsidP="0068316A">
      <w:pPr>
        <w:pStyle w:val="FigureTitle"/>
      </w:pPr>
      <w:r>
        <w:lastRenderedPageBreak/>
        <w:t>Figure</w:t>
      </w:r>
      <w:r>
        <w:rPr>
          <w:spacing w:val="-8"/>
        </w:rPr>
        <w:t xml:space="preserve"> </w:t>
      </w:r>
      <w:r>
        <w:t>8:</w:t>
      </w:r>
      <w:r>
        <w:rPr>
          <w:spacing w:val="-8"/>
        </w:rPr>
        <w:t xml:space="preserve"> </w:t>
      </w:r>
      <w:r>
        <w:t>CAPITello-29</w:t>
      </w:r>
      <w:r w:rsidR="002555BB">
        <w:t>1</w:t>
      </w:r>
      <w:r>
        <w:t>,</w:t>
      </w:r>
      <w:r>
        <w:rPr>
          <w:spacing w:val="-8"/>
        </w:rPr>
        <w:t xml:space="preserve"> </w:t>
      </w:r>
      <w:r>
        <w:t>OS</w:t>
      </w:r>
      <w:r>
        <w:rPr>
          <w:spacing w:val="-9"/>
        </w:rPr>
        <w:t xml:space="preserve"> </w:t>
      </w:r>
      <w:r w:rsidR="008A3ECB">
        <w:rPr>
          <w:spacing w:val="-9"/>
        </w:rPr>
        <w:t>r</w:t>
      </w:r>
      <w:r>
        <w:t>esults,</w:t>
      </w:r>
      <w:r>
        <w:rPr>
          <w:spacing w:val="-9"/>
        </w:rPr>
        <w:t xml:space="preserve"> </w:t>
      </w:r>
      <w:r w:rsidR="008A3ECB">
        <w:rPr>
          <w:spacing w:val="-9"/>
        </w:rPr>
        <w:t>o</w:t>
      </w:r>
      <w:r>
        <w:t>verall</w:t>
      </w:r>
      <w:r>
        <w:rPr>
          <w:spacing w:val="-9"/>
        </w:rPr>
        <w:t xml:space="preserve"> </w:t>
      </w:r>
      <w:r w:rsidRPr="0068316A">
        <w:t>population</w:t>
      </w:r>
    </w:p>
    <w:p w14:paraId="04C1F2B8" w14:textId="7A310A36" w:rsidR="00000863" w:rsidRDefault="009C4CA4" w:rsidP="0068316A">
      <w:r>
        <w:rPr>
          <w:noProof/>
        </w:rPr>
        <w:drawing>
          <wp:inline distT="0" distB="0" distL="0" distR="0" wp14:anchorId="0E766C67" wp14:editId="408D379C">
            <wp:extent cx="5536659" cy="3457575"/>
            <wp:effectExtent l="0" t="0" r="6985" b="0"/>
            <wp:docPr id="24" name="Image 24" descr="Kaplan-Meier curve showing overall survival (OS) results in the overall population of the CAPITello-290 study. The graph displays survival probability on the y-axis and time in months on the x-axis, comparing different treatment grou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Kaplan-Meier curve showing overall survival (OS) results in the overall population of the CAPITello-290 study. The graph displays survival probability on the y-axis and time in months on the x-axis, comparing different treatment group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36659" cy="3457575"/>
                    </a:xfrm>
                    <a:prstGeom prst="rect">
                      <a:avLst/>
                    </a:prstGeom>
                  </pic:spPr>
                </pic:pic>
              </a:graphicData>
            </a:graphic>
          </wp:inline>
        </w:drawing>
      </w:r>
    </w:p>
    <w:p w14:paraId="3B20C75A" w14:textId="71F703D0" w:rsidR="009C4CA4" w:rsidRDefault="009C4CA4" w:rsidP="0068316A">
      <w:pPr>
        <w:pStyle w:val="FigureTitle"/>
      </w:pPr>
      <w:r>
        <w:t>Figure</w:t>
      </w:r>
      <w:r>
        <w:rPr>
          <w:spacing w:val="-8"/>
        </w:rPr>
        <w:t xml:space="preserve"> </w:t>
      </w:r>
      <w:r>
        <w:t>9:</w:t>
      </w:r>
      <w:r>
        <w:rPr>
          <w:spacing w:val="-8"/>
        </w:rPr>
        <w:t xml:space="preserve"> </w:t>
      </w:r>
      <w:r>
        <w:t>CAPITello-29</w:t>
      </w:r>
      <w:r w:rsidR="006554FB">
        <w:t>1</w:t>
      </w:r>
      <w:r>
        <w:t>,</w:t>
      </w:r>
      <w:r>
        <w:rPr>
          <w:spacing w:val="-9"/>
        </w:rPr>
        <w:t xml:space="preserve"> </w:t>
      </w:r>
      <w:r>
        <w:t>OS</w:t>
      </w:r>
      <w:r>
        <w:rPr>
          <w:spacing w:val="-9"/>
        </w:rPr>
        <w:t xml:space="preserve"> </w:t>
      </w:r>
      <w:r w:rsidR="008A3ECB" w:rsidRPr="0068316A">
        <w:t>r</w:t>
      </w:r>
      <w:r w:rsidRPr="0068316A">
        <w:t>esults</w:t>
      </w:r>
      <w:r>
        <w:t>,</w:t>
      </w:r>
      <w:r>
        <w:rPr>
          <w:spacing w:val="-8"/>
        </w:rPr>
        <w:t xml:space="preserve"> </w:t>
      </w:r>
      <w:r w:rsidR="008A3ECB">
        <w:rPr>
          <w:spacing w:val="-8"/>
        </w:rPr>
        <w:t>a</w:t>
      </w:r>
      <w:r>
        <w:t>ltered</w:t>
      </w:r>
      <w:r>
        <w:rPr>
          <w:spacing w:val="-8"/>
        </w:rPr>
        <w:t xml:space="preserve"> </w:t>
      </w:r>
      <w:r>
        <w:rPr>
          <w:spacing w:val="-2"/>
        </w:rPr>
        <w:t>population</w:t>
      </w:r>
    </w:p>
    <w:p w14:paraId="4BAD0FBA" w14:textId="4E64E362" w:rsidR="009C4CA4" w:rsidRPr="0068316A" w:rsidRDefault="009C4CA4" w:rsidP="0068316A">
      <w:r>
        <w:rPr>
          <w:noProof/>
        </w:rPr>
        <w:drawing>
          <wp:inline distT="0" distB="0" distL="0" distR="0" wp14:anchorId="7C1C4087" wp14:editId="7BEE329F">
            <wp:extent cx="5463123" cy="3439667"/>
            <wp:effectExtent l="0" t="0" r="4445" b="8890"/>
            <wp:docPr id="25" name="Image 25" descr="Kaplan-Meier curve illustrating overall survival (OS) results in the altered population of the CAPITello-290 study. The graph shows survival probability on the y-axis and time in months on the x-axis, comparing different treatment grou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Kaplan-Meier curve illustrating overall survival (OS) results in the altered population of the CAPITello-290 study. The graph shows survival probability on the y-axis and time in months on the x-axis, comparing different treatment group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63123" cy="3439667"/>
                    </a:xfrm>
                    <a:prstGeom prst="rect">
                      <a:avLst/>
                    </a:prstGeom>
                  </pic:spPr>
                </pic:pic>
              </a:graphicData>
            </a:graphic>
          </wp:inline>
        </w:drawing>
      </w:r>
    </w:p>
    <w:p w14:paraId="6257A093" w14:textId="1F29F5DE" w:rsidR="009C4CA4" w:rsidRDefault="009C4CA4" w:rsidP="0068316A">
      <w:pPr>
        <w:pStyle w:val="FigureTitle"/>
      </w:pPr>
      <w:r w:rsidRPr="0068316A">
        <w:lastRenderedPageBreak/>
        <w:t>Figure</w:t>
      </w:r>
      <w:r>
        <w:rPr>
          <w:spacing w:val="-10"/>
        </w:rPr>
        <w:t xml:space="preserve"> </w:t>
      </w:r>
      <w:r>
        <w:t>10:</w:t>
      </w:r>
      <w:r>
        <w:rPr>
          <w:spacing w:val="-9"/>
        </w:rPr>
        <w:t xml:space="preserve"> </w:t>
      </w:r>
      <w:r>
        <w:t>CAPITello-29</w:t>
      </w:r>
      <w:r w:rsidR="006554FB">
        <w:t>1</w:t>
      </w:r>
      <w:r>
        <w:t>,</w:t>
      </w:r>
      <w:r>
        <w:rPr>
          <w:spacing w:val="-8"/>
        </w:rPr>
        <w:t xml:space="preserve"> </w:t>
      </w:r>
      <w:r>
        <w:t>OS</w:t>
      </w:r>
      <w:r>
        <w:rPr>
          <w:spacing w:val="-9"/>
        </w:rPr>
        <w:t xml:space="preserve"> </w:t>
      </w:r>
      <w:r w:rsidR="008A3ECB">
        <w:rPr>
          <w:spacing w:val="-9"/>
        </w:rPr>
        <w:t>r</w:t>
      </w:r>
      <w:r>
        <w:t>esults,</w:t>
      </w:r>
      <w:r>
        <w:rPr>
          <w:spacing w:val="-10"/>
        </w:rPr>
        <w:t xml:space="preserve"> </w:t>
      </w:r>
      <w:r w:rsidR="008A3ECB">
        <w:rPr>
          <w:spacing w:val="-10"/>
        </w:rPr>
        <w:t>n</w:t>
      </w:r>
      <w:r>
        <w:t>on-altered</w:t>
      </w:r>
      <w:r>
        <w:rPr>
          <w:spacing w:val="-9"/>
        </w:rPr>
        <w:t xml:space="preserve"> </w:t>
      </w:r>
      <w:r>
        <w:rPr>
          <w:spacing w:val="-2"/>
        </w:rPr>
        <w:t>population</w:t>
      </w:r>
    </w:p>
    <w:p w14:paraId="56B8238F" w14:textId="77777777" w:rsidR="009C4CA4" w:rsidRDefault="009C4CA4" w:rsidP="0068316A">
      <w:pPr>
        <w:rPr>
          <w:sz w:val="11"/>
        </w:rPr>
      </w:pPr>
      <w:r>
        <w:rPr>
          <w:noProof/>
        </w:rPr>
        <w:drawing>
          <wp:inline distT="0" distB="0" distL="0" distR="0" wp14:anchorId="705388E9" wp14:editId="72ECA66A">
            <wp:extent cx="5698979" cy="3689127"/>
            <wp:effectExtent l="0" t="0" r="0" b="6985"/>
            <wp:docPr id="26" name="Image 26" descr="Kaplan-Meier curve depicting overall survival (OS) results in the non-altered population of the CAPITello-290 study. The graph shows survival probability on the y-axis and time in months on the x-axis, comparing different treatment grou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Kaplan-Meier curve depicting overall survival (OS) results in the non-altered population of the CAPITello-290 study. The graph shows survival probability on the y-axis and time in months on the x-axis, comparing different treatment group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98979" cy="3689127"/>
                    </a:xfrm>
                    <a:prstGeom prst="rect">
                      <a:avLst/>
                    </a:prstGeom>
                  </pic:spPr>
                </pic:pic>
              </a:graphicData>
            </a:graphic>
          </wp:inline>
        </w:drawing>
      </w:r>
    </w:p>
    <w:p w14:paraId="1D5F2EC1" w14:textId="713D88C6" w:rsidR="009C4CA4" w:rsidRDefault="009C4CA4" w:rsidP="0068316A">
      <w:pPr>
        <w:pStyle w:val="FigureTitle"/>
      </w:pPr>
      <w:r>
        <w:t>Figure</w:t>
      </w:r>
      <w:r>
        <w:rPr>
          <w:spacing w:val="-10"/>
        </w:rPr>
        <w:t xml:space="preserve"> </w:t>
      </w:r>
      <w:r>
        <w:t>11:</w:t>
      </w:r>
      <w:r>
        <w:rPr>
          <w:spacing w:val="-9"/>
        </w:rPr>
        <w:t xml:space="preserve"> </w:t>
      </w:r>
      <w:r>
        <w:t>CAPITello-29</w:t>
      </w:r>
      <w:r w:rsidR="006554FB">
        <w:t>1</w:t>
      </w:r>
      <w:r>
        <w:t>,</w:t>
      </w:r>
      <w:r>
        <w:rPr>
          <w:spacing w:val="-9"/>
        </w:rPr>
        <w:t xml:space="preserve"> </w:t>
      </w:r>
      <w:r>
        <w:t>OS</w:t>
      </w:r>
      <w:r>
        <w:rPr>
          <w:spacing w:val="-8"/>
        </w:rPr>
        <w:t xml:space="preserve"> </w:t>
      </w:r>
      <w:r w:rsidR="008A3ECB">
        <w:rPr>
          <w:spacing w:val="-8"/>
        </w:rPr>
        <w:t>r</w:t>
      </w:r>
      <w:r>
        <w:t>esults,</w:t>
      </w:r>
      <w:r>
        <w:rPr>
          <w:spacing w:val="-10"/>
        </w:rPr>
        <w:t xml:space="preserve"> </w:t>
      </w:r>
      <w:r w:rsidR="008A3ECB">
        <w:rPr>
          <w:spacing w:val="-10"/>
        </w:rPr>
        <w:t>k</w:t>
      </w:r>
      <w:r>
        <w:t>nown</w:t>
      </w:r>
      <w:r>
        <w:rPr>
          <w:spacing w:val="-8"/>
        </w:rPr>
        <w:t xml:space="preserve"> </w:t>
      </w:r>
      <w:r>
        <w:t>non-</w:t>
      </w:r>
      <w:r w:rsidRPr="0068316A">
        <w:t>altered</w:t>
      </w:r>
      <w:r>
        <w:rPr>
          <w:spacing w:val="-9"/>
        </w:rPr>
        <w:t xml:space="preserve"> </w:t>
      </w:r>
      <w:r>
        <w:rPr>
          <w:spacing w:val="-2"/>
        </w:rPr>
        <w:t>population</w:t>
      </w:r>
    </w:p>
    <w:p w14:paraId="6791732F" w14:textId="77777777" w:rsidR="009C4CA4" w:rsidRPr="0068316A" w:rsidRDefault="009C4CA4" w:rsidP="0068316A">
      <w:r>
        <w:rPr>
          <w:noProof/>
        </w:rPr>
        <w:drawing>
          <wp:inline distT="0" distB="0" distL="0" distR="0" wp14:anchorId="6A77E15F" wp14:editId="14EC80DF">
            <wp:extent cx="5500949" cy="3571875"/>
            <wp:effectExtent l="0" t="0" r="5080" b="0"/>
            <wp:docPr id="27" name="Image 27" descr="Kaplan-Meier curve showing overall survival (OS) results in the known non-altered population of the CAPITello-290 study. The graph displays survival probability on the y-axis and time in months on the x-axis, comparing different treatment group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Kaplan-Meier curve showing overall survival (OS) results in the known non-altered population of the CAPITello-290 study. The graph displays survival probability on the y-axis and time in months on the x-axis, comparing different treatment groups.&#1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00949" cy="3571875"/>
                    </a:xfrm>
                    <a:prstGeom prst="rect">
                      <a:avLst/>
                    </a:prstGeom>
                  </pic:spPr>
                </pic:pic>
              </a:graphicData>
            </a:graphic>
          </wp:inline>
        </w:drawing>
      </w:r>
    </w:p>
    <w:p w14:paraId="1D169FA5" w14:textId="276E57AB" w:rsidR="009C4CA4" w:rsidRDefault="009C4CA4" w:rsidP="0068316A">
      <w:pPr>
        <w:pStyle w:val="FigureTitle"/>
      </w:pPr>
      <w:r>
        <w:lastRenderedPageBreak/>
        <w:t>Figure</w:t>
      </w:r>
      <w:r>
        <w:rPr>
          <w:spacing w:val="-8"/>
        </w:rPr>
        <w:t xml:space="preserve"> </w:t>
      </w:r>
      <w:r>
        <w:t>12:</w:t>
      </w:r>
      <w:r>
        <w:rPr>
          <w:spacing w:val="-8"/>
        </w:rPr>
        <w:t xml:space="preserve"> </w:t>
      </w:r>
      <w:r>
        <w:t>CAPITello-</w:t>
      </w:r>
      <w:r w:rsidRPr="0068316A">
        <w:t>29</w:t>
      </w:r>
      <w:r w:rsidR="006554FB" w:rsidRPr="0068316A">
        <w:t>1</w:t>
      </w:r>
      <w:r>
        <w:t>,</w:t>
      </w:r>
      <w:r>
        <w:rPr>
          <w:spacing w:val="-8"/>
        </w:rPr>
        <w:t xml:space="preserve"> </w:t>
      </w:r>
      <w:r>
        <w:t>OS</w:t>
      </w:r>
      <w:r>
        <w:rPr>
          <w:spacing w:val="-7"/>
        </w:rPr>
        <w:t xml:space="preserve"> </w:t>
      </w:r>
      <w:r w:rsidR="008A3ECB">
        <w:rPr>
          <w:spacing w:val="-7"/>
        </w:rPr>
        <w:t>r</w:t>
      </w:r>
      <w:r>
        <w:t>esults,</w:t>
      </w:r>
      <w:r>
        <w:rPr>
          <w:spacing w:val="-9"/>
        </w:rPr>
        <w:t xml:space="preserve"> </w:t>
      </w:r>
      <w:r w:rsidR="008A3ECB">
        <w:rPr>
          <w:spacing w:val="-9"/>
        </w:rPr>
        <w:t>n</w:t>
      </w:r>
      <w:r>
        <w:t>o</w:t>
      </w:r>
      <w:r>
        <w:rPr>
          <w:spacing w:val="-8"/>
        </w:rPr>
        <w:t xml:space="preserve"> </w:t>
      </w:r>
      <w:r w:rsidR="008A3ECB">
        <w:rPr>
          <w:spacing w:val="-8"/>
        </w:rPr>
        <w:t>r</w:t>
      </w:r>
      <w:r>
        <w:t>esult</w:t>
      </w:r>
      <w:r>
        <w:rPr>
          <w:spacing w:val="-8"/>
        </w:rPr>
        <w:t xml:space="preserve"> </w:t>
      </w:r>
      <w:r>
        <w:rPr>
          <w:spacing w:val="-2"/>
        </w:rPr>
        <w:t>population</w:t>
      </w:r>
    </w:p>
    <w:p w14:paraId="00CBD9B1" w14:textId="72CAE9D3" w:rsidR="00CD1110" w:rsidRDefault="009C4CA4" w:rsidP="00CD1110">
      <w:r>
        <w:rPr>
          <w:noProof/>
        </w:rPr>
        <w:drawing>
          <wp:inline distT="0" distB="0" distL="0" distR="0" wp14:anchorId="747CF251" wp14:editId="292BB26E">
            <wp:extent cx="5523804" cy="3432429"/>
            <wp:effectExtent l="0" t="0" r="1270" b="0"/>
            <wp:docPr id="28" name="Image 28" descr="Kaplan-Meier curve illustrating overall survival (OS) results in the no result population of the CAPITello-290 study. The graph shows survival probability on the y-axis and time in months on the x-axis, comparing different treatment grou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Kaplan-Meier curve illustrating overall survival (OS) results in the no result population of the CAPITello-290 study. The graph shows survival probability on the y-axis and time in months on the x-axis, comparing different treatment group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23804" cy="3432429"/>
                    </a:xfrm>
                    <a:prstGeom prst="rect">
                      <a:avLst/>
                    </a:prstGeom>
                  </pic:spPr>
                </pic:pic>
              </a:graphicData>
            </a:graphic>
          </wp:inline>
        </w:drawing>
      </w:r>
      <w:bookmarkStart w:id="61" w:name="ORR_and_DoR"/>
      <w:bookmarkEnd w:id="61"/>
    </w:p>
    <w:p w14:paraId="13069101" w14:textId="6D7944C0" w:rsidR="009C4CA4" w:rsidRPr="00EC60A7" w:rsidRDefault="009C4CA4" w:rsidP="0068316A">
      <w:pPr>
        <w:pStyle w:val="Heading7"/>
        <w:rPr>
          <w:b/>
          <w:bCs/>
        </w:rPr>
      </w:pPr>
      <w:r w:rsidRPr="0068316A">
        <w:t>ORR</w:t>
      </w:r>
      <w:r w:rsidRPr="00EC60A7">
        <w:rPr>
          <w:spacing w:val="-4"/>
        </w:rPr>
        <w:t xml:space="preserve"> </w:t>
      </w:r>
      <w:r w:rsidRPr="00EC60A7">
        <w:t>and</w:t>
      </w:r>
      <w:r w:rsidRPr="00EC60A7">
        <w:rPr>
          <w:spacing w:val="-3"/>
        </w:rPr>
        <w:t xml:space="preserve"> </w:t>
      </w:r>
      <w:proofErr w:type="spellStart"/>
      <w:r w:rsidRPr="00EC60A7">
        <w:rPr>
          <w:spacing w:val="-5"/>
        </w:rPr>
        <w:t>DoR</w:t>
      </w:r>
      <w:proofErr w:type="spellEnd"/>
    </w:p>
    <w:p w14:paraId="7DF59C6A" w14:textId="77777777" w:rsidR="009C4CA4" w:rsidRDefault="009C4CA4" w:rsidP="00CD1110">
      <w:r>
        <w:t>In</w:t>
      </w:r>
      <w:r>
        <w:rPr>
          <w:spacing w:val="-4"/>
        </w:rPr>
        <w:t xml:space="preserve"> </w:t>
      </w:r>
      <w:r>
        <w:t>the</w:t>
      </w:r>
      <w:r>
        <w:rPr>
          <w:spacing w:val="-3"/>
        </w:rPr>
        <w:t xml:space="preserve"> </w:t>
      </w:r>
      <w:r>
        <w:t>overall</w:t>
      </w:r>
      <w:r>
        <w:rPr>
          <w:spacing w:val="-3"/>
        </w:rPr>
        <w:t xml:space="preserve"> </w:t>
      </w:r>
      <w:r>
        <w:t>population,</w:t>
      </w:r>
      <w:r>
        <w:rPr>
          <w:spacing w:val="-5"/>
        </w:rPr>
        <w:t xml:space="preserve"> </w:t>
      </w:r>
      <w:r>
        <w:t>response</w:t>
      </w:r>
      <w:r>
        <w:rPr>
          <w:spacing w:val="-3"/>
        </w:rPr>
        <w:t xml:space="preserve"> </w:t>
      </w:r>
      <w:r>
        <w:t>was</w:t>
      </w:r>
      <w:r>
        <w:rPr>
          <w:spacing w:val="-2"/>
        </w:rPr>
        <w:t xml:space="preserve"> </w:t>
      </w:r>
      <w:r>
        <w:t>reported</w:t>
      </w:r>
      <w:r>
        <w:rPr>
          <w:spacing w:val="-3"/>
        </w:rPr>
        <w:t xml:space="preserve"> </w:t>
      </w:r>
      <w:r>
        <w:t>for</w:t>
      </w:r>
      <w:r>
        <w:rPr>
          <w:spacing w:val="-3"/>
        </w:rPr>
        <w:t xml:space="preserve"> </w:t>
      </w:r>
      <w:r>
        <w:t>71</w:t>
      </w:r>
      <w:r>
        <w:rPr>
          <w:spacing w:val="-3"/>
        </w:rPr>
        <w:t xml:space="preserve"> </w:t>
      </w:r>
      <w:r>
        <w:t>(22.9%)</w:t>
      </w:r>
      <w:r>
        <w:rPr>
          <w:spacing w:val="-3"/>
        </w:rPr>
        <w:t xml:space="preserve"> </w:t>
      </w:r>
      <w:r>
        <w:t>patients</w:t>
      </w:r>
      <w:r>
        <w:rPr>
          <w:spacing w:val="-2"/>
        </w:rPr>
        <w:t xml:space="preserve"> </w:t>
      </w:r>
      <w:r>
        <w:t>in</w:t>
      </w:r>
      <w:r>
        <w:rPr>
          <w:spacing w:val="-4"/>
        </w:rPr>
        <w:t xml:space="preserve"> </w:t>
      </w:r>
      <w:r>
        <w:t>the</w:t>
      </w:r>
      <w:r>
        <w:rPr>
          <w:spacing w:val="-3"/>
        </w:rPr>
        <w:t xml:space="preserve"> </w:t>
      </w:r>
      <w:proofErr w:type="spellStart"/>
      <w:r>
        <w:t>capivasertib</w:t>
      </w:r>
      <w:proofErr w:type="spellEnd"/>
      <w:r>
        <w:t xml:space="preserve"> group and 39 (12.2%) in the placebo (OR = 2.19 (95% CI: 1.42 to 3.36)).</w:t>
      </w:r>
    </w:p>
    <w:p w14:paraId="5CC84758" w14:textId="77777777" w:rsidR="009C4CA4" w:rsidRDefault="009C4CA4" w:rsidP="00CD1110">
      <w:r>
        <w:t>In</w:t>
      </w:r>
      <w:r>
        <w:rPr>
          <w:spacing w:val="-4"/>
        </w:rPr>
        <w:t xml:space="preserve"> </w:t>
      </w:r>
      <w:r>
        <w:t>the</w:t>
      </w:r>
      <w:r>
        <w:rPr>
          <w:spacing w:val="-3"/>
        </w:rPr>
        <w:t xml:space="preserve"> </w:t>
      </w:r>
      <w:r>
        <w:t>altered</w:t>
      </w:r>
      <w:r>
        <w:rPr>
          <w:spacing w:val="-3"/>
        </w:rPr>
        <w:t xml:space="preserve"> </w:t>
      </w:r>
      <w:r>
        <w:t>population,</w:t>
      </w:r>
      <w:r>
        <w:rPr>
          <w:spacing w:val="-5"/>
        </w:rPr>
        <w:t xml:space="preserve"> </w:t>
      </w:r>
      <w:r>
        <w:t>response</w:t>
      </w:r>
      <w:r>
        <w:rPr>
          <w:spacing w:val="-3"/>
        </w:rPr>
        <w:t xml:space="preserve"> </w:t>
      </w:r>
      <w:r>
        <w:t>was</w:t>
      </w:r>
      <w:r>
        <w:rPr>
          <w:spacing w:val="-2"/>
        </w:rPr>
        <w:t xml:space="preserve"> </w:t>
      </w:r>
      <w:r>
        <w:t>reported</w:t>
      </w:r>
      <w:r>
        <w:rPr>
          <w:spacing w:val="-3"/>
        </w:rPr>
        <w:t xml:space="preserve"> </w:t>
      </w:r>
      <w:r>
        <w:t>for</w:t>
      </w:r>
      <w:r>
        <w:rPr>
          <w:spacing w:val="-3"/>
        </w:rPr>
        <w:t xml:space="preserve"> </w:t>
      </w:r>
      <w:r>
        <w:t>38</w:t>
      </w:r>
      <w:r>
        <w:rPr>
          <w:spacing w:val="-3"/>
        </w:rPr>
        <w:t xml:space="preserve"> </w:t>
      </w:r>
      <w:r>
        <w:t>(28.8%)</w:t>
      </w:r>
      <w:r>
        <w:rPr>
          <w:spacing w:val="-3"/>
        </w:rPr>
        <w:t xml:space="preserve"> </w:t>
      </w:r>
      <w:r>
        <w:t>patients</w:t>
      </w:r>
      <w:r>
        <w:rPr>
          <w:spacing w:val="-2"/>
        </w:rPr>
        <w:t xml:space="preserve"> </w:t>
      </w:r>
      <w:r>
        <w:t>in</w:t>
      </w:r>
      <w:r>
        <w:rPr>
          <w:spacing w:val="-4"/>
        </w:rPr>
        <w:t xml:space="preserve"> </w:t>
      </w:r>
      <w:r>
        <w:t>the</w:t>
      </w:r>
      <w:r>
        <w:rPr>
          <w:spacing w:val="-3"/>
        </w:rPr>
        <w:t xml:space="preserve"> </w:t>
      </w:r>
      <w:proofErr w:type="spellStart"/>
      <w:r>
        <w:t>capivasertib</w:t>
      </w:r>
      <w:proofErr w:type="spellEnd"/>
      <w:r>
        <w:t xml:space="preserve"> group and 12 (9.7%) in the placebo (OR = 3.93 (95% CI: 1.93 to 8.04)).</w:t>
      </w:r>
    </w:p>
    <w:p w14:paraId="0A65CFF1" w14:textId="77777777" w:rsidR="009C4CA4" w:rsidRDefault="009C4CA4" w:rsidP="00CD1110">
      <w:r>
        <w:t>In</w:t>
      </w:r>
      <w:r>
        <w:rPr>
          <w:spacing w:val="-4"/>
        </w:rPr>
        <w:t xml:space="preserve"> </w:t>
      </w:r>
      <w:r>
        <w:t>the</w:t>
      </w:r>
      <w:r>
        <w:rPr>
          <w:spacing w:val="-3"/>
        </w:rPr>
        <w:t xml:space="preserve"> </w:t>
      </w:r>
      <w:r>
        <w:t>patients</w:t>
      </w:r>
      <w:r>
        <w:rPr>
          <w:spacing w:val="-2"/>
        </w:rPr>
        <w:t xml:space="preserve"> </w:t>
      </w:r>
      <w:r>
        <w:t>that</w:t>
      </w:r>
      <w:r>
        <w:rPr>
          <w:spacing w:val="-3"/>
        </w:rPr>
        <w:t xml:space="preserve"> </w:t>
      </w:r>
      <w:r>
        <w:t>responded,</w:t>
      </w:r>
      <w:r>
        <w:rPr>
          <w:spacing w:val="-3"/>
        </w:rPr>
        <w:t xml:space="preserve"> </w:t>
      </w:r>
      <w:r>
        <w:t>there</w:t>
      </w:r>
      <w:r>
        <w:rPr>
          <w:spacing w:val="-3"/>
        </w:rPr>
        <w:t xml:space="preserve"> </w:t>
      </w:r>
      <w:r>
        <w:t>was</w:t>
      </w:r>
      <w:r>
        <w:rPr>
          <w:spacing w:val="-2"/>
        </w:rPr>
        <w:t xml:space="preserve"> </w:t>
      </w:r>
      <w:r>
        <w:t>no</w:t>
      </w:r>
      <w:r>
        <w:rPr>
          <w:spacing w:val="-5"/>
        </w:rPr>
        <w:t xml:space="preserve"> </w:t>
      </w:r>
      <w:r>
        <w:t>significant</w:t>
      </w:r>
      <w:r>
        <w:rPr>
          <w:spacing w:val="-3"/>
        </w:rPr>
        <w:t xml:space="preserve"> </w:t>
      </w:r>
      <w:r>
        <w:t>difference</w:t>
      </w:r>
      <w:r>
        <w:rPr>
          <w:spacing w:val="-3"/>
        </w:rPr>
        <w:t xml:space="preserve"> </w:t>
      </w:r>
      <w:r>
        <w:t>between</w:t>
      </w:r>
      <w:r>
        <w:rPr>
          <w:spacing w:val="-4"/>
        </w:rPr>
        <w:t xml:space="preserve"> </w:t>
      </w:r>
      <w:r>
        <w:t>the</w:t>
      </w:r>
      <w:r>
        <w:rPr>
          <w:spacing w:val="-3"/>
        </w:rPr>
        <w:t xml:space="preserve"> </w:t>
      </w:r>
      <w:r>
        <w:t>treatment groups in duration of response or time to onset of response.</w:t>
      </w:r>
    </w:p>
    <w:p w14:paraId="5CA8BE76" w14:textId="3E75BFE3" w:rsidR="009C4CA4" w:rsidRDefault="009C4CA4" w:rsidP="00CE6039">
      <w:pPr>
        <w:pStyle w:val="Heading5"/>
      </w:pPr>
      <w:bookmarkStart w:id="62" w:name="Supportive_Study:_FAKTION"/>
      <w:bookmarkEnd w:id="62"/>
      <w:r>
        <w:t>Supportive</w:t>
      </w:r>
      <w:r>
        <w:rPr>
          <w:spacing w:val="-7"/>
        </w:rPr>
        <w:t xml:space="preserve"> </w:t>
      </w:r>
      <w:r w:rsidR="00CE6039">
        <w:t>s</w:t>
      </w:r>
      <w:r>
        <w:t>tudy:</w:t>
      </w:r>
      <w:r>
        <w:rPr>
          <w:spacing w:val="-6"/>
        </w:rPr>
        <w:t xml:space="preserve"> </w:t>
      </w:r>
      <w:r w:rsidRPr="00CE6039">
        <w:t>FAKTION</w:t>
      </w:r>
    </w:p>
    <w:p w14:paraId="509FA5C9" w14:textId="7457C563" w:rsidR="009C4CA4" w:rsidRDefault="009C4CA4" w:rsidP="00A1260D">
      <w:r>
        <w:t>This</w:t>
      </w:r>
      <w:r>
        <w:rPr>
          <w:spacing w:val="-1"/>
        </w:rPr>
        <w:t xml:space="preserve"> </w:t>
      </w:r>
      <w:r>
        <w:t>was</w:t>
      </w:r>
      <w:r>
        <w:rPr>
          <w:spacing w:val="-1"/>
        </w:rPr>
        <w:t xml:space="preserve"> </w:t>
      </w:r>
      <w:r>
        <w:t>an</w:t>
      </w:r>
      <w:r>
        <w:rPr>
          <w:spacing w:val="-3"/>
        </w:rPr>
        <w:t xml:space="preserve"> </w:t>
      </w:r>
      <w:r>
        <w:t>investigator</w:t>
      </w:r>
      <w:r w:rsidR="00C53EAD">
        <w:t>-</w:t>
      </w:r>
      <w:r>
        <w:t>initiated</w:t>
      </w:r>
      <w:r>
        <w:rPr>
          <w:spacing w:val="-2"/>
        </w:rPr>
        <w:t xml:space="preserve"> </w:t>
      </w:r>
      <w:r>
        <w:t>phase</w:t>
      </w:r>
      <w:r>
        <w:rPr>
          <w:spacing w:val="-2"/>
        </w:rPr>
        <w:t xml:space="preserve"> </w:t>
      </w:r>
      <w:r>
        <w:t>II</w:t>
      </w:r>
      <w:r>
        <w:rPr>
          <w:spacing w:val="-2"/>
        </w:rPr>
        <w:t xml:space="preserve"> </w:t>
      </w:r>
      <w:r>
        <w:t>randomised,</w:t>
      </w:r>
      <w:r>
        <w:rPr>
          <w:spacing w:val="-2"/>
        </w:rPr>
        <w:t xml:space="preserve"> </w:t>
      </w:r>
      <w:r>
        <w:t>blinded,</w:t>
      </w:r>
      <w:r>
        <w:rPr>
          <w:spacing w:val="-2"/>
        </w:rPr>
        <w:t xml:space="preserve"> </w:t>
      </w:r>
      <w:r>
        <w:t>placebo-controlled</w:t>
      </w:r>
      <w:r>
        <w:rPr>
          <w:spacing w:val="-2"/>
        </w:rPr>
        <w:t xml:space="preserve"> </w:t>
      </w:r>
      <w:r>
        <w:t>trial.</w:t>
      </w:r>
      <w:r>
        <w:rPr>
          <w:spacing w:val="-2"/>
        </w:rPr>
        <w:t xml:space="preserve"> </w:t>
      </w:r>
      <w:r>
        <w:t>It</w:t>
      </w:r>
      <w:r>
        <w:rPr>
          <w:spacing w:val="-2"/>
        </w:rPr>
        <w:t xml:space="preserve"> </w:t>
      </w:r>
      <w:r>
        <w:t>was conducted</w:t>
      </w:r>
      <w:r>
        <w:rPr>
          <w:spacing w:val="-2"/>
        </w:rPr>
        <w:t xml:space="preserve"> </w:t>
      </w:r>
      <w:r>
        <w:t>at</w:t>
      </w:r>
      <w:r>
        <w:rPr>
          <w:spacing w:val="-2"/>
        </w:rPr>
        <w:t xml:space="preserve"> </w:t>
      </w:r>
      <w:r>
        <w:t>19</w:t>
      </w:r>
      <w:r>
        <w:rPr>
          <w:spacing w:val="-2"/>
        </w:rPr>
        <w:t xml:space="preserve"> </w:t>
      </w:r>
      <w:r>
        <w:t>hospitals</w:t>
      </w:r>
      <w:r>
        <w:rPr>
          <w:spacing w:val="-3"/>
        </w:rPr>
        <w:t xml:space="preserve"> </w:t>
      </w:r>
      <w:r>
        <w:t>in</w:t>
      </w:r>
      <w:r>
        <w:rPr>
          <w:spacing w:val="-3"/>
        </w:rPr>
        <w:t xml:space="preserve"> </w:t>
      </w:r>
      <w:r>
        <w:t>the</w:t>
      </w:r>
      <w:r>
        <w:rPr>
          <w:spacing w:val="-2"/>
        </w:rPr>
        <w:t xml:space="preserve"> </w:t>
      </w:r>
      <w:r>
        <w:t>UK</w:t>
      </w:r>
      <w:r>
        <w:rPr>
          <w:spacing w:val="-2"/>
        </w:rPr>
        <w:t xml:space="preserve"> </w:t>
      </w:r>
      <w:r>
        <w:t>from</w:t>
      </w:r>
      <w:r>
        <w:rPr>
          <w:spacing w:val="-1"/>
        </w:rPr>
        <w:t xml:space="preserve"> </w:t>
      </w:r>
      <w:r>
        <w:t>2015-2018.</w:t>
      </w:r>
      <w:r>
        <w:rPr>
          <w:spacing w:val="-2"/>
        </w:rPr>
        <w:t xml:space="preserve"> </w:t>
      </w:r>
      <w:r>
        <w:t>Evaluation</w:t>
      </w:r>
      <w:r>
        <w:rPr>
          <w:spacing w:val="-3"/>
        </w:rPr>
        <w:t xml:space="preserve"> </w:t>
      </w:r>
      <w:r>
        <w:t>of</w:t>
      </w:r>
      <w:r>
        <w:rPr>
          <w:spacing w:val="-2"/>
        </w:rPr>
        <w:t xml:space="preserve"> </w:t>
      </w:r>
      <w:r>
        <w:t>this</w:t>
      </w:r>
      <w:r>
        <w:rPr>
          <w:spacing w:val="-1"/>
        </w:rPr>
        <w:t xml:space="preserve"> </w:t>
      </w:r>
      <w:r>
        <w:t>study</w:t>
      </w:r>
      <w:r>
        <w:rPr>
          <w:spacing w:val="-3"/>
        </w:rPr>
        <w:t xml:space="preserve"> </w:t>
      </w:r>
      <w:r>
        <w:t>was</w:t>
      </w:r>
      <w:r>
        <w:rPr>
          <w:spacing w:val="-1"/>
        </w:rPr>
        <w:t xml:space="preserve"> </w:t>
      </w:r>
      <w:r>
        <w:t>based</w:t>
      </w:r>
      <w:r>
        <w:rPr>
          <w:spacing w:val="-2"/>
        </w:rPr>
        <w:t xml:space="preserve"> </w:t>
      </w:r>
      <w:r>
        <w:t>on</w:t>
      </w:r>
      <w:r>
        <w:rPr>
          <w:spacing w:val="-3"/>
        </w:rPr>
        <w:t xml:space="preserve"> </w:t>
      </w:r>
      <w:r>
        <w:t>the published article</w:t>
      </w:r>
      <w:r w:rsidR="00DF57E1">
        <w:rPr>
          <w:rStyle w:val="FootnoteReference"/>
        </w:rPr>
        <w:footnoteReference w:id="12"/>
      </w:r>
      <w:r>
        <w:t xml:space="preserve">. The study design and results are summarised </w:t>
      </w:r>
      <w:r w:rsidR="00951AF4">
        <w:t xml:space="preserve">in Table </w:t>
      </w:r>
      <w:r w:rsidR="00FE1398">
        <w:t>4</w:t>
      </w:r>
      <w:r w:rsidR="00951AF4">
        <w:t>.</w:t>
      </w:r>
    </w:p>
    <w:p w14:paraId="17A7DF99" w14:textId="322FBDC2" w:rsidR="009C4CA4" w:rsidRDefault="00951AF4" w:rsidP="00CE6039">
      <w:pPr>
        <w:pStyle w:val="TableTitle"/>
      </w:pPr>
      <w:r>
        <w:lastRenderedPageBreak/>
        <w:t xml:space="preserve">Table </w:t>
      </w:r>
      <w:r w:rsidR="00FE1398">
        <w:t>4</w:t>
      </w:r>
      <w:r w:rsidR="009C4CA4">
        <w:t>:</w:t>
      </w:r>
      <w:r w:rsidR="009C4CA4">
        <w:rPr>
          <w:spacing w:val="-6"/>
        </w:rPr>
        <w:t xml:space="preserve"> </w:t>
      </w:r>
      <w:r w:rsidR="009C4CA4">
        <w:t>FAKTION</w:t>
      </w:r>
      <w:r w:rsidR="009C4CA4">
        <w:rPr>
          <w:spacing w:val="-6"/>
        </w:rPr>
        <w:t xml:space="preserve"> </w:t>
      </w:r>
      <w:r w:rsidR="009C4CA4">
        <w:t>Study,</w:t>
      </w:r>
      <w:r w:rsidR="009C4CA4">
        <w:rPr>
          <w:spacing w:val="-7"/>
        </w:rPr>
        <w:t xml:space="preserve"> </w:t>
      </w:r>
      <w:r w:rsidR="009C4CA4">
        <w:t>PICO</w:t>
      </w:r>
      <w:r w:rsidR="009C4CA4">
        <w:rPr>
          <w:spacing w:val="-7"/>
        </w:rPr>
        <w:t xml:space="preserve"> </w:t>
      </w:r>
      <w:r w:rsidR="009C4CA4">
        <w:t>table</w:t>
      </w:r>
      <w:r w:rsidR="009C4CA4">
        <w:rPr>
          <w:spacing w:val="-6"/>
        </w:rPr>
        <w:t xml:space="preserve"> </w:t>
      </w:r>
      <w:r w:rsidR="009C4CA4">
        <w:t>and</w:t>
      </w:r>
      <w:r w:rsidR="009C4CA4">
        <w:rPr>
          <w:spacing w:val="-6"/>
        </w:rPr>
        <w:t xml:space="preserve"> </w:t>
      </w:r>
      <w:r w:rsidR="009C4CA4">
        <w:rPr>
          <w:spacing w:val="-2"/>
        </w:rPr>
        <w:t>results</w:t>
      </w:r>
    </w:p>
    <w:tbl>
      <w:tblPr>
        <w:tblStyle w:val="TableTGAblue2023"/>
        <w:tblW w:w="9370" w:type="dxa"/>
        <w:tblLayout w:type="fixed"/>
        <w:tblLook w:val="01E0" w:firstRow="1" w:lastRow="1" w:firstColumn="1" w:lastColumn="1" w:noHBand="0" w:noVBand="0"/>
      </w:tblPr>
      <w:tblGrid>
        <w:gridCol w:w="1909"/>
        <w:gridCol w:w="7461"/>
      </w:tblGrid>
      <w:tr w:rsidR="009C4CA4" w:rsidRPr="00CE6039" w14:paraId="2AC9B7F8" w14:textId="77777777" w:rsidTr="00CE6039">
        <w:trPr>
          <w:cnfStyle w:val="100000000000" w:firstRow="1" w:lastRow="0" w:firstColumn="0" w:lastColumn="0" w:oddVBand="0" w:evenVBand="0" w:oddHBand="0" w:evenHBand="0" w:firstRowFirstColumn="0" w:firstRowLastColumn="0" w:lastRowFirstColumn="0" w:lastRowLastColumn="0"/>
          <w:trHeight w:val="3674"/>
          <w:tblHeader w:val="0"/>
        </w:trPr>
        <w:tc>
          <w:tcPr>
            <w:cnfStyle w:val="001000000000" w:firstRow="0" w:lastRow="0" w:firstColumn="1" w:lastColumn="0" w:oddVBand="0" w:evenVBand="0" w:oddHBand="0" w:evenHBand="0" w:firstRowFirstColumn="0" w:firstRowLastColumn="0" w:lastRowFirstColumn="0" w:lastRowLastColumn="0"/>
            <w:tcW w:w="1909" w:type="dxa"/>
            <w:shd w:val="clear" w:color="auto" w:fill="auto"/>
          </w:tcPr>
          <w:p w14:paraId="23C7EB97" w14:textId="77777777" w:rsidR="009C4CA4" w:rsidRPr="00CE6039" w:rsidRDefault="009C4CA4" w:rsidP="00CE6039">
            <w:pPr>
              <w:keepNext w:val="0"/>
              <w:rPr>
                <w:b w:val="0"/>
                <w:color w:val="000000"/>
              </w:rPr>
            </w:pPr>
            <w:r w:rsidRPr="00CE6039">
              <w:rPr>
                <w:b w:val="0"/>
                <w:color w:val="000000"/>
              </w:rPr>
              <w:t>Population</w:t>
            </w:r>
          </w:p>
        </w:tc>
        <w:tc>
          <w:tcPr>
            <w:tcW w:w="7461" w:type="dxa"/>
            <w:shd w:val="clear" w:color="auto" w:fill="auto"/>
          </w:tcPr>
          <w:p w14:paraId="47A5C11E" w14:textId="77777777" w:rsidR="009C4CA4" w:rsidRPr="00CE6039" w:rsidRDefault="009C4CA4" w:rsidP="00CE6039">
            <w:pPr>
              <w:keepNext w:val="0"/>
              <w:cnfStyle w:val="100000000000" w:firstRow="1" w:lastRow="0" w:firstColumn="0" w:lastColumn="0" w:oddVBand="0" w:evenVBand="0" w:oddHBand="0" w:evenHBand="0" w:firstRowFirstColumn="0" w:firstRowLastColumn="0" w:lastRowFirstColumn="0" w:lastRowLastColumn="0"/>
              <w:rPr>
                <w:b w:val="0"/>
                <w:color w:val="000000"/>
              </w:rPr>
            </w:pPr>
            <w:r w:rsidRPr="00CE6039">
              <w:rPr>
                <w:b w:val="0"/>
                <w:color w:val="000000"/>
              </w:rPr>
              <w:t>Postmenopausal women aged 18 years and over with ER+/HER2- locally advanced inoperable or metastatic breast cancer, who had relapsed or progressed on an aromatase inhibitor, were enrolled. Patients were required to have an ECOG PS of 0-2, a life expectancy of 12 weeks or more, and adequate organ function.</w:t>
            </w:r>
          </w:p>
          <w:p w14:paraId="3CEE7DC1" w14:textId="77777777" w:rsidR="009C4CA4" w:rsidRPr="00CE6039" w:rsidRDefault="009C4CA4" w:rsidP="00CE6039">
            <w:pPr>
              <w:keepNext w:val="0"/>
              <w:cnfStyle w:val="100000000000" w:firstRow="1" w:lastRow="0" w:firstColumn="0" w:lastColumn="0" w:oddVBand="0" w:evenVBand="0" w:oddHBand="0" w:evenHBand="0" w:firstRowFirstColumn="0" w:firstRowLastColumn="0" w:lastRowFirstColumn="0" w:lastRowLastColumn="0"/>
              <w:rPr>
                <w:b w:val="0"/>
                <w:color w:val="000000"/>
              </w:rPr>
            </w:pPr>
            <w:r w:rsidRPr="00CE6039">
              <w:rPr>
                <w:b w:val="0"/>
                <w:color w:val="000000"/>
              </w:rPr>
              <w:t>The study included patients who did not have measurable disease according to RECIST version 1.1.</w:t>
            </w:r>
          </w:p>
          <w:p w14:paraId="245B377F" w14:textId="77777777" w:rsidR="009C4CA4" w:rsidRPr="00CE6039" w:rsidRDefault="009C4CA4" w:rsidP="00CE6039">
            <w:pPr>
              <w:keepNext w:val="0"/>
              <w:cnfStyle w:val="100000000000" w:firstRow="1" w:lastRow="0" w:firstColumn="0" w:lastColumn="0" w:oddVBand="0" w:evenVBand="0" w:oddHBand="0" w:evenHBand="0" w:firstRowFirstColumn="0" w:firstRowLastColumn="0" w:lastRowFirstColumn="0" w:lastRowLastColumn="0"/>
              <w:rPr>
                <w:b w:val="0"/>
                <w:color w:val="000000"/>
              </w:rPr>
            </w:pPr>
            <w:r w:rsidRPr="00CE6039">
              <w:rPr>
                <w:b w:val="0"/>
                <w:color w:val="000000"/>
              </w:rPr>
              <w:t xml:space="preserve">Patients were randomised 1:1 to the </w:t>
            </w:r>
            <w:proofErr w:type="spellStart"/>
            <w:r w:rsidRPr="00CE6039">
              <w:rPr>
                <w:b w:val="0"/>
                <w:color w:val="000000"/>
              </w:rPr>
              <w:t>capivasertib</w:t>
            </w:r>
            <w:proofErr w:type="spellEnd"/>
            <w:r w:rsidRPr="00CE6039">
              <w:rPr>
                <w:b w:val="0"/>
                <w:color w:val="000000"/>
              </w:rPr>
              <w:t xml:space="preserve"> or placebo groups:</w:t>
            </w:r>
          </w:p>
          <w:p w14:paraId="5A6CC991" w14:textId="77777777" w:rsidR="009C4CA4" w:rsidRPr="00CE6039" w:rsidRDefault="009C4CA4" w:rsidP="00CE6039">
            <w:pPr>
              <w:pStyle w:val="ListBullet"/>
              <w:cnfStyle w:val="100000000000" w:firstRow="1" w:lastRow="0" w:firstColumn="0" w:lastColumn="0" w:oddVBand="0" w:evenVBand="0" w:oddHBand="0" w:evenHBand="0" w:firstRowFirstColumn="0" w:firstRowLastColumn="0" w:lastRowFirstColumn="0" w:lastRowLastColumn="0"/>
              <w:rPr>
                <w:b w:val="0"/>
                <w:bCs/>
              </w:rPr>
            </w:pPr>
            <w:r w:rsidRPr="00CE6039">
              <w:rPr>
                <w:b w:val="0"/>
                <w:bCs/>
              </w:rPr>
              <w:t>183 patients were screened, 140 were included:</w:t>
            </w:r>
          </w:p>
          <w:p w14:paraId="1A7DB5FD" w14:textId="77777777" w:rsidR="009C4CA4" w:rsidRPr="00CE6039" w:rsidRDefault="009C4CA4" w:rsidP="00CE6039">
            <w:pPr>
              <w:pStyle w:val="ListBullet"/>
              <w:cnfStyle w:val="100000000000" w:firstRow="1" w:lastRow="0" w:firstColumn="0" w:lastColumn="0" w:oddVBand="0" w:evenVBand="0" w:oddHBand="0" w:evenHBand="0" w:firstRowFirstColumn="0" w:firstRowLastColumn="0" w:lastRowFirstColumn="0" w:lastRowLastColumn="0"/>
              <w:rPr>
                <w:b w:val="0"/>
                <w:bCs/>
              </w:rPr>
            </w:pPr>
            <w:r w:rsidRPr="00CE6039">
              <w:rPr>
                <w:b w:val="0"/>
                <w:bCs/>
              </w:rPr>
              <w:t xml:space="preserve">69 patients were randomised to the </w:t>
            </w:r>
            <w:proofErr w:type="spellStart"/>
            <w:r w:rsidRPr="00CE6039">
              <w:rPr>
                <w:b w:val="0"/>
                <w:bCs/>
              </w:rPr>
              <w:t>capivasertib</w:t>
            </w:r>
            <w:proofErr w:type="spellEnd"/>
            <w:r w:rsidRPr="00CE6039">
              <w:rPr>
                <w:b w:val="0"/>
                <w:bCs/>
              </w:rPr>
              <w:t xml:space="preserve"> group and 71 to placebo</w:t>
            </w:r>
          </w:p>
          <w:p w14:paraId="63BB7D7B" w14:textId="77777777" w:rsidR="009C4CA4" w:rsidRPr="00CE6039" w:rsidRDefault="009C4CA4" w:rsidP="00CE6039">
            <w:pPr>
              <w:pStyle w:val="ListBullet"/>
              <w:cnfStyle w:val="100000000000" w:firstRow="1" w:lastRow="0" w:firstColumn="0" w:lastColumn="0" w:oddVBand="0" w:evenVBand="0" w:oddHBand="0" w:evenHBand="0" w:firstRowFirstColumn="0" w:firstRowLastColumn="0" w:lastRowFirstColumn="0" w:lastRowLastColumn="0"/>
            </w:pPr>
            <w:r w:rsidRPr="00CE6039">
              <w:rPr>
                <w:b w:val="0"/>
                <w:bCs/>
              </w:rPr>
              <w:t>All were female, aged between 40 and 82 years.</w:t>
            </w:r>
          </w:p>
        </w:tc>
      </w:tr>
      <w:tr w:rsidR="009C4CA4" w14:paraId="733380FA" w14:textId="77777777" w:rsidTr="00CE6039">
        <w:trPr>
          <w:trHeight w:val="1346"/>
        </w:trPr>
        <w:tc>
          <w:tcPr>
            <w:cnfStyle w:val="001000000000" w:firstRow="0" w:lastRow="0" w:firstColumn="1" w:lastColumn="0" w:oddVBand="0" w:evenVBand="0" w:oddHBand="0" w:evenHBand="0" w:firstRowFirstColumn="0" w:firstRowLastColumn="0" w:lastRowFirstColumn="0" w:lastRowLastColumn="0"/>
            <w:tcW w:w="1909" w:type="dxa"/>
          </w:tcPr>
          <w:p w14:paraId="17A3683B" w14:textId="77777777" w:rsidR="009C4CA4" w:rsidRDefault="009C4CA4" w:rsidP="00CE6039">
            <w:r>
              <w:t>Intervention</w:t>
            </w:r>
          </w:p>
        </w:tc>
        <w:tc>
          <w:tcPr>
            <w:tcW w:w="7461" w:type="dxa"/>
          </w:tcPr>
          <w:p w14:paraId="72E26FAE" w14:textId="77777777" w:rsidR="009C4CA4" w:rsidRDefault="009C4CA4" w:rsidP="00CE6039">
            <w:pPr>
              <w:cnfStyle w:val="000000000000" w:firstRow="0" w:lastRow="0" w:firstColumn="0" w:lastColumn="0" w:oddVBand="0" w:evenVBand="0" w:oddHBand="0" w:evenHBand="0" w:firstRowFirstColumn="0" w:firstRowLastColumn="0" w:lastRowFirstColumn="0" w:lastRowLastColumn="0"/>
            </w:pPr>
            <w:proofErr w:type="spellStart"/>
            <w:r>
              <w:t>Capivasertib</w:t>
            </w:r>
            <w:proofErr w:type="spellEnd"/>
            <w:r>
              <w:rPr>
                <w:spacing w:val="-8"/>
              </w:rPr>
              <w:t xml:space="preserve"> </w:t>
            </w:r>
            <w:r>
              <w:t>400</w:t>
            </w:r>
            <w:r>
              <w:rPr>
                <w:spacing w:val="-4"/>
              </w:rPr>
              <w:t xml:space="preserve"> </w:t>
            </w:r>
            <w:r>
              <w:t>mg</w:t>
            </w:r>
            <w:r>
              <w:rPr>
                <w:spacing w:val="-4"/>
              </w:rPr>
              <w:t xml:space="preserve"> </w:t>
            </w:r>
            <w:r>
              <w:t>twice</w:t>
            </w:r>
            <w:r>
              <w:rPr>
                <w:spacing w:val="-6"/>
              </w:rPr>
              <w:t xml:space="preserve"> </w:t>
            </w:r>
            <w:r>
              <w:t>daily,</w:t>
            </w:r>
            <w:r>
              <w:rPr>
                <w:spacing w:val="-5"/>
              </w:rPr>
              <w:t xml:space="preserve"> </w:t>
            </w:r>
            <w:r>
              <w:t>4</w:t>
            </w:r>
            <w:r>
              <w:rPr>
                <w:spacing w:val="-3"/>
              </w:rPr>
              <w:t xml:space="preserve"> </w:t>
            </w:r>
            <w:r>
              <w:t>days</w:t>
            </w:r>
            <w:r>
              <w:rPr>
                <w:spacing w:val="-5"/>
              </w:rPr>
              <w:t xml:space="preserve"> </w:t>
            </w:r>
            <w:r>
              <w:t>on/3</w:t>
            </w:r>
            <w:r>
              <w:rPr>
                <w:spacing w:val="-4"/>
              </w:rPr>
              <w:t xml:space="preserve"> </w:t>
            </w:r>
            <w:r>
              <w:t>days</w:t>
            </w:r>
            <w:r>
              <w:rPr>
                <w:spacing w:val="-4"/>
              </w:rPr>
              <w:t xml:space="preserve"> </w:t>
            </w:r>
            <w:r>
              <w:rPr>
                <w:spacing w:val="-5"/>
              </w:rPr>
              <w:t>off</w:t>
            </w:r>
          </w:p>
          <w:p w14:paraId="73E354A7" w14:textId="77777777" w:rsidR="009C4CA4" w:rsidRDefault="009C4CA4" w:rsidP="00CE6039">
            <w:pPr>
              <w:cnfStyle w:val="000000000000" w:firstRow="0" w:lastRow="0" w:firstColumn="0" w:lastColumn="0" w:oddVBand="0" w:evenVBand="0" w:oddHBand="0" w:evenHBand="0" w:firstRowFirstColumn="0" w:firstRowLastColumn="0" w:lastRowFirstColumn="0" w:lastRowLastColumn="0"/>
            </w:pPr>
            <w:r>
              <w:t xml:space="preserve">+ </w:t>
            </w:r>
            <w:proofErr w:type="spellStart"/>
            <w:r>
              <w:t>Fulvestrant</w:t>
            </w:r>
            <w:proofErr w:type="spellEnd"/>
            <w:r>
              <w:rPr>
                <w:spacing w:val="-3"/>
              </w:rPr>
              <w:t xml:space="preserve"> </w:t>
            </w:r>
            <w:r>
              <w:t>500mg administered</w:t>
            </w:r>
            <w:r>
              <w:rPr>
                <w:spacing w:val="-3"/>
              </w:rPr>
              <w:t xml:space="preserve"> </w:t>
            </w:r>
            <w:r>
              <w:t>on</w:t>
            </w:r>
            <w:r>
              <w:rPr>
                <w:spacing w:val="-3"/>
              </w:rPr>
              <w:t xml:space="preserve"> </w:t>
            </w:r>
            <w:r>
              <w:t>day</w:t>
            </w:r>
            <w:r>
              <w:rPr>
                <w:spacing w:val="-6"/>
              </w:rPr>
              <w:t xml:space="preserve"> </w:t>
            </w:r>
            <w:r>
              <w:t>1,</w:t>
            </w:r>
            <w:r>
              <w:rPr>
                <w:spacing w:val="-3"/>
              </w:rPr>
              <w:t xml:space="preserve"> </w:t>
            </w:r>
            <w:r>
              <w:t>15 and</w:t>
            </w:r>
            <w:r>
              <w:rPr>
                <w:spacing w:val="-3"/>
              </w:rPr>
              <w:t xml:space="preserve"> </w:t>
            </w:r>
            <w:r>
              <w:t>29,</w:t>
            </w:r>
            <w:r>
              <w:rPr>
                <w:spacing w:val="-3"/>
              </w:rPr>
              <w:t xml:space="preserve"> </w:t>
            </w:r>
            <w:r>
              <w:t>and</w:t>
            </w:r>
            <w:r>
              <w:rPr>
                <w:spacing w:val="-5"/>
              </w:rPr>
              <w:t xml:space="preserve"> </w:t>
            </w:r>
            <w:r>
              <w:t>once</w:t>
            </w:r>
            <w:r>
              <w:rPr>
                <w:spacing w:val="-3"/>
              </w:rPr>
              <w:t xml:space="preserve"> </w:t>
            </w:r>
            <w:r>
              <w:t>monthly thereafter</w:t>
            </w:r>
          </w:p>
        </w:tc>
      </w:tr>
      <w:tr w:rsidR="009C4CA4" w14:paraId="15D9B132" w14:textId="77777777" w:rsidTr="00CE6039">
        <w:trPr>
          <w:trHeight w:val="1590"/>
        </w:trPr>
        <w:tc>
          <w:tcPr>
            <w:cnfStyle w:val="001000000000" w:firstRow="0" w:lastRow="0" w:firstColumn="1" w:lastColumn="0" w:oddVBand="0" w:evenVBand="0" w:oddHBand="0" w:evenHBand="0" w:firstRowFirstColumn="0" w:firstRowLastColumn="0" w:lastRowFirstColumn="0" w:lastRowLastColumn="0"/>
            <w:tcW w:w="1909" w:type="dxa"/>
          </w:tcPr>
          <w:p w14:paraId="19E7EFD5" w14:textId="77777777" w:rsidR="009C4CA4" w:rsidRDefault="009C4CA4" w:rsidP="00CE6039">
            <w:r>
              <w:t>Control</w:t>
            </w:r>
          </w:p>
        </w:tc>
        <w:tc>
          <w:tcPr>
            <w:tcW w:w="7461" w:type="dxa"/>
          </w:tcPr>
          <w:p w14:paraId="71E87F57" w14:textId="77777777" w:rsidR="009C4CA4" w:rsidRDefault="009C4CA4" w:rsidP="00CE6039">
            <w:pPr>
              <w:cnfStyle w:val="000000000000" w:firstRow="0" w:lastRow="0" w:firstColumn="0" w:lastColumn="0" w:oddVBand="0" w:evenVBand="0" w:oddHBand="0" w:evenHBand="0" w:firstRowFirstColumn="0" w:firstRowLastColumn="0" w:lastRowFirstColumn="0" w:lastRowLastColumn="0"/>
            </w:pPr>
            <w:r>
              <w:t>Placebo</w:t>
            </w:r>
            <w:r>
              <w:rPr>
                <w:spacing w:val="-5"/>
              </w:rPr>
              <w:t xml:space="preserve"> </w:t>
            </w:r>
            <w:r>
              <w:t>twice</w:t>
            </w:r>
            <w:r>
              <w:rPr>
                <w:spacing w:val="-3"/>
              </w:rPr>
              <w:t xml:space="preserve"> </w:t>
            </w:r>
            <w:r>
              <w:t>daily,</w:t>
            </w:r>
            <w:r>
              <w:rPr>
                <w:spacing w:val="-6"/>
              </w:rPr>
              <w:t xml:space="preserve"> </w:t>
            </w:r>
            <w:r>
              <w:t>4</w:t>
            </w:r>
            <w:r>
              <w:rPr>
                <w:spacing w:val="-3"/>
              </w:rPr>
              <w:t xml:space="preserve"> </w:t>
            </w:r>
            <w:r>
              <w:t>days</w:t>
            </w:r>
            <w:r>
              <w:rPr>
                <w:spacing w:val="-5"/>
              </w:rPr>
              <w:t xml:space="preserve"> </w:t>
            </w:r>
            <w:r>
              <w:t>on/3</w:t>
            </w:r>
            <w:r>
              <w:rPr>
                <w:spacing w:val="-5"/>
              </w:rPr>
              <w:t xml:space="preserve"> </w:t>
            </w:r>
            <w:r>
              <w:t>days</w:t>
            </w:r>
            <w:r>
              <w:rPr>
                <w:spacing w:val="-3"/>
              </w:rPr>
              <w:t xml:space="preserve"> </w:t>
            </w:r>
            <w:r>
              <w:rPr>
                <w:spacing w:val="-5"/>
              </w:rPr>
              <w:t>off</w:t>
            </w:r>
          </w:p>
          <w:p w14:paraId="7F6A18F3" w14:textId="77777777" w:rsidR="009C4CA4" w:rsidRDefault="009C4CA4" w:rsidP="00CE6039">
            <w:pPr>
              <w:cnfStyle w:val="000000000000" w:firstRow="0" w:lastRow="0" w:firstColumn="0" w:lastColumn="0" w:oddVBand="0" w:evenVBand="0" w:oddHBand="0" w:evenHBand="0" w:firstRowFirstColumn="0" w:firstRowLastColumn="0" w:lastRowFirstColumn="0" w:lastRowLastColumn="0"/>
            </w:pPr>
            <w:r>
              <w:t xml:space="preserve">+ </w:t>
            </w:r>
            <w:proofErr w:type="spellStart"/>
            <w:r>
              <w:t>Fulvestrant</w:t>
            </w:r>
            <w:proofErr w:type="spellEnd"/>
            <w:r>
              <w:rPr>
                <w:spacing w:val="-3"/>
              </w:rPr>
              <w:t xml:space="preserve"> </w:t>
            </w:r>
            <w:r>
              <w:t>500mg administered</w:t>
            </w:r>
            <w:r>
              <w:rPr>
                <w:spacing w:val="-3"/>
              </w:rPr>
              <w:t xml:space="preserve"> </w:t>
            </w:r>
            <w:r>
              <w:t>on</w:t>
            </w:r>
            <w:r>
              <w:rPr>
                <w:spacing w:val="-3"/>
              </w:rPr>
              <w:t xml:space="preserve"> </w:t>
            </w:r>
            <w:r>
              <w:t>day</w:t>
            </w:r>
            <w:r>
              <w:rPr>
                <w:spacing w:val="-6"/>
              </w:rPr>
              <w:t xml:space="preserve"> </w:t>
            </w:r>
            <w:r>
              <w:t>1,</w:t>
            </w:r>
            <w:r>
              <w:rPr>
                <w:spacing w:val="-3"/>
              </w:rPr>
              <w:t xml:space="preserve"> </w:t>
            </w:r>
            <w:r>
              <w:t>15 and</w:t>
            </w:r>
            <w:r>
              <w:rPr>
                <w:spacing w:val="-3"/>
              </w:rPr>
              <w:t xml:space="preserve"> </w:t>
            </w:r>
            <w:r>
              <w:t>29,</w:t>
            </w:r>
            <w:r>
              <w:rPr>
                <w:spacing w:val="-3"/>
              </w:rPr>
              <w:t xml:space="preserve"> </w:t>
            </w:r>
            <w:r>
              <w:t>and</w:t>
            </w:r>
            <w:r>
              <w:rPr>
                <w:spacing w:val="-5"/>
              </w:rPr>
              <w:t xml:space="preserve"> </w:t>
            </w:r>
            <w:r>
              <w:t>once</w:t>
            </w:r>
            <w:r>
              <w:rPr>
                <w:spacing w:val="-3"/>
              </w:rPr>
              <w:t xml:space="preserve"> </w:t>
            </w:r>
            <w:r>
              <w:t>monthly thereafter</w:t>
            </w:r>
          </w:p>
          <w:p w14:paraId="244C154B" w14:textId="77777777" w:rsidR="009C4CA4" w:rsidRDefault="009C4CA4" w:rsidP="00CE6039">
            <w:pPr>
              <w:cnfStyle w:val="000000000000" w:firstRow="0" w:lastRow="0" w:firstColumn="0" w:lastColumn="0" w:oddVBand="0" w:evenVBand="0" w:oddHBand="0" w:evenHBand="0" w:firstRowFirstColumn="0" w:firstRowLastColumn="0" w:lastRowFirstColumn="0" w:lastRowLastColumn="0"/>
            </w:pPr>
            <w:r>
              <w:t>Treatment</w:t>
            </w:r>
            <w:r>
              <w:rPr>
                <w:spacing w:val="-4"/>
              </w:rPr>
              <w:t xml:space="preserve"> </w:t>
            </w:r>
            <w:r>
              <w:t>continued</w:t>
            </w:r>
            <w:r>
              <w:rPr>
                <w:spacing w:val="-4"/>
              </w:rPr>
              <w:t xml:space="preserve"> </w:t>
            </w:r>
            <w:r>
              <w:t>until</w:t>
            </w:r>
            <w:r>
              <w:rPr>
                <w:spacing w:val="-6"/>
              </w:rPr>
              <w:t xml:space="preserve"> </w:t>
            </w:r>
            <w:r>
              <w:t>disease</w:t>
            </w:r>
            <w:r>
              <w:rPr>
                <w:spacing w:val="-4"/>
              </w:rPr>
              <w:t xml:space="preserve"> </w:t>
            </w:r>
            <w:r>
              <w:t>progression,</w:t>
            </w:r>
            <w:r>
              <w:rPr>
                <w:spacing w:val="-7"/>
              </w:rPr>
              <w:t xml:space="preserve"> </w:t>
            </w:r>
            <w:r>
              <w:t>unacceptable</w:t>
            </w:r>
            <w:r>
              <w:rPr>
                <w:spacing w:val="-4"/>
              </w:rPr>
              <w:t xml:space="preserve"> </w:t>
            </w:r>
            <w:r>
              <w:t>toxicity,</w:t>
            </w:r>
            <w:r>
              <w:rPr>
                <w:spacing w:val="-4"/>
              </w:rPr>
              <w:t xml:space="preserve"> </w:t>
            </w:r>
            <w:r>
              <w:t>loss</w:t>
            </w:r>
            <w:r>
              <w:rPr>
                <w:spacing w:val="-4"/>
              </w:rPr>
              <w:t xml:space="preserve"> </w:t>
            </w:r>
            <w:r>
              <w:t>to follow-up or withdrawal of consent.</w:t>
            </w:r>
          </w:p>
        </w:tc>
      </w:tr>
      <w:tr w:rsidR="003B062D" w14:paraId="21CFA30D" w14:textId="77777777" w:rsidTr="00CE6039">
        <w:trPr>
          <w:trHeight w:val="3666"/>
        </w:trPr>
        <w:tc>
          <w:tcPr>
            <w:cnfStyle w:val="001000000000" w:firstRow="0" w:lastRow="0" w:firstColumn="1" w:lastColumn="0" w:oddVBand="0" w:evenVBand="0" w:oddHBand="0" w:evenHBand="0" w:firstRowFirstColumn="0" w:firstRowLastColumn="0" w:lastRowFirstColumn="0" w:lastRowLastColumn="0"/>
            <w:tcW w:w="1909" w:type="dxa"/>
            <w:vMerge w:val="restart"/>
          </w:tcPr>
          <w:p w14:paraId="5B6F8190" w14:textId="77777777" w:rsidR="003B062D" w:rsidRDefault="003B062D" w:rsidP="00CE6039">
            <w:r>
              <w:t>Outcome</w:t>
            </w:r>
          </w:p>
        </w:tc>
        <w:tc>
          <w:tcPr>
            <w:tcW w:w="7461" w:type="dxa"/>
          </w:tcPr>
          <w:p w14:paraId="0E6CB035" w14:textId="77777777" w:rsidR="003B062D" w:rsidRDefault="003B062D" w:rsidP="00CE6039">
            <w:pPr>
              <w:cnfStyle w:val="000000000000" w:firstRow="0" w:lastRow="0" w:firstColumn="0" w:lastColumn="0" w:oddVBand="0" w:evenVBand="0" w:oddHBand="0" w:evenHBand="0" w:firstRowFirstColumn="0" w:firstRowLastColumn="0" w:lastRowFirstColumn="0" w:lastRowLastColumn="0"/>
            </w:pPr>
            <w:r>
              <w:t>Primary</w:t>
            </w:r>
            <w:r>
              <w:rPr>
                <w:spacing w:val="-12"/>
              </w:rPr>
              <w:t xml:space="preserve"> </w:t>
            </w:r>
            <w:r>
              <w:t>endpoint:</w:t>
            </w:r>
            <w:r>
              <w:rPr>
                <w:spacing w:val="-12"/>
              </w:rPr>
              <w:t xml:space="preserve"> </w:t>
            </w:r>
            <w:r>
              <w:t>PFS</w:t>
            </w:r>
          </w:p>
          <w:p w14:paraId="5FCA4634" w14:textId="2E47AAB5" w:rsidR="003B062D" w:rsidRPr="003B062D" w:rsidRDefault="003B062D" w:rsidP="00CE6039">
            <w:pPr>
              <w:cnfStyle w:val="000000000000" w:firstRow="0" w:lastRow="0" w:firstColumn="0" w:lastColumn="0" w:oddVBand="0" w:evenVBand="0" w:oddHBand="0" w:evenHBand="0" w:firstRowFirstColumn="0" w:firstRowLastColumn="0" w:lastRowFirstColumn="0" w:lastRowLastColumn="0"/>
              <w:rPr>
                <w:b/>
                <w:bCs/>
              </w:rPr>
            </w:pPr>
            <w:r w:rsidRPr="003B062D">
              <w:rPr>
                <w:b/>
                <w:bCs/>
              </w:rPr>
              <w:t>Results:</w:t>
            </w:r>
          </w:p>
          <w:p w14:paraId="6DF4315F" w14:textId="77777777" w:rsidR="003B062D" w:rsidRDefault="003B062D" w:rsidP="003B062D">
            <w:pPr>
              <w:pStyle w:val="ListBullet"/>
              <w:cnfStyle w:val="000000000000" w:firstRow="0" w:lastRow="0" w:firstColumn="0" w:lastColumn="0" w:oddVBand="0" w:evenVBand="0" w:oddHBand="0" w:evenHBand="0" w:firstRowFirstColumn="0" w:firstRowLastColumn="0" w:lastRowFirstColumn="0" w:lastRowLastColumn="0"/>
            </w:pPr>
            <w:r>
              <w:t>Median</w:t>
            </w:r>
            <w:r>
              <w:rPr>
                <w:spacing w:val="-3"/>
              </w:rPr>
              <w:t xml:space="preserve"> </w:t>
            </w:r>
            <w:r>
              <w:t>PFS was</w:t>
            </w:r>
            <w:r>
              <w:rPr>
                <w:spacing w:val="-3"/>
              </w:rPr>
              <w:t xml:space="preserve"> </w:t>
            </w:r>
            <w:r>
              <w:t>10.3</w:t>
            </w:r>
            <w:r>
              <w:rPr>
                <w:spacing w:val="-5"/>
              </w:rPr>
              <w:t xml:space="preserve"> </w:t>
            </w:r>
            <w:r>
              <w:t>(95%</w:t>
            </w:r>
            <w:r>
              <w:rPr>
                <w:spacing w:val="-6"/>
              </w:rPr>
              <w:t xml:space="preserve"> </w:t>
            </w:r>
            <w:r>
              <w:t>CI:</w:t>
            </w:r>
            <w:r>
              <w:rPr>
                <w:spacing w:val="-4"/>
              </w:rPr>
              <w:t xml:space="preserve"> </w:t>
            </w:r>
            <w:r>
              <w:t>5.0 to 13.2) months</w:t>
            </w:r>
            <w:r>
              <w:rPr>
                <w:spacing w:val="-3"/>
              </w:rPr>
              <w:t xml:space="preserve"> </w:t>
            </w:r>
            <w:r>
              <w:t>in</w:t>
            </w:r>
            <w:r>
              <w:rPr>
                <w:spacing w:val="-3"/>
              </w:rPr>
              <w:t xml:space="preserve"> </w:t>
            </w:r>
            <w:r>
              <w:t>the</w:t>
            </w:r>
            <w:r>
              <w:rPr>
                <w:spacing w:val="-3"/>
              </w:rPr>
              <w:t xml:space="preserve"> </w:t>
            </w:r>
            <w:proofErr w:type="spellStart"/>
            <w:r>
              <w:t>capivasertib</w:t>
            </w:r>
            <w:proofErr w:type="spellEnd"/>
            <w:r>
              <w:t xml:space="preserve"> group and 4.8 (95% CI: 3.1 to 7.7) months in the placebo</w:t>
            </w:r>
          </w:p>
          <w:p w14:paraId="4C170CB6" w14:textId="77777777" w:rsidR="003B062D" w:rsidRDefault="003B062D" w:rsidP="003B062D">
            <w:pPr>
              <w:pStyle w:val="ListBullet"/>
              <w:cnfStyle w:val="000000000000" w:firstRow="0" w:lastRow="0" w:firstColumn="0" w:lastColumn="0" w:oddVBand="0" w:evenVBand="0" w:oddHBand="0" w:evenHBand="0" w:firstRowFirstColumn="0" w:firstRowLastColumn="0" w:lastRowFirstColumn="0" w:lastRowLastColumn="0"/>
            </w:pPr>
            <w:r>
              <w:t>unadjusted</w:t>
            </w:r>
            <w:r>
              <w:rPr>
                <w:spacing w:val="-4"/>
              </w:rPr>
              <w:t xml:space="preserve"> </w:t>
            </w:r>
            <w:r>
              <w:t>HR</w:t>
            </w:r>
            <w:r>
              <w:rPr>
                <w:spacing w:val="-3"/>
              </w:rPr>
              <w:t xml:space="preserve"> </w:t>
            </w:r>
            <w:r>
              <w:t>of</w:t>
            </w:r>
            <w:r>
              <w:rPr>
                <w:spacing w:val="-3"/>
              </w:rPr>
              <w:t xml:space="preserve"> </w:t>
            </w:r>
            <w:r>
              <w:t>0.58</w:t>
            </w:r>
            <w:r>
              <w:rPr>
                <w:spacing w:val="-3"/>
              </w:rPr>
              <w:t xml:space="preserve"> </w:t>
            </w:r>
            <w:r>
              <w:t>(95%</w:t>
            </w:r>
            <w:r>
              <w:rPr>
                <w:spacing w:val="-4"/>
              </w:rPr>
              <w:t xml:space="preserve"> </w:t>
            </w:r>
            <w:r>
              <w:t>CI:</w:t>
            </w:r>
            <w:r>
              <w:rPr>
                <w:spacing w:val="-5"/>
              </w:rPr>
              <w:t xml:space="preserve"> </w:t>
            </w:r>
            <w:r>
              <w:t>0.39</w:t>
            </w:r>
            <w:r>
              <w:rPr>
                <w:spacing w:val="-4"/>
              </w:rPr>
              <w:t xml:space="preserve"> </w:t>
            </w:r>
            <w:r>
              <w:t>to</w:t>
            </w:r>
            <w:r>
              <w:rPr>
                <w:spacing w:val="-6"/>
              </w:rPr>
              <w:t xml:space="preserve"> </w:t>
            </w:r>
            <w:r>
              <w:t>0.84),</w:t>
            </w:r>
            <w:r>
              <w:rPr>
                <w:spacing w:val="-6"/>
              </w:rPr>
              <w:t xml:space="preserve"> </w:t>
            </w:r>
            <w:r>
              <w:t>2-sided</w:t>
            </w:r>
            <w:r>
              <w:rPr>
                <w:spacing w:val="-6"/>
              </w:rPr>
              <w:t xml:space="preserve"> </w:t>
            </w:r>
            <w:r>
              <w:t>p</w:t>
            </w:r>
            <w:r>
              <w:rPr>
                <w:spacing w:val="-4"/>
              </w:rPr>
              <w:t xml:space="preserve"> </w:t>
            </w:r>
            <w:r>
              <w:t xml:space="preserve">= </w:t>
            </w:r>
            <w:proofErr w:type="gramStart"/>
            <w:r>
              <w:t>0.0044;</w:t>
            </w:r>
            <w:proofErr w:type="gramEnd"/>
          </w:p>
          <w:p w14:paraId="2B4F7E0E" w14:textId="77777777" w:rsidR="003B062D" w:rsidRDefault="003B062D" w:rsidP="003B062D">
            <w:pPr>
              <w:pStyle w:val="ListBullet"/>
              <w:cnfStyle w:val="000000000000" w:firstRow="0" w:lastRow="0" w:firstColumn="0" w:lastColumn="0" w:oddVBand="0" w:evenVBand="0" w:oddHBand="0" w:evenHBand="0" w:firstRowFirstColumn="0" w:firstRowLastColumn="0" w:lastRowFirstColumn="0" w:lastRowLastColumn="0"/>
            </w:pPr>
            <w:r>
              <w:t>adjusted</w:t>
            </w:r>
            <w:r>
              <w:rPr>
                <w:spacing w:val="-3"/>
              </w:rPr>
              <w:t xml:space="preserve"> </w:t>
            </w:r>
            <w:r>
              <w:t>HR of 0.58</w:t>
            </w:r>
            <w:r>
              <w:rPr>
                <w:spacing w:val="-5"/>
              </w:rPr>
              <w:t xml:space="preserve"> </w:t>
            </w:r>
            <w:r>
              <w:t>(95%</w:t>
            </w:r>
            <w:r>
              <w:rPr>
                <w:spacing w:val="-4"/>
              </w:rPr>
              <w:t xml:space="preserve"> </w:t>
            </w:r>
            <w:r>
              <w:t>CI:</w:t>
            </w:r>
            <w:r>
              <w:rPr>
                <w:spacing w:val="-6"/>
              </w:rPr>
              <w:t xml:space="preserve"> </w:t>
            </w:r>
            <w:r>
              <w:t>0.39</w:t>
            </w:r>
            <w:r>
              <w:rPr>
                <w:spacing w:val="-3"/>
              </w:rPr>
              <w:t xml:space="preserve"> </w:t>
            </w:r>
            <w:r>
              <w:t>to</w:t>
            </w:r>
            <w:r>
              <w:rPr>
                <w:spacing w:val="-5"/>
              </w:rPr>
              <w:t xml:space="preserve"> </w:t>
            </w:r>
            <w:r>
              <w:t>0.85),</w:t>
            </w:r>
            <w:r>
              <w:rPr>
                <w:spacing w:val="-6"/>
              </w:rPr>
              <w:t xml:space="preserve"> </w:t>
            </w:r>
            <w:r>
              <w:t>2-sided</w:t>
            </w:r>
            <w:r>
              <w:rPr>
                <w:spacing w:val="-3"/>
              </w:rPr>
              <w:t xml:space="preserve"> </w:t>
            </w:r>
            <w:r>
              <w:t>p</w:t>
            </w:r>
            <w:r>
              <w:rPr>
                <w:spacing w:val="-4"/>
              </w:rPr>
              <w:t xml:space="preserve"> </w:t>
            </w:r>
            <w:r>
              <w:t>= 0.0049</w:t>
            </w:r>
          </w:p>
          <w:p w14:paraId="23A3B40F" w14:textId="77777777" w:rsidR="003B062D" w:rsidRDefault="003B062D" w:rsidP="003B062D">
            <w:pPr>
              <w:pStyle w:val="ListBullet"/>
              <w:cnfStyle w:val="000000000000" w:firstRow="0" w:lastRow="0" w:firstColumn="0" w:lastColumn="0" w:oddVBand="0" w:evenVBand="0" w:oddHBand="0" w:evenHBand="0" w:firstRowFirstColumn="0" w:firstRowLastColumn="0" w:lastRowFirstColumn="0" w:lastRowLastColumn="0"/>
            </w:pPr>
            <w:r>
              <w:t>There</w:t>
            </w:r>
            <w:r>
              <w:rPr>
                <w:spacing w:val="-4"/>
              </w:rPr>
              <w:t xml:space="preserve"> </w:t>
            </w:r>
            <w:r>
              <w:t>was</w:t>
            </w:r>
            <w:r>
              <w:rPr>
                <w:spacing w:val="-4"/>
              </w:rPr>
              <w:t xml:space="preserve"> </w:t>
            </w:r>
            <w:r>
              <w:t>no</w:t>
            </w:r>
            <w:r>
              <w:rPr>
                <w:spacing w:val="-6"/>
              </w:rPr>
              <w:t xml:space="preserve"> </w:t>
            </w:r>
            <w:r>
              <w:t>difference</w:t>
            </w:r>
            <w:r>
              <w:rPr>
                <w:spacing w:val="-4"/>
              </w:rPr>
              <w:t xml:space="preserve"> </w:t>
            </w:r>
            <w:r>
              <w:t>in</w:t>
            </w:r>
            <w:r>
              <w:rPr>
                <w:spacing w:val="-4"/>
              </w:rPr>
              <w:t xml:space="preserve"> </w:t>
            </w:r>
            <w:r>
              <w:t>PFS</w:t>
            </w:r>
            <w:r>
              <w:rPr>
                <w:spacing w:val="-3"/>
              </w:rPr>
              <w:t xml:space="preserve"> </w:t>
            </w:r>
            <w:r>
              <w:t>by</w:t>
            </w:r>
            <w:r>
              <w:rPr>
                <w:spacing w:val="-5"/>
              </w:rPr>
              <w:t xml:space="preserve"> </w:t>
            </w:r>
            <w:r>
              <w:t>PI3K</w:t>
            </w:r>
            <w:r>
              <w:rPr>
                <w:spacing w:val="-5"/>
              </w:rPr>
              <w:t xml:space="preserve"> </w:t>
            </w:r>
            <w:r>
              <w:t>alteration</w:t>
            </w:r>
            <w:r>
              <w:rPr>
                <w:spacing w:val="-5"/>
              </w:rPr>
              <w:t xml:space="preserve"> </w:t>
            </w:r>
            <w:r>
              <w:t>status Secondary endpoints: OS, OR and clinical benefit</w:t>
            </w:r>
          </w:p>
          <w:p w14:paraId="5A3F562D" w14:textId="1200308C" w:rsidR="003B062D" w:rsidRPr="003B062D" w:rsidRDefault="003B062D" w:rsidP="00CE6039">
            <w:pPr>
              <w:cnfStyle w:val="000000000000" w:firstRow="0" w:lastRow="0" w:firstColumn="0" w:lastColumn="0" w:oddVBand="0" w:evenVBand="0" w:oddHBand="0" w:evenHBand="0" w:firstRowFirstColumn="0" w:firstRowLastColumn="0" w:lastRowFirstColumn="0" w:lastRowLastColumn="0"/>
              <w:rPr>
                <w:b/>
                <w:bCs/>
              </w:rPr>
            </w:pPr>
            <w:r w:rsidRPr="003B062D">
              <w:rPr>
                <w:b/>
                <w:bCs/>
              </w:rPr>
              <w:t>OS</w:t>
            </w:r>
            <w:r w:rsidRPr="003B062D">
              <w:rPr>
                <w:b/>
                <w:bCs/>
                <w:spacing w:val="-4"/>
              </w:rPr>
              <w:t xml:space="preserve"> </w:t>
            </w:r>
            <w:r w:rsidRPr="003B062D">
              <w:rPr>
                <w:b/>
                <w:bCs/>
              </w:rPr>
              <w:t>results:</w:t>
            </w:r>
          </w:p>
          <w:p w14:paraId="7522085F" w14:textId="77777777" w:rsidR="003B062D" w:rsidRDefault="003B062D" w:rsidP="003B062D">
            <w:pPr>
              <w:pStyle w:val="ListBullet"/>
              <w:cnfStyle w:val="000000000000" w:firstRow="0" w:lastRow="0" w:firstColumn="0" w:lastColumn="0" w:oddVBand="0" w:evenVBand="0" w:oddHBand="0" w:evenHBand="0" w:firstRowFirstColumn="0" w:firstRowLastColumn="0" w:lastRowFirstColumn="0" w:lastRowLastColumn="0"/>
            </w:pPr>
            <w:r>
              <w:t>Median</w:t>
            </w:r>
            <w:r>
              <w:rPr>
                <w:spacing w:val="-3"/>
              </w:rPr>
              <w:t xml:space="preserve"> </w:t>
            </w:r>
            <w:r>
              <w:t>OS was</w:t>
            </w:r>
            <w:r>
              <w:rPr>
                <w:spacing w:val="-5"/>
              </w:rPr>
              <w:t xml:space="preserve"> </w:t>
            </w:r>
            <w:r>
              <w:t>26.0 (95%</w:t>
            </w:r>
            <w:r>
              <w:rPr>
                <w:spacing w:val="-6"/>
              </w:rPr>
              <w:t xml:space="preserve"> </w:t>
            </w:r>
            <w:r>
              <w:t>CI:</w:t>
            </w:r>
            <w:r>
              <w:rPr>
                <w:spacing w:val="-6"/>
              </w:rPr>
              <w:t xml:space="preserve"> </w:t>
            </w:r>
            <w:r>
              <w:t>18.4 to</w:t>
            </w:r>
            <w:r>
              <w:rPr>
                <w:spacing w:val="-5"/>
              </w:rPr>
              <w:t xml:space="preserve"> </w:t>
            </w:r>
            <w:r>
              <w:t>32.3) months</w:t>
            </w:r>
            <w:r>
              <w:rPr>
                <w:spacing w:val="-3"/>
              </w:rPr>
              <w:t xml:space="preserve"> </w:t>
            </w:r>
            <w:r>
              <w:t>in</w:t>
            </w:r>
            <w:r>
              <w:rPr>
                <w:spacing w:val="-3"/>
              </w:rPr>
              <w:t xml:space="preserve"> </w:t>
            </w:r>
            <w:r>
              <w:t>the</w:t>
            </w:r>
            <w:r>
              <w:rPr>
                <w:spacing w:val="-5"/>
              </w:rPr>
              <w:t xml:space="preserve"> </w:t>
            </w:r>
            <w:proofErr w:type="spellStart"/>
            <w:r>
              <w:t>capivasertib</w:t>
            </w:r>
            <w:proofErr w:type="spellEnd"/>
            <w:r>
              <w:t xml:space="preserve"> group and 20.0 (95% CI: 15.1 to 21.2) months in the placebo</w:t>
            </w:r>
          </w:p>
          <w:p w14:paraId="4AD9D510" w14:textId="173A2C6F" w:rsidR="003B062D" w:rsidRDefault="003B062D" w:rsidP="003B062D">
            <w:pPr>
              <w:pStyle w:val="ListBullet"/>
              <w:cnfStyle w:val="000000000000" w:firstRow="0" w:lastRow="0" w:firstColumn="0" w:lastColumn="0" w:oddVBand="0" w:evenVBand="0" w:oddHBand="0" w:evenHBand="0" w:firstRowFirstColumn="0" w:firstRowLastColumn="0" w:lastRowFirstColumn="0" w:lastRowLastColumn="0"/>
            </w:pPr>
            <w:r>
              <w:t>HR</w:t>
            </w:r>
            <w:r>
              <w:rPr>
                <w:spacing w:val="-3"/>
              </w:rPr>
              <w:t xml:space="preserve"> </w:t>
            </w:r>
            <w:r>
              <w:t>= 0.59</w:t>
            </w:r>
            <w:r>
              <w:rPr>
                <w:spacing w:val="-5"/>
              </w:rPr>
              <w:t xml:space="preserve"> </w:t>
            </w:r>
            <w:r>
              <w:t>(95%</w:t>
            </w:r>
            <w:r>
              <w:rPr>
                <w:spacing w:val="-4"/>
              </w:rPr>
              <w:t xml:space="preserve"> </w:t>
            </w:r>
            <w:r>
              <w:t>CI:</w:t>
            </w:r>
            <w:r>
              <w:rPr>
                <w:spacing w:val="-4"/>
              </w:rPr>
              <w:t xml:space="preserve"> </w:t>
            </w:r>
            <w:r>
              <w:t>0.34</w:t>
            </w:r>
            <w:r>
              <w:rPr>
                <w:spacing w:val="-3"/>
              </w:rPr>
              <w:t xml:space="preserve"> </w:t>
            </w:r>
            <w:r>
              <w:t>to</w:t>
            </w:r>
            <w:r>
              <w:rPr>
                <w:spacing w:val="-4"/>
              </w:rPr>
              <w:t xml:space="preserve"> </w:t>
            </w:r>
            <w:r>
              <w:t>1.05),</w:t>
            </w:r>
            <w:r>
              <w:rPr>
                <w:spacing w:val="-6"/>
              </w:rPr>
              <w:t xml:space="preserve"> </w:t>
            </w:r>
            <w:r>
              <w:t>2-sided</w:t>
            </w:r>
            <w:r>
              <w:rPr>
                <w:spacing w:val="-3"/>
              </w:rPr>
              <w:t xml:space="preserve"> </w:t>
            </w:r>
            <w:r>
              <w:t>p</w:t>
            </w:r>
            <w:r>
              <w:rPr>
                <w:spacing w:val="-3"/>
              </w:rPr>
              <w:t xml:space="preserve"> </w:t>
            </w:r>
            <w:r>
              <w:t>= 0.071</w:t>
            </w:r>
          </w:p>
        </w:tc>
      </w:tr>
      <w:tr w:rsidR="003B062D" w14:paraId="2B34EA62" w14:textId="77777777" w:rsidTr="00CE6039">
        <w:trPr>
          <w:trHeight w:val="2878"/>
        </w:trPr>
        <w:tc>
          <w:tcPr>
            <w:cnfStyle w:val="001000000000" w:firstRow="0" w:lastRow="0" w:firstColumn="1" w:lastColumn="0" w:oddVBand="0" w:evenVBand="0" w:oddHBand="0" w:evenHBand="0" w:firstRowFirstColumn="0" w:firstRowLastColumn="0" w:lastRowFirstColumn="0" w:lastRowLastColumn="0"/>
            <w:tcW w:w="1909" w:type="dxa"/>
            <w:vMerge/>
          </w:tcPr>
          <w:p w14:paraId="5BECDD59" w14:textId="77777777" w:rsidR="003B062D" w:rsidRDefault="003B062D" w:rsidP="00CE6039">
            <w:pPr>
              <w:rPr>
                <w:rFonts w:ascii="Times New Roman"/>
                <w:sz w:val="20"/>
              </w:rPr>
            </w:pPr>
          </w:p>
        </w:tc>
        <w:tc>
          <w:tcPr>
            <w:tcW w:w="7461" w:type="dxa"/>
          </w:tcPr>
          <w:p w14:paraId="49D8B09E" w14:textId="6F793CCE" w:rsidR="003B062D" w:rsidRPr="003B062D" w:rsidRDefault="003B062D" w:rsidP="00CE6039">
            <w:pPr>
              <w:cnfStyle w:val="000000000000" w:firstRow="0" w:lastRow="0" w:firstColumn="0" w:lastColumn="0" w:oddVBand="0" w:evenVBand="0" w:oddHBand="0" w:evenHBand="0" w:firstRowFirstColumn="0" w:firstRowLastColumn="0" w:lastRowFirstColumn="0" w:lastRowLastColumn="0"/>
              <w:rPr>
                <w:b/>
                <w:bCs/>
              </w:rPr>
            </w:pPr>
            <w:r w:rsidRPr="003B062D">
              <w:rPr>
                <w:b/>
                <w:bCs/>
              </w:rPr>
              <w:t>OR</w:t>
            </w:r>
            <w:r w:rsidRPr="003B062D">
              <w:rPr>
                <w:b/>
                <w:bCs/>
                <w:spacing w:val="-4"/>
              </w:rPr>
              <w:t xml:space="preserve"> </w:t>
            </w:r>
            <w:r w:rsidRPr="003B062D">
              <w:rPr>
                <w:b/>
                <w:bCs/>
              </w:rPr>
              <w:t>results:</w:t>
            </w:r>
          </w:p>
          <w:p w14:paraId="18FC6D80" w14:textId="77777777" w:rsidR="003B062D" w:rsidRDefault="003B062D" w:rsidP="003B062D">
            <w:pPr>
              <w:pStyle w:val="ListBullet"/>
              <w:cnfStyle w:val="000000000000" w:firstRow="0" w:lastRow="0" w:firstColumn="0" w:lastColumn="0" w:oddVBand="0" w:evenVBand="0" w:oddHBand="0" w:evenHBand="0" w:firstRowFirstColumn="0" w:firstRowLastColumn="0" w:lastRowFirstColumn="0" w:lastRowLastColumn="0"/>
            </w:pPr>
            <w:r>
              <w:t>Twenty</w:t>
            </w:r>
            <w:r>
              <w:rPr>
                <w:spacing w:val="-5"/>
              </w:rPr>
              <w:t xml:space="preserve"> </w:t>
            </w:r>
            <w:r>
              <w:t>(29%)</w:t>
            </w:r>
            <w:r>
              <w:rPr>
                <w:spacing w:val="-3"/>
              </w:rPr>
              <w:t xml:space="preserve"> </w:t>
            </w:r>
            <w:r>
              <w:t>patients</w:t>
            </w:r>
            <w:r>
              <w:rPr>
                <w:spacing w:val="-4"/>
              </w:rPr>
              <w:t xml:space="preserve"> </w:t>
            </w:r>
            <w:r>
              <w:t>in</w:t>
            </w:r>
            <w:r>
              <w:rPr>
                <w:spacing w:val="-4"/>
              </w:rPr>
              <w:t xml:space="preserve"> </w:t>
            </w:r>
            <w:r>
              <w:t>the</w:t>
            </w:r>
            <w:r>
              <w:rPr>
                <w:spacing w:val="-4"/>
              </w:rPr>
              <w:t xml:space="preserve"> </w:t>
            </w:r>
            <w:proofErr w:type="spellStart"/>
            <w:r>
              <w:t>capivasertib</w:t>
            </w:r>
            <w:proofErr w:type="spellEnd"/>
            <w:r>
              <w:rPr>
                <w:spacing w:val="-5"/>
              </w:rPr>
              <w:t xml:space="preserve"> </w:t>
            </w:r>
            <w:r>
              <w:t>group</w:t>
            </w:r>
            <w:r>
              <w:rPr>
                <w:spacing w:val="-4"/>
              </w:rPr>
              <w:t xml:space="preserve"> </w:t>
            </w:r>
            <w:r>
              <w:t>achieved</w:t>
            </w:r>
            <w:r>
              <w:rPr>
                <w:spacing w:val="-4"/>
              </w:rPr>
              <w:t xml:space="preserve"> </w:t>
            </w:r>
            <w:r>
              <w:t>an</w:t>
            </w:r>
            <w:r>
              <w:rPr>
                <w:spacing w:val="-4"/>
              </w:rPr>
              <w:t xml:space="preserve"> </w:t>
            </w:r>
            <w:r>
              <w:t>objective response compared with six (8%) in the placebo</w:t>
            </w:r>
          </w:p>
          <w:p w14:paraId="270181A5" w14:textId="77777777" w:rsidR="003B062D" w:rsidRDefault="003B062D" w:rsidP="003B062D">
            <w:pPr>
              <w:pStyle w:val="ListBullet"/>
              <w:cnfStyle w:val="000000000000" w:firstRow="0" w:lastRow="0" w:firstColumn="0" w:lastColumn="0" w:oddVBand="0" w:evenVBand="0" w:oddHBand="0" w:evenHBand="0" w:firstRowFirstColumn="0" w:firstRowLastColumn="0" w:lastRowFirstColumn="0" w:lastRowLastColumn="0"/>
            </w:pPr>
            <w:r>
              <w:t>OR</w:t>
            </w:r>
            <w:r>
              <w:rPr>
                <w:spacing w:val="-7"/>
              </w:rPr>
              <w:t xml:space="preserve"> </w:t>
            </w:r>
            <w:r>
              <w:t>= 4.42</w:t>
            </w:r>
            <w:r>
              <w:rPr>
                <w:spacing w:val="-3"/>
              </w:rPr>
              <w:t xml:space="preserve"> </w:t>
            </w:r>
            <w:r>
              <w:t>(95%</w:t>
            </w:r>
            <w:r>
              <w:rPr>
                <w:spacing w:val="-4"/>
              </w:rPr>
              <w:t xml:space="preserve"> </w:t>
            </w:r>
            <w:r>
              <w:t>CI:</w:t>
            </w:r>
            <w:r>
              <w:rPr>
                <w:spacing w:val="-3"/>
              </w:rPr>
              <w:t xml:space="preserve"> </w:t>
            </w:r>
            <w:r>
              <w:t>1.65</w:t>
            </w:r>
            <w:r>
              <w:rPr>
                <w:spacing w:val="-3"/>
              </w:rPr>
              <w:t xml:space="preserve"> </w:t>
            </w:r>
            <w:r>
              <w:t>to</w:t>
            </w:r>
            <w:r>
              <w:rPr>
                <w:spacing w:val="-4"/>
              </w:rPr>
              <w:t xml:space="preserve"> </w:t>
            </w:r>
            <w:r>
              <w:t>11.84),</w:t>
            </w:r>
            <w:r>
              <w:rPr>
                <w:spacing w:val="-3"/>
              </w:rPr>
              <w:t xml:space="preserve"> </w:t>
            </w:r>
            <w:r>
              <w:t>2-sided</w:t>
            </w:r>
            <w:r>
              <w:rPr>
                <w:spacing w:val="-4"/>
              </w:rPr>
              <w:t xml:space="preserve"> </w:t>
            </w:r>
            <w:r>
              <w:t>p</w:t>
            </w:r>
            <w:r>
              <w:rPr>
                <w:spacing w:val="-4"/>
              </w:rPr>
              <w:t xml:space="preserve"> </w:t>
            </w:r>
            <w:r>
              <w:t>= 0.0031.</w:t>
            </w:r>
          </w:p>
          <w:p w14:paraId="7FD76EFB" w14:textId="0B6083CB" w:rsidR="003B062D" w:rsidRPr="003B062D" w:rsidRDefault="003B062D" w:rsidP="00CE6039">
            <w:pPr>
              <w:cnfStyle w:val="000000000000" w:firstRow="0" w:lastRow="0" w:firstColumn="0" w:lastColumn="0" w:oddVBand="0" w:evenVBand="0" w:oddHBand="0" w:evenHBand="0" w:firstRowFirstColumn="0" w:firstRowLastColumn="0" w:lastRowFirstColumn="0" w:lastRowLastColumn="0"/>
              <w:rPr>
                <w:b/>
                <w:bCs/>
              </w:rPr>
            </w:pPr>
            <w:r w:rsidRPr="003B062D">
              <w:rPr>
                <w:b/>
                <w:bCs/>
              </w:rPr>
              <w:t>Clinical</w:t>
            </w:r>
            <w:r w:rsidRPr="003B062D">
              <w:rPr>
                <w:b/>
                <w:bCs/>
                <w:spacing w:val="-8"/>
              </w:rPr>
              <w:t xml:space="preserve"> </w:t>
            </w:r>
            <w:r w:rsidRPr="003B062D">
              <w:rPr>
                <w:b/>
                <w:bCs/>
              </w:rPr>
              <w:t>benefit</w:t>
            </w:r>
            <w:r w:rsidRPr="003B062D">
              <w:rPr>
                <w:b/>
                <w:bCs/>
                <w:spacing w:val="-5"/>
              </w:rPr>
              <w:t xml:space="preserve"> </w:t>
            </w:r>
            <w:r w:rsidRPr="003B062D">
              <w:rPr>
                <w:b/>
                <w:bCs/>
              </w:rPr>
              <w:t>results:</w:t>
            </w:r>
          </w:p>
          <w:p w14:paraId="06C97D70" w14:textId="77777777" w:rsidR="003B062D" w:rsidRDefault="003B062D" w:rsidP="003B062D">
            <w:pPr>
              <w:pStyle w:val="ListBullet"/>
              <w:cnfStyle w:val="000000000000" w:firstRow="0" w:lastRow="0" w:firstColumn="0" w:lastColumn="0" w:oddVBand="0" w:evenVBand="0" w:oddHBand="0" w:evenHBand="0" w:firstRowFirstColumn="0" w:firstRowLastColumn="0" w:lastRowFirstColumn="0" w:lastRowLastColumn="0"/>
            </w:pPr>
            <w:r>
              <w:t>There</w:t>
            </w:r>
            <w:r>
              <w:rPr>
                <w:spacing w:val="-4"/>
              </w:rPr>
              <w:t xml:space="preserve"> </w:t>
            </w:r>
            <w:r>
              <w:t>were</w:t>
            </w:r>
            <w:r>
              <w:rPr>
                <w:spacing w:val="-4"/>
              </w:rPr>
              <w:t xml:space="preserve"> </w:t>
            </w:r>
            <w:r>
              <w:t>38</w:t>
            </w:r>
            <w:r>
              <w:rPr>
                <w:spacing w:val="-3"/>
              </w:rPr>
              <w:t xml:space="preserve"> </w:t>
            </w:r>
            <w:r>
              <w:t>(55%)</w:t>
            </w:r>
            <w:r>
              <w:rPr>
                <w:spacing w:val="-3"/>
              </w:rPr>
              <w:t xml:space="preserve"> </w:t>
            </w:r>
            <w:r>
              <w:t>patients</w:t>
            </w:r>
            <w:r>
              <w:rPr>
                <w:spacing w:val="-4"/>
              </w:rPr>
              <w:t xml:space="preserve"> </w:t>
            </w:r>
            <w:r>
              <w:t>in</w:t>
            </w:r>
            <w:r>
              <w:rPr>
                <w:spacing w:val="-4"/>
              </w:rPr>
              <w:t xml:space="preserve"> </w:t>
            </w:r>
            <w:r>
              <w:t>the</w:t>
            </w:r>
            <w:r>
              <w:rPr>
                <w:spacing w:val="-4"/>
              </w:rPr>
              <w:t xml:space="preserve"> </w:t>
            </w:r>
            <w:proofErr w:type="spellStart"/>
            <w:r>
              <w:t>capivasertib</w:t>
            </w:r>
            <w:proofErr w:type="spellEnd"/>
            <w:r>
              <w:rPr>
                <w:spacing w:val="-5"/>
              </w:rPr>
              <w:t xml:space="preserve"> </w:t>
            </w:r>
            <w:r>
              <w:t>group</w:t>
            </w:r>
            <w:r>
              <w:rPr>
                <w:spacing w:val="-4"/>
              </w:rPr>
              <w:t xml:space="preserve"> </w:t>
            </w:r>
            <w:r>
              <w:t>who</w:t>
            </w:r>
            <w:r>
              <w:rPr>
                <w:spacing w:val="-3"/>
              </w:rPr>
              <w:t xml:space="preserve"> </w:t>
            </w:r>
            <w:r>
              <w:t>had</w:t>
            </w:r>
            <w:r>
              <w:rPr>
                <w:spacing w:val="-4"/>
              </w:rPr>
              <w:t xml:space="preserve"> </w:t>
            </w:r>
            <w:r>
              <w:t>clinical benefit and 29 (41%) in the placebo</w:t>
            </w:r>
          </w:p>
          <w:p w14:paraId="7ADDD4AD" w14:textId="77777777" w:rsidR="003B062D" w:rsidRDefault="003B062D" w:rsidP="003B062D">
            <w:pPr>
              <w:pStyle w:val="ListBullet"/>
              <w:cnfStyle w:val="000000000000" w:firstRow="0" w:lastRow="0" w:firstColumn="0" w:lastColumn="0" w:oddVBand="0" w:evenVBand="0" w:oddHBand="0" w:evenHBand="0" w:firstRowFirstColumn="0" w:firstRowLastColumn="0" w:lastRowFirstColumn="0" w:lastRowLastColumn="0"/>
            </w:pPr>
            <w:r>
              <w:t>OR</w:t>
            </w:r>
            <w:r>
              <w:rPr>
                <w:spacing w:val="-5"/>
              </w:rPr>
              <w:t xml:space="preserve"> </w:t>
            </w:r>
            <w:r>
              <w:t>=</w:t>
            </w:r>
            <w:r>
              <w:rPr>
                <w:spacing w:val="-3"/>
              </w:rPr>
              <w:t xml:space="preserve"> </w:t>
            </w:r>
            <w:r>
              <w:t>1.78 (95%</w:t>
            </w:r>
            <w:r>
              <w:rPr>
                <w:spacing w:val="-4"/>
              </w:rPr>
              <w:t xml:space="preserve"> </w:t>
            </w:r>
            <w:r>
              <w:t>CI:</w:t>
            </w:r>
            <w:r>
              <w:rPr>
                <w:spacing w:val="-4"/>
              </w:rPr>
              <w:t xml:space="preserve"> </w:t>
            </w:r>
            <w:r>
              <w:t>0.91 to</w:t>
            </w:r>
            <w:r>
              <w:rPr>
                <w:spacing w:val="-5"/>
              </w:rPr>
              <w:t xml:space="preserve"> </w:t>
            </w:r>
            <w:r>
              <w:t>3.47),</w:t>
            </w:r>
            <w:r>
              <w:rPr>
                <w:spacing w:val="-6"/>
              </w:rPr>
              <w:t xml:space="preserve"> </w:t>
            </w:r>
            <w:r>
              <w:t>2-sided</w:t>
            </w:r>
            <w:r>
              <w:rPr>
                <w:spacing w:val="-3"/>
              </w:rPr>
              <w:t xml:space="preserve"> </w:t>
            </w:r>
            <w:r>
              <w:t>p=</w:t>
            </w:r>
            <w:r>
              <w:rPr>
                <w:spacing w:val="-4"/>
              </w:rPr>
              <w:t xml:space="preserve"> 0.093</w:t>
            </w:r>
          </w:p>
        </w:tc>
      </w:tr>
    </w:tbl>
    <w:p w14:paraId="28107D0E" w14:textId="77777777" w:rsidR="009C4CA4" w:rsidRDefault="009C4CA4" w:rsidP="003B062D">
      <w:pPr>
        <w:spacing w:before="240"/>
        <w:rPr>
          <w:spacing w:val="-2"/>
        </w:rPr>
      </w:pPr>
      <w:r>
        <w:t>The</w:t>
      </w:r>
      <w:r>
        <w:rPr>
          <w:spacing w:val="-5"/>
        </w:rPr>
        <w:t xml:space="preserve"> </w:t>
      </w:r>
      <w:r>
        <w:t>clinical</w:t>
      </w:r>
      <w:r>
        <w:rPr>
          <w:spacing w:val="-3"/>
        </w:rPr>
        <w:t xml:space="preserve"> </w:t>
      </w:r>
      <w:r>
        <w:t>evaluator</w:t>
      </w:r>
      <w:r>
        <w:rPr>
          <w:spacing w:val="-3"/>
        </w:rPr>
        <w:t xml:space="preserve"> </w:t>
      </w:r>
      <w:r>
        <w:rPr>
          <w:spacing w:val="-2"/>
        </w:rPr>
        <w:t>commented:</w:t>
      </w:r>
    </w:p>
    <w:p w14:paraId="1B9A588E" w14:textId="2E959B49" w:rsidR="009C4CA4" w:rsidRDefault="009C4CA4" w:rsidP="00951AF4">
      <w:pPr>
        <w:ind w:left="720"/>
      </w:pPr>
      <w:r>
        <w:t>The FAKTION study provided supportive evidence for PFS but was underpowered, or had inadequate follow-up time, to analyse OS, OR and clinical benefit.</w:t>
      </w:r>
      <w:r>
        <w:rPr>
          <w:spacing w:val="40"/>
        </w:rPr>
        <w:t xml:space="preserve"> </w:t>
      </w:r>
      <w:r>
        <w:t>The study also included</w:t>
      </w:r>
      <w:r>
        <w:rPr>
          <w:spacing w:val="-3"/>
        </w:rPr>
        <w:t xml:space="preserve"> </w:t>
      </w:r>
      <w:r>
        <w:t>patients</w:t>
      </w:r>
      <w:r>
        <w:rPr>
          <w:spacing w:val="-2"/>
        </w:rPr>
        <w:t xml:space="preserve"> </w:t>
      </w:r>
      <w:r>
        <w:t>who</w:t>
      </w:r>
      <w:r>
        <w:rPr>
          <w:spacing w:val="-3"/>
        </w:rPr>
        <w:t xml:space="preserve"> </w:t>
      </w:r>
      <w:r>
        <w:t>did</w:t>
      </w:r>
      <w:r>
        <w:rPr>
          <w:spacing w:val="-5"/>
        </w:rPr>
        <w:t xml:space="preserve"> </w:t>
      </w:r>
      <w:r>
        <w:t>not</w:t>
      </w:r>
      <w:r>
        <w:rPr>
          <w:spacing w:val="-3"/>
        </w:rPr>
        <w:t xml:space="preserve"> </w:t>
      </w:r>
      <w:r>
        <w:t>have</w:t>
      </w:r>
      <w:r>
        <w:rPr>
          <w:spacing w:val="-3"/>
        </w:rPr>
        <w:t xml:space="preserve"> </w:t>
      </w:r>
      <w:r>
        <w:t>measurable</w:t>
      </w:r>
      <w:r>
        <w:rPr>
          <w:spacing w:val="-3"/>
        </w:rPr>
        <w:t xml:space="preserve"> </w:t>
      </w:r>
      <w:r>
        <w:t>disease</w:t>
      </w:r>
      <w:r>
        <w:rPr>
          <w:spacing w:val="-3"/>
        </w:rPr>
        <w:t xml:space="preserve"> </w:t>
      </w:r>
      <w:r>
        <w:t>according</w:t>
      </w:r>
      <w:r>
        <w:rPr>
          <w:spacing w:val="-2"/>
        </w:rPr>
        <w:t xml:space="preserve"> </w:t>
      </w:r>
      <w:r>
        <w:t>to</w:t>
      </w:r>
      <w:r>
        <w:rPr>
          <w:spacing w:val="-3"/>
        </w:rPr>
        <w:t xml:space="preserve"> </w:t>
      </w:r>
      <w:r>
        <w:t>RECIST</w:t>
      </w:r>
      <w:r>
        <w:rPr>
          <w:spacing w:val="-2"/>
        </w:rPr>
        <w:t xml:space="preserve"> </w:t>
      </w:r>
      <w:r>
        <w:t>version</w:t>
      </w:r>
      <w:r>
        <w:rPr>
          <w:spacing w:val="-4"/>
        </w:rPr>
        <w:t xml:space="preserve"> </w:t>
      </w:r>
      <w:r>
        <w:t xml:space="preserve">1.1. Hence this study does not conform with EMA guidance. However, the study does provide supportive evidence for an improvement in PFS with </w:t>
      </w:r>
      <w:proofErr w:type="spellStart"/>
      <w:r>
        <w:t>capivasertib</w:t>
      </w:r>
      <w:proofErr w:type="spellEnd"/>
      <w:r>
        <w:t xml:space="preserve"> </w:t>
      </w:r>
      <w:proofErr w:type="gramStart"/>
      <w:r>
        <w:t>and also</w:t>
      </w:r>
      <w:proofErr w:type="gramEnd"/>
      <w:r>
        <w:t xml:space="preserve"> that PI3K alteration status does not affect efficacy.</w:t>
      </w:r>
      <w:r>
        <w:rPr>
          <w:spacing w:val="40"/>
        </w:rPr>
        <w:t xml:space="preserve"> </w:t>
      </w:r>
      <w:r>
        <w:t xml:space="preserve">The study also provided safety data for the dosing regimen proposed by the Sponsor: 400 mg twice daily, 4 days on/3 days off, with </w:t>
      </w:r>
      <w:proofErr w:type="spellStart"/>
      <w:r>
        <w:t>fulvestrant</w:t>
      </w:r>
      <w:proofErr w:type="spellEnd"/>
      <w:r>
        <w:t xml:space="preserve"> 500 mg every two weeks [then monthly after the </w:t>
      </w:r>
      <w:r w:rsidR="000E0AD4">
        <w:t xml:space="preserve">third </w:t>
      </w:r>
      <w:r>
        <w:t>dose].</w:t>
      </w:r>
    </w:p>
    <w:p w14:paraId="4C5715E0" w14:textId="77777777" w:rsidR="009C4CA4" w:rsidRDefault="009C4CA4" w:rsidP="00951AF4">
      <w:r>
        <w:t>After the round 2 evaluation, the sponsor noted that updated PFS and OS results from the FAKTION</w:t>
      </w:r>
      <w:r>
        <w:rPr>
          <w:spacing w:val="-1"/>
        </w:rPr>
        <w:t xml:space="preserve"> </w:t>
      </w:r>
      <w:r>
        <w:t>trial</w:t>
      </w:r>
      <w:r>
        <w:rPr>
          <w:spacing w:val="-2"/>
        </w:rPr>
        <w:t xml:space="preserve"> </w:t>
      </w:r>
      <w:r>
        <w:t>were</w:t>
      </w:r>
      <w:r>
        <w:rPr>
          <w:spacing w:val="-2"/>
        </w:rPr>
        <w:t xml:space="preserve"> </w:t>
      </w:r>
      <w:r>
        <w:t>published</w:t>
      </w:r>
      <w:r>
        <w:rPr>
          <w:spacing w:val="-4"/>
        </w:rPr>
        <w:t xml:space="preserve"> </w:t>
      </w:r>
      <w:r>
        <w:t>in</w:t>
      </w:r>
      <w:r>
        <w:rPr>
          <w:spacing w:val="-3"/>
        </w:rPr>
        <w:t xml:space="preserve"> </w:t>
      </w:r>
      <w:r>
        <w:t>2022</w:t>
      </w:r>
      <w:r>
        <w:rPr>
          <w:spacing w:val="-2"/>
        </w:rPr>
        <w:t xml:space="preserve"> </w:t>
      </w:r>
      <w:r>
        <w:t>(Howell</w:t>
      </w:r>
      <w:r>
        <w:rPr>
          <w:spacing w:val="-2"/>
        </w:rPr>
        <w:t xml:space="preserve"> </w:t>
      </w:r>
      <w:r>
        <w:t>et</w:t>
      </w:r>
      <w:r>
        <w:rPr>
          <w:spacing w:val="-2"/>
        </w:rPr>
        <w:t xml:space="preserve"> </w:t>
      </w:r>
      <w:r>
        <w:t>al.),</w:t>
      </w:r>
      <w:r>
        <w:rPr>
          <w:spacing w:val="-2"/>
        </w:rPr>
        <w:t xml:space="preserve"> </w:t>
      </w:r>
      <w:r>
        <w:t>however</w:t>
      </w:r>
      <w:r>
        <w:rPr>
          <w:spacing w:val="-2"/>
        </w:rPr>
        <w:t xml:space="preserve"> </w:t>
      </w:r>
      <w:r>
        <w:t>the</w:t>
      </w:r>
      <w:r>
        <w:rPr>
          <w:spacing w:val="-2"/>
        </w:rPr>
        <w:t xml:space="preserve"> </w:t>
      </w:r>
      <w:r>
        <w:t>2020</w:t>
      </w:r>
      <w:r>
        <w:rPr>
          <w:spacing w:val="-2"/>
        </w:rPr>
        <w:t xml:space="preserve"> </w:t>
      </w:r>
      <w:r>
        <w:t>paper</w:t>
      </w:r>
      <w:r>
        <w:rPr>
          <w:spacing w:val="-2"/>
        </w:rPr>
        <w:t xml:space="preserve"> </w:t>
      </w:r>
      <w:r>
        <w:t>was</w:t>
      </w:r>
      <w:r>
        <w:rPr>
          <w:spacing w:val="-1"/>
        </w:rPr>
        <w:t xml:space="preserve"> </w:t>
      </w:r>
      <w:r>
        <w:t>the</w:t>
      </w:r>
      <w:r>
        <w:rPr>
          <w:spacing w:val="-2"/>
        </w:rPr>
        <w:t xml:space="preserve"> </w:t>
      </w:r>
      <w:r>
        <w:t>focus</w:t>
      </w:r>
      <w:r>
        <w:rPr>
          <w:spacing w:val="-3"/>
        </w:rPr>
        <w:t xml:space="preserve"> </w:t>
      </w:r>
      <w:r>
        <w:t>of the</w:t>
      </w:r>
      <w:r>
        <w:rPr>
          <w:spacing w:val="-1"/>
        </w:rPr>
        <w:t xml:space="preserve"> </w:t>
      </w:r>
      <w:r>
        <w:t>evaluation.</w:t>
      </w:r>
      <w:r>
        <w:rPr>
          <w:spacing w:val="-3"/>
        </w:rPr>
        <w:t xml:space="preserve"> </w:t>
      </w:r>
      <w:r>
        <w:t>The</w:t>
      </w:r>
      <w:r>
        <w:rPr>
          <w:spacing w:val="-1"/>
        </w:rPr>
        <w:t xml:space="preserve"> </w:t>
      </w:r>
      <w:r>
        <w:t>updated</w:t>
      </w:r>
      <w:r>
        <w:rPr>
          <w:spacing w:val="-1"/>
        </w:rPr>
        <w:t xml:space="preserve"> </w:t>
      </w:r>
      <w:r>
        <w:t>hazard</w:t>
      </w:r>
      <w:r>
        <w:rPr>
          <w:spacing w:val="-1"/>
        </w:rPr>
        <w:t xml:space="preserve"> </w:t>
      </w:r>
      <w:r>
        <w:t>ratios at</w:t>
      </w:r>
      <w:r>
        <w:rPr>
          <w:spacing w:val="-1"/>
        </w:rPr>
        <w:t xml:space="preserve"> </w:t>
      </w:r>
      <w:r>
        <w:t>the</w:t>
      </w:r>
      <w:r>
        <w:rPr>
          <w:spacing w:val="-1"/>
        </w:rPr>
        <w:t xml:space="preserve"> </w:t>
      </w:r>
      <w:r>
        <w:t>DCO</w:t>
      </w:r>
      <w:r>
        <w:rPr>
          <w:spacing w:val="-1"/>
        </w:rPr>
        <w:t xml:space="preserve"> </w:t>
      </w:r>
      <w:r>
        <w:t>of</w:t>
      </w:r>
      <w:r>
        <w:rPr>
          <w:spacing w:val="-1"/>
        </w:rPr>
        <w:t xml:space="preserve"> </w:t>
      </w:r>
      <w:r>
        <w:t>25</w:t>
      </w:r>
      <w:r>
        <w:rPr>
          <w:spacing w:val="-1"/>
        </w:rPr>
        <w:t xml:space="preserve"> </w:t>
      </w:r>
      <w:r>
        <w:t>November</w:t>
      </w:r>
      <w:r>
        <w:rPr>
          <w:spacing w:val="-1"/>
        </w:rPr>
        <w:t xml:space="preserve"> </w:t>
      </w:r>
      <w:r>
        <w:t>2021</w:t>
      </w:r>
      <w:r>
        <w:rPr>
          <w:spacing w:val="-2"/>
        </w:rPr>
        <w:t xml:space="preserve"> </w:t>
      </w:r>
      <w:r>
        <w:t>were</w:t>
      </w:r>
      <w:r>
        <w:rPr>
          <w:spacing w:val="-1"/>
        </w:rPr>
        <w:t xml:space="preserve"> </w:t>
      </w:r>
      <w:r>
        <w:t>0.56</w:t>
      </w:r>
      <w:r>
        <w:rPr>
          <w:spacing w:val="-1"/>
        </w:rPr>
        <w:t xml:space="preserve"> </w:t>
      </w:r>
      <w:r>
        <w:t>(95%</w:t>
      </w:r>
      <w:r>
        <w:rPr>
          <w:spacing w:val="-1"/>
        </w:rPr>
        <w:t xml:space="preserve"> </w:t>
      </w:r>
      <w:r>
        <w:t>CI: 0.38-0.81, p=0.0023) for PFS and 0.66 (95% CI: 0.45-0.97, p=0.035) for OS.</w:t>
      </w:r>
    </w:p>
    <w:p w14:paraId="34E158A0" w14:textId="06B59BFA" w:rsidR="009C4CA4" w:rsidRPr="003B062D" w:rsidRDefault="009C4CA4" w:rsidP="003B062D">
      <w:pPr>
        <w:pStyle w:val="Heading4"/>
      </w:pPr>
      <w:bookmarkStart w:id="63" w:name="Safety"/>
      <w:bookmarkStart w:id="64" w:name="_Toc191292207"/>
      <w:bookmarkEnd w:id="63"/>
      <w:r w:rsidRPr="00951AF4">
        <w:t>Safety</w:t>
      </w:r>
      <w:bookmarkEnd w:id="64"/>
    </w:p>
    <w:p w14:paraId="4411CB71" w14:textId="77777777" w:rsidR="009C4CA4" w:rsidRDefault="009C4CA4" w:rsidP="00951AF4">
      <w:r>
        <w:t>Safety data comes from the pivotal CAPItello-291 study, the FAKTION study, the 8 phase I pharmacology</w:t>
      </w:r>
      <w:r>
        <w:rPr>
          <w:spacing w:val="-5"/>
        </w:rPr>
        <w:t xml:space="preserve"> </w:t>
      </w:r>
      <w:r>
        <w:t>studies,</w:t>
      </w:r>
      <w:r>
        <w:rPr>
          <w:spacing w:val="-4"/>
        </w:rPr>
        <w:t xml:space="preserve"> </w:t>
      </w:r>
      <w:r>
        <w:t>a</w:t>
      </w:r>
      <w:r>
        <w:rPr>
          <w:spacing w:val="-4"/>
        </w:rPr>
        <w:t xml:space="preserve"> </w:t>
      </w:r>
      <w:r>
        <w:t>population</w:t>
      </w:r>
      <w:r>
        <w:rPr>
          <w:spacing w:val="-5"/>
        </w:rPr>
        <w:t xml:space="preserve"> </w:t>
      </w:r>
      <w:r>
        <w:t>C-QT/QTc</w:t>
      </w:r>
      <w:r>
        <w:rPr>
          <w:spacing w:val="-3"/>
        </w:rPr>
        <w:t xml:space="preserve"> </w:t>
      </w:r>
      <w:r>
        <w:t>analysis</w:t>
      </w:r>
      <w:r>
        <w:rPr>
          <w:spacing w:val="-3"/>
        </w:rPr>
        <w:t xml:space="preserve"> </w:t>
      </w:r>
      <w:r>
        <w:t>and</w:t>
      </w:r>
      <w:r>
        <w:rPr>
          <w:spacing w:val="-4"/>
        </w:rPr>
        <w:t xml:space="preserve"> </w:t>
      </w:r>
      <w:r>
        <w:t>two</w:t>
      </w:r>
      <w:r>
        <w:rPr>
          <w:spacing w:val="-4"/>
        </w:rPr>
        <w:t xml:space="preserve"> </w:t>
      </w:r>
      <w:r>
        <w:t>exposure-response</w:t>
      </w:r>
      <w:r>
        <w:rPr>
          <w:spacing w:val="-4"/>
        </w:rPr>
        <w:t xml:space="preserve"> </w:t>
      </w:r>
      <w:r>
        <w:t>analyses. There was also an integrated summary of safety, which pooled data from CAPItello-291 and Study</w:t>
      </w:r>
      <w:r>
        <w:rPr>
          <w:spacing w:val="-3"/>
        </w:rPr>
        <w:t xml:space="preserve"> </w:t>
      </w:r>
      <w:r>
        <w:t>D3610C00001</w:t>
      </w:r>
      <w:r>
        <w:rPr>
          <w:spacing w:val="-2"/>
        </w:rPr>
        <w:t xml:space="preserve"> </w:t>
      </w:r>
      <w:r>
        <w:t>(FTIH),</w:t>
      </w:r>
      <w:r>
        <w:rPr>
          <w:spacing w:val="-2"/>
        </w:rPr>
        <w:t xml:space="preserve"> </w:t>
      </w:r>
      <w:r>
        <w:t>giving</w:t>
      </w:r>
      <w:r>
        <w:rPr>
          <w:spacing w:val="-1"/>
        </w:rPr>
        <w:t xml:space="preserve"> </w:t>
      </w:r>
      <w:r>
        <w:t>a</w:t>
      </w:r>
      <w:r>
        <w:rPr>
          <w:spacing w:val="-2"/>
        </w:rPr>
        <w:t xml:space="preserve"> </w:t>
      </w:r>
      <w:r>
        <w:t>population</w:t>
      </w:r>
      <w:r>
        <w:rPr>
          <w:spacing w:val="-3"/>
        </w:rPr>
        <w:t xml:space="preserve"> </w:t>
      </w:r>
      <w:r>
        <w:t>of</w:t>
      </w:r>
      <w:r>
        <w:rPr>
          <w:spacing w:val="-4"/>
        </w:rPr>
        <w:t xml:space="preserve"> </w:t>
      </w:r>
      <w:r>
        <w:t>430</w:t>
      </w:r>
      <w:r>
        <w:rPr>
          <w:spacing w:val="-2"/>
        </w:rPr>
        <w:t xml:space="preserve"> </w:t>
      </w:r>
      <w:r>
        <w:t>patients</w:t>
      </w:r>
      <w:r>
        <w:rPr>
          <w:spacing w:val="-1"/>
        </w:rPr>
        <w:t xml:space="preserve"> </w:t>
      </w:r>
      <w:r>
        <w:t>exposed</w:t>
      </w:r>
      <w:r>
        <w:rPr>
          <w:spacing w:val="-2"/>
        </w:rPr>
        <w:t xml:space="preserve"> </w:t>
      </w:r>
      <w:r>
        <w:t>to</w:t>
      </w:r>
      <w:r>
        <w:rPr>
          <w:spacing w:val="-4"/>
        </w:rPr>
        <w:t xml:space="preserve"> </w:t>
      </w:r>
      <w:proofErr w:type="spellStart"/>
      <w:r>
        <w:t>Capivasertib</w:t>
      </w:r>
      <w:proofErr w:type="spellEnd"/>
      <w:r>
        <w:rPr>
          <w:spacing w:val="-3"/>
        </w:rPr>
        <w:t xml:space="preserve"> </w:t>
      </w:r>
      <w:r>
        <w:t xml:space="preserve">and </w:t>
      </w:r>
      <w:proofErr w:type="spellStart"/>
      <w:r>
        <w:t>fulvestrant</w:t>
      </w:r>
      <w:proofErr w:type="spellEnd"/>
      <w:r>
        <w:t>.</w:t>
      </w:r>
      <w:r>
        <w:rPr>
          <w:spacing w:val="40"/>
        </w:rPr>
        <w:t xml:space="preserve"> </w:t>
      </w:r>
      <w:r>
        <w:t xml:space="preserve">This overview focuses on the safety data from the CAPItello-291 study, which provides direct comparison between the </w:t>
      </w:r>
      <w:proofErr w:type="spellStart"/>
      <w:r>
        <w:t>capivasertib</w:t>
      </w:r>
      <w:proofErr w:type="spellEnd"/>
      <w:r>
        <w:t xml:space="preserve"> and placebo groups. Full details of the safety evaluation can be found in the CER, Section 8.</w:t>
      </w:r>
    </w:p>
    <w:p w14:paraId="79B6754E" w14:textId="77777777" w:rsidR="009C4CA4" w:rsidRDefault="009C4CA4" w:rsidP="00951AF4">
      <w:r>
        <w:t>In</w:t>
      </w:r>
      <w:r>
        <w:rPr>
          <w:spacing w:val="-3"/>
        </w:rPr>
        <w:t xml:space="preserve"> </w:t>
      </w:r>
      <w:r>
        <w:t>CAPItello-291,</w:t>
      </w:r>
      <w:r>
        <w:rPr>
          <w:spacing w:val="-2"/>
        </w:rPr>
        <w:t xml:space="preserve"> </w:t>
      </w:r>
      <w:r>
        <w:t>median</w:t>
      </w:r>
      <w:r>
        <w:rPr>
          <w:spacing w:val="-3"/>
        </w:rPr>
        <w:t xml:space="preserve"> </w:t>
      </w:r>
      <w:r>
        <w:t>total</w:t>
      </w:r>
      <w:r>
        <w:rPr>
          <w:spacing w:val="-2"/>
        </w:rPr>
        <w:t xml:space="preserve"> </w:t>
      </w:r>
      <w:r>
        <w:t>exposure</w:t>
      </w:r>
      <w:r>
        <w:rPr>
          <w:spacing w:val="-2"/>
        </w:rPr>
        <w:t xml:space="preserve"> </w:t>
      </w:r>
      <w:r>
        <w:t>was</w:t>
      </w:r>
      <w:r>
        <w:rPr>
          <w:spacing w:val="-1"/>
        </w:rPr>
        <w:t xml:space="preserve"> </w:t>
      </w:r>
      <w:r>
        <w:t>5.3</w:t>
      </w:r>
      <w:r>
        <w:rPr>
          <w:spacing w:val="-4"/>
        </w:rPr>
        <w:t xml:space="preserve"> </w:t>
      </w:r>
      <w:r>
        <w:t>months</w:t>
      </w:r>
      <w:r>
        <w:rPr>
          <w:spacing w:val="-1"/>
        </w:rPr>
        <w:t xml:space="preserve"> </w:t>
      </w:r>
      <w:r>
        <w:t>in</w:t>
      </w:r>
      <w:r>
        <w:rPr>
          <w:spacing w:val="-3"/>
        </w:rPr>
        <w:t xml:space="preserve"> </w:t>
      </w:r>
      <w:r>
        <w:t>the</w:t>
      </w:r>
      <w:r>
        <w:rPr>
          <w:spacing w:val="-2"/>
        </w:rPr>
        <w:t xml:space="preserve"> </w:t>
      </w:r>
      <w:proofErr w:type="spellStart"/>
      <w:r>
        <w:t>capivasertib</w:t>
      </w:r>
      <w:proofErr w:type="spellEnd"/>
      <w:r>
        <w:rPr>
          <w:spacing w:val="-3"/>
        </w:rPr>
        <w:t xml:space="preserve"> </w:t>
      </w:r>
      <w:r>
        <w:t>arm</w:t>
      </w:r>
      <w:r>
        <w:rPr>
          <w:spacing w:val="-1"/>
        </w:rPr>
        <w:t xml:space="preserve"> </w:t>
      </w:r>
      <w:r>
        <w:t>and</w:t>
      </w:r>
      <w:r>
        <w:rPr>
          <w:spacing w:val="-2"/>
        </w:rPr>
        <w:t xml:space="preserve"> </w:t>
      </w:r>
      <w:r>
        <w:t>3.5</w:t>
      </w:r>
      <w:r>
        <w:rPr>
          <w:spacing w:val="-4"/>
        </w:rPr>
        <w:t xml:space="preserve"> </w:t>
      </w:r>
      <w:r>
        <w:t>months in the placebo arm. Treatment durations in the combined pool were similar.</w:t>
      </w:r>
    </w:p>
    <w:p w14:paraId="2B5DFE28" w14:textId="002D79AD" w:rsidR="009C4CA4" w:rsidRPr="00951AF4" w:rsidRDefault="009C4CA4" w:rsidP="00BA1D52">
      <w:pPr>
        <w:pStyle w:val="Heading5"/>
      </w:pPr>
      <w:bookmarkStart w:id="65" w:name="Safety_in_CAPITello-291"/>
      <w:bookmarkEnd w:id="65"/>
      <w:r w:rsidRPr="00951AF4">
        <w:t>Safety in CAPITello-291</w:t>
      </w:r>
    </w:p>
    <w:p w14:paraId="4FEC1082" w14:textId="77F5997B" w:rsidR="009C4CA4" w:rsidRDefault="009C4CA4" w:rsidP="00BA1D52">
      <w:pPr>
        <w:pStyle w:val="Heading6"/>
      </w:pPr>
      <w:bookmarkStart w:id="66" w:name="Adverse_Events"/>
      <w:bookmarkEnd w:id="66"/>
      <w:r>
        <w:t>Adverse</w:t>
      </w:r>
      <w:r>
        <w:rPr>
          <w:spacing w:val="-5"/>
        </w:rPr>
        <w:t xml:space="preserve"> </w:t>
      </w:r>
      <w:r w:rsidR="003B062D">
        <w:rPr>
          <w:spacing w:val="-2"/>
        </w:rPr>
        <w:t>e</w:t>
      </w:r>
      <w:r>
        <w:rPr>
          <w:spacing w:val="-2"/>
        </w:rPr>
        <w:t>vents</w:t>
      </w:r>
    </w:p>
    <w:p w14:paraId="77AB15F1" w14:textId="16C9BEB8" w:rsidR="009C4CA4" w:rsidRDefault="009C4CA4" w:rsidP="00951AF4">
      <w:r>
        <w:t>In</w:t>
      </w:r>
      <w:r>
        <w:rPr>
          <w:spacing w:val="-3"/>
        </w:rPr>
        <w:t xml:space="preserve"> </w:t>
      </w:r>
      <w:r>
        <w:t>CAPItello-291,</w:t>
      </w:r>
      <w:r>
        <w:rPr>
          <w:spacing w:val="-2"/>
        </w:rPr>
        <w:t xml:space="preserve"> </w:t>
      </w:r>
      <w:r>
        <w:t>TEAEs</w:t>
      </w:r>
      <w:r>
        <w:rPr>
          <w:spacing w:val="-3"/>
        </w:rPr>
        <w:t xml:space="preserve"> </w:t>
      </w:r>
      <w:r>
        <w:t>were</w:t>
      </w:r>
      <w:r>
        <w:rPr>
          <w:spacing w:val="-2"/>
        </w:rPr>
        <w:t xml:space="preserve"> </w:t>
      </w:r>
      <w:r>
        <w:t>recorded</w:t>
      </w:r>
      <w:r>
        <w:rPr>
          <w:spacing w:val="-2"/>
        </w:rPr>
        <w:t xml:space="preserve"> </w:t>
      </w:r>
      <w:r>
        <w:t>for</w:t>
      </w:r>
      <w:r>
        <w:rPr>
          <w:spacing w:val="-2"/>
        </w:rPr>
        <w:t xml:space="preserve"> </w:t>
      </w:r>
      <w:r>
        <w:t>343</w:t>
      </w:r>
      <w:r>
        <w:rPr>
          <w:spacing w:val="-2"/>
        </w:rPr>
        <w:t xml:space="preserve"> </w:t>
      </w:r>
      <w:r>
        <w:t>(96.6%)</w:t>
      </w:r>
      <w:r>
        <w:rPr>
          <w:spacing w:val="-2"/>
        </w:rPr>
        <w:t xml:space="preserve"> </w:t>
      </w:r>
      <w:r>
        <w:t>patients</w:t>
      </w:r>
      <w:r>
        <w:rPr>
          <w:spacing w:val="-3"/>
        </w:rPr>
        <w:t xml:space="preserve"> </w:t>
      </w:r>
      <w:r>
        <w:t>in</w:t>
      </w:r>
      <w:r>
        <w:rPr>
          <w:spacing w:val="-3"/>
        </w:rPr>
        <w:t xml:space="preserve"> </w:t>
      </w:r>
      <w:r>
        <w:t>the</w:t>
      </w:r>
      <w:r>
        <w:rPr>
          <w:spacing w:val="-2"/>
        </w:rPr>
        <w:t xml:space="preserve"> </w:t>
      </w:r>
      <w:proofErr w:type="spellStart"/>
      <w:r>
        <w:t>capivasertib</w:t>
      </w:r>
      <w:proofErr w:type="spellEnd"/>
      <w:r>
        <w:rPr>
          <w:spacing w:val="-2"/>
        </w:rPr>
        <w:t xml:space="preserve"> </w:t>
      </w:r>
      <w:r>
        <w:t>group</w:t>
      </w:r>
      <w:r>
        <w:rPr>
          <w:spacing w:val="-2"/>
        </w:rPr>
        <w:t xml:space="preserve"> </w:t>
      </w:r>
      <w:r>
        <w:t xml:space="preserve">and 288 (82.3%) in the placebo. The most common TEAEs in the </w:t>
      </w:r>
      <w:proofErr w:type="spellStart"/>
      <w:r>
        <w:t>capivasertib</w:t>
      </w:r>
      <w:proofErr w:type="spellEnd"/>
      <w:r>
        <w:t xml:space="preserve"> arm were diarrhoea (72.4% patients), nausea</w:t>
      </w:r>
      <w:r>
        <w:rPr>
          <w:spacing w:val="-2"/>
        </w:rPr>
        <w:t xml:space="preserve"> </w:t>
      </w:r>
      <w:r>
        <w:t>(34.6%), rash (22.0%) [and rash as a grouped term</w:t>
      </w:r>
      <w:r>
        <w:rPr>
          <w:spacing w:val="-1"/>
        </w:rPr>
        <w:t xml:space="preserve"> </w:t>
      </w:r>
      <w:r>
        <w:t>(38.0%)], fatigue (20.8%), vomiting (20.6%), headache (16.9%), decreased appetite (16.6%), hyperglycaemia</w:t>
      </w:r>
      <w:r w:rsidR="004C64B2">
        <w:t xml:space="preserve"> </w:t>
      </w:r>
      <w:r>
        <w:t>(16.3%),</w:t>
      </w:r>
      <w:r>
        <w:rPr>
          <w:spacing w:val="-9"/>
        </w:rPr>
        <w:t xml:space="preserve"> </w:t>
      </w:r>
      <w:r>
        <w:t>maculopapular</w:t>
      </w:r>
      <w:r>
        <w:rPr>
          <w:spacing w:val="-6"/>
        </w:rPr>
        <w:t xml:space="preserve"> </w:t>
      </w:r>
      <w:r>
        <w:t>rash</w:t>
      </w:r>
      <w:r>
        <w:rPr>
          <w:spacing w:val="-5"/>
        </w:rPr>
        <w:t xml:space="preserve"> </w:t>
      </w:r>
      <w:r>
        <w:t>(16.1%),</w:t>
      </w:r>
      <w:r>
        <w:rPr>
          <w:spacing w:val="-6"/>
        </w:rPr>
        <w:t xml:space="preserve"> </w:t>
      </w:r>
      <w:r>
        <w:t>stomatitis</w:t>
      </w:r>
      <w:r>
        <w:rPr>
          <w:spacing w:val="-5"/>
        </w:rPr>
        <w:t xml:space="preserve"> </w:t>
      </w:r>
      <w:r>
        <w:t>(14.6%),</w:t>
      </w:r>
      <w:r>
        <w:rPr>
          <w:spacing w:val="-6"/>
        </w:rPr>
        <w:t xml:space="preserve"> </w:t>
      </w:r>
      <w:r>
        <w:t>asthenia</w:t>
      </w:r>
      <w:r>
        <w:rPr>
          <w:spacing w:val="-6"/>
        </w:rPr>
        <w:t xml:space="preserve"> </w:t>
      </w:r>
      <w:r>
        <w:t>(13.2%)</w:t>
      </w:r>
      <w:r>
        <w:rPr>
          <w:spacing w:val="-6"/>
        </w:rPr>
        <w:t xml:space="preserve"> </w:t>
      </w:r>
      <w:r>
        <w:t>and</w:t>
      </w:r>
      <w:r>
        <w:rPr>
          <w:spacing w:val="-6"/>
        </w:rPr>
        <w:t xml:space="preserve"> </w:t>
      </w:r>
      <w:r>
        <w:rPr>
          <w:spacing w:val="-2"/>
        </w:rPr>
        <w:t>pruritus</w:t>
      </w:r>
      <w:r w:rsidR="004C64B2">
        <w:rPr>
          <w:spacing w:val="-2"/>
        </w:rPr>
        <w:t xml:space="preserve"> (</w:t>
      </w:r>
      <w:r>
        <w:rPr>
          <w:spacing w:val="-2"/>
        </w:rPr>
        <w:t>12.4%).</w:t>
      </w:r>
    </w:p>
    <w:p w14:paraId="7975AFFD" w14:textId="0A211F18" w:rsidR="009C4CA4" w:rsidRDefault="00951AF4" w:rsidP="003B062D">
      <w:r>
        <w:t xml:space="preserve">Table </w:t>
      </w:r>
      <w:r w:rsidR="004C64B2">
        <w:t>5</w:t>
      </w:r>
      <w:r w:rsidR="009C4CA4">
        <w:rPr>
          <w:spacing w:val="-4"/>
        </w:rPr>
        <w:t xml:space="preserve"> </w:t>
      </w:r>
      <w:r w:rsidR="009C4CA4">
        <w:t>summarises</w:t>
      </w:r>
      <w:r w:rsidR="009C4CA4">
        <w:rPr>
          <w:spacing w:val="-3"/>
        </w:rPr>
        <w:t xml:space="preserve"> </w:t>
      </w:r>
      <w:r w:rsidR="009C4CA4">
        <w:t>the</w:t>
      </w:r>
      <w:r w:rsidR="009C4CA4">
        <w:rPr>
          <w:spacing w:val="-4"/>
        </w:rPr>
        <w:t xml:space="preserve"> </w:t>
      </w:r>
      <w:r w:rsidR="009C4CA4">
        <w:t>most</w:t>
      </w:r>
      <w:r w:rsidR="009C4CA4">
        <w:rPr>
          <w:spacing w:val="-7"/>
        </w:rPr>
        <w:t xml:space="preserve"> </w:t>
      </w:r>
      <w:r w:rsidR="009C4CA4">
        <w:t>common</w:t>
      </w:r>
      <w:r w:rsidR="009C4CA4">
        <w:rPr>
          <w:spacing w:val="-4"/>
        </w:rPr>
        <w:t xml:space="preserve"> </w:t>
      </w:r>
      <w:r w:rsidR="009C4CA4">
        <w:t>AE</w:t>
      </w:r>
      <w:r>
        <w:t>s</w:t>
      </w:r>
      <w:r w:rsidR="009C4CA4">
        <w:rPr>
          <w:spacing w:val="-4"/>
        </w:rPr>
        <w:t xml:space="preserve"> </w:t>
      </w:r>
      <w:r w:rsidR="009C4CA4">
        <w:t>in</w:t>
      </w:r>
      <w:r w:rsidR="009C4CA4">
        <w:rPr>
          <w:spacing w:val="-5"/>
        </w:rPr>
        <w:t xml:space="preserve"> </w:t>
      </w:r>
      <w:r w:rsidR="009C4CA4">
        <w:t>the</w:t>
      </w:r>
      <w:r w:rsidR="009C4CA4">
        <w:rPr>
          <w:spacing w:val="-4"/>
        </w:rPr>
        <w:t xml:space="preserve"> </w:t>
      </w:r>
      <w:r w:rsidR="009C4CA4">
        <w:t>CAPItello-291</w:t>
      </w:r>
      <w:r w:rsidR="009C4CA4">
        <w:rPr>
          <w:spacing w:val="-5"/>
        </w:rPr>
        <w:t xml:space="preserve"> </w:t>
      </w:r>
      <w:r w:rsidR="009C4CA4">
        <w:rPr>
          <w:spacing w:val="-2"/>
        </w:rPr>
        <w:t>study</w:t>
      </w:r>
      <w:r>
        <w:rPr>
          <w:spacing w:val="-2"/>
        </w:rPr>
        <w:t>.</w:t>
      </w:r>
    </w:p>
    <w:p w14:paraId="5BF112C3" w14:textId="10BEB9E3" w:rsidR="009C4CA4" w:rsidRDefault="009C4CA4" w:rsidP="003B062D">
      <w:pPr>
        <w:pStyle w:val="TableTitle"/>
      </w:pPr>
      <w:r>
        <w:lastRenderedPageBreak/>
        <w:t>Table</w:t>
      </w:r>
      <w:r>
        <w:rPr>
          <w:spacing w:val="-6"/>
        </w:rPr>
        <w:t xml:space="preserve"> </w:t>
      </w:r>
      <w:r w:rsidR="004C64B2">
        <w:t>5</w:t>
      </w:r>
      <w:r>
        <w:t>:</w:t>
      </w:r>
      <w:r>
        <w:rPr>
          <w:spacing w:val="-6"/>
        </w:rPr>
        <w:t xml:space="preserve"> </w:t>
      </w:r>
      <w:r w:rsidRPr="003B062D">
        <w:t>CAPItello</w:t>
      </w:r>
      <w:r>
        <w:t>-291,</w:t>
      </w:r>
      <w:r>
        <w:rPr>
          <w:spacing w:val="-4"/>
        </w:rPr>
        <w:t xml:space="preserve"> </w:t>
      </w:r>
      <w:r w:rsidR="00132FF8">
        <w:rPr>
          <w:spacing w:val="-4"/>
        </w:rPr>
        <w:t>m</w:t>
      </w:r>
      <w:r>
        <w:t>ost</w:t>
      </w:r>
      <w:r>
        <w:rPr>
          <w:spacing w:val="-4"/>
        </w:rPr>
        <w:t xml:space="preserve"> </w:t>
      </w:r>
      <w:r w:rsidR="00132FF8">
        <w:rPr>
          <w:spacing w:val="-4"/>
        </w:rPr>
        <w:t>c</w:t>
      </w:r>
      <w:r>
        <w:t>ommon</w:t>
      </w:r>
      <w:r>
        <w:rPr>
          <w:spacing w:val="-7"/>
        </w:rPr>
        <w:t xml:space="preserve"> </w:t>
      </w:r>
      <w:r>
        <w:t>AEs</w:t>
      </w:r>
      <w:r>
        <w:rPr>
          <w:spacing w:val="-4"/>
        </w:rPr>
        <w:t xml:space="preserve"> </w:t>
      </w:r>
      <w:r>
        <w:t>by</w:t>
      </w:r>
      <w:r>
        <w:rPr>
          <w:spacing w:val="-6"/>
        </w:rPr>
        <w:t xml:space="preserve"> </w:t>
      </w:r>
      <w:r>
        <w:t>PT</w:t>
      </w:r>
      <w:r>
        <w:rPr>
          <w:spacing w:val="-6"/>
        </w:rPr>
        <w:t xml:space="preserve"> </w:t>
      </w:r>
      <w:r>
        <w:t>(</w:t>
      </w:r>
      <w:r w:rsidR="00132FF8">
        <w:t>f</w:t>
      </w:r>
      <w:r>
        <w:t>requency</w:t>
      </w:r>
      <w:r>
        <w:rPr>
          <w:spacing w:val="-7"/>
        </w:rPr>
        <w:t xml:space="preserve"> </w:t>
      </w:r>
      <w:r>
        <w:t>&gt;</w:t>
      </w:r>
      <w:r>
        <w:rPr>
          <w:spacing w:val="-6"/>
        </w:rPr>
        <w:t xml:space="preserve"> </w:t>
      </w:r>
      <w:r>
        <w:t>5%</w:t>
      </w:r>
      <w:r>
        <w:rPr>
          <w:spacing w:val="-7"/>
        </w:rPr>
        <w:t xml:space="preserve"> </w:t>
      </w:r>
      <w:r>
        <w:t>either</w:t>
      </w:r>
      <w:r>
        <w:rPr>
          <w:spacing w:val="-6"/>
        </w:rPr>
        <w:t xml:space="preserve"> </w:t>
      </w:r>
      <w:r>
        <w:rPr>
          <w:spacing w:val="-2"/>
        </w:rPr>
        <w:t>group)</w:t>
      </w:r>
    </w:p>
    <w:p w14:paraId="497DCC0D" w14:textId="28B6DBA3" w:rsidR="009C4CA4" w:rsidRPr="003B062D" w:rsidRDefault="009C4CA4" w:rsidP="003B062D">
      <w:r>
        <w:rPr>
          <w:noProof/>
        </w:rPr>
        <w:drawing>
          <wp:inline distT="0" distB="0" distL="0" distR="0" wp14:anchorId="7087934E" wp14:editId="24541B82">
            <wp:extent cx="5523619" cy="7250906"/>
            <wp:effectExtent l="0" t="0" r="1270" b="7620"/>
            <wp:docPr id="29" name="Image 29" descr="Table listing the most common adverse events (AEs) by preferred term (PT) in the CAPItello-291 study, with a frequency greater than 5% in either treatment group. The table includes columns for the AE description, frequency in each treatment group, and overall frequ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Table listing the most common adverse events (AEs) by preferred term (PT) in the CAPItello-291 study, with a frequency greater than 5% in either treatment group. The table includes columns for the AE description, frequency in each treatment group, and overall frequency."/>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23619" cy="7250906"/>
                    </a:xfrm>
                    <a:prstGeom prst="rect">
                      <a:avLst/>
                    </a:prstGeom>
                  </pic:spPr>
                </pic:pic>
              </a:graphicData>
            </a:graphic>
          </wp:inline>
        </w:drawing>
      </w:r>
    </w:p>
    <w:p w14:paraId="7A09F7D8" w14:textId="77777777" w:rsidR="009C4CA4" w:rsidRDefault="009C4CA4" w:rsidP="003B062D">
      <w:r>
        <w:rPr>
          <w:noProof/>
        </w:rPr>
        <w:lastRenderedPageBreak/>
        <w:drawing>
          <wp:inline distT="0" distB="0" distL="0" distR="0" wp14:anchorId="3ACE6AEB" wp14:editId="4F125FC7">
            <wp:extent cx="5686326" cy="2297429"/>
            <wp:effectExtent l="0" t="0" r="0" b="0"/>
            <wp:docPr id="30" name="Image 30" descr="Table listing the most common adverse events (AEs) by preferred term (PT) in the CAPItello-291 study, with a frequency greater than 5% in either treatment group. The table includes columns for the AE description, frequency in each treatment group, and overall frequ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Table listing the most common adverse events (AEs) by preferred term (PT) in the CAPItello-291 study, with a frequency greater than 5% in either treatment group. The table includes columns for the AE description, frequency in each treatment group, and overall frequency."/>
                    <pic:cNvPicPr/>
                  </pic:nvPicPr>
                  <pic:blipFill>
                    <a:blip r:embed="rId42" cstate="print"/>
                    <a:stretch>
                      <a:fillRect/>
                    </a:stretch>
                  </pic:blipFill>
                  <pic:spPr>
                    <a:xfrm>
                      <a:off x="0" y="0"/>
                      <a:ext cx="5686326" cy="2297429"/>
                    </a:xfrm>
                    <a:prstGeom prst="rect">
                      <a:avLst/>
                    </a:prstGeom>
                  </pic:spPr>
                </pic:pic>
              </a:graphicData>
            </a:graphic>
          </wp:inline>
        </w:drawing>
      </w:r>
    </w:p>
    <w:p w14:paraId="3DB86F30" w14:textId="7E793B25" w:rsidR="009C4CA4" w:rsidRDefault="009C4CA4" w:rsidP="009B39FA">
      <w:pPr>
        <w:pStyle w:val="Heading6"/>
      </w:pPr>
      <w:bookmarkStart w:id="67" w:name="Deaths_and_SAEs"/>
      <w:bookmarkEnd w:id="67"/>
      <w:r w:rsidRPr="009B39FA">
        <w:t>Deaths</w:t>
      </w:r>
      <w:r>
        <w:rPr>
          <w:spacing w:val="-3"/>
        </w:rPr>
        <w:t xml:space="preserve"> </w:t>
      </w:r>
      <w:r>
        <w:t>and</w:t>
      </w:r>
      <w:r>
        <w:rPr>
          <w:spacing w:val="-3"/>
        </w:rPr>
        <w:t xml:space="preserve"> </w:t>
      </w:r>
      <w:r>
        <w:rPr>
          <w:spacing w:val="-4"/>
        </w:rPr>
        <w:t>SAEs</w:t>
      </w:r>
    </w:p>
    <w:p w14:paraId="678E5D86" w14:textId="155BDBB3" w:rsidR="009C4CA4" w:rsidRDefault="009C4CA4" w:rsidP="00951AF4">
      <w:r>
        <w:t xml:space="preserve">87 (24.5%) patients in the </w:t>
      </w:r>
      <w:proofErr w:type="spellStart"/>
      <w:r>
        <w:t>capivasertib</w:t>
      </w:r>
      <w:proofErr w:type="spellEnd"/>
      <w:r>
        <w:t xml:space="preserve"> group and 108 (30.6%) in the placebo group died</w:t>
      </w:r>
      <w:r w:rsidR="00E14F50">
        <w:t xml:space="preserve"> –</w:t>
      </w:r>
      <w:r>
        <w:t xml:space="preserve"> </w:t>
      </w:r>
      <w:proofErr w:type="gramStart"/>
      <w:r>
        <w:t>the majority of</w:t>
      </w:r>
      <w:proofErr w:type="gramEnd"/>
      <w:r>
        <w:t xml:space="preserve"> deaths were deemed to be related to the underlying disease. In the overall population, SAEs with outcome of death were recorded for four (1.1%) patients in the </w:t>
      </w:r>
      <w:proofErr w:type="spellStart"/>
      <w:r>
        <w:t>capivasertib</w:t>
      </w:r>
      <w:proofErr w:type="spellEnd"/>
      <w:r>
        <w:rPr>
          <w:spacing w:val="-5"/>
        </w:rPr>
        <w:t xml:space="preserve"> </w:t>
      </w:r>
      <w:r>
        <w:t>group</w:t>
      </w:r>
      <w:r>
        <w:rPr>
          <w:spacing w:val="-4"/>
        </w:rPr>
        <w:t xml:space="preserve"> </w:t>
      </w:r>
      <w:r>
        <w:t>(acute</w:t>
      </w:r>
      <w:r>
        <w:rPr>
          <w:spacing w:val="-6"/>
        </w:rPr>
        <w:t xml:space="preserve"> </w:t>
      </w:r>
      <w:r>
        <w:t>myocardial</w:t>
      </w:r>
      <w:r>
        <w:rPr>
          <w:spacing w:val="-4"/>
        </w:rPr>
        <w:t xml:space="preserve"> </w:t>
      </w:r>
      <w:r>
        <w:t>infarction,</w:t>
      </w:r>
      <w:r>
        <w:rPr>
          <w:spacing w:val="-4"/>
        </w:rPr>
        <w:t xml:space="preserve"> </w:t>
      </w:r>
      <w:r>
        <w:t>cerebral</w:t>
      </w:r>
      <w:r>
        <w:rPr>
          <w:spacing w:val="-4"/>
        </w:rPr>
        <w:t xml:space="preserve"> </w:t>
      </w:r>
      <w:r>
        <w:t>haemorrhage,</w:t>
      </w:r>
      <w:r>
        <w:rPr>
          <w:spacing w:val="-4"/>
        </w:rPr>
        <w:t xml:space="preserve"> </w:t>
      </w:r>
      <w:r>
        <w:t>pneumonia</w:t>
      </w:r>
      <w:r>
        <w:rPr>
          <w:spacing w:val="-4"/>
        </w:rPr>
        <w:t xml:space="preserve"> </w:t>
      </w:r>
      <w:r>
        <w:t>aspiration, sepsis) and one (0.3%) in the placebo (COVID-19).</w:t>
      </w:r>
    </w:p>
    <w:p w14:paraId="5BA6DCC2" w14:textId="6E74F2F0" w:rsidR="009C4CA4" w:rsidRDefault="009C4CA4" w:rsidP="00951AF4">
      <w:r>
        <w:t xml:space="preserve">In the overall population, SAEs were recorded for 57 (16.1%) patients in the </w:t>
      </w:r>
      <w:proofErr w:type="spellStart"/>
      <w:r>
        <w:t>capivasertib</w:t>
      </w:r>
      <w:proofErr w:type="spellEnd"/>
      <w:r>
        <w:t xml:space="preserve"> group and</w:t>
      </w:r>
      <w:r>
        <w:rPr>
          <w:spacing w:val="-2"/>
        </w:rPr>
        <w:t xml:space="preserve"> </w:t>
      </w:r>
      <w:r>
        <w:t>28</w:t>
      </w:r>
      <w:r>
        <w:rPr>
          <w:spacing w:val="-2"/>
        </w:rPr>
        <w:t xml:space="preserve"> </w:t>
      </w:r>
      <w:r>
        <w:t>(8.0%)</w:t>
      </w:r>
      <w:r>
        <w:rPr>
          <w:spacing w:val="-5"/>
        </w:rPr>
        <w:t xml:space="preserve"> </w:t>
      </w:r>
      <w:r>
        <w:t>in</w:t>
      </w:r>
      <w:r>
        <w:rPr>
          <w:spacing w:val="-3"/>
        </w:rPr>
        <w:t xml:space="preserve"> </w:t>
      </w:r>
      <w:r>
        <w:t>the</w:t>
      </w:r>
      <w:r>
        <w:rPr>
          <w:spacing w:val="-2"/>
        </w:rPr>
        <w:t xml:space="preserve"> </w:t>
      </w:r>
      <w:r>
        <w:t>placebo.</w:t>
      </w:r>
      <w:r>
        <w:rPr>
          <w:spacing w:val="-2"/>
        </w:rPr>
        <w:t xml:space="preserve"> </w:t>
      </w:r>
      <w:r>
        <w:t>The</w:t>
      </w:r>
      <w:r>
        <w:rPr>
          <w:spacing w:val="-2"/>
        </w:rPr>
        <w:t xml:space="preserve"> </w:t>
      </w:r>
      <w:r>
        <w:t>most</w:t>
      </w:r>
      <w:r>
        <w:rPr>
          <w:spacing w:val="-2"/>
        </w:rPr>
        <w:t xml:space="preserve"> </w:t>
      </w:r>
      <w:r>
        <w:t>frequently</w:t>
      </w:r>
      <w:r>
        <w:rPr>
          <w:spacing w:val="-5"/>
        </w:rPr>
        <w:t xml:space="preserve"> </w:t>
      </w:r>
      <w:r>
        <w:t>reported</w:t>
      </w:r>
      <w:r>
        <w:rPr>
          <w:spacing w:val="-4"/>
        </w:rPr>
        <w:t xml:space="preserve"> </w:t>
      </w:r>
      <w:r>
        <w:t>SAEs</w:t>
      </w:r>
      <w:r>
        <w:rPr>
          <w:spacing w:val="-3"/>
        </w:rPr>
        <w:t xml:space="preserve"> </w:t>
      </w:r>
      <w:r>
        <w:t>in</w:t>
      </w:r>
      <w:r>
        <w:rPr>
          <w:spacing w:val="-3"/>
        </w:rPr>
        <w:t xml:space="preserve"> </w:t>
      </w:r>
      <w:r>
        <w:t>the</w:t>
      </w:r>
      <w:r>
        <w:rPr>
          <w:spacing w:val="-2"/>
        </w:rPr>
        <w:t xml:space="preserve"> </w:t>
      </w:r>
      <w:proofErr w:type="spellStart"/>
      <w:r>
        <w:t>capivasertib</w:t>
      </w:r>
      <w:proofErr w:type="spellEnd"/>
      <w:r>
        <w:rPr>
          <w:spacing w:val="-3"/>
        </w:rPr>
        <w:t xml:space="preserve"> </w:t>
      </w:r>
      <w:r>
        <w:t>group</w:t>
      </w:r>
      <w:r>
        <w:rPr>
          <w:spacing w:val="-2"/>
        </w:rPr>
        <w:t xml:space="preserve"> </w:t>
      </w:r>
      <w:r>
        <w:t>were diarrhoea in 1.7% patients, maculopapular rash in 1.4% and vomiting in 1.1%.</w:t>
      </w:r>
      <w:r>
        <w:rPr>
          <w:spacing w:val="40"/>
        </w:rPr>
        <w:t xml:space="preserve"> </w:t>
      </w:r>
      <w:r>
        <w:t xml:space="preserve">In the altered population, SAEs were recorded for 28 (18.1%) patients in the </w:t>
      </w:r>
      <w:proofErr w:type="spellStart"/>
      <w:r>
        <w:t>capivasertib</w:t>
      </w:r>
      <w:proofErr w:type="spellEnd"/>
      <w:r>
        <w:t xml:space="preserve"> group and 14 (10.5%) in the placebo. SAEs are shown in </w:t>
      </w:r>
      <w:r w:rsidR="00951AF4">
        <w:t xml:space="preserve">Table </w:t>
      </w:r>
      <w:r w:rsidR="0099363D">
        <w:t>6</w:t>
      </w:r>
      <w:r w:rsidR="00951AF4">
        <w:t>.</w:t>
      </w:r>
    </w:p>
    <w:p w14:paraId="3CA11F31" w14:textId="4EBA1D2C" w:rsidR="00951AF4" w:rsidRDefault="009C4CA4" w:rsidP="009B39FA">
      <w:pPr>
        <w:pStyle w:val="TableTitle"/>
        <w:rPr>
          <w:spacing w:val="-4"/>
        </w:rPr>
      </w:pPr>
      <w:r>
        <w:lastRenderedPageBreak/>
        <w:t>Table</w:t>
      </w:r>
      <w:r>
        <w:rPr>
          <w:spacing w:val="-5"/>
        </w:rPr>
        <w:t xml:space="preserve"> </w:t>
      </w:r>
      <w:r w:rsidR="0099363D">
        <w:rPr>
          <w:spacing w:val="-5"/>
        </w:rPr>
        <w:t>6</w:t>
      </w:r>
      <w:r>
        <w:t>:</w:t>
      </w:r>
      <w:r>
        <w:rPr>
          <w:spacing w:val="-6"/>
        </w:rPr>
        <w:t xml:space="preserve"> </w:t>
      </w:r>
      <w:r>
        <w:t>CAPITello-291,</w:t>
      </w:r>
      <w:r>
        <w:rPr>
          <w:spacing w:val="-6"/>
        </w:rPr>
        <w:t xml:space="preserve"> </w:t>
      </w:r>
      <w:r>
        <w:t>SAEs</w:t>
      </w:r>
      <w:r>
        <w:rPr>
          <w:spacing w:val="-2"/>
        </w:rPr>
        <w:t xml:space="preserve"> </w:t>
      </w:r>
      <w:r>
        <w:t>by</w:t>
      </w:r>
      <w:r>
        <w:rPr>
          <w:spacing w:val="-6"/>
        </w:rPr>
        <w:t xml:space="preserve"> </w:t>
      </w:r>
      <w:r>
        <w:t>PT</w:t>
      </w:r>
      <w:r>
        <w:rPr>
          <w:spacing w:val="-5"/>
        </w:rPr>
        <w:t xml:space="preserve"> </w:t>
      </w:r>
      <w:r>
        <w:t>(</w:t>
      </w:r>
      <w:r w:rsidR="0099363D">
        <w:t>f</w:t>
      </w:r>
      <w:r>
        <w:t>requency</w:t>
      </w:r>
      <w:r>
        <w:rPr>
          <w:spacing w:val="-6"/>
        </w:rPr>
        <w:t xml:space="preserve"> </w:t>
      </w:r>
      <w:r>
        <w:t>≥</w:t>
      </w:r>
      <w:r>
        <w:rPr>
          <w:spacing w:val="-5"/>
        </w:rPr>
        <w:t xml:space="preserve"> </w:t>
      </w:r>
      <w:r>
        <w:t>2%</w:t>
      </w:r>
      <w:r>
        <w:rPr>
          <w:spacing w:val="-7"/>
        </w:rPr>
        <w:t xml:space="preserve"> </w:t>
      </w:r>
      <w:r>
        <w:t>patients</w:t>
      </w:r>
      <w:r>
        <w:rPr>
          <w:spacing w:val="-5"/>
        </w:rPr>
        <w:t xml:space="preserve"> </w:t>
      </w:r>
      <w:r>
        <w:t>in</w:t>
      </w:r>
      <w:r>
        <w:rPr>
          <w:spacing w:val="-7"/>
        </w:rPr>
        <w:t xml:space="preserve"> </w:t>
      </w:r>
      <w:r>
        <w:t>either</w:t>
      </w:r>
      <w:r>
        <w:rPr>
          <w:spacing w:val="-5"/>
        </w:rPr>
        <w:t xml:space="preserve"> </w:t>
      </w:r>
      <w:r>
        <w:rPr>
          <w:spacing w:val="-4"/>
        </w:rPr>
        <w:t>arm)</w:t>
      </w:r>
    </w:p>
    <w:p w14:paraId="10A8C3C0" w14:textId="1228A726" w:rsidR="009C4CA4" w:rsidRDefault="009C4CA4" w:rsidP="009B39FA">
      <w:r>
        <w:rPr>
          <w:noProof/>
        </w:rPr>
        <w:drawing>
          <wp:inline distT="0" distB="0" distL="0" distR="0" wp14:anchorId="4176120B" wp14:editId="2761E729">
            <wp:extent cx="5682732" cy="4649724"/>
            <wp:effectExtent l="0" t="0" r="0" b="0"/>
            <wp:docPr id="31" name="Image 31" descr="Table listing serious adverse events (SAEs) by preferred term (PT) in the CAPITello-291 study, with a frequency of 2% or more in either treatment arm. The table includes columns for the SAE description, frequency in each treatment arm, and overall frequ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Table listing serious adverse events (SAEs) by preferred term (PT) in the CAPITello-291 study, with a frequency of 2% or more in either treatment arm. The table includes columns for the SAE description, frequency in each treatment arm, and overall frequency."/>
                    <pic:cNvPicPr/>
                  </pic:nvPicPr>
                  <pic:blipFill>
                    <a:blip r:embed="rId43" cstate="print"/>
                    <a:stretch>
                      <a:fillRect/>
                    </a:stretch>
                  </pic:blipFill>
                  <pic:spPr>
                    <a:xfrm>
                      <a:off x="0" y="0"/>
                      <a:ext cx="5682732" cy="4649724"/>
                    </a:xfrm>
                    <a:prstGeom prst="rect">
                      <a:avLst/>
                    </a:prstGeom>
                  </pic:spPr>
                </pic:pic>
              </a:graphicData>
            </a:graphic>
          </wp:inline>
        </w:drawing>
      </w:r>
    </w:p>
    <w:p w14:paraId="1D7A4D4E" w14:textId="5823723B" w:rsidR="009C4CA4" w:rsidRPr="00951AF4" w:rsidRDefault="009C4CA4" w:rsidP="009B39FA">
      <w:pPr>
        <w:pStyle w:val="Heading6"/>
      </w:pPr>
      <w:bookmarkStart w:id="68" w:name="Discontinuations_and_dose_modifications_"/>
      <w:bookmarkEnd w:id="68"/>
      <w:r w:rsidRPr="00951AF4">
        <w:t>Discontinuations</w:t>
      </w:r>
      <w:r w:rsidRPr="00951AF4">
        <w:rPr>
          <w:spacing w:val="-8"/>
        </w:rPr>
        <w:t xml:space="preserve"> </w:t>
      </w:r>
      <w:r w:rsidRPr="00951AF4">
        <w:t>and</w:t>
      </w:r>
      <w:r w:rsidRPr="00951AF4">
        <w:rPr>
          <w:spacing w:val="-5"/>
        </w:rPr>
        <w:t xml:space="preserve"> </w:t>
      </w:r>
      <w:r w:rsidRPr="00951AF4">
        <w:t>dose</w:t>
      </w:r>
      <w:r w:rsidRPr="00951AF4">
        <w:rPr>
          <w:spacing w:val="-8"/>
        </w:rPr>
        <w:t xml:space="preserve"> </w:t>
      </w:r>
      <w:r w:rsidRPr="00951AF4">
        <w:t>modifications</w:t>
      </w:r>
      <w:r w:rsidRPr="00951AF4">
        <w:rPr>
          <w:spacing w:val="-5"/>
        </w:rPr>
        <w:t xml:space="preserve"> </w:t>
      </w:r>
      <w:r w:rsidRPr="00951AF4">
        <w:t>due</w:t>
      </w:r>
      <w:r w:rsidRPr="00951AF4">
        <w:rPr>
          <w:spacing w:val="-5"/>
        </w:rPr>
        <w:t xml:space="preserve"> </w:t>
      </w:r>
      <w:r w:rsidRPr="009B39FA">
        <w:t>to</w:t>
      </w:r>
      <w:r w:rsidRPr="00951AF4">
        <w:rPr>
          <w:spacing w:val="-4"/>
        </w:rPr>
        <w:t xml:space="preserve"> </w:t>
      </w:r>
      <w:r w:rsidRPr="00951AF4">
        <w:rPr>
          <w:spacing w:val="-5"/>
        </w:rPr>
        <w:t>AEs</w:t>
      </w:r>
    </w:p>
    <w:p w14:paraId="77F45FF5" w14:textId="77777777" w:rsidR="009C4CA4" w:rsidRDefault="009C4CA4" w:rsidP="00951AF4">
      <w:r>
        <w:t xml:space="preserve">In CAPItello-291, in the overall population, discontinuation of </w:t>
      </w:r>
      <w:proofErr w:type="spellStart"/>
      <w:r>
        <w:t>capivasertib</w:t>
      </w:r>
      <w:proofErr w:type="spellEnd"/>
      <w:r>
        <w:t>/placebo due to AE was</w:t>
      </w:r>
      <w:r>
        <w:rPr>
          <w:spacing w:val="-1"/>
        </w:rPr>
        <w:t xml:space="preserve"> </w:t>
      </w:r>
      <w:r>
        <w:t>recorded</w:t>
      </w:r>
      <w:r>
        <w:rPr>
          <w:spacing w:val="-2"/>
        </w:rPr>
        <w:t xml:space="preserve"> </w:t>
      </w:r>
      <w:r>
        <w:t>for</w:t>
      </w:r>
      <w:r>
        <w:rPr>
          <w:spacing w:val="-2"/>
        </w:rPr>
        <w:t xml:space="preserve"> </w:t>
      </w:r>
      <w:r>
        <w:t>46</w:t>
      </w:r>
      <w:r>
        <w:rPr>
          <w:spacing w:val="-2"/>
        </w:rPr>
        <w:t xml:space="preserve"> </w:t>
      </w:r>
      <w:r>
        <w:t>(13.0%)</w:t>
      </w:r>
      <w:r>
        <w:rPr>
          <w:spacing w:val="-2"/>
        </w:rPr>
        <w:t xml:space="preserve"> </w:t>
      </w:r>
      <w:r>
        <w:t>patients</w:t>
      </w:r>
      <w:r>
        <w:rPr>
          <w:spacing w:val="-1"/>
        </w:rPr>
        <w:t xml:space="preserve"> </w:t>
      </w:r>
      <w:r>
        <w:t>in</w:t>
      </w:r>
      <w:r>
        <w:rPr>
          <w:spacing w:val="-3"/>
        </w:rPr>
        <w:t xml:space="preserve"> </w:t>
      </w:r>
      <w:r>
        <w:t>the</w:t>
      </w:r>
      <w:r>
        <w:rPr>
          <w:spacing w:val="-4"/>
        </w:rPr>
        <w:t xml:space="preserve"> </w:t>
      </w:r>
      <w:proofErr w:type="spellStart"/>
      <w:r>
        <w:t>capivasertib</w:t>
      </w:r>
      <w:proofErr w:type="spellEnd"/>
      <w:r>
        <w:rPr>
          <w:spacing w:val="-3"/>
        </w:rPr>
        <w:t xml:space="preserve"> </w:t>
      </w:r>
      <w:r>
        <w:t>group</w:t>
      </w:r>
      <w:r>
        <w:rPr>
          <w:spacing w:val="-2"/>
        </w:rPr>
        <w:t xml:space="preserve"> </w:t>
      </w:r>
      <w:r>
        <w:t>and</w:t>
      </w:r>
      <w:r>
        <w:rPr>
          <w:spacing w:val="-2"/>
        </w:rPr>
        <w:t xml:space="preserve"> </w:t>
      </w:r>
      <w:r>
        <w:t>eight</w:t>
      </w:r>
      <w:r>
        <w:rPr>
          <w:spacing w:val="-2"/>
        </w:rPr>
        <w:t xml:space="preserve"> </w:t>
      </w:r>
      <w:r>
        <w:t>(2.3%)</w:t>
      </w:r>
      <w:r>
        <w:rPr>
          <w:spacing w:val="-2"/>
        </w:rPr>
        <w:t xml:space="preserve"> </w:t>
      </w:r>
      <w:r>
        <w:t>in</w:t>
      </w:r>
      <w:r>
        <w:rPr>
          <w:spacing w:val="-3"/>
        </w:rPr>
        <w:t xml:space="preserve"> </w:t>
      </w:r>
      <w:r>
        <w:t>the</w:t>
      </w:r>
      <w:r>
        <w:rPr>
          <w:spacing w:val="-2"/>
        </w:rPr>
        <w:t xml:space="preserve"> </w:t>
      </w:r>
      <w:r>
        <w:t>placebo. The</w:t>
      </w:r>
      <w:r>
        <w:rPr>
          <w:spacing w:val="-2"/>
        </w:rPr>
        <w:t xml:space="preserve"> </w:t>
      </w:r>
      <w:r>
        <w:t>most frequently</w:t>
      </w:r>
      <w:r>
        <w:rPr>
          <w:spacing w:val="-1"/>
        </w:rPr>
        <w:t xml:space="preserve"> </w:t>
      </w:r>
      <w:r>
        <w:t>reported AEs leading to discontinuation</w:t>
      </w:r>
      <w:r>
        <w:rPr>
          <w:spacing w:val="-1"/>
        </w:rPr>
        <w:t xml:space="preserve"> </w:t>
      </w:r>
      <w:r>
        <w:t xml:space="preserve">of </w:t>
      </w:r>
      <w:proofErr w:type="spellStart"/>
      <w:r>
        <w:t>capivasertib</w:t>
      </w:r>
      <w:proofErr w:type="spellEnd"/>
      <w:r>
        <w:rPr>
          <w:spacing w:val="-1"/>
        </w:rPr>
        <w:t xml:space="preserve"> </w:t>
      </w:r>
      <w:r>
        <w:t>alone were rash</w:t>
      </w:r>
      <w:r>
        <w:rPr>
          <w:spacing w:val="-2"/>
        </w:rPr>
        <w:t xml:space="preserve"> </w:t>
      </w:r>
      <w:r>
        <w:t>in 2.8%</w:t>
      </w:r>
      <w:r>
        <w:rPr>
          <w:spacing w:val="-2"/>
        </w:rPr>
        <w:t xml:space="preserve"> </w:t>
      </w:r>
      <w:r>
        <w:t>of</w:t>
      </w:r>
      <w:r>
        <w:rPr>
          <w:spacing w:val="-2"/>
        </w:rPr>
        <w:t xml:space="preserve"> </w:t>
      </w:r>
      <w:r>
        <w:t>patients,</w:t>
      </w:r>
      <w:r>
        <w:rPr>
          <w:spacing w:val="-2"/>
        </w:rPr>
        <w:t xml:space="preserve"> </w:t>
      </w:r>
      <w:r>
        <w:t>vomiting</w:t>
      </w:r>
      <w:r>
        <w:rPr>
          <w:spacing w:val="-1"/>
        </w:rPr>
        <w:t xml:space="preserve"> </w:t>
      </w:r>
      <w:r>
        <w:t>in</w:t>
      </w:r>
      <w:r>
        <w:rPr>
          <w:spacing w:val="-3"/>
        </w:rPr>
        <w:t xml:space="preserve"> </w:t>
      </w:r>
      <w:r>
        <w:t>2.0%,</w:t>
      </w:r>
      <w:r>
        <w:rPr>
          <w:spacing w:val="-2"/>
        </w:rPr>
        <w:t xml:space="preserve"> </w:t>
      </w:r>
      <w:r>
        <w:t>diarrhoea</w:t>
      </w:r>
      <w:r>
        <w:rPr>
          <w:spacing w:val="-4"/>
        </w:rPr>
        <w:t xml:space="preserve"> </w:t>
      </w:r>
      <w:r>
        <w:t>in</w:t>
      </w:r>
      <w:r>
        <w:rPr>
          <w:spacing w:val="-3"/>
        </w:rPr>
        <w:t xml:space="preserve"> </w:t>
      </w:r>
      <w:r>
        <w:t>1.4%,</w:t>
      </w:r>
      <w:r>
        <w:rPr>
          <w:spacing w:val="-2"/>
        </w:rPr>
        <w:t xml:space="preserve"> </w:t>
      </w:r>
      <w:r>
        <w:t>maculopapular</w:t>
      </w:r>
      <w:r>
        <w:rPr>
          <w:spacing w:val="-2"/>
        </w:rPr>
        <w:t xml:space="preserve"> </w:t>
      </w:r>
      <w:r>
        <w:t>rash</w:t>
      </w:r>
      <w:r>
        <w:rPr>
          <w:spacing w:val="-4"/>
        </w:rPr>
        <w:t xml:space="preserve"> </w:t>
      </w:r>
      <w:r>
        <w:t>in</w:t>
      </w:r>
      <w:r>
        <w:rPr>
          <w:spacing w:val="-3"/>
        </w:rPr>
        <w:t xml:space="preserve"> </w:t>
      </w:r>
      <w:r>
        <w:t>1.4%,</w:t>
      </w:r>
      <w:r>
        <w:rPr>
          <w:spacing w:val="-2"/>
        </w:rPr>
        <w:t xml:space="preserve"> </w:t>
      </w:r>
      <w:r>
        <w:t>and</w:t>
      </w:r>
      <w:r>
        <w:rPr>
          <w:spacing w:val="-2"/>
        </w:rPr>
        <w:t xml:space="preserve"> </w:t>
      </w:r>
      <w:r>
        <w:t>pyrexia in 1.1%.</w:t>
      </w:r>
    </w:p>
    <w:p w14:paraId="751223CD" w14:textId="77777777" w:rsidR="009C4CA4" w:rsidRDefault="009C4CA4" w:rsidP="00951AF4">
      <w:r>
        <w:t>In</w:t>
      </w:r>
      <w:r>
        <w:rPr>
          <w:spacing w:val="-4"/>
        </w:rPr>
        <w:t xml:space="preserve"> </w:t>
      </w:r>
      <w:r>
        <w:t>the</w:t>
      </w:r>
      <w:r>
        <w:rPr>
          <w:spacing w:val="-3"/>
        </w:rPr>
        <w:t xml:space="preserve"> </w:t>
      </w:r>
      <w:r>
        <w:t>overall</w:t>
      </w:r>
      <w:r>
        <w:rPr>
          <w:spacing w:val="-3"/>
        </w:rPr>
        <w:t xml:space="preserve"> </w:t>
      </w:r>
      <w:r>
        <w:t>population,</w:t>
      </w:r>
      <w:r>
        <w:rPr>
          <w:spacing w:val="-4"/>
        </w:rPr>
        <w:t xml:space="preserve"> </w:t>
      </w:r>
      <w:r>
        <w:t>dose</w:t>
      </w:r>
      <w:r>
        <w:rPr>
          <w:spacing w:val="-4"/>
        </w:rPr>
        <w:t xml:space="preserve"> </w:t>
      </w:r>
      <w:r>
        <w:t>modification</w:t>
      </w:r>
      <w:r>
        <w:rPr>
          <w:spacing w:val="-4"/>
        </w:rPr>
        <w:t xml:space="preserve"> </w:t>
      </w:r>
      <w:r>
        <w:t>of</w:t>
      </w:r>
      <w:r>
        <w:rPr>
          <w:spacing w:val="-3"/>
        </w:rPr>
        <w:t xml:space="preserve"> </w:t>
      </w:r>
      <w:proofErr w:type="spellStart"/>
      <w:r>
        <w:t>capivasertib</w:t>
      </w:r>
      <w:proofErr w:type="spellEnd"/>
      <w:r>
        <w:t>/placebo</w:t>
      </w:r>
      <w:r>
        <w:rPr>
          <w:spacing w:val="-3"/>
        </w:rPr>
        <w:t xml:space="preserve"> </w:t>
      </w:r>
      <w:r>
        <w:t>due</w:t>
      </w:r>
      <w:r>
        <w:rPr>
          <w:spacing w:val="-3"/>
        </w:rPr>
        <w:t xml:space="preserve"> </w:t>
      </w:r>
      <w:r>
        <w:t>to</w:t>
      </w:r>
      <w:r>
        <w:rPr>
          <w:spacing w:val="-3"/>
        </w:rPr>
        <w:t xml:space="preserve"> </w:t>
      </w:r>
      <w:r>
        <w:t>AE</w:t>
      </w:r>
      <w:r>
        <w:rPr>
          <w:spacing w:val="-3"/>
        </w:rPr>
        <w:t xml:space="preserve"> </w:t>
      </w:r>
      <w:r>
        <w:t>was</w:t>
      </w:r>
      <w:r>
        <w:rPr>
          <w:spacing w:val="-2"/>
        </w:rPr>
        <w:t xml:space="preserve"> </w:t>
      </w:r>
      <w:r>
        <w:t>recorded</w:t>
      </w:r>
      <w:r>
        <w:rPr>
          <w:spacing w:val="-3"/>
        </w:rPr>
        <w:t xml:space="preserve"> </w:t>
      </w:r>
      <w:r>
        <w:t xml:space="preserve">for 156 (43.9%) patients in the </w:t>
      </w:r>
      <w:proofErr w:type="spellStart"/>
      <w:r>
        <w:t>capivasertib</w:t>
      </w:r>
      <w:proofErr w:type="spellEnd"/>
      <w:r>
        <w:t xml:space="preserve"> group and 43 (12.3%) in the placebo.</w:t>
      </w:r>
      <w:r>
        <w:rPr>
          <w:spacing w:val="40"/>
        </w:rPr>
        <w:t xml:space="preserve"> </w:t>
      </w:r>
      <w:r>
        <w:t xml:space="preserve">The most frequently reported AEs leading to dose reduction in the </w:t>
      </w:r>
      <w:proofErr w:type="spellStart"/>
      <w:r>
        <w:t>capivasertib</w:t>
      </w:r>
      <w:proofErr w:type="spellEnd"/>
      <w:r>
        <w:t xml:space="preserve"> group were diarrhoea in 7.9% patients, maculopapular rash in 2.5% and vomiting in 1.7%.</w:t>
      </w:r>
    </w:p>
    <w:p w14:paraId="53F45B98" w14:textId="77777777" w:rsidR="009C4CA4" w:rsidRDefault="009C4CA4" w:rsidP="00951AF4">
      <w:r>
        <w:t xml:space="preserve">Dose interruption of </w:t>
      </w:r>
      <w:proofErr w:type="spellStart"/>
      <w:r>
        <w:t>capivasertib</w:t>
      </w:r>
      <w:proofErr w:type="spellEnd"/>
      <w:r>
        <w:t>/placebo due to AE was recorded for 138 (38.4%) patients in the</w:t>
      </w:r>
      <w:r>
        <w:rPr>
          <w:spacing w:val="-2"/>
        </w:rPr>
        <w:t xml:space="preserve"> </w:t>
      </w:r>
      <w:proofErr w:type="spellStart"/>
      <w:r>
        <w:t>capivasertib</w:t>
      </w:r>
      <w:proofErr w:type="spellEnd"/>
      <w:r>
        <w:rPr>
          <w:spacing w:val="-5"/>
        </w:rPr>
        <w:t xml:space="preserve"> </w:t>
      </w:r>
      <w:r>
        <w:t>group</w:t>
      </w:r>
      <w:r>
        <w:rPr>
          <w:spacing w:val="-2"/>
        </w:rPr>
        <w:t xml:space="preserve"> </w:t>
      </w:r>
      <w:r>
        <w:t>and</w:t>
      </w:r>
      <w:r>
        <w:rPr>
          <w:spacing w:val="-2"/>
        </w:rPr>
        <w:t xml:space="preserve"> </w:t>
      </w:r>
      <w:r>
        <w:t>43</w:t>
      </w:r>
      <w:r>
        <w:rPr>
          <w:spacing w:val="-2"/>
        </w:rPr>
        <w:t xml:space="preserve"> </w:t>
      </w:r>
      <w:r>
        <w:t>(12.3%)</w:t>
      </w:r>
      <w:r>
        <w:rPr>
          <w:spacing w:val="-2"/>
        </w:rPr>
        <w:t xml:space="preserve"> </w:t>
      </w:r>
      <w:r>
        <w:t>in</w:t>
      </w:r>
      <w:r>
        <w:rPr>
          <w:spacing w:val="-3"/>
        </w:rPr>
        <w:t xml:space="preserve"> </w:t>
      </w:r>
      <w:r>
        <w:t>the</w:t>
      </w:r>
      <w:r>
        <w:rPr>
          <w:spacing w:val="-2"/>
        </w:rPr>
        <w:t xml:space="preserve"> </w:t>
      </w:r>
      <w:r>
        <w:t>placebo.</w:t>
      </w:r>
      <w:r>
        <w:rPr>
          <w:spacing w:val="-1"/>
        </w:rPr>
        <w:t xml:space="preserve"> </w:t>
      </w:r>
      <w:r>
        <w:t>The</w:t>
      </w:r>
      <w:r>
        <w:rPr>
          <w:spacing w:val="-2"/>
        </w:rPr>
        <w:t xml:space="preserve"> </w:t>
      </w:r>
      <w:r>
        <w:t>most</w:t>
      </w:r>
      <w:r>
        <w:rPr>
          <w:spacing w:val="-2"/>
        </w:rPr>
        <w:t xml:space="preserve"> </w:t>
      </w:r>
      <w:r>
        <w:t>frequently</w:t>
      </w:r>
      <w:r>
        <w:rPr>
          <w:spacing w:val="-3"/>
        </w:rPr>
        <w:t xml:space="preserve"> </w:t>
      </w:r>
      <w:r>
        <w:t>reported</w:t>
      </w:r>
      <w:r>
        <w:rPr>
          <w:spacing w:val="-2"/>
        </w:rPr>
        <w:t xml:space="preserve"> </w:t>
      </w:r>
      <w:r>
        <w:t>AEs</w:t>
      </w:r>
      <w:r>
        <w:rPr>
          <w:spacing w:val="-1"/>
        </w:rPr>
        <w:t xml:space="preserve"> </w:t>
      </w:r>
      <w:r>
        <w:t xml:space="preserve">leading to dose interruption for </w:t>
      </w:r>
      <w:proofErr w:type="spellStart"/>
      <w:r>
        <w:t>capivasertib</w:t>
      </w:r>
      <w:proofErr w:type="spellEnd"/>
      <w:r>
        <w:t xml:space="preserve"> alone were diarrhoea in 9.0% patients, maculopapular</w:t>
      </w:r>
      <w:r>
        <w:rPr>
          <w:spacing w:val="40"/>
        </w:rPr>
        <w:t xml:space="preserve"> </w:t>
      </w:r>
      <w:r>
        <w:t>rash in 6.2%, rash in 4.5%, vomiting in 3.1%, hyperglycaemia in 2.5% and nausea in 2.3%.</w:t>
      </w:r>
    </w:p>
    <w:p w14:paraId="7891F9E0" w14:textId="49B4789E" w:rsidR="009C4CA4" w:rsidRDefault="009C4CA4" w:rsidP="009B39FA">
      <w:pPr>
        <w:pStyle w:val="Heading6"/>
      </w:pPr>
      <w:bookmarkStart w:id="69" w:name="Adverse_Events_of_Special_Interest_(AESI"/>
      <w:bookmarkEnd w:id="69"/>
      <w:r>
        <w:t>Adverse</w:t>
      </w:r>
      <w:r>
        <w:rPr>
          <w:spacing w:val="-5"/>
        </w:rPr>
        <w:t xml:space="preserve"> </w:t>
      </w:r>
      <w:r w:rsidRPr="009B39FA">
        <w:t>Events</w:t>
      </w:r>
      <w:r>
        <w:rPr>
          <w:spacing w:val="-5"/>
        </w:rPr>
        <w:t xml:space="preserve"> </w:t>
      </w:r>
      <w:r>
        <w:t>of</w:t>
      </w:r>
      <w:r>
        <w:rPr>
          <w:spacing w:val="-5"/>
        </w:rPr>
        <w:t xml:space="preserve"> </w:t>
      </w:r>
      <w:r>
        <w:t>Special</w:t>
      </w:r>
      <w:r>
        <w:rPr>
          <w:spacing w:val="-6"/>
        </w:rPr>
        <w:t xml:space="preserve"> </w:t>
      </w:r>
      <w:r>
        <w:t>Interest</w:t>
      </w:r>
      <w:r>
        <w:rPr>
          <w:spacing w:val="-4"/>
        </w:rPr>
        <w:t xml:space="preserve"> </w:t>
      </w:r>
      <w:r>
        <w:rPr>
          <w:spacing w:val="-2"/>
        </w:rPr>
        <w:t>(AESIs)</w:t>
      </w:r>
    </w:p>
    <w:p w14:paraId="132C0588" w14:textId="19C71A36" w:rsidR="009C4CA4" w:rsidRPr="009B39FA" w:rsidRDefault="009C4CA4" w:rsidP="009B39FA">
      <w:pPr>
        <w:pStyle w:val="Heading7"/>
      </w:pPr>
      <w:bookmarkStart w:id="70" w:name="Hyperglycaemia"/>
      <w:bookmarkEnd w:id="70"/>
      <w:r w:rsidRPr="008352FA">
        <w:t>Hyperglycaemia</w:t>
      </w:r>
    </w:p>
    <w:p w14:paraId="3743038B" w14:textId="2842DEB8" w:rsidR="009C4CA4" w:rsidRDefault="009C4CA4" w:rsidP="009B39FA">
      <w:r>
        <w:t>Hyperglycaemia</w:t>
      </w:r>
      <w:r>
        <w:rPr>
          <w:spacing w:val="-3"/>
        </w:rPr>
        <w:t xml:space="preserve"> </w:t>
      </w:r>
      <w:r>
        <w:t>was</w:t>
      </w:r>
      <w:r>
        <w:rPr>
          <w:spacing w:val="-2"/>
        </w:rPr>
        <w:t xml:space="preserve"> </w:t>
      </w:r>
      <w:r>
        <w:t>a</w:t>
      </w:r>
      <w:r>
        <w:rPr>
          <w:spacing w:val="-5"/>
        </w:rPr>
        <w:t xml:space="preserve"> </w:t>
      </w:r>
      <w:r>
        <w:t>common</w:t>
      </w:r>
      <w:r>
        <w:rPr>
          <w:spacing w:val="-4"/>
        </w:rPr>
        <w:t xml:space="preserve"> </w:t>
      </w:r>
      <w:r>
        <w:t>AESI</w:t>
      </w:r>
      <w:r>
        <w:rPr>
          <w:spacing w:val="-5"/>
        </w:rPr>
        <w:t xml:space="preserve"> </w:t>
      </w:r>
      <w:r>
        <w:t>in</w:t>
      </w:r>
      <w:r>
        <w:rPr>
          <w:spacing w:val="-4"/>
        </w:rPr>
        <w:t xml:space="preserve"> </w:t>
      </w:r>
      <w:r>
        <w:t>patients</w:t>
      </w:r>
      <w:r>
        <w:rPr>
          <w:spacing w:val="-2"/>
        </w:rPr>
        <w:t xml:space="preserve"> </w:t>
      </w:r>
      <w:r>
        <w:t>treated</w:t>
      </w:r>
      <w:r>
        <w:rPr>
          <w:spacing w:val="-3"/>
        </w:rPr>
        <w:t xml:space="preserve"> </w:t>
      </w:r>
      <w:r>
        <w:t>with</w:t>
      </w:r>
      <w:r>
        <w:rPr>
          <w:spacing w:val="-2"/>
        </w:rPr>
        <w:t xml:space="preserve"> </w:t>
      </w:r>
      <w:proofErr w:type="spellStart"/>
      <w:r>
        <w:t>capivasertib</w:t>
      </w:r>
      <w:proofErr w:type="spellEnd"/>
      <w:r>
        <w:t>.</w:t>
      </w:r>
      <w:r>
        <w:rPr>
          <w:spacing w:val="-3"/>
        </w:rPr>
        <w:t xml:space="preserve"> </w:t>
      </w:r>
      <w:r>
        <w:t>Given</w:t>
      </w:r>
      <w:r>
        <w:rPr>
          <w:spacing w:val="-4"/>
        </w:rPr>
        <w:t xml:space="preserve"> </w:t>
      </w:r>
      <w:r>
        <w:t>the</w:t>
      </w:r>
      <w:r>
        <w:rPr>
          <w:spacing w:val="-3"/>
        </w:rPr>
        <w:t xml:space="preserve"> </w:t>
      </w:r>
      <w:r>
        <w:t xml:space="preserve">potential interaction between </w:t>
      </w:r>
      <w:proofErr w:type="spellStart"/>
      <w:r>
        <w:t>capivasertib</w:t>
      </w:r>
      <w:proofErr w:type="spellEnd"/>
      <w:r>
        <w:t xml:space="preserve"> and metformin, it is important to determine the optimal management of hyperglycaemia. In the CAPITello-291 study, 60 patients (16.9%) in the</w:t>
      </w:r>
      <w:r w:rsidR="003379BE">
        <w:t xml:space="preserve"> </w:t>
      </w:r>
      <w:proofErr w:type="spellStart"/>
      <w:r>
        <w:lastRenderedPageBreak/>
        <w:t>capivasertib</w:t>
      </w:r>
      <w:proofErr w:type="spellEnd"/>
      <w:r>
        <w:rPr>
          <w:spacing w:val="-3"/>
        </w:rPr>
        <w:t xml:space="preserve"> </w:t>
      </w:r>
      <w:r>
        <w:t>arm</w:t>
      </w:r>
      <w:r>
        <w:rPr>
          <w:spacing w:val="-1"/>
        </w:rPr>
        <w:t xml:space="preserve"> </w:t>
      </w:r>
      <w:r>
        <w:t>experienced</w:t>
      </w:r>
      <w:r>
        <w:rPr>
          <w:spacing w:val="-2"/>
        </w:rPr>
        <w:t xml:space="preserve"> </w:t>
      </w:r>
      <w:r>
        <w:t>hyperglycaemia</w:t>
      </w:r>
      <w:r>
        <w:rPr>
          <w:spacing w:val="-4"/>
        </w:rPr>
        <w:t xml:space="preserve"> </w:t>
      </w:r>
      <w:r>
        <w:t>compared</w:t>
      </w:r>
      <w:r>
        <w:rPr>
          <w:spacing w:val="-2"/>
        </w:rPr>
        <w:t xml:space="preserve"> </w:t>
      </w:r>
      <w:r>
        <w:t>to</w:t>
      </w:r>
      <w:r>
        <w:rPr>
          <w:spacing w:val="-2"/>
        </w:rPr>
        <w:t xml:space="preserve"> </w:t>
      </w:r>
      <w:r>
        <w:t>14</w:t>
      </w:r>
      <w:r>
        <w:rPr>
          <w:spacing w:val="-2"/>
        </w:rPr>
        <w:t xml:space="preserve"> </w:t>
      </w:r>
      <w:r>
        <w:t>(4.0%)</w:t>
      </w:r>
      <w:r>
        <w:rPr>
          <w:spacing w:val="-2"/>
        </w:rPr>
        <w:t xml:space="preserve"> </w:t>
      </w:r>
      <w:r>
        <w:t>in</w:t>
      </w:r>
      <w:r>
        <w:rPr>
          <w:spacing w:val="-3"/>
        </w:rPr>
        <w:t xml:space="preserve"> </w:t>
      </w:r>
      <w:r>
        <w:t>the</w:t>
      </w:r>
      <w:r>
        <w:rPr>
          <w:spacing w:val="-4"/>
        </w:rPr>
        <w:t xml:space="preserve"> </w:t>
      </w:r>
      <w:r>
        <w:t>placebo</w:t>
      </w:r>
      <w:r>
        <w:rPr>
          <w:spacing w:val="-2"/>
        </w:rPr>
        <w:t xml:space="preserve"> </w:t>
      </w:r>
      <w:r>
        <w:t>arm.</w:t>
      </w:r>
      <w:r>
        <w:rPr>
          <w:spacing w:val="-4"/>
        </w:rPr>
        <w:t xml:space="preserve"> </w:t>
      </w:r>
      <w:r>
        <w:t>In</w:t>
      </w:r>
      <w:r>
        <w:rPr>
          <w:spacing w:val="-3"/>
        </w:rPr>
        <w:t xml:space="preserve"> </w:t>
      </w:r>
      <w:r>
        <w:t xml:space="preserve">the </w:t>
      </w:r>
      <w:proofErr w:type="spellStart"/>
      <w:r>
        <w:t>capivasertib</w:t>
      </w:r>
      <w:proofErr w:type="spellEnd"/>
      <w:r>
        <w:t xml:space="preserve"> arm, 2 patients (0.6%) required </w:t>
      </w:r>
      <w:proofErr w:type="spellStart"/>
      <w:r>
        <w:t>capivasertib</w:t>
      </w:r>
      <w:proofErr w:type="spellEnd"/>
      <w:r>
        <w:t xml:space="preserve"> dose reduction, 9 (2.5) required dose interruption, and 1 (0.3%) discontinued </w:t>
      </w:r>
      <w:proofErr w:type="spellStart"/>
      <w:r>
        <w:t>capivasertib</w:t>
      </w:r>
      <w:proofErr w:type="spellEnd"/>
      <w:r>
        <w:t xml:space="preserve"> due to hyperglycaemia. 2 patients experienced grade 4 complications from diabetes (hyperglycaemia, DKA). 18 patients (5.1%) received insulin, 10 (2.8%) metformin and 10 (2.8%) ‘other’ antidiabetic agent. At the DCO, hyperglycaemia had not resolved in 28 (7.9%) of patients (almost half of the 60 who reported </w:t>
      </w:r>
      <w:r>
        <w:rPr>
          <w:spacing w:val="-2"/>
        </w:rPr>
        <w:t>hyperglycaemia).</w:t>
      </w:r>
    </w:p>
    <w:p w14:paraId="20EBC291" w14:textId="7CAA0811" w:rsidR="009C4CA4" w:rsidRPr="009B39FA" w:rsidRDefault="009C4CA4" w:rsidP="009B39FA">
      <w:pPr>
        <w:pStyle w:val="Heading7"/>
      </w:pPr>
      <w:bookmarkStart w:id="71" w:name="Diarrhoea"/>
      <w:bookmarkEnd w:id="71"/>
      <w:r w:rsidRPr="008352FA">
        <w:t>Diarrhoea</w:t>
      </w:r>
    </w:p>
    <w:p w14:paraId="0F93EAB4" w14:textId="77777777" w:rsidR="009C4CA4" w:rsidRDefault="009C4CA4" w:rsidP="009B39FA">
      <w:r>
        <w:t>In</w:t>
      </w:r>
      <w:r>
        <w:rPr>
          <w:spacing w:val="-4"/>
        </w:rPr>
        <w:t xml:space="preserve"> </w:t>
      </w:r>
      <w:r>
        <w:t>CAPItello-291,</w:t>
      </w:r>
      <w:r>
        <w:rPr>
          <w:spacing w:val="-3"/>
        </w:rPr>
        <w:t xml:space="preserve"> </w:t>
      </w:r>
      <w:r>
        <w:t>diarrhoea</w:t>
      </w:r>
      <w:r>
        <w:rPr>
          <w:spacing w:val="-3"/>
        </w:rPr>
        <w:t xml:space="preserve"> </w:t>
      </w:r>
      <w:r>
        <w:t>occurred</w:t>
      </w:r>
      <w:r>
        <w:rPr>
          <w:spacing w:val="-3"/>
        </w:rPr>
        <w:t xml:space="preserve"> </w:t>
      </w:r>
      <w:r>
        <w:t>in</w:t>
      </w:r>
      <w:r>
        <w:rPr>
          <w:spacing w:val="-4"/>
        </w:rPr>
        <w:t xml:space="preserve"> </w:t>
      </w:r>
      <w:r>
        <w:t>257</w:t>
      </w:r>
      <w:r>
        <w:rPr>
          <w:spacing w:val="-3"/>
        </w:rPr>
        <w:t xml:space="preserve"> </w:t>
      </w:r>
      <w:r>
        <w:t>(72.4%)</w:t>
      </w:r>
      <w:r>
        <w:rPr>
          <w:spacing w:val="-3"/>
        </w:rPr>
        <w:t xml:space="preserve"> </w:t>
      </w:r>
      <w:r>
        <w:t>patients in</w:t>
      </w:r>
      <w:r>
        <w:rPr>
          <w:spacing w:val="-4"/>
        </w:rPr>
        <w:t xml:space="preserve"> </w:t>
      </w:r>
      <w:r>
        <w:t>the</w:t>
      </w:r>
      <w:r>
        <w:rPr>
          <w:spacing w:val="-5"/>
        </w:rPr>
        <w:t xml:space="preserve"> </w:t>
      </w:r>
      <w:proofErr w:type="spellStart"/>
      <w:r>
        <w:t>capivasertib</w:t>
      </w:r>
      <w:proofErr w:type="spellEnd"/>
      <w:r>
        <w:rPr>
          <w:spacing w:val="-4"/>
        </w:rPr>
        <w:t xml:space="preserve"> </w:t>
      </w:r>
      <w:r>
        <w:t xml:space="preserve">arm compared to 70 (20.0%) in the placebo arm. Nausea and vomiting were also more frequent in the </w:t>
      </w:r>
      <w:proofErr w:type="spellStart"/>
      <w:r>
        <w:t>capivasertib</w:t>
      </w:r>
      <w:proofErr w:type="spellEnd"/>
      <w:r>
        <w:t xml:space="preserve"> arm. In the </w:t>
      </w:r>
      <w:proofErr w:type="spellStart"/>
      <w:r>
        <w:t>capivasertib</w:t>
      </w:r>
      <w:proofErr w:type="spellEnd"/>
      <w:r>
        <w:t xml:space="preserve"> group, 6 (1.7%) of patients experienced an SAE of diarrhoea.</w:t>
      </w:r>
      <w:r>
        <w:rPr>
          <w:spacing w:val="40"/>
        </w:rPr>
        <w:t xml:space="preserve"> </w:t>
      </w:r>
      <w:r>
        <w:t xml:space="preserve">5 (1.4%) patients discontinued treatment with </w:t>
      </w:r>
      <w:proofErr w:type="spellStart"/>
      <w:r>
        <w:t>capivasertib</w:t>
      </w:r>
      <w:proofErr w:type="spellEnd"/>
      <w:r>
        <w:t xml:space="preserve"> due to diarrhoea, while 28 (7.9%) required a dose reduction, and 32 (9.0%) required a dose interruption.</w:t>
      </w:r>
    </w:p>
    <w:p w14:paraId="389FAD72" w14:textId="6CF2681C" w:rsidR="009C4CA4" w:rsidRDefault="009C4CA4" w:rsidP="009B39FA">
      <w:r>
        <w:t>Of note, five (1.4%) patients</w:t>
      </w:r>
      <w:r>
        <w:rPr>
          <w:spacing w:val="-1"/>
        </w:rPr>
        <w:t xml:space="preserve"> </w:t>
      </w:r>
      <w:r>
        <w:t>were reported with</w:t>
      </w:r>
      <w:r>
        <w:rPr>
          <w:spacing w:val="-1"/>
        </w:rPr>
        <w:t xml:space="preserve"> </w:t>
      </w:r>
      <w:r>
        <w:t>acute kidney</w:t>
      </w:r>
      <w:r>
        <w:rPr>
          <w:spacing w:val="-3"/>
        </w:rPr>
        <w:t xml:space="preserve"> </w:t>
      </w:r>
      <w:r>
        <w:t>injury, two (0.6%) with</w:t>
      </w:r>
      <w:r>
        <w:rPr>
          <w:spacing w:val="-1"/>
        </w:rPr>
        <w:t xml:space="preserve"> </w:t>
      </w:r>
      <w:r>
        <w:t xml:space="preserve">renal failure and four (1.1%) with renal impairment. The sponsor’s response to a question from </w:t>
      </w:r>
      <w:proofErr w:type="spellStart"/>
      <w:r>
        <w:t>SwissMedic</w:t>
      </w:r>
      <w:proofErr w:type="spellEnd"/>
      <w:r>
        <w:t xml:space="preserve"> states that</w:t>
      </w:r>
      <w:r>
        <w:rPr>
          <w:spacing w:val="-3"/>
        </w:rPr>
        <w:t xml:space="preserve"> </w:t>
      </w:r>
      <w:r>
        <w:t>these</w:t>
      </w:r>
      <w:r>
        <w:rPr>
          <w:spacing w:val="-3"/>
        </w:rPr>
        <w:t xml:space="preserve"> </w:t>
      </w:r>
      <w:r>
        <w:t>episodes of</w:t>
      </w:r>
      <w:r>
        <w:rPr>
          <w:spacing w:val="-3"/>
        </w:rPr>
        <w:t xml:space="preserve"> </w:t>
      </w:r>
      <w:r>
        <w:t>acute</w:t>
      </w:r>
      <w:r>
        <w:rPr>
          <w:spacing w:val="-3"/>
        </w:rPr>
        <w:t xml:space="preserve"> </w:t>
      </w:r>
      <w:r>
        <w:t>kidney</w:t>
      </w:r>
      <w:r>
        <w:rPr>
          <w:spacing w:val="-4"/>
        </w:rPr>
        <w:t xml:space="preserve"> </w:t>
      </w:r>
      <w:r>
        <w:t>injury</w:t>
      </w:r>
      <w:r>
        <w:rPr>
          <w:spacing w:val="-4"/>
        </w:rPr>
        <w:t xml:space="preserve"> </w:t>
      </w:r>
      <w:r>
        <w:t>appear</w:t>
      </w:r>
      <w:r>
        <w:rPr>
          <w:spacing w:val="-3"/>
        </w:rPr>
        <w:t xml:space="preserve"> </w:t>
      </w:r>
      <w:r>
        <w:t>to</w:t>
      </w:r>
      <w:r>
        <w:rPr>
          <w:spacing w:val="-3"/>
        </w:rPr>
        <w:t xml:space="preserve"> </w:t>
      </w:r>
      <w:r>
        <w:t>have</w:t>
      </w:r>
      <w:r>
        <w:rPr>
          <w:spacing w:val="-3"/>
        </w:rPr>
        <w:t xml:space="preserve"> </w:t>
      </w:r>
      <w:r>
        <w:t>been</w:t>
      </w:r>
      <w:r>
        <w:rPr>
          <w:spacing w:val="-4"/>
        </w:rPr>
        <w:t xml:space="preserve"> </w:t>
      </w:r>
      <w:r>
        <w:t>related</w:t>
      </w:r>
      <w:r>
        <w:rPr>
          <w:spacing w:val="-3"/>
        </w:rPr>
        <w:t xml:space="preserve"> </w:t>
      </w:r>
      <w:r>
        <w:t>to dehydration from severe diarrhoea and vomiting and responded well to rehydration. Th</w:t>
      </w:r>
      <w:r w:rsidR="00BA09F8">
        <w:t>e delegate noted th</w:t>
      </w:r>
      <w:r>
        <w:t>is information should be added to the PI.</w:t>
      </w:r>
    </w:p>
    <w:p w14:paraId="60CDAEC7" w14:textId="5814623A" w:rsidR="009C4CA4" w:rsidRPr="009B39FA" w:rsidRDefault="009C4CA4" w:rsidP="009B39FA">
      <w:pPr>
        <w:pStyle w:val="Heading7"/>
      </w:pPr>
      <w:bookmarkStart w:id="72" w:name="Rash"/>
      <w:bookmarkEnd w:id="72"/>
      <w:r w:rsidRPr="00BA09F8">
        <w:t>Rash</w:t>
      </w:r>
    </w:p>
    <w:p w14:paraId="4DB6E341" w14:textId="4638B1C6" w:rsidR="009C4CA4" w:rsidRDefault="009C4CA4" w:rsidP="009B39FA">
      <w:r>
        <w:t>Rash</w:t>
      </w:r>
      <w:r>
        <w:rPr>
          <w:spacing w:val="-1"/>
        </w:rPr>
        <w:t xml:space="preserve"> </w:t>
      </w:r>
      <w:r>
        <w:t>as</w:t>
      </w:r>
      <w:r>
        <w:rPr>
          <w:spacing w:val="-1"/>
        </w:rPr>
        <w:t xml:space="preserve"> </w:t>
      </w:r>
      <w:r>
        <w:t>a</w:t>
      </w:r>
      <w:r>
        <w:rPr>
          <w:spacing w:val="-4"/>
        </w:rPr>
        <w:t xml:space="preserve"> </w:t>
      </w:r>
      <w:r>
        <w:t>grouped term</w:t>
      </w:r>
      <w:r>
        <w:rPr>
          <w:spacing w:val="-1"/>
        </w:rPr>
        <w:t xml:space="preserve"> </w:t>
      </w:r>
      <w:r>
        <w:t>was</w:t>
      </w:r>
      <w:r>
        <w:rPr>
          <w:spacing w:val="-1"/>
        </w:rPr>
        <w:t xml:space="preserve"> </w:t>
      </w:r>
      <w:r>
        <w:t>reported in 135 (38.0%) patients</w:t>
      </w:r>
      <w:r>
        <w:rPr>
          <w:spacing w:val="-1"/>
        </w:rPr>
        <w:t xml:space="preserve"> </w:t>
      </w:r>
      <w:r>
        <w:t>in</w:t>
      </w:r>
      <w:r>
        <w:rPr>
          <w:spacing w:val="-3"/>
        </w:rPr>
        <w:t xml:space="preserve"> </w:t>
      </w:r>
      <w:r>
        <w:t>the</w:t>
      </w:r>
      <w:r>
        <w:rPr>
          <w:spacing w:val="-4"/>
        </w:rPr>
        <w:t xml:space="preserve"> </w:t>
      </w:r>
      <w:proofErr w:type="spellStart"/>
      <w:r>
        <w:t>capivasertib</w:t>
      </w:r>
      <w:proofErr w:type="spellEnd"/>
      <w:r>
        <w:rPr>
          <w:spacing w:val="-3"/>
        </w:rPr>
        <w:t xml:space="preserve"> </w:t>
      </w:r>
      <w:r>
        <w:t>arm</w:t>
      </w:r>
      <w:r>
        <w:rPr>
          <w:spacing w:val="-1"/>
        </w:rPr>
        <w:t xml:space="preserve"> </w:t>
      </w:r>
      <w:r>
        <w:t xml:space="preserve">compared to 25 (7.1%) in the placebo group. There were 5 patients (1.4%) in the </w:t>
      </w:r>
      <w:proofErr w:type="spellStart"/>
      <w:r>
        <w:t>capivasertib</w:t>
      </w:r>
      <w:proofErr w:type="spellEnd"/>
      <w:r>
        <w:t xml:space="preserve"> arm who experienced an SAE of rash. 10 patients (2.8%) discontinued treatment due to rash. </w:t>
      </w:r>
      <w:r w:rsidR="008552CF">
        <w:t>Sixteen patients</w:t>
      </w:r>
      <w:r>
        <w:t xml:space="preserve"> (4.5%) required a dose interruption and 8 (2.5%) a dose reduction.</w:t>
      </w:r>
    </w:p>
    <w:p w14:paraId="7C392215" w14:textId="77777777" w:rsidR="009C4CA4" w:rsidRDefault="009C4CA4" w:rsidP="003379BE">
      <w:r>
        <w:t>Other</w:t>
      </w:r>
      <w:r>
        <w:rPr>
          <w:spacing w:val="-3"/>
        </w:rPr>
        <w:t xml:space="preserve"> </w:t>
      </w:r>
      <w:r>
        <w:t>skin</w:t>
      </w:r>
      <w:r>
        <w:rPr>
          <w:spacing w:val="-4"/>
        </w:rPr>
        <w:t xml:space="preserve"> </w:t>
      </w:r>
      <w:r>
        <w:t>related</w:t>
      </w:r>
      <w:r>
        <w:rPr>
          <w:spacing w:val="-3"/>
        </w:rPr>
        <w:t xml:space="preserve"> </w:t>
      </w:r>
      <w:r>
        <w:t>AEs reported</w:t>
      </w:r>
      <w:r>
        <w:rPr>
          <w:spacing w:val="-3"/>
        </w:rPr>
        <w:t xml:space="preserve"> </w:t>
      </w:r>
      <w:r>
        <w:t>in</w:t>
      </w:r>
      <w:r>
        <w:rPr>
          <w:spacing w:val="-4"/>
        </w:rPr>
        <w:t xml:space="preserve"> </w:t>
      </w:r>
      <w:r>
        <w:t>the</w:t>
      </w:r>
      <w:r>
        <w:rPr>
          <w:spacing w:val="-3"/>
        </w:rPr>
        <w:t xml:space="preserve"> </w:t>
      </w:r>
      <w:proofErr w:type="spellStart"/>
      <w:r>
        <w:t>capivasertib</w:t>
      </w:r>
      <w:proofErr w:type="spellEnd"/>
      <w:r>
        <w:rPr>
          <w:spacing w:val="-6"/>
        </w:rPr>
        <w:t xml:space="preserve"> </w:t>
      </w:r>
      <w:r>
        <w:t>arm includes DRESS,</w:t>
      </w:r>
      <w:r>
        <w:rPr>
          <w:spacing w:val="-3"/>
        </w:rPr>
        <w:t xml:space="preserve"> </w:t>
      </w:r>
      <w:r>
        <w:t>Erythema</w:t>
      </w:r>
      <w:r>
        <w:rPr>
          <w:spacing w:val="-3"/>
        </w:rPr>
        <w:t xml:space="preserve"> </w:t>
      </w:r>
      <w:r>
        <w:t xml:space="preserve">multiforme, palmar-plantar </w:t>
      </w:r>
      <w:proofErr w:type="spellStart"/>
      <w:r>
        <w:t>erythrodysaesthesia</w:t>
      </w:r>
      <w:proofErr w:type="spellEnd"/>
      <w:r>
        <w:t xml:space="preserve"> and toxic skin eruption.</w:t>
      </w:r>
    </w:p>
    <w:p w14:paraId="66E8E94E" w14:textId="1B2ECD3F" w:rsidR="009C4CA4" w:rsidRPr="00073EF1" w:rsidRDefault="009C4CA4" w:rsidP="009B39FA">
      <w:pPr>
        <w:pStyle w:val="Heading5"/>
      </w:pPr>
      <w:bookmarkStart w:id="73" w:name="Updated_safety_data:_CAPITello-291"/>
      <w:bookmarkEnd w:id="73"/>
      <w:r w:rsidRPr="00073EF1">
        <w:t>Updated safety data: CAPITello-291</w:t>
      </w:r>
    </w:p>
    <w:p w14:paraId="104B38FE" w14:textId="62BAD567" w:rsidR="009C4CA4" w:rsidRDefault="009C4CA4" w:rsidP="009B39FA">
      <w:r>
        <w:t>At</w:t>
      </w:r>
      <w:r>
        <w:rPr>
          <w:spacing w:val="-3"/>
        </w:rPr>
        <w:t xml:space="preserve"> </w:t>
      </w:r>
      <w:r>
        <w:t>the</w:t>
      </w:r>
      <w:r>
        <w:rPr>
          <w:spacing w:val="-3"/>
        </w:rPr>
        <w:t xml:space="preserve"> </w:t>
      </w:r>
      <w:r>
        <w:t>request</w:t>
      </w:r>
      <w:r>
        <w:rPr>
          <w:spacing w:val="-3"/>
        </w:rPr>
        <w:t xml:space="preserve"> </w:t>
      </w:r>
      <w:r>
        <w:t>of</w:t>
      </w:r>
      <w:r>
        <w:rPr>
          <w:spacing w:val="-3"/>
        </w:rPr>
        <w:t xml:space="preserve"> </w:t>
      </w:r>
      <w:proofErr w:type="spellStart"/>
      <w:r>
        <w:t>SwissMedic</w:t>
      </w:r>
      <w:proofErr w:type="spellEnd"/>
      <w:r>
        <w:t>,</w:t>
      </w:r>
      <w:r>
        <w:rPr>
          <w:spacing w:val="-3"/>
        </w:rPr>
        <w:t xml:space="preserve"> </w:t>
      </w:r>
      <w:r>
        <w:t>the</w:t>
      </w:r>
      <w:r>
        <w:rPr>
          <w:spacing w:val="-3"/>
        </w:rPr>
        <w:t xml:space="preserve"> </w:t>
      </w:r>
      <w:r>
        <w:t>sponsor</w:t>
      </w:r>
      <w:r>
        <w:rPr>
          <w:spacing w:val="-3"/>
        </w:rPr>
        <w:t xml:space="preserve"> </w:t>
      </w:r>
      <w:r>
        <w:t>provided</w:t>
      </w:r>
      <w:r>
        <w:rPr>
          <w:spacing w:val="-5"/>
        </w:rPr>
        <w:t xml:space="preserve"> </w:t>
      </w:r>
      <w:r>
        <w:t>updated</w:t>
      </w:r>
      <w:r>
        <w:rPr>
          <w:spacing w:val="-5"/>
        </w:rPr>
        <w:t xml:space="preserve"> </w:t>
      </w:r>
      <w:r>
        <w:t>safety</w:t>
      </w:r>
      <w:r>
        <w:rPr>
          <w:spacing w:val="-4"/>
        </w:rPr>
        <w:t xml:space="preserve"> </w:t>
      </w:r>
      <w:r>
        <w:t>data</w:t>
      </w:r>
      <w:r>
        <w:rPr>
          <w:spacing w:val="-3"/>
        </w:rPr>
        <w:t xml:space="preserve"> </w:t>
      </w:r>
      <w:r>
        <w:t>from</w:t>
      </w:r>
      <w:r>
        <w:rPr>
          <w:spacing w:val="-4"/>
        </w:rPr>
        <w:t xml:space="preserve"> </w:t>
      </w:r>
      <w:r>
        <w:t xml:space="preserve">CAPItello-291 with a DCO of 27 March 2023. In the updated safety data, in the </w:t>
      </w:r>
      <w:proofErr w:type="spellStart"/>
      <w:r>
        <w:t>capivasertib</w:t>
      </w:r>
      <w:proofErr w:type="spellEnd"/>
      <w:r>
        <w:t xml:space="preserve"> + </w:t>
      </w:r>
      <w:proofErr w:type="spellStart"/>
      <w:r>
        <w:t>fulvestrant</w:t>
      </w:r>
      <w:proofErr w:type="spellEnd"/>
      <w:r>
        <w:t xml:space="preserve"> population,</w:t>
      </w:r>
      <w:r>
        <w:rPr>
          <w:spacing w:val="-1"/>
        </w:rPr>
        <w:t xml:space="preserve"> </w:t>
      </w:r>
      <w:r>
        <w:t>there</w:t>
      </w:r>
      <w:r>
        <w:rPr>
          <w:spacing w:val="-1"/>
        </w:rPr>
        <w:t xml:space="preserve"> </w:t>
      </w:r>
      <w:r>
        <w:t>was an</w:t>
      </w:r>
      <w:r>
        <w:rPr>
          <w:spacing w:val="-2"/>
        </w:rPr>
        <w:t xml:space="preserve"> </w:t>
      </w:r>
      <w:r>
        <w:t>additional</w:t>
      </w:r>
      <w:r>
        <w:rPr>
          <w:spacing w:val="-1"/>
        </w:rPr>
        <w:t xml:space="preserve"> </w:t>
      </w:r>
      <w:r>
        <w:t>death from liver</w:t>
      </w:r>
      <w:r>
        <w:rPr>
          <w:spacing w:val="-1"/>
        </w:rPr>
        <w:t xml:space="preserve"> </w:t>
      </w:r>
      <w:r>
        <w:t>abscess and</w:t>
      </w:r>
      <w:r>
        <w:rPr>
          <w:spacing w:val="-1"/>
        </w:rPr>
        <w:t xml:space="preserve"> </w:t>
      </w:r>
      <w:r>
        <w:t>an</w:t>
      </w:r>
      <w:r>
        <w:rPr>
          <w:spacing w:val="-2"/>
        </w:rPr>
        <w:t xml:space="preserve"> </w:t>
      </w:r>
      <w:r>
        <w:t>additional</w:t>
      </w:r>
      <w:r>
        <w:rPr>
          <w:spacing w:val="-1"/>
        </w:rPr>
        <w:t xml:space="preserve"> </w:t>
      </w:r>
      <w:r>
        <w:t>SAE</w:t>
      </w:r>
      <w:r>
        <w:rPr>
          <w:spacing w:val="-1"/>
        </w:rPr>
        <w:t xml:space="preserve"> </w:t>
      </w:r>
      <w:r>
        <w:t>of</w:t>
      </w:r>
      <w:r>
        <w:rPr>
          <w:spacing w:val="-1"/>
        </w:rPr>
        <w:t xml:space="preserve"> </w:t>
      </w:r>
      <w:r>
        <w:t xml:space="preserve">acute renal injury. In total, </w:t>
      </w:r>
      <w:r w:rsidR="00E85206">
        <w:t>4</w:t>
      </w:r>
      <w:r>
        <w:t xml:space="preserve"> (1.1%) patients in the updated safety data had acute renal injury reported. The delegate is requesting a change to the PI to highlight the risk of renal injury associated with dehydration.</w:t>
      </w:r>
    </w:p>
    <w:p w14:paraId="30D63214" w14:textId="77777777" w:rsidR="009C4CA4" w:rsidRDefault="009C4CA4" w:rsidP="00073EF1">
      <w:r>
        <w:t>Otherwise,</w:t>
      </w:r>
      <w:r>
        <w:rPr>
          <w:spacing w:val="-6"/>
        </w:rPr>
        <w:t xml:space="preserve"> </w:t>
      </w:r>
      <w:r>
        <w:t>the</w:t>
      </w:r>
      <w:r>
        <w:rPr>
          <w:spacing w:val="-4"/>
        </w:rPr>
        <w:t xml:space="preserve"> </w:t>
      </w:r>
      <w:r>
        <w:t>pattern</w:t>
      </w:r>
      <w:r>
        <w:rPr>
          <w:spacing w:val="-4"/>
        </w:rPr>
        <w:t xml:space="preserve"> </w:t>
      </w:r>
      <w:r>
        <w:t>of</w:t>
      </w:r>
      <w:r>
        <w:rPr>
          <w:spacing w:val="-4"/>
        </w:rPr>
        <w:t xml:space="preserve"> </w:t>
      </w:r>
      <w:r>
        <w:t>AEs</w:t>
      </w:r>
      <w:r>
        <w:rPr>
          <w:spacing w:val="-2"/>
        </w:rPr>
        <w:t xml:space="preserve"> </w:t>
      </w:r>
      <w:r>
        <w:t>in</w:t>
      </w:r>
      <w:r>
        <w:rPr>
          <w:spacing w:val="-5"/>
        </w:rPr>
        <w:t xml:space="preserve"> </w:t>
      </w:r>
      <w:r>
        <w:t>the</w:t>
      </w:r>
      <w:r>
        <w:rPr>
          <w:spacing w:val="-5"/>
        </w:rPr>
        <w:t xml:space="preserve"> </w:t>
      </w:r>
      <w:r>
        <w:t>updated</w:t>
      </w:r>
      <w:r>
        <w:rPr>
          <w:spacing w:val="-4"/>
        </w:rPr>
        <w:t xml:space="preserve"> </w:t>
      </w:r>
      <w:r>
        <w:t>data</w:t>
      </w:r>
      <w:r>
        <w:rPr>
          <w:spacing w:val="-4"/>
        </w:rPr>
        <w:t xml:space="preserve"> </w:t>
      </w:r>
      <w:r>
        <w:t>was</w:t>
      </w:r>
      <w:r>
        <w:rPr>
          <w:spacing w:val="-2"/>
        </w:rPr>
        <w:t xml:space="preserve"> </w:t>
      </w:r>
      <w:proofErr w:type="gramStart"/>
      <w:r>
        <w:t>similar</w:t>
      </w:r>
      <w:r>
        <w:rPr>
          <w:spacing w:val="-4"/>
        </w:rPr>
        <w:t xml:space="preserve"> </w:t>
      </w:r>
      <w:r>
        <w:t>to</w:t>
      </w:r>
      <w:proofErr w:type="gramEnd"/>
      <w:r>
        <w:rPr>
          <w:spacing w:val="-3"/>
        </w:rPr>
        <w:t xml:space="preserve"> </w:t>
      </w:r>
      <w:r>
        <w:t>the</w:t>
      </w:r>
      <w:r>
        <w:rPr>
          <w:spacing w:val="-4"/>
        </w:rPr>
        <w:t xml:space="preserve"> </w:t>
      </w:r>
      <w:r>
        <w:t>original</w:t>
      </w:r>
      <w:r>
        <w:rPr>
          <w:spacing w:val="-3"/>
        </w:rPr>
        <w:t xml:space="preserve"> </w:t>
      </w:r>
      <w:r>
        <w:rPr>
          <w:spacing w:val="-2"/>
        </w:rPr>
        <w:t>data.</w:t>
      </w:r>
    </w:p>
    <w:p w14:paraId="12A45A0B" w14:textId="3ADF3378" w:rsidR="009C4CA4" w:rsidRPr="00073EF1" w:rsidRDefault="009C4CA4" w:rsidP="009B39FA">
      <w:pPr>
        <w:pStyle w:val="Heading5"/>
      </w:pPr>
      <w:bookmarkStart w:id="74" w:name="Safety_in_FAKTION"/>
      <w:bookmarkEnd w:id="74"/>
      <w:r w:rsidRPr="00073EF1">
        <w:t xml:space="preserve">Safety in </w:t>
      </w:r>
      <w:r w:rsidRPr="009B39FA">
        <w:t>FAKTION</w:t>
      </w:r>
    </w:p>
    <w:p w14:paraId="461F22C6" w14:textId="43CE7C1A" w:rsidR="009C4CA4" w:rsidRDefault="009C4CA4" w:rsidP="00073EF1">
      <w:r>
        <w:t>In the FAKTION study, grade 3</w:t>
      </w:r>
      <w:r>
        <w:rPr>
          <w:rFonts w:ascii="Lucida Console" w:hAnsi="Lucida Console"/>
        </w:rPr>
        <w:t>–</w:t>
      </w:r>
      <w:r>
        <w:t xml:space="preserve">5 AEs were reported in 45 (65%) patients in the </w:t>
      </w:r>
      <w:proofErr w:type="spellStart"/>
      <w:r>
        <w:t>capivasertib</w:t>
      </w:r>
      <w:proofErr w:type="spellEnd"/>
      <w:r>
        <w:t xml:space="preserve"> group and 35 (50%) in the placebo.</w:t>
      </w:r>
      <w:r>
        <w:rPr>
          <w:spacing w:val="40"/>
        </w:rPr>
        <w:t xml:space="preserve"> </w:t>
      </w:r>
      <w:r>
        <w:t xml:space="preserve">One patient in the placebo group had a grade 5 </w:t>
      </w:r>
      <w:r w:rsidR="00111CAB">
        <w:t>h</w:t>
      </w:r>
      <w:r>
        <w:t>aemorrhage, attributed to disease progression.</w:t>
      </w:r>
      <w:r>
        <w:rPr>
          <w:spacing w:val="40"/>
        </w:rPr>
        <w:t xml:space="preserve"> </w:t>
      </w:r>
      <w:r>
        <w:t>All cases of severe diarrhoea, rash, hyperglycaemia, and vomiting were grade 3, apart from one grade 4 diarrhoea in the placebo group.</w:t>
      </w:r>
      <w:r>
        <w:rPr>
          <w:spacing w:val="40"/>
        </w:rPr>
        <w:t xml:space="preserve"> </w:t>
      </w:r>
      <w:r>
        <w:t>The</w:t>
      </w:r>
      <w:r>
        <w:rPr>
          <w:spacing w:val="-4"/>
        </w:rPr>
        <w:t xml:space="preserve"> </w:t>
      </w:r>
      <w:r>
        <w:t>most</w:t>
      </w:r>
      <w:r>
        <w:rPr>
          <w:spacing w:val="-7"/>
        </w:rPr>
        <w:t xml:space="preserve"> </w:t>
      </w:r>
      <w:r>
        <w:t>common</w:t>
      </w:r>
      <w:r>
        <w:rPr>
          <w:spacing w:val="-7"/>
        </w:rPr>
        <w:t xml:space="preserve"> </w:t>
      </w:r>
      <w:r>
        <w:t>grade</w:t>
      </w:r>
      <w:r>
        <w:rPr>
          <w:spacing w:val="-4"/>
        </w:rPr>
        <w:t xml:space="preserve"> </w:t>
      </w:r>
      <w:r>
        <w:t>3</w:t>
      </w:r>
      <w:r>
        <w:rPr>
          <w:rFonts w:ascii="Lucida Console" w:hAnsi="Lucida Console"/>
        </w:rPr>
        <w:t>–</w:t>
      </w:r>
      <w:r>
        <w:t>4</w:t>
      </w:r>
      <w:r>
        <w:rPr>
          <w:spacing w:val="-4"/>
        </w:rPr>
        <w:t xml:space="preserve"> </w:t>
      </w:r>
      <w:r>
        <w:t>adverse</w:t>
      </w:r>
      <w:r>
        <w:rPr>
          <w:spacing w:val="-4"/>
        </w:rPr>
        <w:t xml:space="preserve"> </w:t>
      </w:r>
      <w:r>
        <w:t>events</w:t>
      </w:r>
      <w:r>
        <w:rPr>
          <w:spacing w:val="-5"/>
        </w:rPr>
        <w:t xml:space="preserve"> </w:t>
      </w:r>
      <w:r>
        <w:t>were</w:t>
      </w:r>
      <w:r>
        <w:rPr>
          <w:spacing w:val="-4"/>
        </w:rPr>
        <w:t xml:space="preserve"> </w:t>
      </w:r>
      <w:r>
        <w:t>hypertension</w:t>
      </w:r>
      <w:r>
        <w:rPr>
          <w:spacing w:val="-4"/>
        </w:rPr>
        <w:t xml:space="preserve"> </w:t>
      </w:r>
      <w:r>
        <w:t>(22</w:t>
      </w:r>
      <w:r>
        <w:rPr>
          <w:spacing w:val="-4"/>
        </w:rPr>
        <w:t xml:space="preserve"> </w:t>
      </w:r>
      <w:r>
        <w:t>[32%]</w:t>
      </w:r>
      <w:r>
        <w:rPr>
          <w:spacing w:val="-5"/>
        </w:rPr>
        <w:t xml:space="preserve"> </w:t>
      </w:r>
      <w:proofErr w:type="spellStart"/>
      <w:r>
        <w:t>capivasertib</w:t>
      </w:r>
      <w:proofErr w:type="spellEnd"/>
      <w:r>
        <w:t xml:space="preserve"> patients and 17 [24%] placebo), diarrhoea (10 [14%] </w:t>
      </w:r>
      <w:proofErr w:type="spellStart"/>
      <w:r>
        <w:t>capivasertib</w:t>
      </w:r>
      <w:proofErr w:type="spellEnd"/>
      <w:r>
        <w:t xml:space="preserve"> and 3 [4%] placebo), and rash (14 [20%] </w:t>
      </w:r>
      <w:proofErr w:type="spellStart"/>
      <w:r>
        <w:t>capivasertib</w:t>
      </w:r>
      <w:proofErr w:type="spellEnd"/>
      <w:r>
        <w:t xml:space="preserve"> and none in the placebo).</w:t>
      </w:r>
    </w:p>
    <w:p w14:paraId="182F6C07" w14:textId="5B37EC7F" w:rsidR="009C4CA4" w:rsidRDefault="009C4CA4" w:rsidP="00073EF1">
      <w:r>
        <w:t xml:space="preserve">There was one death on treatment with </w:t>
      </w:r>
      <w:proofErr w:type="spellStart"/>
      <w:r>
        <w:t>capivasertib</w:t>
      </w:r>
      <w:proofErr w:type="spellEnd"/>
      <w:r>
        <w:t xml:space="preserve"> (atypical pulmonary infection without disease progression) considered possibly treatment related.</w:t>
      </w:r>
      <w:r>
        <w:rPr>
          <w:spacing w:val="40"/>
        </w:rPr>
        <w:t xml:space="preserve"> </w:t>
      </w:r>
      <w:r>
        <w:t xml:space="preserve">One death in the </w:t>
      </w:r>
      <w:proofErr w:type="spellStart"/>
      <w:r>
        <w:t>capivasertib</w:t>
      </w:r>
      <w:proofErr w:type="spellEnd"/>
      <w:r>
        <w:t xml:space="preserve"> treatment group had an unknown cause, and all remaining deaths in both groups (19 in the </w:t>
      </w:r>
      <w:proofErr w:type="spellStart"/>
      <w:r>
        <w:t>capivasertib</w:t>
      </w:r>
      <w:proofErr w:type="spellEnd"/>
      <w:r>
        <w:rPr>
          <w:spacing w:val="-3"/>
        </w:rPr>
        <w:t xml:space="preserve"> </w:t>
      </w:r>
      <w:r>
        <w:t>group</w:t>
      </w:r>
      <w:r>
        <w:rPr>
          <w:spacing w:val="-2"/>
        </w:rPr>
        <w:t xml:space="preserve"> </w:t>
      </w:r>
      <w:r>
        <w:t>and</w:t>
      </w:r>
      <w:r>
        <w:rPr>
          <w:spacing w:val="-2"/>
        </w:rPr>
        <w:t xml:space="preserve"> </w:t>
      </w:r>
      <w:r>
        <w:t>31</w:t>
      </w:r>
      <w:r>
        <w:rPr>
          <w:spacing w:val="-2"/>
        </w:rPr>
        <w:t xml:space="preserve"> </w:t>
      </w:r>
      <w:r>
        <w:t>in</w:t>
      </w:r>
      <w:r>
        <w:rPr>
          <w:spacing w:val="-3"/>
        </w:rPr>
        <w:t xml:space="preserve"> </w:t>
      </w:r>
      <w:r>
        <w:t>the</w:t>
      </w:r>
      <w:r>
        <w:rPr>
          <w:spacing w:val="-2"/>
        </w:rPr>
        <w:t xml:space="preserve"> </w:t>
      </w:r>
      <w:r>
        <w:t>placebo)</w:t>
      </w:r>
      <w:r>
        <w:rPr>
          <w:spacing w:val="-2"/>
        </w:rPr>
        <w:t xml:space="preserve"> </w:t>
      </w:r>
      <w:r>
        <w:t>were</w:t>
      </w:r>
      <w:r>
        <w:rPr>
          <w:spacing w:val="-2"/>
        </w:rPr>
        <w:t xml:space="preserve"> </w:t>
      </w:r>
      <w:r>
        <w:t>disease</w:t>
      </w:r>
      <w:r>
        <w:rPr>
          <w:spacing w:val="-2"/>
        </w:rPr>
        <w:t xml:space="preserve"> </w:t>
      </w:r>
      <w:r>
        <w:t>related.</w:t>
      </w:r>
      <w:r>
        <w:rPr>
          <w:spacing w:val="40"/>
        </w:rPr>
        <w:t xml:space="preserve"> </w:t>
      </w:r>
      <w:r>
        <w:t>SAEs</w:t>
      </w:r>
      <w:r>
        <w:rPr>
          <w:spacing w:val="-1"/>
        </w:rPr>
        <w:t xml:space="preserve"> </w:t>
      </w:r>
      <w:r>
        <w:t>were</w:t>
      </w:r>
      <w:r>
        <w:rPr>
          <w:spacing w:val="-2"/>
        </w:rPr>
        <w:t xml:space="preserve"> </w:t>
      </w:r>
      <w:r>
        <w:t>reported</w:t>
      </w:r>
      <w:r>
        <w:rPr>
          <w:spacing w:val="-2"/>
        </w:rPr>
        <w:t xml:space="preserve"> </w:t>
      </w:r>
      <w:r>
        <w:t>only</w:t>
      </w:r>
      <w:r>
        <w:rPr>
          <w:spacing w:val="-3"/>
        </w:rPr>
        <w:t xml:space="preserve"> </w:t>
      </w:r>
      <w:r>
        <w:t>in</w:t>
      </w:r>
      <w:r>
        <w:rPr>
          <w:spacing w:val="-3"/>
        </w:rPr>
        <w:t xml:space="preserve"> </w:t>
      </w:r>
      <w:r>
        <w:t>the</w:t>
      </w:r>
      <w:r w:rsidR="00073EF1">
        <w:t xml:space="preserve"> </w:t>
      </w:r>
      <w:proofErr w:type="spellStart"/>
      <w:r>
        <w:lastRenderedPageBreak/>
        <w:t>capivasertib</w:t>
      </w:r>
      <w:proofErr w:type="spellEnd"/>
      <w:r>
        <w:rPr>
          <w:spacing w:val="-3"/>
        </w:rPr>
        <w:t xml:space="preserve"> </w:t>
      </w:r>
      <w:r>
        <w:t>group</w:t>
      </w:r>
      <w:r>
        <w:rPr>
          <w:spacing w:val="-2"/>
        </w:rPr>
        <w:t xml:space="preserve"> </w:t>
      </w:r>
      <w:r>
        <w:t>and</w:t>
      </w:r>
      <w:r>
        <w:rPr>
          <w:spacing w:val="-3"/>
        </w:rPr>
        <w:t xml:space="preserve"> </w:t>
      </w:r>
      <w:r>
        <w:t>were</w:t>
      </w:r>
      <w:r>
        <w:rPr>
          <w:spacing w:val="-2"/>
        </w:rPr>
        <w:t xml:space="preserve"> </w:t>
      </w:r>
      <w:r>
        <w:t>acute</w:t>
      </w:r>
      <w:r>
        <w:rPr>
          <w:spacing w:val="-3"/>
        </w:rPr>
        <w:t xml:space="preserve"> </w:t>
      </w:r>
      <w:r>
        <w:t>kidney</w:t>
      </w:r>
      <w:r>
        <w:rPr>
          <w:spacing w:val="-5"/>
        </w:rPr>
        <w:t xml:space="preserve"> </w:t>
      </w:r>
      <w:r>
        <w:t>injury</w:t>
      </w:r>
      <w:r>
        <w:rPr>
          <w:spacing w:val="-3"/>
        </w:rPr>
        <w:t xml:space="preserve"> </w:t>
      </w:r>
      <w:r>
        <w:t>(2</w:t>
      </w:r>
      <w:r>
        <w:rPr>
          <w:spacing w:val="-4"/>
        </w:rPr>
        <w:t xml:space="preserve"> </w:t>
      </w:r>
      <w:r>
        <w:t>patients),</w:t>
      </w:r>
      <w:r>
        <w:rPr>
          <w:spacing w:val="-2"/>
        </w:rPr>
        <w:t xml:space="preserve"> </w:t>
      </w:r>
      <w:r>
        <w:t>diarrhoea</w:t>
      </w:r>
      <w:r>
        <w:rPr>
          <w:spacing w:val="-3"/>
        </w:rPr>
        <w:t xml:space="preserve"> </w:t>
      </w:r>
      <w:r>
        <w:t>(3),</w:t>
      </w:r>
      <w:r>
        <w:rPr>
          <w:spacing w:val="-4"/>
        </w:rPr>
        <w:t xml:space="preserve"> </w:t>
      </w:r>
      <w:r>
        <w:t>hyperglycaemia (1), loss of consciousness (1), rash (2), sepsis (1), and vomiting (1).</w:t>
      </w:r>
    </w:p>
    <w:p w14:paraId="6E4FFF3D" w14:textId="77777777" w:rsidR="009C4CA4" w:rsidRDefault="009C4CA4" w:rsidP="00073EF1">
      <w:r>
        <w:t>In</w:t>
      </w:r>
      <w:r>
        <w:rPr>
          <w:spacing w:val="-3"/>
        </w:rPr>
        <w:t xml:space="preserve"> </w:t>
      </w:r>
      <w:r>
        <w:t>the</w:t>
      </w:r>
      <w:r>
        <w:rPr>
          <w:spacing w:val="-2"/>
        </w:rPr>
        <w:t xml:space="preserve"> </w:t>
      </w:r>
      <w:r>
        <w:t>updated</w:t>
      </w:r>
      <w:r>
        <w:rPr>
          <w:spacing w:val="-2"/>
        </w:rPr>
        <w:t xml:space="preserve"> </w:t>
      </w:r>
      <w:r>
        <w:t>2022</w:t>
      </w:r>
      <w:r>
        <w:rPr>
          <w:spacing w:val="-2"/>
        </w:rPr>
        <w:t xml:space="preserve"> </w:t>
      </w:r>
      <w:r>
        <w:t>publication</w:t>
      </w:r>
      <w:r>
        <w:rPr>
          <w:spacing w:val="-3"/>
        </w:rPr>
        <w:t xml:space="preserve"> </w:t>
      </w:r>
      <w:r>
        <w:t>(Howell</w:t>
      </w:r>
      <w:r>
        <w:rPr>
          <w:spacing w:val="-2"/>
        </w:rPr>
        <w:t xml:space="preserve"> </w:t>
      </w:r>
      <w:r>
        <w:t>et</w:t>
      </w:r>
      <w:r>
        <w:rPr>
          <w:spacing w:val="-2"/>
        </w:rPr>
        <w:t xml:space="preserve"> </w:t>
      </w:r>
      <w:r>
        <w:t>al.),</w:t>
      </w:r>
      <w:r>
        <w:rPr>
          <w:spacing w:val="-1"/>
        </w:rPr>
        <w:t xml:space="preserve"> </w:t>
      </w:r>
      <w:r>
        <w:t>one</w:t>
      </w:r>
      <w:r>
        <w:rPr>
          <w:spacing w:val="-4"/>
        </w:rPr>
        <w:t xml:space="preserve"> </w:t>
      </w:r>
      <w:r>
        <w:t>additional</w:t>
      </w:r>
      <w:r>
        <w:rPr>
          <w:spacing w:val="-2"/>
        </w:rPr>
        <w:t xml:space="preserve"> </w:t>
      </w:r>
      <w:r>
        <w:t>SAE</w:t>
      </w:r>
      <w:r>
        <w:rPr>
          <w:spacing w:val="-2"/>
        </w:rPr>
        <w:t xml:space="preserve"> </w:t>
      </w:r>
      <w:r>
        <w:t>of</w:t>
      </w:r>
      <w:r>
        <w:rPr>
          <w:spacing w:val="-2"/>
        </w:rPr>
        <w:t xml:space="preserve"> </w:t>
      </w:r>
      <w:r>
        <w:t>pneumonia</w:t>
      </w:r>
      <w:r>
        <w:rPr>
          <w:spacing w:val="-2"/>
        </w:rPr>
        <w:t xml:space="preserve"> </w:t>
      </w:r>
      <w:r>
        <w:t>was</w:t>
      </w:r>
      <w:r>
        <w:rPr>
          <w:spacing w:val="-1"/>
        </w:rPr>
        <w:t xml:space="preserve"> </w:t>
      </w:r>
      <w:r>
        <w:t xml:space="preserve">reported in the </w:t>
      </w:r>
      <w:proofErr w:type="spellStart"/>
      <w:r>
        <w:t>capivasertib</w:t>
      </w:r>
      <w:proofErr w:type="spellEnd"/>
      <w:r>
        <w:t xml:space="preserve"> group, and there was one additional death</w:t>
      </w:r>
      <w:r>
        <w:rPr>
          <w:spacing w:val="40"/>
        </w:rPr>
        <w:t xml:space="preserve"> </w:t>
      </w:r>
      <w:r>
        <w:t xml:space="preserve">(atypical pulmonary infection) assessed as possibly related to </w:t>
      </w:r>
      <w:proofErr w:type="spellStart"/>
      <w:r>
        <w:t>capivasertib</w:t>
      </w:r>
      <w:proofErr w:type="spellEnd"/>
      <w:r>
        <w:t>.</w:t>
      </w:r>
    </w:p>
    <w:p w14:paraId="263FE72D" w14:textId="2ABA5EF4" w:rsidR="009C4CA4" w:rsidRDefault="009C4CA4" w:rsidP="009B39FA">
      <w:pPr>
        <w:pStyle w:val="Heading2"/>
      </w:pPr>
      <w:bookmarkStart w:id="75" w:name="Risk_Management_Plan_(RMP)_evaluation"/>
      <w:bookmarkStart w:id="76" w:name="_Toc191292208"/>
      <w:bookmarkEnd w:id="75"/>
      <w:r>
        <w:t>Risk</w:t>
      </w:r>
      <w:r>
        <w:rPr>
          <w:spacing w:val="-10"/>
        </w:rPr>
        <w:t xml:space="preserve"> </w:t>
      </w:r>
      <w:r>
        <w:t>Management</w:t>
      </w:r>
      <w:r>
        <w:rPr>
          <w:spacing w:val="-7"/>
        </w:rPr>
        <w:t xml:space="preserve"> </w:t>
      </w:r>
      <w:r>
        <w:t>Plan</w:t>
      </w:r>
      <w:r>
        <w:rPr>
          <w:spacing w:val="-10"/>
        </w:rPr>
        <w:t xml:space="preserve"> </w:t>
      </w:r>
      <w:r>
        <w:t>(RMP)</w:t>
      </w:r>
      <w:r>
        <w:rPr>
          <w:spacing w:val="-10"/>
        </w:rPr>
        <w:t xml:space="preserve"> </w:t>
      </w:r>
      <w:r w:rsidRPr="009B39FA">
        <w:t>evaluation</w:t>
      </w:r>
      <w:bookmarkEnd w:id="76"/>
    </w:p>
    <w:p w14:paraId="7C946849" w14:textId="77777777" w:rsidR="009C4CA4" w:rsidRDefault="009C4CA4" w:rsidP="009B39FA">
      <w:r>
        <w:t>EU-RMP</w:t>
      </w:r>
      <w:r>
        <w:rPr>
          <w:spacing w:val="-3"/>
        </w:rPr>
        <w:t xml:space="preserve"> </w:t>
      </w:r>
      <w:r>
        <w:t>version</w:t>
      </w:r>
      <w:r>
        <w:rPr>
          <w:spacing w:val="-3"/>
        </w:rPr>
        <w:t xml:space="preserve"> </w:t>
      </w:r>
      <w:r>
        <w:t>1</w:t>
      </w:r>
      <w:r>
        <w:rPr>
          <w:spacing w:val="-2"/>
        </w:rPr>
        <w:t xml:space="preserve"> </w:t>
      </w:r>
      <w:r>
        <w:t>Succession</w:t>
      </w:r>
      <w:r>
        <w:rPr>
          <w:spacing w:val="-3"/>
        </w:rPr>
        <w:t xml:space="preserve"> </w:t>
      </w:r>
      <w:r>
        <w:t>1</w:t>
      </w:r>
      <w:r>
        <w:rPr>
          <w:spacing w:val="-2"/>
        </w:rPr>
        <w:t xml:space="preserve"> </w:t>
      </w:r>
      <w:r>
        <w:t>(date</w:t>
      </w:r>
      <w:r>
        <w:rPr>
          <w:spacing w:val="-2"/>
        </w:rPr>
        <w:t xml:space="preserve"> </w:t>
      </w:r>
      <w:r>
        <w:t>24</w:t>
      </w:r>
      <w:r>
        <w:rPr>
          <w:spacing w:val="-2"/>
        </w:rPr>
        <w:t xml:space="preserve"> </w:t>
      </w:r>
      <w:r>
        <w:t>March</w:t>
      </w:r>
      <w:r>
        <w:rPr>
          <w:spacing w:val="-4"/>
        </w:rPr>
        <w:t xml:space="preserve"> </w:t>
      </w:r>
      <w:r>
        <w:t>2023;</w:t>
      </w:r>
      <w:r>
        <w:rPr>
          <w:spacing w:val="-3"/>
        </w:rPr>
        <w:t xml:space="preserve"> </w:t>
      </w:r>
      <w:r>
        <w:t>DLP</w:t>
      </w:r>
      <w:r>
        <w:rPr>
          <w:spacing w:val="-3"/>
        </w:rPr>
        <w:t xml:space="preserve"> </w:t>
      </w:r>
      <w:r>
        <w:t>15</w:t>
      </w:r>
      <w:r>
        <w:rPr>
          <w:spacing w:val="-2"/>
        </w:rPr>
        <w:t xml:space="preserve"> </w:t>
      </w:r>
      <w:r>
        <w:t>August</w:t>
      </w:r>
      <w:r>
        <w:rPr>
          <w:spacing w:val="-2"/>
        </w:rPr>
        <w:t xml:space="preserve"> </w:t>
      </w:r>
      <w:r>
        <w:t>2022)</w:t>
      </w:r>
      <w:r>
        <w:rPr>
          <w:spacing w:val="-5"/>
        </w:rPr>
        <w:t xml:space="preserve"> </w:t>
      </w:r>
      <w:r>
        <w:t>and</w:t>
      </w:r>
      <w:r>
        <w:rPr>
          <w:spacing w:val="-2"/>
        </w:rPr>
        <w:t xml:space="preserve"> </w:t>
      </w:r>
      <w:r>
        <w:t>ASA</w:t>
      </w:r>
      <w:r>
        <w:rPr>
          <w:spacing w:val="-3"/>
        </w:rPr>
        <w:t xml:space="preserve"> </w:t>
      </w:r>
      <w:r>
        <w:t>version</w:t>
      </w:r>
      <w:r>
        <w:rPr>
          <w:spacing w:val="-3"/>
        </w:rPr>
        <w:t xml:space="preserve"> </w:t>
      </w:r>
      <w:r>
        <w:t>1.0 (date 4 April 2023) were evaluated by the TGA for this submission.</w:t>
      </w:r>
    </w:p>
    <w:p w14:paraId="6471A889" w14:textId="5DBA4047" w:rsidR="009C4CA4" w:rsidRDefault="009C4CA4" w:rsidP="004239B6">
      <w:pPr>
        <w:rPr>
          <w:spacing w:val="-2"/>
        </w:rPr>
      </w:pPr>
      <w:r>
        <w:t>The</w:t>
      </w:r>
      <w:r>
        <w:rPr>
          <w:spacing w:val="-5"/>
        </w:rPr>
        <w:t xml:space="preserve"> </w:t>
      </w:r>
      <w:r>
        <w:t>summary</w:t>
      </w:r>
      <w:r>
        <w:rPr>
          <w:spacing w:val="-4"/>
        </w:rPr>
        <w:t xml:space="preserve"> </w:t>
      </w:r>
      <w:r>
        <w:t>of</w:t>
      </w:r>
      <w:r>
        <w:rPr>
          <w:spacing w:val="-5"/>
        </w:rPr>
        <w:t xml:space="preserve"> </w:t>
      </w:r>
      <w:r>
        <w:t>safety</w:t>
      </w:r>
      <w:r>
        <w:rPr>
          <w:spacing w:val="-4"/>
        </w:rPr>
        <w:t xml:space="preserve"> </w:t>
      </w:r>
      <w:r>
        <w:t>concerns</w:t>
      </w:r>
      <w:r>
        <w:rPr>
          <w:spacing w:val="-4"/>
        </w:rPr>
        <w:t xml:space="preserve"> </w:t>
      </w:r>
      <w:r>
        <w:t>is</w:t>
      </w:r>
      <w:r>
        <w:rPr>
          <w:spacing w:val="-2"/>
        </w:rPr>
        <w:t xml:space="preserve"> </w:t>
      </w:r>
      <w:r>
        <w:t>outlined</w:t>
      </w:r>
      <w:r>
        <w:rPr>
          <w:spacing w:val="-3"/>
        </w:rPr>
        <w:t xml:space="preserve"> </w:t>
      </w:r>
      <w:r>
        <w:t>in</w:t>
      </w:r>
      <w:r>
        <w:rPr>
          <w:spacing w:val="-4"/>
        </w:rPr>
        <w:t xml:space="preserve"> </w:t>
      </w:r>
      <w:r w:rsidR="00623D74">
        <w:t xml:space="preserve">Table </w:t>
      </w:r>
      <w:r w:rsidR="00BE3F63">
        <w:t>7</w:t>
      </w:r>
      <w:r w:rsidR="00623D74">
        <w:t>.</w:t>
      </w:r>
    </w:p>
    <w:p w14:paraId="3979F517" w14:textId="7DACB599" w:rsidR="00623D74" w:rsidRDefault="00623D74" w:rsidP="009B39FA">
      <w:pPr>
        <w:pStyle w:val="TableTitle"/>
      </w:pPr>
      <w:bookmarkStart w:id="77" w:name="_Ref97629131"/>
      <w:r>
        <w:t xml:space="preserve">Table </w:t>
      </w:r>
      <w:bookmarkEnd w:id="77"/>
      <w:r w:rsidR="00BE3F63">
        <w:t>7</w:t>
      </w:r>
      <w:r>
        <w:t xml:space="preserve">: Summary of </w:t>
      </w:r>
      <w:r w:rsidRPr="009B39FA">
        <w:t>safety</w:t>
      </w:r>
      <w:r>
        <w:t xml:space="preserve"> concerns</w:t>
      </w:r>
    </w:p>
    <w:tbl>
      <w:tblPr>
        <w:tblStyle w:val="TableTGAblue2023"/>
        <w:tblW w:w="9067" w:type="dxa"/>
        <w:tblLayout w:type="fixed"/>
        <w:tblLook w:val="04A0" w:firstRow="1" w:lastRow="0" w:firstColumn="1" w:lastColumn="0" w:noHBand="0" w:noVBand="1"/>
      </w:tblPr>
      <w:tblGrid>
        <w:gridCol w:w="3964"/>
        <w:gridCol w:w="1134"/>
        <w:gridCol w:w="1418"/>
        <w:gridCol w:w="1134"/>
        <w:gridCol w:w="1417"/>
      </w:tblGrid>
      <w:tr w:rsidR="00623D74" w:rsidRPr="007A1992" w14:paraId="42AD00C4" w14:textId="77777777" w:rsidTr="00623D74">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3964" w:type="dxa"/>
            <w:vMerge w:val="restart"/>
          </w:tcPr>
          <w:p w14:paraId="483C537A" w14:textId="77777777" w:rsidR="00623D74" w:rsidRPr="003411A3" w:rsidRDefault="00623D74">
            <w:pPr>
              <w:rPr>
                <w:sz w:val="20"/>
                <w:szCs w:val="20"/>
              </w:rPr>
            </w:pPr>
            <w:r w:rsidRPr="003411A3">
              <w:rPr>
                <w:sz w:val="20"/>
                <w:szCs w:val="20"/>
              </w:rPr>
              <w:t>Summary of safety concerns</w:t>
            </w:r>
          </w:p>
        </w:tc>
        <w:tc>
          <w:tcPr>
            <w:tcW w:w="2552" w:type="dxa"/>
            <w:gridSpan w:val="2"/>
          </w:tcPr>
          <w:p w14:paraId="4D5B4124" w14:textId="77777777" w:rsidR="00623D74" w:rsidRPr="003411A3" w:rsidRDefault="00623D74" w:rsidP="009B39FA">
            <w:pPr>
              <w:jc w:val="center"/>
              <w:cnfStyle w:val="100000000000" w:firstRow="1" w:lastRow="0" w:firstColumn="0" w:lastColumn="0" w:oddVBand="0" w:evenVBand="0" w:oddHBand="0" w:evenHBand="0" w:firstRowFirstColumn="0" w:firstRowLastColumn="0" w:lastRowFirstColumn="0" w:lastRowLastColumn="0"/>
              <w:rPr>
                <w:sz w:val="20"/>
                <w:szCs w:val="20"/>
              </w:rPr>
            </w:pPr>
            <w:r w:rsidRPr="003411A3">
              <w:rPr>
                <w:sz w:val="20"/>
                <w:szCs w:val="20"/>
              </w:rPr>
              <w:t>Pharmacovigilance</w:t>
            </w:r>
          </w:p>
        </w:tc>
        <w:tc>
          <w:tcPr>
            <w:tcW w:w="2551" w:type="dxa"/>
            <w:gridSpan w:val="2"/>
          </w:tcPr>
          <w:p w14:paraId="40DEE968" w14:textId="77777777" w:rsidR="00623D74" w:rsidRPr="003411A3" w:rsidRDefault="00623D74" w:rsidP="009B39FA">
            <w:pPr>
              <w:jc w:val="center"/>
              <w:cnfStyle w:val="100000000000" w:firstRow="1" w:lastRow="0" w:firstColumn="0" w:lastColumn="0" w:oddVBand="0" w:evenVBand="0" w:oddHBand="0" w:evenHBand="0" w:firstRowFirstColumn="0" w:firstRowLastColumn="0" w:lastRowFirstColumn="0" w:lastRowLastColumn="0"/>
              <w:rPr>
                <w:sz w:val="20"/>
                <w:szCs w:val="20"/>
              </w:rPr>
            </w:pPr>
            <w:r w:rsidRPr="003411A3">
              <w:rPr>
                <w:sz w:val="20"/>
                <w:szCs w:val="20"/>
              </w:rPr>
              <w:t>Risk minimisation</w:t>
            </w:r>
          </w:p>
        </w:tc>
      </w:tr>
      <w:tr w:rsidR="00623D74" w:rsidRPr="007A1992" w14:paraId="100C4F47" w14:textId="77777777" w:rsidTr="00623D74">
        <w:trPr>
          <w:trHeight w:val="150"/>
        </w:trPr>
        <w:tc>
          <w:tcPr>
            <w:cnfStyle w:val="001000000000" w:firstRow="0" w:lastRow="0" w:firstColumn="1" w:lastColumn="0" w:oddVBand="0" w:evenVBand="0" w:oddHBand="0" w:evenHBand="0" w:firstRowFirstColumn="0" w:firstRowLastColumn="0" w:lastRowFirstColumn="0" w:lastRowLastColumn="0"/>
            <w:tcW w:w="3964" w:type="dxa"/>
            <w:vMerge/>
          </w:tcPr>
          <w:p w14:paraId="02032BB6" w14:textId="77777777" w:rsidR="00623D74" w:rsidRPr="003411A3" w:rsidRDefault="00623D74">
            <w:pPr>
              <w:rPr>
                <w:sz w:val="20"/>
                <w:szCs w:val="20"/>
              </w:rPr>
            </w:pPr>
          </w:p>
        </w:tc>
        <w:tc>
          <w:tcPr>
            <w:tcW w:w="1134" w:type="dxa"/>
            <w:shd w:val="clear" w:color="auto" w:fill="DEEAF6"/>
          </w:tcPr>
          <w:p w14:paraId="4EB083B0" w14:textId="77777777" w:rsidR="00623D74" w:rsidRPr="003411A3" w:rsidRDefault="00623D74" w:rsidP="009B39FA">
            <w:pPr>
              <w:keepNext/>
              <w:jc w:val="center"/>
              <w:cnfStyle w:val="000000000000" w:firstRow="0" w:lastRow="0" w:firstColumn="0" w:lastColumn="0" w:oddVBand="0" w:evenVBand="0" w:oddHBand="0" w:evenHBand="0" w:firstRowFirstColumn="0" w:firstRowLastColumn="0" w:lastRowFirstColumn="0" w:lastRowLastColumn="0"/>
              <w:rPr>
                <w:b/>
                <w:color w:val="263287"/>
                <w:sz w:val="20"/>
                <w:szCs w:val="20"/>
              </w:rPr>
            </w:pPr>
            <w:r w:rsidRPr="003411A3">
              <w:rPr>
                <w:b/>
                <w:color w:val="263287"/>
                <w:sz w:val="20"/>
                <w:szCs w:val="20"/>
              </w:rPr>
              <w:t>Routine</w:t>
            </w:r>
          </w:p>
        </w:tc>
        <w:tc>
          <w:tcPr>
            <w:tcW w:w="1418" w:type="dxa"/>
            <w:shd w:val="clear" w:color="auto" w:fill="DEEAF6"/>
          </w:tcPr>
          <w:p w14:paraId="64B8D4F9" w14:textId="77777777" w:rsidR="00623D74" w:rsidRPr="003411A3" w:rsidRDefault="00623D74" w:rsidP="009B39FA">
            <w:pPr>
              <w:keepNext/>
              <w:jc w:val="center"/>
              <w:cnfStyle w:val="000000000000" w:firstRow="0" w:lastRow="0" w:firstColumn="0" w:lastColumn="0" w:oddVBand="0" w:evenVBand="0" w:oddHBand="0" w:evenHBand="0" w:firstRowFirstColumn="0" w:firstRowLastColumn="0" w:lastRowFirstColumn="0" w:lastRowLastColumn="0"/>
              <w:rPr>
                <w:b/>
                <w:color w:val="263287"/>
                <w:sz w:val="20"/>
                <w:szCs w:val="20"/>
              </w:rPr>
            </w:pPr>
            <w:r w:rsidRPr="003411A3">
              <w:rPr>
                <w:b/>
                <w:color w:val="263287"/>
                <w:sz w:val="20"/>
                <w:szCs w:val="20"/>
              </w:rPr>
              <w:t>Additional</w:t>
            </w:r>
          </w:p>
        </w:tc>
        <w:tc>
          <w:tcPr>
            <w:tcW w:w="1134" w:type="dxa"/>
            <w:shd w:val="clear" w:color="auto" w:fill="DEEAF6"/>
          </w:tcPr>
          <w:p w14:paraId="21CF43BA" w14:textId="77777777" w:rsidR="00623D74" w:rsidRPr="003411A3" w:rsidRDefault="00623D74" w:rsidP="009B39FA">
            <w:pPr>
              <w:keepNext/>
              <w:jc w:val="center"/>
              <w:cnfStyle w:val="000000000000" w:firstRow="0" w:lastRow="0" w:firstColumn="0" w:lastColumn="0" w:oddVBand="0" w:evenVBand="0" w:oddHBand="0" w:evenHBand="0" w:firstRowFirstColumn="0" w:firstRowLastColumn="0" w:lastRowFirstColumn="0" w:lastRowLastColumn="0"/>
              <w:rPr>
                <w:b/>
                <w:color w:val="263287"/>
                <w:sz w:val="20"/>
                <w:szCs w:val="20"/>
              </w:rPr>
            </w:pPr>
            <w:r w:rsidRPr="003411A3">
              <w:rPr>
                <w:b/>
                <w:color w:val="263287"/>
                <w:sz w:val="20"/>
                <w:szCs w:val="20"/>
              </w:rPr>
              <w:t>Routine</w:t>
            </w:r>
          </w:p>
        </w:tc>
        <w:tc>
          <w:tcPr>
            <w:tcW w:w="1417" w:type="dxa"/>
            <w:shd w:val="clear" w:color="auto" w:fill="DEEAF6"/>
          </w:tcPr>
          <w:p w14:paraId="2766064C" w14:textId="77777777" w:rsidR="00623D74" w:rsidRPr="003411A3" w:rsidRDefault="00623D74" w:rsidP="009B39FA">
            <w:pPr>
              <w:keepNext/>
              <w:jc w:val="center"/>
              <w:cnfStyle w:val="000000000000" w:firstRow="0" w:lastRow="0" w:firstColumn="0" w:lastColumn="0" w:oddVBand="0" w:evenVBand="0" w:oddHBand="0" w:evenHBand="0" w:firstRowFirstColumn="0" w:firstRowLastColumn="0" w:lastRowFirstColumn="0" w:lastRowLastColumn="0"/>
              <w:rPr>
                <w:b/>
                <w:color w:val="263287"/>
                <w:sz w:val="20"/>
                <w:szCs w:val="20"/>
              </w:rPr>
            </w:pPr>
            <w:r w:rsidRPr="003411A3">
              <w:rPr>
                <w:b/>
                <w:color w:val="263287"/>
                <w:sz w:val="20"/>
                <w:szCs w:val="20"/>
              </w:rPr>
              <w:t>Additional</w:t>
            </w:r>
          </w:p>
        </w:tc>
      </w:tr>
    </w:tbl>
    <w:tbl>
      <w:tblPr>
        <w:tblW w:w="90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66"/>
        <w:gridCol w:w="2503"/>
        <w:gridCol w:w="1134"/>
        <w:gridCol w:w="1418"/>
        <w:gridCol w:w="1134"/>
        <w:gridCol w:w="1417"/>
      </w:tblGrid>
      <w:tr w:rsidR="009C4CA4" w14:paraId="1B2EFAE3" w14:textId="77777777" w:rsidTr="003411A3">
        <w:trPr>
          <w:trHeight w:val="959"/>
          <w:jc w:val="center"/>
        </w:trPr>
        <w:tc>
          <w:tcPr>
            <w:tcW w:w="1466" w:type="dxa"/>
            <w:tcBorders>
              <w:bottom w:val="single" w:sz="4" w:space="0" w:color="000000"/>
              <w:right w:val="single" w:sz="4" w:space="0" w:color="000000"/>
            </w:tcBorders>
            <w:vAlign w:val="center"/>
          </w:tcPr>
          <w:p w14:paraId="243123D8" w14:textId="77777777" w:rsidR="009C4CA4" w:rsidRPr="003411A3" w:rsidRDefault="009C4CA4" w:rsidP="003411A3">
            <w:pPr>
              <w:rPr>
                <w:b/>
                <w:bCs/>
                <w:sz w:val="19"/>
                <w:szCs w:val="19"/>
              </w:rPr>
            </w:pPr>
            <w:r w:rsidRPr="003411A3">
              <w:rPr>
                <w:b/>
                <w:bCs/>
                <w:sz w:val="19"/>
                <w:szCs w:val="19"/>
              </w:rPr>
              <w:t>Important identified risks</w:t>
            </w:r>
          </w:p>
        </w:tc>
        <w:tc>
          <w:tcPr>
            <w:tcW w:w="2503" w:type="dxa"/>
            <w:tcBorders>
              <w:left w:val="single" w:sz="4" w:space="0" w:color="000000"/>
              <w:bottom w:val="single" w:sz="4" w:space="0" w:color="000000"/>
              <w:right w:val="single" w:sz="4" w:space="0" w:color="000000"/>
            </w:tcBorders>
            <w:vAlign w:val="center"/>
          </w:tcPr>
          <w:p w14:paraId="0C38EA84" w14:textId="77777777" w:rsidR="009C4CA4" w:rsidRPr="003411A3" w:rsidRDefault="009C4CA4" w:rsidP="003411A3">
            <w:pPr>
              <w:rPr>
                <w:sz w:val="19"/>
                <w:szCs w:val="19"/>
              </w:rPr>
            </w:pPr>
            <w:r w:rsidRPr="003411A3">
              <w:rPr>
                <w:sz w:val="19"/>
                <w:szCs w:val="19"/>
              </w:rPr>
              <w:t>Hyperglycaemia</w:t>
            </w:r>
          </w:p>
        </w:tc>
        <w:tc>
          <w:tcPr>
            <w:tcW w:w="1134" w:type="dxa"/>
            <w:tcBorders>
              <w:left w:val="single" w:sz="4" w:space="0" w:color="000000"/>
              <w:bottom w:val="single" w:sz="4" w:space="0" w:color="000000"/>
              <w:right w:val="dotted" w:sz="2" w:space="0" w:color="000000"/>
            </w:tcBorders>
            <w:vAlign w:val="center"/>
          </w:tcPr>
          <w:p w14:paraId="543F6361" w14:textId="77777777" w:rsidR="009C4CA4" w:rsidRDefault="009C4CA4" w:rsidP="009B39FA">
            <w:pPr>
              <w:pStyle w:val="TableParagraph"/>
              <w:ind w:left="72" w:right="57"/>
              <w:jc w:val="center"/>
              <w:rPr>
                <w:rFonts w:ascii="Wingdings" w:hAnsi="Wingdings"/>
                <w:spacing w:val="-10"/>
                <w:sz w:val="19"/>
              </w:rPr>
            </w:pPr>
            <w:r>
              <w:rPr>
                <w:rFonts w:ascii="Wingdings" w:hAnsi="Wingdings"/>
                <w:spacing w:val="-10"/>
                <w:sz w:val="19"/>
              </w:rPr>
              <w:t></w:t>
            </w:r>
          </w:p>
          <w:p w14:paraId="7C8C4BE5" w14:textId="77777777" w:rsidR="003411A3" w:rsidRDefault="003411A3" w:rsidP="009B39FA">
            <w:pPr>
              <w:pStyle w:val="TableParagraph"/>
              <w:ind w:left="72" w:right="57"/>
              <w:jc w:val="center"/>
              <w:rPr>
                <w:rFonts w:ascii="Wingdings" w:hAnsi="Wingdings"/>
                <w:sz w:val="19"/>
              </w:rPr>
            </w:pPr>
          </w:p>
        </w:tc>
        <w:tc>
          <w:tcPr>
            <w:tcW w:w="1418" w:type="dxa"/>
            <w:tcBorders>
              <w:left w:val="dotted" w:sz="2" w:space="0" w:color="000000"/>
              <w:bottom w:val="single" w:sz="4" w:space="0" w:color="000000"/>
              <w:right w:val="single" w:sz="4" w:space="0" w:color="000000"/>
            </w:tcBorders>
            <w:vAlign w:val="center"/>
          </w:tcPr>
          <w:p w14:paraId="54457F86" w14:textId="77777777" w:rsidR="009C4CA4" w:rsidRDefault="009C4CA4" w:rsidP="009B39FA">
            <w:pPr>
              <w:pStyle w:val="TableParagraph"/>
              <w:spacing w:before="1"/>
              <w:ind w:left="37" w:right="19"/>
              <w:jc w:val="center"/>
              <w:rPr>
                <w:sz w:val="19"/>
              </w:rPr>
            </w:pPr>
            <w:r>
              <w:rPr>
                <w:spacing w:val="-10"/>
                <w:sz w:val="19"/>
              </w:rPr>
              <w:t>–</w:t>
            </w:r>
          </w:p>
        </w:tc>
        <w:tc>
          <w:tcPr>
            <w:tcW w:w="1134" w:type="dxa"/>
            <w:tcBorders>
              <w:left w:val="single" w:sz="4" w:space="0" w:color="000000"/>
              <w:bottom w:val="single" w:sz="4" w:space="0" w:color="000000"/>
              <w:right w:val="dotted" w:sz="2" w:space="0" w:color="000000"/>
            </w:tcBorders>
            <w:vAlign w:val="center"/>
          </w:tcPr>
          <w:p w14:paraId="1440472C" w14:textId="77777777" w:rsidR="009C4CA4" w:rsidRDefault="009C4CA4" w:rsidP="009B39FA">
            <w:pPr>
              <w:pStyle w:val="TableParagraph"/>
              <w:ind w:left="43" w:right="28"/>
              <w:jc w:val="center"/>
              <w:rPr>
                <w:rFonts w:ascii="Wingdings" w:hAnsi="Wingdings"/>
                <w:sz w:val="19"/>
              </w:rPr>
            </w:pPr>
            <w:r>
              <w:rPr>
                <w:rFonts w:ascii="Wingdings" w:hAnsi="Wingdings"/>
                <w:spacing w:val="-10"/>
                <w:sz w:val="19"/>
              </w:rPr>
              <w:t></w:t>
            </w:r>
          </w:p>
        </w:tc>
        <w:tc>
          <w:tcPr>
            <w:tcW w:w="1417" w:type="dxa"/>
            <w:tcBorders>
              <w:left w:val="dotted" w:sz="2" w:space="0" w:color="000000"/>
              <w:bottom w:val="single" w:sz="4" w:space="0" w:color="000000"/>
            </w:tcBorders>
            <w:vAlign w:val="center"/>
          </w:tcPr>
          <w:p w14:paraId="23089453" w14:textId="77777777" w:rsidR="009C4CA4" w:rsidRDefault="009C4CA4" w:rsidP="009B39FA">
            <w:pPr>
              <w:pStyle w:val="TableParagraph"/>
              <w:spacing w:before="1"/>
              <w:ind w:left="66" w:right="43"/>
              <w:jc w:val="center"/>
              <w:rPr>
                <w:sz w:val="19"/>
              </w:rPr>
            </w:pPr>
            <w:r>
              <w:rPr>
                <w:spacing w:val="-10"/>
                <w:sz w:val="19"/>
              </w:rPr>
              <w:t>–</w:t>
            </w:r>
          </w:p>
        </w:tc>
      </w:tr>
      <w:tr w:rsidR="009C4CA4" w14:paraId="51AE974F" w14:textId="77777777" w:rsidTr="003411A3">
        <w:trPr>
          <w:trHeight w:val="961"/>
          <w:jc w:val="center"/>
        </w:trPr>
        <w:tc>
          <w:tcPr>
            <w:tcW w:w="1466" w:type="dxa"/>
            <w:tcBorders>
              <w:top w:val="single" w:sz="4" w:space="0" w:color="000000"/>
              <w:bottom w:val="single" w:sz="4" w:space="0" w:color="000000"/>
              <w:right w:val="single" w:sz="4" w:space="0" w:color="000000"/>
            </w:tcBorders>
            <w:vAlign w:val="center"/>
          </w:tcPr>
          <w:p w14:paraId="745BA76C" w14:textId="77777777" w:rsidR="009C4CA4" w:rsidRPr="003411A3" w:rsidRDefault="009C4CA4" w:rsidP="003411A3">
            <w:pPr>
              <w:rPr>
                <w:b/>
                <w:bCs/>
                <w:sz w:val="19"/>
                <w:szCs w:val="19"/>
              </w:rPr>
            </w:pPr>
            <w:r w:rsidRPr="003411A3">
              <w:rPr>
                <w:b/>
                <w:bCs/>
                <w:sz w:val="19"/>
                <w:szCs w:val="19"/>
              </w:rPr>
              <w:t>Important potential risks</w:t>
            </w:r>
          </w:p>
        </w:tc>
        <w:tc>
          <w:tcPr>
            <w:tcW w:w="2503" w:type="dxa"/>
            <w:tcBorders>
              <w:top w:val="single" w:sz="4" w:space="0" w:color="000000"/>
              <w:left w:val="single" w:sz="4" w:space="0" w:color="000000"/>
              <w:bottom w:val="single" w:sz="4" w:space="0" w:color="000000"/>
              <w:right w:val="single" w:sz="4" w:space="0" w:color="000000"/>
            </w:tcBorders>
            <w:vAlign w:val="center"/>
          </w:tcPr>
          <w:p w14:paraId="7B32D154" w14:textId="77777777" w:rsidR="009C4CA4" w:rsidRPr="003411A3" w:rsidRDefault="009C4CA4" w:rsidP="003411A3">
            <w:pPr>
              <w:rPr>
                <w:sz w:val="19"/>
                <w:szCs w:val="19"/>
              </w:rPr>
            </w:pPr>
            <w:r w:rsidRPr="003411A3">
              <w:rPr>
                <w:sz w:val="19"/>
                <w:szCs w:val="19"/>
              </w:rPr>
              <w:t>Acute</w:t>
            </w:r>
            <w:r w:rsidRPr="003411A3">
              <w:rPr>
                <w:spacing w:val="-8"/>
                <w:sz w:val="19"/>
                <w:szCs w:val="19"/>
              </w:rPr>
              <w:t xml:space="preserve"> </w:t>
            </w:r>
            <w:r w:rsidRPr="003411A3">
              <w:rPr>
                <w:sz w:val="19"/>
                <w:szCs w:val="19"/>
              </w:rPr>
              <w:t>Complications</w:t>
            </w:r>
            <w:r w:rsidRPr="003411A3">
              <w:rPr>
                <w:spacing w:val="-9"/>
                <w:sz w:val="19"/>
                <w:szCs w:val="19"/>
              </w:rPr>
              <w:t xml:space="preserve"> </w:t>
            </w:r>
            <w:r w:rsidRPr="003411A3">
              <w:rPr>
                <w:sz w:val="19"/>
                <w:szCs w:val="19"/>
              </w:rPr>
              <w:t>of</w:t>
            </w:r>
            <w:r w:rsidRPr="003411A3">
              <w:rPr>
                <w:spacing w:val="-6"/>
                <w:sz w:val="19"/>
                <w:szCs w:val="19"/>
              </w:rPr>
              <w:t xml:space="preserve"> </w:t>
            </w:r>
            <w:r w:rsidRPr="003411A3">
              <w:rPr>
                <w:sz w:val="19"/>
                <w:szCs w:val="19"/>
              </w:rPr>
              <w:t>Hyperglycaemia</w:t>
            </w:r>
          </w:p>
        </w:tc>
        <w:tc>
          <w:tcPr>
            <w:tcW w:w="1134" w:type="dxa"/>
            <w:tcBorders>
              <w:top w:val="single" w:sz="4" w:space="0" w:color="000000"/>
              <w:left w:val="single" w:sz="4" w:space="0" w:color="000000"/>
              <w:bottom w:val="single" w:sz="4" w:space="0" w:color="000000"/>
              <w:right w:val="dotted" w:sz="2" w:space="0" w:color="000000"/>
            </w:tcBorders>
            <w:vAlign w:val="center"/>
          </w:tcPr>
          <w:p w14:paraId="6F2CED1A" w14:textId="77777777" w:rsidR="009C4CA4" w:rsidRDefault="009C4CA4" w:rsidP="009B39FA">
            <w:pPr>
              <w:pStyle w:val="TableParagraph"/>
              <w:ind w:left="69" w:right="57"/>
              <w:jc w:val="center"/>
              <w:rPr>
                <w:rFonts w:ascii="Arial" w:hAnsi="Arial"/>
                <w:sz w:val="19"/>
              </w:rPr>
            </w:pPr>
            <w:r>
              <w:rPr>
                <w:rFonts w:ascii="Wingdings" w:hAnsi="Wingdings"/>
                <w:spacing w:val="-5"/>
                <w:sz w:val="19"/>
              </w:rPr>
              <w:t></w:t>
            </w:r>
            <w:r>
              <w:rPr>
                <w:rFonts w:ascii="Arial" w:hAnsi="Arial"/>
                <w:spacing w:val="-5"/>
                <w:sz w:val="19"/>
              </w:rPr>
              <w:t>*</w:t>
            </w:r>
          </w:p>
        </w:tc>
        <w:tc>
          <w:tcPr>
            <w:tcW w:w="1418" w:type="dxa"/>
            <w:tcBorders>
              <w:top w:val="single" w:sz="4" w:space="0" w:color="000000"/>
              <w:left w:val="dotted" w:sz="2" w:space="0" w:color="000000"/>
              <w:bottom w:val="single" w:sz="4" w:space="0" w:color="000000"/>
              <w:right w:val="single" w:sz="4" w:space="0" w:color="000000"/>
            </w:tcBorders>
            <w:vAlign w:val="center"/>
          </w:tcPr>
          <w:p w14:paraId="3B520EF2" w14:textId="77777777" w:rsidR="009C4CA4" w:rsidRDefault="009C4CA4" w:rsidP="009B39FA">
            <w:pPr>
              <w:pStyle w:val="TableParagraph"/>
              <w:ind w:left="37" w:right="19"/>
              <w:jc w:val="center"/>
              <w:rPr>
                <w:sz w:val="19"/>
              </w:rPr>
            </w:pPr>
            <w:r>
              <w:rPr>
                <w:spacing w:val="-10"/>
                <w:sz w:val="19"/>
              </w:rPr>
              <w:t>–</w:t>
            </w:r>
          </w:p>
        </w:tc>
        <w:tc>
          <w:tcPr>
            <w:tcW w:w="1134" w:type="dxa"/>
            <w:tcBorders>
              <w:top w:val="single" w:sz="4" w:space="0" w:color="000000"/>
              <w:left w:val="single" w:sz="4" w:space="0" w:color="000000"/>
              <w:bottom w:val="single" w:sz="4" w:space="0" w:color="000000"/>
              <w:right w:val="dotted" w:sz="2" w:space="0" w:color="000000"/>
            </w:tcBorders>
            <w:vAlign w:val="center"/>
          </w:tcPr>
          <w:p w14:paraId="5E7CF705" w14:textId="77777777" w:rsidR="009C4CA4" w:rsidRDefault="009C4CA4" w:rsidP="009B39FA">
            <w:pPr>
              <w:pStyle w:val="TableParagraph"/>
              <w:ind w:left="43" w:right="28"/>
              <w:jc w:val="center"/>
              <w:rPr>
                <w:rFonts w:ascii="Wingdings" w:hAnsi="Wingdings"/>
                <w:sz w:val="19"/>
              </w:rPr>
            </w:pPr>
            <w:r>
              <w:rPr>
                <w:rFonts w:ascii="Wingdings" w:hAnsi="Wingdings"/>
                <w:spacing w:val="-10"/>
                <w:sz w:val="19"/>
              </w:rPr>
              <w:t></w:t>
            </w:r>
          </w:p>
        </w:tc>
        <w:tc>
          <w:tcPr>
            <w:tcW w:w="1417" w:type="dxa"/>
            <w:tcBorders>
              <w:top w:val="single" w:sz="4" w:space="0" w:color="000000"/>
              <w:left w:val="dotted" w:sz="2" w:space="0" w:color="000000"/>
              <w:bottom w:val="single" w:sz="4" w:space="0" w:color="000000"/>
            </w:tcBorders>
            <w:vAlign w:val="center"/>
          </w:tcPr>
          <w:p w14:paraId="300BD9C8" w14:textId="77777777" w:rsidR="009C4CA4" w:rsidRDefault="009C4CA4" w:rsidP="009B39FA">
            <w:pPr>
              <w:pStyle w:val="TableParagraph"/>
              <w:ind w:left="66" w:right="43"/>
              <w:jc w:val="center"/>
              <w:rPr>
                <w:sz w:val="19"/>
              </w:rPr>
            </w:pPr>
            <w:r>
              <w:rPr>
                <w:spacing w:val="-10"/>
                <w:sz w:val="19"/>
              </w:rPr>
              <w:t>–</w:t>
            </w:r>
          </w:p>
        </w:tc>
      </w:tr>
      <w:tr w:rsidR="009C4CA4" w14:paraId="343A346F" w14:textId="77777777" w:rsidTr="003411A3">
        <w:trPr>
          <w:trHeight w:val="712"/>
          <w:jc w:val="center"/>
        </w:trPr>
        <w:tc>
          <w:tcPr>
            <w:tcW w:w="1466" w:type="dxa"/>
            <w:tcBorders>
              <w:top w:val="single" w:sz="4" w:space="0" w:color="000000"/>
              <w:right w:val="single" w:sz="4" w:space="0" w:color="000000"/>
            </w:tcBorders>
            <w:vAlign w:val="center"/>
          </w:tcPr>
          <w:p w14:paraId="31EFA0BE" w14:textId="77777777" w:rsidR="009C4CA4" w:rsidRPr="003411A3" w:rsidRDefault="009C4CA4" w:rsidP="003411A3">
            <w:pPr>
              <w:rPr>
                <w:b/>
                <w:bCs/>
                <w:sz w:val="19"/>
                <w:szCs w:val="19"/>
              </w:rPr>
            </w:pPr>
            <w:r w:rsidRPr="003411A3">
              <w:rPr>
                <w:b/>
                <w:bCs/>
                <w:sz w:val="19"/>
                <w:szCs w:val="19"/>
              </w:rPr>
              <w:t>Missing information</w:t>
            </w:r>
          </w:p>
        </w:tc>
        <w:tc>
          <w:tcPr>
            <w:tcW w:w="2503" w:type="dxa"/>
            <w:tcBorders>
              <w:top w:val="single" w:sz="4" w:space="0" w:color="000000"/>
              <w:left w:val="single" w:sz="4" w:space="0" w:color="000000"/>
              <w:bottom w:val="dotted" w:sz="2" w:space="0" w:color="000000"/>
              <w:right w:val="single" w:sz="4" w:space="0" w:color="000000"/>
            </w:tcBorders>
            <w:vAlign w:val="center"/>
          </w:tcPr>
          <w:p w14:paraId="50F67A34" w14:textId="77777777" w:rsidR="009C4CA4" w:rsidRPr="003411A3" w:rsidRDefault="009C4CA4" w:rsidP="003411A3">
            <w:pPr>
              <w:rPr>
                <w:sz w:val="19"/>
                <w:szCs w:val="19"/>
              </w:rPr>
            </w:pPr>
            <w:r w:rsidRPr="003411A3">
              <w:rPr>
                <w:spacing w:val="-4"/>
                <w:sz w:val="19"/>
                <w:szCs w:val="19"/>
              </w:rPr>
              <w:t>None</w:t>
            </w:r>
          </w:p>
        </w:tc>
        <w:tc>
          <w:tcPr>
            <w:tcW w:w="1134" w:type="dxa"/>
            <w:tcBorders>
              <w:top w:val="single" w:sz="4" w:space="0" w:color="000000"/>
              <w:left w:val="single" w:sz="4" w:space="0" w:color="000000"/>
              <w:bottom w:val="dotted" w:sz="2" w:space="0" w:color="000000"/>
              <w:right w:val="dotted" w:sz="2" w:space="0" w:color="000000"/>
            </w:tcBorders>
            <w:vAlign w:val="center"/>
          </w:tcPr>
          <w:p w14:paraId="1ABB0D49" w14:textId="77777777" w:rsidR="009C4CA4" w:rsidRDefault="009C4CA4" w:rsidP="009B39FA">
            <w:pPr>
              <w:pStyle w:val="TableParagraph"/>
              <w:spacing w:before="136"/>
              <w:ind w:left="70" w:right="57"/>
              <w:jc w:val="center"/>
              <w:rPr>
                <w:sz w:val="19"/>
              </w:rPr>
            </w:pPr>
            <w:r>
              <w:rPr>
                <w:spacing w:val="-10"/>
                <w:sz w:val="19"/>
              </w:rPr>
              <w:t>–</w:t>
            </w:r>
          </w:p>
        </w:tc>
        <w:tc>
          <w:tcPr>
            <w:tcW w:w="1418" w:type="dxa"/>
            <w:tcBorders>
              <w:top w:val="single" w:sz="4" w:space="0" w:color="000000"/>
              <w:left w:val="dotted" w:sz="2" w:space="0" w:color="000000"/>
              <w:bottom w:val="dotted" w:sz="2" w:space="0" w:color="000000"/>
              <w:right w:val="single" w:sz="4" w:space="0" w:color="000000"/>
            </w:tcBorders>
            <w:vAlign w:val="center"/>
          </w:tcPr>
          <w:p w14:paraId="14F96EAE" w14:textId="77777777" w:rsidR="009C4CA4" w:rsidRDefault="009C4CA4" w:rsidP="009B39FA">
            <w:pPr>
              <w:pStyle w:val="TableParagraph"/>
              <w:spacing w:before="136"/>
              <w:ind w:left="37" w:right="19"/>
              <w:jc w:val="center"/>
              <w:rPr>
                <w:sz w:val="19"/>
              </w:rPr>
            </w:pPr>
            <w:r>
              <w:rPr>
                <w:spacing w:val="-10"/>
                <w:sz w:val="19"/>
              </w:rPr>
              <w:t>–</w:t>
            </w:r>
          </w:p>
        </w:tc>
        <w:tc>
          <w:tcPr>
            <w:tcW w:w="1134" w:type="dxa"/>
            <w:tcBorders>
              <w:top w:val="single" w:sz="4" w:space="0" w:color="000000"/>
              <w:left w:val="single" w:sz="4" w:space="0" w:color="000000"/>
              <w:bottom w:val="dotted" w:sz="2" w:space="0" w:color="000000"/>
              <w:right w:val="dotted" w:sz="2" w:space="0" w:color="000000"/>
            </w:tcBorders>
            <w:vAlign w:val="center"/>
          </w:tcPr>
          <w:p w14:paraId="4017D5CA" w14:textId="77777777" w:rsidR="009C4CA4" w:rsidRDefault="009C4CA4" w:rsidP="009B39FA">
            <w:pPr>
              <w:pStyle w:val="TableParagraph"/>
              <w:spacing w:before="136"/>
              <w:ind w:left="41" w:right="28"/>
              <w:jc w:val="center"/>
              <w:rPr>
                <w:sz w:val="19"/>
              </w:rPr>
            </w:pPr>
            <w:r>
              <w:rPr>
                <w:spacing w:val="-10"/>
                <w:sz w:val="19"/>
              </w:rPr>
              <w:t>–</w:t>
            </w:r>
          </w:p>
        </w:tc>
        <w:tc>
          <w:tcPr>
            <w:tcW w:w="1417" w:type="dxa"/>
            <w:tcBorders>
              <w:top w:val="single" w:sz="4" w:space="0" w:color="000000"/>
              <w:left w:val="dotted" w:sz="2" w:space="0" w:color="000000"/>
              <w:bottom w:val="dotted" w:sz="2" w:space="0" w:color="000000"/>
            </w:tcBorders>
            <w:vAlign w:val="center"/>
          </w:tcPr>
          <w:p w14:paraId="6D717248" w14:textId="77777777" w:rsidR="009C4CA4" w:rsidRDefault="009C4CA4" w:rsidP="009B39FA">
            <w:pPr>
              <w:pStyle w:val="TableParagraph"/>
              <w:spacing w:before="136"/>
              <w:ind w:left="66" w:right="43"/>
              <w:jc w:val="center"/>
              <w:rPr>
                <w:sz w:val="19"/>
              </w:rPr>
            </w:pPr>
            <w:r>
              <w:rPr>
                <w:spacing w:val="-10"/>
                <w:sz w:val="19"/>
              </w:rPr>
              <w:t>–</w:t>
            </w:r>
          </w:p>
        </w:tc>
      </w:tr>
    </w:tbl>
    <w:p w14:paraId="437389BC" w14:textId="77777777" w:rsidR="0019519B" w:rsidRPr="009B39FA" w:rsidRDefault="0019519B" w:rsidP="009B39FA">
      <w:pPr>
        <w:pStyle w:val="TableDescription"/>
      </w:pPr>
      <w:r w:rsidRPr="0019519B">
        <w:t>* Follow-up questionnaire</w:t>
      </w:r>
    </w:p>
    <w:p w14:paraId="37FA5EF7" w14:textId="1DB3A841" w:rsidR="009C4CA4" w:rsidRDefault="009C4CA4" w:rsidP="009B39FA">
      <w:r>
        <w:t>The</w:t>
      </w:r>
      <w:r>
        <w:rPr>
          <w:spacing w:val="-3"/>
        </w:rPr>
        <w:t xml:space="preserve"> </w:t>
      </w:r>
      <w:r>
        <w:t>evaluator</w:t>
      </w:r>
      <w:r>
        <w:rPr>
          <w:spacing w:val="-3"/>
        </w:rPr>
        <w:t xml:space="preserve"> </w:t>
      </w:r>
      <w:r>
        <w:t>concluded</w:t>
      </w:r>
      <w:r>
        <w:rPr>
          <w:spacing w:val="-3"/>
        </w:rPr>
        <w:t xml:space="preserve"> </w:t>
      </w:r>
      <w:r>
        <w:t>that</w:t>
      </w:r>
      <w:r>
        <w:rPr>
          <w:spacing w:val="-3"/>
        </w:rPr>
        <w:t xml:space="preserve"> </w:t>
      </w:r>
      <w:r>
        <w:t>the</w:t>
      </w:r>
      <w:r>
        <w:rPr>
          <w:spacing w:val="-3"/>
        </w:rPr>
        <w:t xml:space="preserve"> </w:t>
      </w:r>
      <w:r>
        <w:t>RMP,</w:t>
      </w:r>
      <w:r>
        <w:rPr>
          <w:spacing w:val="-3"/>
        </w:rPr>
        <w:t xml:space="preserve"> </w:t>
      </w:r>
      <w:r>
        <w:t>the</w:t>
      </w:r>
      <w:r>
        <w:rPr>
          <w:spacing w:val="-3"/>
        </w:rPr>
        <w:t xml:space="preserve"> </w:t>
      </w:r>
      <w:r>
        <w:t>summary</w:t>
      </w:r>
      <w:r>
        <w:rPr>
          <w:spacing w:val="-4"/>
        </w:rPr>
        <w:t xml:space="preserve"> </w:t>
      </w:r>
      <w:r>
        <w:t>of</w:t>
      </w:r>
      <w:r>
        <w:rPr>
          <w:spacing w:val="-3"/>
        </w:rPr>
        <w:t xml:space="preserve"> </w:t>
      </w:r>
      <w:r>
        <w:t>safety</w:t>
      </w:r>
      <w:r>
        <w:rPr>
          <w:spacing w:val="-6"/>
        </w:rPr>
        <w:t xml:space="preserve"> </w:t>
      </w:r>
      <w:r>
        <w:t>concerns</w:t>
      </w:r>
      <w:r>
        <w:rPr>
          <w:spacing w:val="-2"/>
        </w:rPr>
        <w:t xml:space="preserve"> </w:t>
      </w:r>
      <w:r>
        <w:t>and</w:t>
      </w:r>
      <w:r>
        <w:rPr>
          <w:spacing w:val="-3"/>
        </w:rPr>
        <w:t xml:space="preserve"> </w:t>
      </w:r>
      <w:r>
        <w:t>risk</w:t>
      </w:r>
      <w:r>
        <w:rPr>
          <w:spacing w:val="-4"/>
        </w:rPr>
        <w:t xml:space="preserve"> </w:t>
      </w:r>
      <w:r>
        <w:t>minimisation plan were acceptable.</w:t>
      </w:r>
    </w:p>
    <w:p w14:paraId="1B19FF00" w14:textId="518B07E2" w:rsidR="009C4CA4" w:rsidRDefault="009C4CA4" w:rsidP="004F5AE9">
      <w:r>
        <w:t>The</w:t>
      </w:r>
      <w:r>
        <w:rPr>
          <w:spacing w:val="-8"/>
        </w:rPr>
        <w:t xml:space="preserve"> </w:t>
      </w:r>
      <w:r>
        <w:t>sponsor</w:t>
      </w:r>
      <w:r>
        <w:rPr>
          <w:spacing w:val="-4"/>
        </w:rPr>
        <w:t xml:space="preserve"> </w:t>
      </w:r>
      <w:r>
        <w:t>updated</w:t>
      </w:r>
      <w:r>
        <w:rPr>
          <w:spacing w:val="-6"/>
        </w:rPr>
        <w:t xml:space="preserve"> </w:t>
      </w:r>
      <w:r>
        <w:t>the</w:t>
      </w:r>
      <w:r>
        <w:rPr>
          <w:spacing w:val="-4"/>
        </w:rPr>
        <w:t xml:space="preserve"> </w:t>
      </w:r>
      <w:r>
        <w:t>PI</w:t>
      </w:r>
      <w:r>
        <w:rPr>
          <w:spacing w:val="-4"/>
        </w:rPr>
        <w:t xml:space="preserve"> </w:t>
      </w:r>
      <w:r>
        <w:t>according</w:t>
      </w:r>
      <w:r>
        <w:rPr>
          <w:spacing w:val="-3"/>
        </w:rPr>
        <w:t xml:space="preserve"> </w:t>
      </w:r>
      <w:r>
        <w:t>to</w:t>
      </w:r>
      <w:r>
        <w:rPr>
          <w:spacing w:val="-4"/>
        </w:rPr>
        <w:t xml:space="preserve"> </w:t>
      </w:r>
      <w:r>
        <w:t>the</w:t>
      </w:r>
      <w:r>
        <w:rPr>
          <w:spacing w:val="-4"/>
        </w:rPr>
        <w:t xml:space="preserve"> </w:t>
      </w:r>
      <w:r>
        <w:t>RMP</w:t>
      </w:r>
      <w:r>
        <w:rPr>
          <w:spacing w:val="-5"/>
        </w:rPr>
        <w:t xml:space="preserve"> </w:t>
      </w:r>
      <w:r>
        <w:t>evaluator’s</w:t>
      </w:r>
      <w:r>
        <w:rPr>
          <w:spacing w:val="-3"/>
        </w:rPr>
        <w:t xml:space="preserve"> </w:t>
      </w:r>
      <w:r>
        <w:rPr>
          <w:spacing w:val="-2"/>
        </w:rPr>
        <w:t>recommendations.</w:t>
      </w:r>
    </w:p>
    <w:p w14:paraId="456C7934" w14:textId="72CD7743" w:rsidR="00FA1BC9" w:rsidRDefault="00FA1BC9" w:rsidP="00FA1BC9">
      <w:pPr>
        <w:rPr>
          <w:szCs w:val="22"/>
        </w:rPr>
      </w:pPr>
      <w:bookmarkStart w:id="78" w:name="RMP_evaluator_recommendations_regarding_"/>
      <w:bookmarkStart w:id="79" w:name="_Toc247691531"/>
      <w:bookmarkStart w:id="80" w:name="_Toc314842515"/>
      <w:bookmarkStart w:id="81" w:name="_Toc103679299"/>
      <w:bookmarkEnd w:id="51"/>
      <w:bookmarkEnd w:id="78"/>
      <w:r w:rsidRPr="00BD5DBD">
        <w:rPr>
          <w:szCs w:val="22"/>
        </w:rPr>
        <w:t>The TGA may request an updated RMP at any stage of a product's lifecycle, during both the</w:t>
      </w:r>
      <w:r w:rsidR="003F312F">
        <w:rPr>
          <w:szCs w:val="22"/>
        </w:rPr>
        <w:br/>
      </w:r>
      <w:r w:rsidRPr="00BD5DBD">
        <w:rPr>
          <w:szCs w:val="22"/>
        </w:rPr>
        <w:t xml:space="preserve">pre-approval and post-approval phases. </w:t>
      </w:r>
      <w:r w:rsidR="001E61B8">
        <w:rPr>
          <w:szCs w:val="22"/>
        </w:rPr>
        <w:t xml:space="preserve">More </w:t>
      </w:r>
      <w:r w:rsidRPr="00BD5DBD">
        <w:rPr>
          <w:szCs w:val="22"/>
        </w:rPr>
        <w:t xml:space="preserve">information regarding the TGA’s risk management approach can be found in </w:t>
      </w:r>
      <w:hyperlink r:id="rId44" w:history="1">
        <w:r w:rsidRPr="00BD5DBD">
          <w:rPr>
            <w:rStyle w:val="Hyperlink"/>
            <w:szCs w:val="22"/>
          </w:rPr>
          <w:t>risk management plans for medicines and biologicals</w:t>
        </w:r>
      </w:hyperlink>
      <w:r w:rsidRPr="00BD5DBD">
        <w:rPr>
          <w:szCs w:val="22"/>
        </w:rPr>
        <w:t xml:space="preserve"> and </w:t>
      </w:r>
      <w:hyperlink r:id="rId45" w:history="1">
        <w:r w:rsidRPr="00BD5DBD">
          <w:rPr>
            <w:rStyle w:val="Hyperlink"/>
            <w:szCs w:val="22"/>
          </w:rPr>
          <w:t>the TGA's risk management approach</w:t>
        </w:r>
      </w:hyperlink>
      <w:r w:rsidRPr="00BD5DBD">
        <w:rPr>
          <w:szCs w:val="22"/>
        </w:rPr>
        <w:t xml:space="preserve">. Information on the </w:t>
      </w:r>
      <w:hyperlink r:id="rId46" w:history="1">
        <w:r w:rsidR="00692FB8">
          <w:rPr>
            <w:rStyle w:val="Hyperlink"/>
            <w:szCs w:val="22"/>
          </w:rPr>
          <w:t>Australia-specific annex (ASA)</w:t>
        </w:r>
      </w:hyperlink>
      <w:r w:rsidRPr="00BD5DBD">
        <w:rPr>
          <w:szCs w:val="22"/>
        </w:rPr>
        <w:t xml:space="preserve"> can be found on the TGA website.</w:t>
      </w:r>
    </w:p>
    <w:p w14:paraId="74A4F87F" w14:textId="0E06ACFC" w:rsidR="00C22214" w:rsidRDefault="00C22214" w:rsidP="00C22214">
      <w:pPr>
        <w:pStyle w:val="Heading3"/>
      </w:pPr>
      <w:bookmarkStart w:id="82" w:name="_Toc191292209"/>
      <w:r>
        <w:t>Risk-benefit analysis</w:t>
      </w:r>
      <w:bookmarkEnd w:id="79"/>
      <w:bookmarkEnd w:id="80"/>
      <w:bookmarkEnd w:id="81"/>
      <w:bookmarkEnd w:id="82"/>
    </w:p>
    <w:p w14:paraId="77DE2655" w14:textId="3126E52A" w:rsidR="00C22214" w:rsidRDefault="342CE8DC" w:rsidP="00C22214">
      <w:pPr>
        <w:pStyle w:val="Heading4"/>
      </w:pPr>
      <w:bookmarkStart w:id="83" w:name="_Toc98931932"/>
      <w:bookmarkStart w:id="84" w:name="_Toc191292210"/>
      <w:r>
        <w:t>Delegate’s considerations</w:t>
      </w:r>
      <w:bookmarkEnd w:id="83"/>
      <w:bookmarkEnd w:id="84"/>
    </w:p>
    <w:p w14:paraId="68784869" w14:textId="3C324DC8" w:rsidR="003B1E52" w:rsidRDefault="003B1E52" w:rsidP="002025D4">
      <w:pPr>
        <w:pStyle w:val="Heading5"/>
      </w:pPr>
      <w:r>
        <w:t>Efficacy</w:t>
      </w:r>
    </w:p>
    <w:p w14:paraId="697EE266" w14:textId="77777777" w:rsidR="003B1E52" w:rsidRDefault="003B1E52" w:rsidP="009B39FA">
      <w:r>
        <w:t>CAPITello-291 met both dual primary endpoints and demonstrated a PFS benefit in both the overall population (HR = 0.60 (95% CI: 0.51 to 0.71)) and the altered population (HR = 0.50 (95% CI: 0.38 to 0.65)). In both populations, median survival was approximately 7 months in</w:t>
      </w:r>
      <w:r>
        <w:rPr>
          <w:spacing w:val="40"/>
        </w:rPr>
        <w:t xml:space="preserve"> </w:t>
      </w:r>
      <w:r>
        <w:t xml:space="preserve">the </w:t>
      </w:r>
      <w:proofErr w:type="spellStart"/>
      <w:r>
        <w:t>capivasertib</w:t>
      </w:r>
      <w:proofErr w:type="spellEnd"/>
      <w:r>
        <w:t xml:space="preserve"> arm compared to 3-4 months in the placebo arm. This is a statistically significant and clinically meaningful benefit for patients with locally advanced and metastatic </w:t>
      </w:r>
      <w:r>
        <w:lastRenderedPageBreak/>
        <w:t>HR+/HER2-breast cancer. The lower hazard ratio in the altered population suggests that the benefit</w:t>
      </w:r>
      <w:r>
        <w:rPr>
          <w:spacing w:val="-6"/>
        </w:rPr>
        <w:t xml:space="preserve"> </w:t>
      </w:r>
      <w:r>
        <w:t>in</w:t>
      </w:r>
      <w:r>
        <w:rPr>
          <w:spacing w:val="-4"/>
        </w:rPr>
        <w:t xml:space="preserve"> </w:t>
      </w:r>
      <w:r>
        <w:t>this</w:t>
      </w:r>
      <w:r>
        <w:rPr>
          <w:spacing w:val="-3"/>
        </w:rPr>
        <w:t xml:space="preserve"> </w:t>
      </w:r>
      <w:r>
        <w:t>group</w:t>
      </w:r>
      <w:r>
        <w:rPr>
          <w:spacing w:val="-3"/>
        </w:rPr>
        <w:t xml:space="preserve"> </w:t>
      </w:r>
      <w:r>
        <w:t>is</w:t>
      </w:r>
      <w:r>
        <w:rPr>
          <w:spacing w:val="-3"/>
        </w:rPr>
        <w:t xml:space="preserve"> </w:t>
      </w:r>
      <w:r>
        <w:t>greater,</w:t>
      </w:r>
      <w:r>
        <w:rPr>
          <w:spacing w:val="-3"/>
        </w:rPr>
        <w:t xml:space="preserve"> </w:t>
      </w:r>
      <w:r>
        <w:t>which</w:t>
      </w:r>
      <w:r>
        <w:rPr>
          <w:spacing w:val="-2"/>
        </w:rPr>
        <w:t xml:space="preserve"> </w:t>
      </w:r>
      <w:r>
        <w:t>is</w:t>
      </w:r>
      <w:r>
        <w:rPr>
          <w:spacing w:val="-2"/>
        </w:rPr>
        <w:t xml:space="preserve"> </w:t>
      </w:r>
      <w:r>
        <w:t>congruent</w:t>
      </w:r>
      <w:r>
        <w:rPr>
          <w:spacing w:val="-4"/>
        </w:rPr>
        <w:t xml:space="preserve"> </w:t>
      </w:r>
      <w:r>
        <w:t>with</w:t>
      </w:r>
      <w:r>
        <w:rPr>
          <w:spacing w:val="-2"/>
        </w:rPr>
        <w:t xml:space="preserve"> </w:t>
      </w:r>
      <w:r>
        <w:t>the</w:t>
      </w:r>
      <w:r>
        <w:rPr>
          <w:spacing w:val="-6"/>
        </w:rPr>
        <w:t xml:space="preserve"> </w:t>
      </w:r>
      <w:r>
        <w:t>mechanism</w:t>
      </w:r>
      <w:r>
        <w:rPr>
          <w:spacing w:val="-2"/>
        </w:rPr>
        <w:t xml:space="preserve"> </w:t>
      </w:r>
      <w:r>
        <w:t>of</w:t>
      </w:r>
      <w:r>
        <w:rPr>
          <w:spacing w:val="-4"/>
        </w:rPr>
        <w:t xml:space="preserve"> </w:t>
      </w:r>
      <w:r>
        <w:t>action</w:t>
      </w:r>
      <w:r>
        <w:rPr>
          <w:spacing w:val="-4"/>
        </w:rPr>
        <w:t xml:space="preserve"> </w:t>
      </w:r>
      <w:r>
        <w:t>of</w:t>
      </w:r>
      <w:r>
        <w:rPr>
          <w:spacing w:val="-3"/>
        </w:rPr>
        <w:t xml:space="preserve"> </w:t>
      </w:r>
      <w:proofErr w:type="spellStart"/>
      <w:r>
        <w:rPr>
          <w:spacing w:val="-2"/>
        </w:rPr>
        <w:t>capivasertib</w:t>
      </w:r>
      <w:proofErr w:type="spellEnd"/>
      <w:r>
        <w:rPr>
          <w:spacing w:val="-2"/>
        </w:rPr>
        <w:t>.</w:t>
      </w:r>
    </w:p>
    <w:p w14:paraId="43C03F5E" w14:textId="77777777" w:rsidR="003B1E52" w:rsidRDefault="003B1E52" w:rsidP="00861350">
      <w:r>
        <w:t>The</w:t>
      </w:r>
      <w:r>
        <w:rPr>
          <w:spacing w:val="-5"/>
        </w:rPr>
        <w:t xml:space="preserve"> </w:t>
      </w:r>
      <w:r>
        <w:t>study’s</w:t>
      </w:r>
      <w:r>
        <w:rPr>
          <w:spacing w:val="-2"/>
        </w:rPr>
        <w:t xml:space="preserve"> </w:t>
      </w:r>
      <w:r>
        <w:t>primary</w:t>
      </w:r>
      <w:r>
        <w:rPr>
          <w:spacing w:val="-4"/>
        </w:rPr>
        <w:t xml:space="preserve"> </w:t>
      </w:r>
      <w:r>
        <w:t>objectives</w:t>
      </w:r>
      <w:r>
        <w:rPr>
          <w:spacing w:val="-2"/>
        </w:rPr>
        <w:t xml:space="preserve"> </w:t>
      </w:r>
      <w:r>
        <w:t>did</w:t>
      </w:r>
      <w:r>
        <w:rPr>
          <w:spacing w:val="-3"/>
        </w:rPr>
        <w:t xml:space="preserve"> </w:t>
      </w:r>
      <w:r>
        <w:t>not</w:t>
      </w:r>
      <w:r>
        <w:rPr>
          <w:spacing w:val="-3"/>
        </w:rPr>
        <w:t xml:space="preserve"> </w:t>
      </w:r>
      <w:r>
        <w:t>include</w:t>
      </w:r>
      <w:r>
        <w:rPr>
          <w:spacing w:val="-3"/>
        </w:rPr>
        <w:t xml:space="preserve"> </w:t>
      </w:r>
      <w:r>
        <w:t>PFS</w:t>
      </w:r>
      <w:r>
        <w:rPr>
          <w:spacing w:val="-2"/>
        </w:rPr>
        <w:t xml:space="preserve"> </w:t>
      </w:r>
      <w:r>
        <w:t>in</w:t>
      </w:r>
      <w:r>
        <w:rPr>
          <w:spacing w:val="-4"/>
        </w:rPr>
        <w:t xml:space="preserve"> </w:t>
      </w:r>
      <w:r>
        <w:t>the</w:t>
      </w:r>
      <w:r>
        <w:rPr>
          <w:spacing w:val="-3"/>
        </w:rPr>
        <w:t xml:space="preserve"> </w:t>
      </w:r>
      <w:r>
        <w:t>non-altered</w:t>
      </w:r>
      <w:r>
        <w:rPr>
          <w:spacing w:val="-3"/>
        </w:rPr>
        <w:t xml:space="preserve"> </w:t>
      </w:r>
      <w:r>
        <w:t>population</w:t>
      </w:r>
      <w:r>
        <w:rPr>
          <w:spacing w:val="-4"/>
        </w:rPr>
        <w:t xml:space="preserve"> </w:t>
      </w:r>
      <w:r>
        <w:t>as</w:t>
      </w:r>
      <w:r>
        <w:rPr>
          <w:spacing w:val="-2"/>
        </w:rPr>
        <w:t xml:space="preserve"> </w:t>
      </w:r>
      <w:r>
        <w:t>an</w:t>
      </w:r>
      <w:r>
        <w:rPr>
          <w:spacing w:val="-4"/>
        </w:rPr>
        <w:t xml:space="preserve"> </w:t>
      </w:r>
      <w:r>
        <w:t>endpoint, however exploratory analyses in this population were conducted. Being exploratory (and in the no result population post-hoc), these results must be interpreted cautiously. Nevertheless, the results</w:t>
      </w:r>
      <w:r>
        <w:rPr>
          <w:spacing w:val="-1"/>
        </w:rPr>
        <w:t xml:space="preserve"> </w:t>
      </w:r>
      <w:r>
        <w:t>of</w:t>
      </w:r>
      <w:r>
        <w:rPr>
          <w:spacing w:val="-2"/>
        </w:rPr>
        <w:t xml:space="preserve"> </w:t>
      </w:r>
      <w:r>
        <w:t>the</w:t>
      </w:r>
      <w:r>
        <w:rPr>
          <w:spacing w:val="-2"/>
        </w:rPr>
        <w:t xml:space="preserve"> </w:t>
      </w:r>
      <w:r>
        <w:t>exploratory</w:t>
      </w:r>
      <w:r>
        <w:rPr>
          <w:spacing w:val="-5"/>
        </w:rPr>
        <w:t xml:space="preserve"> </w:t>
      </w:r>
      <w:r>
        <w:t>analyses</w:t>
      </w:r>
      <w:r>
        <w:rPr>
          <w:spacing w:val="-1"/>
        </w:rPr>
        <w:t xml:space="preserve"> </w:t>
      </w:r>
      <w:r>
        <w:t>seem</w:t>
      </w:r>
      <w:r>
        <w:rPr>
          <w:spacing w:val="-1"/>
        </w:rPr>
        <w:t xml:space="preserve"> </w:t>
      </w:r>
      <w:r>
        <w:t>to</w:t>
      </w:r>
      <w:r>
        <w:rPr>
          <w:spacing w:val="-2"/>
        </w:rPr>
        <w:t xml:space="preserve"> </w:t>
      </w:r>
      <w:r>
        <w:t>suggest</w:t>
      </w:r>
      <w:r>
        <w:rPr>
          <w:spacing w:val="-2"/>
        </w:rPr>
        <w:t xml:space="preserve"> </w:t>
      </w:r>
      <w:r>
        <w:t>that</w:t>
      </w:r>
      <w:r>
        <w:rPr>
          <w:spacing w:val="-2"/>
        </w:rPr>
        <w:t xml:space="preserve"> </w:t>
      </w:r>
      <w:r>
        <w:t>the</w:t>
      </w:r>
      <w:r>
        <w:rPr>
          <w:spacing w:val="-2"/>
        </w:rPr>
        <w:t xml:space="preserve"> </w:t>
      </w:r>
      <w:r>
        <w:t>PFS</w:t>
      </w:r>
      <w:r>
        <w:rPr>
          <w:spacing w:val="-1"/>
        </w:rPr>
        <w:t xml:space="preserve"> </w:t>
      </w:r>
      <w:r>
        <w:t>benefit</w:t>
      </w:r>
      <w:r>
        <w:rPr>
          <w:spacing w:val="-2"/>
        </w:rPr>
        <w:t xml:space="preserve"> </w:t>
      </w:r>
      <w:r>
        <w:t>in</w:t>
      </w:r>
      <w:r>
        <w:rPr>
          <w:spacing w:val="-3"/>
        </w:rPr>
        <w:t xml:space="preserve"> </w:t>
      </w:r>
      <w:r>
        <w:t>the</w:t>
      </w:r>
      <w:r>
        <w:rPr>
          <w:spacing w:val="-4"/>
        </w:rPr>
        <w:t xml:space="preserve"> </w:t>
      </w:r>
      <w:r>
        <w:t>overall</w:t>
      </w:r>
      <w:r>
        <w:rPr>
          <w:spacing w:val="-2"/>
        </w:rPr>
        <w:t xml:space="preserve"> </w:t>
      </w:r>
      <w:r>
        <w:t>population is driven primarily by patients with PIK3CA/AKT1/PTEN alterations. In the known non-altered population, the hazard ratio did not reach statistical significance (HR=0.79 (95% CI: 0.61 to 1.02)</w:t>
      </w:r>
      <w:r>
        <w:rPr>
          <w:spacing w:val="-1"/>
        </w:rPr>
        <w:t xml:space="preserve"> </w:t>
      </w:r>
      <w:r>
        <w:t>and</w:t>
      </w:r>
      <w:r>
        <w:rPr>
          <w:spacing w:val="-1"/>
        </w:rPr>
        <w:t xml:space="preserve"> </w:t>
      </w:r>
      <w:r>
        <w:t>the</w:t>
      </w:r>
      <w:r>
        <w:rPr>
          <w:spacing w:val="-3"/>
        </w:rPr>
        <w:t xml:space="preserve"> </w:t>
      </w:r>
      <w:r>
        <w:t>median</w:t>
      </w:r>
      <w:r>
        <w:rPr>
          <w:spacing w:val="-2"/>
        </w:rPr>
        <w:t xml:space="preserve"> </w:t>
      </w:r>
      <w:r>
        <w:t>PFS</w:t>
      </w:r>
      <w:r>
        <w:rPr>
          <w:spacing w:val="-3"/>
        </w:rPr>
        <w:t xml:space="preserve"> </w:t>
      </w:r>
      <w:r>
        <w:t>difference</w:t>
      </w:r>
      <w:r>
        <w:rPr>
          <w:spacing w:val="-1"/>
        </w:rPr>
        <w:t xml:space="preserve"> </w:t>
      </w:r>
      <w:r>
        <w:t>was less than</w:t>
      </w:r>
      <w:r>
        <w:rPr>
          <w:spacing w:val="-2"/>
        </w:rPr>
        <w:t xml:space="preserve"> </w:t>
      </w:r>
      <w:r>
        <w:t>8</w:t>
      </w:r>
      <w:r>
        <w:rPr>
          <w:spacing w:val="-3"/>
        </w:rPr>
        <w:t xml:space="preserve"> </w:t>
      </w:r>
      <w:r>
        <w:t>weeks (the</w:t>
      </w:r>
      <w:r>
        <w:rPr>
          <w:spacing w:val="-1"/>
        </w:rPr>
        <w:t xml:space="preserve"> </w:t>
      </w:r>
      <w:r>
        <w:t>assessment</w:t>
      </w:r>
      <w:r>
        <w:rPr>
          <w:spacing w:val="-1"/>
        </w:rPr>
        <w:t xml:space="preserve"> </w:t>
      </w:r>
      <w:r>
        <w:t>interval</w:t>
      </w:r>
      <w:r>
        <w:rPr>
          <w:spacing w:val="-1"/>
        </w:rPr>
        <w:t xml:space="preserve"> </w:t>
      </w:r>
      <w:r>
        <w:t>in</w:t>
      </w:r>
      <w:r>
        <w:rPr>
          <w:spacing w:val="-2"/>
        </w:rPr>
        <w:t xml:space="preserve"> </w:t>
      </w:r>
      <w:r>
        <w:t>the</w:t>
      </w:r>
      <w:r>
        <w:rPr>
          <w:spacing w:val="-1"/>
        </w:rPr>
        <w:t xml:space="preserve"> </w:t>
      </w:r>
      <w:r>
        <w:t>trial). A sensitivity analysis of PFS by BICR also suggested a lack of clinically meaningful benefit in the known non-altered population, with a HR of 0.81 (95% CI: 0.61-1.06) and median PFS</w:t>
      </w:r>
      <w:r>
        <w:rPr>
          <w:spacing w:val="80"/>
        </w:rPr>
        <w:t xml:space="preserve"> </w:t>
      </w:r>
      <w:r>
        <w:t>difference of 0.2 months between arms.</w:t>
      </w:r>
    </w:p>
    <w:p w14:paraId="414BCA99" w14:textId="0F19BAD5" w:rsidR="003B1E52" w:rsidRDefault="003B1E52" w:rsidP="00861350">
      <w:r>
        <w:t>In</w:t>
      </w:r>
      <w:r>
        <w:rPr>
          <w:spacing w:val="-4"/>
        </w:rPr>
        <w:t xml:space="preserve"> </w:t>
      </w:r>
      <w:r>
        <w:t>the</w:t>
      </w:r>
      <w:r>
        <w:rPr>
          <w:spacing w:val="-3"/>
        </w:rPr>
        <w:t xml:space="preserve"> </w:t>
      </w:r>
      <w:r w:rsidR="00325DF1">
        <w:rPr>
          <w:spacing w:val="-3"/>
        </w:rPr>
        <w:t>n</w:t>
      </w:r>
      <w:r>
        <w:t>o</w:t>
      </w:r>
      <w:r>
        <w:rPr>
          <w:spacing w:val="-3"/>
        </w:rPr>
        <w:t xml:space="preserve"> </w:t>
      </w:r>
      <w:r>
        <w:t>results</w:t>
      </w:r>
      <w:r>
        <w:rPr>
          <w:spacing w:val="-2"/>
        </w:rPr>
        <w:t xml:space="preserve"> </w:t>
      </w:r>
      <w:r>
        <w:t>population,</w:t>
      </w:r>
      <w:r>
        <w:rPr>
          <w:spacing w:val="-3"/>
        </w:rPr>
        <w:t xml:space="preserve"> </w:t>
      </w:r>
      <w:r>
        <w:t>which</w:t>
      </w:r>
      <w:r>
        <w:rPr>
          <w:spacing w:val="-5"/>
        </w:rPr>
        <w:t xml:space="preserve"> </w:t>
      </w:r>
      <w:r>
        <w:t>may</w:t>
      </w:r>
      <w:r>
        <w:rPr>
          <w:spacing w:val="-4"/>
        </w:rPr>
        <w:t xml:space="preserve"> </w:t>
      </w:r>
      <w:r>
        <w:t>have</w:t>
      </w:r>
      <w:r>
        <w:rPr>
          <w:spacing w:val="-5"/>
        </w:rPr>
        <w:t xml:space="preserve"> </w:t>
      </w:r>
      <w:r>
        <w:t>included</w:t>
      </w:r>
      <w:r>
        <w:rPr>
          <w:spacing w:val="-3"/>
        </w:rPr>
        <w:t xml:space="preserve"> </w:t>
      </w:r>
      <w:r>
        <w:t>some</w:t>
      </w:r>
      <w:r>
        <w:rPr>
          <w:spacing w:val="-3"/>
        </w:rPr>
        <w:t xml:space="preserve"> </w:t>
      </w:r>
      <w:r>
        <w:t>patients</w:t>
      </w:r>
      <w:r>
        <w:rPr>
          <w:spacing w:val="-2"/>
        </w:rPr>
        <w:t xml:space="preserve"> </w:t>
      </w:r>
      <w:r>
        <w:t>with</w:t>
      </w:r>
      <w:r>
        <w:rPr>
          <w:spacing w:val="-2"/>
        </w:rPr>
        <w:t xml:space="preserve"> </w:t>
      </w:r>
      <w:r>
        <w:t xml:space="preserve">PIK3CA/AKT1/PTEN altered tumours who were not identified due to invalid test results, a statistically significant benefit was seen (HR = 0.52 (95% CI: 0.32 to 0.83)), with median PFS of 10 months in the </w:t>
      </w:r>
      <w:proofErr w:type="spellStart"/>
      <w:r>
        <w:t>capivasertib</w:t>
      </w:r>
      <w:proofErr w:type="spellEnd"/>
      <w:r>
        <w:t xml:space="preserve"> group compared to 1.9 months in the placebo group. The HR in the combined non- altered population was also significant (HR = 0.70 (95% CI: 0.56-0.88))</w:t>
      </w:r>
      <w:r w:rsidR="008351D1">
        <w:t>. H</w:t>
      </w:r>
      <w:r>
        <w:t>owever</w:t>
      </w:r>
      <w:r w:rsidR="009D77E3">
        <w:t>,</w:t>
      </w:r>
      <w:r>
        <w:t xml:space="preserve"> this population included the 106 ‘no result’ patients. Presumably at least some of these patients would have had PIK3CA/AKT1/PTEN alterations and could potentially be driving the results.</w:t>
      </w:r>
    </w:p>
    <w:p w14:paraId="39DC9009" w14:textId="40E340F3" w:rsidR="00B35214" w:rsidRDefault="003B1E52" w:rsidP="00861350">
      <w:r>
        <w:t>Overall survival data is generally supportive of a benefit in both the overall and altered populations, however it is not yet mature, and therefore uncertainty remains. There is even greater uncertainty in the non-altered populations, where exploratory analyses with early OS data suggest no difference between arms, and the possibility of an OS detriment must be considered.</w:t>
      </w:r>
      <w:r>
        <w:rPr>
          <w:spacing w:val="-2"/>
        </w:rPr>
        <w:t xml:space="preserve"> </w:t>
      </w:r>
      <w:r w:rsidR="00D23C1B">
        <w:t>R</w:t>
      </w:r>
      <w:r>
        <w:t>esults</w:t>
      </w:r>
      <w:r>
        <w:rPr>
          <w:spacing w:val="-1"/>
        </w:rPr>
        <w:t xml:space="preserve"> </w:t>
      </w:r>
      <w:r>
        <w:t>in</w:t>
      </w:r>
      <w:r>
        <w:rPr>
          <w:spacing w:val="-3"/>
        </w:rPr>
        <w:t xml:space="preserve"> </w:t>
      </w:r>
      <w:r>
        <w:t>the</w:t>
      </w:r>
      <w:r>
        <w:rPr>
          <w:spacing w:val="-2"/>
        </w:rPr>
        <w:t xml:space="preserve"> </w:t>
      </w:r>
      <w:r>
        <w:t>known</w:t>
      </w:r>
      <w:r>
        <w:rPr>
          <w:spacing w:val="-3"/>
        </w:rPr>
        <w:t xml:space="preserve"> </w:t>
      </w:r>
      <w:r>
        <w:t>non-altered</w:t>
      </w:r>
      <w:r>
        <w:rPr>
          <w:spacing w:val="-2"/>
        </w:rPr>
        <w:t xml:space="preserve"> </w:t>
      </w:r>
      <w:r>
        <w:t>population</w:t>
      </w:r>
      <w:r>
        <w:rPr>
          <w:spacing w:val="-3"/>
        </w:rPr>
        <w:t xml:space="preserve"> </w:t>
      </w:r>
      <w:r>
        <w:t>are</w:t>
      </w:r>
      <w:r>
        <w:rPr>
          <w:spacing w:val="-2"/>
        </w:rPr>
        <w:t xml:space="preserve"> </w:t>
      </w:r>
      <w:r>
        <w:t>of</w:t>
      </w:r>
      <w:r>
        <w:rPr>
          <w:spacing w:val="-2"/>
        </w:rPr>
        <w:t xml:space="preserve"> </w:t>
      </w:r>
      <w:r>
        <w:t>concern:</w:t>
      </w:r>
      <w:r>
        <w:rPr>
          <w:spacing w:val="-3"/>
        </w:rPr>
        <w:t xml:space="preserve"> </w:t>
      </w:r>
      <w:r>
        <w:t>HR</w:t>
      </w:r>
      <w:r>
        <w:rPr>
          <w:spacing w:val="-2"/>
        </w:rPr>
        <w:t xml:space="preserve"> </w:t>
      </w:r>
      <w:r>
        <w:t>=</w:t>
      </w:r>
      <w:r>
        <w:rPr>
          <w:spacing w:val="-2"/>
        </w:rPr>
        <w:t xml:space="preserve"> </w:t>
      </w:r>
      <w:r>
        <w:t>0.92 (95% CI: 0.59-1.42).</w:t>
      </w:r>
    </w:p>
    <w:p w14:paraId="2AA1EBD5" w14:textId="154958B3" w:rsidR="003B1E52" w:rsidRDefault="003B1E52" w:rsidP="00861350">
      <w:r>
        <w:t>The next interim study report for CAPITello-291 is expected in Q3 2024, and the final study report</w:t>
      </w:r>
      <w:r>
        <w:rPr>
          <w:spacing w:val="-2"/>
        </w:rPr>
        <w:t xml:space="preserve"> </w:t>
      </w:r>
      <w:r>
        <w:t>is</w:t>
      </w:r>
      <w:r>
        <w:rPr>
          <w:spacing w:val="-1"/>
        </w:rPr>
        <w:t xml:space="preserve"> </w:t>
      </w:r>
      <w:r>
        <w:t>expected</w:t>
      </w:r>
      <w:r>
        <w:rPr>
          <w:spacing w:val="-2"/>
        </w:rPr>
        <w:t xml:space="preserve"> </w:t>
      </w:r>
      <w:r>
        <w:t>in</w:t>
      </w:r>
      <w:r>
        <w:rPr>
          <w:spacing w:val="-3"/>
        </w:rPr>
        <w:t xml:space="preserve"> </w:t>
      </w:r>
      <w:r>
        <w:t>Q4</w:t>
      </w:r>
      <w:r>
        <w:rPr>
          <w:spacing w:val="-2"/>
        </w:rPr>
        <w:t xml:space="preserve"> </w:t>
      </w:r>
      <w:r>
        <w:t>2025.</w:t>
      </w:r>
      <w:r>
        <w:rPr>
          <w:spacing w:val="-2"/>
        </w:rPr>
        <w:t xml:space="preserve"> </w:t>
      </w:r>
      <w:r>
        <w:t>If</w:t>
      </w:r>
      <w:r>
        <w:rPr>
          <w:spacing w:val="-2"/>
        </w:rPr>
        <w:t xml:space="preserve"> </w:t>
      </w:r>
      <w:r>
        <w:t>approved,</w:t>
      </w:r>
      <w:r>
        <w:rPr>
          <w:spacing w:val="-2"/>
        </w:rPr>
        <w:t xml:space="preserve"> </w:t>
      </w:r>
      <w:r>
        <w:t>these</w:t>
      </w:r>
      <w:r>
        <w:rPr>
          <w:spacing w:val="-2"/>
        </w:rPr>
        <w:t xml:space="preserve"> </w:t>
      </w:r>
      <w:r>
        <w:t>will</w:t>
      </w:r>
      <w:r>
        <w:rPr>
          <w:spacing w:val="-2"/>
        </w:rPr>
        <w:t xml:space="preserve"> </w:t>
      </w:r>
      <w:r>
        <w:t>be</w:t>
      </w:r>
      <w:r>
        <w:rPr>
          <w:spacing w:val="-2"/>
        </w:rPr>
        <w:t xml:space="preserve"> </w:t>
      </w:r>
      <w:r>
        <w:t>required</w:t>
      </w:r>
      <w:r>
        <w:rPr>
          <w:spacing w:val="-2"/>
        </w:rPr>
        <w:t xml:space="preserve"> </w:t>
      </w:r>
      <w:r>
        <w:t>to</w:t>
      </w:r>
      <w:r>
        <w:rPr>
          <w:spacing w:val="-2"/>
        </w:rPr>
        <w:t xml:space="preserve"> </w:t>
      </w:r>
      <w:r>
        <w:t>be</w:t>
      </w:r>
      <w:r>
        <w:rPr>
          <w:spacing w:val="-2"/>
        </w:rPr>
        <w:t xml:space="preserve"> </w:t>
      </w:r>
      <w:r>
        <w:t>provided</w:t>
      </w:r>
      <w:r>
        <w:rPr>
          <w:spacing w:val="-2"/>
        </w:rPr>
        <w:t xml:space="preserve"> </w:t>
      </w:r>
      <w:r>
        <w:t>to</w:t>
      </w:r>
      <w:r>
        <w:rPr>
          <w:spacing w:val="-2"/>
        </w:rPr>
        <w:t xml:space="preserve"> </w:t>
      </w:r>
      <w:r>
        <w:t>the</w:t>
      </w:r>
      <w:r>
        <w:rPr>
          <w:spacing w:val="-4"/>
        </w:rPr>
        <w:t xml:space="preserve"> </w:t>
      </w:r>
      <w:r>
        <w:t>TGA</w:t>
      </w:r>
      <w:r>
        <w:rPr>
          <w:spacing w:val="-3"/>
        </w:rPr>
        <w:t xml:space="preserve"> </w:t>
      </w:r>
      <w:r>
        <w:t>as</w:t>
      </w:r>
      <w:r>
        <w:rPr>
          <w:spacing w:val="-1"/>
        </w:rPr>
        <w:t xml:space="preserve"> </w:t>
      </w:r>
      <w:r>
        <w:t>a condition of registration.</w:t>
      </w:r>
    </w:p>
    <w:p w14:paraId="77B8CFB4" w14:textId="09612D97" w:rsidR="003B1E52" w:rsidRDefault="003B1E52" w:rsidP="00861350">
      <w:pPr>
        <w:pStyle w:val="Heading5"/>
      </w:pPr>
      <w:r>
        <w:t>Indication</w:t>
      </w:r>
    </w:p>
    <w:p w14:paraId="130A260B" w14:textId="701E9CD8" w:rsidR="00EF19BD" w:rsidRDefault="003B1E52" w:rsidP="00861350">
      <w:r>
        <w:t>The US FDA and Health Canada have recently approved indications restricted to patients with PIK3CA/AKT1/PTEN altered tumours.</w:t>
      </w:r>
    </w:p>
    <w:p w14:paraId="080521A8" w14:textId="312AC78D" w:rsidR="003B1E52" w:rsidRDefault="003B1E52" w:rsidP="00861350">
      <w:r>
        <w:t>ACM advice is requested on whether to restrict the indication in Australia. While the CAPITello-291 study demonstrated a benefit in the overall population, regardless of mutation status, as well as the altered population, the fact that 106 patients had unknown mutation status has resulted in additional exploratory analysis in the known non-altered and ‘no result’ groups. These exploratory analyses suggest that the benefit seen</w:t>
      </w:r>
      <w:r>
        <w:rPr>
          <w:spacing w:val="-3"/>
        </w:rPr>
        <w:t xml:space="preserve"> </w:t>
      </w:r>
      <w:r>
        <w:t>in</w:t>
      </w:r>
      <w:r>
        <w:rPr>
          <w:spacing w:val="-3"/>
        </w:rPr>
        <w:t xml:space="preserve"> </w:t>
      </w:r>
      <w:r>
        <w:t>the</w:t>
      </w:r>
      <w:r>
        <w:rPr>
          <w:spacing w:val="-2"/>
        </w:rPr>
        <w:t xml:space="preserve"> </w:t>
      </w:r>
      <w:r>
        <w:t>overall</w:t>
      </w:r>
      <w:r>
        <w:rPr>
          <w:spacing w:val="-2"/>
        </w:rPr>
        <w:t xml:space="preserve"> </w:t>
      </w:r>
      <w:r>
        <w:t>population</w:t>
      </w:r>
      <w:r>
        <w:rPr>
          <w:spacing w:val="-3"/>
        </w:rPr>
        <w:t xml:space="preserve"> </w:t>
      </w:r>
      <w:r>
        <w:t>is</w:t>
      </w:r>
      <w:r>
        <w:rPr>
          <w:spacing w:val="-1"/>
        </w:rPr>
        <w:t xml:space="preserve"> </w:t>
      </w:r>
      <w:r>
        <w:t>driven</w:t>
      </w:r>
      <w:r>
        <w:rPr>
          <w:spacing w:val="-3"/>
        </w:rPr>
        <w:t xml:space="preserve"> </w:t>
      </w:r>
      <w:r>
        <w:t>by</w:t>
      </w:r>
      <w:r>
        <w:rPr>
          <w:spacing w:val="-3"/>
        </w:rPr>
        <w:t xml:space="preserve"> </w:t>
      </w:r>
      <w:r>
        <w:t>the</w:t>
      </w:r>
      <w:r>
        <w:rPr>
          <w:spacing w:val="-2"/>
        </w:rPr>
        <w:t xml:space="preserve"> </w:t>
      </w:r>
      <w:r>
        <w:t>altered</w:t>
      </w:r>
      <w:r>
        <w:rPr>
          <w:spacing w:val="-2"/>
        </w:rPr>
        <w:t xml:space="preserve"> </w:t>
      </w:r>
      <w:r>
        <w:t>group,</w:t>
      </w:r>
      <w:r>
        <w:rPr>
          <w:spacing w:val="-2"/>
        </w:rPr>
        <w:t xml:space="preserve"> </w:t>
      </w:r>
      <w:r>
        <w:t>and</w:t>
      </w:r>
      <w:r>
        <w:rPr>
          <w:spacing w:val="-2"/>
        </w:rPr>
        <w:t xml:space="preserve"> </w:t>
      </w:r>
      <w:r>
        <w:t>there</w:t>
      </w:r>
      <w:r>
        <w:rPr>
          <w:spacing w:val="-2"/>
        </w:rPr>
        <w:t xml:space="preserve"> </w:t>
      </w:r>
      <w:r>
        <w:t>may</w:t>
      </w:r>
      <w:r>
        <w:rPr>
          <w:spacing w:val="-3"/>
        </w:rPr>
        <w:t xml:space="preserve"> </w:t>
      </w:r>
      <w:r>
        <w:t>be</w:t>
      </w:r>
      <w:r>
        <w:rPr>
          <w:spacing w:val="-2"/>
        </w:rPr>
        <w:t xml:space="preserve"> </w:t>
      </w:r>
      <w:r>
        <w:t>no</w:t>
      </w:r>
      <w:r>
        <w:rPr>
          <w:spacing w:val="-2"/>
        </w:rPr>
        <w:t xml:space="preserve"> </w:t>
      </w:r>
      <w:r>
        <w:t>benefit,</w:t>
      </w:r>
      <w:r>
        <w:rPr>
          <w:spacing w:val="-2"/>
        </w:rPr>
        <w:t xml:space="preserve"> </w:t>
      </w:r>
      <w:r>
        <w:t>or</w:t>
      </w:r>
      <w:r>
        <w:rPr>
          <w:spacing w:val="-1"/>
        </w:rPr>
        <w:t xml:space="preserve"> </w:t>
      </w:r>
      <w:r>
        <w:t xml:space="preserve">the possibility of detriment, in the non-altered group. However, the exploratory nature of these analyses must be </w:t>
      </w:r>
      <w:r w:rsidR="00DB06C1">
        <w:t>considered</w:t>
      </w:r>
      <w:r>
        <w:t xml:space="preserve">. The key question is whether these exploratory analyses are sufficient evidence to warrant restricting the indication in Australia, </w:t>
      </w:r>
      <w:r w:rsidR="00B81972">
        <w:t xml:space="preserve">given </w:t>
      </w:r>
      <w:r>
        <w:t>a benefit has</w:t>
      </w:r>
      <w:r w:rsidR="00B81972">
        <w:t xml:space="preserve"> </w:t>
      </w:r>
      <w:r>
        <w:t>been demonstrated for both the overall and altered populations in the pivotal study.</w:t>
      </w:r>
    </w:p>
    <w:p w14:paraId="47E8E7D9" w14:textId="77777777" w:rsidR="003B1E52" w:rsidRDefault="003B1E52" w:rsidP="00861350">
      <w:r>
        <w:t xml:space="preserve">Another consideration with the proposed indication is that is does not specify which prior therapies patients should have before receiving </w:t>
      </w:r>
      <w:proofErr w:type="spellStart"/>
      <w:r>
        <w:t>capivasertib</w:t>
      </w:r>
      <w:proofErr w:type="spellEnd"/>
      <w:r>
        <w:t>. 70.1% of the overall population</w:t>
      </w:r>
      <w:r>
        <w:rPr>
          <w:spacing w:val="-1"/>
        </w:rPr>
        <w:t xml:space="preserve"> </w:t>
      </w:r>
      <w:r>
        <w:t>in the</w:t>
      </w:r>
      <w:r>
        <w:rPr>
          <w:spacing w:val="-2"/>
        </w:rPr>
        <w:t xml:space="preserve"> </w:t>
      </w:r>
      <w:r>
        <w:t>CAPItello-291</w:t>
      </w:r>
      <w:r>
        <w:rPr>
          <w:spacing w:val="-3"/>
        </w:rPr>
        <w:t xml:space="preserve"> </w:t>
      </w:r>
      <w:r>
        <w:t>trial</w:t>
      </w:r>
      <w:r>
        <w:rPr>
          <w:spacing w:val="-2"/>
        </w:rPr>
        <w:t xml:space="preserve"> </w:t>
      </w:r>
      <w:r>
        <w:t>had</w:t>
      </w:r>
      <w:r>
        <w:rPr>
          <w:spacing w:val="-3"/>
        </w:rPr>
        <w:t xml:space="preserve"> </w:t>
      </w:r>
      <w:r>
        <w:t>received</w:t>
      </w:r>
      <w:r>
        <w:rPr>
          <w:spacing w:val="-2"/>
        </w:rPr>
        <w:t xml:space="preserve"> </w:t>
      </w:r>
      <w:r>
        <w:t>a</w:t>
      </w:r>
      <w:r>
        <w:rPr>
          <w:spacing w:val="-3"/>
        </w:rPr>
        <w:t xml:space="preserve"> </w:t>
      </w:r>
      <w:r>
        <w:t>prior</w:t>
      </w:r>
      <w:r>
        <w:rPr>
          <w:spacing w:val="-2"/>
        </w:rPr>
        <w:t xml:space="preserve"> </w:t>
      </w:r>
      <w:r>
        <w:t>CDK4/6i.</w:t>
      </w:r>
      <w:r>
        <w:rPr>
          <w:spacing w:val="-3"/>
        </w:rPr>
        <w:t xml:space="preserve"> </w:t>
      </w:r>
      <w:r>
        <w:t>The</w:t>
      </w:r>
      <w:r>
        <w:rPr>
          <w:spacing w:val="-2"/>
        </w:rPr>
        <w:t xml:space="preserve"> </w:t>
      </w:r>
      <w:r>
        <w:t>results</w:t>
      </w:r>
      <w:r>
        <w:rPr>
          <w:spacing w:val="-2"/>
        </w:rPr>
        <w:t xml:space="preserve"> </w:t>
      </w:r>
      <w:r>
        <w:t>of</w:t>
      </w:r>
      <w:r>
        <w:rPr>
          <w:spacing w:val="-2"/>
        </w:rPr>
        <w:t xml:space="preserve"> </w:t>
      </w:r>
      <w:r>
        <w:t>the</w:t>
      </w:r>
      <w:r>
        <w:rPr>
          <w:spacing w:val="-3"/>
        </w:rPr>
        <w:t xml:space="preserve"> </w:t>
      </w:r>
      <w:r>
        <w:t>trial</w:t>
      </w:r>
      <w:r>
        <w:rPr>
          <w:spacing w:val="-2"/>
        </w:rPr>
        <w:t xml:space="preserve"> </w:t>
      </w:r>
      <w:r>
        <w:t>provide</w:t>
      </w:r>
      <w:r>
        <w:rPr>
          <w:spacing w:val="-2"/>
        </w:rPr>
        <w:t xml:space="preserve"> </w:t>
      </w:r>
      <w:r>
        <w:t>evidence</w:t>
      </w:r>
      <w:r>
        <w:rPr>
          <w:spacing w:val="-3"/>
        </w:rPr>
        <w:t xml:space="preserve"> </w:t>
      </w:r>
      <w:r>
        <w:t xml:space="preserve">of an efficacy benefit for </w:t>
      </w:r>
      <w:proofErr w:type="spellStart"/>
      <w:r>
        <w:t>capivasertib</w:t>
      </w:r>
      <w:proofErr w:type="spellEnd"/>
      <w:r>
        <w:t xml:space="preserve"> against placebo, however, since this trial began, CDK4/6i have been approved for the same patient</w:t>
      </w:r>
      <w:r>
        <w:rPr>
          <w:spacing w:val="-2"/>
        </w:rPr>
        <w:t xml:space="preserve"> </w:t>
      </w:r>
      <w:r>
        <w:t>group. There is no data providing a</w:t>
      </w:r>
      <w:r>
        <w:rPr>
          <w:spacing w:val="-1"/>
        </w:rPr>
        <w:t xml:space="preserve"> </w:t>
      </w:r>
      <w:r>
        <w:t xml:space="preserve">direct comparison </w:t>
      </w:r>
      <w:r>
        <w:lastRenderedPageBreak/>
        <w:t xml:space="preserve">between </w:t>
      </w:r>
      <w:proofErr w:type="spellStart"/>
      <w:r>
        <w:t>capivasertib</w:t>
      </w:r>
      <w:proofErr w:type="spellEnd"/>
      <w:r>
        <w:t xml:space="preserve"> and any of the CDK4/6i, nor is there data for the use of </w:t>
      </w:r>
      <w:proofErr w:type="spellStart"/>
      <w:r>
        <w:t>capivasertib</w:t>
      </w:r>
      <w:proofErr w:type="spellEnd"/>
      <w:r>
        <w:t xml:space="preserve"> in combination with CDK4/6i. Therefore, it is not clear whether </w:t>
      </w:r>
      <w:proofErr w:type="spellStart"/>
      <w:r>
        <w:t>capivasertib</w:t>
      </w:r>
      <w:proofErr w:type="spellEnd"/>
      <w:r>
        <w:t xml:space="preserve"> should only be available for patients who have progressed or are unable to tolerate a CKD4/6i, and whether this should be specified in the indication.</w:t>
      </w:r>
    </w:p>
    <w:p w14:paraId="4D13440D" w14:textId="01B0D966" w:rsidR="003B1E52" w:rsidRPr="009B39FA" w:rsidRDefault="003B1E52" w:rsidP="009B39FA">
      <w:pPr>
        <w:pStyle w:val="Heading5"/>
      </w:pPr>
      <w:r>
        <w:t>Companion</w:t>
      </w:r>
      <w:r>
        <w:rPr>
          <w:spacing w:val="-4"/>
        </w:rPr>
        <w:t xml:space="preserve"> </w:t>
      </w:r>
      <w:r w:rsidR="009B39FA">
        <w:rPr>
          <w:spacing w:val="-2"/>
        </w:rPr>
        <w:t>d</w:t>
      </w:r>
      <w:r>
        <w:rPr>
          <w:spacing w:val="-2"/>
        </w:rPr>
        <w:t>iagnostic</w:t>
      </w:r>
    </w:p>
    <w:p w14:paraId="772686DA" w14:textId="4945BCC9" w:rsidR="003B1E52" w:rsidRDefault="003B1E52" w:rsidP="00861350">
      <w:r>
        <w:t>At</w:t>
      </w:r>
      <w:r>
        <w:rPr>
          <w:spacing w:val="-2"/>
        </w:rPr>
        <w:t xml:space="preserve"> </w:t>
      </w:r>
      <w:r>
        <w:t>the</w:t>
      </w:r>
      <w:r>
        <w:rPr>
          <w:spacing w:val="-2"/>
        </w:rPr>
        <w:t xml:space="preserve"> </w:t>
      </w:r>
      <w:r>
        <w:t>time</w:t>
      </w:r>
      <w:r>
        <w:rPr>
          <w:spacing w:val="-2"/>
        </w:rPr>
        <w:t xml:space="preserve"> </w:t>
      </w:r>
      <w:r>
        <w:t>of</w:t>
      </w:r>
      <w:r>
        <w:rPr>
          <w:spacing w:val="-2"/>
        </w:rPr>
        <w:t xml:space="preserve"> </w:t>
      </w:r>
      <w:r>
        <w:t>the</w:t>
      </w:r>
      <w:r>
        <w:rPr>
          <w:spacing w:val="-2"/>
        </w:rPr>
        <w:t xml:space="preserve"> </w:t>
      </w:r>
      <w:r>
        <w:t>FDA</w:t>
      </w:r>
      <w:r>
        <w:rPr>
          <w:spacing w:val="-3"/>
        </w:rPr>
        <w:t xml:space="preserve"> </w:t>
      </w:r>
      <w:r>
        <w:t>approval</w:t>
      </w:r>
      <w:r>
        <w:rPr>
          <w:spacing w:val="-2"/>
        </w:rPr>
        <w:t xml:space="preserve"> </w:t>
      </w:r>
      <w:r>
        <w:t>for</w:t>
      </w:r>
      <w:r>
        <w:rPr>
          <w:spacing w:val="-2"/>
        </w:rPr>
        <w:t xml:space="preserve"> </w:t>
      </w:r>
      <w:proofErr w:type="spellStart"/>
      <w:r>
        <w:t>capivasertib</w:t>
      </w:r>
      <w:proofErr w:type="spellEnd"/>
      <w:r w:rsidR="000B3808">
        <w:t>,</w:t>
      </w:r>
      <w:r>
        <w:rPr>
          <w:spacing w:val="-3"/>
        </w:rPr>
        <w:t xml:space="preserve"> </w:t>
      </w:r>
      <w:r>
        <w:t>the</w:t>
      </w:r>
      <w:r>
        <w:rPr>
          <w:spacing w:val="-2"/>
        </w:rPr>
        <w:t xml:space="preserve"> </w:t>
      </w:r>
      <w:r>
        <w:t>FDA</w:t>
      </w:r>
      <w:r>
        <w:rPr>
          <w:spacing w:val="-3"/>
        </w:rPr>
        <w:t xml:space="preserve"> </w:t>
      </w:r>
      <w:r>
        <w:t>also</w:t>
      </w:r>
      <w:r>
        <w:rPr>
          <w:spacing w:val="-2"/>
        </w:rPr>
        <w:t xml:space="preserve"> </w:t>
      </w:r>
      <w:r>
        <w:t>approved</w:t>
      </w:r>
      <w:r>
        <w:rPr>
          <w:spacing w:val="-2"/>
        </w:rPr>
        <w:t xml:space="preserve"> </w:t>
      </w:r>
      <w:r>
        <w:t>the</w:t>
      </w:r>
      <w:r>
        <w:rPr>
          <w:spacing w:val="-2"/>
        </w:rPr>
        <w:t xml:space="preserve"> </w:t>
      </w:r>
      <w:proofErr w:type="spellStart"/>
      <w:r>
        <w:t>FoundationOne</w:t>
      </w:r>
      <w:proofErr w:type="spellEnd"/>
      <w:r>
        <w:rPr>
          <w:spacing w:val="-2"/>
        </w:rPr>
        <w:t xml:space="preserve"> </w:t>
      </w:r>
      <w:proofErr w:type="spellStart"/>
      <w:r>
        <w:t>CDx</w:t>
      </w:r>
      <w:proofErr w:type="spellEnd"/>
      <w:r>
        <w:t xml:space="preserve"> next-generation sequencing test as a companion diagnostic for </w:t>
      </w:r>
      <w:proofErr w:type="spellStart"/>
      <w:r>
        <w:t>capivasertib</w:t>
      </w:r>
      <w:proofErr w:type="spellEnd"/>
      <w:r>
        <w:t>.</w:t>
      </w:r>
      <w:r>
        <w:rPr>
          <w:spacing w:val="40"/>
        </w:rPr>
        <w:t xml:space="preserve"> </w:t>
      </w:r>
      <w:r>
        <w:t>This was the test used in the pivotal CAPItello-291 trial. At this stage, the sponsor does not plan to register a companion diagnostic in Australia. According to the sponsor, most tertiary accredited laboratories in Australia have the capability to test for AKT1/PIK3CA/PTEN alterations using Next Generation Sequencing (NGS) panels.</w:t>
      </w:r>
    </w:p>
    <w:p w14:paraId="3A848CE7" w14:textId="0F2CE295" w:rsidR="003B1E52" w:rsidRPr="009B39FA" w:rsidRDefault="003B1E52" w:rsidP="009B39FA">
      <w:pPr>
        <w:pStyle w:val="Heading5"/>
      </w:pPr>
      <w:r w:rsidRPr="00861350">
        <w:t>Safety</w:t>
      </w:r>
    </w:p>
    <w:p w14:paraId="0A1E4F31" w14:textId="77777777" w:rsidR="003B1E52" w:rsidRDefault="003B1E52" w:rsidP="00861350">
      <w:proofErr w:type="spellStart"/>
      <w:r>
        <w:t>Capivasertib</w:t>
      </w:r>
      <w:proofErr w:type="spellEnd"/>
      <w:r>
        <w:t xml:space="preserve">, used in combination with </w:t>
      </w:r>
      <w:proofErr w:type="spellStart"/>
      <w:r>
        <w:t>fulvestrant</w:t>
      </w:r>
      <w:proofErr w:type="spellEnd"/>
      <w:r>
        <w:t xml:space="preserve">, appears to be associated with substantial toxicity compared to </w:t>
      </w:r>
      <w:proofErr w:type="spellStart"/>
      <w:r>
        <w:t>fulvestrant</w:t>
      </w:r>
      <w:proofErr w:type="spellEnd"/>
      <w:r>
        <w:t xml:space="preserve"> monotherapy. In the pre-clinical data for </w:t>
      </w:r>
      <w:proofErr w:type="spellStart"/>
      <w:r>
        <w:t>Capivasertib</w:t>
      </w:r>
      <w:proofErr w:type="spellEnd"/>
      <w:r>
        <w:t>, the toxicology</w:t>
      </w:r>
      <w:r>
        <w:rPr>
          <w:spacing w:val="-4"/>
        </w:rPr>
        <w:t xml:space="preserve"> </w:t>
      </w:r>
      <w:r>
        <w:t>evaluation</w:t>
      </w:r>
      <w:r>
        <w:rPr>
          <w:spacing w:val="-4"/>
        </w:rPr>
        <w:t xml:space="preserve"> </w:t>
      </w:r>
      <w:r>
        <w:t>identified</w:t>
      </w:r>
      <w:r>
        <w:rPr>
          <w:spacing w:val="-4"/>
        </w:rPr>
        <w:t xml:space="preserve"> </w:t>
      </w:r>
      <w:r>
        <w:t>potential</w:t>
      </w:r>
      <w:r>
        <w:rPr>
          <w:spacing w:val="-3"/>
        </w:rPr>
        <w:t xml:space="preserve"> </w:t>
      </w:r>
      <w:r>
        <w:t>drug</w:t>
      </w:r>
      <w:r>
        <w:rPr>
          <w:spacing w:val="-2"/>
        </w:rPr>
        <w:t xml:space="preserve"> </w:t>
      </w:r>
      <w:r>
        <w:t>interactions,</w:t>
      </w:r>
      <w:r>
        <w:rPr>
          <w:spacing w:val="-3"/>
        </w:rPr>
        <w:t xml:space="preserve"> </w:t>
      </w:r>
      <w:r>
        <w:t>adverse</w:t>
      </w:r>
      <w:r>
        <w:rPr>
          <w:spacing w:val="-3"/>
        </w:rPr>
        <w:t xml:space="preserve"> </w:t>
      </w:r>
      <w:r>
        <w:t>events</w:t>
      </w:r>
      <w:r>
        <w:rPr>
          <w:spacing w:val="-2"/>
        </w:rPr>
        <w:t xml:space="preserve"> </w:t>
      </w:r>
      <w:r>
        <w:t>and</w:t>
      </w:r>
      <w:r>
        <w:rPr>
          <w:spacing w:val="-3"/>
        </w:rPr>
        <w:t xml:space="preserve"> </w:t>
      </w:r>
      <w:r>
        <w:t>toxicities,</w:t>
      </w:r>
      <w:r>
        <w:rPr>
          <w:spacing w:val="-3"/>
        </w:rPr>
        <w:t xml:space="preserve"> </w:t>
      </w:r>
      <w:r>
        <w:t>and</w:t>
      </w:r>
      <w:r>
        <w:rPr>
          <w:spacing w:val="-3"/>
        </w:rPr>
        <w:t xml:space="preserve"> </w:t>
      </w:r>
      <w:r>
        <w:t>a similar pattern is evident in the clinical data from pharmacological studies and the pivotal CAPITello-291 trial.</w:t>
      </w:r>
    </w:p>
    <w:p w14:paraId="47D0B30A" w14:textId="0DA24FFD" w:rsidR="003B1E52" w:rsidRDefault="003B1E52" w:rsidP="00861350">
      <w:r>
        <w:t>In general, most adverse events in CAPITello-291 seemed to be manageable with dose interruptions</w:t>
      </w:r>
      <w:r>
        <w:rPr>
          <w:spacing w:val="-4"/>
        </w:rPr>
        <w:t xml:space="preserve"> </w:t>
      </w:r>
      <w:r>
        <w:t>and</w:t>
      </w:r>
      <w:r>
        <w:rPr>
          <w:spacing w:val="-3"/>
        </w:rPr>
        <w:t xml:space="preserve"> </w:t>
      </w:r>
      <w:r>
        <w:t>reductions.</w:t>
      </w:r>
      <w:r>
        <w:rPr>
          <w:spacing w:val="-3"/>
        </w:rPr>
        <w:t xml:space="preserve"> </w:t>
      </w:r>
      <w:r>
        <w:t>However,</w:t>
      </w:r>
      <w:r>
        <w:rPr>
          <w:spacing w:val="-3"/>
        </w:rPr>
        <w:t xml:space="preserve"> </w:t>
      </w:r>
      <w:r>
        <w:t>discontinuations</w:t>
      </w:r>
      <w:r>
        <w:rPr>
          <w:spacing w:val="-2"/>
        </w:rPr>
        <w:t xml:space="preserve"> </w:t>
      </w:r>
      <w:r>
        <w:t>due</w:t>
      </w:r>
      <w:r>
        <w:rPr>
          <w:spacing w:val="-3"/>
        </w:rPr>
        <w:t xml:space="preserve"> </w:t>
      </w:r>
      <w:r>
        <w:t>to</w:t>
      </w:r>
      <w:r>
        <w:rPr>
          <w:spacing w:val="-3"/>
        </w:rPr>
        <w:t xml:space="preserve"> </w:t>
      </w:r>
      <w:r>
        <w:t>adverse</w:t>
      </w:r>
      <w:r>
        <w:rPr>
          <w:spacing w:val="-3"/>
        </w:rPr>
        <w:t xml:space="preserve"> </w:t>
      </w:r>
      <w:r>
        <w:t>events</w:t>
      </w:r>
      <w:r>
        <w:rPr>
          <w:spacing w:val="-2"/>
        </w:rPr>
        <w:t xml:space="preserve"> </w:t>
      </w:r>
      <w:r>
        <w:t>did</w:t>
      </w:r>
      <w:r>
        <w:rPr>
          <w:spacing w:val="-3"/>
        </w:rPr>
        <w:t xml:space="preserve"> </w:t>
      </w:r>
      <w:r>
        <w:t>occur</w:t>
      </w:r>
      <w:r>
        <w:rPr>
          <w:spacing w:val="-3"/>
        </w:rPr>
        <w:t xml:space="preserve"> </w:t>
      </w:r>
      <w:r>
        <w:t xml:space="preserve">in 13.0% of the </w:t>
      </w:r>
      <w:proofErr w:type="spellStart"/>
      <w:r>
        <w:t>capivasertib</w:t>
      </w:r>
      <w:proofErr w:type="spellEnd"/>
      <w:r>
        <w:t xml:space="preserve"> arm compared to 2.3% in the placebo. The instructions for dose interruptions and modifications to manage AEs in the PI are </w:t>
      </w:r>
      <w:proofErr w:type="gramStart"/>
      <w:r>
        <w:t>similar to</w:t>
      </w:r>
      <w:proofErr w:type="gramEnd"/>
      <w:r>
        <w:t xml:space="preserve"> the management strategies used in the trial</w:t>
      </w:r>
      <w:r w:rsidR="00012B58">
        <w:t>. However</w:t>
      </w:r>
      <w:r>
        <w:t>, further changes have been requested by the delegate.</w:t>
      </w:r>
    </w:p>
    <w:p w14:paraId="0BB66C93" w14:textId="411A74AC" w:rsidR="003B1E52" w:rsidRDefault="003B1E52" w:rsidP="00861350">
      <w:r>
        <w:t>Adding</w:t>
      </w:r>
      <w:r>
        <w:rPr>
          <w:spacing w:val="-4"/>
        </w:rPr>
        <w:t xml:space="preserve"> </w:t>
      </w:r>
      <w:proofErr w:type="spellStart"/>
      <w:r>
        <w:t>capivasertib</w:t>
      </w:r>
      <w:proofErr w:type="spellEnd"/>
      <w:r>
        <w:rPr>
          <w:spacing w:val="-4"/>
        </w:rPr>
        <w:t xml:space="preserve"> </w:t>
      </w:r>
      <w:r>
        <w:t>to</w:t>
      </w:r>
      <w:r>
        <w:rPr>
          <w:spacing w:val="-3"/>
        </w:rPr>
        <w:t xml:space="preserve"> </w:t>
      </w:r>
      <w:proofErr w:type="spellStart"/>
      <w:r>
        <w:t>fulvestrant</w:t>
      </w:r>
      <w:proofErr w:type="spellEnd"/>
      <w:r>
        <w:rPr>
          <w:spacing w:val="-3"/>
        </w:rPr>
        <w:t xml:space="preserve"> </w:t>
      </w:r>
      <w:r>
        <w:t>is</w:t>
      </w:r>
      <w:r>
        <w:rPr>
          <w:spacing w:val="-2"/>
        </w:rPr>
        <w:t xml:space="preserve"> </w:t>
      </w:r>
      <w:r>
        <w:t>expected</w:t>
      </w:r>
      <w:r>
        <w:rPr>
          <w:spacing w:val="-3"/>
        </w:rPr>
        <w:t xml:space="preserve"> </w:t>
      </w:r>
      <w:r>
        <w:t>to</w:t>
      </w:r>
      <w:r>
        <w:rPr>
          <w:spacing w:val="-3"/>
        </w:rPr>
        <w:t xml:space="preserve"> </w:t>
      </w:r>
      <w:r>
        <w:t>increase</w:t>
      </w:r>
      <w:r>
        <w:rPr>
          <w:spacing w:val="-3"/>
        </w:rPr>
        <w:t xml:space="preserve"> </w:t>
      </w:r>
      <w:r>
        <w:t>toxicity.</w:t>
      </w:r>
      <w:r>
        <w:rPr>
          <w:spacing w:val="-3"/>
        </w:rPr>
        <w:t xml:space="preserve"> </w:t>
      </w:r>
      <w:r>
        <w:t>In</w:t>
      </w:r>
      <w:r>
        <w:rPr>
          <w:spacing w:val="-4"/>
        </w:rPr>
        <w:t xml:space="preserve"> </w:t>
      </w:r>
      <w:r>
        <w:t>the</w:t>
      </w:r>
      <w:r>
        <w:rPr>
          <w:spacing w:val="-3"/>
        </w:rPr>
        <w:t xml:space="preserve"> </w:t>
      </w:r>
      <w:r>
        <w:t>pivotal</w:t>
      </w:r>
      <w:r>
        <w:rPr>
          <w:spacing w:val="-3"/>
        </w:rPr>
        <w:t xml:space="preserve"> </w:t>
      </w:r>
      <w:r>
        <w:t>study,</w:t>
      </w:r>
      <w:r>
        <w:rPr>
          <w:spacing w:val="-3"/>
        </w:rPr>
        <w:t xml:space="preserve"> </w:t>
      </w:r>
      <w:r>
        <w:t>patients in</w:t>
      </w:r>
      <w:r>
        <w:rPr>
          <w:spacing w:val="-2"/>
        </w:rPr>
        <w:t xml:space="preserve"> </w:t>
      </w:r>
      <w:r>
        <w:t>the</w:t>
      </w:r>
      <w:r>
        <w:rPr>
          <w:spacing w:val="-1"/>
        </w:rPr>
        <w:t xml:space="preserve"> </w:t>
      </w:r>
      <w:r>
        <w:t>placebo</w:t>
      </w:r>
      <w:r>
        <w:rPr>
          <w:spacing w:val="-1"/>
        </w:rPr>
        <w:t xml:space="preserve"> </w:t>
      </w:r>
      <w:r>
        <w:t>arm also</w:t>
      </w:r>
      <w:r>
        <w:rPr>
          <w:spacing w:val="-1"/>
        </w:rPr>
        <w:t xml:space="preserve"> </w:t>
      </w:r>
      <w:r>
        <w:t>received</w:t>
      </w:r>
      <w:r>
        <w:rPr>
          <w:spacing w:val="-1"/>
        </w:rPr>
        <w:t xml:space="preserve"> </w:t>
      </w:r>
      <w:proofErr w:type="spellStart"/>
      <w:r>
        <w:t>fulvestrant</w:t>
      </w:r>
      <w:proofErr w:type="spellEnd"/>
      <w:r>
        <w:t>,</w:t>
      </w:r>
      <w:r>
        <w:rPr>
          <w:spacing w:val="-1"/>
        </w:rPr>
        <w:t xml:space="preserve"> </w:t>
      </w:r>
      <w:r>
        <w:t>therefore</w:t>
      </w:r>
      <w:r>
        <w:rPr>
          <w:spacing w:val="-1"/>
        </w:rPr>
        <w:t xml:space="preserve"> </w:t>
      </w:r>
      <w:r>
        <w:t>it</w:t>
      </w:r>
      <w:r>
        <w:rPr>
          <w:spacing w:val="-1"/>
        </w:rPr>
        <w:t xml:space="preserve"> </w:t>
      </w:r>
      <w:r>
        <w:t>is likely</w:t>
      </w:r>
      <w:r>
        <w:rPr>
          <w:spacing w:val="-2"/>
        </w:rPr>
        <w:t xml:space="preserve"> </w:t>
      </w:r>
      <w:r>
        <w:t>that</w:t>
      </w:r>
      <w:r>
        <w:rPr>
          <w:spacing w:val="-1"/>
        </w:rPr>
        <w:t xml:space="preserve"> </w:t>
      </w:r>
      <w:r>
        <w:t>adverse</w:t>
      </w:r>
      <w:r>
        <w:rPr>
          <w:spacing w:val="-1"/>
        </w:rPr>
        <w:t xml:space="preserve"> </w:t>
      </w:r>
      <w:r>
        <w:t xml:space="preserve">events occurring disproportionately in the treatment arm can be attributed to </w:t>
      </w:r>
      <w:proofErr w:type="spellStart"/>
      <w:r>
        <w:t>capivasertib</w:t>
      </w:r>
      <w:proofErr w:type="spellEnd"/>
      <w:r>
        <w:t>. Diarrhoea, rash</w:t>
      </w:r>
      <w:r w:rsidR="00713CE4">
        <w:t>,</w:t>
      </w:r>
      <w:r>
        <w:t xml:space="preserve"> and hyperglycaemia occurred in high numbers of patients in the </w:t>
      </w:r>
      <w:proofErr w:type="spellStart"/>
      <w:r>
        <w:t>capivasertib</w:t>
      </w:r>
      <w:proofErr w:type="spellEnd"/>
      <w:r>
        <w:t xml:space="preserve"> arm of CAPItello-291 compared to placebo. Renal injury, possibly associated with dehydration from gastrointestinal</w:t>
      </w:r>
      <w:r w:rsidR="00861350">
        <w:t xml:space="preserve"> </w:t>
      </w:r>
      <w:r>
        <w:t>side</w:t>
      </w:r>
      <w:r>
        <w:rPr>
          <w:spacing w:val="-2"/>
        </w:rPr>
        <w:t xml:space="preserve"> </w:t>
      </w:r>
      <w:r>
        <w:t>effects,</w:t>
      </w:r>
      <w:r>
        <w:rPr>
          <w:spacing w:val="-2"/>
        </w:rPr>
        <w:t xml:space="preserve"> </w:t>
      </w:r>
      <w:r>
        <w:t>also</w:t>
      </w:r>
      <w:r>
        <w:rPr>
          <w:spacing w:val="-2"/>
        </w:rPr>
        <w:t xml:space="preserve"> </w:t>
      </w:r>
      <w:r>
        <w:t>occurred.</w:t>
      </w:r>
      <w:r>
        <w:rPr>
          <w:spacing w:val="-2"/>
        </w:rPr>
        <w:t xml:space="preserve"> </w:t>
      </w:r>
      <w:r>
        <w:t>The</w:t>
      </w:r>
      <w:r>
        <w:rPr>
          <w:spacing w:val="-4"/>
        </w:rPr>
        <w:t xml:space="preserve"> </w:t>
      </w:r>
      <w:r>
        <w:t>safety</w:t>
      </w:r>
      <w:r>
        <w:rPr>
          <w:spacing w:val="-2"/>
        </w:rPr>
        <w:t xml:space="preserve"> </w:t>
      </w:r>
      <w:r>
        <w:t>profile</w:t>
      </w:r>
      <w:r>
        <w:rPr>
          <w:spacing w:val="-2"/>
        </w:rPr>
        <w:t xml:space="preserve"> </w:t>
      </w:r>
      <w:r>
        <w:t>of</w:t>
      </w:r>
      <w:r>
        <w:rPr>
          <w:spacing w:val="-4"/>
        </w:rPr>
        <w:t xml:space="preserve"> </w:t>
      </w:r>
      <w:proofErr w:type="spellStart"/>
      <w:r>
        <w:t>capivasertib</w:t>
      </w:r>
      <w:proofErr w:type="spellEnd"/>
      <w:r>
        <w:rPr>
          <w:spacing w:val="-3"/>
        </w:rPr>
        <w:t xml:space="preserve"> </w:t>
      </w:r>
      <w:r>
        <w:t>appears</w:t>
      </w:r>
      <w:r>
        <w:rPr>
          <w:spacing w:val="-1"/>
        </w:rPr>
        <w:t xml:space="preserve"> </w:t>
      </w:r>
      <w:r>
        <w:t>to</w:t>
      </w:r>
      <w:r>
        <w:rPr>
          <w:spacing w:val="-2"/>
        </w:rPr>
        <w:t xml:space="preserve"> </w:t>
      </w:r>
      <w:r>
        <w:t>be</w:t>
      </w:r>
      <w:r>
        <w:rPr>
          <w:spacing w:val="-2"/>
        </w:rPr>
        <w:t xml:space="preserve"> </w:t>
      </w:r>
      <w:r>
        <w:t>similar</w:t>
      </w:r>
      <w:r>
        <w:rPr>
          <w:spacing w:val="-2"/>
        </w:rPr>
        <w:t xml:space="preserve"> </w:t>
      </w:r>
      <w:r>
        <w:t>in</w:t>
      </w:r>
      <w:r>
        <w:rPr>
          <w:spacing w:val="-3"/>
        </w:rPr>
        <w:t xml:space="preserve"> </w:t>
      </w:r>
      <w:r>
        <w:t>the</w:t>
      </w:r>
      <w:r>
        <w:rPr>
          <w:spacing w:val="-4"/>
        </w:rPr>
        <w:t xml:space="preserve"> </w:t>
      </w:r>
      <w:r>
        <w:t>overall and altered population.</w:t>
      </w:r>
    </w:p>
    <w:p w14:paraId="6A7B574E" w14:textId="285C20DF" w:rsidR="00F84E75" w:rsidRDefault="003B1E52" w:rsidP="00861350">
      <w:r>
        <w:t>An ECOG status of 0-1 was one of the inclusion criteria in CAPITello-291. It is possible that in a real</w:t>
      </w:r>
      <w:r w:rsidR="002522F8">
        <w:t>-</w:t>
      </w:r>
      <w:r>
        <w:t>world</w:t>
      </w:r>
      <w:r>
        <w:rPr>
          <w:spacing w:val="-4"/>
        </w:rPr>
        <w:t xml:space="preserve"> </w:t>
      </w:r>
      <w:r>
        <w:t>setting,</w:t>
      </w:r>
      <w:r>
        <w:rPr>
          <w:spacing w:val="-2"/>
        </w:rPr>
        <w:t xml:space="preserve"> </w:t>
      </w:r>
      <w:r>
        <w:t>patients</w:t>
      </w:r>
      <w:r>
        <w:rPr>
          <w:spacing w:val="-1"/>
        </w:rPr>
        <w:t xml:space="preserve"> </w:t>
      </w:r>
      <w:r>
        <w:t>with</w:t>
      </w:r>
      <w:r>
        <w:rPr>
          <w:spacing w:val="-4"/>
        </w:rPr>
        <w:t xml:space="preserve"> </w:t>
      </w:r>
      <w:r>
        <w:t>higher</w:t>
      </w:r>
      <w:r>
        <w:rPr>
          <w:spacing w:val="-2"/>
        </w:rPr>
        <w:t xml:space="preserve"> </w:t>
      </w:r>
      <w:r>
        <w:t>ECOG</w:t>
      </w:r>
      <w:r>
        <w:rPr>
          <w:spacing w:val="-5"/>
        </w:rPr>
        <w:t xml:space="preserve"> </w:t>
      </w:r>
      <w:r>
        <w:t>status</w:t>
      </w:r>
      <w:r>
        <w:rPr>
          <w:spacing w:val="-3"/>
        </w:rPr>
        <w:t xml:space="preserve"> </w:t>
      </w:r>
      <w:r>
        <w:t>may</w:t>
      </w:r>
      <w:r>
        <w:rPr>
          <w:spacing w:val="-3"/>
        </w:rPr>
        <w:t xml:space="preserve"> </w:t>
      </w:r>
      <w:r>
        <w:t>be</w:t>
      </w:r>
      <w:r>
        <w:rPr>
          <w:spacing w:val="-2"/>
        </w:rPr>
        <w:t xml:space="preserve"> </w:t>
      </w:r>
      <w:r>
        <w:t>less</w:t>
      </w:r>
      <w:r>
        <w:rPr>
          <w:spacing w:val="-1"/>
        </w:rPr>
        <w:t xml:space="preserve"> </w:t>
      </w:r>
      <w:r>
        <w:t>able</w:t>
      </w:r>
      <w:r>
        <w:rPr>
          <w:spacing w:val="-2"/>
        </w:rPr>
        <w:t xml:space="preserve"> </w:t>
      </w:r>
      <w:r>
        <w:t>to</w:t>
      </w:r>
      <w:r>
        <w:rPr>
          <w:spacing w:val="-2"/>
        </w:rPr>
        <w:t xml:space="preserve"> </w:t>
      </w:r>
      <w:r>
        <w:t>tolerate</w:t>
      </w:r>
      <w:r>
        <w:rPr>
          <w:spacing w:val="-2"/>
        </w:rPr>
        <w:t xml:space="preserve"> </w:t>
      </w:r>
      <w:r>
        <w:t>the</w:t>
      </w:r>
      <w:r>
        <w:rPr>
          <w:spacing w:val="-2"/>
        </w:rPr>
        <w:t xml:space="preserve"> </w:t>
      </w:r>
      <w:r>
        <w:t>toxicities</w:t>
      </w:r>
      <w:r>
        <w:rPr>
          <w:spacing w:val="-1"/>
        </w:rPr>
        <w:t xml:space="preserve"> </w:t>
      </w:r>
      <w:r>
        <w:t xml:space="preserve">of treatment. </w:t>
      </w:r>
      <w:r w:rsidR="00F84E75">
        <w:t>P</w:t>
      </w:r>
      <w:r>
        <w:t>atients with pre-existing conditions such as diabetes may be at increased risk of hyperglycaemia related toxicities and therefore an individual risk-benefit assessment for each patient will be crucial.</w:t>
      </w:r>
    </w:p>
    <w:p w14:paraId="70700650" w14:textId="2EFAC4D9" w:rsidR="003B1E52" w:rsidRDefault="003B1E52" w:rsidP="00861350">
      <w:r>
        <w:t xml:space="preserve">The delegate </w:t>
      </w:r>
      <w:r w:rsidR="00EB36C8">
        <w:t xml:space="preserve">has </w:t>
      </w:r>
      <w:r>
        <w:t>request</w:t>
      </w:r>
      <w:r w:rsidR="00D50024">
        <w:t>ed</w:t>
      </w:r>
      <w:r>
        <w:t xml:space="preserve"> changes to the PI to ensure clinicians are adequately informed about the risks and </w:t>
      </w:r>
      <w:r w:rsidR="00D50024">
        <w:t>requested comments from the ACM</w:t>
      </w:r>
      <w:r>
        <w:t xml:space="preserve"> on the PI.</w:t>
      </w:r>
    </w:p>
    <w:p w14:paraId="14AF0CC6" w14:textId="5A63A012" w:rsidR="003B1E52" w:rsidRPr="009B39FA" w:rsidRDefault="003B1E52" w:rsidP="009B39FA">
      <w:pPr>
        <w:pStyle w:val="Heading5"/>
      </w:pPr>
      <w:r>
        <w:t>Management</w:t>
      </w:r>
      <w:r>
        <w:rPr>
          <w:spacing w:val="-5"/>
        </w:rPr>
        <w:t xml:space="preserve"> </w:t>
      </w:r>
      <w:r>
        <w:t>of</w:t>
      </w:r>
      <w:r>
        <w:rPr>
          <w:spacing w:val="-5"/>
        </w:rPr>
        <w:t xml:space="preserve"> </w:t>
      </w:r>
      <w:r w:rsidR="009B39FA">
        <w:t>h</w:t>
      </w:r>
      <w:r>
        <w:t>yperglycaemia</w:t>
      </w:r>
    </w:p>
    <w:p w14:paraId="1A89B603" w14:textId="77777777" w:rsidR="003B1E52" w:rsidRDefault="003B1E52" w:rsidP="00861350">
      <w:r>
        <w:t xml:space="preserve">Hyperglycaemia is a common adverse effect of </w:t>
      </w:r>
      <w:proofErr w:type="spellStart"/>
      <w:proofErr w:type="gramStart"/>
      <w:r>
        <w:t>capivasertib</w:t>
      </w:r>
      <w:proofErr w:type="spellEnd"/>
      <w:proofErr w:type="gramEnd"/>
      <w:r>
        <w:t xml:space="preserve"> and it is not clear what the optimal management strategy is. In the CAPItello-291 and FTIH studies, dose interruptions and reductions were used, along with metformin and insulin. However, of the 60 patients in the </w:t>
      </w:r>
      <w:proofErr w:type="spellStart"/>
      <w:r>
        <w:t>capivasertib</w:t>
      </w:r>
      <w:proofErr w:type="spellEnd"/>
      <w:r>
        <w:t xml:space="preserve"> arm who developed hyperglycaemia, approximately half (28) did not experience resolution of the hyperglycaemia before the DCO. The pharmacology data suggests that the hyperglycaemia may be due to insulin resistance, which means that insulin may not be an effective</w:t>
      </w:r>
      <w:r>
        <w:rPr>
          <w:spacing w:val="-4"/>
        </w:rPr>
        <w:t xml:space="preserve"> </w:t>
      </w:r>
      <w:r>
        <w:t>treatment.</w:t>
      </w:r>
      <w:r>
        <w:rPr>
          <w:spacing w:val="-4"/>
        </w:rPr>
        <w:t xml:space="preserve"> </w:t>
      </w:r>
      <w:r>
        <w:t>Furthermore,</w:t>
      </w:r>
      <w:r>
        <w:rPr>
          <w:spacing w:val="-4"/>
        </w:rPr>
        <w:t xml:space="preserve"> </w:t>
      </w:r>
      <w:r>
        <w:t>the</w:t>
      </w:r>
      <w:r>
        <w:rPr>
          <w:spacing w:val="-4"/>
        </w:rPr>
        <w:t xml:space="preserve"> </w:t>
      </w:r>
      <w:r>
        <w:t>potential</w:t>
      </w:r>
      <w:r>
        <w:rPr>
          <w:spacing w:val="-4"/>
        </w:rPr>
        <w:t xml:space="preserve"> </w:t>
      </w:r>
      <w:r>
        <w:t>interaction</w:t>
      </w:r>
      <w:r>
        <w:rPr>
          <w:spacing w:val="-5"/>
        </w:rPr>
        <w:t xml:space="preserve"> </w:t>
      </w:r>
      <w:r>
        <w:t>between</w:t>
      </w:r>
      <w:r>
        <w:rPr>
          <w:spacing w:val="-5"/>
        </w:rPr>
        <w:t xml:space="preserve"> </w:t>
      </w:r>
      <w:proofErr w:type="spellStart"/>
      <w:r>
        <w:t>capivasertib</w:t>
      </w:r>
      <w:proofErr w:type="spellEnd"/>
      <w:r>
        <w:rPr>
          <w:spacing w:val="-5"/>
        </w:rPr>
        <w:t xml:space="preserve"> </w:t>
      </w:r>
      <w:r>
        <w:t>and</w:t>
      </w:r>
      <w:r>
        <w:rPr>
          <w:spacing w:val="-4"/>
        </w:rPr>
        <w:t xml:space="preserve"> </w:t>
      </w:r>
      <w:r>
        <w:t>metformin has not been characterised, therefore, metformin may not be an effective treatment either.</w:t>
      </w:r>
    </w:p>
    <w:p w14:paraId="30185FC4" w14:textId="09184A52" w:rsidR="003B1E52" w:rsidRDefault="003B1E52" w:rsidP="00861350">
      <w:r>
        <w:lastRenderedPageBreak/>
        <w:t xml:space="preserve">Without clinical evidence, it is not possible to determine the optimal management of </w:t>
      </w:r>
      <w:proofErr w:type="spellStart"/>
      <w:r>
        <w:t>capivasertib</w:t>
      </w:r>
      <w:proofErr w:type="spellEnd"/>
      <w:r w:rsidR="00CF6268">
        <w:t xml:space="preserve"> </w:t>
      </w:r>
      <w:r>
        <w:t>induced hyperglycaemia. In the CAPItello-291 trial, most patients were able to tolerate</w:t>
      </w:r>
      <w:r>
        <w:rPr>
          <w:spacing w:val="-3"/>
        </w:rPr>
        <w:t xml:space="preserve"> </w:t>
      </w:r>
      <w:r>
        <w:t>the</w:t>
      </w:r>
      <w:r>
        <w:rPr>
          <w:spacing w:val="-3"/>
        </w:rPr>
        <w:t xml:space="preserve"> </w:t>
      </w:r>
      <w:r>
        <w:t>hyperglycaemia,</w:t>
      </w:r>
      <w:r>
        <w:rPr>
          <w:spacing w:val="-3"/>
        </w:rPr>
        <w:t xml:space="preserve"> </w:t>
      </w:r>
      <w:r>
        <w:t>and</w:t>
      </w:r>
      <w:r>
        <w:rPr>
          <w:spacing w:val="-3"/>
        </w:rPr>
        <w:t xml:space="preserve"> </w:t>
      </w:r>
      <w:r>
        <w:t>given</w:t>
      </w:r>
      <w:r>
        <w:rPr>
          <w:spacing w:val="-4"/>
        </w:rPr>
        <w:t xml:space="preserve"> </w:t>
      </w:r>
      <w:r>
        <w:t>the</w:t>
      </w:r>
      <w:r>
        <w:rPr>
          <w:spacing w:val="-3"/>
        </w:rPr>
        <w:t xml:space="preserve"> </w:t>
      </w:r>
      <w:r>
        <w:t>PFS</w:t>
      </w:r>
      <w:r>
        <w:rPr>
          <w:spacing w:val="-2"/>
        </w:rPr>
        <w:t xml:space="preserve"> </w:t>
      </w:r>
      <w:r>
        <w:t>benefits</w:t>
      </w:r>
      <w:r>
        <w:rPr>
          <w:spacing w:val="-4"/>
        </w:rPr>
        <w:t xml:space="preserve"> </w:t>
      </w:r>
      <w:r>
        <w:t>of</w:t>
      </w:r>
      <w:r>
        <w:rPr>
          <w:spacing w:val="-3"/>
        </w:rPr>
        <w:t xml:space="preserve"> </w:t>
      </w:r>
      <w:proofErr w:type="spellStart"/>
      <w:r>
        <w:t>capivasertib</w:t>
      </w:r>
      <w:proofErr w:type="spellEnd"/>
      <w:r>
        <w:rPr>
          <w:spacing w:val="-4"/>
        </w:rPr>
        <w:t xml:space="preserve"> </w:t>
      </w:r>
      <w:r>
        <w:t>in</w:t>
      </w:r>
      <w:r>
        <w:rPr>
          <w:spacing w:val="-4"/>
        </w:rPr>
        <w:t xml:space="preserve"> </w:t>
      </w:r>
      <w:r>
        <w:t>this</w:t>
      </w:r>
      <w:r>
        <w:rPr>
          <w:spacing w:val="-2"/>
        </w:rPr>
        <w:t xml:space="preserve"> </w:t>
      </w:r>
      <w:r>
        <w:t>patient</w:t>
      </w:r>
      <w:r>
        <w:rPr>
          <w:spacing w:val="-3"/>
        </w:rPr>
        <w:t xml:space="preserve"> </w:t>
      </w:r>
      <w:r>
        <w:t xml:space="preserve">group with advanced cancer, this issue is not a barrier to registration. However, the delegate has requested changes to the PI to inform clinicians that the optimal management of hyperglycaemia has not been established. In addition, the delegate proposes a condition of registration that requires the sponsor to conduct a clinical RCT investigating the efficacy of metformin, an SGLT2 inhibitor, and placebo in the treatment of </w:t>
      </w:r>
      <w:proofErr w:type="spellStart"/>
      <w:r>
        <w:t>capivasertib</w:t>
      </w:r>
      <w:proofErr w:type="spellEnd"/>
      <w:r>
        <w:t xml:space="preserve"> induced hyperglycaemia. ACM advice is requested on whether such a study is warranted, and the wording of the condition of registration.</w:t>
      </w:r>
    </w:p>
    <w:p w14:paraId="0D171812" w14:textId="593B751D" w:rsidR="00C22214" w:rsidRDefault="00C22214" w:rsidP="009B39FA">
      <w:pPr>
        <w:pStyle w:val="Heading3"/>
      </w:pPr>
      <w:bookmarkStart w:id="85" w:name="_Toc191292211"/>
      <w:r>
        <w:t xml:space="preserve">Independent expert </w:t>
      </w:r>
      <w:r w:rsidRPr="009B39FA">
        <w:t>advice</w:t>
      </w:r>
      <w:bookmarkEnd w:id="85"/>
    </w:p>
    <w:p w14:paraId="4A031B64" w14:textId="723BFC10" w:rsidR="00C22214" w:rsidRDefault="00C22214" w:rsidP="00C22214">
      <w:pPr>
        <w:rPr>
          <w:szCs w:val="22"/>
        </w:rPr>
      </w:pPr>
      <w:r w:rsidRPr="00BD5DBD">
        <w:rPr>
          <w:szCs w:val="22"/>
        </w:rPr>
        <w:t xml:space="preserve">The </w:t>
      </w:r>
      <w:r w:rsidR="00CF6268">
        <w:rPr>
          <w:szCs w:val="22"/>
        </w:rPr>
        <w:t>d</w:t>
      </w:r>
      <w:r w:rsidRPr="00BD5DBD">
        <w:rPr>
          <w:szCs w:val="22"/>
        </w:rPr>
        <w:t>elegate received the following independent expert advice.</w:t>
      </w:r>
    </w:p>
    <w:p w14:paraId="318CFABC" w14:textId="3F128A3E" w:rsidR="00C22214" w:rsidRPr="00C176E0" w:rsidRDefault="00C22214" w:rsidP="009B39FA">
      <w:pPr>
        <w:pStyle w:val="Heading4"/>
      </w:pPr>
      <w:bookmarkStart w:id="86" w:name="_Toc98931936"/>
      <w:bookmarkStart w:id="87" w:name="_Toc191292212"/>
      <w:bookmarkStart w:id="88" w:name="_Toc247691532"/>
      <w:bookmarkStart w:id="89" w:name="_Toc314842516"/>
      <w:r w:rsidRPr="00C176E0">
        <w:t>Advisory Committee</w:t>
      </w:r>
      <w:r w:rsidR="00041FC1" w:rsidRPr="00C176E0">
        <w:t xml:space="preserve"> on Medicines</w:t>
      </w:r>
      <w:r w:rsidRPr="00C176E0">
        <w:t xml:space="preserve"> </w:t>
      </w:r>
      <w:r w:rsidR="00F44459" w:rsidRPr="00C176E0">
        <w:t xml:space="preserve">(ACM) </w:t>
      </w:r>
      <w:r w:rsidRPr="009B39FA">
        <w:t>considerations</w:t>
      </w:r>
      <w:bookmarkEnd w:id="86"/>
      <w:bookmarkEnd w:id="87"/>
    </w:p>
    <w:p w14:paraId="087BB9CB" w14:textId="32A4469A" w:rsidR="00C22214" w:rsidRPr="00BD5DBD" w:rsidRDefault="00C22214" w:rsidP="00C22214">
      <w:pPr>
        <w:rPr>
          <w:bCs/>
          <w:szCs w:val="22"/>
        </w:rPr>
      </w:pPr>
      <w:r w:rsidRPr="00BD5DBD">
        <w:rPr>
          <w:bCs/>
          <w:szCs w:val="22"/>
        </w:rPr>
        <w:t xml:space="preserve">The </w:t>
      </w:r>
      <w:hyperlink r:id="rId47"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w:t>
      </w:r>
      <w:r w:rsidR="00CF6268">
        <w:rPr>
          <w:bCs/>
          <w:szCs w:val="22"/>
        </w:rPr>
        <w:t>d</w:t>
      </w:r>
      <w:r w:rsidRPr="00BD5DBD">
        <w:rPr>
          <w:bCs/>
          <w:szCs w:val="22"/>
        </w:rPr>
        <w:t>elegate’s overview, as well as the sponsor’s response to these documents, advised the following.</w:t>
      </w:r>
    </w:p>
    <w:p w14:paraId="0A652E54" w14:textId="670E2357" w:rsidR="00470A52" w:rsidRPr="00F73346" w:rsidRDefault="00470A52" w:rsidP="009B39FA">
      <w:pPr>
        <w:pStyle w:val="Heading5"/>
      </w:pPr>
      <w:r w:rsidRPr="00F73346">
        <w:t xml:space="preserve">Specific </w:t>
      </w:r>
      <w:r w:rsidRPr="009B39FA">
        <w:t>advice</w:t>
      </w:r>
      <w:r w:rsidRPr="00F73346">
        <w:t xml:space="preserve"> to the </w:t>
      </w:r>
      <w:r w:rsidR="00385FFE">
        <w:t>d</w:t>
      </w:r>
      <w:r w:rsidRPr="00F73346">
        <w:t>elegate</w:t>
      </w:r>
    </w:p>
    <w:p w14:paraId="63AEEB5E" w14:textId="246EB007" w:rsidR="00687D7F" w:rsidRDefault="00687D7F" w:rsidP="00041FC1">
      <w:r>
        <w:t>The ACM advised the following in response to the</w:t>
      </w:r>
      <w:r w:rsidR="00385FFE">
        <w:t xml:space="preserve"> d</w:t>
      </w:r>
      <w:r>
        <w:t>elegate’s specific request for advice:</w:t>
      </w:r>
    </w:p>
    <w:p w14:paraId="1EE05226" w14:textId="4563B3D7" w:rsidR="00041FC1" w:rsidRPr="00385FFE" w:rsidRDefault="00687D7F" w:rsidP="00041FC1">
      <w:pPr>
        <w:pStyle w:val="Numberbullet0"/>
        <w:rPr>
          <w:b/>
          <w:bCs/>
          <w:i/>
          <w:iCs/>
        </w:rPr>
      </w:pPr>
      <w:r w:rsidRPr="00385FFE">
        <w:rPr>
          <w:b/>
          <w:bCs/>
          <w:i/>
          <w:iCs/>
        </w:rPr>
        <w:t>Please comment on your preferred wording for the indication. Specifically:</w:t>
      </w:r>
    </w:p>
    <w:p w14:paraId="48886517" w14:textId="1CF71AE5" w:rsidR="00687D7F" w:rsidRPr="00385FFE" w:rsidRDefault="00687D7F" w:rsidP="00041FC1">
      <w:pPr>
        <w:pStyle w:val="Numberbullet2"/>
        <w:rPr>
          <w:b/>
          <w:bCs/>
          <w:i/>
          <w:iCs/>
        </w:rPr>
      </w:pPr>
      <w:r w:rsidRPr="00385FFE">
        <w:rPr>
          <w:b/>
          <w:bCs/>
          <w:i/>
          <w:iCs/>
        </w:rPr>
        <w:t>Should the indication be restricted to the altered population?</w:t>
      </w:r>
    </w:p>
    <w:p w14:paraId="0203DA5D" w14:textId="4ECF8A39" w:rsidR="00687D7F" w:rsidRDefault="00687D7F" w:rsidP="00041FC1">
      <w:r>
        <w:t>The ACM was of the view that the indication should not be restricted to the altered population.</w:t>
      </w:r>
    </w:p>
    <w:p w14:paraId="68DCC41A" w14:textId="77777777" w:rsidR="00687D7F" w:rsidRDefault="00687D7F" w:rsidP="00041FC1">
      <w:r>
        <w:t xml:space="preserve">In forming this view the ACM noted that the progression free survival (PFS) benefit was demonstrated within the overall population and the altered population. While it was noted that the exploratory subgroup analysis suggested that PFS benefit is primarily driven by PIK3CA/AKT1/PTEN alteration, the ACM advised that this under powered exploratory analysis did not warrant restricting the indication, and that the indication should reflect the trial’s primary endpoint. </w:t>
      </w:r>
    </w:p>
    <w:p w14:paraId="785BFAA0" w14:textId="0AF68E0B" w:rsidR="00687D7F" w:rsidRPr="003338F5" w:rsidRDefault="00687D7F" w:rsidP="00041FC1">
      <w:pPr>
        <w:pStyle w:val="Numberbullet2"/>
        <w:rPr>
          <w:b/>
          <w:bCs/>
          <w:i/>
          <w:iCs/>
        </w:rPr>
      </w:pPr>
      <w:r w:rsidRPr="003338F5">
        <w:rPr>
          <w:b/>
          <w:bCs/>
          <w:i/>
          <w:iCs/>
        </w:rPr>
        <w:t>Which prior treatments should be specified in the indication?</w:t>
      </w:r>
    </w:p>
    <w:p w14:paraId="638177D8" w14:textId="2FB3ED9A" w:rsidR="00687D7F" w:rsidRPr="00041FC1" w:rsidRDefault="00687D7F" w:rsidP="00041FC1">
      <w:r w:rsidRPr="00041FC1">
        <w:t>The ACM supported the inclusion of the following statement in the indication</w:t>
      </w:r>
      <w:r w:rsidR="003338F5">
        <w:t>,</w:t>
      </w:r>
      <w:r w:rsidRPr="00041FC1">
        <w:t xml:space="preserve"> noting that within Australia this aligns with the standard of care.</w:t>
      </w:r>
    </w:p>
    <w:p w14:paraId="78DF9446" w14:textId="24AEE9DD" w:rsidR="00687D7F" w:rsidRDefault="00687D7F" w:rsidP="00041FC1">
      <w:pPr>
        <w:ind w:firstLine="720"/>
      </w:pPr>
      <w:proofErr w:type="gramStart"/>
      <w:r w:rsidRPr="00041FC1">
        <w:rPr>
          <w:i/>
          <w:iCs/>
        </w:rPr>
        <w:t>….following</w:t>
      </w:r>
      <w:proofErr w:type="gramEnd"/>
      <w:r w:rsidRPr="00041FC1">
        <w:rPr>
          <w:i/>
          <w:iCs/>
        </w:rPr>
        <w:t xml:space="preserve"> recurrence or progression on or after an endocrine based regimen.</w:t>
      </w:r>
    </w:p>
    <w:p w14:paraId="34483678" w14:textId="5FE2E1CB" w:rsidR="00687D7F" w:rsidRPr="00947843" w:rsidRDefault="00687D7F" w:rsidP="00041FC1">
      <w:pPr>
        <w:pStyle w:val="Numberbullet0"/>
        <w:rPr>
          <w:b/>
          <w:bCs/>
          <w:i/>
          <w:iCs/>
        </w:rPr>
      </w:pPr>
      <w:r w:rsidRPr="00947843">
        <w:rPr>
          <w:b/>
          <w:bCs/>
          <w:i/>
          <w:iCs/>
        </w:rPr>
        <w:t xml:space="preserve">Does the ACM support a proposed condition of registration requiring the sponsor to conduct a clinical study investigating the optimal management of </w:t>
      </w:r>
      <w:proofErr w:type="spellStart"/>
      <w:r w:rsidRPr="00947843">
        <w:rPr>
          <w:b/>
          <w:bCs/>
          <w:i/>
          <w:iCs/>
        </w:rPr>
        <w:t>capivasertib</w:t>
      </w:r>
      <w:proofErr w:type="spellEnd"/>
      <w:r w:rsidRPr="00947843">
        <w:rPr>
          <w:b/>
          <w:bCs/>
          <w:i/>
          <w:iCs/>
        </w:rPr>
        <w:t xml:space="preserve"> induced hyperglycaemia? If so, please advise on the optimal wording of the condition of registration. </w:t>
      </w:r>
    </w:p>
    <w:p w14:paraId="2DECCD1A" w14:textId="654E909C" w:rsidR="00687D7F" w:rsidRDefault="00687D7F" w:rsidP="00EB080F">
      <w:r>
        <w:t xml:space="preserve">The ACM was of the view that a condition of registration is not necessary. While it is important to understand the interaction of </w:t>
      </w:r>
      <w:proofErr w:type="spellStart"/>
      <w:r>
        <w:t>capivasertib</w:t>
      </w:r>
      <w:proofErr w:type="spellEnd"/>
      <w:r>
        <w:t xml:space="preserve"> with metformin, the ACM acknowledged that a specific clinical study would be challenging and complex. The ACM also noted that additional information is likely to become available from ongoing clinical studies in this space.</w:t>
      </w:r>
    </w:p>
    <w:p w14:paraId="70853955" w14:textId="120E9BE6" w:rsidR="00687D7F" w:rsidRDefault="00687D7F" w:rsidP="00EB080F">
      <w:r>
        <w:t xml:space="preserve">The ACM noted that hyperglycaemia of any grade occurred in 16.3% of the patients who received </w:t>
      </w:r>
      <w:proofErr w:type="spellStart"/>
      <w:r>
        <w:t>capivasertib</w:t>
      </w:r>
      <w:proofErr w:type="spellEnd"/>
      <w:r>
        <w:t>–</w:t>
      </w:r>
      <w:proofErr w:type="spellStart"/>
      <w:r>
        <w:t>fulvestrant</w:t>
      </w:r>
      <w:proofErr w:type="spellEnd"/>
      <w:r>
        <w:t xml:space="preserve"> and in 3.7% of those who received placebo–</w:t>
      </w:r>
      <w:proofErr w:type="spellStart"/>
      <w:r>
        <w:t>fulvestrant</w:t>
      </w:r>
      <w:proofErr w:type="spellEnd"/>
      <w:r>
        <w:t xml:space="preserve">. </w:t>
      </w:r>
      <w:r>
        <w:lastRenderedPageBreak/>
        <w:t>Hyperglycaemia was treated with dose adjustments, metformin, and insulin. The pharmacology data suggests that the hyperglycaemia may be due to insulin resistance and therefore an insulin sensitising agent would seem to be a logical treatment.</w:t>
      </w:r>
    </w:p>
    <w:p w14:paraId="41F55862" w14:textId="557F7742" w:rsidR="00687D7F" w:rsidRDefault="00687D7F" w:rsidP="00EB080F">
      <w:r>
        <w:t xml:space="preserve">The ACM also discussed challenges appropriately balancing glycaemic control, noting the dosing of </w:t>
      </w:r>
      <w:proofErr w:type="spellStart"/>
      <w:r w:rsidR="00F44459">
        <w:t>Truqap</w:t>
      </w:r>
      <w:proofErr w:type="spellEnd"/>
      <w:r>
        <w:t xml:space="preserve"> is taken twice daily for 4 days followed by 3 days off treatment. The ACM additionally advised that hyperglycaemia is a common side effect of similar therapies used in the field of oncology, and that treating physicians have adequate expertise in managing this condition.</w:t>
      </w:r>
    </w:p>
    <w:p w14:paraId="7928689C" w14:textId="160EFB5E" w:rsidR="00687D7F" w:rsidRDefault="00687D7F" w:rsidP="00EB080F">
      <w:r>
        <w:t>The ACM noted that the CMI could include some additional information on monitoring blood sugar. In addition, UTI is mentioned in the CMI but not the PI, and this should be corrected.</w:t>
      </w:r>
    </w:p>
    <w:p w14:paraId="1E421505" w14:textId="6F624558" w:rsidR="00687D7F" w:rsidRPr="00193E26" w:rsidRDefault="00687D7F" w:rsidP="00EB080F">
      <w:pPr>
        <w:pStyle w:val="Numberbullet0"/>
        <w:rPr>
          <w:b/>
          <w:bCs/>
          <w:i/>
          <w:iCs/>
        </w:rPr>
      </w:pPr>
      <w:r w:rsidRPr="00193E26">
        <w:rPr>
          <w:b/>
          <w:bCs/>
          <w:i/>
          <w:iCs/>
        </w:rPr>
        <w:t xml:space="preserve">Is the safety and efficacy information in the PI adequate to support clinicians to make risk-benefit assessments for individual patients? </w:t>
      </w:r>
    </w:p>
    <w:p w14:paraId="28362777" w14:textId="57CDF733" w:rsidR="00687D7F" w:rsidRDefault="00687D7F" w:rsidP="00EB080F">
      <w:r>
        <w:t xml:space="preserve">Noting that </w:t>
      </w:r>
      <w:proofErr w:type="spellStart"/>
      <w:r w:rsidR="00F44459">
        <w:t>Truqap</w:t>
      </w:r>
      <w:proofErr w:type="spellEnd"/>
      <w:r>
        <w:t xml:space="preserve"> would be initiated and supervised by physicians experienced in the use of anticancer medicinal products, the ACM was of the view that the safety and efficacy information in the PI is adequate to support clinicians to make risk-benefit assessments for individual patients.</w:t>
      </w:r>
    </w:p>
    <w:p w14:paraId="3CF9A493" w14:textId="4094D606" w:rsidR="00687D7F" w:rsidRPr="00687D7F" w:rsidRDefault="00687D7F" w:rsidP="00EB080F">
      <w:r>
        <w:rPr>
          <w:szCs w:val="22"/>
        </w:rPr>
        <w:t>The ACM noted that for each adverse event within Section 4.4. Special Warning and Precautions for Use, it would be helpful to indicate whether the patients who experienced adverse events were in the treatment or placebo arm of the CAPItello-291 study.</w:t>
      </w:r>
    </w:p>
    <w:p w14:paraId="64181400" w14:textId="7D813915" w:rsidR="00470A52" w:rsidRPr="00F73346" w:rsidRDefault="00F44459" w:rsidP="00C176E0">
      <w:pPr>
        <w:pStyle w:val="Heading5"/>
      </w:pPr>
      <w:r>
        <w:t xml:space="preserve">ACM </w:t>
      </w:r>
      <w:r w:rsidR="009B39FA">
        <w:t>c</w:t>
      </w:r>
      <w:r w:rsidR="00470A52" w:rsidRPr="00F73346">
        <w:t>onclusion</w:t>
      </w:r>
    </w:p>
    <w:p w14:paraId="152D5419" w14:textId="77777777" w:rsidR="00687D7F" w:rsidRDefault="00687D7F" w:rsidP="00A72EE0">
      <w:r>
        <w:t xml:space="preserve">The ACM considered this product to have an overall positive benefit-risk profile for the indication: </w:t>
      </w:r>
    </w:p>
    <w:p w14:paraId="4E5D3E0C" w14:textId="070001A7" w:rsidR="00687D7F" w:rsidRPr="00F44459" w:rsidRDefault="00687D7F" w:rsidP="00F44459">
      <w:pPr>
        <w:ind w:left="720"/>
        <w:rPr>
          <w:i/>
          <w:iCs/>
        </w:rPr>
      </w:pPr>
      <w:r w:rsidRPr="00F44459">
        <w:rPr>
          <w:i/>
          <w:iCs/>
        </w:rPr>
        <w:t xml:space="preserve">TRUQAP is indicated in combination with </w:t>
      </w:r>
      <w:proofErr w:type="spellStart"/>
      <w:r w:rsidRPr="00F44459">
        <w:rPr>
          <w:i/>
          <w:iCs/>
        </w:rPr>
        <w:t>fulvestrant</w:t>
      </w:r>
      <w:proofErr w:type="spellEnd"/>
      <w:r w:rsidRPr="00F44459">
        <w:rPr>
          <w:i/>
          <w:iCs/>
        </w:rPr>
        <w:t xml:space="preserve"> for the treatment of adult patients with hormone receptor (HR) positive, human epidermal growth factor receptor 2 (HER2) negative (defined as IHC 0 or 1+, or IHC 2+/ISH−) locally advanced or metastatic breast cancer following recurrence or progression on or after an endocrine based regimen.</w:t>
      </w:r>
    </w:p>
    <w:p w14:paraId="307F236C" w14:textId="01029AFA" w:rsidR="00C22214" w:rsidRPr="002E238E" w:rsidRDefault="00A51F5A" w:rsidP="009B39FA">
      <w:pPr>
        <w:pStyle w:val="Heading2"/>
      </w:pPr>
      <w:bookmarkStart w:id="90" w:name="_Toc191292213"/>
      <w:bookmarkEnd w:id="88"/>
      <w:bookmarkEnd w:id="89"/>
      <w:r w:rsidRPr="009B39FA">
        <w:t>Regulatory</w:t>
      </w:r>
      <w:r>
        <w:t xml:space="preserve"> decision (outcome)</w:t>
      </w:r>
      <w:bookmarkEnd w:id="90"/>
    </w:p>
    <w:p w14:paraId="103C92B0" w14:textId="77777777" w:rsidR="00015D09" w:rsidRDefault="00C22214" w:rsidP="0006104E">
      <w:r w:rsidRPr="0017005C">
        <w:t xml:space="preserve">Based on a review of quality, safety, and efficacy, the TGA </w:t>
      </w:r>
      <w:r w:rsidR="00B46DFB">
        <w:t>decided to</w:t>
      </w:r>
      <w:r w:rsidRPr="0017005C">
        <w:t xml:space="preserve"> </w:t>
      </w:r>
      <w:r w:rsidR="00015D09">
        <w:t>approve the registration of:</w:t>
      </w:r>
    </w:p>
    <w:p w14:paraId="72BC19FC" w14:textId="638F3EAB" w:rsidR="00015D09" w:rsidRDefault="00015D09" w:rsidP="00015D09">
      <w:pPr>
        <w:pStyle w:val="ListBullet"/>
      </w:pPr>
      <w:proofErr w:type="spellStart"/>
      <w:r>
        <w:t>Truqap</w:t>
      </w:r>
      <w:proofErr w:type="spellEnd"/>
      <w:r w:rsidR="001759BD">
        <w:t>,</w:t>
      </w:r>
      <w:r>
        <w:t xml:space="preserve"> </w:t>
      </w:r>
      <w:proofErr w:type="spellStart"/>
      <w:r>
        <w:t>capivasertib</w:t>
      </w:r>
      <w:proofErr w:type="spellEnd"/>
      <w:r>
        <w:t xml:space="preserve"> 200 mg film coated tablet blister pack</w:t>
      </w:r>
    </w:p>
    <w:p w14:paraId="353DD3BB" w14:textId="4AE8874A" w:rsidR="00015D09" w:rsidRDefault="00015D09" w:rsidP="00015D09">
      <w:pPr>
        <w:pStyle w:val="ListBullet"/>
      </w:pPr>
      <w:proofErr w:type="spellStart"/>
      <w:r>
        <w:t>Truqap</w:t>
      </w:r>
      <w:proofErr w:type="spellEnd"/>
      <w:r w:rsidR="00715C7F">
        <w:t>,</w:t>
      </w:r>
      <w:r>
        <w:t xml:space="preserve"> </w:t>
      </w:r>
      <w:proofErr w:type="spellStart"/>
      <w:r>
        <w:t>capivasertib</w:t>
      </w:r>
      <w:proofErr w:type="spellEnd"/>
      <w:r>
        <w:t xml:space="preserve"> 160 mg film coated tablet blister pack</w:t>
      </w:r>
    </w:p>
    <w:p w14:paraId="1FF07817" w14:textId="6987673F" w:rsidR="00015D09" w:rsidRDefault="00015D09" w:rsidP="003411A3">
      <w:r>
        <w:t>The approved indication for these therapeutic goods is as follows.</w:t>
      </w:r>
    </w:p>
    <w:p w14:paraId="2A8A7C68" w14:textId="3FB757E5" w:rsidR="00015D09" w:rsidRPr="003411A3" w:rsidRDefault="00715C7F" w:rsidP="003411A3">
      <w:pPr>
        <w:ind w:left="720"/>
        <w:rPr>
          <w:i/>
          <w:iCs/>
        </w:rPr>
      </w:pPr>
      <w:proofErr w:type="spellStart"/>
      <w:r w:rsidRPr="003411A3">
        <w:rPr>
          <w:i/>
          <w:iCs/>
        </w:rPr>
        <w:t>Truqap</w:t>
      </w:r>
      <w:proofErr w:type="spellEnd"/>
      <w:r w:rsidRPr="003411A3">
        <w:rPr>
          <w:i/>
          <w:iCs/>
        </w:rPr>
        <w:t xml:space="preserve"> i</w:t>
      </w:r>
      <w:r w:rsidR="00015D09" w:rsidRPr="003411A3">
        <w:rPr>
          <w:i/>
          <w:iCs/>
        </w:rPr>
        <w:t xml:space="preserve">s indicated in combination with </w:t>
      </w:r>
      <w:proofErr w:type="spellStart"/>
      <w:r w:rsidR="00015D09" w:rsidRPr="003411A3">
        <w:rPr>
          <w:i/>
          <w:iCs/>
        </w:rPr>
        <w:t>fulvestrant</w:t>
      </w:r>
      <w:proofErr w:type="spellEnd"/>
      <w:r w:rsidR="00015D09" w:rsidRPr="003411A3">
        <w:rPr>
          <w:i/>
          <w:iCs/>
        </w:rPr>
        <w:t xml:space="preserve"> for the treatment of adult patients</w:t>
      </w:r>
      <w:r w:rsidR="003411A3" w:rsidRPr="003411A3">
        <w:rPr>
          <w:i/>
          <w:iCs/>
        </w:rPr>
        <w:t xml:space="preserve"> </w:t>
      </w:r>
      <w:r w:rsidR="00015D09" w:rsidRPr="003411A3">
        <w:rPr>
          <w:i/>
          <w:iCs/>
        </w:rPr>
        <w:t>with hormone receptor (HR) positive, human epidermal growth factor receptor 2 (HER2) negative (defined as IHC 0 or 1+, or IHC 2+/ISH-) locally advanced or metastatic breast cancer following recurrence or progression on or after an endocrine based regimen.</w:t>
      </w:r>
    </w:p>
    <w:p w14:paraId="248FB0C9" w14:textId="40BEB83B" w:rsidR="00A72EE0" w:rsidRPr="003411A3" w:rsidRDefault="00A72EE0" w:rsidP="003411A3">
      <w:pPr>
        <w:pStyle w:val="Heading3"/>
      </w:pPr>
      <w:bookmarkStart w:id="91" w:name="_Toc103679301"/>
      <w:bookmarkStart w:id="92" w:name="_Toc178160184"/>
      <w:bookmarkStart w:id="93" w:name="_Toc191292214"/>
      <w:bookmarkStart w:id="94" w:name="_Toc103679303"/>
      <w:r w:rsidRPr="00D23139">
        <w:t xml:space="preserve">Specific </w:t>
      </w:r>
      <w:r w:rsidRPr="003411A3">
        <w:t>conditions</w:t>
      </w:r>
      <w:r w:rsidRPr="00D23139">
        <w:t xml:space="preserve"> of registration applying to these goods</w:t>
      </w:r>
      <w:bookmarkEnd w:id="91"/>
      <w:bookmarkEnd w:id="92"/>
      <w:bookmarkEnd w:id="93"/>
    </w:p>
    <w:p w14:paraId="7AF55E75" w14:textId="3E1187A5" w:rsidR="00A72EE0" w:rsidRPr="00A72EE0" w:rsidRDefault="00A72EE0" w:rsidP="00A72EE0">
      <w:pPr>
        <w:contextualSpacing/>
        <w:rPr>
          <w:szCs w:val="22"/>
        </w:rPr>
      </w:pPr>
      <w:proofErr w:type="spellStart"/>
      <w:r w:rsidRPr="00A72EE0">
        <w:rPr>
          <w:szCs w:val="22"/>
        </w:rPr>
        <w:t>Truqap</w:t>
      </w:r>
      <w:proofErr w:type="spellEnd"/>
      <w:r w:rsidRPr="00A72EE0">
        <w:rPr>
          <w:szCs w:val="22"/>
        </w:rPr>
        <w:t xml:space="preserve"> (</w:t>
      </w:r>
      <w:proofErr w:type="spellStart"/>
      <w:r w:rsidRPr="00A72EE0">
        <w:rPr>
          <w:szCs w:val="22"/>
        </w:rPr>
        <w:t>capivasertib</w:t>
      </w:r>
      <w:proofErr w:type="spellEnd"/>
      <w:r w:rsidRPr="00A72EE0">
        <w:rPr>
          <w:szCs w:val="22"/>
        </w:rPr>
        <w:t>) is to be included in the Black Triangle Scheme. The PI and CMI</w:t>
      </w:r>
    </w:p>
    <w:p w14:paraId="3235B899" w14:textId="0F0F36E0" w:rsidR="00A72EE0" w:rsidRPr="00A72EE0" w:rsidRDefault="00A72EE0" w:rsidP="00A72EE0">
      <w:pPr>
        <w:contextualSpacing/>
        <w:rPr>
          <w:szCs w:val="22"/>
        </w:rPr>
      </w:pPr>
      <w:r w:rsidRPr="00A72EE0">
        <w:rPr>
          <w:szCs w:val="22"/>
        </w:rPr>
        <w:t xml:space="preserve">for </w:t>
      </w:r>
      <w:proofErr w:type="spellStart"/>
      <w:r w:rsidRPr="00A72EE0">
        <w:rPr>
          <w:szCs w:val="22"/>
        </w:rPr>
        <w:t>Truqap</w:t>
      </w:r>
      <w:proofErr w:type="spellEnd"/>
      <w:r w:rsidRPr="00A72EE0">
        <w:rPr>
          <w:szCs w:val="22"/>
        </w:rPr>
        <w:t xml:space="preserve"> must include the black triangle symbol and mandatory accompanying text</w:t>
      </w:r>
    </w:p>
    <w:p w14:paraId="67A6E058" w14:textId="1BDF300B" w:rsidR="00A72EE0" w:rsidRDefault="00A72EE0" w:rsidP="00A72EE0">
      <w:pPr>
        <w:rPr>
          <w:szCs w:val="22"/>
        </w:rPr>
      </w:pPr>
      <w:r w:rsidRPr="00A72EE0">
        <w:rPr>
          <w:szCs w:val="22"/>
        </w:rPr>
        <w:t>for five years, which starts from the date of first supply of the product.</w:t>
      </w:r>
    </w:p>
    <w:p w14:paraId="5248CCCA" w14:textId="1AFE8D53" w:rsidR="00A72EE0" w:rsidRPr="00A72EE0" w:rsidRDefault="00A72EE0" w:rsidP="00A72EE0">
      <w:pPr>
        <w:rPr>
          <w:szCs w:val="22"/>
        </w:rPr>
      </w:pPr>
      <w:r w:rsidRPr="00A72EE0">
        <w:rPr>
          <w:szCs w:val="22"/>
        </w:rPr>
        <w:lastRenderedPageBreak/>
        <w:t>The TRUQAP EU-Risk Management Plan (RMP) (Version 1 Succession 1, date 24 March</w:t>
      </w:r>
      <w:r>
        <w:rPr>
          <w:szCs w:val="22"/>
        </w:rPr>
        <w:t xml:space="preserve"> </w:t>
      </w:r>
      <w:r w:rsidRPr="00A72EE0">
        <w:rPr>
          <w:szCs w:val="22"/>
        </w:rPr>
        <w:t>2023; DLP 15 August 2022), with Australian Specific Annex (Version 1.0 Succession 1,</w:t>
      </w:r>
      <w:r>
        <w:rPr>
          <w:szCs w:val="22"/>
        </w:rPr>
        <w:t xml:space="preserve"> </w:t>
      </w:r>
      <w:r w:rsidRPr="00A72EE0">
        <w:rPr>
          <w:szCs w:val="22"/>
        </w:rPr>
        <w:t>dated 4 April 2023), included with submission PM-2023-01677-1-4, and any</w:t>
      </w:r>
      <w:r>
        <w:rPr>
          <w:szCs w:val="22"/>
        </w:rPr>
        <w:t xml:space="preserve"> </w:t>
      </w:r>
      <w:r w:rsidRPr="00A72EE0">
        <w:rPr>
          <w:szCs w:val="22"/>
        </w:rPr>
        <w:t>subsequent revisions, as agreed with the TGA will be implemented in Australia.</w:t>
      </w:r>
    </w:p>
    <w:p w14:paraId="4D412800" w14:textId="5C42DFCD" w:rsidR="00A72EE0" w:rsidRDefault="00A72EE0" w:rsidP="00A72EE0">
      <w:pPr>
        <w:rPr>
          <w:szCs w:val="22"/>
        </w:rPr>
      </w:pPr>
      <w:r w:rsidRPr="00A72EE0">
        <w:rPr>
          <w:szCs w:val="22"/>
        </w:rPr>
        <w:t>An obligatory component of risk management plans is routine pharmacovigilance.</w:t>
      </w:r>
      <w:r>
        <w:rPr>
          <w:szCs w:val="22"/>
        </w:rPr>
        <w:t xml:space="preserve"> </w:t>
      </w:r>
      <w:r w:rsidRPr="00A72EE0">
        <w:rPr>
          <w:szCs w:val="22"/>
        </w:rPr>
        <w:t>Routine pharmacovigilance includes the submission of periodic safety update reports</w:t>
      </w:r>
      <w:r>
        <w:rPr>
          <w:szCs w:val="22"/>
        </w:rPr>
        <w:t xml:space="preserve"> </w:t>
      </w:r>
      <w:r w:rsidRPr="00A72EE0">
        <w:rPr>
          <w:szCs w:val="22"/>
        </w:rPr>
        <w:t>(PSURs).</w:t>
      </w:r>
    </w:p>
    <w:p w14:paraId="553D0E60" w14:textId="2E2CF17D" w:rsidR="00A72EE0" w:rsidRPr="00A72EE0" w:rsidRDefault="00A72EE0" w:rsidP="003411A3">
      <w:r w:rsidRPr="00A72EE0">
        <w:t>Unless agreed separately between the supplier who is the recipient of the approval and</w:t>
      </w:r>
      <w:r>
        <w:t xml:space="preserve"> </w:t>
      </w:r>
      <w:r w:rsidRPr="00A72EE0">
        <w:t>the TGA, the first report must be submitted to TGA no later than 15 calendar months</w:t>
      </w:r>
      <w:r>
        <w:t xml:space="preserve"> </w:t>
      </w:r>
      <w:r w:rsidRPr="00A72EE0">
        <w:t>after the date of this approval letter. The subsequent reports must be submitted no less</w:t>
      </w:r>
      <w:r>
        <w:t xml:space="preserve"> </w:t>
      </w:r>
      <w:r w:rsidRPr="00A72EE0">
        <w:t>frequently than annually from the date of the first submitted report until the period</w:t>
      </w:r>
      <w:r>
        <w:t xml:space="preserve"> </w:t>
      </w:r>
      <w:r w:rsidRPr="00A72EE0">
        <w:t>covered by such reports is not less than three years from the date of this approval</w:t>
      </w:r>
      <w:r>
        <w:t xml:space="preserve"> </w:t>
      </w:r>
      <w:r w:rsidRPr="00A72EE0">
        <w:t>letter. The annual submission may be made up of two PSURs each covering six months.</w:t>
      </w:r>
      <w:r>
        <w:t xml:space="preserve"> </w:t>
      </w:r>
      <w:r w:rsidRPr="00A72EE0">
        <w:t>If the sponsor wishes, the six-monthly reports may be submitted separately as they</w:t>
      </w:r>
      <w:r>
        <w:t xml:space="preserve"> </w:t>
      </w:r>
      <w:r w:rsidRPr="00A72EE0">
        <w:t>become available.</w:t>
      </w:r>
    </w:p>
    <w:p w14:paraId="0D62F024" w14:textId="0C909218" w:rsidR="00A72EE0" w:rsidRDefault="00A72EE0" w:rsidP="003411A3">
      <w:r>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approval.</w:t>
      </w:r>
    </w:p>
    <w:p w14:paraId="305F5CD1" w14:textId="359EA83A" w:rsidR="00A72EE0" w:rsidRPr="00A72EE0" w:rsidRDefault="00A72EE0" w:rsidP="003411A3">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be submitted within ninety calendar days of the data lock point for that report.</w:t>
      </w:r>
    </w:p>
    <w:p w14:paraId="451DC3FC" w14:textId="77CA1907" w:rsidR="00C22214" w:rsidRDefault="00A72EE0" w:rsidP="003411A3">
      <w:pPr>
        <w:pStyle w:val="Heading2"/>
      </w:pPr>
      <w:bookmarkStart w:id="95" w:name="_Toc191292215"/>
      <w:r>
        <w:t>Pr</w:t>
      </w:r>
      <w:r w:rsidR="00C22214">
        <w:t xml:space="preserve">oduct </w:t>
      </w:r>
      <w:r w:rsidR="00C22214" w:rsidRPr="003411A3">
        <w:t>Information</w:t>
      </w:r>
      <w:bookmarkEnd w:id="94"/>
      <w:r w:rsidR="0007152B">
        <w:t xml:space="preserve"> (PI)</w:t>
      </w:r>
      <w:bookmarkEnd w:id="95"/>
    </w:p>
    <w:p w14:paraId="7EE89DF5" w14:textId="5BC5A3E1" w:rsidR="0007152B" w:rsidRPr="003411A3" w:rsidRDefault="0007152B" w:rsidP="0007152B">
      <w:r w:rsidRPr="00BD5DBD">
        <w:rPr>
          <w:szCs w:val="22"/>
        </w:rPr>
        <w:t>The</w:t>
      </w:r>
      <w:r w:rsidR="00203B8A">
        <w:rPr>
          <w:szCs w:val="22"/>
        </w:rPr>
        <w:t xml:space="preserve"> </w:t>
      </w:r>
      <w:hyperlink r:id="rId48" w:history="1">
        <w:r w:rsidR="00203B8A" w:rsidRPr="00203B8A">
          <w:rPr>
            <w:rStyle w:val="Hyperlink"/>
            <w:szCs w:val="22"/>
          </w:rPr>
          <w:t>Product Information (PI)</w:t>
        </w:r>
      </w:hyperlink>
      <w:r w:rsidR="00203B8A">
        <w:rPr>
          <w:szCs w:val="22"/>
        </w:rPr>
        <w:t xml:space="preserve"> </w:t>
      </w:r>
      <w:r w:rsidRPr="00BD5DBD">
        <w:rPr>
          <w:szCs w:val="22"/>
        </w:rPr>
        <w:t>approved with th</w:t>
      </w:r>
      <w:r w:rsidR="00F174AE">
        <w:rPr>
          <w:szCs w:val="22"/>
        </w:rPr>
        <w:t>is</w:t>
      </w:r>
      <w:r w:rsidRPr="00BD5DBD">
        <w:rPr>
          <w:szCs w:val="22"/>
        </w:rPr>
        <w:t xml:space="preserve"> submission</w:t>
      </w:r>
      <w:r w:rsidRPr="0017005C">
        <w:rPr>
          <w:szCs w:val="22"/>
        </w:rPr>
        <w:t xml:space="preserve"> </w:t>
      </w:r>
      <w:r w:rsidRPr="00BD5DBD">
        <w:rPr>
          <w:szCs w:val="22"/>
        </w:rPr>
        <w:t xml:space="preserve">for </w:t>
      </w:r>
      <w:proofErr w:type="spellStart"/>
      <w:r>
        <w:t>Truqap</w:t>
      </w:r>
      <w:proofErr w:type="spellEnd"/>
      <w:r w:rsidRPr="00BD5DBD">
        <w:rPr>
          <w:szCs w:val="22"/>
        </w:rPr>
        <w:t xml:space="preserve"> can be found a</w:t>
      </w:r>
      <w:r w:rsidR="00E97550">
        <w:rPr>
          <w:szCs w:val="22"/>
        </w:rPr>
        <w:t>t</w:t>
      </w:r>
      <w:r w:rsidRPr="00BD5DBD">
        <w:rPr>
          <w:szCs w:val="22"/>
        </w:rPr>
        <w:t xml:space="preserve"> Attachment 1. </w:t>
      </w:r>
      <w:r>
        <w:t xml:space="preserve">It may have been superseded. </w:t>
      </w:r>
      <w:r w:rsidRPr="00BD5DBD">
        <w:rPr>
          <w:szCs w:val="22"/>
        </w:rPr>
        <w:t xml:space="preserve">For the </w:t>
      </w:r>
      <w:r>
        <w:rPr>
          <w:szCs w:val="22"/>
        </w:rPr>
        <w:t xml:space="preserve">current </w:t>
      </w:r>
      <w:r w:rsidRPr="00BD5DBD">
        <w:rPr>
          <w:szCs w:val="22"/>
        </w:rPr>
        <w:t xml:space="preserve">PI and </w:t>
      </w:r>
      <w:hyperlink r:id="rId49" w:history="1">
        <w:r w:rsidRPr="00BD5DBD">
          <w:rPr>
            <w:rStyle w:val="Hyperlink"/>
            <w:szCs w:val="22"/>
          </w:rPr>
          <w:t>Consumer Medicines Information</w:t>
        </w:r>
      </w:hyperlink>
      <w:r w:rsidRPr="00BD5DBD">
        <w:rPr>
          <w:szCs w:val="22"/>
        </w:rPr>
        <w:t xml:space="preserve"> (CMI), please refer to the TGA </w:t>
      </w:r>
      <w:hyperlink r:id="rId50" w:history="1">
        <w:r w:rsidRPr="00BD5DBD">
          <w:rPr>
            <w:rStyle w:val="Hyperlink"/>
            <w:szCs w:val="22"/>
          </w:rPr>
          <w:t>PI/CMI search facility</w:t>
        </w:r>
        <w:r w:rsidRPr="003411A3">
          <w:t>.</w:t>
        </w:r>
      </w:hyperlink>
    </w:p>
    <w:p w14:paraId="53357BF3" w14:textId="276457B5" w:rsidR="00C22214" w:rsidRDefault="00C22214" w:rsidP="00C22214">
      <w:pPr>
        <w:rPr>
          <w:lang w:eastAsia="ja-JP"/>
        </w:rPr>
        <w:sectPr w:rsidR="00C22214" w:rsidSect="00CE6039">
          <w:headerReference w:type="default" r:id="rId51"/>
          <w:footerReference w:type="default" r:id="rId52"/>
          <w:pgSz w:w="11906" w:h="16838" w:code="9"/>
          <w:pgMar w:top="1134" w:right="1418" w:bottom="1560"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53"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54" w:history="1">
              <w:r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09FF0CC2" w:rsidR="00F02AEC" w:rsidRPr="004C1AC8" w:rsidRDefault="00DC7D69" w:rsidP="004C1AC8">
            <w:pPr>
              <w:jc w:val="center"/>
            </w:pPr>
            <w:hyperlink r:id="rId55" w:history="1">
              <w:r w:rsidRPr="004C1AC8">
                <w:rPr>
                  <w:rStyle w:val="Hyperlink"/>
                  <w:rFonts w:ascii="Arial" w:hAnsi="Arial"/>
                  <w:color w:val="auto"/>
                  <w:u w:val="none"/>
                </w:rPr>
                <w:t>D24-3615705</w:t>
              </w:r>
            </w:hyperlink>
          </w:p>
        </w:tc>
      </w:tr>
    </w:tbl>
    <w:p w14:paraId="788B80FD" w14:textId="77777777" w:rsidR="007452E8" w:rsidRDefault="007452E8"/>
    <w:sectPr w:rsidR="007452E8" w:rsidSect="007452E8">
      <w:headerReference w:type="first" r:id="rId56"/>
      <w:footerReference w:type="first" r:id="rId57"/>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BDEED" w14:textId="77777777" w:rsidR="00C7660C" w:rsidRDefault="00C7660C" w:rsidP="00F02AEC">
      <w:pPr>
        <w:spacing w:after="0" w:line="240" w:lineRule="auto"/>
      </w:pPr>
      <w:r>
        <w:separator/>
      </w:r>
    </w:p>
  </w:endnote>
  <w:endnote w:type="continuationSeparator" w:id="0">
    <w:p w14:paraId="60EF4666" w14:textId="77777777" w:rsidR="00C7660C" w:rsidRDefault="00C7660C" w:rsidP="00F02AEC">
      <w:pPr>
        <w:spacing w:after="0" w:line="240" w:lineRule="auto"/>
      </w:pPr>
      <w:r>
        <w:continuationSeparator/>
      </w:r>
    </w:p>
  </w:endnote>
  <w:endnote w:type="continuationNotice" w:id="1">
    <w:p w14:paraId="1DFF72DE" w14:textId="77777777" w:rsidR="00C7660C" w:rsidRDefault="00C766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Cambria-Italic">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672E7B" w:rsidRPr="00257138" w14:paraId="162D69C2" w14:textId="77777777" w:rsidTr="007452E8">
      <w:trPr>
        <w:trHeight w:val="423"/>
      </w:trPr>
      <w:tc>
        <w:tcPr>
          <w:tcW w:w="4360" w:type="dxa"/>
          <w:tcBorders>
            <w:top w:val="single" w:sz="4" w:space="0" w:color="auto"/>
          </w:tcBorders>
        </w:tcPr>
        <w:p w14:paraId="599950E2" w14:textId="77777777" w:rsidR="00672E7B" w:rsidRDefault="00672E7B" w:rsidP="00672E7B">
          <w:pPr>
            <w:pStyle w:val="Footer"/>
          </w:pPr>
          <w:proofErr w:type="spellStart"/>
          <w:r>
            <w:t>AusPAR</w:t>
          </w:r>
          <w:proofErr w:type="spellEnd"/>
          <w:r>
            <w:t xml:space="preserve"> – </w:t>
          </w:r>
          <w:proofErr w:type="spellStart"/>
          <w:r>
            <w:t>Truqap</w:t>
          </w:r>
          <w:proofErr w:type="spellEnd"/>
          <w:r>
            <w:t xml:space="preserve"> – </w:t>
          </w:r>
          <w:proofErr w:type="spellStart"/>
          <w:r>
            <w:t>capivasertib</w:t>
          </w:r>
          <w:proofErr w:type="spellEnd"/>
          <w:r>
            <w:t xml:space="preserve"> – </w:t>
          </w:r>
          <w:proofErr w:type="spellStart"/>
          <w:r>
            <w:t>AstraZeneka</w:t>
          </w:r>
          <w:proofErr w:type="spellEnd"/>
          <w:r>
            <w:t xml:space="preserve"> Pty Ltd</w:t>
          </w:r>
        </w:p>
        <w:p w14:paraId="1849C07C" w14:textId="4DC909DD" w:rsidR="00672E7B" w:rsidRPr="00257138" w:rsidRDefault="00672E7B" w:rsidP="00672E7B">
          <w:pPr>
            <w:pStyle w:val="Footer"/>
          </w:pPr>
          <w:r>
            <w:t>Draft V1.0 September 2024</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672E7B" w:rsidRDefault="00672E7B" w:rsidP="00672E7B">
              <w:pPr>
                <w:pStyle w:val="Footer"/>
                <w:jc w:val="right"/>
              </w:pPr>
            </w:p>
            <w:p w14:paraId="5EDE6DF6" w14:textId="0C07A03D" w:rsidR="00672E7B" w:rsidRPr="00257138" w:rsidRDefault="00672E7B" w:rsidP="00672E7B">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w:t>
              </w:r>
              <w:r>
                <w:rPr>
                  <w:noProof/>
                </w:rPr>
                <w:fldChar w:fldCharType="end"/>
              </w:r>
            </w:p>
          </w:sdtContent>
        </w:sdt>
      </w:tc>
    </w:tr>
    <w:tr w:rsidR="00672E7B" w:rsidRPr="00257138" w14:paraId="280F09C8" w14:textId="77777777" w:rsidTr="007452E8">
      <w:trPr>
        <w:trHeight w:val="263"/>
      </w:trPr>
      <w:tc>
        <w:tcPr>
          <w:tcW w:w="4360" w:type="dxa"/>
        </w:tcPr>
        <w:p w14:paraId="673F06D3" w14:textId="6F6AFA48" w:rsidR="00672E7B" w:rsidRPr="00257138" w:rsidRDefault="00672E7B" w:rsidP="00672E7B">
          <w:pPr>
            <w:pStyle w:val="Footer"/>
          </w:pPr>
        </w:p>
      </w:tc>
      <w:tc>
        <w:tcPr>
          <w:tcW w:w="4360" w:type="dxa"/>
        </w:tcPr>
        <w:p w14:paraId="77F5B433" w14:textId="77777777" w:rsidR="00672E7B" w:rsidRPr="00257138" w:rsidRDefault="00672E7B" w:rsidP="00672E7B">
          <w:pPr>
            <w:pStyle w:val="Footer"/>
            <w:jc w:val="right"/>
          </w:pPr>
        </w:p>
      </w:tc>
    </w:tr>
  </w:tbl>
  <w:p w14:paraId="63F6FDDE" w14:textId="77777777" w:rsidR="007452E8" w:rsidRPr="00826007" w:rsidRDefault="007452E8" w:rsidP="00E975DC">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3086E403" w:rsidR="007452E8" w:rsidRPr="004A3084" w:rsidRDefault="007452E8" w:rsidP="007452E8">
          <w:pPr>
            <w:pStyle w:val="Footer"/>
          </w:pPr>
          <w:proofErr w:type="spellStart"/>
          <w:r w:rsidRPr="00487162">
            <w:t>AusPA</w:t>
          </w:r>
          <w:r>
            <w:t>R</w:t>
          </w:r>
          <w:proofErr w:type="spellEnd"/>
          <w:r>
            <w:t xml:space="preserve"> - </w:t>
          </w:r>
          <w:proofErr w:type="spellStart"/>
          <w:r w:rsidR="00691223">
            <w:t>Truqap</w:t>
          </w:r>
          <w:proofErr w:type="spellEnd"/>
          <w:r>
            <w:t xml:space="preserve"> -</w:t>
          </w:r>
          <w:r w:rsidRPr="00460036">
            <w:t xml:space="preserve"> </w:t>
          </w:r>
          <w:proofErr w:type="spellStart"/>
          <w:r w:rsidR="00691223">
            <w:t>Capivasertib</w:t>
          </w:r>
          <w:proofErr w:type="spellEnd"/>
          <w:r w:rsidRPr="00460036">
            <w:t xml:space="preserve"> </w:t>
          </w:r>
          <w:r w:rsidR="00691223">
            <w:t>–</w:t>
          </w:r>
          <w:r>
            <w:t xml:space="preserve"> </w:t>
          </w:r>
          <w:r w:rsidR="00F262E7">
            <w:t>AstraZeneca</w:t>
          </w:r>
          <w:r w:rsidR="00691223">
            <w:t xml:space="preserve"> Pty Ltd</w:t>
          </w:r>
          <w:r>
            <w:t xml:space="preserve"> - </w:t>
          </w:r>
          <w:r w:rsidR="00691223" w:rsidRPr="00691223">
            <w:t>PM-2023-01677-1-4</w:t>
          </w:r>
          <w:r>
            <w:br/>
          </w:r>
          <w:r w:rsidRPr="00852207">
            <w:t xml:space="preserve">Date of </w:t>
          </w:r>
          <w:r w:rsidR="000E0AD4" w:rsidRPr="00852207">
            <w:t>f</w:t>
          </w:r>
          <w:r w:rsidRPr="00852207">
            <w:t>inalisation</w:t>
          </w:r>
          <w:r w:rsidR="00156CAB" w:rsidRPr="00852207">
            <w:t>:</w:t>
          </w:r>
          <w:r w:rsidR="00156CAB">
            <w:t xml:space="preserve"> </w:t>
          </w:r>
          <w:r w:rsidR="0057072F">
            <w:t>30</w:t>
          </w:r>
          <w:r w:rsidR="003411A3">
            <w:t xml:space="preserve"> </w:t>
          </w:r>
          <w:r w:rsidR="00852207">
            <w:t xml:space="preserve">January </w:t>
          </w:r>
          <w:r w:rsidR="00156CAB">
            <w:t>202</w:t>
          </w:r>
          <w:r w:rsidR="00852207">
            <w:t>5</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 xml:space="preserve"> NUMPAGES  </w:instrText>
              </w:r>
              <w:r>
                <w:fldChar w:fldCharType="separate"/>
              </w:r>
              <w:r w:rsidR="006D6B44">
                <w:rPr>
                  <w:noProof/>
                </w:rPr>
                <w:t>17</w:t>
              </w:r>
              <w:r>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DF411" w14:textId="77777777" w:rsidR="00C7660C" w:rsidRDefault="00C7660C" w:rsidP="00F02AEC">
      <w:pPr>
        <w:spacing w:after="0" w:line="240" w:lineRule="auto"/>
      </w:pPr>
      <w:r>
        <w:separator/>
      </w:r>
    </w:p>
  </w:footnote>
  <w:footnote w:type="continuationSeparator" w:id="0">
    <w:p w14:paraId="14D62C39" w14:textId="77777777" w:rsidR="00C7660C" w:rsidRDefault="00C7660C" w:rsidP="00F02AEC">
      <w:pPr>
        <w:spacing w:after="0" w:line="240" w:lineRule="auto"/>
      </w:pPr>
      <w:r>
        <w:continuationSeparator/>
      </w:r>
    </w:p>
  </w:footnote>
  <w:footnote w:type="continuationNotice" w:id="1">
    <w:p w14:paraId="68FFBF18" w14:textId="77777777" w:rsidR="00C7660C" w:rsidRDefault="00C7660C">
      <w:pPr>
        <w:spacing w:after="0" w:line="240" w:lineRule="auto"/>
      </w:pPr>
    </w:p>
  </w:footnote>
  <w:footnote w:id="2">
    <w:p w14:paraId="01CA3D45" w14:textId="5FBD9320" w:rsidR="00047B85" w:rsidRPr="00A93DC6" w:rsidRDefault="00047B85" w:rsidP="00047B85">
      <w:pPr>
        <w:pStyle w:val="FootnoteText"/>
        <w:rPr>
          <w:lang w:val="en-GB"/>
        </w:rPr>
      </w:pPr>
      <w:r>
        <w:rPr>
          <w:rStyle w:val="FootnoteReference"/>
        </w:rPr>
        <w:footnoteRef/>
      </w:r>
      <w:r>
        <w:t xml:space="preserve"> This is the original indication proposed by the sponsor</w:t>
      </w:r>
      <w:r>
        <w:rPr>
          <w:lang w:val="en-GB"/>
        </w:rPr>
        <w:t xml:space="preserve"> when the TGA commenced the evaluation of this submission. It </w:t>
      </w:r>
      <w:r w:rsidRPr="007452E8">
        <w:rPr>
          <w:lang w:val="en-GB"/>
        </w:rPr>
        <w:t xml:space="preserve">may </w:t>
      </w:r>
      <w:r>
        <w:rPr>
          <w:lang w:val="en-GB"/>
        </w:rPr>
        <w:t>differ</w:t>
      </w:r>
      <w:r w:rsidRPr="007452E8">
        <w:rPr>
          <w:lang w:val="en-GB"/>
        </w:rPr>
        <w:t xml:space="preserve"> to the final indication approved by th</w:t>
      </w:r>
      <w:r>
        <w:rPr>
          <w:lang w:val="en-GB"/>
        </w:rPr>
        <w:t>e TGA and registered in the Australian Register of Therapeutic Goods</w:t>
      </w:r>
    </w:p>
  </w:footnote>
  <w:footnote w:id="3">
    <w:p w14:paraId="58454648" w14:textId="18289961" w:rsidR="00D44664" w:rsidRDefault="00D44664">
      <w:pPr>
        <w:pStyle w:val="FootnoteText"/>
      </w:pPr>
      <w:r>
        <w:rPr>
          <w:rStyle w:val="FootnoteReference"/>
        </w:rPr>
        <w:footnoteRef/>
      </w:r>
      <w:r>
        <w:t xml:space="preserve"> </w:t>
      </w:r>
      <w:r w:rsidRPr="00341218">
        <w:rPr>
          <w:szCs w:val="17"/>
        </w:rPr>
        <w:t>Australian Institute of Health and Welfare</w:t>
      </w:r>
      <w:r>
        <w:rPr>
          <w:szCs w:val="17"/>
        </w:rPr>
        <w:t xml:space="preserve"> (AIHW)</w:t>
      </w:r>
      <w:r w:rsidRPr="00341218">
        <w:rPr>
          <w:szCs w:val="17"/>
        </w:rPr>
        <w:t>. Cancer Rankings Data Visualisation</w:t>
      </w:r>
      <w:r>
        <w:rPr>
          <w:szCs w:val="17"/>
        </w:rPr>
        <w:t xml:space="preserve"> h</w:t>
      </w:r>
      <w:r w:rsidRPr="00341218">
        <w:rPr>
          <w:szCs w:val="17"/>
        </w:rPr>
        <w:t xml:space="preserve">ttps://www.aihw.gov.au/reports/cancer/cancer-data-in-australia/contents/rankings AIHW </w:t>
      </w:r>
    </w:p>
  </w:footnote>
  <w:footnote w:id="4">
    <w:p w14:paraId="10F2D487" w14:textId="25ED6386" w:rsidR="00D44664" w:rsidRDefault="00D44664">
      <w:pPr>
        <w:pStyle w:val="FootnoteText"/>
      </w:pPr>
      <w:r>
        <w:rPr>
          <w:rStyle w:val="FootnoteReference"/>
        </w:rPr>
        <w:footnoteRef/>
      </w:r>
      <w:r>
        <w:t xml:space="preserve"> </w:t>
      </w:r>
      <w:r w:rsidRPr="00D548F4">
        <w:rPr>
          <w:szCs w:val="17"/>
        </w:rPr>
        <w:t xml:space="preserve">Harbeck N, </w:t>
      </w:r>
      <w:r w:rsidRPr="00D548F4">
        <w:rPr>
          <w:szCs w:val="17"/>
        </w:rPr>
        <w:t>Penault-Llorca F, Cortes J, Gnant M, Houssami N, Poortmans P, Ruddy K, Tsang J, Cardoso F. Breast Cancer. Nat. Rev. Dis. Prim. 2019;</w:t>
      </w:r>
      <w:r>
        <w:rPr>
          <w:szCs w:val="17"/>
        </w:rPr>
        <w:t xml:space="preserve"> </w:t>
      </w:r>
      <w:r w:rsidRPr="00D548F4">
        <w:rPr>
          <w:szCs w:val="17"/>
        </w:rPr>
        <w:t>5:66. doi: 10.1038/s41572-019-0111-2</w:t>
      </w:r>
    </w:p>
  </w:footnote>
  <w:footnote w:id="5">
    <w:p w14:paraId="03456CF8" w14:textId="614D55E5" w:rsidR="00341218" w:rsidRDefault="00341218" w:rsidP="00341218">
      <w:pPr>
        <w:pStyle w:val="FootnoteText"/>
        <w:rPr>
          <w:szCs w:val="17"/>
        </w:rPr>
      </w:pPr>
      <w:r>
        <w:rPr>
          <w:vertAlign w:val="superscript"/>
        </w:rPr>
        <w:t>4</w:t>
      </w:r>
      <w:r>
        <w:t xml:space="preserve"> </w:t>
      </w:r>
      <w:r w:rsidRPr="00341218">
        <w:rPr>
          <w:szCs w:val="17"/>
        </w:rPr>
        <w:t xml:space="preserve">Howlader N, Cronin KA, Kurian AW, </w:t>
      </w:r>
      <w:r w:rsidRPr="00341218">
        <w:rPr>
          <w:szCs w:val="17"/>
        </w:rPr>
        <w:t>Andridge R. Differences in Breast Cancer Survival by Molecular Subtypes in the United States. Cancer Epidemiol Biomarkers Prev. 2018 Jun;27(6):619-626. doi: 10.1158/1055-9965.EPI-17-0627. Epub 2018 Mar 28</w:t>
      </w:r>
    </w:p>
    <w:p w14:paraId="39EB2918" w14:textId="1C25C6DE" w:rsidR="00341218" w:rsidRDefault="00AD5098" w:rsidP="00341218">
      <w:pPr>
        <w:pStyle w:val="FootnoteText"/>
      </w:pPr>
      <w:r w:rsidRPr="00DF69CD">
        <w:rPr>
          <w:szCs w:val="17"/>
          <w:vertAlign w:val="superscript"/>
        </w:rPr>
        <w:t>5</w:t>
      </w:r>
      <w:r>
        <w:rPr>
          <w:szCs w:val="17"/>
        </w:rPr>
        <w:t xml:space="preserve"> </w:t>
      </w:r>
      <w:r w:rsidRPr="00DF69CD">
        <w:rPr>
          <w:szCs w:val="17"/>
        </w:rPr>
        <w:t>Fillbrunn M, Signorovitch J, André F, Wang I, Lorenzo I, Ridolfi A, Park J, Dua A, Rugo HS. PIK3CA mutation status, progression and survival in advanced HR + /HER2- breast cancer: a meta-analysis of published clinical trials. BMC Cancer. 2022 Sep 21;22(1):1002. doi: 10.1186/s12885-022-10078-5</w:t>
      </w:r>
    </w:p>
  </w:footnote>
  <w:footnote w:id="6">
    <w:p w14:paraId="0D945D55" w14:textId="77777777" w:rsidR="00341218" w:rsidRDefault="00341218" w:rsidP="00341218">
      <w:pPr>
        <w:pStyle w:val="FootnoteText"/>
      </w:pPr>
    </w:p>
  </w:footnote>
  <w:footnote w:id="7">
    <w:p w14:paraId="0FCD30AB" w14:textId="77777777" w:rsidR="00341218" w:rsidRDefault="00341218" w:rsidP="00341218">
      <w:pPr>
        <w:pStyle w:val="FootnoteText"/>
      </w:pPr>
    </w:p>
  </w:footnote>
  <w:footnote w:id="8">
    <w:p w14:paraId="7D9DDCC2" w14:textId="73F3818A" w:rsidR="00DF69CD" w:rsidRPr="0058323E" w:rsidRDefault="00341218" w:rsidP="00341218">
      <w:pPr>
        <w:pStyle w:val="FootnoteText"/>
      </w:pPr>
      <w:r>
        <w:rPr>
          <w:rStyle w:val="FootnoteReference"/>
        </w:rPr>
        <w:t>6</w:t>
      </w:r>
      <w:r>
        <w:t xml:space="preserve"> </w:t>
      </w:r>
      <w:r w:rsidR="00DF69CD" w:rsidRPr="0058323E">
        <w:t xml:space="preserve">Harbeck N, </w:t>
      </w:r>
      <w:r w:rsidR="00DF69CD" w:rsidRPr="0058323E">
        <w:t>Penault-Llorca F, Cortes J, Gnant M, Houssami N, Poortmans P, Ruddy K, Tsang J, Cardoso F. Breast Cancer. Nat</w:t>
      </w:r>
      <w:r w:rsidR="00672E7B" w:rsidRPr="0058323E">
        <w:t>ure Reviews Disease Primers.</w:t>
      </w:r>
      <w:r w:rsidR="00DF69CD" w:rsidRPr="0058323E">
        <w:t xml:space="preserve"> 2019; 5:66. doi: 10.1038/s41572-019-0111-2 </w:t>
      </w:r>
    </w:p>
    <w:p w14:paraId="4070183E" w14:textId="77777777" w:rsidR="0058323E" w:rsidRPr="0058323E" w:rsidRDefault="00AD5098" w:rsidP="0058323E">
      <w:pPr>
        <w:pStyle w:val="FootnoteText"/>
      </w:pPr>
      <w:r w:rsidRPr="00AD5098">
        <w:rPr>
          <w:szCs w:val="17"/>
          <w:vertAlign w:val="superscript"/>
        </w:rPr>
        <w:t>7</w:t>
      </w:r>
      <w:r w:rsidR="00341218" w:rsidRPr="00DF69CD">
        <w:rPr>
          <w:szCs w:val="17"/>
        </w:rPr>
        <w:t xml:space="preserve"> </w:t>
      </w:r>
      <w:r w:rsidR="00DF69CD" w:rsidRPr="0058323E">
        <w:t xml:space="preserve">Glaviano A, Foo ASC, Lam HY, Yap KCH, Jacot W, Jones RH, Eng H, Nair MG, Makvandi P, Geoerger B, et. al. PI3K/AKT/mTOR signaling transduction pathway and targeted therapies in cancer. Molecular Cancer (2023) 22:138 </w:t>
      </w:r>
      <w:hyperlink r:id="rId1" w:history="1">
        <w:r w:rsidRPr="0058323E">
          <w:t>https://doi.org/10.1186/s12943-023-01827-6</w:t>
        </w:r>
      </w:hyperlink>
    </w:p>
    <w:p w14:paraId="37D690CA" w14:textId="77777777" w:rsidR="0058323E" w:rsidRDefault="00AD5098" w:rsidP="0058323E">
      <w:pPr>
        <w:pStyle w:val="FootnoteText"/>
      </w:pPr>
      <w:r w:rsidRPr="0058323E">
        <w:rPr>
          <w:vertAlign w:val="superscript"/>
        </w:rPr>
        <w:t>8</w:t>
      </w:r>
      <w:r w:rsidRPr="0058323E">
        <w:t xml:space="preserve"> </w:t>
      </w:r>
      <w:r w:rsidR="0058323E" w:rsidRPr="0058323E">
        <w:t>Alves C L and Ditzel H J. Drugging he PI3K/AKT/mTOR Pathway in ER+ Breast Cancer</w:t>
      </w:r>
      <w:r w:rsidR="0058323E">
        <w:t xml:space="preserve">. </w:t>
      </w:r>
      <w:r w:rsidR="0058323E" w:rsidRPr="0058323E">
        <w:t xml:space="preserve">International Journal of Molecular Science </w:t>
      </w:r>
      <w:r w:rsidR="0058323E">
        <w:t>2</w:t>
      </w:r>
      <w:r w:rsidR="0058323E" w:rsidRPr="0058323E">
        <w:t>023 Feb 24;24(5):4522.  doi: 10.3390/ijms24054522</w:t>
      </w:r>
    </w:p>
    <w:p w14:paraId="7D9B2B05" w14:textId="271913B4" w:rsidR="00AD5098" w:rsidRPr="0058323E" w:rsidRDefault="0058323E" w:rsidP="0058323E">
      <w:pPr>
        <w:pStyle w:val="FootnoteText"/>
      </w:pPr>
      <w:r w:rsidRPr="0058323E">
        <w:rPr>
          <w:vertAlign w:val="superscript"/>
        </w:rPr>
        <w:t xml:space="preserve">9 </w:t>
      </w:r>
      <w:r w:rsidR="00AD5098" w:rsidRPr="0058323E">
        <w:t>Jerzak KJ, Bouganim N, Brezden-Masley C, Edwards S, Gelmon K, Henning J-W, Hilton JF, Sehdev</w:t>
      </w:r>
      <w:r w:rsidR="00D44664" w:rsidRPr="0058323E">
        <w:t xml:space="preserve"> </w:t>
      </w:r>
      <w:r w:rsidR="00AD5098" w:rsidRPr="0058323E">
        <w:t xml:space="preserve">S. HR+/HER2- Advanced Breast Cancer Treatment in the </w:t>
      </w:r>
      <w:r w:rsidR="00AD5098" w:rsidRPr="0058323E">
        <w:t>First-Line Setting: Expert Review. Curr</w:t>
      </w:r>
      <w:r w:rsidR="00D949A9">
        <w:t>ent</w:t>
      </w:r>
      <w:r w:rsidR="00AD5098" w:rsidRPr="0058323E">
        <w:t xml:space="preserve"> Oncol</w:t>
      </w:r>
      <w:r w:rsidR="00D949A9">
        <w:t xml:space="preserve">ogy </w:t>
      </w:r>
      <w:r w:rsidR="00AD5098" w:rsidRPr="0058323E">
        <w:t>2023 Jun 2;30(6):5425-5447. doi: 0.3390/curroncol30060411.</w:t>
      </w:r>
    </w:p>
  </w:footnote>
  <w:footnote w:id="9">
    <w:p w14:paraId="056B1ADC" w14:textId="3AED4849" w:rsidR="00341218" w:rsidRPr="0058323E" w:rsidRDefault="00341218" w:rsidP="0058323E">
      <w:pPr>
        <w:pStyle w:val="FootnoteText"/>
      </w:pPr>
    </w:p>
  </w:footnote>
  <w:footnote w:id="10">
    <w:p w14:paraId="4D3ED5D2" w14:textId="14EC40DA" w:rsidR="006D03FD" w:rsidRDefault="006D03FD">
      <w:pPr>
        <w:pStyle w:val="FootnoteText"/>
      </w:pPr>
    </w:p>
  </w:footnote>
  <w:footnote w:id="11">
    <w:p w14:paraId="15A65A9C" w14:textId="5B08B2E0" w:rsidR="00C81C3B" w:rsidRDefault="00C81C3B">
      <w:pPr>
        <w:pStyle w:val="FootnoteText"/>
      </w:pPr>
      <w:r>
        <w:rPr>
          <w:rStyle w:val="FootnoteReference"/>
        </w:rPr>
        <w:footnoteRef/>
      </w:r>
      <w:r>
        <w:t xml:space="preserve"> In this report the ‘</w:t>
      </w:r>
      <w:r w:rsidRPr="00C133A3">
        <w:t>Delegate</w:t>
      </w:r>
      <w:r>
        <w:t>’</w:t>
      </w:r>
      <w:r w:rsidRPr="00C133A3">
        <w:t xml:space="preserve"> </w:t>
      </w:r>
      <w:r>
        <w:t xml:space="preserve">is the </w:t>
      </w:r>
      <w:r w:rsidRPr="00C133A3">
        <w:t xml:space="preserve">Delegate of the Secretary of the Department of Health and Aged Care who </w:t>
      </w:r>
      <w:r>
        <w:t>decided the submission</w:t>
      </w:r>
      <w:r w:rsidRPr="00C133A3">
        <w:t xml:space="preserve"> under section 25 of the Act</w:t>
      </w:r>
    </w:p>
  </w:footnote>
  <w:footnote w:id="12">
    <w:p w14:paraId="2983F55B" w14:textId="30DD2997" w:rsidR="00DF57E1" w:rsidRDefault="00DF57E1" w:rsidP="00CE6039">
      <w:pPr>
        <w:pStyle w:val="FootnoteText"/>
      </w:pPr>
      <w:r>
        <w:rPr>
          <w:rStyle w:val="FootnoteReference"/>
        </w:rPr>
        <w:footnoteRef/>
      </w:r>
      <w:r>
        <w:t xml:space="preserve"> </w:t>
      </w:r>
      <w:r w:rsidR="003D6C61" w:rsidRPr="00FE1398">
        <w:t xml:space="preserve">Jones RH, </w:t>
      </w:r>
      <w:r w:rsidR="003D6C61" w:rsidRPr="00FE1398">
        <w:t xml:space="preserve">Casbard A, Carucci M, Cox C, Butler R, Alchami F et al. Fulvestrant plus capivasertib versus placebo after relapse or progression on an aromatase inhibitor in metastatic, oestrogen </w:t>
      </w:r>
      <w:r w:rsidR="003D6C61" w:rsidRPr="00CE6039">
        <w:t>receptor</w:t>
      </w:r>
      <w:r w:rsidR="003D6C61" w:rsidRPr="00FE1398">
        <w:t>-positive breast cancer (FAKTION): a multicentre, randomised, controlled, phase 2 trial. The Lancet Oncology. 2020</w:t>
      </w:r>
      <w:r w:rsidR="00582990">
        <w:t>.</w:t>
      </w:r>
      <w:r w:rsidR="00FE1398">
        <w:t xml:space="preserve"> </w:t>
      </w:r>
      <w:r w:rsidR="003D6C61" w:rsidRPr="00FE1398">
        <w:t>21(3):345-57.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57072F"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58241"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58240"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F2F31"/>
    <w:multiLevelType w:val="hybridMultilevel"/>
    <w:tmpl w:val="4074F2AA"/>
    <w:lvl w:ilvl="0" w:tplc="14740F2C">
      <w:numFmt w:val="bullet"/>
      <w:lvlText w:val=""/>
      <w:lvlJc w:val="left"/>
      <w:pPr>
        <w:ind w:left="828" w:hanging="361"/>
      </w:pPr>
      <w:rPr>
        <w:rFonts w:ascii="Symbol" w:eastAsia="Symbol" w:hAnsi="Symbol" w:cs="Symbol" w:hint="default"/>
        <w:b w:val="0"/>
        <w:bCs w:val="0"/>
        <w:i w:val="0"/>
        <w:iCs w:val="0"/>
        <w:spacing w:val="0"/>
        <w:w w:val="100"/>
        <w:sz w:val="21"/>
        <w:szCs w:val="21"/>
        <w:lang w:val="en-US" w:eastAsia="en-US" w:bidi="ar-SA"/>
      </w:rPr>
    </w:lvl>
    <w:lvl w:ilvl="1" w:tplc="5FB05EEC">
      <w:numFmt w:val="bullet"/>
      <w:lvlText w:val="•"/>
      <w:lvlJc w:val="left"/>
      <w:pPr>
        <w:ind w:left="1483" w:hanging="361"/>
      </w:pPr>
      <w:rPr>
        <w:rFonts w:hint="default"/>
        <w:lang w:val="en-US" w:eastAsia="en-US" w:bidi="ar-SA"/>
      </w:rPr>
    </w:lvl>
    <w:lvl w:ilvl="2" w:tplc="EEEC9ADC">
      <w:numFmt w:val="bullet"/>
      <w:lvlText w:val="•"/>
      <w:lvlJc w:val="left"/>
      <w:pPr>
        <w:ind w:left="2146" w:hanging="361"/>
      </w:pPr>
      <w:rPr>
        <w:rFonts w:hint="default"/>
        <w:lang w:val="en-US" w:eastAsia="en-US" w:bidi="ar-SA"/>
      </w:rPr>
    </w:lvl>
    <w:lvl w:ilvl="3" w:tplc="869C8A26">
      <w:numFmt w:val="bullet"/>
      <w:lvlText w:val="•"/>
      <w:lvlJc w:val="left"/>
      <w:pPr>
        <w:ind w:left="2809" w:hanging="361"/>
      </w:pPr>
      <w:rPr>
        <w:rFonts w:hint="default"/>
        <w:lang w:val="en-US" w:eastAsia="en-US" w:bidi="ar-SA"/>
      </w:rPr>
    </w:lvl>
    <w:lvl w:ilvl="4" w:tplc="44085D96">
      <w:numFmt w:val="bullet"/>
      <w:lvlText w:val="•"/>
      <w:lvlJc w:val="left"/>
      <w:pPr>
        <w:ind w:left="3472" w:hanging="361"/>
      </w:pPr>
      <w:rPr>
        <w:rFonts w:hint="default"/>
        <w:lang w:val="en-US" w:eastAsia="en-US" w:bidi="ar-SA"/>
      </w:rPr>
    </w:lvl>
    <w:lvl w:ilvl="5" w:tplc="D9DC75B6">
      <w:numFmt w:val="bullet"/>
      <w:lvlText w:val="•"/>
      <w:lvlJc w:val="left"/>
      <w:pPr>
        <w:ind w:left="4135" w:hanging="361"/>
      </w:pPr>
      <w:rPr>
        <w:rFonts w:hint="default"/>
        <w:lang w:val="en-US" w:eastAsia="en-US" w:bidi="ar-SA"/>
      </w:rPr>
    </w:lvl>
    <w:lvl w:ilvl="6" w:tplc="28D61488">
      <w:numFmt w:val="bullet"/>
      <w:lvlText w:val="•"/>
      <w:lvlJc w:val="left"/>
      <w:pPr>
        <w:ind w:left="4798" w:hanging="361"/>
      </w:pPr>
      <w:rPr>
        <w:rFonts w:hint="default"/>
        <w:lang w:val="en-US" w:eastAsia="en-US" w:bidi="ar-SA"/>
      </w:rPr>
    </w:lvl>
    <w:lvl w:ilvl="7" w:tplc="1BA04006">
      <w:numFmt w:val="bullet"/>
      <w:lvlText w:val="•"/>
      <w:lvlJc w:val="left"/>
      <w:pPr>
        <w:ind w:left="5461" w:hanging="361"/>
      </w:pPr>
      <w:rPr>
        <w:rFonts w:hint="default"/>
        <w:lang w:val="en-US" w:eastAsia="en-US" w:bidi="ar-SA"/>
      </w:rPr>
    </w:lvl>
    <w:lvl w:ilvl="8" w:tplc="8F08CA8C">
      <w:numFmt w:val="bullet"/>
      <w:lvlText w:val="•"/>
      <w:lvlJc w:val="left"/>
      <w:pPr>
        <w:ind w:left="6124" w:hanging="361"/>
      </w:pPr>
      <w:rPr>
        <w:rFonts w:hint="default"/>
        <w:lang w:val="en-US" w:eastAsia="en-US" w:bidi="ar-SA"/>
      </w:rPr>
    </w:lvl>
  </w:abstractNum>
  <w:abstractNum w:abstractNumId="1"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3" w15:restartNumberingAfterBreak="0">
    <w:nsid w:val="12F43D6A"/>
    <w:multiLevelType w:val="hybridMultilevel"/>
    <w:tmpl w:val="AE9C3668"/>
    <w:lvl w:ilvl="0" w:tplc="89CCC3D8">
      <w:numFmt w:val="bullet"/>
      <w:lvlText w:val=""/>
      <w:lvlJc w:val="left"/>
      <w:pPr>
        <w:ind w:left="828" w:hanging="361"/>
      </w:pPr>
      <w:rPr>
        <w:rFonts w:ascii="Symbol" w:eastAsia="Symbol" w:hAnsi="Symbol" w:cs="Symbol" w:hint="default"/>
        <w:b w:val="0"/>
        <w:bCs w:val="0"/>
        <w:i w:val="0"/>
        <w:iCs w:val="0"/>
        <w:spacing w:val="0"/>
        <w:w w:val="100"/>
        <w:sz w:val="21"/>
        <w:szCs w:val="21"/>
        <w:lang w:val="en-US" w:eastAsia="en-US" w:bidi="ar-SA"/>
      </w:rPr>
    </w:lvl>
    <w:lvl w:ilvl="1" w:tplc="D0ACE8E2">
      <w:numFmt w:val="bullet"/>
      <w:lvlText w:val="•"/>
      <w:lvlJc w:val="left"/>
      <w:pPr>
        <w:ind w:left="1382" w:hanging="361"/>
      </w:pPr>
      <w:rPr>
        <w:rFonts w:hint="default"/>
        <w:lang w:val="en-US" w:eastAsia="en-US" w:bidi="ar-SA"/>
      </w:rPr>
    </w:lvl>
    <w:lvl w:ilvl="2" w:tplc="E6C229FE">
      <w:numFmt w:val="bullet"/>
      <w:lvlText w:val="•"/>
      <w:lvlJc w:val="left"/>
      <w:pPr>
        <w:ind w:left="1945" w:hanging="361"/>
      </w:pPr>
      <w:rPr>
        <w:rFonts w:hint="default"/>
        <w:lang w:val="en-US" w:eastAsia="en-US" w:bidi="ar-SA"/>
      </w:rPr>
    </w:lvl>
    <w:lvl w:ilvl="3" w:tplc="45147316">
      <w:numFmt w:val="bullet"/>
      <w:lvlText w:val="•"/>
      <w:lvlJc w:val="left"/>
      <w:pPr>
        <w:ind w:left="2507" w:hanging="361"/>
      </w:pPr>
      <w:rPr>
        <w:rFonts w:hint="default"/>
        <w:lang w:val="en-US" w:eastAsia="en-US" w:bidi="ar-SA"/>
      </w:rPr>
    </w:lvl>
    <w:lvl w:ilvl="4" w:tplc="75C220B8">
      <w:numFmt w:val="bullet"/>
      <w:lvlText w:val="•"/>
      <w:lvlJc w:val="left"/>
      <w:pPr>
        <w:ind w:left="3070" w:hanging="361"/>
      </w:pPr>
      <w:rPr>
        <w:rFonts w:hint="default"/>
        <w:lang w:val="en-US" w:eastAsia="en-US" w:bidi="ar-SA"/>
      </w:rPr>
    </w:lvl>
    <w:lvl w:ilvl="5" w:tplc="86A8630A">
      <w:numFmt w:val="bullet"/>
      <w:lvlText w:val="•"/>
      <w:lvlJc w:val="left"/>
      <w:pPr>
        <w:ind w:left="3633" w:hanging="361"/>
      </w:pPr>
      <w:rPr>
        <w:rFonts w:hint="default"/>
        <w:lang w:val="en-US" w:eastAsia="en-US" w:bidi="ar-SA"/>
      </w:rPr>
    </w:lvl>
    <w:lvl w:ilvl="6" w:tplc="EAE03CEE">
      <w:numFmt w:val="bullet"/>
      <w:lvlText w:val="•"/>
      <w:lvlJc w:val="left"/>
      <w:pPr>
        <w:ind w:left="4195" w:hanging="361"/>
      </w:pPr>
      <w:rPr>
        <w:rFonts w:hint="default"/>
        <w:lang w:val="en-US" w:eastAsia="en-US" w:bidi="ar-SA"/>
      </w:rPr>
    </w:lvl>
    <w:lvl w:ilvl="7" w:tplc="088AD880">
      <w:numFmt w:val="bullet"/>
      <w:lvlText w:val="•"/>
      <w:lvlJc w:val="left"/>
      <w:pPr>
        <w:ind w:left="4758" w:hanging="361"/>
      </w:pPr>
      <w:rPr>
        <w:rFonts w:hint="default"/>
        <w:lang w:val="en-US" w:eastAsia="en-US" w:bidi="ar-SA"/>
      </w:rPr>
    </w:lvl>
    <w:lvl w:ilvl="8" w:tplc="5E8EF088">
      <w:numFmt w:val="bullet"/>
      <w:lvlText w:val="•"/>
      <w:lvlJc w:val="left"/>
      <w:pPr>
        <w:ind w:left="5320" w:hanging="361"/>
      </w:pPr>
      <w:rPr>
        <w:rFonts w:hint="default"/>
        <w:lang w:val="en-US" w:eastAsia="en-US" w:bidi="ar-SA"/>
      </w:r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72D5227"/>
    <w:multiLevelType w:val="hybridMultilevel"/>
    <w:tmpl w:val="8984F746"/>
    <w:lvl w:ilvl="0" w:tplc="0D1AE59E">
      <w:start w:val="7"/>
      <w:numFmt w:val="bullet"/>
      <w:lvlText w:val="-"/>
      <w:lvlJc w:val="left"/>
      <w:pPr>
        <w:ind w:left="720" w:hanging="360"/>
      </w:pPr>
      <w:rPr>
        <w:rFonts w:ascii="Cambria" w:eastAsia="Cambria" w:hAnsi="Cambria" w:cs="Cambria"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8" w15:restartNumberingAfterBreak="0">
    <w:nsid w:val="213933C4"/>
    <w:multiLevelType w:val="hybridMultilevel"/>
    <w:tmpl w:val="34FAE6C0"/>
    <w:lvl w:ilvl="0" w:tplc="FD183364">
      <w:numFmt w:val="bullet"/>
      <w:lvlText w:val="-"/>
      <w:lvlJc w:val="left"/>
      <w:pPr>
        <w:ind w:left="829" w:hanging="361"/>
      </w:pPr>
      <w:rPr>
        <w:rFonts w:ascii="Cambria" w:eastAsia="Cambria" w:hAnsi="Cambria" w:cs="Cambria" w:hint="default"/>
        <w:b w:val="0"/>
        <w:bCs w:val="0"/>
        <w:i w:val="0"/>
        <w:iCs w:val="0"/>
        <w:spacing w:val="0"/>
        <w:w w:val="100"/>
        <w:sz w:val="21"/>
        <w:szCs w:val="21"/>
        <w:lang w:val="en-US" w:eastAsia="en-US" w:bidi="ar-SA"/>
      </w:rPr>
    </w:lvl>
    <w:lvl w:ilvl="1" w:tplc="13AE57D2">
      <w:numFmt w:val="bullet"/>
      <w:lvlText w:val="•"/>
      <w:lvlJc w:val="left"/>
      <w:pPr>
        <w:ind w:left="1483" w:hanging="361"/>
      </w:pPr>
      <w:rPr>
        <w:rFonts w:hint="default"/>
        <w:lang w:val="en-US" w:eastAsia="en-US" w:bidi="ar-SA"/>
      </w:rPr>
    </w:lvl>
    <w:lvl w:ilvl="2" w:tplc="71C279BE">
      <w:numFmt w:val="bullet"/>
      <w:lvlText w:val="•"/>
      <w:lvlJc w:val="left"/>
      <w:pPr>
        <w:ind w:left="2146" w:hanging="361"/>
      </w:pPr>
      <w:rPr>
        <w:rFonts w:hint="default"/>
        <w:lang w:val="en-US" w:eastAsia="en-US" w:bidi="ar-SA"/>
      </w:rPr>
    </w:lvl>
    <w:lvl w:ilvl="3" w:tplc="E3E8DE5E">
      <w:numFmt w:val="bullet"/>
      <w:lvlText w:val="•"/>
      <w:lvlJc w:val="left"/>
      <w:pPr>
        <w:ind w:left="2809" w:hanging="361"/>
      </w:pPr>
      <w:rPr>
        <w:rFonts w:hint="default"/>
        <w:lang w:val="en-US" w:eastAsia="en-US" w:bidi="ar-SA"/>
      </w:rPr>
    </w:lvl>
    <w:lvl w:ilvl="4" w:tplc="495A693A">
      <w:numFmt w:val="bullet"/>
      <w:lvlText w:val="•"/>
      <w:lvlJc w:val="left"/>
      <w:pPr>
        <w:ind w:left="3472" w:hanging="361"/>
      </w:pPr>
      <w:rPr>
        <w:rFonts w:hint="default"/>
        <w:lang w:val="en-US" w:eastAsia="en-US" w:bidi="ar-SA"/>
      </w:rPr>
    </w:lvl>
    <w:lvl w:ilvl="5" w:tplc="4FA26768">
      <w:numFmt w:val="bullet"/>
      <w:lvlText w:val="•"/>
      <w:lvlJc w:val="left"/>
      <w:pPr>
        <w:ind w:left="4135" w:hanging="361"/>
      </w:pPr>
      <w:rPr>
        <w:rFonts w:hint="default"/>
        <w:lang w:val="en-US" w:eastAsia="en-US" w:bidi="ar-SA"/>
      </w:rPr>
    </w:lvl>
    <w:lvl w:ilvl="6" w:tplc="85302A94">
      <w:numFmt w:val="bullet"/>
      <w:lvlText w:val="•"/>
      <w:lvlJc w:val="left"/>
      <w:pPr>
        <w:ind w:left="4798" w:hanging="361"/>
      </w:pPr>
      <w:rPr>
        <w:rFonts w:hint="default"/>
        <w:lang w:val="en-US" w:eastAsia="en-US" w:bidi="ar-SA"/>
      </w:rPr>
    </w:lvl>
    <w:lvl w:ilvl="7" w:tplc="E10AE048">
      <w:numFmt w:val="bullet"/>
      <w:lvlText w:val="•"/>
      <w:lvlJc w:val="left"/>
      <w:pPr>
        <w:ind w:left="5461" w:hanging="361"/>
      </w:pPr>
      <w:rPr>
        <w:rFonts w:hint="default"/>
        <w:lang w:val="en-US" w:eastAsia="en-US" w:bidi="ar-SA"/>
      </w:rPr>
    </w:lvl>
    <w:lvl w:ilvl="8" w:tplc="D9D8C748">
      <w:numFmt w:val="bullet"/>
      <w:lvlText w:val="•"/>
      <w:lvlJc w:val="left"/>
      <w:pPr>
        <w:ind w:left="6124" w:hanging="361"/>
      </w:pPr>
      <w:rPr>
        <w:rFonts w:hint="default"/>
        <w:lang w:val="en-US" w:eastAsia="en-US" w:bidi="ar-SA"/>
      </w:rPr>
    </w:lvl>
  </w:abstractNum>
  <w:abstractNum w:abstractNumId="9" w15:restartNumberingAfterBreak="0">
    <w:nsid w:val="2211252C"/>
    <w:multiLevelType w:val="hybridMultilevel"/>
    <w:tmpl w:val="7D443DAE"/>
    <w:lvl w:ilvl="0" w:tplc="9F7E5392">
      <w:start w:val="1"/>
      <w:numFmt w:val="decimal"/>
      <w:lvlText w:val="%1."/>
      <w:lvlJc w:val="left"/>
      <w:pPr>
        <w:ind w:left="1020" w:hanging="360"/>
      </w:pPr>
    </w:lvl>
    <w:lvl w:ilvl="1" w:tplc="884EA806">
      <w:start w:val="1"/>
      <w:numFmt w:val="decimal"/>
      <w:lvlText w:val="%2."/>
      <w:lvlJc w:val="left"/>
      <w:pPr>
        <w:ind w:left="1020" w:hanging="360"/>
      </w:pPr>
    </w:lvl>
    <w:lvl w:ilvl="2" w:tplc="6F00C7E6">
      <w:start w:val="1"/>
      <w:numFmt w:val="decimal"/>
      <w:lvlText w:val="%3."/>
      <w:lvlJc w:val="left"/>
      <w:pPr>
        <w:ind w:left="1020" w:hanging="360"/>
      </w:pPr>
    </w:lvl>
    <w:lvl w:ilvl="3" w:tplc="81480C5E">
      <w:start w:val="1"/>
      <w:numFmt w:val="decimal"/>
      <w:lvlText w:val="%4."/>
      <w:lvlJc w:val="left"/>
      <w:pPr>
        <w:ind w:left="1020" w:hanging="360"/>
      </w:pPr>
    </w:lvl>
    <w:lvl w:ilvl="4" w:tplc="AFB07B06">
      <w:start w:val="1"/>
      <w:numFmt w:val="decimal"/>
      <w:lvlText w:val="%5."/>
      <w:lvlJc w:val="left"/>
      <w:pPr>
        <w:ind w:left="1020" w:hanging="360"/>
      </w:pPr>
    </w:lvl>
    <w:lvl w:ilvl="5" w:tplc="21480D3E">
      <w:start w:val="1"/>
      <w:numFmt w:val="decimal"/>
      <w:lvlText w:val="%6."/>
      <w:lvlJc w:val="left"/>
      <w:pPr>
        <w:ind w:left="1020" w:hanging="360"/>
      </w:pPr>
    </w:lvl>
    <w:lvl w:ilvl="6" w:tplc="72EAEF72">
      <w:start w:val="1"/>
      <w:numFmt w:val="decimal"/>
      <w:lvlText w:val="%7."/>
      <w:lvlJc w:val="left"/>
      <w:pPr>
        <w:ind w:left="1020" w:hanging="360"/>
      </w:pPr>
    </w:lvl>
    <w:lvl w:ilvl="7" w:tplc="9094FD26">
      <w:start w:val="1"/>
      <w:numFmt w:val="decimal"/>
      <w:lvlText w:val="%8."/>
      <w:lvlJc w:val="left"/>
      <w:pPr>
        <w:ind w:left="1020" w:hanging="360"/>
      </w:pPr>
    </w:lvl>
    <w:lvl w:ilvl="8" w:tplc="2BA84DB8">
      <w:start w:val="1"/>
      <w:numFmt w:val="decimal"/>
      <w:lvlText w:val="%9."/>
      <w:lvlJc w:val="left"/>
      <w:pPr>
        <w:ind w:left="1020" w:hanging="360"/>
      </w:pPr>
    </w:lvl>
  </w:abstractNum>
  <w:abstractNum w:abstractNumId="10"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1" w15:restartNumberingAfterBreak="0">
    <w:nsid w:val="24CF56EB"/>
    <w:multiLevelType w:val="hybridMultilevel"/>
    <w:tmpl w:val="923C88F8"/>
    <w:lvl w:ilvl="0" w:tplc="1AE648F6">
      <w:numFmt w:val="bullet"/>
      <w:lvlText w:val=""/>
      <w:lvlJc w:val="left"/>
      <w:pPr>
        <w:ind w:left="828" w:hanging="361"/>
      </w:pPr>
      <w:rPr>
        <w:rFonts w:ascii="Symbol" w:eastAsia="Symbol" w:hAnsi="Symbol" w:cs="Symbol" w:hint="default"/>
        <w:b w:val="0"/>
        <w:bCs w:val="0"/>
        <w:i w:val="0"/>
        <w:iCs w:val="0"/>
        <w:spacing w:val="0"/>
        <w:w w:val="100"/>
        <w:sz w:val="21"/>
        <w:szCs w:val="21"/>
        <w:lang w:val="en-US" w:eastAsia="en-US" w:bidi="ar-SA"/>
      </w:rPr>
    </w:lvl>
    <w:lvl w:ilvl="1" w:tplc="52469B42">
      <w:numFmt w:val="bullet"/>
      <w:lvlText w:val="•"/>
      <w:lvlJc w:val="left"/>
      <w:pPr>
        <w:ind w:left="1382" w:hanging="361"/>
      </w:pPr>
      <w:rPr>
        <w:rFonts w:hint="default"/>
        <w:lang w:val="en-US" w:eastAsia="en-US" w:bidi="ar-SA"/>
      </w:rPr>
    </w:lvl>
    <w:lvl w:ilvl="2" w:tplc="DD3493E4">
      <w:numFmt w:val="bullet"/>
      <w:lvlText w:val="•"/>
      <w:lvlJc w:val="left"/>
      <w:pPr>
        <w:ind w:left="1945" w:hanging="361"/>
      </w:pPr>
      <w:rPr>
        <w:rFonts w:hint="default"/>
        <w:lang w:val="en-US" w:eastAsia="en-US" w:bidi="ar-SA"/>
      </w:rPr>
    </w:lvl>
    <w:lvl w:ilvl="3" w:tplc="284AF236">
      <w:numFmt w:val="bullet"/>
      <w:lvlText w:val="•"/>
      <w:lvlJc w:val="left"/>
      <w:pPr>
        <w:ind w:left="2507" w:hanging="361"/>
      </w:pPr>
      <w:rPr>
        <w:rFonts w:hint="default"/>
        <w:lang w:val="en-US" w:eastAsia="en-US" w:bidi="ar-SA"/>
      </w:rPr>
    </w:lvl>
    <w:lvl w:ilvl="4" w:tplc="AD042730">
      <w:numFmt w:val="bullet"/>
      <w:lvlText w:val="•"/>
      <w:lvlJc w:val="left"/>
      <w:pPr>
        <w:ind w:left="3070" w:hanging="361"/>
      </w:pPr>
      <w:rPr>
        <w:rFonts w:hint="default"/>
        <w:lang w:val="en-US" w:eastAsia="en-US" w:bidi="ar-SA"/>
      </w:rPr>
    </w:lvl>
    <w:lvl w:ilvl="5" w:tplc="B2D07D1A">
      <w:numFmt w:val="bullet"/>
      <w:lvlText w:val="•"/>
      <w:lvlJc w:val="left"/>
      <w:pPr>
        <w:ind w:left="3633" w:hanging="361"/>
      </w:pPr>
      <w:rPr>
        <w:rFonts w:hint="default"/>
        <w:lang w:val="en-US" w:eastAsia="en-US" w:bidi="ar-SA"/>
      </w:rPr>
    </w:lvl>
    <w:lvl w:ilvl="6" w:tplc="C5B2F5D0">
      <w:numFmt w:val="bullet"/>
      <w:lvlText w:val="•"/>
      <w:lvlJc w:val="left"/>
      <w:pPr>
        <w:ind w:left="4195" w:hanging="361"/>
      </w:pPr>
      <w:rPr>
        <w:rFonts w:hint="default"/>
        <w:lang w:val="en-US" w:eastAsia="en-US" w:bidi="ar-SA"/>
      </w:rPr>
    </w:lvl>
    <w:lvl w:ilvl="7" w:tplc="C196320C">
      <w:numFmt w:val="bullet"/>
      <w:lvlText w:val="•"/>
      <w:lvlJc w:val="left"/>
      <w:pPr>
        <w:ind w:left="4758" w:hanging="361"/>
      </w:pPr>
      <w:rPr>
        <w:rFonts w:hint="default"/>
        <w:lang w:val="en-US" w:eastAsia="en-US" w:bidi="ar-SA"/>
      </w:rPr>
    </w:lvl>
    <w:lvl w:ilvl="8" w:tplc="705A9B64">
      <w:numFmt w:val="bullet"/>
      <w:lvlText w:val="•"/>
      <w:lvlJc w:val="left"/>
      <w:pPr>
        <w:ind w:left="5320" w:hanging="361"/>
      </w:pPr>
      <w:rPr>
        <w:rFonts w:hint="default"/>
        <w:lang w:val="en-US" w:eastAsia="en-US" w:bidi="ar-SA"/>
      </w:rPr>
    </w:lvl>
  </w:abstractNum>
  <w:abstractNum w:abstractNumId="12" w15:restartNumberingAfterBreak="0">
    <w:nsid w:val="257E0585"/>
    <w:multiLevelType w:val="hybridMultilevel"/>
    <w:tmpl w:val="EF729D70"/>
    <w:lvl w:ilvl="0" w:tplc="43767592">
      <w:numFmt w:val="bullet"/>
      <w:lvlText w:val=""/>
      <w:lvlJc w:val="left"/>
      <w:pPr>
        <w:ind w:left="828" w:hanging="360"/>
      </w:pPr>
      <w:rPr>
        <w:rFonts w:ascii="Symbol" w:eastAsia="Symbol" w:hAnsi="Symbol" w:cs="Symbol" w:hint="default"/>
        <w:b w:val="0"/>
        <w:bCs w:val="0"/>
        <w:i w:val="0"/>
        <w:iCs w:val="0"/>
        <w:spacing w:val="0"/>
        <w:w w:val="100"/>
        <w:sz w:val="21"/>
        <w:szCs w:val="21"/>
        <w:lang w:val="en-US" w:eastAsia="en-US" w:bidi="ar-SA"/>
      </w:rPr>
    </w:lvl>
    <w:lvl w:ilvl="1" w:tplc="CB2499A0">
      <w:numFmt w:val="bullet"/>
      <w:lvlText w:val="•"/>
      <w:lvlJc w:val="left"/>
      <w:pPr>
        <w:ind w:left="1483" w:hanging="360"/>
      </w:pPr>
      <w:rPr>
        <w:rFonts w:hint="default"/>
        <w:lang w:val="en-US" w:eastAsia="en-US" w:bidi="ar-SA"/>
      </w:rPr>
    </w:lvl>
    <w:lvl w:ilvl="2" w:tplc="1C8A4724">
      <w:numFmt w:val="bullet"/>
      <w:lvlText w:val="•"/>
      <w:lvlJc w:val="left"/>
      <w:pPr>
        <w:ind w:left="2146" w:hanging="360"/>
      </w:pPr>
      <w:rPr>
        <w:rFonts w:hint="default"/>
        <w:lang w:val="en-US" w:eastAsia="en-US" w:bidi="ar-SA"/>
      </w:rPr>
    </w:lvl>
    <w:lvl w:ilvl="3" w:tplc="985A2940">
      <w:numFmt w:val="bullet"/>
      <w:lvlText w:val="•"/>
      <w:lvlJc w:val="left"/>
      <w:pPr>
        <w:ind w:left="2809" w:hanging="360"/>
      </w:pPr>
      <w:rPr>
        <w:rFonts w:hint="default"/>
        <w:lang w:val="en-US" w:eastAsia="en-US" w:bidi="ar-SA"/>
      </w:rPr>
    </w:lvl>
    <w:lvl w:ilvl="4" w:tplc="E19A6C2E">
      <w:numFmt w:val="bullet"/>
      <w:lvlText w:val="•"/>
      <w:lvlJc w:val="left"/>
      <w:pPr>
        <w:ind w:left="3472" w:hanging="360"/>
      </w:pPr>
      <w:rPr>
        <w:rFonts w:hint="default"/>
        <w:lang w:val="en-US" w:eastAsia="en-US" w:bidi="ar-SA"/>
      </w:rPr>
    </w:lvl>
    <w:lvl w:ilvl="5" w:tplc="A4EA25B0">
      <w:numFmt w:val="bullet"/>
      <w:lvlText w:val="•"/>
      <w:lvlJc w:val="left"/>
      <w:pPr>
        <w:ind w:left="4135" w:hanging="360"/>
      </w:pPr>
      <w:rPr>
        <w:rFonts w:hint="default"/>
        <w:lang w:val="en-US" w:eastAsia="en-US" w:bidi="ar-SA"/>
      </w:rPr>
    </w:lvl>
    <w:lvl w:ilvl="6" w:tplc="135048FE">
      <w:numFmt w:val="bullet"/>
      <w:lvlText w:val="•"/>
      <w:lvlJc w:val="left"/>
      <w:pPr>
        <w:ind w:left="4798" w:hanging="360"/>
      </w:pPr>
      <w:rPr>
        <w:rFonts w:hint="default"/>
        <w:lang w:val="en-US" w:eastAsia="en-US" w:bidi="ar-SA"/>
      </w:rPr>
    </w:lvl>
    <w:lvl w:ilvl="7" w:tplc="A9801986">
      <w:numFmt w:val="bullet"/>
      <w:lvlText w:val="•"/>
      <w:lvlJc w:val="left"/>
      <w:pPr>
        <w:ind w:left="5461" w:hanging="360"/>
      </w:pPr>
      <w:rPr>
        <w:rFonts w:hint="default"/>
        <w:lang w:val="en-US" w:eastAsia="en-US" w:bidi="ar-SA"/>
      </w:rPr>
    </w:lvl>
    <w:lvl w:ilvl="8" w:tplc="AB240F5E">
      <w:numFmt w:val="bullet"/>
      <w:lvlText w:val="•"/>
      <w:lvlJc w:val="left"/>
      <w:pPr>
        <w:ind w:left="6124" w:hanging="360"/>
      </w:pPr>
      <w:rPr>
        <w:rFonts w:hint="default"/>
        <w:lang w:val="en-US" w:eastAsia="en-US" w:bidi="ar-SA"/>
      </w:rPr>
    </w:lvl>
  </w:abstractNum>
  <w:abstractNum w:abstractNumId="13" w15:restartNumberingAfterBreak="0">
    <w:nsid w:val="2BA22582"/>
    <w:multiLevelType w:val="hybridMultilevel"/>
    <w:tmpl w:val="6DF02940"/>
    <w:lvl w:ilvl="0" w:tplc="FBFA5A6A">
      <w:start w:val="1"/>
      <w:numFmt w:val="bullet"/>
      <w:lvlText w:val=""/>
      <w:lvlJc w:val="left"/>
      <w:pPr>
        <w:ind w:left="1440" w:hanging="360"/>
      </w:pPr>
      <w:rPr>
        <w:rFonts w:ascii="Symbol" w:hAnsi="Symbol"/>
      </w:rPr>
    </w:lvl>
    <w:lvl w:ilvl="1" w:tplc="165C45F4">
      <w:start w:val="1"/>
      <w:numFmt w:val="bullet"/>
      <w:lvlText w:val=""/>
      <w:lvlJc w:val="left"/>
      <w:pPr>
        <w:ind w:left="1440" w:hanging="360"/>
      </w:pPr>
      <w:rPr>
        <w:rFonts w:ascii="Symbol" w:hAnsi="Symbol"/>
      </w:rPr>
    </w:lvl>
    <w:lvl w:ilvl="2" w:tplc="36526386">
      <w:start w:val="1"/>
      <w:numFmt w:val="bullet"/>
      <w:lvlText w:val=""/>
      <w:lvlJc w:val="left"/>
      <w:pPr>
        <w:ind w:left="1440" w:hanging="360"/>
      </w:pPr>
      <w:rPr>
        <w:rFonts w:ascii="Symbol" w:hAnsi="Symbol"/>
      </w:rPr>
    </w:lvl>
    <w:lvl w:ilvl="3" w:tplc="603EADD2">
      <w:start w:val="1"/>
      <w:numFmt w:val="bullet"/>
      <w:lvlText w:val=""/>
      <w:lvlJc w:val="left"/>
      <w:pPr>
        <w:ind w:left="1440" w:hanging="360"/>
      </w:pPr>
      <w:rPr>
        <w:rFonts w:ascii="Symbol" w:hAnsi="Symbol"/>
      </w:rPr>
    </w:lvl>
    <w:lvl w:ilvl="4" w:tplc="E5047924">
      <w:start w:val="1"/>
      <w:numFmt w:val="bullet"/>
      <w:lvlText w:val=""/>
      <w:lvlJc w:val="left"/>
      <w:pPr>
        <w:ind w:left="1440" w:hanging="360"/>
      </w:pPr>
      <w:rPr>
        <w:rFonts w:ascii="Symbol" w:hAnsi="Symbol"/>
      </w:rPr>
    </w:lvl>
    <w:lvl w:ilvl="5" w:tplc="F59E2EC6">
      <w:start w:val="1"/>
      <w:numFmt w:val="bullet"/>
      <w:lvlText w:val=""/>
      <w:lvlJc w:val="left"/>
      <w:pPr>
        <w:ind w:left="1440" w:hanging="360"/>
      </w:pPr>
      <w:rPr>
        <w:rFonts w:ascii="Symbol" w:hAnsi="Symbol"/>
      </w:rPr>
    </w:lvl>
    <w:lvl w:ilvl="6" w:tplc="EDDA821A">
      <w:start w:val="1"/>
      <w:numFmt w:val="bullet"/>
      <w:lvlText w:val=""/>
      <w:lvlJc w:val="left"/>
      <w:pPr>
        <w:ind w:left="1440" w:hanging="360"/>
      </w:pPr>
      <w:rPr>
        <w:rFonts w:ascii="Symbol" w:hAnsi="Symbol"/>
      </w:rPr>
    </w:lvl>
    <w:lvl w:ilvl="7" w:tplc="C88EA628">
      <w:start w:val="1"/>
      <w:numFmt w:val="bullet"/>
      <w:lvlText w:val=""/>
      <w:lvlJc w:val="left"/>
      <w:pPr>
        <w:ind w:left="1440" w:hanging="360"/>
      </w:pPr>
      <w:rPr>
        <w:rFonts w:ascii="Symbol" w:hAnsi="Symbol"/>
      </w:rPr>
    </w:lvl>
    <w:lvl w:ilvl="8" w:tplc="C38422A2">
      <w:start w:val="1"/>
      <w:numFmt w:val="bullet"/>
      <w:lvlText w:val=""/>
      <w:lvlJc w:val="left"/>
      <w:pPr>
        <w:ind w:left="1440" w:hanging="360"/>
      </w:pPr>
      <w:rPr>
        <w:rFonts w:ascii="Symbol" w:hAnsi="Symbol"/>
      </w:rPr>
    </w:lvl>
  </w:abstractNum>
  <w:abstractNum w:abstractNumId="14" w15:restartNumberingAfterBreak="0">
    <w:nsid w:val="2CBE3A36"/>
    <w:multiLevelType w:val="hybridMultilevel"/>
    <w:tmpl w:val="F6547560"/>
    <w:lvl w:ilvl="0" w:tplc="58EA8D92">
      <w:numFmt w:val="bullet"/>
      <w:lvlText w:val="-"/>
      <w:lvlJc w:val="left"/>
      <w:pPr>
        <w:ind w:left="828" w:hanging="361"/>
      </w:pPr>
      <w:rPr>
        <w:rFonts w:ascii="Cambria" w:eastAsia="Cambria" w:hAnsi="Cambria" w:cs="Cambria" w:hint="default"/>
        <w:b w:val="0"/>
        <w:bCs w:val="0"/>
        <w:i w:val="0"/>
        <w:iCs w:val="0"/>
        <w:spacing w:val="0"/>
        <w:w w:val="100"/>
        <w:sz w:val="21"/>
        <w:szCs w:val="21"/>
        <w:lang w:val="en-US" w:eastAsia="en-US" w:bidi="ar-SA"/>
      </w:rPr>
    </w:lvl>
    <w:lvl w:ilvl="1" w:tplc="AE766378">
      <w:numFmt w:val="bullet"/>
      <w:lvlText w:val="•"/>
      <w:lvlJc w:val="left"/>
      <w:pPr>
        <w:ind w:left="1469" w:hanging="361"/>
      </w:pPr>
      <w:rPr>
        <w:rFonts w:hint="default"/>
        <w:lang w:val="en-US" w:eastAsia="en-US" w:bidi="ar-SA"/>
      </w:rPr>
    </w:lvl>
    <w:lvl w:ilvl="2" w:tplc="6554E80A">
      <w:numFmt w:val="bullet"/>
      <w:lvlText w:val="•"/>
      <w:lvlJc w:val="left"/>
      <w:pPr>
        <w:ind w:left="2118" w:hanging="361"/>
      </w:pPr>
      <w:rPr>
        <w:rFonts w:hint="default"/>
        <w:lang w:val="en-US" w:eastAsia="en-US" w:bidi="ar-SA"/>
      </w:rPr>
    </w:lvl>
    <w:lvl w:ilvl="3" w:tplc="5F18A190">
      <w:numFmt w:val="bullet"/>
      <w:lvlText w:val="•"/>
      <w:lvlJc w:val="left"/>
      <w:pPr>
        <w:ind w:left="2767" w:hanging="361"/>
      </w:pPr>
      <w:rPr>
        <w:rFonts w:hint="default"/>
        <w:lang w:val="en-US" w:eastAsia="en-US" w:bidi="ar-SA"/>
      </w:rPr>
    </w:lvl>
    <w:lvl w:ilvl="4" w:tplc="7E503DB8">
      <w:numFmt w:val="bullet"/>
      <w:lvlText w:val="•"/>
      <w:lvlJc w:val="left"/>
      <w:pPr>
        <w:ind w:left="3416" w:hanging="361"/>
      </w:pPr>
      <w:rPr>
        <w:rFonts w:hint="default"/>
        <w:lang w:val="en-US" w:eastAsia="en-US" w:bidi="ar-SA"/>
      </w:rPr>
    </w:lvl>
    <w:lvl w:ilvl="5" w:tplc="3530F494">
      <w:numFmt w:val="bullet"/>
      <w:lvlText w:val="•"/>
      <w:lvlJc w:val="left"/>
      <w:pPr>
        <w:ind w:left="4065" w:hanging="361"/>
      </w:pPr>
      <w:rPr>
        <w:rFonts w:hint="default"/>
        <w:lang w:val="en-US" w:eastAsia="en-US" w:bidi="ar-SA"/>
      </w:rPr>
    </w:lvl>
    <w:lvl w:ilvl="6" w:tplc="722806EA">
      <w:numFmt w:val="bullet"/>
      <w:lvlText w:val="•"/>
      <w:lvlJc w:val="left"/>
      <w:pPr>
        <w:ind w:left="4714" w:hanging="361"/>
      </w:pPr>
      <w:rPr>
        <w:rFonts w:hint="default"/>
        <w:lang w:val="en-US" w:eastAsia="en-US" w:bidi="ar-SA"/>
      </w:rPr>
    </w:lvl>
    <w:lvl w:ilvl="7" w:tplc="BFF490D2">
      <w:numFmt w:val="bullet"/>
      <w:lvlText w:val="•"/>
      <w:lvlJc w:val="left"/>
      <w:pPr>
        <w:ind w:left="5363" w:hanging="361"/>
      </w:pPr>
      <w:rPr>
        <w:rFonts w:hint="default"/>
        <w:lang w:val="en-US" w:eastAsia="en-US" w:bidi="ar-SA"/>
      </w:rPr>
    </w:lvl>
    <w:lvl w:ilvl="8" w:tplc="4232FF38">
      <w:numFmt w:val="bullet"/>
      <w:lvlText w:val="•"/>
      <w:lvlJc w:val="left"/>
      <w:pPr>
        <w:ind w:left="6012" w:hanging="361"/>
      </w:pPr>
      <w:rPr>
        <w:rFonts w:hint="default"/>
        <w:lang w:val="en-US" w:eastAsia="en-US" w:bidi="ar-SA"/>
      </w:rPr>
    </w:lvl>
  </w:abstractNum>
  <w:abstractNum w:abstractNumId="15" w15:restartNumberingAfterBreak="0">
    <w:nsid w:val="332B36BD"/>
    <w:multiLevelType w:val="hybridMultilevel"/>
    <w:tmpl w:val="5DF03AB0"/>
    <w:lvl w:ilvl="0" w:tplc="CDA8533C">
      <w:numFmt w:val="bullet"/>
      <w:lvlText w:val=""/>
      <w:lvlJc w:val="left"/>
      <w:pPr>
        <w:ind w:left="1060" w:hanging="361"/>
      </w:pPr>
      <w:rPr>
        <w:rFonts w:ascii="Symbol" w:eastAsia="Symbol" w:hAnsi="Symbol" w:cs="Symbol" w:hint="default"/>
        <w:b w:val="0"/>
        <w:bCs w:val="0"/>
        <w:i w:val="0"/>
        <w:iCs w:val="0"/>
        <w:spacing w:val="0"/>
        <w:w w:val="100"/>
        <w:sz w:val="22"/>
        <w:szCs w:val="22"/>
        <w:lang w:val="en-US" w:eastAsia="en-US" w:bidi="ar-SA"/>
      </w:rPr>
    </w:lvl>
    <w:lvl w:ilvl="1" w:tplc="BC06C880">
      <w:numFmt w:val="bullet"/>
      <w:lvlText w:val="o"/>
      <w:lvlJc w:val="left"/>
      <w:pPr>
        <w:ind w:left="1780" w:hanging="361"/>
      </w:pPr>
      <w:rPr>
        <w:rFonts w:ascii="Courier New" w:eastAsia="Courier New" w:hAnsi="Courier New" w:cs="Courier New" w:hint="default"/>
        <w:b w:val="0"/>
        <w:bCs w:val="0"/>
        <w:i w:val="0"/>
        <w:iCs w:val="0"/>
        <w:spacing w:val="0"/>
        <w:w w:val="100"/>
        <w:sz w:val="22"/>
        <w:szCs w:val="22"/>
        <w:lang w:val="en-US" w:eastAsia="en-US" w:bidi="ar-SA"/>
      </w:rPr>
    </w:lvl>
    <w:lvl w:ilvl="2" w:tplc="893AEB88">
      <w:numFmt w:val="bullet"/>
      <w:lvlText w:val="•"/>
      <w:lvlJc w:val="left"/>
      <w:pPr>
        <w:ind w:left="2660" w:hanging="361"/>
      </w:pPr>
      <w:rPr>
        <w:rFonts w:hint="default"/>
        <w:lang w:val="en-US" w:eastAsia="en-US" w:bidi="ar-SA"/>
      </w:rPr>
    </w:lvl>
    <w:lvl w:ilvl="3" w:tplc="72082A3E">
      <w:numFmt w:val="bullet"/>
      <w:lvlText w:val="•"/>
      <w:lvlJc w:val="left"/>
      <w:pPr>
        <w:ind w:left="3541" w:hanging="361"/>
      </w:pPr>
      <w:rPr>
        <w:rFonts w:hint="default"/>
        <w:lang w:val="en-US" w:eastAsia="en-US" w:bidi="ar-SA"/>
      </w:rPr>
    </w:lvl>
    <w:lvl w:ilvl="4" w:tplc="D11A8140">
      <w:numFmt w:val="bullet"/>
      <w:lvlText w:val="•"/>
      <w:lvlJc w:val="left"/>
      <w:pPr>
        <w:ind w:left="4422" w:hanging="361"/>
      </w:pPr>
      <w:rPr>
        <w:rFonts w:hint="default"/>
        <w:lang w:val="en-US" w:eastAsia="en-US" w:bidi="ar-SA"/>
      </w:rPr>
    </w:lvl>
    <w:lvl w:ilvl="5" w:tplc="F74E2800">
      <w:numFmt w:val="bullet"/>
      <w:lvlText w:val="•"/>
      <w:lvlJc w:val="left"/>
      <w:pPr>
        <w:ind w:left="5302" w:hanging="361"/>
      </w:pPr>
      <w:rPr>
        <w:rFonts w:hint="default"/>
        <w:lang w:val="en-US" w:eastAsia="en-US" w:bidi="ar-SA"/>
      </w:rPr>
    </w:lvl>
    <w:lvl w:ilvl="6" w:tplc="F07EA2E0">
      <w:numFmt w:val="bullet"/>
      <w:lvlText w:val="•"/>
      <w:lvlJc w:val="left"/>
      <w:pPr>
        <w:ind w:left="6183" w:hanging="361"/>
      </w:pPr>
      <w:rPr>
        <w:rFonts w:hint="default"/>
        <w:lang w:val="en-US" w:eastAsia="en-US" w:bidi="ar-SA"/>
      </w:rPr>
    </w:lvl>
    <w:lvl w:ilvl="7" w:tplc="D30634CE">
      <w:numFmt w:val="bullet"/>
      <w:lvlText w:val="•"/>
      <w:lvlJc w:val="left"/>
      <w:pPr>
        <w:ind w:left="7064" w:hanging="361"/>
      </w:pPr>
      <w:rPr>
        <w:rFonts w:hint="default"/>
        <w:lang w:val="en-US" w:eastAsia="en-US" w:bidi="ar-SA"/>
      </w:rPr>
    </w:lvl>
    <w:lvl w:ilvl="8" w:tplc="0FB4DEEC">
      <w:numFmt w:val="bullet"/>
      <w:lvlText w:val="•"/>
      <w:lvlJc w:val="left"/>
      <w:pPr>
        <w:ind w:left="7944" w:hanging="361"/>
      </w:pPr>
      <w:rPr>
        <w:rFonts w:hint="default"/>
        <w:lang w:val="en-US" w:eastAsia="en-US" w:bidi="ar-SA"/>
      </w:rPr>
    </w:lvl>
  </w:abstractNum>
  <w:abstractNum w:abstractNumId="16" w15:restartNumberingAfterBreak="0">
    <w:nsid w:val="34295593"/>
    <w:multiLevelType w:val="hybridMultilevel"/>
    <w:tmpl w:val="5F549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8" w15:restartNumberingAfterBreak="0">
    <w:nsid w:val="4879037D"/>
    <w:multiLevelType w:val="hybridMultilevel"/>
    <w:tmpl w:val="F0628410"/>
    <w:lvl w:ilvl="0" w:tplc="C550110A">
      <w:numFmt w:val="bullet"/>
      <w:lvlText w:val=""/>
      <w:lvlJc w:val="left"/>
      <w:pPr>
        <w:ind w:left="820" w:hanging="356"/>
      </w:pPr>
      <w:rPr>
        <w:rFonts w:ascii="Symbol" w:eastAsia="Symbol" w:hAnsi="Symbol" w:cs="Symbol" w:hint="default"/>
        <w:b w:val="0"/>
        <w:bCs w:val="0"/>
        <w:i w:val="0"/>
        <w:iCs w:val="0"/>
        <w:spacing w:val="0"/>
        <w:w w:val="100"/>
        <w:sz w:val="21"/>
        <w:szCs w:val="21"/>
        <w:lang w:val="en-US" w:eastAsia="en-US" w:bidi="ar-SA"/>
      </w:rPr>
    </w:lvl>
    <w:lvl w:ilvl="1" w:tplc="F27E7BCE">
      <w:numFmt w:val="bullet"/>
      <w:lvlText w:val="•"/>
      <w:lvlJc w:val="left"/>
      <w:pPr>
        <w:ind w:left="1382" w:hanging="356"/>
      </w:pPr>
      <w:rPr>
        <w:rFonts w:hint="default"/>
        <w:lang w:val="en-US" w:eastAsia="en-US" w:bidi="ar-SA"/>
      </w:rPr>
    </w:lvl>
    <w:lvl w:ilvl="2" w:tplc="00588DF6">
      <w:numFmt w:val="bullet"/>
      <w:lvlText w:val="•"/>
      <w:lvlJc w:val="left"/>
      <w:pPr>
        <w:ind w:left="1945" w:hanging="356"/>
      </w:pPr>
      <w:rPr>
        <w:rFonts w:hint="default"/>
        <w:lang w:val="en-US" w:eastAsia="en-US" w:bidi="ar-SA"/>
      </w:rPr>
    </w:lvl>
    <w:lvl w:ilvl="3" w:tplc="B1B4CB62">
      <w:numFmt w:val="bullet"/>
      <w:lvlText w:val="•"/>
      <w:lvlJc w:val="left"/>
      <w:pPr>
        <w:ind w:left="2507" w:hanging="356"/>
      </w:pPr>
      <w:rPr>
        <w:rFonts w:hint="default"/>
        <w:lang w:val="en-US" w:eastAsia="en-US" w:bidi="ar-SA"/>
      </w:rPr>
    </w:lvl>
    <w:lvl w:ilvl="4" w:tplc="0088D684">
      <w:numFmt w:val="bullet"/>
      <w:lvlText w:val="•"/>
      <w:lvlJc w:val="left"/>
      <w:pPr>
        <w:ind w:left="3070" w:hanging="356"/>
      </w:pPr>
      <w:rPr>
        <w:rFonts w:hint="default"/>
        <w:lang w:val="en-US" w:eastAsia="en-US" w:bidi="ar-SA"/>
      </w:rPr>
    </w:lvl>
    <w:lvl w:ilvl="5" w:tplc="235A7DE2">
      <w:numFmt w:val="bullet"/>
      <w:lvlText w:val="•"/>
      <w:lvlJc w:val="left"/>
      <w:pPr>
        <w:ind w:left="3633" w:hanging="356"/>
      </w:pPr>
      <w:rPr>
        <w:rFonts w:hint="default"/>
        <w:lang w:val="en-US" w:eastAsia="en-US" w:bidi="ar-SA"/>
      </w:rPr>
    </w:lvl>
    <w:lvl w:ilvl="6" w:tplc="E5546FA6">
      <w:numFmt w:val="bullet"/>
      <w:lvlText w:val="•"/>
      <w:lvlJc w:val="left"/>
      <w:pPr>
        <w:ind w:left="4195" w:hanging="356"/>
      </w:pPr>
      <w:rPr>
        <w:rFonts w:hint="default"/>
        <w:lang w:val="en-US" w:eastAsia="en-US" w:bidi="ar-SA"/>
      </w:rPr>
    </w:lvl>
    <w:lvl w:ilvl="7" w:tplc="D182F60E">
      <w:numFmt w:val="bullet"/>
      <w:lvlText w:val="•"/>
      <w:lvlJc w:val="left"/>
      <w:pPr>
        <w:ind w:left="4758" w:hanging="356"/>
      </w:pPr>
      <w:rPr>
        <w:rFonts w:hint="default"/>
        <w:lang w:val="en-US" w:eastAsia="en-US" w:bidi="ar-SA"/>
      </w:rPr>
    </w:lvl>
    <w:lvl w:ilvl="8" w:tplc="3392EBE0">
      <w:numFmt w:val="bullet"/>
      <w:lvlText w:val="•"/>
      <w:lvlJc w:val="left"/>
      <w:pPr>
        <w:ind w:left="5320" w:hanging="356"/>
      </w:pPr>
      <w:rPr>
        <w:rFonts w:hint="default"/>
        <w:lang w:val="en-US" w:eastAsia="en-US" w:bidi="ar-SA"/>
      </w:rPr>
    </w:lvl>
  </w:abstractNum>
  <w:abstractNum w:abstractNumId="19" w15:restartNumberingAfterBreak="0">
    <w:nsid w:val="4C6923FC"/>
    <w:multiLevelType w:val="hybridMultilevel"/>
    <w:tmpl w:val="5548199C"/>
    <w:lvl w:ilvl="0" w:tplc="E7DEBE7C">
      <w:numFmt w:val="bullet"/>
      <w:lvlText w:val=""/>
      <w:lvlJc w:val="left"/>
      <w:pPr>
        <w:ind w:left="709" w:hanging="229"/>
      </w:pPr>
      <w:rPr>
        <w:rFonts w:ascii="Symbol" w:eastAsia="Symbol" w:hAnsi="Symbol" w:cs="Symbol" w:hint="default"/>
        <w:b w:val="0"/>
        <w:bCs w:val="0"/>
        <w:i w:val="0"/>
        <w:iCs w:val="0"/>
        <w:spacing w:val="0"/>
        <w:w w:val="100"/>
        <w:sz w:val="22"/>
        <w:szCs w:val="22"/>
        <w:lang w:val="en-US" w:eastAsia="en-US" w:bidi="ar-SA"/>
      </w:rPr>
    </w:lvl>
    <w:lvl w:ilvl="1" w:tplc="3B743692">
      <w:numFmt w:val="bullet"/>
      <w:lvlText w:val="o"/>
      <w:lvlJc w:val="left"/>
      <w:pPr>
        <w:ind w:left="1779" w:hanging="361"/>
      </w:pPr>
      <w:rPr>
        <w:rFonts w:ascii="Courier New" w:eastAsia="Courier New" w:hAnsi="Courier New" w:cs="Courier New" w:hint="default"/>
        <w:b w:val="0"/>
        <w:bCs w:val="0"/>
        <w:i w:val="0"/>
        <w:iCs w:val="0"/>
        <w:spacing w:val="0"/>
        <w:w w:val="100"/>
        <w:sz w:val="22"/>
        <w:szCs w:val="22"/>
        <w:lang w:val="en-US" w:eastAsia="en-US" w:bidi="ar-SA"/>
      </w:rPr>
    </w:lvl>
    <w:lvl w:ilvl="2" w:tplc="E94A7716">
      <w:numFmt w:val="bullet"/>
      <w:lvlText w:val="•"/>
      <w:lvlJc w:val="left"/>
      <w:pPr>
        <w:ind w:left="2660" w:hanging="361"/>
      </w:pPr>
      <w:rPr>
        <w:rFonts w:hint="default"/>
        <w:lang w:val="en-US" w:eastAsia="en-US" w:bidi="ar-SA"/>
      </w:rPr>
    </w:lvl>
    <w:lvl w:ilvl="3" w:tplc="1178AFDE">
      <w:numFmt w:val="bullet"/>
      <w:lvlText w:val="•"/>
      <w:lvlJc w:val="left"/>
      <w:pPr>
        <w:ind w:left="3541" w:hanging="361"/>
      </w:pPr>
      <w:rPr>
        <w:rFonts w:hint="default"/>
        <w:lang w:val="en-US" w:eastAsia="en-US" w:bidi="ar-SA"/>
      </w:rPr>
    </w:lvl>
    <w:lvl w:ilvl="4" w:tplc="5D54FDAA">
      <w:numFmt w:val="bullet"/>
      <w:lvlText w:val="•"/>
      <w:lvlJc w:val="left"/>
      <w:pPr>
        <w:ind w:left="4422" w:hanging="361"/>
      </w:pPr>
      <w:rPr>
        <w:rFonts w:hint="default"/>
        <w:lang w:val="en-US" w:eastAsia="en-US" w:bidi="ar-SA"/>
      </w:rPr>
    </w:lvl>
    <w:lvl w:ilvl="5" w:tplc="E82C8154">
      <w:numFmt w:val="bullet"/>
      <w:lvlText w:val="•"/>
      <w:lvlJc w:val="left"/>
      <w:pPr>
        <w:ind w:left="5302" w:hanging="361"/>
      </w:pPr>
      <w:rPr>
        <w:rFonts w:hint="default"/>
        <w:lang w:val="en-US" w:eastAsia="en-US" w:bidi="ar-SA"/>
      </w:rPr>
    </w:lvl>
    <w:lvl w:ilvl="6" w:tplc="14BA7D6A">
      <w:numFmt w:val="bullet"/>
      <w:lvlText w:val="•"/>
      <w:lvlJc w:val="left"/>
      <w:pPr>
        <w:ind w:left="6183" w:hanging="361"/>
      </w:pPr>
      <w:rPr>
        <w:rFonts w:hint="default"/>
        <w:lang w:val="en-US" w:eastAsia="en-US" w:bidi="ar-SA"/>
      </w:rPr>
    </w:lvl>
    <w:lvl w:ilvl="7" w:tplc="C7A499B0">
      <w:numFmt w:val="bullet"/>
      <w:lvlText w:val="•"/>
      <w:lvlJc w:val="left"/>
      <w:pPr>
        <w:ind w:left="7064" w:hanging="361"/>
      </w:pPr>
      <w:rPr>
        <w:rFonts w:hint="default"/>
        <w:lang w:val="en-US" w:eastAsia="en-US" w:bidi="ar-SA"/>
      </w:rPr>
    </w:lvl>
    <w:lvl w:ilvl="8" w:tplc="7B7EF57E">
      <w:numFmt w:val="bullet"/>
      <w:lvlText w:val="•"/>
      <w:lvlJc w:val="left"/>
      <w:pPr>
        <w:ind w:left="7944" w:hanging="361"/>
      </w:pPr>
      <w:rPr>
        <w:rFonts w:hint="default"/>
        <w:lang w:val="en-US" w:eastAsia="en-US" w:bidi="ar-SA"/>
      </w:rPr>
    </w:lvl>
  </w:abstractNum>
  <w:abstractNum w:abstractNumId="20"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1"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22"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4" w15:restartNumberingAfterBreak="0">
    <w:nsid w:val="62B75139"/>
    <w:multiLevelType w:val="multilevel"/>
    <w:tmpl w:val="8886E926"/>
    <w:lvl w:ilvl="0">
      <w:start w:val="1"/>
      <w:numFmt w:val="decimal"/>
      <w:lvlText w:val="%1"/>
      <w:lvlJc w:val="left"/>
      <w:pPr>
        <w:ind w:left="556" w:hanging="217"/>
      </w:pPr>
      <w:rPr>
        <w:rFonts w:ascii="Arial" w:eastAsia="Arial" w:hAnsi="Arial" w:cs="Arial" w:hint="default"/>
        <w:b/>
        <w:bCs/>
        <w:i w:val="0"/>
        <w:iCs w:val="0"/>
        <w:spacing w:val="0"/>
        <w:w w:val="99"/>
        <w:sz w:val="26"/>
        <w:szCs w:val="26"/>
        <w:lang w:val="en-US" w:eastAsia="en-US" w:bidi="ar-SA"/>
      </w:rPr>
    </w:lvl>
    <w:lvl w:ilvl="1">
      <w:start w:val="1"/>
      <w:numFmt w:val="decimal"/>
      <w:lvlText w:val="%1.%2"/>
      <w:lvlJc w:val="left"/>
      <w:pPr>
        <w:ind w:left="702" w:hanging="363"/>
      </w:pPr>
      <w:rPr>
        <w:rFonts w:ascii="Cambria" w:eastAsia="Cambria" w:hAnsi="Cambria" w:cs="Cambria" w:hint="default"/>
        <w:b/>
        <w:bCs/>
        <w:i w:val="0"/>
        <w:iCs w:val="0"/>
        <w:spacing w:val="-1"/>
        <w:w w:val="100"/>
        <w:sz w:val="22"/>
        <w:szCs w:val="22"/>
        <w:lang w:val="en-US" w:eastAsia="en-US" w:bidi="ar-SA"/>
      </w:rPr>
    </w:lvl>
    <w:lvl w:ilvl="2">
      <w:numFmt w:val="bullet"/>
      <w:lvlText w:val="-"/>
      <w:lvlJc w:val="left"/>
      <w:pPr>
        <w:ind w:left="1059" w:hanging="360"/>
      </w:pPr>
      <w:rPr>
        <w:rFonts w:ascii="Cambria" w:eastAsia="Cambria" w:hAnsi="Cambria" w:cs="Cambria" w:hint="default"/>
        <w:b w:val="0"/>
        <w:bCs w:val="0"/>
        <w:i w:val="0"/>
        <w:iCs w:val="0"/>
        <w:spacing w:val="0"/>
        <w:w w:val="100"/>
        <w:sz w:val="22"/>
        <w:szCs w:val="22"/>
        <w:lang w:val="en-US" w:eastAsia="en-US" w:bidi="ar-SA"/>
      </w:rPr>
    </w:lvl>
    <w:lvl w:ilvl="3">
      <w:numFmt w:val="bullet"/>
      <w:lvlText w:val="•"/>
      <w:lvlJc w:val="left"/>
      <w:pPr>
        <w:ind w:left="2140" w:hanging="360"/>
      </w:pPr>
      <w:rPr>
        <w:rFonts w:hint="default"/>
        <w:lang w:val="en-US" w:eastAsia="en-US" w:bidi="ar-SA"/>
      </w:rPr>
    </w:lvl>
    <w:lvl w:ilvl="4">
      <w:numFmt w:val="bullet"/>
      <w:lvlText w:val="•"/>
      <w:lvlJc w:val="left"/>
      <w:pPr>
        <w:ind w:left="3221" w:hanging="360"/>
      </w:pPr>
      <w:rPr>
        <w:rFonts w:hint="default"/>
        <w:lang w:val="en-US" w:eastAsia="en-US" w:bidi="ar-SA"/>
      </w:rPr>
    </w:lvl>
    <w:lvl w:ilvl="5">
      <w:numFmt w:val="bullet"/>
      <w:lvlText w:val="•"/>
      <w:lvlJc w:val="left"/>
      <w:pPr>
        <w:ind w:left="4302" w:hanging="360"/>
      </w:pPr>
      <w:rPr>
        <w:rFonts w:hint="default"/>
        <w:lang w:val="en-US" w:eastAsia="en-US" w:bidi="ar-SA"/>
      </w:rPr>
    </w:lvl>
    <w:lvl w:ilvl="6">
      <w:numFmt w:val="bullet"/>
      <w:lvlText w:val="•"/>
      <w:lvlJc w:val="left"/>
      <w:pPr>
        <w:ind w:left="5383" w:hanging="360"/>
      </w:pPr>
      <w:rPr>
        <w:rFonts w:hint="default"/>
        <w:lang w:val="en-US" w:eastAsia="en-US" w:bidi="ar-SA"/>
      </w:rPr>
    </w:lvl>
    <w:lvl w:ilvl="7">
      <w:numFmt w:val="bullet"/>
      <w:lvlText w:val="•"/>
      <w:lvlJc w:val="left"/>
      <w:pPr>
        <w:ind w:left="6464" w:hanging="360"/>
      </w:pPr>
      <w:rPr>
        <w:rFonts w:hint="default"/>
        <w:lang w:val="en-US" w:eastAsia="en-US" w:bidi="ar-SA"/>
      </w:rPr>
    </w:lvl>
    <w:lvl w:ilvl="8">
      <w:numFmt w:val="bullet"/>
      <w:lvlText w:val="•"/>
      <w:lvlJc w:val="left"/>
      <w:pPr>
        <w:ind w:left="7544" w:hanging="360"/>
      </w:pPr>
      <w:rPr>
        <w:rFonts w:hint="default"/>
        <w:lang w:val="en-US" w:eastAsia="en-US" w:bidi="ar-SA"/>
      </w:rPr>
    </w:lvl>
  </w:abstractNum>
  <w:abstractNum w:abstractNumId="25" w15:restartNumberingAfterBreak="0">
    <w:nsid w:val="62EF4464"/>
    <w:multiLevelType w:val="hybridMultilevel"/>
    <w:tmpl w:val="DF36A93C"/>
    <w:lvl w:ilvl="0" w:tplc="01B2647E">
      <w:start w:val="1"/>
      <w:numFmt w:val="decimal"/>
      <w:lvlText w:val="%1."/>
      <w:lvlJc w:val="left"/>
      <w:pPr>
        <w:ind w:left="827" w:hanging="361"/>
      </w:pPr>
      <w:rPr>
        <w:rFonts w:ascii="Cambria" w:eastAsia="Cambria" w:hAnsi="Cambria" w:cs="Cambria" w:hint="default"/>
        <w:b w:val="0"/>
        <w:bCs w:val="0"/>
        <w:i w:val="0"/>
        <w:iCs w:val="0"/>
        <w:spacing w:val="0"/>
        <w:w w:val="100"/>
        <w:sz w:val="21"/>
        <w:szCs w:val="21"/>
        <w:lang w:val="en-US" w:eastAsia="en-US" w:bidi="ar-SA"/>
      </w:rPr>
    </w:lvl>
    <w:lvl w:ilvl="1" w:tplc="94F4BD5A">
      <w:start w:val="1"/>
      <w:numFmt w:val="lowerLetter"/>
      <w:lvlText w:val="%2."/>
      <w:lvlJc w:val="left"/>
      <w:pPr>
        <w:ind w:left="1547" w:hanging="361"/>
      </w:pPr>
      <w:rPr>
        <w:rFonts w:ascii="Cambria" w:eastAsia="Cambria" w:hAnsi="Cambria" w:cs="Cambria" w:hint="default"/>
        <w:b w:val="0"/>
        <w:bCs w:val="0"/>
        <w:i w:val="0"/>
        <w:iCs w:val="0"/>
        <w:spacing w:val="0"/>
        <w:w w:val="100"/>
        <w:sz w:val="21"/>
        <w:szCs w:val="21"/>
        <w:lang w:val="en-US" w:eastAsia="en-US" w:bidi="ar-SA"/>
      </w:rPr>
    </w:lvl>
    <w:lvl w:ilvl="2" w:tplc="BA9A48F8">
      <w:numFmt w:val="bullet"/>
      <w:lvlText w:val="•"/>
      <w:lvlJc w:val="left"/>
      <w:pPr>
        <w:ind w:left="2069" w:hanging="361"/>
      </w:pPr>
      <w:rPr>
        <w:rFonts w:hint="default"/>
        <w:lang w:val="en-US" w:eastAsia="en-US" w:bidi="ar-SA"/>
      </w:rPr>
    </w:lvl>
    <w:lvl w:ilvl="3" w:tplc="B5063F4C">
      <w:numFmt w:val="bullet"/>
      <w:lvlText w:val="•"/>
      <w:lvlJc w:val="left"/>
      <w:pPr>
        <w:ind w:left="2598" w:hanging="361"/>
      </w:pPr>
      <w:rPr>
        <w:rFonts w:hint="default"/>
        <w:lang w:val="en-US" w:eastAsia="en-US" w:bidi="ar-SA"/>
      </w:rPr>
    </w:lvl>
    <w:lvl w:ilvl="4" w:tplc="B7EA1DB0">
      <w:numFmt w:val="bullet"/>
      <w:lvlText w:val="•"/>
      <w:lvlJc w:val="left"/>
      <w:pPr>
        <w:ind w:left="3128" w:hanging="361"/>
      </w:pPr>
      <w:rPr>
        <w:rFonts w:hint="default"/>
        <w:lang w:val="en-US" w:eastAsia="en-US" w:bidi="ar-SA"/>
      </w:rPr>
    </w:lvl>
    <w:lvl w:ilvl="5" w:tplc="5F1C3C2A">
      <w:numFmt w:val="bullet"/>
      <w:lvlText w:val="•"/>
      <w:lvlJc w:val="left"/>
      <w:pPr>
        <w:ind w:left="3657" w:hanging="361"/>
      </w:pPr>
      <w:rPr>
        <w:rFonts w:hint="default"/>
        <w:lang w:val="en-US" w:eastAsia="en-US" w:bidi="ar-SA"/>
      </w:rPr>
    </w:lvl>
    <w:lvl w:ilvl="6" w:tplc="76109FA2">
      <w:numFmt w:val="bullet"/>
      <w:lvlText w:val="•"/>
      <w:lvlJc w:val="left"/>
      <w:pPr>
        <w:ind w:left="4187" w:hanging="361"/>
      </w:pPr>
      <w:rPr>
        <w:rFonts w:hint="default"/>
        <w:lang w:val="en-US" w:eastAsia="en-US" w:bidi="ar-SA"/>
      </w:rPr>
    </w:lvl>
    <w:lvl w:ilvl="7" w:tplc="75F0EB1E">
      <w:numFmt w:val="bullet"/>
      <w:lvlText w:val="•"/>
      <w:lvlJc w:val="left"/>
      <w:pPr>
        <w:ind w:left="4716" w:hanging="361"/>
      </w:pPr>
      <w:rPr>
        <w:rFonts w:hint="default"/>
        <w:lang w:val="en-US" w:eastAsia="en-US" w:bidi="ar-SA"/>
      </w:rPr>
    </w:lvl>
    <w:lvl w:ilvl="8" w:tplc="999ED8F6">
      <w:numFmt w:val="bullet"/>
      <w:lvlText w:val="•"/>
      <w:lvlJc w:val="left"/>
      <w:pPr>
        <w:ind w:left="5246" w:hanging="361"/>
      </w:pPr>
      <w:rPr>
        <w:rFonts w:hint="default"/>
        <w:lang w:val="en-US" w:eastAsia="en-US" w:bidi="ar-SA"/>
      </w:rPr>
    </w:lvl>
  </w:abstractNum>
  <w:abstractNum w:abstractNumId="26" w15:restartNumberingAfterBreak="0">
    <w:nsid w:val="64A731DB"/>
    <w:multiLevelType w:val="hybridMultilevel"/>
    <w:tmpl w:val="A336BB34"/>
    <w:lvl w:ilvl="0" w:tplc="6A9203B4">
      <w:numFmt w:val="bullet"/>
      <w:lvlText w:val="-"/>
      <w:lvlJc w:val="left"/>
      <w:pPr>
        <w:ind w:left="1059" w:hanging="360"/>
      </w:pPr>
      <w:rPr>
        <w:rFonts w:ascii="Cambria" w:eastAsia="Cambria" w:hAnsi="Cambria" w:cs="Cambria" w:hint="default"/>
        <w:b w:val="0"/>
        <w:bCs w:val="0"/>
        <w:i w:val="0"/>
        <w:iCs w:val="0"/>
        <w:spacing w:val="0"/>
        <w:w w:val="100"/>
        <w:sz w:val="22"/>
        <w:szCs w:val="22"/>
        <w:lang w:val="en-US" w:eastAsia="en-US" w:bidi="ar-SA"/>
      </w:rPr>
    </w:lvl>
    <w:lvl w:ilvl="1" w:tplc="4E188400">
      <w:numFmt w:val="bullet"/>
      <w:lvlText w:val="•"/>
      <w:lvlJc w:val="left"/>
      <w:pPr>
        <w:ind w:left="1924" w:hanging="360"/>
      </w:pPr>
      <w:rPr>
        <w:rFonts w:hint="default"/>
        <w:lang w:val="en-US" w:eastAsia="en-US" w:bidi="ar-SA"/>
      </w:rPr>
    </w:lvl>
    <w:lvl w:ilvl="2" w:tplc="567671E6">
      <w:numFmt w:val="bullet"/>
      <w:lvlText w:val="•"/>
      <w:lvlJc w:val="left"/>
      <w:pPr>
        <w:ind w:left="2789" w:hanging="360"/>
      </w:pPr>
      <w:rPr>
        <w:rFonts w:hint="default"/>
        <w:lang w:val="en-US" w:eastAsia="en-US" w:bidi="ar-SA"/>
      </w:rPr>
    </w:lvl>
    <w:lvl w:ilvl="3" w:tplc="E1D89E54">
      <w:numFmt w:val="bullet"/>
      <w:lvlText w:val="•"/>
      <w:lvlJc w:val="left"/>
      <w:pPr>
        <w:ind w:left="3653" w:hanging="360"/>
      </w:pPr>
      <w:rPr>
        <w:rFonts w:hint="default"/>
        <w:lang w:val="en-US" w:eastAsia="en-US" w:bidi="ar-SA"/>
      </w:rPr>
    </w:lvl>
    <w:lvl w:ilvl="4" w:tplc="7916BA22">
      <w:numFmt w:val="bullet"/>
      <w:lvlText w:val="•"/>
      <w:lvlJc w:val="left"/>
      <w:pPr>
        <w:ind w:left="4518" w:hanging="360"/>
      </w:pPr>
      <w:rPr>
        <w:rFonts w:hint="default"/>
        <w:lang w:val="en-US" w:eastAsia="en-US" w:bidi="ar-SA"/>
      </w:rPr>
    </w:lvl>
    <w:lvl w:ilvl="5" w:tplc="23BC2964">
      <w:numFmt w:val="bullet"/>
      <w:lvlText w:val="•"/>
      <w:lvlJc w:val="left"/>
      <w:pPr>
        <w:ind w:left="5383" w:hanging="360"/>
      </w:pPr>
      <w:rPr>
        <w:rFonts w:hint="default"/>
        <w:lang w:val="en-US" w:eastAsia="en-US" w:bidi="ar-SA"/>
      </w:rPr>
    </w:lvl>
    <w:lvl w:ilvl="6" w:tplc="62B88410">
      <w:numFmt w:val="bullet"/>
      <w:lvlText w:val="•"/>
      <w:lvlJc w:val="left"/>
      <w:pPr>
        <w:ind w:left="6247" w:hanging="360"/>
      </w:pPr>
      <w:rPr>
        <w:rFonts w:hint="default"/>
        <w:lang w:val="en-US" w:eastAsia="en-US" w:bidi="ar-SA"/>
      </w:rPr>
    </w:lvl>
    <w:lvl w:ilvl="7" w:tplc="EC0ADEC2">
      <w:numFmt w:val="bullet"/>
      <w:lvlText w:val="•"/>
      <w:lvlJc w:val="left"/>
      <w:pPr>
        <w:ind w:left="7112" w:hanging="360"/>
      </w:pPr>
      <w:rPr>
        <w:rFonts w:hint="default"/>
        <w:lang w:val="en-US" w:eastAsia="en-US" w:bidi="ar-SA"/>
      </w:rPr>
    </w:lvl>
    <w:lvl w:ilvl="8" w:tplc="72CC5886">
      <w:numFmt w:val="bullet"/>
      <w:lvlText w:val="•"/>
      <w:lvlJc w:val="left"/>
      <w:pPr>
        <w:ind w:left="7977" w:hanging="360"/>
      </w:pPr>
      <w:rPr>
        <w:rFonts w:hint="default"/>
        <w:lang w:val="en-US" w:eastAsia="en-US" w:bidi="ar-SA"/>
      </w:rPr>
    </w:lvl>
  </w:abstractNum>
  <w:abstractNum w:abstractNumId="27" w15:restartNumberingAfterBreak="0">
    <w:nsid w:val="6F892087"/>
    <w:multiLevelType w:val="hybridMultilevel"/>
    <w:tmpl w:val="0EE23F5C"/>
    <w:lvl w:ilvl="0" w:tplc="41C8E694">
      <w:numFmt w:val="bullet"/>
      <w:lvlText w:val=""/>
      <w:lvlJc w:val="left"/>
      <w:pPr>
        <w:ind w:left="828" w:hanging="361"/>
      </w:pPr>
      <w:rPr>
        <w:rFonts w:ascii="Symbol" w:eastAsia="Symbol" w:hAnsi="Symbol" w:cs="Symbol" w:hint="default"/>
        <w:b w:val="0"/>
        <w:bCs w:val="0"/>
        <w:i w:val="0"/>
        <w:iCs w:val="0"/>
        <w:spacing w:val="0"/>
        <w:w w:val="100"/>
        <w:sz w:val="21"/>
        <w:szCs w:val="21"/>
        <w:lang w:val="en-US" w:eastAsia="en-US" w:bidi="ar-SA"/>
      </w:rPr>
    </w:lvl>
    <w:lvl w:ilvl="1" w:tplc="3AA4EF88">
      <w:numFmt w:val="bullet"/>
      <w:lvlText w:val="•"/>
      <w:lvlJc w:val="left"/>
      <w:pPr>
        <w:ind w:left="1382" w:hanging="361"/>
      </w:pPr>
      <w:rPr>
        <w:rFonts w:hint="default"/>
        <w:lang w:val="en-US" w:eastAsia="en-US" w:bidi="ar-SA"/>
      </w:rPr>
    </w:lvl>
    <w:lvl w:ilvl="2" w:tplc="CBF27F58">
      <w:numFmt w:val="bullet"/>
      <w:lvlText w:val="•"/>
      <w:lvlJc w:val="left"/>
      <w:pPr>
        <w:ind w:left="1945" w:hanging="361"/>
      </w:pPr>
      <w:rPr>
        <w:rFonts w:hint="default"/>
        <w:lang w:val="en-US" w:eastAsia="en-US" w:bidi="ar-SA"/>
      </w:rPr>
    </w:lvl>
    <w:lvl w:ilvl="3" w:tplc="EC32BAEA">
      <w:numFmt w:val="bullet"/>
      <w:lvlText w:val="•"/>
      <w:lvlJc w:val="left"/>
      <w:pPr>
        <w:ind w:left="2507" w:hanging="361"/>
      </w:pPr>
      <w:rPr>
        <w:rFonts w:hint="default"/>
        <w:lang w:val="en-US" w:eastAsia="en-US" w:bidi="ar-SA"/>
      </w:rPr>
    </w:lvl>
    <w:lvl w:ilvl="4" w:tplc="2FCC03B4">
      <w:numFmt w:val="bullet"/>
      <w:lvlText w:val="•"/>
      <w:lvlJc w:val="left"/>
      <w:pPr>
        <w:ind w:left="3070" w:hanging="361"/>
      </w:pPr>
      <w:rPr>
        <w:rFonts w:hint="default"/>
        <w:lang w:val="en-US" w:eastAsia="en-US" w:bidi="ar-SA"/>
      </w:rPr>
    </w:lvl>
    <w:lvl w:ilvl="5" w:tplc="5E1CE468">
      <w:numFmt w:val="bullet"/>
      <w:lvlText w:val="•"/>
      <w:lvlJc w:val="left"/>
      <w:pPr>
        <w:ind w:left="3633" w:hanging="361"/>
      </w:pPr>
      <w:rPr>
        <w:rFonts w:hint="default"/>
        <w:lang w:val="en-US" w:eastAsia="en-US" w:bidi="ar-SA"/>
      </w:rPr>
    </w:lvl>
    <w:lvl w:ilvl="6" w:tplc="EBEEB40E">
      <w:numFmt w:val="bullet"/>
      <w:lvlText w:val="•"/>
      <w:lvlJc w:val="left"/>
      <w:pPr>
        <w:ind w:left="4195" w:hanging="361"/>
      </w:pPr>
      <w:rPr>
        <w:rFonts w:hint="default"/>
        <w:lang w:val="en-US" w:eastAsia="en-US" w:bidi="ar-SA"/>
      </w:rPr>
    </w:lvl>
    <w:lvl w:ilvl="7" w:tplc="287A1294">
      <w:numFmt w:val="bullet"/>
      <w:lvlText w:val="•"/>
      <w:lvlJc w:val="left"/>
      <w:pPr>
        <w:ind w:left="4758" w:hanging="361"/>
      </w:pPr>
      <w:rPr>
        <w:rFonts w:hint="default"/>
        <w:lang w:val="en-US" w:eastAsia="en-US" w:bidi="ar-SA"/>
      </w:rPr>
    </w:lvl>
    <w:lvl w:ilvl="8" w:tplc="386869DE">
      <w:numFmt w:val="bullet"/>
      <w:lvlText w:val="•"/>
      <w:lvlJc w:val="left"/>
      <w:pPr>
        <w:ind w:left="5320" w:hanging="361"/>
      </w:pPr>
      <w:rPr>
        <w:rFonts w:hint="default"/>
        <w:lang w:val="en-US" w:eastAsia="en-US" w:bidi="ar-SA"/>
      </w:rPr>
    </w:lvl>
  </w:abstractNum>
  <w:abstractNum w:abstractNumId="28" w15:restartNumberingAfterBreak="0">
    <w:nsid w:val="77A2530E"/>
    <w:multiLevelType w:val="hybridMultilevel"/>
    <w:tmpl w:val="F6A6D972"/>
    <w:lvl w:ilvl="0" w:tplc="9E34E2C6">
      <w:numFmt w:val="bullet"/>
      <w:lvlText w:val=""/>
      <w:lvlJc w:val="left"/>
      <w:pPr>
        <w:ind w:left="828" w:hanging="361"/>
      </w:pPr>
      <w:rPr>
        <w:rFonts w:ascii="Symbol" w:eastAsia="Symbol" w:hAnsi="Symbol" w:cs="Symbol" w:hint="default"/>
        <w:b w:val="0"/>
        <w:bCs w:val="0"/>
        <w:i w:val="0"/>
        <w:iCs w:val="0"/>
        <w:spacing w:val="0"/>
        <w:w w:val="100"/>
        <w:sz w:val="21"/>
        <w:szCs w:val="21"/>
        <w:lang w:val="en-US" w:eastAsia="en-US" w:bidi="ar-SA"/>
      </w:rPr>
    </w:lvl>
    <w:lvl w:ilvl="1" w:tplc="49F81A1C">
      <w:numFmt w:val="bullet"/>
      <w:lvlText w:val="o"/>
      <w:lvlJc w:val="left"/>
      <w:pPr>
        <w:ind w:left="1548" w:hanging="360"/>
      </w:pPr>
      <w:rPr>
        <w:rFonts w:ascii="Courier New" w:eastAsia="Courier New" w:hAnsi="Courier New" w:cs="Courier New" w:hint="default"/>
        <w:b w:val="0"/>
        <w:bCs w:val="0"/>
        <w:i w:val="0"/>
        <w:iCs w:val="0"/>
        <w:spacing w:val="0"/>
        <w:w w:val="100"/>
        <w:sz w:val="21"/>
        <w:szCs w:val="21"/>
        <w:lang w:val="en-US" w:eastAsia="en-US" w:bidi="ar-SA"/>
      </w:rPr>
    </w:lvl>
    <w:lvl w:ilvl="2" w:tplc="286E6EDE">
      <w:numFmt w:val="bullet"/>
      <w:lvlText w:val="•"/>
      <w:lvlJc w:val="left"/>
      <w:pPr>
        <w:ind w:left="2085" w:hanging="360"/>
      </w:pPr>
      <w:rPr>
        <w:rFonts w:hint="default"/>
        <w:lang w:val="en-US" w:eastAsia="en-US" w:bidi="ar-SA"/>
      </w:rPr>
    </w:lvl>
    <w:lvl w:ilvl="3" w:tplc="CC404D3E">
      <w:numFmt w:val="bullet"/>
      <w:lvlText w:val="•"/>
      <w:lvlJc w:val="left"/>
      <w:pPr>
        <w:ind w:left="2630" w:hanging="360"/>
      </w:pPr>
      <w:rPr>
        <w:rFonts w:hint="default"/>
        <w:lang w:val="en-US" w:eastAsia="en-US" w:bidi="ar-SA"/>
      </w:rPr>
    </w:lvl>
    <w:lvl w:ilvl="4" w:tplc="BD68C282">
      <w:numFmt w:val="bullet"/>
      <w:lvlText w:val="•"/>
      <w:lvlJc w:val="left"/>
      <w:pPr>
        <w:ind w:left="3175" w:hanging="360"/>
      </w:pPr>
      <w:rPr>
        <w:rFonts w:hint="default"/>
        <w:lang w:val="en-US" w:eastAsia="en-US" w:bidi="ar-SA"/>
      </w:rPr>
    </w:lvl>
    <w:lvl w:ilvl="5" w:tplc="8BB2BE3E">
      <w:numFmt w:val="bullet"/>
      <w:lvlText w:val="•"/>
      <w:lvlJc w:val="left"/>
      <w:pPr>
        <w:ind w:left="3720" w:hanging="360"/>
      </w:pPr>
      <w:rPr>
        <w:rFonts w:hint="default"/>
        <w:lang w:val="en-US" w:eastAsia="en-US" w:bidi="ar-SA"/>
      </w:rPr>
    </w:lvl>
    <w:lvl w:ilvl="6" w:tplc="E6EA6246">
      <w:numFmt w:val="bullet"/>
      <w:lvlText w:val="•"/>
      <w:lvlJc w:val="left"/>
      <w:pPr>
        <w:ind w:left="4265" w:hanging="360"/>
      </w:pPr>
      <w:rPr>
        <w:rFonts w:hint="default"/>
        <w:lang w:val="en-US" w:eastAsia="en-US" w:bidi="ar-SA"/>
      </w:rPr>
    </w:lvl>
    <w:lvl w:ilvl="7" w:tplc="A74811A8">
      <w:numFmt w:val="bullet"/>
      <w:lvlText w:val="•"/>
      <w:lvlJc w:val="left"/>
      <w:pPr>
        <w:ind w:left="4810" w:hanging="360"/>
      </w:pPr>
      <w:rPr>
        <w:rFonts w:hint="default"/>
        <w:lang w:val="en-US" w:eastAsia="en-US" w:bidi="ar-SA"/>
      </w:rPr>
    </w:lvl>
    <w:lvl w:ilvl="8" w:tplc="A912B1D8">
      <w:numFmt w:val="bullet"/>
      <w:lvlText w:val="•"/>
      <w:lvlJc w:val="left"/>
      <w:pPr>
        <w:ind w:left="5355" w:hanging="360"/>
      </w:pPr>
      <w:rPr>
        <w:rFonts w:hint="default"/>
        <w:lang w:val="en-US" w:eastAsia="en-US" w:bidi="ar-SA"/>
      </w:rPr>
    </w:lvl>
  </w:abstractNum>
  <w:abstractNum w:abstractNumId="29"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30" w15:restartNumberingAfterBreak="0">
    <w:nsid w:val="7B775E6E"/>
    <w:multiLevelType w:val="hybridMultilevel"/>
    <w:tmpl w:val="DA242452"/>
    <w:lvl w:ilvl="0" w:tplc="CC0EC906">
      <w:start w:val="1"/>
      <w:numFmt w:val="bullet"/>
      <w:lvlText w:val=""/>
      <w:lvlJc w:val="left"/>
      <w:pPr>
        <w:ind w:left="1020" w:hanging="360"/>
      </w:pPr>
      <w:rPr>
        <w:rFonts w:ascii="Symbol" w:hAnsi="Symbol"/>
      </w:rPr>
    </w:lvl>
    <w:lvl w:ilvl="1" w:tplc="60503118">
      <w:start w:val="1"/>
      <w:numFmt w:val="bullet"/>
      <w:lvlText w:val=""/>
      <w:lvlJc w:val="left"/>
      <w:pPr>
        <w:ind w:left="1020" w:hanging="360"/>
      </w:pPr>
      <w:rPr>
        <w:rFonts w:ascii="Symbol" w:hAnsi="Symbol"/>
      </w:rPr>
    </w:lvl>
    <w:lvl w:ilvl="2" w:tplc="DDBC2F1E">
      <w:start w:val="1"/>
      <w:numFmt w:val="bullet"/>
      <w:lvlText w:val=""/>
      <w:lvlJc w:val="left"/>
      <w:pPr>
        <w:ind w:left="1020" w:hanging="360"/>
      </w:pPr>
      <w:rPr>
        <w:rFonts w:ascii="Symbol" w:hAnsi="Symbol"/>
      </w:rPr>
    </w:lvl>
    <w:lvl w:ilvl="3" w:tplc="E8C687A0">
      <w:start w:val="1"/>
      <w:numFmt w:val="bullet"/>
      <w:lvlText w:val=""/>
      <w:lvlJc w:val="left"/>
      <w:pPr>
        <w:ind w:left="1020" w:hanging="360"/>
      </w:pPr>
      <w:rPr>
        <w:rFonts w:ascii="Symbol" w:hAnsi="Symbol"/>
      </w:rPr>
    </w:lvl>
    <w:lvl w:ilvl="4" w:tplc="AB00927A">
      <w:start w:val="1"/>
      <w:numFmt w:val="bullet"/>
      <w:lvlText w:val=""/>
      <w:lvlJc w:val="left"/>
      <w:pPr>
        <w:ind w:left="1020" w:hanging="360"/>
      </w:pPr>
      <w:rPr>
        <w:rFonts w:ascii="Symbol" w:hAnsi="Symbol"/>
      </w:rPr>
    </w:lvl>
    <w:lvl w:ilvl="5" w:tplc="F522B8CA">
      <w:start w:val="1"/>
      <w:numFmt w:val="bullet"/>
      <w:lvlText w:val=""/>
      <w:lvlJc w:val="left"/>
      <w:pPr>
        <w:ind w:left="1020" w:hanging="360"/>
      </w:pPr>
      <w:rPr>
        <w:rFonts w:ascii="Symbol" w:hAnsi="Symbol"/>
      </w:rPr>
    </w:lvl>
    <w:lvl w:ilvl="6" w:tplc="8E6E99EA">
      <w:start w:val="1"/>
      <w:numFmt w:val="bullet"/>
      <w:lvlText w:val=""/>
      <w:lvlJc w:val="left"/>
      <w:pPr>
        <w:ind w:left="1020" w:hanging="360"/>
      </w:pPr>
      <w:rPr>
        <w:rFonts w:ascii="Symbol" w:hAnsi="Symbol"/>
      </w:rPr>
    </w:lvl>
    <w:lvl w:ilvl="7" w:tplc="0CF8D9C8">
      <w:start w:val="1"/>
      <w:numFmt w:val="bullet"/>
      <w:lvlText w:val=""/>
      <w:lvlJc w:val="left"/>
      <w:pPr>
        <w:ind w:left="1020" w:hanging="360"/>
      </w:pPr>
      <w:rPr>
        <w:rFonts w:ascii="Symbol" w:hAnsi="Symbol"/>
      </w:rPr>
    </w:lvl>
    <w:lvl w:ilvl="8" w:tplc="8F9256BC">
      <w:start w:val="1"/>
      <w:numFmt w:val="bullet"/>
      <w:lvlText w:val=""/>
      <w:lvlJc w:val="left"/>
      <w:pPr>
        <w:ind w:left="1020" w:hanging="360"/>
      </w:pPr>
      <w:rPr>
        <w:rFonts w:ascii="Symbol" w:hAnsi="Symbol"/>
      </w:rPr>
    </w:lvl>
  </w:abstractNum>
  <w:abstractNum w:abstractNumId="31" w15:restartNumberingAfterBreak="0">
    <w:nsid w:val="7F110B59"/>
    <w:multiLevelType w:val="hybridMultilevel"/>
    <w:tmpl w:val="E940DA3E"/>
    <w:lvl w:ilvl="0" w:tplc="19CCE750">
      <w:numFmt w:val="bullet"/>
      <w:lvlText w:val="-"/>
      <w:lvlJc w:val="left"/>
      <w:pPr>
        <w:ind w:left="1059" w:hanging="360"/>
      </w:pPr>
      <w:rPr>
        <w:rFonts w:ascii="Cambria" w:eastAsia="Cambria" w:hAnsi="Cambria" w:cs="Cambria" w:hint="default"/>
        <w:b w:val="0"/>
        <w:bCs w:val="0"/>
        <w:i w:val="0"/>
        <w:iCs w:val="0"/>
        <w:spacing w:val="0"/>
        <w:w w:val="100"/>
        <w:sz w:val="22"/>
        <w:szCs w:val="22"/>
        <w:lang w:val="en-US" w:eastAsia="en-US" w:bidi="ar-SA"/>
      </w:rPr>
    </w:lvl>
    <w:lvl w:ilvl="1" w:tplc="AF48EA6E">
      <w:numFmt w:val="bullet"/>
      <w:lvlText w:val="•"/>
      <w:lvlJc w:val="left"/>
      <w:pPr>
        <w:ind w:left="1924" w:hanging="360"/>
      </w:pPr>
      <w:rPr>
        <w:rFonts w:hint="default"/>
        <w:lang w:val="en-US" w:eastAsia="en-US" w:bidi="ar-SA"/>
      </w:rPr>
    </w:lvl>
    <w:lvl w:ilvl="2" w:tplc="2092DEBC">
      <w:numFmt w:val="bullet"/>
      <w:lvlText w:val="•"/>
      <w:lvlJc w:val="left"/>
      <w:pPr>
        <w:ind w:left="2789" w:hanging="360"/>
      </w:pPr>
      <w:rPr>
        <w:rFonts w:hint="default"/>
        <w:lang w:val="en-US" w:eastAsia="en-US" w:bidi="ar-SA"/>
      </w:rPr>
    </w:lvl>
    <w:lvl w:ilvl="3" w:tplc="550400BA">
      <w:numFmt w:val="bullet"/>
      <w:lvlText w:val="•"/>
      <w:lvlJc w:val="left"/>
      <w:pPr>
        <w:ind w:left="3653" w:hanging="360"/>
      </w:pPr>
      <w:rPr>
        <w:rFonts w:hint="default"/>
        <w:lang w:val="en-US" w:eastAsia="en-US" w:bidi="ar-SA"/>
      </w:rPr>
    </w:lvl>
    <w:lvl w:ilvl="4" w:tplc="1D42B86C">
      <w:numFmt w:val="bullet"/>
      <w:lvlText w:val="•"/>
      <w:lvlJc w:val="left"/>
      <w:pPr>
        <w:ind w:left="4518" w:hanging="360"/>
      </w:pPr>
      <w:rPr>
        <w:rFonts w:hint="default"/>
        <w:lang w:val="en-US" w:eastAsia="en-US" w:bidi="ar-SA"/>
      </w:rPr>
    </w:lvl>
    <w:lvl w:ilvl="5" w:tplc="7BF4A316">
      <w:numFmt w:val="bullet"/>
      <w:lvlText w:val="•"/>
      <w:lvlJc w:val="left"/>
      <w:pPr>
        <w:ind w:left="5383" w:hanging="360"/>
      </w:pPr>
      <w:rPr>
        <w:rFonts w:hint="default"/>
        <w:lang w:val="en-US" w:eastAsia="en-US" w:bidi="ar-SA"/>
      </w:rPr>
    </w:lvl>
    <w:lvl w:ilvl="6" w:tplc="243C8D00">
      <w:numFmt w:val="bullet"/>
      <w:lvlText w:val="•"/>
      <w:lvlJc w:val="left"/>
      <w:pPr>
        <w:ind w:left="6247" w:hanging="360"/>
      </w:pPr>
      <w:rPr>
        <w:rFonts w:hint="default"/>
        <w:lang w:val="en-US" w:eastAsia="en-US" w:bidi="ar-SA"/>
      </w:rPr>
    </w:lvl>
    <w:lvl w:ilvl="7" w:tplc="CFA6A0A8">
      <w:numFmt w:val="bullet"/>
      <w:lvlText w:val="•"/>
      <w:lvlJc w:val="left"/>
      <w:pPr>
        <w:ind w:left="7112" w:hanging="360"/>
      </w:pPr>
      <w:rPr>
        <w:rFonts w:hint="default"/>
        <w:lang w:val="en-US" w:eastAsia="en-US" w:bidi="ar-SA"/>
      </w:rPr>
    </w:lvl>
    <w:lvl w:ilvl="8" w:tplc="D3AC2AA2">
      <w:numFmt w:val="bullet"/>
      <w:lvlText w:val="•"/>
      <w:lvlJc w:val="left"/>
      <w:pPr>
        <w:ind w:left="7977" w:hanging="360"/>
      </w:pPr>
      <w:rPr>
        <w:rFonts w:hint="default"/>
        <w:lang w:val="en-US" w:eastAsia="en-US" w:bidi="ar-SA"/>
      </w:rPr>
    </w:lvl>
  </w:abstractNum>
  <w:num w:numId="1" w16cid:durableId="855509466">
    <w:abstractNumId w:val="5"/>
  </w:num>
  <w:num w:numId="2" w16cid:durableId="1224368811">
    <w:abstractNumId w:val="1"/>
  </w:num>
  <w:num w:numId="3" w16cid:durableId="687172332">
    <w:abstractNumId w:val="4"/>
  </w:num>
  <w:num w:numId="4" w16cid:durableId="886183848">
    <w:abstractNumId w:val="22"/>
  </w:num>
  <w:num w:numId="5" w16cid:durableId="1940412286">
    <w:abstractNumId w:val="10"/>
  </w:num>
  <w:num w:numId="6" w16cid:durableId="846673333">
    <w:abstractNumId w:val="20"/>
  </w:num>
  <w:num w:numId="7" w16cid:durableId="203884405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930458398">
    <w:abstractNumId w:val="21"/>
  </w:num>
  <w:num w:numId="9" w16cid:durableId="790899064">
    <w:abstractNumId w:val="2"/>
  </w:num>
  <w:num w:numId="10" w16cid:durableId="1734347787">
    <w:abstractNumId w:val="7"/>
  </w:num>
  <w:num w:numId="11" w16cid:durableId="785200148">
    <w:abstractNumId w:val="17"/>
  </w:num>
  <w:num w:numId="12" w16cid:durableId="1492330868">
    <w:abstractNumId w:val="23"/>
  </w:num>
  <w:num w:numId="13" w16cid:durableId="730270749">
    <w:abstractNumId w:val="29"/>
  </w:num>
  <w:num w:numId="14" w16cid:durableId="1208881301">
    <w:abstractNumId w:val="16"/>
  </w:num>
  <w:num w:numId="15" w16cid:durableId="1393888079">
    <w:abstractNumId w:val="5"/>
  </w:num>
  <w:num w:numId="16" w16cid:durableId="1487893578">
    <w:abstractNumId w:val="5"/>
  </w:num>
  <w:num w:numId="17" w16cid:durableId="566648138">
    <w:abstractNumId w:val="5"/>
  </w:num>
  <w:num w:numId="18" w16cid:durableId="925725416">
    <w:abstractNumId w:val="5"/>
  </w:num>
  <w:num w:numId="19" w16cid:durableId="1610357047">
    <w:abstractNumId w:val="5"/>
  </w:num>
  <w:num w:numId="20" w16cid:durableId="1478111832">
    <w:abstractNumId w:val="26"/>
  </w:num>
  <w:num w:numId="21" w16cid:durableId="36009488">
    <w:abstractNumId w:val="24"/>
  </w:num>
  <w:num w:numId="22" w16cid:durableId="1850942265">
    <w:abstractNumId w:val="31"/>
  </w:num>
  <w:num w:numId="23" w16cid:durableId="1481073140">
    <w:abstractNumId w:val="15"/>
  </w:num>
  <w:num w:numId="24" w16cid:durableId="1630624267">
    <w:abstractNumId w:val="12"/>
  </w:num>
  <w:num w:numId="25" w16cid:durableId="287276226">
    <w:abstractNumId w:val="0"/>
  </w:num>
  <w:num w:numId="26" w16cid:durableId="968900500">
    <w:abstractNumId w:val="8"/>
  </w:num>
  <w:num w:numId="27" w16cid:durableId="2118675013">
    <w:abstractNumId w:val="14"/>
  </w:num>
  <w:num w:numId="28" w16cid:durableId="970480319">
    <w:abstractNumId w:val="19"/>
  </w:num>
  <w:num w:numId="29" w16cid:durableId="511575171">
    <w:abstractNumId w:val="25"/>
  </w:num>
  <w:num w:numId="30" w16cid:durableId="850921317">
    <w:abstractNumId w:val="3"/>
  </w:num>
  <w:num w:numId="31" w16cid:durableId="501120552">
    <w:abstractNumId w:val="18"/>
  </w:num>
  <w:num w:numId="32" w16cid:durableId="1981687094">
    <w:abstractNumId w:val="27"/>
  </w:num>
  <w:num w:numId="33" w16cid:durableId="1764688201">
    <w:abstractNumId w:val="28"/>
  </w:num>
  <w:num w:numId="34" w16cid:durableId="2042777009">
    <w:abstractNumId w:val="11"/>
  </w:num>
  <w:num w:numId="35" w16cid:durableId="306709808">
    <w:abstractNumId w:val="1"/>
  </w:num>
  <w:num w:numId="36" w16cid:durableId="2013726051">
    <w:abstractNumId w:val="6"/>
  </w:num>
  <w:num w:numId="37" w16cid:durableId="2048875180">
    <w:abstractNumId w:val="13"/>
  </w:num>
  <w:num w:numId="38" w16cid:durableId="1676037555">
    <w:abstractNumId w:val="9"/>
  </w:num>
  <w:num w:numId="39" w16cid:durableId="165302646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ault_nd_00aaca11-fde3-4f70-8da3-3ef45504be2e" w:val=" "/>
    <w:docVar w:name="vault_nd_01a256bf-1700-49ee-a4d9-2dc046728078" w:val=" "/>
    <w:docVar w:name="vault_nd_02ac76f9-403b-4e77-bdbe-9f7acc22b0f8" w:val=" "/>
    <w:docVar w:name="vault_nd_04baeff8-305e-4bc0-9a66-256cc49e0d1f" w:val=" "/>
    <w:docVar w:name="vault_nd_073a96ce-dd9f-421c-b9c6-fbad1697298b" w:val=" "/>
    <w:docVar w:name="vault_nd_0aa6a7a5-05a4-4aa4-87a4-05a78258b34b" w:val=" "/>
    <w:docVar w:name="vault_nd_0d1447d5-aee7-49e6-8757-9892aaf19299" w:val=" "/>
    <w:docVar w:name="vault_nd_0f4dbf85-6aeb-4248-b2b0-c03f35ea637a" w:val=" "/>
    <w:docVar w:name="vault_nd_109674e5-240b-472f-aca8-cd15e8915eab" w:val=" "/>
    <w:docVar w:name="vault_nd_124953eb-e7de-46ec-8240-3f5d3d19a065" w:val=" "/>
    <w:docVar w:name="vault_nd_195d7b2e-601c-407f-bffd-c6ef03e23430" w:val=" "/>
    <w:docVar w:name="vault_nd_1a600d11-8bac-4213-8331-bd940d9aadd1" w:val=" "/>
    <w:docVar w:name="vault_nd_1c2def84-e866-4656-9657-11479ec401e2" w:val=" "/>
    <w:docVar w:name="vault_nd_20a9eb3c-1daf-4d7a-b32a-cc69231f3d86" w:val=" "/>
    <w:docVar w:name="vault_nd_230df7f6-56ba-4329-9d1a-d3d4d6b6bab2" w:val=" "/>
    <w:docVar w:name="vault_nd_274eece0-819d-47a8-ade6-c4f413e34485" w:val=" "/>
    <w:docVar w:name="vault_nd_282a1489-f551-4486-877e-3d40acf2639b" w:val=" "/>
    <w:docVar w:name="vault_nd_2862a32d-66d5-4889-915f-c025bdd69c0b" w:val=" "/>
    <w:docVar w:name="vault_nd_2b1d5a9e-6a5f-47c2-9f53-d2c119eaeac0" w:val=" "/>
    <w:docVar w:name="vault_nd_302acabc-6864-4128-97bd-9849d2189a13" w:val=" "/>
    <w:docVar w:name="vault_nd_32c859ae-de71-41ed-a095-3a871ced299e" w:val=" "/>
    <w:docVar w:name="vault_nd_35567376-0661-4897-878d-a6c3c25f5bdd" w:val=" "/>
    <w:docVar w:name="vault_nd_3f7df015-6632-46b8-a26c-2f51e77e7775" w:val=" "/>
    <w:docVar w:name="vault_nd_43627a19-1155-4302-ad42-585ec22e5650" w:val=" "/>
    <w:docVar w:name="vault_nd_4902a4dc-e5e9-43c7-9547-093fe67f13ab" w:val=" "/>
    <w:docVar w:name="vault_nd_4cded1ff-727b-4410-9881-880a944b33d9" w:val=" "/>
    <w:docVar w:name="vault_nd_4e421071-9a18-4b01-91c6-73606c12f891" w:val=" "/>
    <w:docVar w:name="vault_nd_55992ec6-7751-4211-8602-e8de3e5ea4fa" w:val=" "/>
    <w:docVar w:name="vault_nd_6268e365-b92f-4390-b566-b44592a0ec1f" w:val=" "/>
    <w:docVar w:name="vault_nd_69e82de1-2988-4c36-aa2d-d63fb8807d64" w:val=" "/>
    <w:docVar w:name="vault_nd_722c94bf-e008-4087-a04f-007615b11df5" w:val=" "/>
    <w:docVar w:name="vault_nd_7bfadf0e-8918-4ea2-ad1c-0ae385a236eb" w:val=" "/>
    <w:docVar w:name="vault_nd_7d4001f5-4b39-4584-af2e-2e0bca77fdd5" w:val=" "/>
    <w:docVar w:name="vault_nd_7d80469d-e06a-4436-910e-bca4028801af" w:val=" "/>
    <w:docVar w:name="vault_nd_80737027-8e55-429c-9dbc-37cb87e69c54" w:val=" "/>
    <w:docVar w:name="vault_nd_80a7b17d-97d6-42a4-b306-5c5942170033" w:val=" "/>
    <w:docVar w:name="vault_nd_841b81f3-3772-4fb5-8520-9a4a42f867a0" w:val=" "/>
    <w:docVar w:name="vault_nd_8971931c-6ecf-4f70-9ee7-e77acafd8fc8" w:val=" "/>
    <w:docVar w:name="vault_nd_8a56500d-5340-4dfb-b313-736c4f8d4b7c" w:val=" "/>
    <w:docVar w:name="vault_nd_90dcb34e-e6be-403b-92dc-a5c50a300377" w:val=" "/>
    <w:docVar w:name="vault_nd_96bb2c7e-8efd-4a07-94f1-43d36577e789" w:val=" "/>
    <w:docVar w:name="vault_nd_99c7257a-e73a-4003-a832-301014d677bf" w:val=" "/>
    <w:docVar w:name="vault_nd_9b06f6f2-988b-4d69-a645-19a8094e3a7a" w:val=" "/>
    <w:docVar w:name="vault_nd_9b6521c5-7718-4b12-904d-c758187ebf82" w:val=" "/>
    <w:docVar w:name="vault_nd_9d47cdfc-f62d-4a93-941f-51a1b2411259" w:val=" "/>
    <w:docVar w:name="vault_nd_9ddd6b0f-0992-46ed-bd49-44ac7a713905" w:val=" "/>
    <w:docVar w:name="vault_nd_a4733b50-3e1a-4dcb-b35f-111987117cda" w:val=" "/>
    <w:docVar w:name="vault_nd_ac8b069c-fe89-4a21-919b-00b657d64997" w:val=" "/>
    <w:docVar w:name="vault_nd_b00838ab-e456-4cd0-86c8-c5c59b1028fd" w:val=" "/>
    <w:docVar w:name="vault_nd_b042be08-f434-4569-8f19-7588c026cf94" w:val=" "/>
    <w:docVar w:name="vault_nd_b095cd43-d915-42c5-89e0-ba9c137704ba" w:val=" "/>
    <w:docVar w:name="vault_nd_b70d63e6-c0d7-4333-86de-0e7d38ffc0e0" w:val=" "/>
    <w:docVar w:name="vault_nd_b87470fd-ab3f-4991-946b-6a74298bec31" w:val=" "/>
    <w:docVar w:name="vault_nd_c3bb44c5-8c11-4ed4-a005-238c66e32223" w:val=" "/>
    <w:docVar w:name="vault_nd_c3e78b73-9136-451a-a33e-a78934cfeea8" w:val=" "/>
    <w:docVar w:name="vault_nd_c5a89f31-3243-47ff-9605-6a2590f7048b" w:val=" "/>
    <w:docVar w:name="vault_nd_c68ce2a7-e89e-46f3-9b56-747511f845e8" w:val=" "/>
    <w:docVar w:name="vault_nd_c9513c83-ef68-4c09-aac9-aa6072f421b5" w:val=" "/>
    <w:docVar w:name="vault_nd_c9faea45-2838-42fd-983f-bf6e906cca04" w:val=" "/>
    <w:docVar w:name="vault_nd_cd1f07cd-de23-4864-8ef8-3a36a970e0c3" w:val=" "/>
    <w:docVar w:name="vault_nd_d3b00723-fe88-4338-b538-d8768524d1ca" w:val=" "/>
    <w:docVar w:name="vault_nd_d3fe7bdf-9743-48f4-a2b2-fd1133591b6e" w:val=" "/>
    <w:docVar w:name="vault_nd_d6dff810-7197-4e0e-b2e2-191b7266775d" w:val=" "/>
    <w:docVar w:name="vault_nd_d7758c35-a4e0-42f9-ae92-5ed27f33a69c" w:val=" "/>
    <w:docVar w:name="vault_nd_d866646e-e3d1-4117-b185-980fd6d01925" w:val=" "/>
    <w:docVar w:name="vault_nd_d9f66962-184f-4e71-9bc8-2080a3db8469" w:val=" "/>
    <w:docVar w:name="vault_nd_de85a33e-e15b-4c53-9454-64fd37d1a3ec" w:val=" "/>
    <w:docVar w:name="vault_nd_e5a99c65-f7b1-4183-b316-0cf5f5a3630f" w:val=" "/>
    <w:docVar w:name="vault_nd_ebfc53e7-67b5-40d3-a07f-36d8ef1bf16b" w:val=" "/>
    <w:docVar w:name="vault_nd_ecb26db1-6ab0-4062-a8d5-52c00b444261" w:val=" "/>
    <w:docVar w:name="vault_nd_f0ecb503-6119-4ec0-a5ee-144be4b43f8f" w:val=" "/>
    <w:docVar w:name="vault_nd_f4154d41-8472-4c9c-bd68-3b1c3dd6aec2" w:val=" "/>
    <w:docVar w:name="vault_nd_f4e334cc-87ca-4e3e-8920-4c8fbb101a36" w:val=" "/>
    <w:docVar w:name="vault_nd_f981ceb5-2a6a-49d7-874d-66a2e2acd13f" w:val=" "/>
    <w:docVar w:name="vault_nd_fe5ad978-9b8a-459b-8268-1fc2495cc28c" w:val=" "/>
  </w:docVars>
  <w:rsids>
    <w:rsidRoot w:val="00346EC2"/>
    <w:rsid w:val="00000863"/>
    <w:rsid w:val="00000E6E"/>
    <w:rsid w:val="00004431"/>
    <w:rsid w:val="00005062"/>
    <w:rsid w:val="0001064C"/>
    <w:rsid w:val="00012B58"/>
    <w:rsid w:val="0001384A"/>
    <w:rsid w:val="00015D09"/>
    <w:rsid w:val="0002497E"/>
    <w:rsid w:val="00027F2F"/>
    <w:rsid w:val="00032A0F"/>
    <w:rsid w:val="00040D8D"/>
    <w:rsid w:val="00041FC1"/>
    <w:rsid w:val="00046423"/>
    <w:rsid w:val="00047B85"/>
    <w:rsid w:val="0006104E"/>
    <w:rsid w:val="000638C3"/>
    <w:rsid w:val="000640BD"/>
    <w:rsid w:val="0006452D"/>
    <w:rsid w:val="00065839"/>
    <w:rsid w:val="00065FDF"/>
    <w:rsid w:val="0007152B"/>
    <w:rsid w:val="00072FF9"/>
    <w:rsid w:val="00073EF1"/>
    <w:rsid w:val="0007762B"/>
    <w:rsid w:val="00077844"/>
    <w:rsid w:val="00090510"/>
    <w:rsid w:val="000917AE"/>
    <w:rsid w:val="00094B81"/>
    <w:rsid w:val="00096A4E"/>
    <w:rsid w:val="000975AA"/>
    <w:rsid w:val="000B2D71"/>
    <w:rsid w:val="000B3808"/>
    <w:rsid w:val="000B6B15"/>
    <w:rsid w:val="000C0A41"/>
    <w:rsid w:val="000C25A7"/>
    <w:rsid w:val="000D6F0C"/>
    <w:rsid w:val="000D78EC"/>
    <w:rsid w:val="000D7934"/>
    <w:rsid w:val="000E0AD4"/>
    <w:rsid w:val="000E2597"/>
    <w:rsid w:val="000E6746"/>
    <w:rsid w:val="000F47EA"/>
    <w:rsid w:val="000F7355"/>
    <w:rsid w:val="000F7B51"/>
    <w:rsid w:val="00100DAB"/>
    <w:rsid w:val="00101BEE"/>
    <w:rsid w:val="00101CE6"/>
    <w:rsid w:val="00101FB1"/>
    <w:rsid w:val="00104AC8"/>
    <w:rsid w:val="001053AE"/>
    <w:rsid w:val="0010558A"/>
    <w:rsid w:val="001101FF"/>
    <w:rsid w:val="00110845"/>
    <w:rsid w:val="00111CAB"/>
    <w:rsid w:val="00113F9F"/>
    <w:rsid w:val="0012245E"/>
    <w:rsid w:val="0012473C"/>
    <w:rsid w:val="00126B3B"/>
    <w:rsid w:val="00127A74"/>
    <w:rsid w:val="0013132F"/>
    <w:rsid w:val="00132FF8"/>
    <w:rsid w:val="0013306D"/>
    <w:rsid w:val="0013528C"/>
    <w:rsid w:val="001442A2"/>
    <w:rsid w:val="001468CA"/>
    <w:rsid w:val="001500A8"/>
    <w:rsid w:val="0015046D"/>
    <w:rsid w:val="00154462"/>
    <w:rsid w:val="00155D85"/>
    <w:rsid w:val="00156CAB"/>
    <w:rsid w:val="00157602"/>
    <w:rsid w:val="00162B69"/>
    <w:rsid w:val="00165D28"/>
    <w:rsid w:val="0017005C"/>
    <w:rsid w:val="0017304E"/>
    <w:rsid w:val="00173116"/>
    <w:rsid w:val="001759BD"/>
    <w:rsid w:val="00175CD8"/>
    <w:rsid w:val="00182BD8"/>
    <w:rsid w:val="00184C1D"/>
    <w:rsid w:val="00193E26"/>
    <w:rsid w:val="0019519B"/>
    <w:rsid w:val="0019620C"/>
    <w:rsid w:val="001A216F"/>
    <w:rsid w:val="001A76F9"/>
    <w:rsid w:val="001B06FF"/>
    <w:rsid w:val="001B1703"/>
    <w:rsid w:val="001C1C2E"/>
    <w:rsid w:val="001C1D4A"/>
    <w:rsid w:val="001C2C3A"/>
    <w:rsid w:val="001C31A1"/>
    <w:rsid w:val="001C3FA2"/>
    <w:rsid w:val="001C5EE2"/>
    <w:rsid w:val="001D0077"/>
    <w:rsid w:val="001D4A15"/>
    <w:rsid w:val="001D6E85"/>
    <w:rsid w:val="001E2805"/>
    <w:rsid w:val="001E407B"/>
    <w:rsid w:val="001E61B8"/>
    <w:rsid w:val="001E628C"/>
    <w:rsid w:val="001E7FC6"/>
    <w:rsid w:val="001F2502"/>
    <w:rsid w:val="001F70A5"/>
    <w:rsid w:val="0020235D"/>
    <w:rsid w:val="002025D4"/>
    <w:rsid w:val="0020369B"/>
    <w:rsid w:val="00203B8A"/>
    <w:rsid w:val="00207B4D"/>
    <w:rsid w:val="002108B1"/>
    <w:rsid w:val="002117B1"/>
    <w:rsid w:val="00217CCE"/>
    <w:rsid w:val="002203B1"/>
    <w:rsid w:val="00226F39"/>
    <w:rsid w:val="0022722D"/>
    <w:rsid w:val="002334AD"/>
    <w:rsid w:val="00236681"/>
    <w:rsid w:val="00241B60"/>
    <w:rsid w:val="0024660C"/>
    <w:rsid w:val="002522F8"/>
    <w:rsid w:val="0025280D"/>
    <w:rsid w:val="002555BB"/>
    <w:rsid w:val="0025785B"/>
    <w:rsid w:val="00257969"/>
    <w:rsid w:val="00265B45"/>
    <w:rsid w:val="002672E2"/>
    <w:rsid w:val="002704A7"/>
    <w:rsid w:val="00273426"/>
    <w:rsid w:val="00277E39"/>
    <w:rsid w:val="00280048"/>
    <w:rsid w:val="00281976"/>
    <w:rsid w:val="0028489E"/>
    <w:rsid w:val="002848DE"/>
    <w:rsid w:val="0028794E"/>
    <w:rsid w:val="002A1363"/>
    <w:rsid w:val="002A4135"/>
    <w:rsid w:val="002A5841"/>
    <w:rsid w:val="002B1EDF"/>
    <w:rsid w:val="002B2061"/>
    <w:rsid w:val="002B77BD"/>
    <w:rsid w:val="002C1232"/>
    <w:rsid w:val="002C1E44"/>
    <w:rsid w:val="002C4036"/>
    <w:rsid w:val="002C5C92"/>
    <w:rsid w:val="002C5E29"/>
    <w:rsid w:val="002C5F07"/>
    <w:rsid w:val="002D0478"/>
    <w:rsid w:val="002D7127"/>
    <w:rsid w:val="002F2A99"/>
    <w:rsid w:val="002F599E"/>
    <w:rsid w:val="002F67A7"/>
    <w:rsid w:val="003008D8"/>
    <w:rsid w:val="00301D9A"/>
    <w:rsid w:val="00302E1C"/>
    <w:rsid w:val="00303959"/>
    <w:rsid w:val="00306E72"/>
    <w:rsid w:val="00312AC3"/>
    <w:rsid w:val="00314430"/>
    <w:rsid w:val="003163BC"/>
    <w:rsid w:val="0032351A"/>
    <w:rsid w:val="00324B33"/>
    <w:rsid w:val="00325DF1"/>
    <w:rsid w:val="00327488"/>
    <w:rsid w:val="00333142"/>
    <w:rsid w:val="003338F5"/>
    <w:rsid w:val="00336FE1"/>
    <w:rsid w:val="003379BE"/>
    <w:rsid w:val="003411A3"/>
    <w:rsid w:val="00341218"/>
    <w:rsid w:val="00342D56"/>
    <w:rsid w:val="003456E7"/>
    <w:rsid w:val="00346EC2"/>
    <w:rsid w:val="003477F9"/>
    <w:rsid w:val="0035444D"/>
    <w:rsid w:val="00356D62"/>
    <w:rsid w:val="00363EE3"/>
    <w:rsid w:val="003735F3"/>
    <w:rsid w:val="00374729"/>
    <w:rsid w:val="00381D02"/>
    <w:rsid w:val="00385FFE"/>
    <w:rsid w:val="00387298"/>
    <w:rsid w:val="003874D9"/>
    <w:rsid w:val="00387984"/>
    <w:rsid w:val="003908AB"/>
    <w:rsid w:val="0039323A"/>
    <w:rsid w:val="00395140"/>
    <w:rsid w:val="003A2422"/>
    <w:rsid w:val="003A6F7A"/>
    <w:rsid w:val="003B062D"/>
    <w:rsid w:val="003B149C"/>
    <w:rsid w:val="003B1E52"/>
    <w:rsid w:val="003B75ED"/>
    <w:rsid w:val="003C0BEE"/>
    <w:rsid w:val="003C0FDB"/>
    <w:rsid w:val="003C1192"/>
    <w:rsid w:val="003C1E2B"/>
    <w:rsid w:val="003C413F"/>
    <w:rsid w:val="003C46B0"/>
    <w:rsid w:val="003C55E2"/>
    <w:rsid w:val="003C63D5"/>
    <w:rsid w:val="003C7AA8"/>
    <w:rsid w:val="003D0984"/>
    <w:rsid w:val="003D5990"/>
    <w:rsid w:val="003D6C61"/>
    <w:rsid w:val="003D71A1"/>
    <w:rsid w:val="003D75C1"/>
    <w:rsid w:val="003E3676"/>
    <w:rsid w:val="003F04F9"/>
    <w:rsid w:val="003F2F66"/>
    <w:rsid w:val="003F312F"/>
    <w:rsid w:val="003F3C97"/>
    <w:rsid w:val="004025D8"/>
    <w:rsid w:val="00407E09"/>
    <w:rsid w:val="0041688F"/>
    <w:rsid w:val="0042376F"/>
    <w:rsid w:val="004239B6"/>
    <w:rsid w:val="004246B8"/>
    <w:rsid w:val="004248F1"/>
    <w:rsid w:val="00425334"/>
    <w:rsid w:val="00433318"/>
    <w:rsid w:val="00435406"/>
    <w:rsid w:val="00442A56"/>
    <w:rsid w:val="0044334C"/>
    <w:rsid w:val="004444B0"/>
    <w:rsid w:val="00444D2A"/>
    <w:rsid w:val="0045060B"/>
    <w:rsid w:val="00452AEC"/>
    <w:rsid w:val="004530D0"/>
    <w:rsid w:val="00457C6C"/>
    <w:rsid w:val="004626FF"/>
    <w:rsid w:val="00464F25"/>
    <w:rsid w:val="00470A52"/>
    <w:rsid w:val="00471BD5"/>
    <w:rsid w:val="00477C4E"/>
    <w:rsid w:val="00477E8C"/>
    <w:rsid w:val="00477F07"/>
    <w:rsid w:val="00481503"/>
    <w:rsid w:val="00481638"/>
    <w:rsid w:val="00481D12"/>
    <w:rsid w:val="004854A6"/>
    <w:rsid w:val="00490136"/>
    <w:rsid w:val="004909F0"/>
    <w:rsid w:val="004911D7"/>
    <w:rsid w:val="00491A55"/>
    <w:rsid w:val="00494C3E"/>
    <w:rsid w:val="00497DF1"/>
    <w:rsid w:val="004A017A"/>
    <w:rsid w:val="004A318E"/>
    <w:rsid w:val="004A57E8"/>
    <w:rsid w:val="004B0DA6"/>
    <w:rsid w:val="004B3081"/>
    <w:rsid w:val="004B4011"/>
    <w:rsid w:val="004B4A09"/>
    <w:rsid w:val="004B569B"/>
    <w:rsid w:val="004B6447"/>
    <w:rsid w:val="004B721D"/>
    <w:rsid w:val="004C1AC8"/>
    <w:rsid w:val="004C41CE"/>
    <w:rsid w:val="004C631B"/>
    <w:rsid w:val="004C64B2"/>
    <w:rsid w:val="004D0DCA"/>
    <w:rsid w:val="004D2F00"/>
    <w:rsid w:val="004D31D8"/>
    <w:rsid w:val="004D5388"/>
    <w:rsid w:val="004E6470"/>
    <w:rsid w:val="004E7F16"/>
    <w:rsid w:val="004F18EC"/>
    <w:rsid w:val="004F5AE9"/>
    <w:rsid w:val="00500D68"/>
    <w:rsid w:val="00510084"/>
    <w:rsid w:val="0053377D"/>
    <w:rsid w:val="00535DFE"/>
    <w:rsid w:val="005373B5"/>
    <w:rsid w:val="00537AB7"/>
    <w:rsid w:val="00537DBF"/>
    <w:rsid w:val="0054103F"/>
    <w:rsid w:val="0054669B"/>
    <w:rsid w:val="00553634"/>
    <w:rsid w:val="0055426E"/>
    <w:rsid w:val="0055509F"/>
    <w:rsid w:val="00555685"/>
    <w:rsid w:val="005610D1"/>
    <w:rsid w:val="00562F42"/>
    <w:rsid w:val="00565739"/>
    <w:rsid w:val="0056766D"/>
    <w:rsid w:val="0057072F"/>
    <w:rsid w:val="00575215"/>
    <w:rsid w:val="00582990"/>
    <w:rsid w:val="0058323E"/>
    <w:rsid w:val="0058575E"/>
    <w:rsid w:val="005861C1"/>
    <w:rsid w:val="0058783C"/>
    <w:rsid w:val="00587AC1"/>
    <w:rsid w:val="005911AE"/>
    <w:rsid w:val="005926E2"/>
    <w:rsid w:val="0059313A"/>
    <w:rsid w:val="005A44D2"/>
    <w:rsid w:val="005A54EA"/>
    <w:rsid w:val="005B023F"/>
    <w:rsid w:val="005B02A2"/>
    <w:rsid w:val="005B1417"/>
    <w:rsid w:val="005B69CF"/>
    <w:rsid w:val="005B7FEF"/>
    <w:rsid w:val="005C3F07"/>
    <w:rsid w:val="005C4B46"/>
    <w:rsid w:val="005C5DC5"/>
    <w:rsid w:val="005D0F60"/>
    <w:rsid w:val="005D2089"/>
    <w:rsid w:val="005D7514"/>
    <w:rsid w:val="005E0FC6"/>
    <w:rsid w:val="005E1A7B"/>
    <w:rsid w:val="005E231F"/>
    <w:rsid w:val="005E251E"/>
    <w:rsid w:val="005E3223"/>
    <w:rsid w:val="005F241A"/>
    <w:rsid w:val="005F2CA8"/>
    <w:rsid w:val="005F649F"/>
    <w:rsid w:val="006013D7"/>
    <w:rsid w:val="00602D6E"/>
    <w:rsid w:val="00605C05"/>
    <w:rsid w:val="00611351"/>
    <w:rsid w:val="0061217D"/>
    <w:rsid w:val="006176E8"/>
    <w:rsid w:val="00623428"/>
    <w:rsid w:val="00623D74"/>
    <w:rsid w:val="00624D1D"/>
    <w:rsid w:val="006277A1"/>
    <w:rsid w:val="00633BD7"/>
    <w:rsid w:val="00634580"/>
    <w:rsid w:val="00634884"/>
    <w:rsid w:val="00634CEB"/>
    <w:rsid w:val="006351D9"/>
    <w:rsid w:val="00637130"/>
    <w:rsid w:val="00637708"/>
    <w:rsid w:val="00637F0E"/>
    <w:rsid w:val="006423F2"/>
    <w:rsid w:val="00642FCA"/>
    <w:rsid w:val="00650234"/>
    <w:rsid w:val="0065527A"/>
    <w:rsid w:val="006554FB"/>
    <w:rsid w:val="0066044B"/>
    <w:rsid w:val="006630AA"/>
    <w:rsid w:val="00663544"/>
    <w:rsid w:val="00666539"/>
    <w:rsid w:val="00666911"/>
    <w:rsid w:val="006719DD"/>
    <w:rsid w:val="00672E7B"/>
    <w:rsid w:val="00675F81"/>
    <w:rsid w:val="0068143E"/>
    <w:rsid w:val="00681DB8"/>
    <w:rsid w:val="0068316A"/>
    <w:rsid w:val="00684237"/>
    <w:rsid w:val="0068507D"/>
    <w:rsid w:val="00687D7F"/>
    <w:rsid w:val="00691223"/>
    <w:rsid w:val="00691AF2"/>
    <w:rsid w:val="00692B80"/>
    <w:rsid w:val="00692CCD"/>
    <w:rsid w:val="00692D51"/>
    <w:rsid w:val="00692FB8"/>
    <w:rsid w:val="00693E20"/>
    <w:rsid w:val="00694DD7"/>
    <w:rsid w:val="0069636B"/>
    <w:rsid w:val="006A1762"/>
    <w:rsid w:val="006A1F0B"/>
    <w:rsid w:val="006A277A"/>
    <w:rsid w:val="006A5973"/>
    <w:rsid w:val="006B6DFF"/>
    <w:rsid w:val="006B7126"/>
    <w:rsid w:val="006C6B86"/>
    <w:rsid w:val="006D03FD"/>
    <w:rsid w:val="006D4553"/>
    <w:rsid w:val="006D4A35"/>
    <w:rsid w:val="006D6B44"/>
    <w:rsid w:val="006E0E4A"/>
    <w:rsid w:val="006E27FE"/>
    <w:rsid w:val="006E3C8E"/>
    <w:rsid w:val="00701110"/>
    <w:rsid w:val="00702E91"/>
    <w:rsid w:val="0070330F"/>
    <w:rsid w:val="00703624"/>
    <w:rsid w:val="007046ED"/>
    <w:rsid w:val="007072A1"/>
    <w:rsid w:val="00710BC5"/>
    <w:rsid w:val="007121CA"/>
    <w:rsid w:val="00713CE4"/>
    <w:rsid w:val="00715C7F"/>
    <w:rsid w:val="00717414"/>
    <w:rsid w:val="0072003B"/>
    <w:rsid w:val="00721059"/>
    <w:rsid w:val="007211E6"/>
    <w:rsid w:val="007220C4"/>
    <w:rsid w:val="00723761"/>
    <w:rsid w:val="00730506"/>
    <w:rsid w:val="00732361"/>
    <w:rsid w:val="007357B9"/>
    <w:rsid w:val="00741AB9"/>
    <w:rsid w:val="00742D03"/>
    <w:rsid w:val="00744216"/>
    <w:rsid w:val="007452E8"/>
    <w:rsid w:val="00746990"/>
    <w:rsid w:val="00746C1D"/>
    <w:rsid w:val="00747093"/>
    <w:rsid w:val="00750D70"/>
    <w:rsid w:val="007575D0"/>
    <w:rsid w:val="007662E0"/>
    <w:rsid w:val="007769B4"/>
    <w:rsid w:val="00776E9C"/>
    <w:rsid w:val="007816D8"/>
    <w:rsid w:val="00784150"/>
    <w:rsid w:val="00793272"/>
    <w:rsid w:val="0079499A"/>
    <w:rsid w:val="00794B64"/>
    <w:rsid w:val="007967C3"/>
    <w:rsid w:val="007A0A33"/>
    <w:rsid w:val="007B04DE"/>
    <w:rsid w:val="007B0AE6"/>
    <w:rsid w:val="007B750A"/>
    <w:rsid w:val="007C0F0B"/>
    <w:rsid w:val="007C57BC"/>
    <w:rsid w:val="007D04CA"/>
    <w:rsid w:val="007D0A2B"/>
    <w:rsid w:val="007D12A1"/>
    <w:rsid w:val="007D40E5"/>
    <w:rsid w:val="007D4138"/>
    <w:rsid w:val="007D5C25"/>
    <w:rsid w:val="007D71FE"/>
    <w:rsid w:val="007E4178"/>
    <w:rsid w:val="007F0A77"/>
    <w:rsid w:val="007F1E37"/>
    <w:rsid w:val="007F50D3"/>
    <w:rsid w:val="007F6B1F"/>
    <w:rsid w:val="00804897"/>
    <w:rsid w:val="008329DB"/>
    <w:rsid w:val="008351D1"/>
    <w:rsid w:val="008352FA"/>
    <w:rsid w:val="008361C5"/>
    <w:rsid w:val="0083628F"/>
    <w:rsid w:val="00837AB9"/>
    <w:rsid w:val="0084527E"/>
    <w:rsid w:val="00845A9C"/>
    <w:rsid w:val="00850637"/>
    <w:rsid w:val="00852207"/>
    <w:rsid w:val="00853FB6"/>
    <w:rsid w:val="00854D98"/>
    <w:rsid w:val="008552CF"/>
    <w:rsid w:val="0085751E"/>
    <w:rsid w:val="00860B29"/>
    <w:rsid w:val="00861350"/>
    <w:rsid w:val="008622E8"/>
    <w:rsid w:val="00862F49"/>
    <w:rsid w:val="008645EE"/>
    <w:rsid w:val="00870144"/>
    <w:rsid w:val="00873D7A"/>
    <w:rsid w:val="008757FF"/>
    <w:rsid w:val="00875E60"/>
    <w:rsid w:val="00877CB3"/>
    <w:rsid w:val="008804CF"/>
    <w:rsid w:val="00881687"/>
    <w:rsid w:val="00882D58"/>
    <w:rsid w:val="00882F19"/>
    <w:rsid w:val="00883D35"/>
    <w:rsid w:val="00884569"/>
    <w:rsid w:val="00887A51"/>
    <w:rsid w:val="00887F37"/>
    <w:rsid w:val="00890D9B"/>
    <w:rsid w:val="00891C6C"/>
    <w:rsid w:val="008921C5"/>
    <w:rsid w:val="00893CCD"/>
    <w:rsid w:val="008964B3"/>
    <w:rsid w:val="008A2825"/>
    <w:rsid w:val="008A3ECB"/>
    <w:rsid w:val="008B1CB5"/>
    <w:rsid w:val="008B7AB9"/>
    <w:rsid w:val="008C2572"/>
    <w:rsid w:val="008C2D69"/>
    <w:rsid w:val="008C49C6"/>
    <w:rsid w:val="008C754C"/>
    <w:rsid w:val="008D2AC0"/>
    <w:rsid w:val="008D2C01"/>
    <w:rsid w:val="008D56C9"/>
    <w:rsid w:val="008D5A2B"/>
    <w:rsid w:val="008D6A54"/>
    <w:rsid w:val="008E0574"/>
    <w:rsid w:val="008E2585"/>
    <w:rsid w:val="008E2D7A"/>
    <w:rsid w:val="008F3215"/>
    <w:rsid w:val="008F4A62"/>
    <w:rsid w:val="008F7256"/>
    <w:rsid w:val="00900246"/>
    <w:rsid w:val="00903846"/>
    <w:rsid w:val="0090424C"/>
    <w:rsid w:val="00905E3F"/>
    <w:rsid w:val="0090605E"/>
    <w:rsid w:val="009108CE"/>
    <w:rsid w:val="00914B99"/>
    <w:rsid w:val="00915A9F"/>
    <w:rsid w:val="00921969"/>
    <w:rsid w:val="0092286F"/>
    <w:rsid w:val="00930D58"/>
    <w:rsid w:val="00935AAA"/>
    <w:rsid w:val="00947685"/>
    <w:rsid w:val="00947843"/>
    <w:rsid w:val="0095031E"/>
    <w:rsid w:val="00951AF4"/>
    <w:rsid w:val="00954297"/>
    <w:rsid w:val="00960A56"/>
    <w:rsid w:val="00963489"/>
    <w:rsid w:val="009634C2"/>
    <w:rsid w:val="00966EF1"/>
    <w:rsid w:val="00967223"/>
    <w:rsid w:val="00970BF1"/>
    <w:rsid w:val="00973D13"/>
    <w:rsid w:val="009751F7"/>
    <w:rsid w:val="0097728F"/>
    <w:rsid w:val="0098350E"/>
    <w:rsid w:val="009926D2"/>
    <w:rsid w:val="0099363D"/>
    <w:rsid w:val="0099404F"/>
    <w:rsid w:val="00996FA5"/>
    <w:rsid w:val="009B39FA"/>
    <w:rsid w:val="009B5662"/>
    <w:rsid w:val="009C2211"/>
    <w:rsid w:val="009C40E8"/>
    <w:rsid w:val="009C45C5"/>
    <w:rsid w:val="009C4CA4"/>
    <w:rsid w:val="009D3A24"/>
    <w:rsid w:val="009D69FF"/>
    <w:rsid w:val="009D77E3"/>
    <w:rsid w:val="009D781C"/>
    <w:rsid w:val="009E271E"/>
    <w:rsid w:val="009E6858"/>
    <w:rsid w:val="009E6F8C"/>
    <w:rsid w:val="009E72BE"/>
    <w:rsid w:val="009F405F"/>
    <w:rsid w:val="00A01C56"/>
    <w:rsid w:val="00A04C12"/>
    <w:rsid w:val="00A10AA8"/>
    <w:rsid w:val="00A12011"/>
    <w:rsid w:val="00A1260D"/>
    <w:rsid w:val="00A134D4"/>
    <w:rsid w:val="00A21D82"/>
    <w:rsid w:val="00A23F51"/>
    <w:rsid w:val="00A32C50"/>
    <w:rsid w:val="00A358E7"/>
    <w:rsid w:val="00A4380B"/>
    <w:rsid w:val="00A51A2D"/>
    <w:rsid w:val="00A51F5A"/>
    <w:rsid w:val="00A5596B"/>
    <w:rsid w:val="00A63C07"/>
    <w:rsid w:val="00A63D9B"/>
    <w:rsid w:val="00A704DC"/>
    <w:rsid w:val="00A72EE0"/>
    <w:rsid w:val="00A8320A"/>
    <w:rsid w:val="00A86DB8"/>
    <w:rsid w:val="00A93DC6"/>
    <w:rsid w:val="00A9411A"/>
    <w:rsid w:val="00A97929"/>
    <w:rsid w:val="00A97998"/>
    <w:rsid w:val="00AA4A4B"/>
    <w:rsid w:val="00AA6682"/>
    <w:rsid w:val="00AB0587"/>
    <w:rsid w:val="00AB0613"/>
    <w:rsid w:val="00AB2D6C"/>
    <w:rsid w:val="00AB7C5C"/>
    <w:rsid w:val="00AB7CBF"/>
    <w:rsid w:val="00AD0111"/>
    <w:rsid w:val="00AD4C72"/>
    <w:rsid w:val="00AD5098"/>
    <w:rsid w:val="00AD5451"/>
    <w:rsid w:val="00AE1947"/>
    <w:rsid w:val="00AE5AF4"/>
    <w:rsid w:val="00AE7CD3"/>
    <w:rsid w:val="00AF1C8B"/>
    <w:rsid w:val="00AF299B"/>
    <w:rsid w:val="00AF7E43"/>
    <w:rsid w:val="00B02AE0"/>
    <w:rsid w:val="00B05102"/>
    <w:rsid w:val="00B05136"/>
    <w:rsid w:val="00B05326"/>
    <w:rsid w:val="00B07CAF"/>
    <w:rsid w:val="00B14545"/>
    <w:rsid w:val="00B14E60"/>
    <w:rsid w:val="00B16042"/>
    <w:rsid w:val="00B17BA2"/>
    <w:rsid w:val="00B17D2D"/>
    <w:rsid w:val="00B221B4"/>
    <w:rsid w:val="00B26DC3"/>
    <w:rsid w:val="00B30B9D"/>
    <w:rsid w:val="00B35214"/>
    <w:rsid w:val="00B43F5C"/>
    <w:rsid w:val="00B4574D"/>
    <w:rsid w:val="00B468E1"/>
    <w:rsid w:val="00B46BC0"/>
    <w:rsid w:val="00B46DFB"/>
    <w:rsid w:val="00B50BFB"/>
    <w:rsid w:val="00B5141B"/>
    <w:rsid w:val="00B529C6"/>
    <w:rsid w:val="00B55681"/>
    <w:rsid w:val="00B57AAD"/>
    <w:rsid w:val="00B72B16"/>
    <w:rsid w:val="00B76029"/>
    <w:rsid w:val="00B80408"/>
    <w:rsid w:val="00B81397"/>
    <w:rsid w:val="00B81972"/>
    <w:rsid w:val="00B905A7"/>
    <w:rsid w:val="00B90C34"/>
    <w:rsid w:val="00B925DB"/>
    <w:rsid w:val="00B967FF"/>
    <w:rsid w:val="00B974B9"/>
    <w:rsid w:val="00BA09F8"/>
    <w:rsid w:val="00BA1D52"/>
    <w:rsid w:val="00BA3F6D"/>
    <w:rsid w:val="00BA4BE6"/>
    <w:rsid w:val="00BA4FC0"/>
    <w:rsid w:val="00BA61E0"/>
    <w:rsid w:val="00BA7F7D"/>
    <w:rsid w:val="00BB1C14"/>
    <w:rsid w:val="00BB5653"/>
    <w:rsid w:val="00BB6847"/>
    <w:rsid w:val="00BB7F8F"/>
    <w:rsid w:val="00BC716A"/>
    <w:rsid w:val="00BC7834"/>
    <w:rsid w:val="00BD07DF"/>
    <w:rsid w:val="00BD15BF"/>
    <w:rsid w:val="00BD26F4"/>
    <w:rsid w:val="00BD46B6"/>
    <w:rsid w:val="00BD5DBD"/>
    <w:rsid w:val="00BD5DF6"/>
    <w:rsid w:val="00BE0041"/>
    <w:rsid w:val="00BE3F63"/>
    <w:rsid w:val="00BE640F"/>
    <w:rsid w:val="00BF2564"/>
    <w:rsid w:val="00BF4638"/>
    <w:rsid w:val="00BF4FB6"/>
    <w:rsid w:val="00C059D0"/>
    <w:rsid w:val="00C07551"/>
    <w:rsid w:val="00C1109F"/>
    <w:rsid w:val="00C12D65"/>
    <w:rsid w:val="00C133AB"/>
    <w:rsid w:val="00C1650A"/>
    <w:rsid w:val="00C176E0"/>
    <w:rsid w:val="00C20B56"/>
    <w:rsid w:val="00C21FFB"/>
    <w:rsid w:val="00C22214"/>
    <w:rsid w:val="00C26F72"/>
    <w:rsid w:val="00C309A7"/>
    <w:rsid w:val="00C335AB"/>
    <w:rsid w:val="00C3523F"/>
    <w:rsid w:val="00C407AB"/>
    <w:rsid w:val="00C47F3A"/>
    <w:rsid w:val="00C52186"/>
    <w:rsid w:val="00C52B7B"/>
    <w:rsid w:val="00C53EAD"/>
    <w:rsid w:val="00C547CD"/>
    <w:rsid w:val="00C570FF"/>
    <w:rsid w:val="00C57CEA"/>
    <w:rsid w:val="00C60FEC"/>
    <w:rsid w:val="00C6574E"/>
    <w:rsid w:val="00C707FD"/>
    <w:rsid w:val="00C74829"/>
    <w:rsid w:val="00C7660C"/>
    <w:rsid w:val="00C76DEB"/>
    <w:rsid w:val="00C816C6"/>
    <w:rsid w:val="00C81C3B"/>
    <w:rsid w:val="00C84D92"/>
    <w:rsid w:val="00C863A7"/>
    <w:rsid w:val="00C912F4"/>
    <w:rsid w:val="00C9156F"/>
    <w:rsid w:val="00C9581A"/>
    <w:rsid w:val="00C97D29"/>
    <w:rsid w:val="00CA24BD"/>
    <w:rsid w:val="00CB0550"/>
    <w:rsid w:val="00CB6813"/>
    <w:rsid w:val="00CD1110"/>
    <w:rsid w:val="00CD3055"/>
    <w:rsid w:val="00CE6039"/>
    <w:rsid w:val="00CF062C"/>
    <w:rsid w:val="00CF293E"/>
    <w:rsid w:val="00CF6268"/>
    <w:rsid w:val="00CF6A55"/>
    <w:rsid w:val="00CF6DC6"/>
    <w:rsid w:val="00CF6DCF"/>
    <w:rsid w:val="00D01DDB"/>
    <w:rsid w:val="00D078BE"/>
    <w:rsid w:val="00D13F8A"/>
    <w:rsid w:val="00D1645D"/>
    <w:rsid w:val="00D16F60"/>
    <w:rsid w:val="00D1750C"/>
    <w:rsid w:val="00D22981"/>
    <w:rsid w:val="00D23C1B"/>
    <w:rsid w:val="00D3349B"/>
    <w:rsid w:val="00D424A8"/>
    <w:rsid w:val="00D44664"/>
    <w:rsid w:val="00D50024"/>
    <w:rsid w:val="00D53F5B"/>
    <w:rsid w:val="00D54FE7"/>
    <w:rsid w:val="00D60339"/>
    <w:rsid w:val="00D6036F"/>
    <w:rsid w:val="00D60898"/>
    <w:rsid w:val="00D62877"/>
    <w:rsid w:val="00D63760"/>
    <w:rsid w:val="00D6687C"/>
    <w:rsid w:val="00D6703F"/>
    <w:rsid w:val="00D734EB"/>
    <w:rsid w:val="00D75FC5"/>
    <w:rsid w:val="00D76355"/>
    <w:rsid w:val="00D779F7"/>
    <w:rsid w:val="00D82713"/>
    <w:rsid w:val="00D857C7"/>
    <w:rsid w:val="00D86F00"/>
    <w:rsid w:val="00D918D5"/>
    <w:rsid w:val="00D949A9"/>
    <w:rsid w:val="00D94C8E"/>
    <w:rsid w:val="00DB06C1"/>
    <w:rsid w:val="00DB1372"/>
    <w:rsid w:val="00DB192C"/>
    <w:rsid w:val="00DB1CF3"/>
    <w:rsid w:val="00DB228A"/>
    <w:rsid w:val="00DB2CB3"/>
    <w:rsid w:val="00DB5425"/>
    <w:rsid w:val="00DB72A6"/>
    <w:rsid w:val="00DC6611"/>
    <w:rsid w:val="00DC7C77"/>
    <w:rsid w:val="00DC7D69"/>
    <w:rsid w:val="00DE04F6"/>
    <w:rsid w:val="00DE1344"/>
    <w:rsid w:val="00DE30A3"/>
    <w:rsid w:val="00DF57E1"/>
    <w:rsid w:val="00DF5821"/>
    <w:rsid w:val="00DF5BFE"/>
    <w:rsid w:val="00DF69CD"/>
    <w:rsid w:val="00E0507B"/>
    <w:rsid w:val="00E0523F"/>
    <w:rsid w:val="00E0766B"/>
    <w:rsid w:val="00E07A85"/>
    <w:rsid w:val="00E10BFC"/>
    <w:rsid w:val="00E135F3"/>
    <w:rsid w:val="00E14F50"/>
    <w:rsid w:val="00E23E50"/>
    <w:rsid w:val="00E26213"/>
    <w:rsid w:val="00E274DF"/>
    <w:rsid w:val="00E34C08"/>
    <w:rsid w:val="00E34D66"/>
    <w:rsid w:val="00E362C4"/>
    <w:rsid w:val="00E46CC2"/>
    <w:rsid w:val="00E47E0C"/>
    <w:rsid w:val="00E51813"/>
    <w:rsid w:val="00E52C0B"/>
    <w:rsid w:val="00E53D3F"/>
    <w:rsid w:val="00E5579B"/>
    <w:rsid w:val="00E576F0"/>
    <w:rsid w:val="00E57FF4"/>
    <w:rsid w:val="00E62711"/>
    <w:rsid w:val="00E64087"/>
    <w:rsid w:val="00E646EE"/>
    <w:rsid w:val="00E679D1"/>
    <w:rsid w:val="00E67A59"/>
    <w:rsid w:val="00E67C1C"/>
    <w:rsid w:val="00E85206"/>
    <w:rsid w:val="00E85681"/>
    <w:rsid w:val="00E90E40"/>
    <w:rsid w:val="00E9128F"/>
    <w:rsid w:val="00E91F11"/>
    <w:rsid w:val="00E946A2"/>
    <w:rsid w:val="00E9706D"/>
    <w:rsid w:val="00E97550"/>
    <w:rsid w:val="00E975DC"/>
    <w:rsid w:val="00EA349B"/>
    <w:rsid w:val="00EA3AF4"/>
    <w:rsid w:val="00EA7979"/>
    <w:rsid w:val="00EB080F"/>
    <w:rsid w:val="00EB36C8"/>
    <w:rsid w:val="00EC0597"/>
    <w:rsid w:val="00EC60A7"/>
    <w:rsid w:val="00ED4EF5"/>
    <w:rsid w:val="00EE350F"/>
    <w:rsid w:val="00EE4691"/>
    <w:rsid w:val="00EF19BD"/>
    <w:rsid w:val="00EF3F0B"/>
    <w:rsid w:val="00EF5583"/>
    <w:rsid w:val="00F0289D"/>
    <w:rsid w:val="00F02AEC"/>
    <w:rsid w:val="00F07572"/>
    <w:rsid w:val="00F1082F"/>
    <w:rsid w:val="00F157FC"/>
    <w:rsid w:val="00F1607B"/>
    <w:rsid w:val="00F174AE"/>
    <w:rsid w:val="00F262E7"/>
    <w:rsid w:val="00F26DE3"/>
    <w:rsid w:val="00F2778A"/>
    <w:rsid w:val="00F30AF3"/>
    <w:rsid w:val="00F43CD1"/>
    <w:rsid w:val="00F44459"/>
    <w:rsid w:val="00F45AE0"/>
    <w:rsid w:val="00F5194D"/>
    <w:rsid w:val="00F54050"/>
    <w:rsid w:val="00F60CF2"/>
    <w:rsid w:val="00F657B4"/>
    <w:rsid w:val="00F7649F"/>
    <w:rsid w:val="00F8083B"/>
    <w:rsid w:val="00F84E75"/>
    <w:rsid w:val="00F865A7"/>
    <w:rsid w:val="00F907E6"/>
    <w:rsid w:val="00F90F32"/>
    <w:rsid w:val="00FA0754"/>
    <w:rsid w:val="00FA1BC9"/>
    <w:rsid w:val="00FA49C3"/>
    <w:rsid w:val="00FB236E"/>
    <w:rsid w:val="00FB3F7B"/>
    <w:rsid w:val="00FB4C2A"/>
    <w:rsid w:val="00FC2107"/>
    <w:rsid w:val="00FC48FE"/>
    <w:rsid w:val="00FC6F56"/>
    <w:rsid w:val="00FD2237"/>
    <w:rsid w:val="00FD719E"/>
    <w:rsid w:val="00FE087C"/>
    <w:rsid w:val="00FE1398"/>
    <w:rsid w:val="00FE79A0"/>
    <w:rsid w:val="00FF0939"/>
    <w:rsid w:val="00FF18BC"/>
    <w:rsid w:val="0CA171A6"/>
    <w:rsid w:val="1AF83579"/>
    <w:rsid w:val="1F2511B5"/>
    <w:rsid w:val="2167F3C7"/>
    <w:rsid w:val="2226E3EF"/>
    <w:rsid w:val="2B9E5D67"/>
    <w:rsid w:val="342CE8DC"/>
    <w:rsid w:val="42429D1F"/>
    <w:rsid w:val="4663E97A"/>
    <w:rsid w:val="4C7A063F"/>
    <w:rsid w:val="4DEF61A2"/>
    <w:rsid w:val="5337FB68"/>
    <w:rsid w:val="56EBE34E"/>
    <w:rsid w:val="592A62CE"/>
    <w:rsid w:val="72808587"/>
  </w:rsids>
  <m:mathPr>
    <m:mathFont m:val="Cambria Math"/>
    <m:brkBin m:val="before"/>
    <m:brkBinSub m:val="--"/>
    <m:smallFrac m:val="0"/>
    <m:dispDef/>
    <m:lMargin m:val="0"/>
    <m:rMargin m:val="0"/>
    <m:defJc m:val="centerGroup"/>
    <m:wrapIndent m:val="1440"/>
    <m:intLim m:val="subSup"/>
    <m:naryLim m:val="undOvr"/>
  </m:mathPr>
  <w:themeFontLang w:val="en-AU"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C4C024"/>
  <w15:chartTrackingRefBased/>
  <w15:docId w15:val="{454EABED-D69F-483C-81C8-6F163F557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1A3"/>
    <w:rPr>
      <w:rFonts w:ascii="Cambria" w:hAnsi="Cambria"/>
      <w:sz w:val="22"/>
    </w:rPr>
  </w:style>
  <w:style w:type="paragraph" w:styleId="Heading1">
    <w:name w:val="heading 1"/>
    <w:basedOn w:val="Normal"/>
    <w:next w:val="Normal"/>
    <w:link w:val="Heading1Char"/>
    <w:uiPriority w:val="9"/>
    <w:qFormat/>
    <w:rsid w:val="006234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uiPriority w:val="9"/>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uiPriority w:val="9"/>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autoRedefine/>
    <w:uiPriority w:val="9"/>
    <w:unhideWhenUsed/>
    <w:qFormat/>
    <w:rsid w:val="00027F2F"/>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15446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27F2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99"/>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99"/>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qFormat/>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1"/>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Default">
    <w:name w:val="Default"/>
    <w:rsid w:val="006719DD"/>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623428"/>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623428"/>
    <w:rPr>
      <w:i/>
      <w:iCs/>
    </w:rPr>
  </w:style>
  <w:style w:type="paragraph" w:styleId="BodyText">
    <w:name w:val="Body Text"/>
    <w:basedOn w:val="Normal"/>
    <w:link w:val="BodyTextChar"/>
    <w:uiPriority w:val="1"/>
    <w:qFormat/>
    <w:rsid w:val="009C4CA4"/>
    <w:pPr>
      <w:widowControl w:val="0"/>
      <w:autoSpaceDE w:val="0"/>
      <w:autoSpaceDN w:val="0"/>
      <w:spacing w:after="0" w:line="240" w:lineRule="auto"/>
    </w:pPr>
    <w:rPr>
      <w:rFonts w:eastAsia="Cambria" w:cs="Cambria"/>
      <w:szCs w:val="22"/>
      <w:lang w:val="en-US"/>
    </w:rPr>
  </w:style>
  <w:style w:type="character" w:customStyle="1" w:styleId="BodyTextChar">
    <w:name w:val="Body Text Char"/>
    <w:basedOn w:val="DefaultParagraphFont"/>
    <w:link w:val="BodyText"/>
    <w:uiPriority w:val="1"/>
    <w:rsid w:val="009C4CA4"/>
    <w:rPr>
      <w:rFonts w:ascii="Cambria" w:eastAsia="Cambria" w:hAnsi="Cambria" w:cs="Cambria"/>
      <w:sz w:val="22"/>
      <w:szCs w:val="22"/>
      <w:lang w:val="en-US"/>
    </w:rPr>
  </w:style>
  <w:style w:type="paragraph" w:customStyle="1" w:styleId="TableParagraph">
    <w:name w:val="Table Paragraph"/>
    <w:basedOn w:val="Normal"/>
    <w:uiPriority w:val="1"/>
    <w:qFormat/>
    <w:rsid w:val="009C4CA4"/>
    <w:pPr>
      <w:widowControl w:val="0"/>
      <w:autoSpaceDE w:val="0"/>
      <w:autoSpaceDN w:val="0"/>
      <w:spacing w:after="0" w:line="240" w:lineRule="auto"/>
      <w:ind w:left="278"/>
    </w:pPr>
    <w:rPr>
      <w:rFonts w:eastAsia="Cambria" w:cs="Cambria"/>
      <w:szCs w:val="22"/>
      <w:lang w:val="en-US"/>
    </w:rPr>
  </w:style>
  <w:style w:type="character" w:customStyle="1" w:styleId="Heading7Char">
    <w:name w:val="Heading 7 Char"/>
    <w:basedOn w:val="DefaultParagraphFont"/>
    <w:link w:val="Heading7"/>
    <w:uiPriority w:val="9"/>
    <w:rsid w:val="00027F2F"/>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rsid w:val="00154462"/>
    <w:rPr>
      <w:rFonts w:asciiTheme="majorHAnsi" w:eastAsiaTheme="majorEastAsia" w:hAnsiTheme="majorHAnsi" w:cstheme="majorBidi"/>
      <w:color w:val="272727" w:themeColor="text1" w:themeTint="D8"/>
      <w:sz w:val="21"/>
      <w:szCs w:val="21"/>
    </w:rPr>
  </w:style>
  <w:style w:type="character" w:customStyle="1" w:styleId="cit">
    <w:name w:val="cit"/>
    <w:basedOn w:val="DefaultParagraphFont"/>
    <w:rsid w:val="0058323E"/>
  </w:style>
  <w:style w:type="character" w:customStyle="1" w:styleId="citation-doi">
    <w:name w:val="citation-doi"/>
    <w:basedOn w:val="DefaultParagraphFont"/>
    <w:rsid w:val="0058323E"/>
  </w:style>
  <w:style w:type="paragraph" w:styleId="EndnoteText">
    <w:name w:val="endnote text"/>
    <w:basedOn w:val="Normal"/>
    <w:link w:val="EndnoteTextChar"/>
    <w:uiPriority w:val="99"/>
    <w:semiHidden/>
    <w:unhideWhenUsed/>
    <w:rsid w:val="00D54FE7"/>
    <w:pPr>
      <w:spacing w:after="0" w:line="240" w:lineRule="auto"/>
    </w:pPr>
    <w:rPr>
      <w:sz w:val="20"/>
    </w:rPr>
  </w:style>
  <w:style w:type="character" w:customStyle="1" w:styleId="EndnoteTextChar">
    <w:name w:val="Endnote Text Char"/>
    <w:basedOn w:val="DefaultParagraphFont"/>
    <w:link w:val="EndnoteText"/>
    <w:uiPriority w:val="99"/>
    <w:semiHidden/>
    <w:rsid w:val="00D54FE7"/>
    <w:rPr>
      <w:rFonts w:ascii="Cambria" w:hAnsi="Cambria"/>
    </w:rPr>
  </w:style>
  <w:style w:type="character" w:styleId="EndnoteReference">
    <w:name w:val="endnote reference"/>
    <w:basedOn w:val="DefaultParagraphFont"/>
    <w:uiPriority w:val="99"/>
    <w:semiHidden/>
    <w:unhideWhenUsed/>
    <w:rsid w:val="00D54FE7"/>
    <w:rPr>
      <w:vertAlign w:val="superscript"/>
    </w:rPr>
  </w:style>
  <w:style w:type="paragraph" w:customStyle="1" w:styleId="Standard">
    <w:name w:val="Standard"/>
    <w:basedOn w:val="Normal"/>
    <w:link w:val="StandardChar"/>
    <w:qFormat/>
    <w:rsid w:val="0019519B"/>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19519B"/>
    <w:rPr>
      <w:rFonts w:ascii="Cambria" w:eastAsia="Times New Roman" w:hAnsi="Cambria" w:cs="Times New Roman"/>
      <w:snapToGrid w:val="0"/>
      <w:kern w:val="16"/>
      <w:sz w:val="23"/>
      <w:szCs w:val="24"/>
    </w:rPr>
  </w:style>
  <w:style w:type="character" w:styleId="Mention">
    <w:name w:val="Mention"/>
    <w:basedOn w:val="DefaultParagraphFont"/>
    <w:uiPriority w:val="99"/>
    <w:unhideWhenUsed/>
    <w:rsid w:val="00B529C6"/>
    <w:rPr>
      <w:color w:val="2B579A"/>
      <w:shd w:val="clear" w:color="auto" w:fill="E1DFDD"/>
    </w:rPr>
  </w:style>
  <w:style w:type="paragraph" w:customStyle="1" w:styleId="TableFootnoteInfo">
    <w:name w:val="Table Footnote Info"/>
    <w:basedOn w:val="Normal"/>
    <w:uiPriority w:val="14"/>
    <w:qFormat/>
    <w:rsid w:val="0022722D"/>
    <w:pPr>
      <w:keepLines/>
      <w:spacing w:before="40" w:after="40" w:line="240" w:lineRule="auto"/>
    </w:pPr>
    <w:rPr>
      <w:rFonts w:ascii="Times New Roman" w:eastAsia="Times New Roman" w:hAnsi="Times New Roman" w:cs="Times New Roman"/>
      <w:sz w:val="20"/>
      <w:szCs w:val="48"/>
      <w:lang w:val="en-GB"/>
    </w:rPr>
  </w:style>
  <w:style w:type="character" w:customStyle="1" w:styleId="Heading9Char">
    <w:name w:val="Heading 9 Char"/>
    <w:basedOn w:val="DefaultParagraphFont"/>
    <w:link w:val="Heading9"/>
    <w:uiPriority w:val="9"/>
    <w:rsid w:val="00027F2F"/>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671940">
      <w:bodyDiv w:val="1"/>
      <w:marLeft w:val="0"/>
      <w:marRight w:val="0"/>
      <w:marTop w:val="0"/>
      <w:marBottom w:val="0"/>
      <w:divBdr>
        <w:top w:val="none" w:sz="0" w:space="0" w:color="auto"/>
        <w:left w:val="none" w:sz="0" w:space="0" w:color="auto"/>
        <w:bottom w:val="none" w:sz="0" w:space="0" w:color="auto"/>
        <w:right w:val="none" w:sz="0" w:space="0" w:color="auto"/>
      </w:divBdr>
      <w:divsChild>
        <w:div w:id="455416167">
          <w:marLeft w:val="0"/>
          <w:marRight w:val="0"/>
          <w:marTop w:val="0"/>
          <w:marBottom w:val="0"/>
          <w:divBdr>
            <w:top w:val="none" w:sz="0" w:space="0" w:color="auto"/>
            <w:left w:val="none" w:sz="0" w:space="0" w:color="auto"/>
            <w:bottom w:val="none" w:sz="0" w:space="0" w:color="auto"/>
            <w:right w:val="none" w:sz="0" w:space="0" w:color="auto"/>
          </w:divBdr>
        </w:div>
      </w:divsChild>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982345403">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2104912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tga.gov.au/australian-public-assessment-report-auspar-guidance" TargetMode="External"/><Relationship Id="rId26" Type="http://schemas.openxmlformats.org/officeDocument/2006/relationships/hyperlink" Target="https://www.tga.gov.au/how-we-regulate/supply-therapeutic-good-0/supply-prescription-medicine/application-process/prescription-medicines-registration-process" TargetMode="External"/><Relationship Id="rId39" Type="http://schemas.openxmlformats.org/officeDocument/2006/relationships/image" Target="media/image16.jpeg"/><Relationship Id="rId21" Type="http://schemas.openxmlformats.org/officeDocument/2006/relationships/hyperlink" Target="https://www.tga.gov.au/products/australian-register-therapeutic-goods-artg" TargetMode="External"/><Relationship Id="rId34" Type="http://schemas.openxmlformats.org/officeDocument/2006/relationships/image" Target="media/image11.png"/><Relationship Id="rId42" Type="http://schemas.openxmlformats.org/officeDocument/2006/relationships/image" Target="media/image19.jpeg"/><Relationship Id="rId47" Type="http://schemas.openxmlformats.org/officeDocument/2006/relationships/hyperlink" Target="https://www.tga.gov.au/committee/advisory-committee-medicines-acm" TargetMode="External"/><Relationship Id="rId50" Type="http://schemas.openxmlformats.org/officeDocument/2006/relationships/hyperlink" Target="https://www.tga.gov.au/picmi-search-facility" TargetMode="External"/><Relationship Id="rId55" Type="http://schemas.openxmlformats.org/officeDocument/2006/relationships/hyperlink" Target="el://D24-3615705?db=A7&amp;open"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tga.gov.au/" TargetMode="External"/><Relationship Id="rId25" Type="http://schemas.openxmlformats.org/officeDocument/2006/relationships/hyperlink" Target="https://www.tga.gov.au/picmi-search-facility" TargetMode="External"/><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hyperlink" Target="https://www.tga.gov.au/resources/resource/guidance/risk-management-plans-medicines-and-biologicals/australia-specific-annex-eu-rmp"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tga.gov.au/prescription-medicines-registration-new-chemical-entities-australia" TargetMode="External"/><Relationship Id="rId29" Type="http://schemas.openxmlformats.org/officeDocument/2006/relationships/image" Target="media/image6.jpeg"/><Relationship Id="rId41" Type="http://schemas.openxmlformats.org/officeDocument/2006/relationships/image" Target="media/image18.png"/><Relationship Id="rId54"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tga.gov.au/products/australian-register-therapeutic-goods-artg/consumer-medicines-information-cmi"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yperlink" Target="https://www.tga.gov.au/tgas-risk-management-approach" TargetMode="External"/><Relationship Id="rId53" Type="http://schemas.openxmlformats.org/officeDocument/2006/relationships/hyperlink" Target="mailto:info@tga.gov.au" TargetMode="Externa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tga.gov.au/products/australian-register-therapeutic-goods-artg/product-information"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hyperlink" Target="https://www.tga.gov.au/products/australian-register-therapeutic-goods-artg/consumer-medicines-information-cmi" TargetMode="External"/><Relationship Id="rId57"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yperlink" Target="mailto:tga.copyright@tga.gov.au" TargetMode="External"/><Relationship Id="rId31" Type="http://schemas.openxmlformats.org/officeDocument/2006/relationships/image" Target="media/image8.jpeg"/><Relationship Id="rId44" Type="http://schemas.openxmlformats.org/officeDocument/2006/relationships/hyperlink" Target="https://www.tga.gov.au/publication/risk-management-plans-medicines-and-biologicals"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www.tga.gov.au/black-triangle-scheme" TargetMode="External"/><Relationship Id="rId27" Type="http://schemas.openxmlformats.org/officeDocument/2006/relationships/image" Target="media/image4.png"/><Relationship Id="rId30" Type="http://schemas.openxmlformats.org/officeDocument/2006/relationships/image" Target="media/image7.jpeg"/><Relationship Id="rId35" Type="http://schemas.openxmlformats.org/officeDocument/2006/relationships/image" Target="media/image12.png"/><Relationship Id="rId43" Type="http://schemas.openxmlformats.org/officeDocument/2006/relationships/image" Target="media/image20.jpeg"/><Relationship Id="rId48" Type="http://schemas.openxmlformats.org/officeDocument/2006/relationships/hyperlink" Target="https://www.tga.gov.au/products/australian-register-therapeutic-goods-artg/product-information" TargetMode="External"/><Relationship Id="rId56" Type="http://schemas.openxmlformats.org/officeDocument/2006/relationships/header" Target="header4.xml"/><Relationship Id="rId8" Type="http://schemas.openxmlformats.org/officeDocument/2006/relationships/styles" Target="styles.xml"/><Relationship Id="rId51" Type="http://schemas.openxmlformats.org/officeDocument/2006/relationships/header" Target="header3.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doi.org/10.1186/s12943-023-01827-6"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1ee89e71-04cd-405e-9ca3-99e020c1694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lcf76f155ced4ddcb4097134ff3c332f xmlns="0cad1d75-c7e3-4a9a-99e6-f5aa3e3b8d12">
      <Terms xmlns="http://schemas.microsoft.com/office/infopath/2007/PartnerControls"/>
    </lcf76f155ced4ddcb4097134ff3c332f>
    <TaxCatchAll xmlns="44a56295-c29e-4898-8136-a54736c65b82" xsi:nil="true"/>
    <Descriptions xmlns="44a56295-c29e-4898-8136-a54736c65b82" xsi:nil="true"/>
    <_dlc_DocId xmlns="a2c712ac-86fa-45d2-9dd2-1ad1d2b4ed34">TTFYJZ7H4UQK-488099300-3102</_dlc_DocId>
    <_dlc_DocIdUrl xmlns="a2c712ac-86fa-45d2-9dd2-1ad1d2b4ed34">
      <Url>https://azcollaboration.sharepoint.com/sites/SS564/_layouts/15/DocIdRedir.aspx?ID=TTFYJZ7H4UQK-488099300-3102</Url>
      <Description>TTFYJZ7H4UQK-488099300-3102</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F021059EBFEEB44A8161B31990544630" ma:contentTypeVersion="15" ma:contentTypeDescription="Create a new document." ma:contentTypeScope="" ma:versionID="a1875724c311b8dad2c7adfbf80946dd">
  <xsd:schema xmlns:xsd="http://www.w3.org/2001/XMLSchema" xmlns:xs="http://www.w3.org/2001/XMLSchema" xmlns:p="http://schemas.microsoft.com/office/2006/metadata/properties" xmlns:ns2="44a56295-c29e-4898-8136-a54736c65b82" xmlns:ns3="0cad1d75-c7e3-4a9a-99e6-f5aa3e3b8d12" xmlns:ns4="b00c2015-aaf6-4827-951d-b3732742b6ff" xmlns:ns5="a2c712ac-86fa-45d2-9dd2-1ad1d2b4ed34" targetNamespace="http://schemas.microsoft.com/office/2006/metadata/properties" ma:root="true" ma:fieldsID="bf1f12a5532a06babbc0f58a8d903d5e" ns2:_="" ns3:_="" ns4:_="" ns5:_="">
    <xsd:import namespace="44a56295-c29e-4898-8136-a54736c65b82"/>
    <xsd:import namespace="0cad1d75-c7e3-4a9a-99e6-f5aa3e3b8d12"/>
    <xsd:import namespace="b00c2015-aaf6-4827-951d-b3732742b6ff"/>
    <xsd:import namespace="a2c712ac-86fa-45d2-9dd2-1ad1d2b4ed34"/>
    <xsd:element name="properties">
      <xsd:complexType>
        <xsd:sequence>
          <xsd:element name="documentManagement">
            <xsd:complexType>
              <xsd:all>
                <xsd:element ref="ns2:Descriptions" minOccurs="0"/>
                <xsd:element ref="ns2:Keywor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5:_dlc_DocId" minOccurs="0"/>
                <xsd:element ref="ns5:_dlc_DocIdUrl" minOccurs="0"/>
                <xsd:element ref="ns5:_dlc_DocIdPersistId"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element name="TaxCatchAll" ma:index="22" nillable="true" ma:displayName="Taxonomy Catch All Column" ma:hidden="true" ma:list="{1db8d96c-6832-4f9f-a912-1d8657f9c405}" ma:internalName="TaxCatchAll" ma:showField="CatchAllData" ma:web="a2c712ac-86fa-45d2-9dd2-1ad1d2b4ed3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ad1d75-c7e3-4a9a-99e6-f5aa3e3b8d1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ee89e71-04cd-405e-9ca3-99e020c1694d" ma:termSetId="09814cd3-568e-fe90-9814-8d621ff8fb84" ma:anchorId="fba54fb3-c3e1-fe81-a776-ca4b69148c4d" ma:open="true" ma:isKeyword="false">
      <xsd:complexType>
        <xsd:sequence>
          <xsd:element ref="pc:Terms" minOccurs="0" maxOccurs="1"/>
        </xsd:sequence>
      </xsd:complex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0c2015-aaf6-4827-951d-b3732742b6f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c712ac-86fa-45d2-9dd2-1ad1d2b4ed34"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2677BD-1CA2-4AB2-A00B-2374B3527A6B}">
  <ds:schemaRefs>
    <ds:schemaRef ds:uri="http://schemas.microsoft.com/sharepoint/events"/>
  </ds:schemaRefs>
</ds:datastoreItem>
</file>

<file path=customXml/itemProps2.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3.xml><?xml version="1.0" encoding="utf-8"?>
<ds:datastoreItem xmlns:ds="http://schemas.openxmlformats.org/officeDocument/2006/customXml" ds:itemID="{32D694C4-6905-404C-A978-6AEA5ABEEF84}">
  <ds:schemaRefs>
    <ds:schemaRef ds:uri="Microsoft.SharePoint.Taxonomy.ContentTypeSync"/>
  </ds:schemaRefs>
</ds:datastoreItem>
</file>

<file path=customXml/itemProps4.xml><?xml version="1.0" encoding="utf-8"?>
<ds:datastoreItem xmlns:ds="http://schemas.openxmlformats.org/officeDocument/2006/customXml" ds:itemID="{9421D4A0-6097-4DD7-AB2E-4C9147877ED9}">
  <ds:schemaRefs>
    <ds:schemaRef ds:uri="http://schemas.microsoft.com/sharepoint/v3/contenttype/forms"/>
  </ds:schemaRefs>
</ds:datastoreItem>
</file>

<file path=customXml/itemProps5.xml><?xml version="1.0" encoding="utf-8"?>
<ds:datastoreItem xmlns:ds="http://schemas.openxmlformats.org/officeDocument/2006/customXml" ds:itemID="{1DBDEED2-246E-4E85-8796-6C2A668F3846}">
  <ds:schemaRefs>
    <ds:schemaRef ds:uri="http://schemas.microsoft.com/office/2006/metadata/properties"/>
    <ds:schemaRef ds:uri="http://schemas.microsoft.com/office/infopath/2007/PartnerControls"/>
    <ds:schemaRef ds:uri="44a56295-c29e-4898-8136-a54736c65b82"/>
    <ds:schemaRef ds:uri="0cad1d75-c7e3-4a9a-99e6-f5aa3e3b8d12"/>
    <ds:schemaRef ds:uri="a2c712ac-86fa-45d2-9dd2-1ad1d2b4ed34"/>
  </ds:schemaRefs>
</ds:datastoreItem>
</file>

<file path=customXml/itemProps6.xml><?xml version="1.0" encoding="utf-8"?>
<ds:datastoreItem xmlns:ds="http://schemas.openxmlformats.org/officeDocument/2006/customXml" ds:itemID="{12E0EFA5-8DCE-43F9-BA53-518328808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0cad1d75-c7e3-4a9a-99e6-f5aa3e3b8d12"/>
    <ds:schemaRef ds:uri="b00c2015-aaf6-4827-951d-b3732742b6ff"/>
    <ds:schemaRef ds:uri="a2c712ac-86fa-45d2-9dd2-1ad1d2b4ed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47</Pages>
  <Words>11689</Words>
  <Characters>71296</Characters>
  <Application>Microsoft Office Word</Application>
  <DocSecurity>0</DocSecurity>
  <Lines>594</Lines>
  <Paragraphs>165</Paragraphs>
  <ScaleCrop>false</ScaleCrop>
  <HeadingPairs>
    <vt:vector size="2" baseType="variant">
      <vt:variant>
        <vt:lpstr>Title</vt:lpstr>
      </vt:variant>
      <vt:variant>
        <vt:i4>1</vt:i4>
      </vt:variant>
    </vt:vector>
  </HeadingPairs>
  <TitlesOfParts>
    <vt:vector size="1" baseType="lpstr">
      <vt:lpstr>Australian public assessment report for Truqap</vt:lpstr>
    </vt:vector>
  </TitlesOfParts>
  <Company>Department of Health and Aged Care</Company>
  <LinksUpToDate>false</LinksUpToDate>
  <CharactersWithSpaces>82820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Truqap</dc:title>
  <dc:subject>Prescription medicines</dc:subject>
  <dc:creator>Therapeutic Goods Administration</dc:creator>
  <cp:keywords/>
  <dc:description/>
  <dcterms:created xsi:type="dcterms:W3CDTF">2025-02-23T22:48:00Z</dcterms:created>
  <dcterms:modified xsi:type="dcterms:W3CDTF">2025-02-24T01:57:00Z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0x010100F021059EBFEEB44A8161B31990544630</vt:lpwstr>
  </property>
  <property fmtid="{D5CDD505-2E9C-101B-9397-08002B2CF9AE}" pid="3" name="_dlc_DocIdItemGuid">
    <vt:lpwstr>c6c03ca9-781a-4d1b-a6bd-e8a561d264ac</vt:lpwstr>
  </property>
  <property fmtid="{D5CDD505-2E9C-101B-9397-08002B2CF9AE}" pid="4" name="MediaServiceImageTags">
    <vt:lpwstr/>
  </property>
</Properties>
</file>