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3826403C" w:rsidR="00F02AEC" w:rsidRPr="00215D48" w:rsidRDefault="00457050" w:rsidP="002B29B2">
            <w:pPr>
              <w:pStyle w:val="Title"/>
            </w:pPr>
            <w:r>
              <w:t>Notice of final decision to amend (or not amend) the current Poisons Standard</w:t>
            </w:r>
          </w:p>
        </w:tc>
      </w:tr>
      <w:tr w:rsidR="00F02AEC" w:rsidRPr="00215D48" w14:paraId="5819680E" w14:textId="77777777" w:rsidTr="002B29B2">
        <w:trPr>
          <w:trHeight w:val="1916"/>
        </w:trPr>
        <w:tc>
          <w:tcPr>
            <w:tcW w:w="8720" w:type="dxa"/>
          </w:tcPr>
          <w:p w14:paraId="54DDB299" w14:textId="50BEA560" w:rsidR="00F02AEC" w:rsidRPr="00215D48" w:rsidRDefault="0088084A" w:rsidP="00D1612F">
            <w:pPr>
              <w:pStyle w:val="Subtitle"/>
              <w:ind w:left="0"/>
            </w:pPr>
            <w:r>
              <w:t>19 February 2025</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AB6F8A">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4280941B" w:rsidR="00175CD8" w:rsidRPr="00DE78C9" w:rsidRDefault="00F02AEC" w:rsidP="00DE78C9">
      <w:pPr>
        <w:rPr>
          <w:sz w:val="16"/>
          <w:szCs w:val="16"/>
        </w:rPr>
      </w:pPr>
      <w:r w:rsidRPr="00DE78C9">
        <w:rPr>
          <w:sz w:val="16"/>
          <w:szCs w:val="16"/>
        </w:rPr>
        <w:t>© Commonwealth of Australia 202</w:t>
      </w:r>
      <w:r w:rsidR="0088084A">
        <w:rPr>
          <w:sz w:val="16"/>
          <w:szCs w:val="16"/>
        </w:rPr>
        <w:t>5</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E78C9">
          <w:rPr>
            <w:rStyle w:val="Hyperlink"/>
            <w:sz w:val="16"/>
            <w:szCs w:val="16"/>
          </w:rPr>
          <w:t>tga.copyright@tga.gov.au</w:t>
        </w:r>
      </w:hyperlink>
      <w:r w:rsidRPr="00DE78C9">
        <w:rPr>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sz w:val="20"/>
        </w:rPr>
      </w:sdtEndPr>
      <w:sdtContent>
        <w:p w14:paraId="495F5FE1" w14:textId="77777777" w:rsidR="00F02AEC" w:rsidRPr="00215D48" w:rsidRDefault="00F02AEC" w:rsidP="00967490">
          <w:pPr>
            <w:pStyle w:val="NonTOCheading2"/>
          </w:pPr>
          <w:r w:rsidRPr="00215D48">
            <w:t>Contents</w:t>
          </w:r>
        </w:p>
        <w:p w14:paraId="2AE121B8" w14:textId="6602B1F0" w:rsidR="0088084A"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0867963" w:history="1">
            <w:r w:rsidR="0088084A" w:rsidRPr="00F93C06">
              <w:rPr>
                <w:rStyle w:val="Hyperlink"/>
                <w:noProof/>
              </w:rPr>
              <w:t>Notice of final decision to amend (or not amend) the current Poisons Standard</w:t>
            </w:r>
            <w:r w:rsidR="0088084A">
              <w:rPr>
                <w:noProof/>
                <w:webHidden/>
              </w:rPr>
              <w:tab/>
            </w:r>
            <w:r w:rsidR="0088084A">
              <w:rPr>
                <w:noProof/>
                <w:webHidden/>
              </w:rPr>
              <w:fldChar w:fldCharType="begin"/>
            </w:r>
            <w:r w:rsidR="0088084A">
              <w:rPr>
                <w:noProof/>
                <w:webHidden/>
              </w:rPr>
              <w:instrText xml:space="preserve"> PAGEREF _Toc190867963 \h </w:instrText>
            </w:r>
            <w:r w:rsidR="0088084A">
              <w:rPr>
                <w:noProof/>
                <w:webHidden/>
              </w:rPr>
            </w:r>
            <w:r w:rsidR="0088084A">
              <w:rPr>
                <w:noProof/>
                <w:webHidden/>
              </w:rPr>
              <w:fldChar w:fldCharType="separate"/>
            </w:r>
            <w:r w:rsidR="0088084A">
              <w:rPr>
                <w:noProof/>
                <w:webHidden/>
              </w:rPr>
              <w:t>4</w:t>
            </w:r>
            <w:r w:rsidR="0088084A">
              <w:rPr>
                <w:noProof/>
                <w:webHidden/>
              </w:rPr>
              <w:fldChar w:fldCharType="end"/>
            </w:r>
          </w:hyperlink>
        </w:p>
        <w:p w14:paraId="19D7584D" w14:textId="1E58FC31" w:rsidR="0088084A" w:rsidRDefault="0088084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867964" w:history="1">
            <w:r w:rsidRPr="00F93C06">
              <w:rPr>
                <w:rStyle w:val="Hyperlink"/>
                <w:noProof/>
              </w:rPr>
              <w:t>Final decision on a proposed amendment referred to the Advisory Committees on Medicines and Chemicals Scheduling in joint session (Joint ACMS-ACCS #32, November 2022)</w:t>
            </w:r>
            <w:r>
              <w:rPr>
                <w:noProof/>
                <w:webHidden/>
              </w:rPr>
              <w:tab/>
            </w:r>
            <w:r>
              <w:rPr>
                <w:noProof/>
                <w:webHidden/>
              </w:rPr>
              <w:fldChar w:fldCharType="begin"/>
            </w:r>
            <w:r>
              <w:rPr>
                <w:noProof/>
                <w:webHidden/>
              </w:rPr>
              <w:instrText xml:space="preserve"> PAGEREF _Toc190867964 \h </w:instrText>
            </w:r>
            <w:r>
              <w:rPr>
                <w:noProof/>
                <w:webHidden/>
              </w:rPr>
            </w:r>
            <w:r>
              <w:rPr>
                <w:noProof/>
                <w:webHidden/>
              </w:rPr>
              <w:fldChar w:fldCharType="separate"/>
            </w:r>
            <w:r>
              <w:rPr>
                <w:noProof/>
                <w:webHidden/>
              </w:rPr>
              <w:t>4</w:t>
            </w:r>
            <w:r>
              <w:rPr>
                <w:noProof/>
                <w:webHidden/>
              </w:rPr>
              <w:fldChar w:fldCharType="end"/>
            </w:r>
          </w:hyperlink>
        </w:p>
        <w:p w14:paraId="75634E3F" w14:textId="4C934DA6" w:rsidR="0088084A" w:rsidRDefault="0088084A">
          <w:pPr>
            <w:pStyle w:val="TOC2"/>
            <w:rPr>
              <w:rFonts w:asciiTheme="minorHAnsi" w:eastAsiaTheme="minorEastAsia" w:hAnsiTheme="minorHAnsi" w:cstheme="minorBidi"/>
              <w:noProof/>
              <w:color w:val="auto"/>
              <w:kern w:val="2"/>
              <w:szCs w:val="24"/>
              <w:lang w:eastAsia="en-AU"/>
              <w14:ligatures w14:val="standardContextual"/>
            </w:rPr>
          </w:pPr>
          <w:hyperlink w:anchor="_Toc190867965" w:history="1">
            <w:r w:rsidRPr="00F93C06">
              <w:rPr>
                <w:rStyle w:val="Hyperlink"/>
                <w:noProof/>
              </w:rPr>
              <w:t xml:space="preserve">Final decision in relation to </w:t>
            </w:r>
            <w:r w:rsidRPr="00F93C06">
              <w:rPr>
                <w:rStyle w:val="Hyperlink"/>
                <w:i/>
                <w:iCs/>
                <w:noProof/>
              </w:rPr>
              <w:t>Camellia sinensis</w:t>
            </w:r>
            <w:r w:rsidRPr="00F93C06">
              <w:rPr>
                <w:rStyle w:val="Hyperlink"/>
                <w:noProof/>
              </w:rPr>
              <w:t xml:space="preserve"> extract (green tea extract)</w:t>
            </w:r>
            <w:r>
              <w:rPr>
                <w:noProof/>
                <w:webHidden/>
              </w:rPr>
              <w:tab/>
            </w:r>
            <w:r>
              <w:rPr>
                <w:noProof/>
                <w:webHidden/>
              </w:rPr>
              <w:fldChar w:fldCharType="begin"/>
            </w:r>
            <w:r>
              <w:rPr>
                <w:noProof/>
                <w:webHidden/>
              </w:rPr>
              <w:instrText xml:space="preserve"> PAGEREF _Toc190867965 \h </w:instrText>
            </w:r>
            <w:r>
              <w:rPr>
                <w:noProof/>
                <w:webHidden/>
              </w:rPr>
            </w:r>
            <w:r>
              <w:rPr>
                <w:noProof/>
                <w:webHidden/>
              </w:rPr>
              <w:fldChar w:fldCharType="separate"/>
            </w:r>
            <w:r>
              <w:rPr>
                <w:noProof/>
                <w:webHidden/>
              </w:rPr>
              <w:t>4</w:t>
            </w:r>
            <w:r>
              <w:rPr>
                <w:noProof/>
                <w:webHidden/>
              </w:rPr>
              <w:fldChar w:fldCharType="end"/>
            </w:r>
          </w:hyperlink>
        </w:p>
        <w:p w14:paraId="09B05728" w14:textId="7DBDC3A4"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21A6BB79" w:rsidR="00457050" w:rsidRPr="00BC2009" w:rsidRDefault="00457050" w:rsidP="00967490">
      <w:pPr>
        <w:pStyle w:val="Heading2"/>
      </w:pPr>
      <w:bookmarkStart w:id="0" w:name="_Toc97640261"/>
      <w:bookmarkStart w:id="1" w:name="_Toc190867963"/>
      <w:r w:rsidRPr="00597B50">
        <w:lastRenderedPageBreak/>
        <w:t>Notice of final decision to amend (or not amend) the current Poisons Standard</w:t>
      </w:r>
      <w:bookmarkEnd w:id="0"/>
      <w:bookmarkEnd w:id="1"/>
      <w:r w:rsidRPr="00597B50">
        <w:t xml:space="preserve"> </w:t>
      </w:r>
    </w:p>
    <w:p w14:paraId="2FB850E1" w14:textId="7AAE8D06" w:rsidR="00457050" w:rsidRPr="00457050" w:rsidRDefault="00457050" w:rsidP="00967490">
      <w:r w:rsidRPr="00457050">
        <w:t xml:space="preserve">This web publication constitutes a notice for the purposes of </w:t>
      </w:r>
      <w:r w:rsidRPr="00AB6F8A">
        <w:t>regulation 42ZCZS</w:t>
      </w:r>
      <w:r w:rsidR="00AB6F8A" w:rsidRPr="00AB6F8A">
        <w:t xml:space="preserve"> </w:t>
      </w:r>
      <w:r w:rsidRPr="00AB6F8A">
        <w:t xml:space="preserve">of the </w:t>
      </w:r>
      <w:r w:rsidRPr="00AB6F8A">
        <w:rPr>
          <w:i/>
        </w:rPr>
        <w:t xml:space="preserve">Therapeutic Goods Regulations 1990 </w:t>
      </w:r>
      <w:r w:rsidRPr="00AB6F8A">
        <w:t xml:space="preserve">(the </w:t>
      </w:r>
      <w:r w:rsidRPr="00AB6F8A">
        <w:rPr>
          <w:b/>
        </w:rPr>
        <w:t>Regulations</w:t>
      </w:r>
      <w:r w:rsidRPr="00AB6F8A">
        <w:t>). In accordance with regulation 42ZCZS,</w:t>
      </w:r>
      <w:r w:rsidRPr="00457050">
        <w:t xml:space="preserve"> this notice publishes:</w:t>
      </w:r>
    </w:p>
    <w:p w14:paraId="4D038242" w14:textId="14B16079" w:rsidR="00457050" w:rsidRPr="00457050" w:rsidRDefault="00457050" w:rsidP="00AB6F8A">
      <w:pPr>
        <w:pStyle w:val="ListBullet"/>
      </w:pPr>
      <w:r w:rsidRPr="00457050">
        <w:t>the decision made by a delegate</w:t>
      </w:r>
      <w:r w:rsidRPr="00457050">
        <w:rPr>
          <w:rStyle w:val="FootnoteReference"/>
        </w:rPr>
        <w:footnoteReference w:id="1"/>
      </w:r>
      <w:r w:rsidRPr="00457050">
        <w:t xml:space="preserve"> of the Secretary of the Department of Health and Aged Care (the </w:t>
      </w:r>
      <w:r w:rsidRPr="00457050">
        <w:rPr>
          <w:b/>
          <w:bCs/>
        </w:rPr>
        <w:t>Delegate</w:t>
      </w:r>
      <w:r w:rsidRPr="00457050">
        <w:t>) pursuant to regulation 42ZCZR</w:t>
      </w:r>
    </w:p>
    <w:p w14:paraId="1AA8F280" w14:textId="526B9285" w:rsidR="00457050" w:rsidRPr="00AB6F8A" w:rsidRDefault="00457050" w:rsidP="00AB6F8A">
      <w:pPr>
        <w:pStyle w:val="ListBullet"/>
      </w:pPr>
      <w:r w:rsidRPr="00457050">
        <w:t xml:space="preserve">the </w:t>
      </w:r>
      <w:r w:rsidRPr="00AB6F8A">
        <w:t xml:space="preserve">reasons for the final decision and </w:t>
      </w:r>
    </w:p>
    <w:p w14:paraId="5E6BC7C7" w14:textId="1BC1D2B9" w:rsidR="00457050" w:rsidRPr="00AB6F8A" w:rsidRDefault="00457050" w:rsidP="00AB6F8A">
      <w:pPr>
        <w:pStyle w:val="ListBullet"/>
      </w:pPr>
      <w:r w:rsidRPr="00AB6F8A">
        <w:t>the date of effect of the decision.</w:t>
      </w:r>
    </w:p>
    <w:p w14:paraId="67DC0EBB" w14:textId="6242BB51" w:rsidR="00457050" w:rsidRPr="00AB6F8A" w:rsidRDefault="00831B56" w:rsidP="00AB6F8A">
      <w:pPr>
        <w:rPr>
          <w:b/>
          <w:bCs/>
          <w:i/>
          <w:iCs/>
        </w:rPr>
      </w:pPr>
      <w:r w:rsidRPr="00AB6F8A">
        <w:rPr>
          <w:b/>
          <w:bCs/>
          <w:i/>
          <w:iCs/>
        </w:rPr>
        <w:t>Defined terms</w:t>
      </w:r>
    </w:p>
    <w:p w14:paraId="3518FC9A" w14:textId="39B18FB7" w:rsidR="00831B56" w:rsidRDefault="00831B56" w:rsidP="00AB6F8A">
      <w:r>
        <w:t>In this notice the following defined terms are used in addition to those above:</w:t>
      </w:r>
    </w:p>
    <w:p w14:paraId="6BE33439" w14:textId="29031A03" w:rsidR="00831B56" w:rsidRDefault="00831B56" w:rsidP="00AB6F8A">
      <w:pPr>
        <w:pStyle w:val="ListBullet"/>
      </w:pPr>
      <w:r>
        <w:t xml:space="preserve">the </w:t>
      </w:r>
      <w:r w:rsidRPr="00AA12EC">
        <w:t>Therapeutic Goods Act 1989</w:t>
      </w:r>
      <w:r>
        <w:t xml:space="preserve"> (</w:t>
      </w:r>
      <w:proofErr w:type="spellStart"/>
      <w:r>
        <w:t>Cth</w:t>
      </w:r>
      <w:proofErr w:type="spellEnd"/>
      <w:r>
        <w:t xml:space="preserve">) (the </w:t>
      </w:r>
      <w:r w:rsidRPr="00831B56">
        <w:rPr>
          <w:b/>
          <w:bCs/>
        </w:rPr>
        <w:t>Act</w:t>
      </w:r>
      <w:r>
        <w:t>)</w:t>
      </w:r>
    </w:p>
    <w:p w14:paraId="6550B5E6" w14:textId="5EBA37FF" w:rsidR="00831B56" w:rsidRDefault="00831B56" w:rsidP="00AB6F8A">
      <w:pPr>
        <w:pStyle w:val="ListBullet"/>
      </w:pPr>
      <w:r>
        <w:t xml:space="preserve">the </w:t>
      </w:r>
      <w:hyperlink r:id="rId12" w:history="1">
        <w:r w:rsidRPr="00AB6F8A">
          <w:rPr>
            <w:rStyle w:val="Hyperlink"/>
            <w:rFonts w:cs="Arial"/>
          </w:rPr>
          <w:t>Scheduling Policy Framework</w:t>
        </w:r>
      </w:hyperlink>
      <w:r>
        <w:t xml:space="preserve"> 2018 (the </w:t>
      </w:r>
      <w:r w:rsidRPr="00831B56">
        <w:rPr>
          <w:b/>
          <w:bCs/>
        </w:rPr>
        <w:t>SPF</w:t>
      </w:r>
      <w:r>
        <w:t>)</w:t>
      </w:r>
    </w:p>
    <w:p w14:paraId="4CDC567B" w14:textId="46FFCF22" w:rsidR="00831B56" w:rsidRDefault="00831B56" w:rsidP="00AB6F8A">
      <w:pPr>
        <w:pStyle w:val="ListBullet"/>
      </w:pPr>
      <w:r>
        <w:t>the Scheduling handbook</w:t>
      </w:r>
      <w:r w:rsidR="00FC1EB4">
        <w:t>,</w:t>
      </w:r>
      <w:r>
        <w:t xml:space="preserve"> </w:t>
      </w:r>
      <w:hyperlink r:id="rId13" w:history="1">
        <w:r w:rsidRPr="00AB6F8A">
          <w:rPr>
            <w:rStyle w:val="Hyperlink"/>
            <w:rFonts w:cs="Arial"/>
          </w:rPr>
          <w:t>Guidance for amending the Poisons Standard</w:t>
        </w:r>
      </w:hyperlink>
      <w:r w:rsidRPr="00AB6F8A">
        <w:t xml:space="preserve"> </w:t>
      </w:r>
      <w:r>
        <w:t xml:space="preserve">(the </w:t>
      </w:r>
      <w:r w:rsidRPr="00831B56">
        <w:rPr>
          <w:b/>
          <w:bCs/>
        </w:rPr>
        <w:t>Handbook</w:t>
      </w:r>
      <w:r>
        <w:t>) and</w:t>
      </w:r>
    </w:p>
    <w:p w14:paraId="78D91CCD" w14:textId="3DC73865" w:rsidR="00831B56" w:rsidRDefault="00831B56" w:rsidP="00AB6F8A">
      <w:pPr>
        <w:pStyle w:val="ListBullet"/>
      </w:pPr>
      <w:r>
        <w:t xml:space="preserve">the Therapeutic Goods Administration (the </w:t>
      </w:r>
      <w:r w:rsidRPr="00831B56">
        <w:rPr>
          <w:b/>
          <w:bCs/>
        </w:rPr>
        <w:t>TGA</w:t>
      </w:r>
      <w:r>
        <w:t>).</w:t>
      </w:r>
    </w:p>
    <w:p w14:paraId="1ECB50B6" w14:textId="5A17E978" w:rsidR="00831B56" w:rsidRPr="00831B56" w:rsidRDefault="00831B56" w:rsidP="00AB6F8A">
      <w:r w:rsidRPr="00831B56">
        <w:t>Note: additional terms are also defined for individual decisions.</w:t>
      </w:r>
    </w:p>
    <w:p w14:paraId="3952C828" w14:textId="1472C509" w:rsidR="00457050" w:rsidRPr="00F41DCE" w:rsidRDefault="00457050" w:rsidP="00967490">
      <w:pPr>
        <w:pStyle w:val="Heading2"/>
      </w:pPr>
      <w:bookmarkStart w:id="2" w:name="_Toc97640265"/>
      <w:bookmarkStart w:id="3" w:name="_Toc190867964"/>
      <w:r>
        <w:t>Final</w:t>
      </w:r>
      <w:r w:rsidRPr="00FA029A">
        <w:t xml:space="preserve"> decision on </w:t>
      </w:r>
      <w:r w:rsidR="00741785">
        <w:t xml:space="preserve">a </w:t>
      </w:r>
      <w:r w:rsidRPr="00FA029A">
        <w:t xml:space="preserve">proposed amendment referred to the </w:t>
      </w:r>
      <w:r w:rsidRPr="00F41DCE">
        <w:t>Advisory Committee</w:t>
      </w:r>
      <w:r w:rsidR="00741785">
        <w:t>s</w:t>
      </w:r>
      <w:r w:rsidRPr="00F41DCE">
        <w:t xml:space="preserve"> on Medicines and Chemicals Scheduling in jo</w:t>
      </w:r>
      <w:r>
        <w:t>int session (Joint ACMS-ACCS #</w:t>
      </w:r>
      <w:r w:rsidR="00317806">
        <w:t>32</w:t>
      </w:r>
      <w:r>
        <w:t xml:space="preserve">, </w:t>
      </w:r>
      <w:r w:rsidR="00317806">
        <w:t>November</w:t>
      </w:r>
      <w:r>
        <w:t xml:space="preserve"> 20</w:t>
      </w:r>
      <w:r w:rsidR="00317806">
        <w:t>22</w:t>
      </w:r>
      <w:r w:rsidRPr="00F41DCE">
        <w:t>)</w:t>
      </w:r>
      <w:bookmarkEnd w:id="2"/>
      <w:bookmarkEnd w:id="3"/>
    </w:p>
    <w:p w14:paraId="37D57355" w14:textId="43F9D53B" w:rsidR="00457050" w:rsidRDefault="00457050" w:rsidP="00300CBB">
      <w:pPr>
        <w:pStyle w:val="Heading3"/>
      </w:pPr>
      <w:bookmarkStart w:id="4" w:name="_Toc190867965"/>
      <w:r>
        <w:t xml:space="preserve">Final decision in relation to </w:t>
      </w:r>
      <w:r w:rsidR="00317806" w:rsidRPr="00317806">
        <w:rPr>
          <w:i/>
          <w:iCs/>
        </w:rPr>
        <w:t>Camellia sinensis</w:t>
      </w:r>
      <w:r w:rsidR="00317806">
        <w:t xml:space="preserve"> extract (green tea</w:t>
      </w:r>
      <w:r w:rsidR="004E6B20">
        <w:t xml:space="preserve"> </w:t>
      </w:r>
      <w:r w:rsidR="004E6B20" w:rsidRPr="00140BC3">
        <w:t>extract</w:t>
      </w:r>
      <w:r w:rsidR="00317806">
        <w:t>)</w:t>
      </w:r>
      <w:bookmarkEnd w:id="4"/>
    </w:p>
    <w:p w14:paraId="12B664B0" w14:textId="77777777" w:rsidR="00457050" w:rsidRPr="00BB34CD" w:rsidRDefault="00457050" w:rsidP="00BB34CD">
      <w:pPr>
        <w:rPr>
          <w:b/>
          <w:bCs/>
          <w:i/>
          <w:iCs/>
        </w:rPr>
      </w:pPr>
      <w:r w:rsidRPr="00BB34CD">
        <w:rPr>
          <w:b/>
          <w:bCs/>
          <w:i/>
          <w:iCs/>
        </w:rPr>
        <w:t>Proposal</w:t>
      </w:r>
    </w:p>
    <w:p w14:paraId="7A41817C" w14:textId="4443CD3B" w:rsidR="00457050" w:rsidRPr="00E951D8" w:rsidRDefault="00317806" w:rsidP="00BB34CD">
      <w:pPr>
        <w:rPr>
          <w:b/>
          <w:bCs/>
          <w:i/>
        </w:rPr>
      </w:pPr>
      <w:r>
        <w:t xml:space="preserve">The </w:t>
      </w:r>
      <w:r w:rsidR="00EC20D5">
        <w:t xml:space="preserve">Delegate received a proposal to create a </w:t>
      </w:r>
      <w:r>
        <w:t xml:space="preserve">Schedule 2 entry for </w:t>
      </w:r>
      <w:r w:rsidR="0066118B" w:rsidRPr="0066118B">
        <w:rPr>
          <w:i/>
          <w:iCs/>
        </w:rPr>
        <w:t>Camellia sinensis</w:t>
      </w:r>
      <w:r w:rsidR="004E6B20">
        <w:rPr>
          <w:i/>
          <w:iCs/>
        </w:rPr>
        <w:t xml:space="preserve"> </w:t>
      </w:r>
      <w:r w:rsidR="004E6B20">
        <w:t>extract</w:t>
      </w:r>
      <w:r w:rsidR="000E0FCB">
        <w:t xml:space="preserve"> (green tea extract)</w:t>
      </w:r>
      <w:r>
        <w:t xml:space="preserve"> in the Poisons Standard in preparations for internal use, unless they are labelled with specific warning statements</w:t>
      </w:r>
      <w:r w:rsidR="00457050">
        <w:t xml:space="preserve"> (the </w:t>
      </w:r>
      <w:r w:rsidR="00457050" w:rsidRPr="004E2EBC">
        <w:t>Proposal</w:t>
      </w:r>
      <w:r w:rsidR="00457050">
        <w:t>).</w:t>
      </w:r>
      <w:r>
        <w:t xml:space="preserve"> </w:t>
      </w:r>
      <w:r w:rsidR="00741785">
        <w:t xml:space="preserve">Under the proposal </w:t>
      </w:r>
      <w:r w:rsidR="000E0FCB">
        <w:t>preparations containing green tea extract</w:t>
      </w:r>
      <w:r w:rsidR="00741785">
        <w:t xml:space="preserve"> not carrying the specific warnings would be removed from general sale. </w:t>
      </w:r>
    </w:p>
    <w:p w14:paraId="14928BB6" w14:textId="5E0C1B37" w:rsidR="0066118B" w:rsidRDefault="0066118B" w:rsidP="00BB34CD">
      <w:pPr>
        <w:rPr>
          <w:b/>
          <w:bCs/>
          <w:i/>
          <w:iCs/>
        </w:rPr>
      </w:pPr>
      <w:r>
        <w:rPr>
          <w:b/>
          <w:bCs/>
          <w:i/>
          <w:iCs/>
        </w:rPr>
        <w:t>Interim decision</w:t>
      </w:r>
    </w:p>
    <w:p w14:paraId="03AF29ED" w14:textId="40542D87" w:rsidR="0066118B" w:rsidRPr="0066118B" w:rsidRDefault="0066118B" w:rsidP="00BB34CD">
      <w:r>
        <w:t>The Delegate</w:t>
      </w:r>
      <w:r w:rsidR="00EC20D5">
        <w:t xml:space="preserve"> made an</w:t>
      </w:r>
      <w:r>
        <w:t xml:space="preserve"> interim decision to not amend the Poisons Standard in relation to </w:t>
      </w:r>
      <w:r w:rsidRPr="007821F9">
        <w:rPr>
          <w:i/>
          <w:iCs/>
        </w:rPr>
        <w:t>Camellia sinensis</w:t>
      </w:r>
      <w:r>
        <w:t xml:space="preserve"> </w:t>
      </w:r>
      <w:r w:rsidR="00741785">
        <w:t xml:space="preserve">extract </w:t>
      </w:r>
      <w:r w:rsidR="00EC20D5">
        <w:t xml:space="preserve">which </w:t>
      </w:r>
      <w:r>
        <w:t xml:space="preserve">was published on 3 February 2023. Public consultation on the interim decision was </w:t>
      </w:r>
      <w:r w:rsidR="00377767">
        <w:t>undertaken during 3 February to 3 March 2023</w:t>
      </w:r>
      <w:r>
        <w:t xml:space="preserve">. Following discussion with internal and external stakeholders, an additional public consultation regarding the scheduling of </w:t>
      </w:r>
      <w:r w:rsidRPr="007821F9">
        <w:rPr>
          <w:i/>
          <w:iCs/>
        </w:rPr>
        <w:t>Camellia sinensis</w:t>
      </w:r>
      <w:r>
        <w:t xml:space="preserve"> </w:t>
      </w:r>
      <w:r w:rsidR="00741785">
        <w:t xml:space="preserve">extract </w:t>
      </w:r>
      <w:r>
        <w:t>was conducted from 1</w:t>
      </w:r>
      <w:r w:rsidR="00F20A9A">
        <w:t> </w:t>
      </w:r>
      <w:r>
        <w:t>March 2024 to 12 April 2024.</w:t>
      </w:r>
    </w:p>
    <w:p w14:paraId="3E11722D" w14:textId="5E0413BE" w:rsidR="00457050" w:rsidRPr="00BB34CD" w:rsidRDefault="00457050" w:rsidP="0088084A">
      <w:pPr>
        <w:pageBreakBefore/>
        <w:rPr>
          <w:b/>
          <w:bCs/>
          <w:i/>
          <w:iCs/>
        </w:rPr>
      </w:pPr>
      <w:r w:rsidRPr="00BB34CD">
        <w:rPr>
          <w:b/>
          <w:bCs/>
          <w:i/>
          <w:iCs/>
        </w:rPr>
        <w:lastRenderedPageBreak/>
        <w:t xml:space="preserve">Final decision </w:t>
      </w:r>
    </w:p>
    <w:p w14:paraId="3E55F334" w14:textId="7825374F" w:rsidR="00457050" w:rsidRDefault="00457050" w:rsidP="00967490">
      <w:r>
        <w:t xml:space="preserve">Pursuant to regulation 42ZCZR of the Regulations, the Delegate has made a final decision to </w:t>
      </w:r>
      <w:r w:rsidR="00317806">
        <w:t xml:space="preserve">set aside </w:t>
      </w:r>
      <w:r w:rsidRPr="005203C8">
        <w:t xml:space="preserve">the interim </w:t>
      </w:r>
      <w:r w:rsidRPr="00317806">
        <w:t xml:space="preserve">decision and amend the current Poisons Standard in relation to </w:t>
      </w:r>
      <w:r w:rsidR="00317806" w:rsidRPr="00317806">
        <w:rPr>
          <w:i/>
          <w:iCs/>
        </w:rPr>
        <w:t>Camellia sinensis</w:t>
      </w:r>
      <w:r w:rsidR="00317806" w:rsidRPr="00317806">
        <w:t xml:space="preserve"> extract </w:t>
      </w:r>
      <w:r w:rsidRPr="00317806">
        <w:t>as follows:</w:t>
      </w:r>
    </w:p>
    <w:p w14:paraId="64DF6E2F" w14:textId="77777777" w:rsidR="007A74F6" w:rsidRPr="007A74F6" w:rsidRDefault="007A74F6" w:rsidP="007A74F6">
      <w:pPr>
        <w:ind w:left="284"/>
        <w:rPr>
          <w:b/>
          <w:bCs/>
        </w:rPr>
      </w:pPr>
      <w:r w:rsidRPr="007A74F6">
        <w:rPr>
          <w:b/>
          <w:bCs/>
        </w:rPr>
        <w:t>Schedule 5 – New entry</w:t>
      </w:r>
    </w:p>
    <w:p w14:paraId="6A92FF53" w14:textId="394DF883" w:rsidR="007A74F6" w:rsidRPr="001F6DBF" w:rsidRDefault="007A74F6" w:rsidP="007A74F6">
      <w:pPr>
        <w:ind w:left="567"/>
      </w:pPr>
      <w:r w:rsidRPr="001F6DBF">
        <w:rPr>
          <w:color w:val="00B050"/>
        </w:rPr>
        <w:t xml:space="preserve">CAMELLIA SINENSIS </w:t>
      </w:r>
      <w:r w:rsidR="0037211E" w:rsidRPr="00140BC3">
        <w:rPr>
          <w:color w:val="00B050"/>
        </w:rPr>
        <w:t>EXTRACT</w:t>
      </w:r>
      <w:r w:rsidR="000311BC" w:rsidRPr="00140BC3">
        <w:rPr>
          <w:color w:val="00B050"/>
        </w:rPr>
        <w:t xml:space="preserve"> </w:t>
      </w:r>
      <w:r w:rsidR="007C2E31" w:rsidRPr="00140BC3">
        <w:rPr>
          <w:color w:val="00B050"/>
        </w:rPr>
        <w:t xml:space="preserve">(GREEN TEA EXTRACT) </w:t>
      </w:r>
      <w:r w:rsidR="00DA5743" w:rsidRPr="00140BC3">
        <w:rPr>
          <w:color w:val="00B050"/>
        </w:rPr>
        <w:t xml:space="preserve">for oral use </w:t>
      </w:r>
      <w:r w:rsidRPr="00140BC3">
        <w:rPr>
          <w:b/>
          <w:bCs/>
          <w:color w:val="00B050"/>
        </w:rPr>
        <w:t>except</w:t>
      </w:r>
      <w:r w:rsidRPr="001F6DBF">
        <w:rPr>
          <w:color w:val="00B050"/>
        </w:rPr>
        <w:t>:</w:t>
      </w:r>
    </w:p>
    <w:p w14:paraId="245A15D4" w14:textId="6CCA7C85" w:rsidR="007A74F6" w:rsidRPr="00130DB2" w:rsidRDefault="000311BC" w:rsidP="00130DB2">
      <w:pPr>
        <w:pStyle w:val="ListParagraph"/>
        <w:numPr>
          <w:ilvl w:val="0"/>
          <w:numId w:val="16"/>
        </w:numPr>
        <w:ind w:left="1276" w:hanging="567"/>
        <w:rPr>
          <w:color w:val="00B050"/>
        </w:rPr>
      </w:pPr>
      <w:r w:rsidRPr="00130DB2">
        <w:rPr>
          <w:color w:val="00B050"/>
        </w:rPr>
        <w:t>in preparations for human therapeutic use when compliant with the required advisory statements for medicine labels</w:t>
      </w:r>
      <w:r w:rsidR="007A74F6" w:rsidRPr="00130DB2">
        <w:rPr>
          <w:color w:val="00B050"/>
        </w:rPr>
        <w:t>, or</w:t>
      </w:r>
    </w:p>
    <w:p w14:paraId="2F043777" w14:textId="5588445B" w:rsidR="007A74F6" w:rsidRPr="00130DB2" w:rsidRDefault="007A74F6" w:rsidP="00130DB2">
      <w:pPr>
        <w:pStyle w:val="ListParagraph"/>
        <w:numPr>
          <w:ilvl w:val="0"/>
          <w:numId w:val="16"/>
        </w:numPr>
        <w:ind w:left="1276" w:hanging="567"/>
        <w:rPr>
          <w:color w:val="00B050"/>
        </w:rPr>
      </w:pPr>
      <w:r w:rsidRPr="00130DB2">
        <w:rPr>
          <w:color w:val="00B050"/>
        </w:rPr>
        <w:t xml:space="preserve">in preparations containing 300 mg </w:t>
      </w:r>
      <w:r w:rsidR="00536413" w:rsidRPr="00130DB2">
        <w:rPr>
          <w:color w:val="00B050"/>
        </w:rPr>
        <w:t xml:space="preserve">or less </w:t>
      </w:r>
      <w:r w:rsidRPr="00130DB2">
        <w:rPr>
          <w:color w:val="00B050"/>
        </w:rPr>
        <w:t>of epigallocatechin-3-gallate per maximum recommended daily dose.</w:t>
      </w:r>
    </w:p>
    <w:p w14:paraId="51995FA1" w14:textId="37017DDD" w:rsidR="005C33E3" w:rsidRDefault="005C33E3" w:rsidP="005C33E3">
      <w:pPr>
        <w:ind w:left="284"/>
        <w:rPr>
          <w:b/>
          <w:bCs/>
        </w:rPr>
      </w:pPr>
      <w:r w:rsidRPr="005C33E3">
        <w:rPr>
          <w:b/>
          <w:bCs/>
        </w:rPr>
        <w:t xml:space="preserve">Appendix </w:t>
      </w:r>
      <w:r>
        <w:rPr>
          <w:b/>
          <w:bCs/>
        </w:rPr>
        <w:t xml:space="preserve">F, </w:t>
      </w:r>
      <w:r w:rsidR="00A14C3C">
        <w:rPr>
          <w:b/>
          <w:bCs/>
        </w:rPr>
        <w:t>Clause</w:t>
      </w:r>
      <w:r>
        <w:rPr>
          <w:b/>
          <w:bCs/>
        </w:rPr>
        <w:t xml:space="preserve"> 1</w:t>
      </w:r>
      <w:r w:rsidRPr="005C33E3">
        <w:rPr>
          <w:b/>
          <w:bCs/>
        </w:rPr>
        <w:t xml:space="preserve"> – New entr</w:t>
      </w:r>
      <w:r>
        <w:rPr>
          <w:b/>
          <w:bCs/>
        </w:rPr>
        <w:t>ies</w:t>
      </w:r>
    </w:p>
    <w:p w14:paraId="01120AFA" w14:textId="03AD5D29" w:rsidR="005C33E3" w:rsidRPr="001F6DBF" w:rsidRDefault="005C33E3" w:rsidP="005C33E3">
      <w:pPr>
        <w:ind w:left="567"/>
        <w:rPr>
          <w:color w:val="00B050"/>
        </w:rPr>
      </w:pPr>
      <w:r w:rsidRPr="001F6DBF">
        <w:rPr>
          <w:color w:val="00B050"/>
        </w:rPr>
        <w:t>113 – Stop use and see a doctor if you have yellowing skin</w:t>
      </w:r>
      <w:r w:rsidR="00BA7EBA" w:rsidRPr="001F6DBF">
        <w:rPr>
          <w:color w:val="00B050"/>
        </w:rPr>
        <w:t xml:space="preserve"> or </w:t>
      </w:r>
      <w:r w:rsidRPr="001F6DBF">
        <w:rPr>
          <w:color w:val="00B050"/>
        </w:rPr>
        <w:t>eyes, unusual fatigue, nausea, appetite loss, abdominal pain, dark urine, or itching.</w:t>
      </w:r>
    </w:p>
    <w:p w14:paraId="64A725C4" w14:textId="662E3E32" w:rsidR="005C33E3" w:rsidRPr="001F6DBF" w:rsidRDefault="005C33E3" w:rsidP="005C33E3">
      <w:pPr>
        <w:ind w:left="567"/>
        <w:rPr>
          <w:color w:val="00B050"/>
        </w:rPr>
      </w:pPr>
      <w:r w:rsidRPr="001F6DBF">
        <w:rPr>
          <w:color w:val="00B050"/>
        </w:rPr>
        <w:t>114 – To be taken with food.</w:t>
      </w:r>
    </w:p>
    <w:p w14:paraId="5787D723" w14:textId="597C1D6B" w:rsidR="00A14C3C" w:rsidRDefault="00A14C3C" w:rsidP="00A14C3C">
      <w:pPr>
        <w:ind w:left="284"/>
        <w:rPr>
          <w:b/>
          <w:bCs/>
        </w:rPr>
      </w:pPr>
      <w:r w:rsidRPr="00A14C3C">
        <w:rPr>
          <w:b/>
          <w:bCs/>
        </w:rPr>
        <w:t>Appendix F, Clause 4 – New entry</w:t>
      </w:r>
    </w:p>
    <w:tbl>
      <w:tblPr>
        <w:tblStyle w:val="TableTGAblue2023"/>
        <w:tblW w:w="9060" w:type="dxa"/>
        <w:tblInd w:w="279" w:type="dxa"/>
        <w:tblLook w:val="04A0" w:firstRow="1" w:lastRow="0" w:firstColumn="1" w:lastColumn="0" w:noHBand="0" w:noVBand="1"/>
      </w:tblPr>
      <w:tblGrid>
        <w:gridCol w:w="850"/>
        <w:gridCol w:w="3680"/>
        <w:gridCol w:w="2265"/>
        <w:gridCol w:w="2265"/>
      </w:tblGrid>
      <w:tr w:rsidR="00A14C3C" w:rsidRPr="00A14C3C" w14:paraId="696DEDDD" w14:textId="77777777" w:rsidTr="00A14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2958D2EA" w14:textId="78F063C1" w:rsidR="00A14C3C" w:rsidRPr="008F116B" w:rsidRDefault="00A14C3C" w:rsidP="00A14C3C">
            <w:pPr>
              <w:rPr>
                <w:b w:val="0"/>
                <w:bCs/>
                <w:color w:val="auto"/>
                <w:sz w:val="20"/>
                <w:szCs w:val="20"/>
              </w:rPr>
            </w:pPr>
            <w:r w:rsidRPr="008F116B">
              <w:rPr>
                <w:b w:val="0"/>
                <w:bCs/>
                <w:color w:val="auto"/>
                <w:sz w:val="20"/>
                <w:szCs w:val="20"/>
              </w:rPr>
              <w:t>Item</w:t>
            </w:r>
          </w:p>
        </w:tc>
        <w:tc>
          <w:tcPr>
            <w:tcW w:w="3680" w:type="dxa"/>
          </w:tcPr>
          <w:p w14:paraId="4FA03598" w14:textId="098B862B" w:rsidR="00A14C3C" w:rsidRPr="008F116B" w:rsidRDefault="00A14C3C" w:rsidP="00A14C3C">
            <w:pPr>
              <w:cnfStyle w:val="100000000000" w:firstRow="1" w:lastRow="0" w:firstColumn="0" w:lastColumn="0" w:oddVBand="0" w:evenVBand="0" w:oddHBand="0" w:evenHBand="0" w:firstRowFirstColumn="0" w:firstRowLastColumn="0" w:lastRowFirstColumn="0" w:lastRowLastColumn="0"/>
              <w:rPr>
                <w:b w:val="0"/>
                <w:bCs/>
                <w:color w:val="auto"/>
                <w:sz w:val="20"/>
                <w:szCs w:val="20"/>
              </w:rPr>
            </w:pPr>
            <w:r w:rsidRPr="008F116B">
              <w:rPr>
                <w:b w:val="0"/>
                <w:bCs/>
                <w:color w:val="auto"/>
                <w:sz w:val="20"/>
                <w:szCs w:val="20"/>
              </w:rPr>
              <w:t>Poison</w:t>
            </w:r>
          </w:p>
        </w:tc>
        <w:tc>
          <w:tcPr>
            <w:tcW w:w="2265" w:type="dxa"/>
          </w:tcPr>
          <w:p w14:paraId="5034F936" w14:textId="54904B37" w:rsidR="00A14C3C" w:rsidRPr="008F116B" w:rsidRDefault="00A14C3C" w:rsidP="00A14C3C">
            <w:pPr>
              <w:cnfStyle w:val="100000000000" w:firstRow="1" w:lastRow="0" w:firstColumn="0" w:lastColumn="0" w:oddVBand="0" w:evenVBand="0" w:oddHBand="0" w:evenHBand="0" w:firstRowFirstColumn="0" w:firstRowLastColumn="0" w:lastRowFirstColumn="0" w:lastRowLastColumn="0"/>
              <w:rPr>
                <w:b w:val="0"/>
                <w:bCs/>
                <w:color w:val="auto"/>
                <w:sz w:val="20"/>
                <w:szCs w:val="20"/>
              </w:rPr>
            </w:pPr>
            <w:r w:rsidRPr="008F116B">
              <w:rPr>
                <w:b w:val="0"/>
                <w:bCs/>
                <w:color w:val="auto"/>
                <w:sz w:val="20"/>
                <w:szCs w:val="20"/>
              </w:rPr>
              <w:t>Warning statement item number</w:t>
            </w:r>
          </w:p>
        </w:tc>
        <w:tc>
          <w:tcPr>
            <w:tcW w:w="2265" w:type="dxa"/>
          </w:tcPr>
          <w:p w14:paraId="1B496329" w14:textId="250995AD" w:rsidR="00A14C3C" w:rsidRPr="008F116B" w:rsidRDefault="00A14C3C" w:rsidP="00A14C3C">
            <w:pPr>
              <w:cnfStyle w:val="100000000000" w:firstRow="1" w:lastRow="0" w:firstColumn="0" w:lastColumn="0" w:oddVBand="0" w:evenVBand="0" w:oddHBand="0" w:evenHBand="0" w:firstRowFirstColumn="0" w:firstRowLastColumn="0" w:lastRowFirstColumn="0" w:lastRowLastColumn="0"/>
              <w:rPr>
                <w:b w:val="0"/>
                <w:bCs/>
                <w:color w:val="auto"/>
                <w:sz w:val="20"/>
                <w:szCs w:val="20"/>
              </w:rPr>
            </w:pPr>
            <w:r w:rsidRPr="008F116B">
              <w:rPr>
                <w:b w:val="0"/>
                <w:bCs/>
                <w:color w:val="auto"/>
                <w:sz w:val="20"/>
                <w:szCs w:val="20"/>
              </w:rPr>
              <w:t>Safety direction item number</w:t>
            </w:r>
          </w:p>
        </w:tc>
      </w:tr>
      <w:tr w:rsidR="00A14C3C" w:rsidRPr="00140BC3" w14:paraId="487512E0" w14:textId="77777777" w:rsidTr="00A14C3C">
        <w:tc>
          <w:tcPr>
            <w:cnfStyle w:val="001000000000" w:firstRow="0" w:lastRow="0" w:firstColumn="1" w:lastColumn="0" w:oddVBand="0" w:evenVBand="0" w:oddHBand="0" w:evenHBand="0" w:firstRowFirstColumn="0" w:firstRowLastColumn="0" w:lastRowFirstColumn="0" w:lastRowLastColumn="0"/>
            <w:tcW w:w="850" w:type="dxa"/>
          </w:tcPr>
          <w:p w14:paraId="394B2C8C" w14:textId="1104807D" w:rsidR="00A14C3C" w:rsidRPr="00140BC3" w:rsidRDefault="00A14C3C" w:rsidP="00A14C3C">
            <w:pPr>
              <w:rPr>
                <w:color w:val="00B050"/>
                <w:sz w:val="20"/>
                <w:szCs w:val="20"/>
              </w:rPr>
            </w:pPr>
            <w:r w:rsidRPr="00140BC3">
              <w:rPr>
                <w:color w:val="00B050"/>
                <w:sz w:val="20"/>
                <w:szCs w:val="20"/>
              </w:rPr>
              <w:t>57a</w:t>
            </w:r>
          </w:p>
        </w:tc>
        <w:tc>
          <w:tcPr>
            <w:tcW w:w="3680" w:type="dxa"/>
          </w:tcPr>
          <w:p w14:paraId="13F8DAF7" w14:textId="6EAB39DF" w:rsidR="00A14C3C" w:rsidRPr="00140BC3" w:rsidRDefault="00A14C3C" w:rsidP="00A14C3C">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140BC3">
              <w:rPr>
                <w:color w:val="00B050"/>
                <w:sz w:val="20"/>
                <w:szCs w:val="20"/>
              </w:rPr>
              <w:t>CAMELLIA SINENSIS</w:t>
            </w:r>
            <w:r w:rsidR="000251DF" w:rsidRPr="00140BC3">
              <w:rPr>
                <w:color w:val="00B050"/>
                <w:sz w:val="20"/>
                <w:szCs w:val="20"/>
              </w:rPr>
              <w:t xml:space="preserve"> </w:t>
            </w:r>
            <w:r w:rsidR="0037211E" w:rsidRPr="00140BC3">
              <w:rPr>
                <w:color w:val="00B050"/>
                <w:sz w:val="20"/>
                <w:szCs w:val="20"/>
              </w:rPr>
              <w:t>EXTRACT</w:t>
            </w:r>
            <w:r w:rsidR="007C2E31" w:rsidRPr="00140BC3">
              <w:rPr>
                <w:color w:val="00B050"/>
                <w:sz w:val="20"/>
                <w:szCs w:val="20"/>
              </w:rPr>
              <w:t xml:space="preserve"> (GREEN TEA EXTRACT)</w:t>
            </w:r>
          </w:p>
        </w:tc>
        <w:tc>
          <w:tcPr>
            <w:tcW w:w="2265" w:type="dxa"/>
          </w:tcPr>
          <w:p w14:paraId="4CF502FB" w14:textId="1CE97AEE" w:rsidR="00A14C3C" w:rsidRPr="00140BC3" w:rsidRDefault="00A14C3C" w:rsidP="00A14C3C">
            <w:pPr>
              <w:cnfStyle w:val="000000000000" w:firstRow="0" w:lastRow="0" w:firstColumn="0" w:lastColumn="0" w:oddVBand="0" w:evenVBand="0" w:oddHBand="0" w:evenHBand="0" w:firstRowFirstColumn="0" w:firstRowLastColumn="0" w:lastRowFirstColumn="0" w:lastRowLastColumn="0"/>
              <w:rPr>
                <w:color w:val="00B050"/>
                <w:sz w:val="20"/>
                <w:szCs w:val="20"/>
              </w:rPr>
            </w:pPr>
            <w:r w:rsidRPr="00140BC3">
              <w:rPr>
                <w:color w:val="00B050"/>
                <w:sz w:val="20"/>
                <w:szCs w:val="20"/>
              </w:rPr>
              <w:t>113, 114</w:t>
            </w:r>
          </w:p>
        </w:tc>
        <w:tc>
          <w:tcPr>
            <w:tcW w:w="2265" w:type="dxa"/>
          </w:tcPr>
          <w:p w14:paraId="6E803B6F" w14:textId="77777777" w:rsidR="00A14C3C" w:rsidRPr="00140BC3" w:rsidRDefault="00A14C3C" w:rsidP="00A14C3C">
            <w:pPr>
              <w:cnfStyle w:val="000000000000" w:firstRow="0" w:lastRow="0" w:firstColumn="0" w:lastColumn="0" w:oddVBand="0" w:evenVBand="0" w:oddHBand="0" w:evenHBand="0" w:firstRowFirstColumn="0" w:firstRowLastColumn="0" w:lastRowFirstColumn="0" w:lastRowLastColumn="0"/>
              <w:rPr>
                <w:color w:val="00B050"/>
                <w:sz w:val="20"/>
                <w:szCs w:val="20"/>
              </w:rPr>
            </w:pPr>
          </w:p>
        </w:tc>
      </w:tr>
    </w:tbl>
    <w:p w14:paraId="0ED260F7" w14:textId="77777777" w:rsidR="005C33E3" w:rsidRPr="00140BC3" w:rsidRDefault="005C33E3" w:rsidP="005C33E3">
      <w:pPr>
        <w:ind w:left="284"/>
        <w:rPr>
          <w:b/>
          <w:bCs/>
        </w:rPr>
      </w:pPr>
    </w:p>
    <w:p w14:paraId="277F39C8" w14:textId="3B6B0A16" w:rsidR="00911348" w:rsidRPr="00140BC3" w:rsidRDefault="00911348" w:rsidP="005C33E3">
      <w:pPr>
        <w:ind w:left="284"/>
        <w:rPr>
          <w:b/>
          <w:bCs/>
        </w:rPr>
      </w:pPr>
      <w:r w:rsidRPr="00140BC3">
        <w:rPr>
          <w:b/>
          <w:bCs/>
        </w:rPr>
        <w:t>Index – New entry</w:t>
      </w:r>
    </w:p>
    <w:p w14:paraId="0ECE3C1B" w14:textId="17A5CCBE" w:rsidR="00911348" w:rsidRPr="00140BC3" w:rsidRDefault="00911348" w:rsidP="00911348">
      <w:pPr>
        <w:spacing w:after="0"/>
        <w:ind w:left="284"/>
        <w:rPr>
          <w:b/>
          <w:bCs/>
        </w:rPr>
      </w:pPr>
      <w:r w:rsidRPr="00140BC3">
        <w:rPr>
          <w:b/>
          <w:bCs/>
        </w:rPr>
        <w:t>CAMELLIA SINENSIS EXTRACT</w:t>
      </w:r>
    </w:p>
    <w:p w14:paraId="42D08363" w14:textId="3CA7350C" w:rsidR="00911348" w:rsidRPr="00140BC3" w:rsidRDefault="00741785" w:rsidP="00FF029A">
      <w:pPr>
        <w:spacing w:after="0"/>
        <w:ind w:left="284"/>
      </w:pPr>
      <w:r w:rsidRPr="00140BC3">
        <w:t xml:space="preserve">Cross </w:t>
      </w:r>
      <w:r w:rsidR="00911348" w:rsidRPr="00140BC3">
        <w:t xml:space="preserve">reference: </w:t>
      </w:r>
      <w:r w:rsidRPr="00140BC3">
        <w:t>GREEN TEA EXTRACT</w:t>
      </w:r>
    </w:p>
    <w:p w14:paraId="3CBAC400" w14:textId="1F2DD20A" w:rsidR="00911348" w:rsidRPr="00140BC3" w:rsidRDefault="00911348" w:rsidP="00911348">
      <w:pPr>
        <w:spacing w:after="0"/>
        <w:ind w:left="284"/>
      </w:pPr>
      <w:r w:rsidRPr="00140BC3">
        <w:t>Schedule 5</w:t>
      </w:r>
    </w:p>
    <w:p w14:paraId="55EAAE89" w14:textId="0471694E" w:rsidR="00911348" w:rsidRPr="00911348" w:rsidRDefault="00911348" w:rsidP="00911348">
      <w:pPr>
        <w:spacing w:after="0"/>
        <w:ind w:left="284"/>
      </w:pPr>
      <w:r w:rsidRPr="00140BC3">
        <w:t>Appendix F, clause 4</w:t>
      </w:r>
    </w:p>
    <w:p w14:paraId="4961F060" w14:textId="77777777" w:rsidR="00911348" w:rsidRPr="005C33E3" w:rsidRDefault="00911348" w:rsidP="005C33E3">
      <w:pPr>
        <w:ind w:left="284"/>
        <w:rPr>
          <w:b/>
          <w:bCs/>
        </w:rPr>
      </w:pPr>
    </w:p>
    <w:p w14:paraId="025FD6FB" w14:textId="77777777" w:rsidR="00457050" w:rsidRPr="00BB34CD" w:rsidRDefault="00457050" w:rsidP="00BB34CD">
      <w:pPr>
        <w:rPr>
          <w:b/>
          <w:bCs/>
          <w:i/>
          <w:iCs/>
        </w:rPr>
      </w:pPr>
      <w:r w:rsidRPr="00BB34CD">
        <w:rPr>
          <w:b/>
          <w:bCs/>
          <w:i/>
          <w:iCs/>
        </w:rPr>
        <w:t xml:space="preserve">Materials considered </w:t>
      </w:r>
    </w:p>
    <w:p w14:paraId="31C6FA6E" w14:textId="77777777" w:rsidR="00457050" w:rsidRDefault="00457050" w:rsidP="00967490">
      <w:r>
        <w:t>In making this final decision, the Delegate considered the following material:</w:t>
      </w:r>
    </w:p>
    <w:p w14:paraId="39821DFD" w14:textId="6D7B243B" w:rsidR="00457050" w:rsidRDefault="006119D9" w:rsidP="00AB6F8A">
      <w:pPr>
        <w:pStyle w:val="ListBullet"/>
      </w:pPr>
      <w:r>
        <w:t>t</w:t>
      </w:r>
      <w:r w:rsidR="00457050">
        <w:t xml:space="preserve">he </w:t>
      </w:r>
      <w:hyperlink r:id="rId14" w:history="1">
        <w:r w:rsidR="00457050" w:rsidRPr="003D7FB4">
          <w:rPr>
            <w:rStyle w:val="Hyperlink"/>
          </w:rPr>
          <w:t>application</w:t>
        </w:r>
      </w:hyperlink>
      <w:r w:rsidR="00457050">
        <w:t xml:space="preserve"> to amend the current Poisons Standard with respect to </w:t>
      </w:r>
      <w:r w:rsidR="00317806" w:rsidRPr="00317806">
        <w:rPr>
          <w:i/>
          <w:iCs/>
        </w:rPr>
        <w:t>Camellia sinensis</w:t>
      </w:r>
      <w:r w:rsidR="00317806">
        <w:t xml:space="preserve"> extract (green </w:t>
      </w:r>
      <w:r w:rsidR="00317806" w:rsidRPr="00140BC3">
        <w:t>tea</w:t>
      </w:r>
      <w:r w:rsidR="004E6B20" w:rsidRPr="00140BC3">
        <w:t xml:space="preserve"> extract</w:t>
      </w:r>
      <w:r w:rsidR="00317806" w:rsidRPr="00140BC3">
        <w:t>)</w:t>
      </w:r>
      <w:r w:rsidR="00457050">
        <w:t xml:space="preserve"> (the </w:t>
      </w:r>
      <w:r w:rsidR="00457050" w:rsidRPr="004E2EBC">
        <w:rPr>
          <w:b/>
          <w:bCs/>
        </w:rPr>
        <w:t>Application</w:t>
      </w:r>
      <w:r w:rsidR="00457050">
        <w:t>)</w:t>
      </w:r>
    </w:p>
    <w:p w14:paraId="4FC53D17" w14:textId="576AA555" w:rsidR="00457050" w:rsidRDefault="006119D9" w:rsidP="00AB6F8A">
      <w:pPr>
        <w:pStyle w:val="ListBullet"/>
      </w:pPr>
      <w:r>
        <w:t>t</w:t>
      </w:r>
      <w:r w:rsidR="00457050">
        <w:t xml:space="preserve">he </w:t>
      </w:r>
      <w:r w:rsidR="001D4FBF">
        <w:t>8</w:t>
      </w:r>
      <w:r w:rsidR="00457050">
        <w:t xml:space="preserve"> </w:t>
      </w:r>
      <w:hyperlink r:id="rId15" w:history="1">
        <w:r w:rsidR="00457050" w:rsidRPr="003D7FB4">
          <w:rPr>
            <w:rStyle w:val="Hyperlink"/>
          </w:rPr>
          <w:t>public submissions</w:t>
        </w:r>
      </w:hyperlink>
      <w:r w:rsidR="00457050">
        <w:t xml:space="preserve"> received in response to the </w:t>
      </w:r>
      <w:hyperlink r:id="rId16" w:history="1">
        <w:r w:rsidR="00457050" w:rsidRPr="003D7FB4">
          <w:rPr>
            <w:rStyle w:val="Hyperlink"/>
          </w:rPr>
          <w:t>pre-meeting consultation</w:t>
        </w:r>
      </w:hyperlink>
      <w:r w:rsidR="00457050">
        <w:t xml:space="preserve"> under regulation 42ZCZK of the Regulations</w:t>
      </w:r>
    </w:p>
    <w:p w14:paraId="5CC56E73" w14:textId="6D04623D" w:rsidR="00457050" w:rsidRDefault="006119D9" w:rsidP="00AB6F8A">
      <w:pPr>
        <w:pStyle w:val="ListBullet"/>
      </w:pPr>
      <w:r>
        <w:t>t</w:t>
      </w:r>
      <w:r w:rsidR="00457050">
        <w:t xml:space="preserve">he advice received from the </w:t>
      </w:r>
      <w:r w:rsidR="001D4FBF">
        <w:t>32</w:t>
      </w:r>
      <w:r w:rsidR="001D4FBF" w:rsidRPr="001D4FBF">
        <w:rPr>
          <w:vertAlign w:val="superscript"/>
        </w:rPr>
        <w:t>nd</w:t>
      </w:r>
      <w:r w:rsidR="001D4FBF">
        <w:t xml:space="preserve"> </w:t>
      </w:r>
      <w:r w:rsidR="00457050" w:rsidRPr="001D4FBF">
        <w:t xml:space="preserve">meeting of the Advisory Committees on Medicines and Chemicals Scheduling in joint session (the </w:t>
      </w:r>
      <w:r w:rsidR="00457050" w:rsidRPr="001D4FBF">
        <w:rPr>
          <w:b/>
          <w:bCs/>
        </w:rPr>
        <w:t>Committee</w:t>
      </w:r>
      <w:r w:rsidR="00457050" w:rsidRPr="001D4FBF">
        <w:t>)</w:t>
      </w:r>
    </w:p>
    <w:p w14:paraId="47E4EBE1" w14:textId="0D07A31E" w:rsidR="00FC1EB4" w:rsidRDefault="00FC1EB4" w:rsidP="00AB6F8A">
      <w:pPr>
        <w:pStyle w:val="ListBullet"/>
      </w:pPr>
      <w:r>
        <w:t xml:space="preserve">the </w:t>
      </w:r>
      <w:hyperlink r:id="rId17" w:history="1">
        <w:r w:rsidRPr="003D7FB4">
          <w:rPr>
            <w:rStyle w:val="Hyperlink"/>
          </w:rPr>
          <w:t>interim decision</w:t>
        </w:r>
      </w:hyperlink>
      <w:r>
        <w:t xml:space="preserve"> relating to </w:t>
      </w:r>
      <w:r w:rsidR="001D4FBF" w:rsidRPr="001D4FBF">
        <w:rPr>
          <w:i/>
          <w:iCs/>
        </w:rPr>
        <w:t>Camellia sinensis</w:t>
      </w:r>
      <w:r w:rsidR="001D4FBF">
        <w:t xml:space="preserve"> extract </w:t>
      </w:r>
      <w:r>
        <w:t xml:space="preserve"> and the materials considered as part of the interim decision, as published on </w:t>
      </w:r>
      <w:r w:rsidR="001D4FBF" w:rsidRPr="001D4FBF">
        <w:t>3</w:t>
      </w:r>
      <w:r w:rsidRPr="001D4FBF">
        <w:t xml:space="preserve"> </w:t>
      </w:r>
      <w:r w:rsidR="001D4FBF" w:rsidRPr="001D4FBF">
        <w:t>February</w:t>
      </w:r>
      <w:r w:rsidRPr="001D4FBF">
        <w:t xml:space="preserve"> 20</w:t>
      </w:r>
      <w:r w:rsidR="001D4FBF" w:rsidRPr="001D4FBF">
        <w:t>2</w:t>
      </w:r>
      <w:r w:rsidR="001D4FBF">
        <w:t>3</w:t>
      </w:r>
    </w:p>
    <w:p w14:paraId="1D2B1C7A" w14:textId="6064204F" w:rsidR="00457050" w:rsidRDefault="006119D9" w:rsidP="00AB6F8A">
      <w:pPr>
        <w:pStyle w:val="ListBullet"/>
      </w:pPr>
      <w:r>
        <w:t>t</w:t>
      </w:r>
      <w:r w:rsidR="00457050">
        <w:t xml:space="preserve">he </w:t>
      </w:r>
      <w:r w:rsidR="001D4FBF">
        <w:t>5</w:t>
      </w:r>
      <w:r w:rsidR="00457050">
        <w:t xml:space="preserve"> </w:t>
      </w:r>
      <w:hyperlink r:id="rId18" w:history="1">
        <w:r w:rsidR="00457050" w:rsidRPr="003D7FB4">
          <w:rPr>
            <w:rStyle w:val="Hyperlink"/>
          </w:rPr>
          <w:t>public</w:t>
        </w:r>
        <w:r w:rsidR="00457050" w:rsidRPr="001D4FBF">
          <w:rPr>
            <w:rStyle w:val="Hyperlink"/>
            <w:rFonts w:asciiTheme="minorHAnsi" w:hAnsiTheme="minorHAnsi"/>
          </w:rPr>
          <w:t xml:space="preserve"> </w:t>
        </w:r>
        <w:r w:rsidR="00457050" w:rsidRPr="003D7FB4">
          <w:rPr>
            <w:rStyle w:val="Hyperlink"/>
          </w:rPr>
          <w:t>submissions</w:t>
        </w:r>
      </w:hyperlink>
      <w:r w:rsidR="00457050">
        <w:t xml:space="preserve"> received in response to the </w:t>
      </w:r>
      <w:hyperlink r:id="rId19" w:history="1">
        <w:r w:rsidR="00457050" w:rsidRPr="003D7FB4">
          <w:rPr>
            <w:rStyle w:val="Hyperlink"/>
          </w:rPr>
          <w:t>interim decision consultation</w:t>
        </w:r>
      </w:hyperlink>
      <w:r w:rsidR="00457050">
        <w:t xml:space="preserve"> </w:t>
      </w:r>
      <w:r w:rsidR="00457050" w:rsidRPr="002C1418">
        <w:t>under regulation 42ZCZP of the Regulations</w:t>
      </w:r>
    </w:p>
    <w:p w14:paraId="19147D2F" w14:textId="1A0DBA59" w:rsidR="001D4FBF" w:rsidRDefault="001D4FBF" w:rsidP="00AB6F8A">
      <w:pPr>
        <w:pStyle w:val="ListBullet"/>
      </w:pPr>
      <w:r>
        <w:t xml:space="preserve">the 10 public submissions received in response to the </w:t>
      </w:r>
      <w:hyperlink r:id="rId20" w:history="1">
        <w:r w:rsidRPr="003D7FB4">
          <w:rPr>
            <w:rStyle w:val="Hyperlink"/>
          </w:rPr>
          <w:t>additional</w:t>
        </w:r>
        <w:r w:rsidRPr="001D4FBF">
          <w:rPr>
            <w:rStyle w:val="Hyperlink"/>
            <w:rFonts w:asciiTheme="minorHAnsi" w:hAnsiTheme="minorHAnsi"/>
          </w:rPr>
          <w:t xml:space="preserve"> </w:t>
        </w:r>
        <w:r w:rsidRPr="003D7FB4">
          <w:rPr>
            <w:rStyle w:val="Hyperlink"/>
          </w:rPr>
          <w:t>consultation</w:t>
        </w:r>
      </w:hyperlink>
      <w:r>
        <w:t xml:space="preserve"> conducted in March and April</w:t>
      </w:r>
      <w:r w:rsidR="0058058D">
        <w:t xml:space="preserve"> </w:t>
      </w:r>
      <w:r>
        <w:t>2024</w:t>
      </w:r>
    </w:p>
    <w:p w14:paraId="2EB9BE3E" w14:textId="6753D385" w:rsidR="0058058D" w:rsidRDefault="0058058D" w:rsidP="00AB6F8A">
      <w:pPr>
        <w:pStyle w:val="ListBullet"/>
      </w:pPr>
      <w:r>
        <w:t xml:space="preserve">the </w:t>
      </w:r>
      <w:hyperlink r:id="rId21" w:history="1">
        <w:r w:rsidRPr="0058058D">
          <w:rPr>
            <w:rStyle w:val="Hyperlink"/>
          </w:rPr>
          <w:t>changes</w:t>
        </w:r>
      </w:hyperlink>
      <w:r>
        <w:t xml:space="preserve"> to the </w:t>
      </w:r>
      <w:hyperlink r:id="rId22" w:history="1">
        <w:r w:rsidRPr="0058058D">
          <w:rPr>
            <w:rStyle w:val="Hyperlink"/>
          </w:rPr>
          <w:t>Permissible Ingredients Determination</w:t>
        </w:r>
      </w:hyperlink>
      <w:r>
        <w:t xml:space="preserve"> with regards to </w:t>
      </w:r>
      <w:r w:rsidRPr="0058058D">
        <w:rPr>
          <w:i/>
          <w:iCs/>
        </w:rPr>
        <w:t>Camellia sinensis</w:t>
      </w:r>
      <w:r>
        <w:t xml:space="preserve"> extract, as published on 27 February 2024</w:t>
      </w:r>
    </w:p>
    <w:p w14:paraId="19F040F9" w14:textId="0C3B79F4" w:rsidR="00457050" w:rsidRDefault="006119D9" w:rsidP="00AB6F8A">
      <w:pPr>
        <w:pStyle w:val="ListBullet"/>
      </w:pPr>
      <w:r>
        <w:t>s</w:t>
      </w:r>
      <w:r w:rsidR="00457050" w:rsidRPr="001169AC">
        <w:t xml:space="preserve">ubsection 52E(1) of </w:t>
      </w:r>
      <w:r w:rsidR="00457050" w:rsidRPr="001169AC">
        <w:rPr>
          <w:i/>
        </w:rPr>
        <w:t>the Therapeutic Goods Act 1989</w:t>
      </w:r>
      <w:r w:rsidR="00457050" w:rsidRPr="001169AC">
        <w:t xml:space="preserve">, in particular (a) the risks and benefits of the use of a substance; (b) the purposes for which a substance is to be used and the extent of use </w:t>
      </w:r>
      <w:r w:rsidR="00457050" w:rsidRPr="001169AC">
        <w:lastRenderedPageBreak/>
        <w:t>of a substance; (c) the toxicity of a substance; (d) the dosage, formulation, labelling, packaging and presentation of a substance; and (e) the potential for abuse of a substance; and (f) any other matters considered necessary to protect public health.</w:t>
      </w:r>
    </w:p>
    <w:p w14:paraId="30F96354" w14:textId="0A28BB10" w:rsidR="00457050" w:rsidRDefault="006119D9" w:rsidP="00AB6F8A">
      <w:pPr>
        <w:pStyle w:val="ListBullet"/>
      </w:pPr>
      <w:r>
        <w:t>p</w:t>
      </w:r>
      <w:r w:rsidR="00BB34CD">
        <w:t xml:space="preserve">ursuant to paragraph 52E(2)(a) of the Act, the </w:t>
      </w:r>
      <w:r w:rsidR="00457050" w:rsidRPr="00BB34CD">
        <w:t>SPF</w:t>
      </w:r>
      <w:r w:rsidR="00FC1EB4">
        <w:t>,</w:t>
      </w:r>
      <w:r w:rsidR="00457050">
        <w:t xml:space="preserve"> </w:t>
      </w:r>
      <w:r w:rsidR="00457050" w:rsidRPr="007A74F6">
        <w:t>and</w:t>
      </w:r>
    </w:p>
    <w:p w14:paraId="2842A6B7" w14:textId="460B818D" w:rsidR="00457050" w:rsidRDefault="006119D9" w:rsidP="00AB6F8A">
      <w:pPr>
        <w:pStyle w:val="ListBullet"/>
      </w:pPr>
      <w:r>
        <w:t>t</w:t>
      </w:r>
      <w:r w:rsidR="00457050">
        <w:t>he</w:t>
      </w:r>
      <w:r w:rsidR="00BB34CD">
        <w:t xml:space="preserve"> Handbook</w:t>
      </w:r>
      <w:r w:rsidR="00FC1EB4">
        <w:t>.</w:t>
      </w:r>
    </w:p>
    <w:p w14:paraId="20028C3B" w14:textId="1F56B9C4" w:rsidR="00457050" w:rsidRPr="00BB34CD" w:rsidRDefault="00457050" w:rsidP="00BB34CD">
      <w:pPr>
        <w:rPr>
          <w:b/>
          <w:bCs/>
          <w:i/>
          <w:iCs/>
        </w:rPr>
      </w:pPr>
      <w:r w:rsidRPr="00BB34CD">
        <w:rPr>
          <w:b/>
          <w:bCs/>
          <w:i/>
          <w:iCs/>
        </w:rPr>
        <w:t>Reasons for the final decision (including findings on material questions of fact)</w:t>
      </w:r>
    </w:p>
    <w:p w14:paraId="1CCA6D6E" w14:textId="6187BA8E" w:rsidR="00457050" w:rsidRDefault="00457050" w:rsidP="007A74F6">
      <w:r w:rsidRPr="007A74F6">
        <w:t xml:space="preserve">I have made a final decision to set aside my interim decision to not amend the current Poisons Standard </w:t>
      </w:r>
      <w:r w:rsidR="0066118B">
        <w:t>in relation t</w:t>
      </w:r>
      <w:r w:rsidRPr="007A74F6">
        <w:t xml:space="preserve">o </w:t>
      </w:r>
      <w:r w:rsidR="007A74F6" w:rsidRPr="0066118B">
        <w:rPr>
          <w:i/>
          <w:iCs/>
        </w:rPr>
        <w:t>Camellia sinensis</w:t>
      </w:r>
      <w:r w:rsidR="007A74F6" w:rsidRPr="007A74F6">
        <w:t xml:space="preserve"> extract</w:t>
      </w:r>
      <w:r w:rsidR="007C2E31">
        <w:t xml:space="preserve"> (green tea extract)</w:t>
      </w:r>
      <w:r w:rsidR="007A74F6" w:rsidRPr="007A74F6">
        <w:t>, and instead amend the Poisons Standard in the manner set out above</w:t>
      </w:r>
      <w:r w:rsidRPr="007A74F6">
        <w:t xml:space="preserve">. In making my final decision, I have </w:t>
      </w:r>
      <w:proofErr w:type="gramStart"/>
      <w:r w:rsidRPr="007A74F6">
        <w:t>taken into account</w:t>
      </w:r>
      <w:proofErr w:type="gramEnd"/>
      <w:r w:rsidRPr="007A74F6">
        <w:t xml:space="preserve"> the material </w:t>
      </w:r>
      <w:r w:rsidR="00BA7EBA">
        <w:t xml:space="preserve">considered </w:t>
      </w:r>
      <w:r w:rsidRPr="007A74F6">
        <w:t xml:space="preserve">in </w:t>
      </w:r>
      <w:r w:rsidR="00BA7EBA">
        <w:t xml:space="preserve">making </w:t>
      </w:r>
      <w:r w:rsidRPr="007A74F6">
        <w:t>the interim decision</w:t>
      </w:r>
      <w:r w:rsidR="007A74F6" w:rsidRPr="007A74F6">
        <w:t>, the 8 public submissions received in response to the interim decision,</w:t>
      </w:r>
      <w:r w:rsidRPr="007A74F6">
        <w:t xml:space="preserve"> and the </w:t>
      </w:r>
      <w:r w:rsidR="007A74F6" w:rsidRPr="007A74F6">
        <w:t xml:space="preserve">10 </w:t>
      </w:r>
      <w:r w:rsidRPr="007A74F6">
        <w:t>public submissions</w:t>
      </w:r>
      <w:r w:rsidR="0004645C" w:rsidRPr="007A74F6">
        <w:t xml:space="preserve"> </w:t>
      </w:r>
      <w:r w:rsidRPr="007A74F6">
        <w:t xml:space="preserve">received in response to the </w:t>
      </w:r>
      <w:r w:rsidR="007A74F6" w:rsidRPr="007A74F6">
        <w:t xml:space="preserve">additional consultation on the scheduling of </w:t>
      </w:r>
      <w:r w:rsidR="00BA7EBA" w:rsidRPr="007821F9">
        <w:rPr>
          <w:i/>
          <w:iCs/>
        </w:rPr>
        <w:t>Camellia sinensis</w:t>
      </w:r>
      <w:r w:rsidR="004E6B20">
        <w:rPr>
          <w:i/>
          <w:iCs/>
        </w:rPr>
        <w:t xml:space="preserve"> </w:t>
      </w:r>
      <w:r w:rsidR="004E6B20" w:rsidRPr="004E6B20">
        <w:t>extract</w:t>
      </w:r>
      <w:r w:rsidRPr="007A74F6">
        <w:t>.</w:t>
      </w:r>
    </w:p>
    <w:p w14:paraId="2D4B969C" w14:textId="08460E41" w:rsidR="00DD0DD9" w:rsidRDefault="00DD0DD9" w:rsidP="007A74F6">
      <w:r>
        <w:t xml:space="preserve">I note that in the </w:t>
      </w:r>
      <w:r w:rsidR="00BA7EBA">
        <w:t>additional consultation</w:t>
      </w:r>
      <w:r>
        <w:t xml:space="preserve">, </w:t>
      </w:r>
      <w:r w:rsidR="006B66A7">
        <w:t xml:space="preserve">8 </w:t>
      </w:r>
      <w:r>
        <w:t xml:space="preserve">of the submissions received were either supportive or partially supportive of the suggested </w:t>
      </w:r>
      <w:r w:rsidR="00617841">
        <w:t xml:space="preserve">entry for </w:t>
      </w:r>
      <w:r w:rsidR="00617841" w:rsidRPr="00617841">
        <w:rPr>
          <w:i/>
          <w:iCs/>
        </w:rPr>
        <w:t>Camellia sinensis</w:t>
      </w:r>
      <w:r w:rsidR="004E6B20">
        <w:rPr>
          <w:i/>
          <w:iCs/>
        </w:rPr>
        <w:t xml:space="preserve"> </w:t>
      </w:r>
      <w:r w:rsidR="004E6B20" w:rsidRPr="004E6B20">
        <w:t>extract</w:t>
      </w:r>
      <w:r w:rsidR="00617841">
        <w:t xml:space="preserve"> outlined in the consultation. The one written submission </w:t>
      </w:r>
      <w:r w:rsidR="00BA7EBA">
        <w:t xml:space="preserve">opposing </w:t>
      </w:r>
      <w:r w:rsidR="00617841">
        <w:t xml:space="preserve">the new scheduling entry expressed uncertainty regarding the scope and practical effect that the new entry may have on currently marketed products containing </w:t>
      </w:r>
      <w:r w:rsidR="008F116B" w:rsidRPr="00617841">
        <w:rPr>
          <w:i/>
          <w:iCs/>
        </w:rPr>
        <w:t>Camellia sinensis</w:t>
      </w:r>
      <w:r w:rsidR="008F116B">
        <w:rPr>
          <w:i/>
          <w:iCs/>
        </w:rPr>
        <w:t xml:space="preserve"> </w:t>
      </w:r>
      <w:r w:rsidR="008F116B">
        <w:t>extract</w:t>
      </w:r>
      <w:r w:rsidR="00617841">
        <w:t>.</w:t>
      </w:r>
    </w:p>
    <w:p w14:paraId="723066DA" w14:textId="709F0BAA" w:rsidR="004D120B" w:rsidRDefault="00D9442D" w:rsidP="007A74F6">
      <w:r>
        <w:t xml:space="preserve">The proposal to include </w:t>
      </w:r>
      <w:r w:rsidRPr="00620E9D">
        <w:rPr>
          <w:i/>
          <w:iCs/>
        </w:rPr>
        <w:t>Camellia sinensis</w:t>
      </w:r>
      <w:r>
        <w:t xml:space="preserve"> </w:t>
      </w:r>
      <w:r w:rsidR="008F116B">
        <w:t xml:space="preserve">extract </w:t>
      </w:r>
      <w:r>
        <w:t>(green tea</w:t>
      </w:r>
      <w:r w:rsidR="00706E07">
        <w:t xml:space="preserve"> extract</w:t>
      </w:r>
      <w:r>
        <w:t xml:space="preserve">) in the Poisons Standard was initiated in response to the rare but serious incidence of adverse hepatic events related to ingestion </w:t>
      </w:r>
      <w:r w:rsidR="008F116B">
        <w:t xml:space="preserve">of </w:t>
      </w:r>
      <w:r>
        <w:t xml:space="preserve">this extract. </w:t>
      </w:r>
      <w:r w:rsidR="0058058D" w:rsidRPr="0058058D">
        <w:rPr>
          <w:i/>
          <w:iCs/>
        </w:rPr>
        <w:t>Camellia sinensis</w:t>
      </w:r>
      <w:r w:rsidR="0058058D">
        <w:t xml:space="preserve"> </w:t>
      </w:r>
      <w:r w:rsidR="00BA7EBA">
        <w:t>extract</w:t>
      </w:r>
      <w:r>
        <w:t xml:space="preserve"> is</w:t>
      </w:r>
      <w:r w:rsidR="0058058D">
        <w:t xml:space="preserve"> used in a variety of preparations including foods, medicines</w:t>
      </w:r>
      <w:r w:rsidR="00152002">
        <w:t xml:space="preserve">, </w:t>
      </w:r>
      <w:r w:rsidR="0058058D">
        <w:t>cosmetics</w:t>
      </w:r>
      <w:r w:rsidR="00152002">
        <w:t>, and over-the-counter supplements for weight loss and general health</w:t>
      </w:r>
      <w:r w:rsidR="0058058D">
        <w:t xml:space="preserve">. </w:t>
      </w:r>
      <w:r w:rsidR="00250EAC">
        <w:t>The extract</w:t>
      </w:r>
      <w:r>
        <w:t xml:space="preserve"> is</w:t>
      </w:r>
      <w:r w:rsidR="00250EAC">
        <w:t xml:space="preserve"> often </w:t>
      </w:r>
      <w:r>
        <w:t>concentrated</w:t>
      </w:r>
      <w:r w:rsidR="00706E07">
        <w:t xml:space="preserve">, with </w:t>
      </w:r>
      <w:r>
        <w:t xml:space="preserve">various ingredients </w:t>
      </w:r>
      <w:r w:rsidR="00AB7DE9">
        <w:t xml:space="preserve">present </w:t>
      </w:r>
      <w:r>
        <w:t>at high concentrations</w:t>
      </w:r>
      <w:r w:rsidR="00AB7DE9">
        <w:t xml:space="preserve">. Ingestion of concentrated </w:t>
      </w:r>
      <w:r w:rsidR="00AB7DE9" w:rsidRPr="0058058D">
        <w:rPr>
          <w:i/>
          <w:iCs/>
        </w:rPr>
        <w:t>Camellia sinensis</w:t>
      </w:r>
      <w:r w:rsidR="00AB7DE9">
        <w:t xml:space="preserve"> </w:t>
      </w:r>
      <w:r w:rsidR="00706E07">
        <w:t xml:space="preserve">extracts </w:t>
      </w:r>
      <w:r w:rsidR="0058058D">
        <w:t>ha</w:t>
      </w:r>
      <w:r w:rsidR="006B66A7">
        <w:t>s</w:t>
      </w:r>
      <w:r w:rsidR="0058058D">
        <w:t xml:space="preserve"> resulted in</w:t>
      </w:r>
      <w:r w:rsidR="006B66A7">
        <w:t xml:space="preserve"> adverse events eventuating in</w:t>
      </w:r>
      <w:r w:rsidR="0058058D">
        <w:t xml:space="preserve"> liver transplants </w:t>
      </w:r>
      <w:r w:rsidR="00AB7DE9">
        <w:t>in some cases</w:t>
      </w:r>
      <w:r w:rsidR="006B66A7">
        <w:t>,</w:t>
      </w:r>
      <w:r w:rsidR="0058058D">
        <w:t xml:space="preserve"> </w:t>
      </w:r>
      <w:r w:rsidR="00152002">
        <w:t>including at least one case in Australia</w:t>
      </w:r>
      <w:r w:rsidR="0058058D">
        <w:t>.</w:t>
      </w:r>
      <w:r w:rsidR="004D120B">
        <w:rPr>
          <w:rStyle w:val="FootnoteReference"/>
        </w:rPr>
        <w:footnoteReference w:id="2"/>
      </w:r>
      <w:r w:rsidR="0058058D">
        <w:t xml:space="preserve"> </w:t>
      </w:r>
      <w:r w:rsidR="00703F4A">
        <w:t xml:space="preserve">While </w:t>
      </w:r>
      <w:r w:rsidR="00A14C3C">
        <w:t xml:space="preserve">the long history of consumption of </w:t>
      </w:r>
      <w:r w:rsidR="00A14C3C" w:rsidRPr="004D120B">
        <w:rPr>
          <w:i/>
          <w:iCs/>
        </w:rPr>
        <w:t>Camellia sinensis</w:t>
      </w:r>
      <w:r w:rsidR="00A14C3C">
        <w:t xml:space="preserve"> by humans</w:t>
      </w:r>
      <w:r w:rsidR="00703F4A">
        <w:t xml:space="preserve"> is a reasonable indicator of the safety of this substance and adverse events </w:t>
      </w:r>
      <w:r w:rsidR="00AB7DE9">
        <w:t>are</w:t>
      </w:r>
      <w:r w:rsidR="00703F4A">
        <w:t xml:space="preserve"> relatively rare, </w:t>
      </w:r>
      <w:r w:rsidR="00AB7DE9">
        <w:t xml:space="preserve">the </w:t>
      </w:r>
      <w:r w:rsidR="00703F4A">
        <w:t>severity of the</w:t>
      </w:r>
      <w:r w:rsidR="00AB7DE9">
        <w:t xml:space="preserve">se adverse </w:t>
      </w:r>
      <w:r w:rsidR="00703F4A">
        <w:t>events</w:t>
      </w:r>
      <w:r w:rsidR="009C6805">
        <w:t xml:space="preserve"> combined with the variety of </w:t>
      </w:r>
      <w:r w:rsidR="006B66A7">
        <w:t xml:space="preserve">preparations and </w:t>
      </w:r>
      <w:r w:rsidR="009C6805">
        <w:t xml:space="preserve">uses of </w:t>
      </w:r>
      <w:r w:rsidR="009C6805" w:rsidRPr="004D120B">
        <w:rPr>
          <w:i/>
          <w:iCs/>
        </w:rPr>
        <w:t>Camellia sinensis</w:t>
      </w:r>
      <w:r w:rsidR="004E6B20" w:rsidRPr="004E6B20">
        <w:t xml:space="preserve"> extract</w:t>
      </w:r>
      <w:r w:rsidR="009C6805">
        <w:t>, necessitate implementation of further controls on this substance through the Poisons Standard</w:t>
      </w:r>
      <w:r w:rsidR="00703F4A">
        <w:t xml:space="preserve">. </w:t>
      </w:r>
    </w:p>
    <w:p w14:paraId="0D20BF74" w14:textId="39DCB14D" w:rsidR="0058058D" w:rsidRDefault="00703F4A" w:rsidP="007A74F6">
      <w:r>
        <w:t xml:space="preserve">Further, </w:t>
      </w:r>
      <w:r w:rsidR="00620E9D">
        <w:t xml:space="preserve">I </w:t>
      </w:r>
      <w:r>
        <w:t xml:space="preserve">have </w:t>
      </w:r>
      <w:r w:rsidR="00620E9D">
        <w:t>consider</w:t>
      </w:r>
      <w:r>
        <w:t>ed</w:t>
      </w:r>
      <w:r w:rsidR="00620E9D">
        <w:t xml:space="preserve"> t</w:t>
      </w:r>
      <w:r w:rsidR="0058058D">
        <w:t xml:space="preserve">he </w:t>
      </w:r>
      <w:r>
        <w:t xml:space="preserve">TGA’s </w:t>
      </w:r>
      <w:r w:rsidR="0058058D">
        <w:t xml:space="preserve">recent </w:t>
      </w:r>
      <w:r>
        <w:t xml:space="preserve">review and </w:t>
      </w:r>
      <w:r w:rsidR="00B142E5">
        <w:t>subsequent</w:t>
      </w:r>
      <w:r>
        <w:t xml:space="preserve"> </w:t>
      </w:r>
      <w:r w:rsidR="0058058D">
        <w:t>changes</w:t>
      </w:r>
      <w:bookmarkStart w:id="5" w:name="_Ref166675702"/>
      <w:r w:rsidR="00A40CC3">
        <w:rPr>
          <w:rStyle w:val="FootnoteReference"/>
        </w:rPr>
        <w:footnoteReference w:id="3"/>
      </w:r>
      <w:bookmarkEnd w:id="5"/>
      <w:r w:rsidR="0058058D">
        <w:t xml:space="preserve"> to the listing for </w:t>
      </w:r>
      <w:r w:rsidR="0058058D" w:rsidRPr="00620E9D">
        <w:rPr>
          <w:i/>
          <w:iCs/>
        </w:rPr>
        <w:t>Camellia sinensis</w:t>
      </w:r>
      <w:r w:rsidR="004E6B20">
        <w:rPr>
          <w:i/>
          <w:iCs/>
        </w:rPr>
        <w:t xml:space="preserve"> </w:t>
      </w:r>
      <w:r w:rsidR="004E6B20" w:rsidRPr="004E6B20">
        <w:t>extract</w:t>
      </w:r>
      <w:r w:rsidR="0058058D">
        <w:t xml:space="preserve"> in the </w:t>
      </w:r>
      <w:r w:rsidR="00620E9D">
        <w:t>Therapeutic Goods (</w:t>
      </w:r>
      <w:r w:rsidR="0058058D">
        <w:t>Permissible Ingredients</w:t>
      </w:r>
      <w:r w:rsidR="00620E9D">
        <w:t>)</w:t>
      </w:r>
      <w:r w:rsidR="0058058D">
        <w:t xml:space="preserve"> Determination</w:t>
      </w:r>
      <w:r w:rsidR="00620E9D">
        <w:t xml:space="preserve"> (No.1) 2024</w:t>
      </w:r>
      <w:r w:rsidR="009A71A6">
        <w:t xml:space="preserve"> (the </w:t>
      </w:r>
      <w:r w:rsidR="009A71A6" w:rsidRPr="00396938">
        <w:t>Determination</w:t>
      </w:r>
      <w:r w:rsidR="009A71A6">
        <w:t>)</w:t>
      </w:r>
      <w:r w:rsidR="0058058D">
        <w:t xml:space="preserve">, a legislative instrument which outlines the requirements for </w:t>
      </w:r>
      <w:r w:rsidR="00620E9D">
        <w:t xml:space="preserve">listed </w:t>
      </w:r>
      <w:r w:rsidR="0058058D">
        <w:t xml:space="preserve">medicines </w:t>
      </w:r>
      <w:r w:rsidR="00620E9D">
        <w:t>i</w:t>
      </w:r>
      <w:r w:rsidR="0058058D">
        <w:t xml:space="preserve">n the Australian Register </w:t>
      </w:r>
      <w:r w:rsidR="00620E9D">
        <w:t>o</w:t>
      </w:r>
      <w:r w:rsidR="0058058D">
        <w:t>f Therapeutic Goods</w:t>
      </w:r>
      <w:r w:rsidR="00620E9D">
        <w:t xml:space="preserve"> (ARTG</w:t>
      </w:r>
      <w:r w:rsidR="006B66A7">
        <w:t xml:space="preserve">, referred as </w:t>
      </w:r>
      <w:r w:rsidR="005546E3">
        <w:t xml:space="preserve">the </w:t>
      </w:r>
      <w:r w:rsidR="006B66A7">
        <w:t>Register in the Poisons Standard</w:t>
      </w:r>
      <w:r w:rsidR="00620E9D">
        <w:t>)</w:t>
      </w:r>
      <w:r w:rsidR="00393F58">
        <w:t>. I am of the view that the final decision on changes to the Determination</w:t>
      </w:r>
      <w:r w:rsidR="0058058D">
        <w:t xml:space="preserve"> </w:t>
      </w:r>
      <w:r w:rsidR="00393F58">
        <w:t xml:space="preserve">in relation to </w:t>
      </w:r>
      <w:r w:rsidR="00393F58" w:rsidRPr="00393F58">
        <w:rPr>
          <w:i/>
          <w:iCs/>
        </w:rPr>
        <w:t>Camellia sinensis</w:t>
      </w:r>
      <w:r w:rsidR="004E6B20">
        <w:rPr>
          <w:i/>
          <w:iCs/>
        </w:rPr>
        <w:t xml:space="preserve"> </w:t>
      </w:r>
      <w:r w:rsidR="004E6B20" w:rsidRPr="004E6B20">
        <w:t>extract</w:t>
      </w:r>
      <w:r w:rsidR="00393F58">
        <w:t xml:space="preserve"> accurately </w:t>
      </w:r>
      <w:r w:rsidR="0058058D">
        <w:t xml:space="preserve">reflect the </w:t>
      </w:r>
      <w:r w:rsidR="00620E9D">
        <w:t>serious consequences that can arise from ingestion of this substance</w:t>
      </w:r>
      <w:r w:rsidR="004D120B">
        <w:t>, especially concentrated extracts of this plant species</w:t>
      </w:r>
      <w:r w:rsidR="0058058D">
        <w:t>.</w:t>
      </w:r>
    </w:p>
    <w:p w14:paraId="34038293" w14:textId="3C136BFD" w:rsidR="004B5FF4" w:rsidRDefault="00916F76" w:rsidP="007A74F6">
      <w:r>
        <w:t>T</w:t>
      </w:r>
      <w:r w:rsidR="009C6805">
        <w:t xml:space="preserve">he adverse effects of </w:t>
      </w:r>
      <w:r w:rsidR="009C6805" w:rsidRPr="00393F58">
        <w:rPr>
          <w:i/>
          <w:iCs/>
        </w:rPr>
        <w:t>Camellia sinensis</w:t>
      </w:r>
      <w:r w:rsidR="009C6805">
        <w:t xml:space="preserve"> extract on the liver can be minimised or reversed with early identification of symptoms</w:t>
      </w:r>
      <w:r>
        <w:t>.</w:t>
      </w:r>
      <w:r w:rsidR="009C6805">
        <w:t xml:space="preserve"> </w:t>
      </w:r>
      <w:r>
        <w:t xml:space="preserve">The symptoms are typical of liver injury and include </w:t>
      </w:r>
      <w:r w:rsidRPr="00133B0C">
        <w:t xml:space="preserve">yellowing skin/eyes, fatigue, nausea, appetite loss, abdominal pain, dark urine, </w:t>
      </w:r>
      <w:r>
        <w:t>and/</w:t>
      </w:r>
      <w:r w:rsidRPr="00133B0C">
        <w:t>or itching</w:t>
      </w:r>
      <w:r>
        <w:t xml:space="preserve">, all of which can be readily identified by the consumer. Consistent with factor 4 in the SPF for Schedule 5 substances, these risks can be adequately mitigated through labelling with warning statements. The </w:t>
      </w:r>
      <w:r w:rsidR="004B5FF4">
        <w:t xml:space="preserve">new warning statements in Appendix F will inform consumers of the rare but still significant risks associated with </w:t>
      </w:r>
      <w:r w:rsidR="00504DE7">
        <w:t xml:space="preserve">the </w:t>
      </w:r>
      <w:r w:rsidR="004B5FF4">
        <w:t xml:space="preserve">use of </w:t>
      </w:r>
      <w:r w:rsidR="00F53BF5" w:rsidRPr="00F53BF5">
        <w:rPr>
          <w:i/>
          <w:iCs/>
        </w:rPr>
        <w:t>Camellia sinensis</w:t>
      </w:r>
      <w:r w:rsidR="00504DE7">
        <w:rPr>
          <w:i/>
          <w:iCs/>
        </w:rPr>
        <w:t xml:space="preserve"> </w:t>
      </w:r>
      <w:r w:rsidR="00504DE7" w:rsidRPr="00504DE7">
        <w:t>extract</w:t>
      </w:r>
      <w:r w:rsidR="004B5FF4">
        <w:t>, a</w:t>
      </w:r>
      <w:r w:rsidR="00A64C7F">
        <w:t>s well as</w:t>
      </w:r>
      <w:r w:rsidR="004B5FF4">
        <w:t xml:space="preserve"> appropriate action</w:t>
      </w:r>
      <w:r w:rsidR="00504DE7">
        <w:t>s</w:t>
      </w:r>
      <w:r w:rsidR="004B5FF4">
        <w:t xml:space="preserve"> should they </w:t>
      </w:r>
      <w:r w:rsidR="00A64C7F">
        <w:t>experience</w:t>
      </w:r>
      <w:r w:rsidR="004B5FF4">
        <w:t xml:space="preserve"> any of the associated symptoms</w:t>
      </w:r>
      <w:r>
        <w:t>. I am satisfied that the risks</w:t>
      </w:r>
      <w:r w:rsidR="004B5FF4">
        <w:t xml:space="preserve"> can be mitigated</w:t>
      </w:r>
      <w:r>
        <w:t xml:space="preserve"> through these simple warnings.</w:t>
      </w:r>
    </w:p>
    <w:p w14:paraId="7BDD6A6D" w14:textId="7A863192" w:rsidR="00EE35C9" w:rsidRDefault="00EE35C9" w:rsidP="00EE35C9">
      <w:r>
        <w:t>I agree with the decision</w:t>
      </w:r>
      <w:r w:rsidRPr="00A40CC3">
        <w:rPr>
          <w:vertAlign w:val="superscript"/>
        </w:rPr>
        <w:fldChar w:fldCharType="begin"/>
      </w:r>
      <w:r w:rsidRPr="00A40CC3">
        <w:rPr>
          <w:vertAlign w:val="superscript"/>
        </w:rPr>
        <w:instrText xml:space="preserve"> NOTEREF _Ref166675702 \h </w:instrText>
      </w:r>
      <w:r>
        <w:rPr>
          <w:vertAlign w:val="superscript"/>
        </w:rPr>
        <w:instrText xml:space="preserve"> \* MERGEFORMAT </w:instrText>
      </w:r>
      <w:r w:rsidRPr="00A40CC3">
        <w:rPr>
          <w:vertAlign w:val="superscript"/>
        </w:rPr>
      </w:r>
      <w:r w:rsidRPr="00A40CC3">
        <w:rPr>
          <w:vertAlign w:val="superscript"/>
        </w:rPr>
        <w:fldChar w:fldCharType="separate"/>
      </w:r>
      <w:r w:rsidRPr="00A40CC3">
        <w:rPr>
          <w:vertAlign w:val="superscript"/>
        </w:rPr>
        <w:t>3</w:t>
      </w:r>
      <w:r w:rsidRPr="00A40CC3">
        <w:rPr>
          <w:vertAlign w:val="superscript"/>
        </w:rPr>
        <w:fldChar w:fldCharType="end"/>
      </w:r>
      <w:r>
        <w:t xml:space="preserve"> relating to </w:t>
      </w:r>
      <w:r w:rsidRPr="00D81445">
        <w:rPr>
          <w:i/>
          <w:iCs/>
        </w:rPr>
        <w:t>Camellia sinensis</w:t>
      </w:r>
      <w:r w:rsidR="004E6B20" w:rsidRPr="004E6B20">
        <w:t xml:space="preserve"> extract</w:t>
      </w:r>
      <w:r>
        <w:t xml:space="preserve"> in the Determination that products containing 300 mg or less of epigallocatechin-3-gallate (EGCG) – the primary biomarker in </w:t>
      </w:r>
      <w:r w:rsidRPr="008329A9">
        <w:rPr>
          <w:i/>
          <w:iCs/>
        </w:rPr>
        <w:t>Camellia sinensis</w:t>
      </w:r>
      <w:r>
        <w:t xml:space="preserve"> – are unlikely to present a significant risk to human health. While research indicates that adverse reactions to extracts of </w:t>
      </w:r>
      <w:r w:rsidRPr="008329A9">
        <w:rPr>
          <w:i/>
          <w:iCs/>
        </w:rPr>
        <w:t>Camellia sinensis</w:t>
      </w:r>
      <w:r>
        <w:t xml:space="preserve"> are somewhat idiosyncratic in nature and dependent on a range of factors, there is clear evidence that dosage can play a significant role. </w:t>
      </w:r>
      <w:r w:rsidR="00D76BEF">
        <w:t xml:space="preserve">Data </w:t>
      </w:r>
      <w:r w:rsidR="00D76BEF">
        <w:lastRenderedPageBreak/>
        <w:t>from</w:t>
      </w:r>
      <w:r w:rsidR="00D76BEF" w:rsidRPr="00B325F0">
        <w:t xml:space="preserve"> interventional clinical trials </w:t>
      </w:r>
      <w:r w:rsidR="00D76BEF">
        <w:t xml:space="preserve">show that </w:t>
      </w:r>
      <w:r w:rsidR="00D76BEF" w:rsidRPr="00B325F0">
        <w:t xml:space="preserve">intake of doses equal or above 800 mg EGCG/day taken as a food supplement induce a statistically significant increase of serum transaminases in treated subjects compared to control </w:t>
      </w:r>
      <w:r w:rsidR="00D76BEF">
        <w:t xml:space="preserve">(European Food Safety Authority Panel on </w:t>
      </w:r>
      <w:r w:rsidR="00D76BEF" w:rsidRPr="00B325F0">
        <w:t>EFSA Panel on Food Additives and Nutrient Sources added to Food</w:t>
      </w:r>
      <w:r w:rsidR="00D76BEF">
        <w:t>)</w:t>
      </w:r>
      <w:r w:rsidR="00D76BEF">
        <w:rPr>
          <w:rStyle w:val="FootnoteReference"/>
        </w:rPr>
        <w:footnoteReference w:id="4"/>
      </w:r>
      <w:r w:rsidR="00D76BEF">
        <w:t xml:space="preserve">. </w:t>
      </w:r>
      <w:r w:rsidR="00D76BEF" w:rsidRPr="00197715">
        <w:rPr>
          <w:rFonts w:cs="Arial"/>
        </w:rPr>
        <w:t xml:space="preserve">Based on the human studies of healthy populations, </w:t>
      </w:r>
      <w:r w:rsidR="00D76BEF">
        <w:rPr>
          <w:rFonts w:cs="Arial"/>
        </w:rPr>
        <w:t xml:space="preserve">Health Canada identified </w:t>
      </w:r>
      <w:r w:rsidR="00D76BEF" w:rsidRPr="00197715">
        <w:rPr>
          <w:rFonts w:cs="Arial"/>
        </w:rPr>
        <w:t xml:space="preserve">a </w:t>
      </w:r>
      <w:r w:rsidR="00D76BEF" w:rsidRPr="00D76BEF">
        <w:rPr>
          <w:rFonts w:cs="Arial"/>
        </w:rPr>
        <w:t>no observed adverse effect level</w:t>
      </w:r>
      <w:r w:rsidR="00D76BEF" w:rsidRPr="00197715">
        <w:rPr>
          <w:rFonts w:cs="Arial"/>
        </w:rPr>
        <w:t xml:space="preserve"> for </w:t>
      </w:r>
      <w:r w:rsidR="00D76BEF" w:rsidRPr="00393F58">
        <w:rPr>
          <w:i/>
          <w:iCs/>
        </w:rPr>
        <w:t>Camellia sinensis</w:t>
      </w:r>
      <w:r w:rsidR="00D76BEF">
        <w:t xml:space="preserve"> extract</w:t>
      </w:r>
      <w:r w:rsidR="00D76BEF" w:rsidRPr="00197715">
        <w:rPr>
          <w:rFonts w:cs="Arial"/>
        </w:rPr>
        <w:t xml:space="preserve"> equivalent to 600 mg EGCG per day</w:t>
      </w:r>
      <w:r w:rsidR="00D76BEF">
        <w:rPr>
          <w:rFonts w:cs="Arial"/>
        </w:rPr>
        <w:t xml:space="preserve"> and </w:t>
      </w:r>
      <w:r w:rsidR="00D76BEF" w:rsidRPr="00197715">
        <w:rPr>
          <w:rFonts w:cs="Arial"/>
        </w:rPr>
        <w:t>a recommended maximum daily intake (RMDI) of 300 mg EGCG per day</w:t>
      </w:r>
      <w:r w:rsidR="00D76BEF">
        <w:rPr>
          <w:rFonts w:cs="Arial"/>
        </w:rPr>
        <w:t xml:space="preserve"> when </w:t>
      </w:r>
      <w:r w:rsidR="00D76BEF" w:rsidRPr="00197715">
        <w:rPr>
          <w:rFonts w:cs="Arial"/>
        </w:rPr>
        <w:t>use</w:t>
      </w:r>
      <w:r w:rsidR="00D76BEF">
        <w:rPr>
          <w:rFonts w:cs="Arial"/>
        </w:rPr>
        <w:t>d</w:t>
      </w:r>
      <w:r w:rsidR="00D76BEF" w:rsidRPr="00197715">
        <w:rPr>
          <w:rFonts w:cs="Arial"/>
        </w:rPr>
        <w:t xml:space="preserve"> as a supplemental ingredient in food</w:t>
      </w:r>
      <w:r w:rsidR="00FD0B86">
        <w:rPr>
          <w:rStyle w:val="FootnoteReference"/>
          <w:rFonts w:cs="Arial"/>
        </w:rPr>
        <w:footnoteReference w:id="5"/>
      </w:r>
      <w:r w:rsidR="00D76BEF">
        <w:rPr>
          <w:rFonts w:cs="Arial"/>
        </w:rPr>
        <w:t>.</w:t>
      </w:r>
      <w:r w:rsidR="00D76BEF">
        <w:t xml:space="preserve"> Considering the </w:t>
      </w:r>
      <w:r>
        <w:t xml:space="preserve">information </w:t>
      </w:r>
      <w:r w:rsidR="00D76BEF">
        <w:t xml:space="preserve">available </w:t>
      </w:r>
      <w:r>
        <w:t xml:space="preserve">in literature and the findings of international regulators, I have decided that low-dose preparations present sufficiently low risk to health such that they can be exempted from the requirements of the new Schedule 5 entry. EGCG is the most abundant flavonoid in </w:t>
      </w:r>
      <w:r w:rsidRPr="00DC2ECB">
        <w:rPr>
          <w:i/>
          <w:iCs/>
        </w:rPr>
        <w:t>Camellia sinensis</w:t>
      </w:r>
      <w:r>
        <w:t xml:space="preserve"> and therefore is the most useful for establishing a suitable cut-off for exemption from scheduling. After reviewing all the available data, I consider that the exemption limit that is included in the new entry, which is based on the daily dose of EGCG when the product is used as labelled, is appropriate.</w:t>
      </w:r>
    </w:p>
    <w:p w14:paraId="7D8FFCCC" w14:textId="725C05EB" w:rsidR="00EE35C9" w:rsidRDefault="00EE35C9" w:rsidP="00EE35C9">
      <w:r>
        <w:t xml:space="preserve">The new Schedule 5 entry for </w:t>
      </w:r>
      <w:r w:rsidRPr="00EE35C9">
        <w:rPr>
          <w:i/>
          <w:iCs/>
        </w:rPr>
        <w:t>Camellia sinensis</w:t>
      </w:r>
      <w:r w:rsidR="0037211E">
        <w:rPr>
          <w:i/>
          <w:iCs/>
        </w:rPr>
        <w:t xml:space="preserve"> </w:t>
      </w:r>
      <w:r w:rsidR="0037211E" w:rsidRPr="004E6B20">
        <w:t>extract</w:t>
      </w:r>
      <w:r>
        <w:t xml:space="preserve"> and the exemptions will apply to preparations containing </w:t>
      </w:r>
      <w:r w:rsidRPr="00D81445">
        <w:rPr>
          <w:i/>
          <w:iCs/>
        </w:rPr>
        <w:t>Camellia sinensis</w:t>
      </w:r>
      <w:r>
        <w:t xml:space="preserve"> extract regardless of how that extract was obtained. This is in contrast with the Determination which exemp</w:t>
      </w:r>
      <w:r w:rsidR="00EF7E72">
        <w:t>ts</w:t>
      </w:r>
      <w:r>
        <w:t xml:space="preserve"> aqueous extracts</w:t>
      </w:r>
      <w:r w:rsidR="00EF7E72">
        <w:t xml:space="preserve"> of </w:t>
      </w:r>
      <w:r w:rsidR="00EF7E72" w:rsidRPr="00EF7E72">
        <w:rPr>
          <w:i/>
          <w:iCs/>
        </w:rPr>
        <w:t>Camellia sinensis</w:t>
      </w:r>
      <w:r w:rsidR="00EF7E72">
        <w:t>,</w:t>
      </w:r>
      <w:r>
        <w:t xml:space="preserve"> a decision that was based on the available toxicity data being limited to extracts obtained in this way.</w:t>
      </w:r>
      <w:r w:rsidR="00EF7E72">
        <w:t xml:space="preserve"> </w:t>
      </w:r>
      <w:r>
        <w:t xml:space="preserve">However, I find it is not practical to extend this </w:t>
      </w:r>
      <w:r w:rsidR="00EF7E72">
        <w:t>exemption for aqueous extracts</w:t>
      </w:r>
      <w:r>
        <w:t xml:space="preserve"> to preparations other than those for therapeutic use</w:t>
      </w:r>
      <w:r w:rsidR="00706E07">
        <w:t>. T</w:t>
      </w:r>
      <w:r>
        <w:t>he manner of extraction, including the solvent used, is often unknown for this ingredient, for example</w:t>
      </w:r>
      <w:r w:rsidR="006B66A7">
        <w:t>,</w:t>
      </w:r>
      <w:r>
        <w:t xml:space="preserve"> when used as a food additive. Therefore, the new Schedule 5 entry for </w:t>
      </w:r>
      <w:r w:rsidRPr="00BA1D90">
        <w:rPr>
          <w:i/>
          <w:iCs/>
        </w:rPr>
        <w:t>Camellia sinensis</w:t>
      </w:r>
      <w:r w:rsidR="0037211E">
        <w:rPr>
          <w:i/>
          <w:iCs/>
        </w:rPr>
        <w:t xml:space="preserve"> </w:t>
      </w:r>
      <w:r w:rsidR="0037211E" w:rsidRPr="004E6B20">
        <w:t>extract</w:t>
      </w:r>
      <w:r>
        <w:t>, including the specified exemptions from scheduling, applies to the substance independent of the way it was obtained from the plant material.</w:t>
      </w:r>
    </w:p>
    <w:p w14:paraId="504EE40F" w14:textId="17E206C9" w:rsidR="00EE35C9" w:rsidRDefault="00EE35C9" w:rsidP="00EE35C9">
      <w:r>
        <w:t xml:space="preserve">After considering the limited labelling space available for many products that may be affected by this decision, I have decided to abbreviate the required Appendix F warning statements compared to those included in the Determination. These statements are to be applied to all applicable products and outline the symptoms of liver toxicity that may arise from consumption of </w:t>
      </w:r>
      <w:r w:rsidRPr="006C4FCA">
        <w:rPr>
          <w:i/>
          <w:iCs/>
        </w:rPr>
        <w:t>Camellia sinensis</w:t>
      </w:r>
      <w:r>
        <w:t xml:space="preserve"> extract, as well as actions the consumer should take if they experience these symptoms.</w:t>
      </w:r>
    </w:p>
    <w:p w14:paraId="2E1D4BED" w14:textId="20ED1DBC" w:rsidR="00620E9D" w:rsidRDefault="008D3E0D" w:rsidP="007A74F6">
      <w:r>
        <w:t>However</w:t>
      </w:r>
      <w:r w:rsidR="00393F58">
        <w:t>,</w:t>
      </w:r>
      <w:r>
        <w:t xml:space="preserve"> care must be exercised in the implementation of </w:t>
      </w:r>
      <w:r w:rsidR="004D764C">
        <w:t>the new entry in the Poisons Standard</w:t>
      </w:r>
      <w:r w:rsidR="00F53BF5">
        <w:t xml:space="preserve"> </w:t>
      </w:r>
      <w:r>
        <w:t>to ensure only products that present sufficient risk of adverse events are affected</w:t>
      </w:r>
      <w:r w:rsidR="000B59FC">
        <w:t>,</w:t>
      </w:r>
      <w:r w:rsidR="00F53BF5">
        <w:t xml:space="preserve"> </w:t>
      </w:r>
      <w:r w:rsidR="000B59FC">
        <w:t xml:space="preserve">and </w:t>
      </w:r>
      <w:r w:rsidR="00703F4A">
        <w:t xml:space="preserve">undue regulatory burden </w:t>
      </w:r>
      <w:r w:rsidR="000B59FC">
        <w:t xml:space="preserve">is not placed </w:t>
      </w:r>
      <w:r w:rsidR="00703F4A">
        <w:t>on</w:t>
      </w:r>
      <w:r w:rsidR="004D120B">
        <w:t xml:space="preserve"> the manufacturers and sponsors of</w:t>
      </w:r>
      <w:r w:rsidR="00703F4A">
        <w:t xml:space="preserve"> those products which present </w:t>
      </w:r>
      <w:r w:rsidR="00706E07">
        <w:t>a low</w:t>
      </w:r>
      <w:r w:rsidR="00703F4A">
        <w:t xml:space="preserve"> risk</w:t>
      </w:r>
      <w:r>
        <w:t>.</w:t>
      </w:r>
      <w:r w:rsidR="00046F13">
        <w:t xml:space="preserve"> Therefore, i</w:t>
      </w:r>
      <w:r w:rsidR="004354AC">
        <w:t xml:space="preserve">n introducing a new entry for </w:t>
      </w:r>
      <w:r w:rsidR="004354AC" w:rsidRPr="004354AC">
        <w:rPr>
          <w:i/>
          <w:iCs/>
        </w:rPr>
        <w:t>Camellia sinensis</w:t>
      </w:r>
      <w:r w:rsidR="0037211E">
        <w:rPr>
          <w:i/>
          <w:iCs/>
        </w:rPr>
        <w:t xml:space="preserve"> </w:t>
      </w:r>
      <w:r w:rsidR="0037211E" w:rsidRPr="004E6B20">
        <w:t>extract</w:t>
      </w:r>
      <w:r w:rsidR="004354AC">
        <w:t xml:space="preserve"> to Schedule 5 of the Poisons Standard, I have considered each of the </w:t>
      </w:r>
      <w:r>
        <w:t xml:space="preserve">known </w:t>
      </w:r>
      <w:r w:rsidR="004354AC">
        <w:t xml:space="preserve">uses </w:t>
      </w:r>
      <w:r>
        <w:t xml:space="preserve">of this substance </w:t>
      </w:r>
      <w:r w:rsidR="004354AC">
        <w:t>in turn.</w:t>
      </w:r>
    </w:p>
    <w:p w14:paraId="1B7796C9" w14:textId="7C921DCD" w:rsidR="004354AC" w:rsidRDefault="004354AC" w:rsidP="00BB34CD">
      <w:r w:rsidRPr="00437B35">
        <w:rPr>
          <w:b/>
          <w:bCs/>
        </w:rPr>
        <w:t>Preparations administered by means other than the oral route, e.g. topical including cosmetics</w:t>
      </w:r>
      <w:r>
        <w:t xml:space="preserve">: I agree with the reasoning provided in the </w:t>
      </w:r>
      <w:r w:rsidR="00AE7A99">
        <w:t xml:space="preserve">relevant </w:t>
      </w:r>
      <w:hyperlink r:id="rId23" w:history="1">
        <w:r w:rsidRPr="00AE7A99">
          <w:rPr>
            <w:rStyle w:val="Hyperlink"/>
          </w:rPr>
          <w:t>final decision</w:t>
        </w:r>
      </w:hyperlink>
      <w:r>
        <w:t xml:space="preserve"> o</w:t>
      </w:r>
      <w:r w:rsidR="00AE7A99">
        <w:t>n</w:t>
      </w:r>
      <w:r>
        <w:t xml:space="preserve"> </w:t>
      </w:r>
      <w:r w:rsidR="00AE7A99">
        <w:t xml:space="preserve">changes to </w:t>
      </w:r>
      <w:r>
        <w:t xml:space="preserve">the Determination that there is </w:t>
      </w:r>
      <w:r w:rsidR="00AE7A99">
        <w:t xml:space="preserve">presently </w:t>
      </w:r>
      <w:r>
        <w:t xml:space="preserve">insufficient evidence to link non-oral preparations containing </w:t>
      </w:r>
      <w:r w:rsidRPr="004354AC">
        <w:rPr>
          <w:i/>
          <w:iCs/>
        </w:rPr>
        <w:t>Camellia sinensis</w:t>
      </w:r>
      <w:r w:rsidR="0037211E">
        <w:rPr>
          <w:i/>
          <w:iCs/>
        </w:rPr>
        <w:t xml:space="preserve"> </w:t>
      </w:r>
      <w:r w:rsidR="0037211E" w:rsidRPr="004E6B20">
        <w:t>extract</w:t>
      </w:r>
      <w:r>
        <w:t xml:space="preserve"> to adverse health events.</w:t>
      </w:r>
      <w:r w:rsidR="00437B35">
        <w:t xml:space="preserve"> Despite the </w:t>
      </w:r>
      <w:r w:rsidR="006B66A7">
        <w:t xml:space="preserve">Register </w:t>
      </w:r>
      <w:r w:rsidR="00046F13">
        <w:t>listing</w:t>
      </w:r>
      <w:r w:rsidR="00437B35">
        <w:t xml:space="preserve"> </w:t>
      </w:r>
      <w:r w:rsidR="00046F13">
        <w:t>several</w:t>
      </w:r>
      <w:r w:rsidR="00437B35">
        <w:t xml:space="preserve"> topical products</w:t>
      </w:r>
      <w:r w:rsidR="00AE7A99">
        <w:t xml:space="preserve"> </w:t>
      </w:r>
      <w:r w:rsidR="00437B35">
        <w:t xml:space="preserve">that contain </w:t>
      </w:r>
      <w:r w:rsidR="00437B35" w:rsidRPr="000B59FC">
        <w:rPr>
          <w:i/>
          <w:iCs/>
        </w:rPr>
        <w:t>Camellia sinensis</w:t>
      </w:r>
      <w:r w:rsidR="0037211E">
        <w:rPr>
          <w:i/>
          <w:iCs/>
        </w:rPr>
        <w:t xml:space="preserve"> </w:t>
      </w:r>
      <w:r w:rsidR="0037211E" w:rsidRPr="004E6B20">
        <w:t>extract</w:t>
      </w:r>
      <w:r w:rsidR="00437B35">
        <w:t xml:space="preserve"> as an excipient, </w:t>
      </w:r>
      <w:r w:rsidR="00AE7A99">
        <w:t xml:space="preserve">such as sunscreens, there have been </w:t>
      </w:r>
      <w:r w:rsidR="00437B35">
        <w:t>no safety concerns identified with this route of administration</w:t>
      </w:r>
      <w:r w:rsidR="00AE7A99">
        <w:t xml:space="preserve"> for the substance</w:t>
      </w:r>
      <w:r w:rsidR="00437B35">
        <w:t xml:space="preserve">. </w:t>
      </w:r>
      <w:r w:rsidR="00DC2ECB">
        <w:t xml:space="preserve">There have also been no concerns raised regarding the use of </w:t>
      </w:r>
      <w:r w:rsidR="00DC2ECB" w:rsidRPr="00DC2ECB">
        <w:rPr>
          <w:i/>
          <w:iCs/>
        </w:rPr>
        <w:t>Camellia sinensis</w:t>
      </w:r>
      <w:r w:rsidR="0037211E">
        <w:rPr>
          <w:i/>
          <w:iCs/>
        </w:rPr>
        <w:t xml:space="preserve"> </w:t>
      </w:r>
      <w:r w:rsidR="0037211E" w:rsidRPr="004E6B20">
        <w:t>extract</w:t>
      </w:r>
      <w:r w:rsidR="00DC2ECB">
        <w:t xml:space="preserve"> in cosmetic preparations. </w:t>
      </w:r>
      <w:r w:rsidR="00437B35" w:rsidRPr="0047669A">
        <w:t xml:space="preserve">Therefore, I have decided to limit the scheduling entry to </w:t>
      </w:r>
      <w:r w:rsidR="00437B35" w:rsidRPr="0047669A">
        <w:rPr>
          <w:i/>
          <w:iCs/>
        </w:rPr>
        <w:t>Camellia sinensis</w:t>
      </w:r>
      <w:r w:rsidR="0037211E">
        <w:rPr>
          <w:i/>
          <w:iCs/>
        </w:rPr>
        <w:t xml:space="preserve"> </w:t>
      </w:r>
      <w:r w:rsidR="0037211E" w:rsidRPr="004E6B20">
        <w:t>extract</w:t>
      </w:r>
      <w:r w:rsidR="00437B35" w:rsidRPr="0047669A">
        <w:t xml:space="preserve"> in preparations for oral use, where a considerable body of evidence indicates a risk to public health.</w:t>
      </w:r>
    </w:p>
    <w:p w14:paraId="4A3C1787" w14:textId="22087B74" w:rsidR="00437B35" w:rsidRDefault="00437B35" w:rsidP="00BB34CD">
      <w:r w:rsidRPr="00242969">
        <w:rPr>
          <w:b/>
          <w:bCs/>
        </w:rPr>
        <w:t>Preparations for therapeutic use</w:t>
      </w:r>
      <w:r>
        <w:t xml:space="preserve">: </w:t>
      </w:r>
      <w:r w:rsidR="009A71A6">
        <w:t xml:space="preserve">I recognise that currently all medicines containing </w:t>
      </w:r>
      <w:r w:rsidR="009A71A6" w:rsidRPr="009A71A6">
        <w:rPr>
          <w:i/>
          <w:iCs/>
        </w:rPr>
        <w:t>Camellia sinensis</w:t>
      </w:r>
      <w:r w:rsidR="0037211E">
        <w:rPr>
          <w:i/>
          <w:iCs/>
        </w:rPr>
        <w:t xml:space="preserve"> </w:t>
      </w:r>
      <w:r w:rsidR="0037211E" w:rsidRPr="004E6B20">
        <w:t>extract</w:t>
      </w:r>
      <w:r w:rsidR="009A71A6">
        <w:t xml:space="preserve"> on the </w:t>
      </w:r>
      <w:r w:rsidR="006B66A7">
        <w:t xml:space="preserve">Register </w:t>
      </w:r>
      <w:r w:rsidR="009A71A6">
        <w:t xml:space="preserve">are listed medicines </w:t>
      </w:r>
      <w:r w:rsidR="00B32CB6">
        <w:t>which must comply with the Determination including the requirements for warning labels where applicable.</w:t>
      </w:r>
      <w:r w:rsidR="00B32CB6" w:rsidRPr="00B32CB6">
        <w:t xml:space="preserve"> </w:t>
      </w:r>
      <w:r w:rsidR="00B32CB6">
        <w:t xml:space="preserve">Therefore, any entry in the Poisons Standard that applies to therapeutic products containing </w:t>
      </w:r>
      <w:r w:rsidR="00B32CB6" w:rsidRPr="008329A9">
        <w:rPr>
          <w:i/>
          <w:iCs/>
        </w:rPr>
        <w:t>Camellia sinensis</w:t>
      </w:r>
      <w:r w:rsidR="0037211E">
        <w:rPr>
          <w:i/>
          <w:iCs/>
        </w:rPr>
        <w:t xml:space="preserve"> </w:t>
      </w:r>
      <w:r w:rsidR="0037211E" w:rsidRPr="004E6B20">
        <w:t>extract</w:t>
      </w:r>
      <w:r w:rsidR="00B32CB6">
        <w:t xml:space="preserve"> will either duplicate or, in future, potentially contradict the requirements imposed by the Determination.</w:t>
      </w:r>
      <w:r w:rsidR="002C2AFA">
        <w:t xml:space="preserve"> </w:t>
      </w:r>
      <w:r w:rsidR="002C2AFA" w:rsidRPr="00880757">
        <w:t xml:space="preserve">By exempting </w:t>
      </w:r>
      <w:r w:rsidR="002C2AFA" w:rsidRPr="009A71A6">
        <w:rPr>
          <w:i/>
          <w:iCs/>
        </w:rPr>
        <w:t>Camellia sinensis</w:t>
      </w:r>
      <w:r w:rsidR="002C2AFA">
        <w:t xml:space="preserve"> extracts in </w:t>
      </w:r>
      <w:r w:rsidR="002C2AFA" w:rsidRPr="00880757">
        <w:t>human therapeutic</w:t>
      </w:r>
      <w:r w:rsidR="002C2AFA">
        <w:t xml:space="preserve"> preparations from the Schedule 5 entry</w:t>
      </w:r>
      <w:r w:rsidR="002C2AFA" w:rsidRPr="00880757">
        <w:t xml:space="preserve">, </w:t>
      </w:r>
      <w:r w:rsidR="002C2AFA">
        <w:t>the Determination</w:t>
      </w:r>
      <w:r w:rsidR="002C2AFA" w:rsidRPr="00880757">
        <w:t xml:space="preserve"> remains the sole</w:t>
      </w:r>
      <w:r w:rsidR="002C2AFA">
        <w:t xml:space="preserve"> </w:t>
      </w:r>
      <w:r w:rsidR="002C2AFA" w:rsidRPr="00880757">
        <w:t xml:space="preserve">applicable legislative instrument for the regulation of </w:t>
      </w:r>
      <w:r w:rsidR="002C2AFA" w:rsidRPr="00880757">
        <w:rPr>
          <w:i/>
          <w:iCs/>
        </w:rPr>
        <w:t>Camellia sinensis</w:t>
      </w:r>
      <w:r w:rsidR="002C2AFA" w:rsidRPr="00880757">
        <w:t xml:space="preserve"> </w:t>
      </w:r>
      <w:r w:rsidR="0037211E" w:rsidRPr="004E6B20">
        <w:t>extract</w:t>
      </w:r>
      <w:r w:rsidR="0037211E" w:rsidRPr="00880757">
        <w:t xml:space="preserve"> </w:t>
      </w:r>
      <w:r w:rsidR="002C2AFA" w:rsidRPr="00880757">
        <w:t xml:space="preserve">in listed medicines. Some listed medicines may also require advisory statements about specific </w:t>
      </w:r>
      <w:r w:rsidR="002C2AFA" w:rsidRPr="00880757">
        <w:lastRenderedPageBreak/>
        <w:t xml:space="preserve">risks related to use of the medicines as set out in the Required Advisory Statements for Medicine Labels (RASML). While the most recent version of RASML (Therapeutic Goods (Medicines Advisory Statements) Specification 2021) does not include any warning statements for </w:t>
      </w:r>
      <w:r w:rsidR="002C2AFA" w:rsidRPr="00880757">
        <w:rPr>
          <w:i/>
          <w:iCs/>
        </w:rPr>
        <w:t>Camellia sinensis</w:t>
      </w:r>
      <w:r w:rsidR="0037211E">
        <w:rPr>
          <w:i/>
          <w:iCs/>
        </w:rPr>
        <w:t xml:space="preserve"> </w:t>
      </w:r>
      <w:r w:rsidR="0037211E" w:rsidRPr="004E6B20">
        <w:t>extract</w:t>
      </w:r>
      <w:r w:rsidR="002C2AFA" w:rsidRPr="00880757">
        <w:t xml:space="preserve">, the Poisons Standard entry covers any future changes to RASML. </w:t>
      </w:r>
      <w:r w:rsidR="002C2AFA">
        <w:t>As</w:t>
      </w:r>
      <w:r w:rsidR="002C2AFA" w:rsidRPr="00880757">
        <w:t xml:space="preserve"> the Register </w:t>
      </w:r>
      <w:r w:rsidR="002C2AFA">
        <w:t xml:space="preserve">currently does not </w:t>
      </w:r>
      <w:r w:rsidR="002C2AFA" w:rsidRPr="00880757">
        <w:t xml:space="preserve">include </w:t>
      </w:r>
      <w:r w:rsidR="002C2AFA">
        <w:t>any</w:t>
      </w:r>
      <w:r w:rsidR="0037211E" w:rsidRPr="0037211E">
        <w:t xml:space="preserve"> </w:t>
      </w:r>
      <w:r w:rsidR="0037211E" w:rsidRPr="00880757">
        <w:t>therapeutic preparations</w:t>
      </w:r>
      <w:r w:rsidR="0037211E">
        <w:t xml:space="preserve"> containing</w:t>
      </w:r>
      <w:r w:rsidR="002C2AFA" w:rsidRPr="00880757">
        <w:t xml:space="preserve"> </w:t>
      </w:r>
      <w:r w:rsidR="002C2AFA" w:rsidRPr="00880757">
        <w:rPr>
          <w:i/>
          <w:iCs/>
        </w:rPr>
        <w:t>Camellia sinensis</w:t>
      </w:r>
      <w:r w:rsidR="0037211E">
        <w:rPr>
          <w:i/>
          <w:iCs/>
        </w:rPr>
        <w:t xml:space="preserve"> </w:t>
      </w:r>
      <w:r w:rsidR="0037211E" w:rsidRPr="004E6B20">
        <w:t>extract</w:t>
      </w:r>
      <w:r w:rsidR="002C2AFA" w:rsidRPr="00880757">
        <w:t xml:space="preserve"> other than listed medicines</w:t>
      </w:r>
      <w:r w:rsidR="002C2AFA">
        <w:t xml:space="preserve">, there is no </w:t>
      </w:r>
      <w:r w:rsidR="001F6DBF">
        <w:t xml:space="preserve">impact from </w:t>
      </w:r>
      <w:r w:rsidR="002C2AFA" w:rsidRPr="00880757">
        <w:t xml:space="preserve">amending the </w:t>
      </w:r>
      <w:r w:rsidR="002C2AFA">
        <w:t xml:space="preserve">wordings as suggested in the </w:t>
      </w:r>
      <w:hyperlink r:id="rId24" w:history="1">
        <w:r w:rsidR="002C2AFA" w:rsidRPr="003D7FB4">
          <w:rPr>
            <w:rStyle w:val="Hyperlink"/>
          </w:rPr>
          <w:t>additional</w:t>
        </w:r>
        <w:r w:rsidR="002C2AFA" w:rsidRPr="001D4FBF">
          <w:rPr>
            <w:rStyle w:val="Hyperlink"/>
            <w:rFonts w:asciiTheme="minorHAnsi" w:hAnsiTheme="minorHAnsi"/>
          </w:rPr>
          <w:t xml:space="preserve"> </w:t>
        </w:r>
        <w:r w:rsidR="002C2AFA" w:rsidRPr="003D7FB4">
          <w:rPr>
            <w:rStyle w:val="Hyperlink"/>
          </w:rPr>
          <w:t>consultation</w:t>
        </w:r>
      </w:hyperlink>
      <w:r w:rsidR="002C2AFA">
        <w:t xml:space="preserve"> to </w:t>
      </w:r>
      <w:r w:rsidR="001F6DBF">
        <w:t xml:space="preserve">those in </w:t>
      </w:r>
      <w:r w:rsidR="002C2AFA">
        <w:t>in my final decision (above)</w:t>
      </w:r>
      <w:r w:rsidR="00A87016" w:rsidRPr="002C2AFA">
        <w:t>.</w:t>
      </w:r>
    </w:p>
    <w:p w14:paraId="491B0E1E" w14:textId="651F5919" w:rsidR="006734EA" w:rsidRDefault="004D120B" w:rsidP="006734EA">
      <w:r w:rsidRPr="00D81445">
        <w:rPr>
          <w:b/>
          <w:bCs/>
        </w:rPr>
        <w:t>Supplements</w:t>
      </w:r>
      <w:r>
        <w:t xml:space="preserve">: I observe that </w:t>
      </w:r>
      <w:r w:rsidRPr="004D120B">
        <w:rPr>
          <w:i/>
          <w:iCs/>
        </w:rPr>
        <w:t>Camellia sinensis</w:t>
      </w:r>
      <w:r>
        <w:t xml:space="preserve"> is a popular ingredient in numerous </w:t>
      </w:r>
      <w:r w:rsidR="00F55935">
        <w:t xml:space="preserve">health </w:t>
      </w:r>
      <w:r>
        <w:t xml:space="preserve">supplements that are available </w:t>
      </w:r>
      <w:r w:rsidR="00F55935">
        <w:t xml:space="preserve">for </w:t>
      </w:r>
      <w:r>
        <w:t>over</w:t>
      </w:r>
      <w:r w:rsidR="00F55935">
        <w:t>-</w:t>
      </w:r>
      <w:r>
        <w:t>the</w:t>
      </w:r>
      <w:r w:rsidR="00F55935">
        <w:t>-</w:t>
      </w:r>
      <w:r>
        <w:t xml:space="preserve">counter </w:t>
      </w:r>
      <w:r w:rsidR="00F55935">
        <w:t xml:space="preserve">sale </w:t>
      </w:r>
      <w:r>
        <w:t xml:space="preserve">in Australia. The substance is frequently included </w:t>
      </w:r>
      <w:r w:rsidR="0014024B">
        <w:t xml:space="preserve">in weight loss supplements </w:t>
      </w:r>
      <w:r>
        <w:t>either as a sole ingredient</w:t>
      </w:r>
      <w:r w:rsidR="0014024B">
        <w:t>,</w:t>
      </w:r>
      <w:r>
        <w:t xml:space="preserve"> or in combination, due to its thermogenic properties.</w:t>
      </w:r>
      <w:r w:rsidR="0014024B">
        <w:t xml:space="preserve"> </w:t>
      </w:r>
      <w:r w:rsidR="001D565C">
        <w:t xml:space="preserve">Some </w:t>
      </w:r>
      <w:r w:rsidR="000B59FC">
        <w:t>supplement</w:t>
      </w:r>
      <w:r w:rsidR="0014024B">
        <w:t xml:space="preserve">s are </w:t>
      </w:r>
      <w:r w:rsidR="000B59FC">
        <w:t xml:space="preserve">now </w:t>
      </w:r>
      <w:r w:rsidR="0014024B">
        <w:t>defined as therapeutic goods</w:t>
      </w:r>
      <w:r w:rsidR="00F33159">
        <w:rPr>
          <w:rStyle w:val="FootnoteReference"/>
        </w:rPr>
        <w:footnoteReference w:id="6"/>
      </w:r>
      <w:r w:rsidR="0014024B">
        <w:t xml:space="preserve"> under the </w:t>
      </w:r>
      <w:r w:rsidR="0014024B" w:rsidRPr="00D81445">
        <w:rPr>
          <w:i/>
          <w:iCs/>
        </w:rPr>
        <w:t>Therapeutic Goods (Declared Goods) Order 2019</w:t>
      </w:r>
      <w:r w:rsidR="001D565C">
        <w:t>,</w:t>
      </w:r>
      <w:r w:rsidR="00D81445">
        <w:rPr>
          <w:rStyle w:val="FootnoteReference"/>
        </w:rPr>
        <w:footnoteReference w:id="7"/>
      </w:r>
      <w:r w:rsidR="0014024B">
        <w:t xml:space="preserve"> </w:t>
      </w:r>
      <w:r w:rsidR="001D565C">
        <w:t xml:space="preserve">and therefore </w:t>
      </w:r>
      <w:r w:rsidR="009F3A12">
        <w:t>are</w:t>
      </w:r>
      <w:r w:rsidR="001D565C">
        <w:t xml:space="preserve"> subject to </w:t>
      </w:r>
      <w:r w:rsidR="00706E07">
        <w:t>inclusion</w:t>
      </w:r>
      <w:r w:rsidR="001D565C">
        <w:t xml:space="preserve"> on the </w:t>
      </w:r>
      <w:r w:rsidR="006B66A7">
        <w:t xml:space="preserve">Register </w:t>
      </w:r>
      <w:r w:rsidR="001D565C">
        <w:t xml:space="preserve">and </w:t>
      </w:r>
      <w:r w:rsidR="006B66A7">
        <w:t xml:space="preserve">are required </w:t>
      </w:r>
      <w:r w:rsidR="001D565C">
        <w:t>to comply with the requirements of the Determination.</w:t>
      </w:r>
      <w:r w:rsidR="009F3A12">
        <w:t xml:space="preserve"> Examples include supplements containing </w:t>
      </w:r>
      <w:r w:rsidR="009F3A12" w:rsidRPr="004C7F44">
        <w:rPr>
          <w:i/>
          <w:iCs/>
        </w:rPr>
        <w:t>Camellia sine</w:t>
      </w:r>
      <w:r w:rsidR="004C7F44" w:rsidRPr="004C7F44">
        <w:rPr>
          <w:i/>
          <w:iCs/>
        </w:rPr>
        <w:t>n</w:t>
      </w:r>
      <w:r w:rsidR="009F3A12" w:rsidRPr="004C7F44">
        <w:rPr>
          <w:i/>
          <w:iCs/>
        </w:rPr>
        <w:t>sis</w:t>
      </w:r>
      <w:r w:rsidR="009F3A12">
        <w:t xml:space="preserve"> extracts that are </w:t>
      </w:r>
      <w:r w:rsidR="004C7F44">
        <w:t xml:space="preserve">used, advertised or presented </w:t>
      </w:r>
      <w:r w:rsidR="004C7F44" w:rsidRPr="004C7F44">
        <w:t>for the improvement or maintenance of physical or mental performance in sport, exercise or recreational activity</w:t>
      </w:r>
      <w:r w:rsidR="004C7F44">
        <w:t xml:space="preserve"> or weight loss. </w:t>
      </w:r>
      <w:r w:rsidR="001D565C">
        <w:t>H</w:t>
      </w:r>
      <w:r w:rsidR="0014024B">
        <w:t>owever</w:t>
      </w:r>
      <w:r w:rsidR="001D565C">
        <w:t>,</w:t>
      </w:r>
      <w:r w:rsidR="0014024B">
        <w:t xml:space="preserve"> there </w:t>
      </w:r>
      <w:r w:rsidR="004C7F44">
        <w:t xml:space="preserve">is a range </w:t>
      </w:r>
      <w:r w:rsidR="0014024B">
        <w:t xml:space="preserve">of marketed products containing </w:t>
      </w:r>
      <w:r w:rsidR="0014024B" w:rsidRPr="0014024B">
        <w:rPr>
          <w:i/>
          <w:iCs/>
        </w:rPr>
        <w:t>Camellia sinensis</w:t>
      </w:r>
      <w:r w:rsidR="0014024B">
        <w:t xml:space="preserve"> extract that fall outside the scope of this Order</w:t>
      </w:r>
      <w:r w:rsidR="001D565C">
        <w:t>, whether</w:t>
      </w:r>
      <w:r w:rsidR="00D81445">
        <w:t xml:space="preserve"> due to a lack of health claims on the product</w:t>
      </w:r>
      <w:r w:rsidR="001D565C">
        <w:t xml:space="preserve"> labelling</w:t>
      </w:r>
      <w:r w:rsidR="00D81445">
        <w:t xml:space="preserve"> or the dosage form of the product </w:t>
      </w:r>
      <w:r w:rsidR="001D565C">
        <w:t xml:space="preserve">itself </w:t>
      </w:r>
      <w:r w:rsidR="00D81445">
        <w:t>(usually bulk powders)</w:t>
      </w:r>
      <w:r w:rsidR="0014024B">
        <w:t>.</w:t>
      </w:r>
      <w:r w:rsidR="00D81445">
        <w:t xml:space="preserve"> The presence of </w:t>
      </w:r>
      <w:r w:rsidR="00D81445" w:rsidRPr="00D81445">
        <w:rPr>
          <w:i/>
          <w:iCs/>
        </w:rPr>
        <w:t>Camellia sinensis</w:t>
      </w:r>
      <w:r w:rsidR="00D81445">
        <w:t xml:space="preserve"> extract in </w:t>
      </w:r>
      <w:r w:rsidR="006C4FCA">
        <w:t xml:space="preserve">these </w:t>
      </w:r>
      <w:r w:rsidR="00D81445">
        <w:t xml:space="preserve">products presents a genuine risk to public health, and I find that is appropriate </w:t>
      </w:r>
      <w:r w:rsidR="006C4FCA">
        <w:t xml:space="preserve">that they are </w:t>
      </w:r>
      <w:r w:rsidR="00D81445">
        <w:t>included in the scope of the new Schedule 5 entry for this substance.</w:t>
      </w:r>
      <w:r w:rsidR="006734EA">
        <w:t xml:space="preserve"> </w:t>
      </w:r>
      <w:r w:rsidR="006734EA" w:rsidRPr="00FD0B86">
        <w:t xml:space="preserve">The potential for background dietary exposure of </w:t>
      </w:r>
      <w:r w:rsidR="006734EA" w:rsidRPr="004C7F44">
        <w:rPr>
          <w:i/>
          <w:iCs/>
        </w:rPr>
        <w:t>Camellia sinensis</w:t>
      </w:r>
      <w:r w:rsidR="006734EA">
        <w:t xml:space="preserve"> extracts</w:t>
      </w:r>
      <w:r w:rsidR="006734EA" w:rsidRPr="00FD0B86">
        <w:t xml:space="preserve">, in addition to the risk of liver injury, supports cautionary labelling for the supplemental use of </w:t>
      </w:r>
      <w:r w:rsidR="006734EA" w:rsidRPr="004C7F44">
        <w:rPr>
          <w:i/>
          <w:iCs/>
        </w:rPr>
        <w:t>Camellia sinensis</w:t>
      </w:r>
      <w:r w:rsidR="006734EA">
        <w:t xml:space="preserve"> extracts</w:t>
      </w:r>
      <w:r w:rsidR="006734EA" w:rsidRPr="00FD0B86">
        <w:t xml:space="preserve"> to prevent overconsumption.</w:t>
      </w:r>
    </w:p>
    <w:p w14:paraId="03DA514F" w14:textId="032FB93C" w:rsidR="006734EA" w:rsidRDefault="00B654E4" w:rsidP="00BB34CD">
      <w:r w:rsidRPr="00B654E4">
        <w:rPr>
          <w:b/>
          <w:bCs/>
        </w:rPr>
        <w:t>Food</w:t>
      </w:r>
      <w:r>
        <w:t xml:space="preserve">: </w:t>
      </w:r>
      <w:r w:rsidR="00783C45">
        <w:t xml:space="preserve">The new Schedule 5 entry for </w:t>
      </w:r>
      <w:r w:rsidR="00783C45" w:rsidRPr="004C7F44">
        <w:rPr>
          <w:i/>
          <w:iCs/>
        </w:rPr>
        <w:t>Camellia sinensis</w:t>
      </w:r>
      <w:r w:rsidR="00783C45">
        <w:t xml:space="preserve"> extracts intends to capture the concentrated extracts that pose a risk of liver toxicity due to high EGCG content. </w:t>
      </w:r>
      <w:r>
        <w:t xml:space="preserve">The </w:t>
      </w:r>
      <w:r w:rsidR="00F55935">
        <w:t xml:space="preserve">Poisons Standard’s </w:t>
      </w:r>
      <w:r w:rsidR="001F6DBF">
        <w:t>Appendix </w:t>
      </w:r>
      <w:r>
        <w:t>A entry exempts all products defined as food</w:t>
      </w:r>
      <w:r w:rsidR="004C7F44">
        <w:t>,</w:t>
      </w:r>
      <w:r>
        <w:t xml:space="preserve"> </w:t>
      </w:r>
      <w:r w:rsidR="004C7F44">
        <w:t xml:space="preserve">but not food additives, </w:t>
      </w:r>
      <w:r>
        <w:t>from the requirements of the Poisons Standard.</w:t>
      </w:r>
      <w:r w:rsidR="000A34C7">
        <w:t xml:space="preserve"> Given the wide use of </w:t>
      </w:r>
      <w:r w:rsidR="000A34C7" w:rsidRPr="00AE7A99">
        <w:rPr>
          <w:i/>
          <w:iCs/>
        </w:rPr>
        <w:t>Camellia sinensis</w:t>
      </w:r>
      <w:r w:rsidR="000A34C7">
        <w:t xml:space="preserve"> both as a food itself (</w:t>
      </w:r>
      <w:r w:rsidR="00107E83">
        <w:t xml:space="preserve">e.g. </w:t>
      </w:r>
      <w:r w:rsidR="000A34C7">
        <w:t xml:space="preserve">in the preparation of </w:t>
      </w:r>
      <w:r w:rsidR="00107E83">
        <w:t xml:space="preserve">brewed </w:t>
      </w:r>
      <w:r w:rsidR="000A34C7">
        <w:t xml:space="preserve">beverages), and as an ingredient used in food for its flavouring, colouring and antioxidant properties, it is important to be clear that </w:t>
      </w:r>
      <w:r w:rsidR="000A34C7" w:rsidRPr="00706E07">
        <w:rPr>
          <w:i/>
          <w:iCs/>
        </w:rPr>
        <w:t xml:space="preserve">no products </w:t>
      </w:r>
      <w:r w:rsidR="00AE7A99" w:rsidRPr="00706E07">
        <w:rPr>
          <w:i/>
          <w:iCs/>
        </w:rPr>
        <w:t xml:space="preserve">regarded as foods </w:t>
      </w:r>
      <w:r w:rsidR="002C2AFA" w:rsidRPr="00706E07">
        <w:rPr>
          <w:i/>
          <w:iCs/>
        </w:rPr>
        <w:t xml:space="preserve">per se </w:t>
      </w:r>
      <w:r w:rsidR="000A34C7" w:rsidRPr="00706E07">
        <w:rPr>
          <w:i/>
          <w:iCs/>
        </w:rPr>
        <w:t>are affected by the new Schedule 5 entry</w:t>
      </w:r>
      <w:r w:rsidR="000A34C7">
        <w:t xml:space="preserve">. </w:t>
      </w:r>
      <w:r w:rsidR="006734EA">
        <w:t>The new scheduling entry allows for further dietary exposures to EGCG for example through consumption of brewed green tea and t</w:t>
      </w:r>
      <w:r w:rsidR="000A34C7">
        <w:t xml:space="preserve">he use of </w:t>
      </w:r>
      <w:r w:rsidR="000A34C7" w:rsidRPr="00AE7A99">
        <w:rPr>
          <w:i/>
          <w:iCs/>
        </w:rPr>
        <w:t>Camellia sinensis</w:t>
      </w:r>
      <w:r w:rsidR="000A34C7">
        <w:t xml:space="preserve"> in foods remains wholly regulated by Food Standards Australia New Zealand (FSANZ) under the Food Standards Code.</w:t>
      </w:r>
      <w:r w:rsidR="00F65C5D">
        <w:t xml:space="preserve"> </w:t>
      </w:r>
      <w:r w:rsidR="006734EA">
        <w:t>However, any</w:t>
      </w:r>
      <w:r w:rsidR="006734EA" w:rsidRPr="006734EA">
        <w:t xml:space="preserve"> </w:t>
      </w:r>
      <w:r w:rsidR="006734EA">
        <w:t xml:space="preserve">food </w:t>
      </w:r>
      <w:r w:rsidR="006734EA" w:rsidRPr="006734EA">
        <w:t>contain</w:t>
      </w:r>
      <w:r w:rsidR="006734EA">
        <w:t>ing</w:t>
      </w:r>
      <w:r w:rsidR="006734EA" w:rsidRPr="006734EA">
        <w:t xml:space="preserve"> </w:t>
      </w:r>
      <w:r w:rsidR="006734EA" w:rsidRPr="006734EA">
        <w:rPr>
          <w:i/>
          <w:iCs/>
        </w:rPr>
        <w:t>Camellia sinensis</w:t>
      </w:r>
      <w:r w:rsidR="006734EA">
        <w:t xml:space="preserve"> extract</w:t>
      </w:r>
      <w:r w:rsidR="006734EA" w:rsidRPr="006734EA">
        <w:t xml:space="preserve"> with ECGC above the maximum recommended daily dose will </w:t>
      </w:r>
      <w:r w:rsidR="006734EA">
        <w:t>be considered a</w:t>
      </w:r>
      <w:r w:rsidR="006734EA" w:rsidRPr="006734EA">
        <w:t xml:space="preserve"> S</w:t>
      </w:r>
      <w:r w:rsidR="006734EA">
        <w:t>chedule 5 substance</w:t>
      </w:r>
      <w:r w:rsidR="006734EA" w:rsidRPr="006734EA">
        <w:t xml:space="preserve"> and</w:t>
      </w:r>
      <w:r w:rsidR="006734EA">
        <w:t xml:space="preserve"> will</w:t>
      </w:r>
      <w:r w:rsidR="006734EA" w:rsidRPr="006734EA">
        <w:t xml:space="preserve"> require warning statements.</w:t>
      </w:r>
    </w:p>
    <w:p w14:paraId="3896A285" w14:textId="37B369BC" w:rsidR="00DD5478" w:rsidRDefault="00D81445" w:rsidP="00BB34CD">
      <w:r w:rsidRPr="00D81445">
        <w:rPr>
          <w:b/>
          <w:bCs/>
        </w:rPr>
        <w:t>Food additives</w:t>
      </w:r>
      <w:r>
        <w:t xml:space="preserve">: </w:t>
      </w:r>
      <w:r w:rsidR="00B331EF">
        <w:t xml:space="preserve">I am aware that bulk powders containing </w:t>
      </w:r>
      <w:r w:rsidR="00B331EF" w:rsidRPr="005C33E3">
        <w:rPr>
          <w:i/>
          <w:iCs/>
        </w:rPr>
        <w:t>Camellia sinensis</w:t>
      </w:r>
      <w:r w:rsidR="00B331EF">
        <w:t xml:space="preserve"> extract that can provide more than 300 mg EGCG per day are available as food additives. </w:t>
      </w:r>
      <w:r w:rsidR="006734EA">
        <w:t xml:space="preserve">I find that this presents a risk to public health and these preparations should be included among those that are subject to controls under the Poisons Standard. </w:t>
      </w:r>
      <w:r w:rsidR="00DD5478">
        <w:t xml:space="preserve">The Poisons Standard’s Appendix A entry does not exempt food additives before incorporation into food. </w:t>
      </w:r>
      <w:r w:rsidR="006734EA">
        <w:t xml:space="preserve">The new Schedule 5 entry ensures that </w:t>
      </w:r>
      <w:r w:rsidR="00B331EF">
        <w:t xml:space="preserve">any </w:t>
      </w:r>
      <w:r w:rsidR="00A13498">
        <w:t xml:space="preserve">food additive providing more than 300 mg EGCG per day </w:t>
      </w:r>
      <w:r w:rsidR="006734EA">
        <w:t xml:space="preserve">is classified </w:t>
      </w:r>
      <w:r w:rsidR="00A13498">
        <w:t xml:space="preserve">as </w:t>
      </w:r>
      <w:r w:rsidR="00B331EF">
        <w:t xml:space="preserve">a </w:t>
      </w:r>
      <w:r w:rsidR="00A13498">
        <w:t>Schedule 5 substance</w:t>
      </w:r>
      <w:r w:rsidR="00B331EF">
        <w:t xml:space="preserve">. </w:t>
      </w:r>
      <w:r w:rsidR="00AB20E4">
        <w:t>R</w:t>
      </w:r>
      <w:r w:rsidR="00B331EF">
        <w:t>isk mitigation measures</w:t>
      </w:r>
      <w:r w:rsidR="00AB20E4">
        <w:t xml:space="preserve"> such as appropriate packaging and</w:t>
      </w:r>
      <w:r w:rsidR="00B331EF">
        <w:t xml:space="preserve"> including warning labels will </w:t>
      </w:r>
      <w:r w:rsidR="00AB20E4">
        <w:t>apply</w:t>
      </w:r>
      <w:r w:rsidR="00B331EF">
        <w:t xml:space="preserve"> to such products. </w:t>
      </w:r>
    </w:p>
    <w:p w14:paraId="0D9A2B2D" w14:textId="3035BC8F" w:rsidR="00BA18E2" w:rsidRPr="004354AC" w:rsidRDefault="00BA18E2" w:rsidP="00BB34CD">
      <w:r>
        <w:t>Given the potential scope of this decision and the range of products that may be affected, I have elected to extend the implementation period of this decision. This extended lead time should allow manufacturers to make the necessary alterations to the labelling for their products</w:t>
      </w:r>
      <w:r w:rsidR="00BE4404">
        <w:t xml:space="preserve"> prior to the implementation date</w:t>
      </w:r>
      <w:r>
        <w:t>.</w:t>
      </w:r>
    </w:p>
    <w:p w14:paraId="5CBC093C" w14:textId="63ADBEA4" w:rsidR="00457050" w:rsidRPr="00BB34CD" w:rsidRDefault="00457050" w:rsidP="00BB34CD">
      <w:pPr>
        <w:rPr>
          <w:b/>
          <w:bCs/>
          <w:i/>
          <w:iCs/>
        </w:rPr>
      </w:pPr>
      <w:r w:rsidRPr="00BB34CD">
        <w:rPr>
          <w:b/>
          <w:bCs/>
          <w:i/>
          <w:iCs/>
        </w:rPr>
        <w:t xml:space="preserve">Implementation date </w:t>
      </w:r>
    </w:p>
    <w:p w14:paraId="3D58E140" w14:textId="29F1240A" w:rsidR="00C6381B" w:rsidRDefault="00BA18E2" w:rsidP="00967490">
      <w:r>
        <w:t xml:space="preserve">1 </w:t>
      </w:r>
      <w:r w:rsidR="00F1335F">
        <w:t xml:space="preserve">October </w:t>
      </w:r>
      <w:r>
        <w:t>202</w:t>
      </w:r>
      <w:r w:rsidR="00706E07">
        <w:t>6</w:t>
      </w:r>
    </w:p>
    <w:p w14:paraId="704769FD" w14:textId="77777777" w:rsidR="00C6381B" w:rsidRDefault="00C6381B" w:rsidP="00967490"/>
    <w:p w14:paraId="1C7DEDBF" w14:textId="7EBA025F" w:rsidR="000D7942" w:rsidRPr="00215D48" w:rsidRDefault="000D7942" w:rsidP="00967490">
      <w:pPr>
        <w:sectPr w:rsidR="000D7942" w:rsidRPr="00215D48" w:rsidSect="00AE7C6A">
          <w:headerReference w:type="default" r:id="rId25"/>
          <w:footerReference w:type="default" r:id="rId2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27"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28"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9F29CA" w:rsidRDefault="009F29CA" w:rsidP="00967490"/>
    <w:sectPr w:rsidR="009F29CA" w:rsidSect="00AE7C6A">
      <w:headerReference w:type="first" r:id="rId29"/>
      <w:footerReference w:type="first" r:id="rId3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2A6B" w14:textId="77777777" w:rsidR="00925537" w:rsidRDefault="00925537" w:rsidP="00967490">
      <w:r>
        <w:separator/>
      </w:r>
    </w:p>
    <w:p w14:paraId="115E0A7D" w14:textId="77777777" w:rsidR="00925537" w:rsidRDefault="00925537" w:rsidP="00967490"/>
    <w:p w14:paraId="5FC5190D" w14:textId="77777777" w:rsidR="00925537" w:rsidRDefault="00925537" w:rsidP="00967490"/>
  </w:endnote>
  <w:endnote w:type="continuationSeparator" w:id="0">
    <w:p w14:paraId="015E7C31" w14:textId="77777777" w:rsidR="00925537" w:rsidRDefault="00925537" w:rsidP="00967490">
      <w:r>
        <w:continuationSeparator/>
      </w:r>
    </w:p>
    <w:p w14:paraId="20CF0E23" w14:textId="77777777" w:rsidR="00925537" w:rsidRDefault="00925537" w:rsidP="00967490"/>
    <w:p w14:paraId="425E203E" w14:textId="77777777" w:rsidR="00925537" w:rsidRDefault="00925537"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05BD5D91" w:rsidR="00F02AEC" w:rsidRPr="00DE78C9" w:rsidRDefault="004B6C75" w:rsidP="00DE78C9">
          <w:pPr>
            <w:ind w:left="-110"/>
            <w:rPr>
              <w:rFonts w:asciiTheme="minorHAnsi" w:hAnsiTheme="minorHAnsi" w:cstheme="minorHAnsi"/>
              <w:sz w:val="18"/>
              <w:szCs w:val="18"/>
            </w:rPr>
          </w:pPr>
          <w:r w:rsidRPr="004B6C75">
            <w:rPr>
              <w:rFonts w:asciiTheme="minorHAnsi" w:hAnsiTheme="minorHAnsi" w:cstheme="minorHAnsi"/>
              <w:sz w:val="18"/>
              <w:szCs w:val="18"/>
            </w:rPr>
            <w:t>Notice of final decision to amend (or not amend) the current Poisons Standard</w:t>
          </w:r>
          <w:r w:rsidR="00F02AEC" w:rsidRPr="00DE78C9">
            <w:rPr>
              <w:rFonts w:asciiTheme="minorHAnsi" w:hAnsiTheme="minorHAnsi" w:cstheme="minorHAnsi"/>
              <w:sz w:val="18"/>
              <w:szCs w:val="18"/>
            </w:rPr>
            <w:t xml:space="preserve"> </w:t>
          </w:r>
          <w:r w:rsidR="00F02AEC" w:rsidRPr="00DE78C9">
            <w:rPr>
              <w:rFonts w:asciiTheme="minorHAnsi" w:hAnsiTheme="minorHAnsi" w:cstheme="minorHAnsi"/>
              <w:sz w:val="18"/>
              <w:szCs w:val="18"/>
            </w:rPr>
            <w:br/>
          </w:r>
          <w:r w:rsidR="007212F7">
            <w:rPr>
              <w:rFonts w:asciiTheme="minorHAnsi" w:hAnsiTheme="minorHAnsi" w:cstheme="minorHAnsi"/>
              <w:sz w:val="18"/>
              <w:szCs w:val="18"/>
            </w:rPr>
            <w:t>February 2025</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DE78C9">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77777777" w:rsidR="009F29CA" w:rsidRPr="008E3C43" w:rsidRDefault="009F29CA"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9B76" w14:textId="77777777" w:rsidR="00925537" w:rsidRDefault="00925537" w:rsidP="00967490">
      <w:r>
        <w:separator/>
      </w:r>
    </w:p>
  </w:footnote>
  <w:footnote w:type="continuationSeparator" w:id="0">
    <w:p w14:paraId="474C32E5" w14:textId="77777777" w:rsidR="00925537" w:rsidRDefault="00925537" w:rsidP="00967490">
      <w:r>
        <w:continuationSeparator/>
      </w:r>
    </w:p>
    <w:p w14:paraId="51495135" w14:textId="77777777" w:rsidR="00925537" w:rsidRDefault="00925537" w:rsidP="00967490"/>
    <w:p w14:paraId="04BD4C2D" w14:textId="77777777" w:rsidR="00925537" w:rsidRDefault="00925537"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52D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(Cth). </w:t>
      </w:r>
    </w:p>
  </w:footnote>
  <w:footnote w:id="2">
    <w:p w14:paraId="5BA73176" w14:textId="2010C842" w:rsidR="004D120B" w:rsidRDefault="004D120B">
      <w:pPr>
        <w:pStyle w:val="FootnoteText"/>
      </w:pPr>
      <w:r>
        <w:rPr>
          <w:rStyle w:val="FootnoteReference"/>
        </w:rPr>
        <w:footnoteRef/>
      </w:r>
      <w:r>
        <w:t xml:space="preserve"> I note that this case did involve the use of other supplements by the consumer and therefore causality is not clear.</w:t>
      </w:r>
    </w:p>
  </w:footnote>
  <w:footnote w:id="3">
    <w:p w14:paraId="4F1BA0E3" w14:textId="71F3C3BB" w:rsidR="00A40CC3" w:rsidRDefault="00A40CC3" w:rsidP="001F3B69">
      <w:pPr>
        <w:pStyle w:val="FootnoteText"/>
        <w:spacing w:after="60"/>
      </w:pPr>
      <w:r>
        <w:rPr>
          <w:rStyle w:val="FootnoteReference"/>
        </w:rPr>
        <w:footnoteRef/>
      </w:r>
      <w:r>
        <w:t xml:space="preserve"> </w:t>
      </w:r>
      <w:hyperlink r:id="rId1" w:history="1">
        <w:r w:rsidRPr="00F55935">
          <w:rPr>
            <w:rStyle w:val="Hyperlink"/>
          </w:rPr>
          <w:t>Final decision on green tea extract in the Permissible Ingredients Determination</w:t>
        </w:r>
      </w:hyperlink>
    </w:p>
  </w:footnote>
  <w:footnote w:id="4">
    <w:p w14:paraId="38BC0B66" w14:textId="0D6E9133" w:rsidR="00D76BEF" w:rsidRDefault="00D76BEF">
      <w:pPr>
        <w:pStyle w:val="FootnoteText"/>
      </w:pPr>
      <w:r>
        <w:rPr>
          <w:rStyle w:val="FootnoteReference"/>
        </w:rPr>
        <w:footnoteRef/>
      </w:r>
      <w:r>
        <w:t xml:space="preserve"> </w:t>
      </w:r>
      <w:r w:rsidRPr="00D76BEF">
        <w:t>EFSA ANS Panel (EFSA Panel on Food Additives and Nutrient Sources added to Food), 2018. Scientific Opinion on the safety of green tea catechins. EFSA Journal 2018;16(4):5239, 89 pp. </w:t>
      </w:r>
      <w:hyperlink r:id="rId2" w:history="1">
        <w:r w:rsidRPr="00BC6493">
          <w:rPr>
            <w:rStyle w:val="Hyperlink"/>
          </w:rPr>
          <w:t>https://doi.org/10.2903/j.efsa.2018.5239</w:t>
        </w:r>
      </w:hyperlink>
      <w:r>
        <w:t xml:space="preserve">  </w:t>
      </w:r>
    </w:p>
  </w:footnote>
  <w:footnote w:id="5">
    <w:p w14:paraId="0B748F8A" w14:textId="7ED52A6E" w:rsidR="00FD0B86" w:rsidRDefault="00FD0B86">
      <w:pPr>
        <w:pStyle w:val="FootnoteText"/>
      </w:pPr>
      <w:r>
        <w:rPr>
          <w:rStyle w:val="FootnoteReference"/>
        </w:rPr>
        <w:footnoteRef/>
      </w:r>
      <w:r>
        <w:t xml:space="preserve"> </w:t>
      </w:r>
      <w:hyperlink r:id="rId3" w:history="1">
        <w:r w:rsidRPr="00BC6493">
          <w:rPr>
            <w:rStyle w:val="Hyperlink"/>
          </w:rPr>
          <w:t>https://www.canada.ca/en/health-canada/services/food-nutrition/public-involvement-partnerships/notice-modification-list-permitted-supplemental-ingredients-permit-use-green-tea-extract-supplemental-ingredient-foods/document.html</w:t>
        </w:r>
      </w:hyperlink>
      <w:r>
        <w:t xml:space="preserve"> </w:t>
      </w:r>
    </w:p>
  </w:footnote>
  <w:footnote w:id="6">
    <w:p w14:paraId="48184589" w14:textId="3471D5DA" w:rsidR="00F33159" w:rsidRDefault="00F33159">
      <w:pPr>
        <w:pStyle w:val="FootnoteText"/>
      </w:pPr>
      <w:r>
        <w:rPr>
          <w:rStyle w:val="FootnoteReference"/>
        </w:rPr>
        <w:footnoteRef/>
      </w:r>
      <w:r>
        <w:t xml:space="preserve"> </w:t>
      </w:r>
      <w:hyperlink r:id="rId4" w:history="1">
        <w:r w:rsidRPr="00F33159">
          <w:rPr>
            <w:rStyle w:val="Hyperlink"/>
          </w:rPr>
          <w:t>https://www.tga.gov.au/resources/resource/guidance/changes-regulation-sports-supplements-australia</w:t>
        </w:r>
      </w:hyperlink>
    </w:p>
  </w:footnote>
  <w:footnote w:id="7">
    <w:p w14:paraId="22A1B396" w14:textId="12E5F667" w:rsidR="00D81445" w:rsidRDefault="00D81445">
      <w:pPr>
        <w:pStyle w:val="FootnoteText"/>
      </w:pPr>
      <w:r>
        <w:rPr>
          <w:rStyle w:val="FootnoteReference"/>
        </w:rPr>
        <w:footnoteRef/>
      </w:r>
      <w:r>
        <w:t xml:space="preserve"> </w:t>
      </w:r>
      <w:hyperlink r:id="rId5" w:history="1">
        <w:r w:rsidRPr="00D81445">
          <w:rPr>
            <w:rStyle w:val="Hyperlink"/>
          </w:rPr>
          <w:t>https://www.legislation.gov.au/F2019L01352/latest/text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77777777" w:rsidR="009F29CA" w:rsidRPr="00FE501F" w:rsidRDefault="009F29CA"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9B83712"/>
    <w:multiLevelType w:val="hybridMultilevel"/>
    <w:tmpl w:val="E47CE5D0"/>
    <w:lvl w:ilvl="0" w:tplc="0498AE7A">
      <w:start w:val="1"/>
      <w:numFmt w:val="decimal"/>
      <w:lvlText w:val="%1."/>
      <w:lvlJc w:val="left"/>
      <w:pPr>
        <w:ind w:left="1020" w:hanging="360"/>
      </w:pPr>
    </w:lvl>
    <w:lvl w:ilvl="1" w:tplc="2B26C82A">
      <w:start w:val="1"/>
      <w:numFmt w:val="decimal"/>
      <w:lvlText w:val="%2."/>
      <w:lvlJc w:val="left"/>
      <w:pPr>
        <w:ind w:left="1020" w:hanging="360"/>
      </w:pPr>
    </w:lvl>
    <w:lvl w:ilvl="2" w:tplc="6F14E2EE">
      <w:start w:val="1"/>
      <w:numFmt w:val="decimal"/>
      <w:lvlText w:val="%3."/>
      <w:lvlJc w:val="left"/>
      <w:pPr>
        <w:ind w:left="1020" w:hanging="360"/>
      </w:pPr>
    </w:lvl>
    <w:lvl w:ilvl="3" w:tplc="5DC832B0">
      <w:start w:val="1"/>
      <w:numFmt w:val="decimal"/>
      <w:lvlText w:val="%4."/>
      <w:lvlJc w:val="left"/>
      <w:pPr>
        <w:ind w:left="1020" w:hanging="360"/>
      </w:pPr>
    </w:lvl>
    <w:lvl w:ilvl="4" w:tplc="DE7CE3DA">
      <w:start w:val="1"/>
      <w:numFmt w:val="decimal"/>
      <w:lvlText w:val="%5."/>
      <w:lvlJc w:val="left"/>
      <w:pPr>
        <w:ind w:left="1020" w:hanging="360"/>
      </w:pPr>
    </w:lvl>
    <w:lvl w:ilvl="5" w:tplc="B4A4784A">
      <w:start w:val="1"/>
      <w:numFmt w:val="decimal"/>
      <w:lvlText w:val="%6."/>
      <w:lvlJc w:val="left"/>
      <w:pPr>
        <w:ind w:left="1020" w:hanging="360"/>
      </w:pPr>
    </w:lvl>
    <w:lvl w:ilvl="6" w:tplc="18642038">
      <w:start w:val="1"/>
      <w:numFmt w:val="decimal"/>
      <w:lvlText w:val="%7."/>
      <w:lvlJc w:val="left"/>
      <w:pPr>
        <w:ind w:left="1020" w:hanging="360"/>
      </w:pPr>
    </w:lvl>
    <w:lvl w:ilvl="7" w:tplc="5F2A2F40">
      <w:start w:val="1"/>
      <w:numFmt w:val="decimal"/>
      <w:lvlText w:val="%8."/>
      <w:lvlJc w:val="left"/>
      <w:pPr>
        <w:ind w:left="1020" w:hanging="360"/>
      </w:pPr>
    </w:lvl>
    <w:lvl w:ilvl="8" w:tplc="FAD097A4">
      <w:start w:val="1"/>
      <w:numFmt w:val="decimal"/>
      <w:lvlText w:val="%9."/>
      <w:lvlJc w:val="left"/>
      <w:pPr>
        <w:ind w:left="1020" w:hanging="360"/>
      </w:pPr>
    </w:lvl>
  </w:abstractNum>
  <w:abstractNum w:abstractNumId="10" w15:restartNumberingAfterBreak="0">
    <w:nsid w:val="29CA60DB"/>
    <w:multiLevelType w:val="hybridMultilevel"/>
    <w:tmpl w:val="1368EC92"/>
    <w:lvl w:ilvl="0" w:tplc="32E8645E">
      <w:start w:val="1"/>
      <w:numFmt w:val="bullet"/>
      <w:lvlText w:val=""/>
      <w:lvlJc w:val="left"/>
      <w:pPr>
        <w:ind w:left="720" w:hanging="360"/>
      </w:pPr>
      <w:rPr>
        <w:rFonts w:ascii="Symbol" w:hAnsi="Symbol"/>
      </w:rPr>
    </w:lvl>
    <w:lvl w:ilvl="1" w:tplc="FA3EC0D8">
      <w:start w:val="1"/>
      <w:numFmt w:val="bullet"/>
      <w:lvlText w:val=""/>
      <w:lvlJc w:val="left"/>
      <w:pPr>
        <w:ind w:left="720" w:hanging="360"/>
      </w:pPr>
      <w:rPr>
        <w:rFonts w:ascii="Symbol" w:hAnsi="Symbol"/>
      </w:rPr>
    </w:lvl>
    <w:lvl w:ilvl="2" w:tplc="8F821336">
      <w:start w:val="1"/>
      <w:numFmt w:val="bullet"/>
      <w:lvlText w:val=""/>
      <w:lvlJc w:val="left"/>
      <w:pPr>
        <w:ind w:left="720" w:hanging="360"/>
      </w:pPr>
      <w:rPr>
        <w:rFonts w:ascii="Symbol" w:hAnsi="Symbol"/>
      </w:rPr>
    </w:lvl>
    <w:lvl w:ilvl="3" w:tplc="44D054E6">
      <w:start w:val="1"/>
      <w:numFmt w:val="bullet"/>
      <w:lvlText w:val=""/>
      <w:lvlJc w:val="left"/>
      <w:pPr>
        <w:ind w:left="720" w:hanging="360"/>
      </w:pPr>
      <w:rPr>
        <w:rFonts w:ascii="Symbol" w:hAnsi="Symbol"/>
      </w:rPr>
    </w:lvl>
    <w:lvl w:ilvl="4" w:tplc="4F921F34">
      <w:start w:val="1"/>
      <w:numFmt w:val="bullet"/>
      <w:lvlText w:val=""/>
      <w:lvlJc w:val="left"/>
      <w:pPr>
        <w:ind w:left="720" w:hanging="360"/>
      </w:pPr>
      <w:rPr>
        <w:rFonts w:ascii="Symbol" w:hAnsi="Symbol"/>
      </w:rPr>
    </w:lvl>
    <w:lvl w:ilvl="5" w:tplc="5FDCD560">
      <w:start w:val="1"/>
      <w:numFmt w:val="bullet"/>
      <w:lvlText w:val=""/>
      <w:lvlJc w:val="left"/>
      <w:pPr>
        <w:ind w:left="720" w:hanging="360"/>
      </w:pPr>
      <w:rPr>
        <w:rFonts w:ascii="Symbol" w:hAnsi="Symbol"/>
      </w:rPr>
    </w:lvl>
    <w:lvl w:ilvl="6" w:tplc="66E4BA3A">
      <w:start w:val="1"/>
      <w:numFmt w:val="bullet"/>
      <w:lvlText w:val=""/>
      <w:lvlJc w:val="left"/>
      <w:pPr>
        <w:ind w:left="720" w:hanging="360"/>
      </w:pPr>
      <w:rPr>
        <w:rFonts w:ascii="Symbol" w:hAnsi="Symbol"/>
      </w:rPr>
    </w:lvl>
    <w:lvl w:ilvl="7" w:tplc="B7F02966">
      <w:start w:val="1"/>
      <w:numFmt w:val="bullet"/>
      <w:lvlText w:val=""/>
      <w:lvlJc w:val="left"/>
      <w:pPr>
        <w:ind w:left="720" w:hanging="360"/>
      </w:pPr>
      <w:rPr>
        <w:rFonts w:ascii="Symbol" w:hAnsi="Symbol"/>
      </w:rPr>
    </w:lvl>
    <w:lvl w:ilvl="8" w:tplc="A274AEAC">
      <w:start w:val="1"/>
      <w:numFmt w:val="bullet"/>
      <w:lvlText w:val=""/>
      <w:lvlJc w:val="left"/>
      <w:pPr>
        <w:ind w:left="720" w:hanging="360"/>
      </w:pPr>
      <w:rPr>
        <w:rFonts w:ascii="Symbol" w:hAnsi="Symbol"/>
      </w:rPr>
    </w:lvl>
  </w:abstractNum>
  <w:abstractNum w:abstractNumId="11" w15:restartNumberingAfterBreak="0">
    <w:nsid w:val="3112321A"/>
    <w:multiLevelType w:val="hybridMultilevel"/>
    <w:tmpl w:val="7EC25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B246CF"/>
    <w:multiLevelType w:val="hybridMultilevel"/>
    <w:tmpl w:val="29C822EE"/>
    <w:lvl w:ilvl="0" w:tplc="5B9CD4A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C81915"/>
    <w:multiLevelType w:val="hybridMultilevel"/>
    <w:tmpl w:val="DA6ACC4E"/>
    <w:lvl w:ilvl="0" w:tplc="6DE082D8">
      <w:start w:val="1"/>
      <w:numFmt w:val="decimal"/>
      <w:lvlText w:val="%1."/>
      <w:lvlJc w:val="left"/>
      <w:pPr>
        <w:ind w:left="1020" w:hanging="360"/>
      </w:pPr>
    </w:lvl>
    <w:lvl w:ilvl="1" w:tplc="179C39FE">
      <w:start w:val="1"/>
      <w:numFmt w:val="decimal"/>
      <w:lvlText w:val="%2."/>
      <w:lvlJc w:val="left"/>
      <w:pPr>
        <w:ind w:left="1020" w:hanging="360"/>
      </w:pPr>
    </w:lvl>
    <w:lvl w:ilvl="2" w:tplc="1AAEC956">
      <w:start w:val="1"/>
      <w:numFmt w:val="decimal"/>
      <w:lvlText w:val="%3."/>
      <w:lvlJc w:val="left"/>
      <w:pPr>
        <w:ind w:left="1020" w:hanging="360"/>
      </w:pPr>
    </w:lvl>
    <w:lvl w:ilvl="3" w:tplc="A35EFCBE">
      <w:start w:val="1"/>
      <w:numFmt w:val="decimal"/>
      <w:lvlText w:val="%4."/>
      <w:lvlJc w:val="left"/>
      <w:pPr>
        <w:ind w:left="1020" w:hanging="360"/>
      </w:pPr>
    </w:lvl>
    <w:lvl w:ilvl="4" w:tplc="B672A3DA">
      <w:start w:val="1"/>
      <w:numFmt w:val="decimal"/>
      <w:lvlText w:val="%5."/>
      <w:lvlJc w:val="left"/>
      <w:pPr>
        <w:ind w:left="1020" w:hanging="360"/>
      </w:pPr>
    </w:lvl>
    <w:lvl w:ilvl="5" w:tplc="88AA4434">
      <w:start w:val="1"/>
      <w:numFmt w:val="decimal"/>
      <w:lvlText w:val="%6."/>
      <w:lvlJc w:val="left"/>
      <w:pPr>
        <w:ind w:left="1020" w:hanging="360"/>
      </w:pPr>
    </w:lvl>
    <w:lvl w:ilvl="6" w:tplc="EE7E197C">
      <w:start w:val="1"/>
      <w:numFmt w:val="decimal"/>
      <w:lvlText w:val="%7."/>
      <w:lvlJc w:val="left"/>
      <w:pPr>
        <w:ind w:left="1020" w:hanging="360"/>
      </w:pPr>
    </w:lvl>
    <w:lvl w:ilvl="7" w:tplc="2E886590">
      <w:start w:val="1"/>
      <w:numFmt w:val="decimal"/>
      <w:lvlText w:val="%8."/>
      <w:lvlJc w:val="left"/>
      <w:pPr>
        <w:ind w:left="1020" w:hanging="360"/>
      </w:pPr>
    </w:lvl>
    <w:lvl w:ilvl="8" w:tplc="AE186556">
      <w:start w:val="1"/>
      <w:numFmt w:val="decimal"/>
      <w:lvlText w:val="%9."/>
      <w:lvlJc w:val="left"/>
      <w:pPr>
        <w:ind w:left="1020" w:hanging="360"/>
      </w:pPr>
    </w:lvl>
  </w:abstractNum>
  <w:abstractNum w:abstractNumId="14"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A9739E"/>
    <w:multiLevelType w:val="hybridMultilevel"/>
    <w:tmpl w:val="96CA2DF4"/>
    <w:lvl w:ilvl="0" w:tplc="6764D464">
      <w:start w:val="1"/>
      <w:numFmt w:val="decimal"/>
      <w:lvlText w:val="%1."/>
      <w:lvlJc w:val="left"/>
      <w:pPr>
        <w:ind w:left="1020" w:hanging="360"/>
      </w:pPr>
    </w:lvl>
    <w:lvl w:ilvl="1" w:tplc="A1B4FEC4">
      <w:start w:val="1"/>
      <w:numFmt w:val="decimal"/>
      <w:lvlText w:val="%2."/>
      <w:lvlJc w:val="left"/>
      <w:pPr>
        <w:ind w:left="1020" w:hanging="360"/>
      </w:pPr>
    </w:lvl>
    <w:lvl w:ilvl="2" w:tplc="7460F3A6">
      <w:start w:val="1"/>
      <w:numFmt w:val="decimal"/>
      <w:lvlText w:val="%3."/>
      <w:lvlJc w:val="left"/>
      <w:pPr>
        <w:ind w:left="1020" w:hanging="360"/>
      </w:pPr>
    </w:lvl>
    <w:lvl w:ilvl="3" w:tplc="D6CA7BFE">
      <w:start w:val="1"/>
      <w:numFmt w:val="decimal"/>
      <w:lvlText w:val="%4."/>
      <w:lvlJc w:val="left"/>
      <w:pPr>
        <w:ind w:left="1020" w:hanging="360"/>
      </w:pPr>
    </w:lvl>
    <w:lvl w:ilvl="4" w:tplc="64D81ED8">
      <w:start w:val="1"/>
      <w:numFmt w:val="decimal"/>
      <w:lvlText w:val="%5."/>
      <w:lvlJc w:val="left"/>
      <w:pPr>
        <w:ind w:left="1020" w:hanging="360"/>
      </w:pPr>
    </w:lvl>
    <w:lvl w:ilvl="5" w:tplc="988A94FE">
      <w:start w:val="1"/>
      <w:numFmt w:val="decimal"/>
      <w:lvlText w:val="%6."/>
      <w:lvlJc w:val="left"/>
      <w:pPr>
        <w:ind w:left="1020" w:hanging="360"/>
      </w:pPr>
    </w:lvl>
    <w:lvl w:ilvl="6" w:tplc="689A4490">
      <w:start w:val="1"/>
      <w:numFmt w:val="decimal"/>
      <w:lvlText w:val="%7."/>
      <w:lvlJc w:val="left"/>
      <w:pPr>
        <w:ind w:left="1020" w:hanging="360"/>
      </w:pPr>
    </w:lvl>
    <w:lvl w:ilvl="7" w:tplc="DE10CC08">
      <w:start w:val="1"/>
      <w:numFmt w:val="decimal"/>
      <w:lvlText w:val="%8."/>
      <w:lvlJc w:val="left"/>
      <w:pPr>
        <w:ind w:left="1020" w:hanging="360"/>
      </w:pPr>
    </w:lvl>
    <w:lvl w:ilvl="8" w:tplc="C9AC7A2E">
      <w:start w:val="1"/>
      <w:numFmt w:val="decimal"/>
      <w:lvlText w:val="%9."/>
      <w:lvlJc w:val="left"/>
      <w:pPr>
        <w:ind w:left="1020" w:hanging="360"/>
      </w:pPr>
    </w:lvl>
  </w:abstractNum>
  <w:abstractNum w:abstractNumId="17" w15:restartNumberingAfterBreak="0">
    <w:nsid w:val="79C12510"/>
    <w:multiLevelType w:val="hybridMultilevel"/>
    <w:tmpl w:val="B64AC26E"/>
    <w:lvl w:ilvl="0" w:tplc="6730F6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6"/>
    <w:lvlOverride w:ilvl="0">
      <w:lvl w:ilvl="0">
        <w:start w:val="4"/>
        <w:numFmt w:val="bullet"/>
        <w:pStyle w:val="ListBullet"/>
        <w:lvlText w:val="•"/>
        <w:lvlJc w:val="left"/>
        <w:pPr>
          <w:ind w:left="360" w:hanging="360"/>
        </w:pPr>
        <w:rPr>
          <w:rFonts w:ascii="Cambria" w:eastAsia="Cambria" w:hAnsi="Cambria" w:hint="default"/>
        </w:rPr>
      </w:lvl>
    </w:lvlOverride>
  </w:num>
  <w:num w:numId="2" w16cid:durableId="1035231497">
    <w:abstractNumId w:val="4"/>
  </w:num>
  <w:num w:numId="3" w16cid:durableId="1248614696">
    <w:abstractNumId w:val="5"/>
  </w:num>
  <w:num w:numId="4" w16cid:durableId="297951965">
    <w:abstractNumId w:val="15"/>
  </w:num>
  <w:num w:numId="5" w16cid:durableId="1535191726">
    <w:abstractNumId w:val="8"/>
  </w:num>
  <w:num w:numId="6" w16cid:durableId="224069918">
    <w:abstractNumId w:val="14"/>
  </w:num>
  <w:num w:numId="7" w16cid:durableId="1150249122">
    <w:abstractNumId w:val="7"/>
  </w:num>
  <w:num w:numId="8" w16cid:durableId="233053789">
    <w:abstractNumId w:val="2"/>
  </w:num>
  <w:num w:numId="9" w16cid:durableId="1393187700">
    <w:abstractNumId w:val="1"/>
  </w:num>
  <w:num w:numId="10" w16cid:durableId="91820601">
    <w:abstractNumId w:val="6"/>
  </w:num>
  <w:num w:numId="11" w16cid:durableId="1223715709">
    <w:abstractNumId w:val="17"/>
  </w:num>
  <w:num w:numId="12" w16cid:durableId="2036955452">
    <w:abstractNumId w:val="3"/>
  </w:num>
  <w:num w:numId="13" w16cid:durableId="903221944">
    <w:abstractNumId w:val="0"/>
  </w:num>
  <w:num w:numId="14" w16cid:durableId="356081965">
    <w:abstractNumId w:val="3"/>
  </w:num>
  <w:num w:numId="15" w16cid:durableId="554661670">
    <w:abstractNumId w:val="12"/>
  </w:num>
  <w:num w:numId="16" w16cid:durableId="1860771432">
    <w:abstractNumId w:val="11"/>
  </w:num>
  <w:num w:numId="17" w16cid:durableId="296451295">
    <w:abstractNumId w:val="13"/>
  </w:num>
  <w:num w:numId="18" w16cid:durableId="1316375970">
    <w:abstractNumId w:val="16"/>
  </w:num>
  <w:num w:numId="19" w16cid:durableId="2052411482">
    <w:abstractNumId w:val="9"/>
  </w:num>
  <w:num w:numId="20" w16cid:durableId="1496919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1F49"/>
    <w:rsid w:val="00002DF5"/>
    <w:rsid w:val="0000585F"/>
    <w:rsid w:val="00007A50"/>
    <w:rsid w:val="000210E0"/>
    <w:rsid w:val="000236E8"/>
    <w:rsid w:val="000251DF"/>
    <w:rsid w:val="00026326"/>
    <w:rsid w:val="00030D25"/>
    <w:rsid w:val="000311BC"/>
    <w:rsid w:val="0004645C"/>
    <w:rsid w:val="00046F13"/>
    <w:rsid w:val="000475B5"/>
    <w:rsid w:val="0006415A"/>
    <w:rsid w:val="000737AA"/>
    <w:rsid w:val="00074B61"/>
    <w:rsid w:val="000931F4"/>
    <w:rsid w:val="00094B81"/>
    <w:rsid w:val="0009682A"/>
    <w:rsid w:val="000A34C7"/>
    <w:rsid w:val="000B59FC"/>
    <w:rsid w:val="000C45BF"/>
    <w:rsid w:val="000D2C80"/>
    <w:rsid w:val="000D7942"/>
    <w:rsid w:val="000E0FCB"/>
    <w:rsid w:val="000F4593"/>
    <w:rsid w:val="001009F9"/>
    <w:rsid w:val="0010469D"/>
    <w:rsid w:val="0010558A"/>
    <w:rsid w:val="00107E83"/>
    <w:rsid w:val="001149D9"/>
    <w:rsid w:val="00122323"/>
    <w:rsid w:val="0012473C"/>
    <w:rsid w:val="00130579"/>
    <w:rsid w:val="00130DB2"/>
    <w:rsid w:val="00133B0C"/>
    <w:rsid w:val="00136066"/>
    <w:rsid w:val="0014024B"/>
    <w:rsid w:val="00140BC3"/>
    <w:rsid w:val="00142BF7"/>
    <w:rsid w:val="001475C4"/>
    <w:rsid w:val="00152002"/>
    <w:rsid w:val="0015241B"/>
    <w:rsid w:val="001561CE"/>
    <w:rsid w:val="00165329"/>
    <w:rsid w:val="001655C8"/>
    <w:rsid w:val="00165CF7"/>
    <w:rsid w:val="00175CD8"/>
    <w:rsid w:val="001858B2"/>
    <w:rsid w:val="00197715"/>
    <w:rsid w:val="001C5AC7"/>
    <w:rsid w:val="001C688A"/>
    <w:rsid w:val="001D4FBF"/>
    <w:rsid w:val="001D565C"/>
    <w:rsid w:val="001E11D3"/>
    <w:rsid w:val="001F3B69"/>
    <w:rsid w:val="001F6DBF"/>
    <w:rsid w:val="00213187"/>
    <w:rsid w:val="00220D40"/>
    <w:rsid w:val="002261BC"/>
    <w:rsid w:val="002325BF"/>
    <w:rsid w:val="00242969"/>
    <w:rsid w:val="00246EEC"/>
    <w:rsid w:val="00250EAC"/>
    <w:rsid w:val="00254189"/>
    <w:rsid w:val="002C0EC8"/>
    <w:rsid w:val="002C2AFA"/>
    <w:rsid w:val="002D3BA5"/>
    <w:rsid w:val="002E7CDB"/>
    <w:rsid w:val="002F1894"/>
    <w:rsid w:val="003008D8"/>
    <w:rsid w:val="00300CBB"/>
    <w:rsid w:val="00310F77"/>
    <w:rsid w:val="00317806"/>
    <w:rsid w:val="00321B93"/>
    <w:rsid w:val="0035444D"/>
    <w:rsid w:val="00366B97"/>
    <w:rsid w:val="0037211E"/>
    <w:rsid w:val="00376B88"/>
    <w:rsid w:val="00377767"/>
    <w:rsid w:val="003862BC"/>
    <w:rsid w:val="00393F58"/>
    <w:rsid w:val="00394D02"/>
    <w:rsid w:val="00396938"/>
    <w:rsid w:val="003A230B"/>
    <w:rsid w:val="003D542C"/>
    <w:rsid w:val="003D68A7"/>
    <w:rsid w:val="003D7FB4"/>
    <w:rsid w:val="003E31E5"/>
    <w:rsid w:val="003F328E"/>
    <w:rsid w:val="003F3A3A"/>
    <w:rsid w:val="003F5E43"/>
    <w:rsid w:val="00405033"/>
    <w:rsid w:val="0041506F"/>
    <w:rsid w:val="00417E35"/>
    <w:rsid w:val="004246B8"/>
    <w:rsid w:val="004354AC"/>
    <w:rsid w:val="00437B35"/>
    <w:rsid w:val="00450E24"/>
    <w:rsid w:val="00451541"/>
    <w:rsid w:val="004536C0"/>
    <w:rsid w:val="00456ED4"/>
    <w:rsid w:val="00457050"/>
    <w:rsid w:val="0045764E"/>
    <w:rsid w:val="004607E5"/>
    <w:rsid w:val="0047669A"/>
    <w:rsid w:val="004874FF"/>
    <w:rsid w:val="004A335C"/>
    <w:rsid w:val="004B5FF4"/>
    <w:rsid w:val="004B6C75"/>
    <w:rsid w:val="004C7F44"/>
    <w:rsid w:val="004D06D7"/>
    <w:rsid w:val="004D120B"/>
    <w:rsid w:val="004D2799"/>
    <w:rsid w:val="004D5CD7"/>
    <w:rsid w:val="004D764C"/>
    <w:rsid w:val="004E5AAC"/>
    <w:rsid w:val="004E6B20"/>
    <w:rsid w:val="004F55A5"/>
    <w:rsid w:val="00504DE7"/>
    <w:rsid w:val="00512830"/>
    <w:rsid w:val="005133D9"/>
    <w:rsid w:val="0052374B"/>
    <w:rsid w:val="00536413"/>
    <w:rsid w:val="0054004E"/>
    <w:rsid w:val="005469D3"/>
    <w:rsid w:val="005546E3"/>
    <w:rsid w:val="0055580F"/>
    <w:rsid w:val="00560409"/>
    <w:rsid w:val="00577ACD"/>
    <w:rsid w:val="0058058D"/>
    <w:rsid w:val="0058575E"/>
    <w:rsid w:val="005A012D"/>
    <w:rsid w:val="005A1C1E"/>
    <w:rsid w:val="005A344E"/>
    <w:rsid w:val="005A58DA"/>
    <w:rsid w:val="005A6ED5"/>
    <w:rsid w:val="005B7C58"/>
    <w:rsid w:val="005C33E3"/>
    <w:rsid w:val="005C61D3"/>
    <w:rsid w:val="005C65E7"/>
    <w:rsid w:val="005D2C44"/>
    <w:rsid w:val="005E3E9A"/>
    <w:rsid w:val="0060617A"/>
    <w:rsid w:val="006119D9"/>
    <w:rsid w:val="00614C59"/>
    <w:rsid w:val="00615943"/>
    <w:rsid w:val="00617841"/>
    <w:rsid w:val="00620E9D"/>
    <w:rsid w:val="006439D3"/>
    <w:rsid w:val="00644C64"/>
    <w:rsid w:val="00653788"/>
    <w:rsid w:val="0066118B"/>
    <w:rsid w:val="00662ADB"/>
    <w:rsid w:val="006734EA"/>
    <w:rsid w:val="00677A86"/>
    <w:rsid w:val="00682F32"/>
    <w:rsid w:val="006860F0"/>
    <w:rsid w:val="006A1F0B"/>
    <w:rsid w:val="006B66A7"/>
    <w:rsid w:val="006C1918"/>
    <w:rsid w:val="006C4FCA"/>
    <w:rsid w:val="006D5931"/>
    <w:rsid w:val="006D68DC"/>
    <w:rsid w:val="006E17B8"/>
    <w:rsid w:val="006F4873"/>
    <w:rsid w:val="00703F4A"/>
    <w:rsid w:val="00706E07"/>
    <w:rsid w:val="00714EB5"/>
    <w:rsid w:val="007212F7"/>
    <w:rsid w:val="00724786"/>
    <w:rsid w:val="00741785"/>
    <w:rsid w:val="0074236F"/>
    <w:rsid w:val="007440F8"/>
    <w:rsid w:val="00746990"/>
    <w:rsid w:val="0075008A"/>
    <w:rsid w:val="00757E6A"/>
    <w:rsid w:val="00762D71"/>
    <w:rsid w:val="007644EF"/>
    <w:rsid w:val="007821F9"/>
    <w:rsid w:val="00783C45"/>
    <w:rsid w:val="00786119"/>
    <w:rsid w:val="00786E82"/>
    <w:rsid w:val="00791FE7"/>
    <w:rsid w:val="00796708"/>
    <w:rsid w:val="007A74F6"/>
    <w:rsid w:val="007B1FA3"/>
    <w:rsid w:val="007B6FB8"/>
    <w:rsid w:val="007C2CB0"/>
    <w:rsid w:val="007C2E31"/>
    <w:rsid w:val="007D4AA7"/>
    <w:rsid w:val="007E4E6D"/>
    <w:rsid w:val="007F0A77"/>
    <w:rsid w:val="00831B56"/>
    <w:rsid w:val="008329A9"/>
    <w:rsid w:val="008329DB"/>
    <w:rsid w:val="008765A0"/>
    <w:rsid w:val="008767DB"/>
    <w:rsid w:val="00880757"/>
    <w:rsid w:val="0088084A"/>
    <w:rsid w:val="0089779E"/>
    <w:rsid w:val="008C1160"/>
    <w:rsid w:val="008C760F"/>
    <w:rsid w:val="008D3E0D"/>
    <w:rsid w:val="008D7055"/>
    <w:rsid w:val="008E5174"/>
    <w:rsid w:val="008F02F1"/>
    <w:rsid w:val="008F116B"/>
    <w:rsid w:val="008F295F"/>
    <w:rsid w:val="0090245D"/>
    <w:rsid w:val="00903B2E"/>
    <w:rsid w:val="00911348"/>
    <w:rsid w:val="00916F76"/>
    <w:rsid w:val="00917E4C"/>
    <w:rsid w:val="00925537"/>
    <w:rsid w:val="00930D58"/>
    <w:rsid w:val="0093233B"/>
    <w:rsid w:val="009612E1"/>
    <w:rsid w:val="00967490"/>
    <w:rsid w:val="009868B7"/>
    <w:rsid w:val="009960E0"/>
    <w:rsid w:val="009979F6"/>
    <w:rsid w:val="00997C33"/>
    <w:rsid w:val="009A1339"/>
    <w:rsid w:val="009A4603"/>
    <w:rsid w:val="009A62A2"/>
    <w:rsid w:val="009A71A6"/>
    <w:rsid w:val="009C6805"/>
    <w:rsid w:val="009C7442"/>
    <w:rsid w:val="009D74BE"/>
    <w:rsid w:val="009E7E17"/>
    <w:rsid w:val="009F0B41"/>
    <w:rsid w:val="009F29CA"/>
    <w:rsid w:val="009F3A12"/>
    <w:rsid w:val="009F7132"/>
    <w:rsid w:val="00A13498"/>
    <w:rsid w:val="00A14C3C"/>
    <w:rsid w:val="00A3686B"/>
    <w:rsid w:val="00A40CC3"/>
    <w:rsid w:val="00A47CA8"/>
    <w:rsid w:val="00A52A67"/>
    <w:rsid w:val="00A60E99"/>
    <w:rsid w:val="00A64C7F"/>
    <w:rsid w:val="00A83C09"/>
    <w:rsid w:val="00A87016"/>
    <w:rsid w:val="00AA12EC"/>
    <w:rsid w:val="00AA5C9F"/>
    <w:rsid w:val="00AB20E4"/>
    <w:rsid w:val="00AB6F8A"/>
    <w:rsid w:val="00AB7CBF"/>
    <w:rsid w:val="00AB7DE9"/>
    <w:rsid w:val="00AC7450"/>
    <w:rsid w:val="00AD7868"/>
    <w:rsid w:val="00AE7A99"/>
    <w:rsid w:val="00AF18B3"/>
    <w:rsid w:val="00AF30F1"/>
    <w:rsid w:val="00B06625"/>
    <w:rsid w:val="00B142E5"/>
    <w:rsid w:val="00B1469E"/>
    <w:rsid w:val="00B167C2"/>
    <w:rsid w:val="00B263EA"/>
    <w:rsid w:val="00B310B6"/>
    <w:rsid w:val="00B325F0"/>
    <w:rsid w:val="00B32CB6"/>
    <w:rsid w:val="00B331EF"/>
    <w:rsid w:val="00B368EC"/>
    <w:rsid w:val="00B4647B"/>
    <w:rsid w:val="00B46BC0"/>
    <w:rsid w:val="00B545B3"/>
    <w:rsid w:val="00B654E4"/>
    <w:rsid w:val="00B83C1D"/>
    <w:rsid w:val="00BA18E2"/>
    <w:rsid w:val="00BA1D90"/>
    <w:rsid w:val="00BA6170"/>
    <w:rsid w:val="00BA7EBA"/>
    <w:rsid w:val="00BB273F"/>
    <w:rsid w:val="00BB34CD"/>
    <w:rsid w:val="00BD2C55"/>
    <w:rsid w:val="00BE0386"/>
    <w:rsid w:val="00BE3440"/>
    <w:rsid w:val="00BE4404"/>
    <w:rsid w:val="00BF7534"/>
    <w:rsid w:val="00C04A5F"/>
    <w:rsid w:val="00C0670A"/>
    <w:rsid w:val="00C228E8"/>
    <w:rsid w:val="00C23965"/>
    <w:rsid w:val="00C31259"/>
    <w:rsid w:val="00C3297F"/>
    <w:rsid w:val="00C4226B"/>
    <w:rsid w:val="00C44CF4"/>
    <w:rsid w:val="00C45722"/>
    <w:rsid w:val="00C621ED"/>
    <w:rsid w:val="00C635F9"/>
    <w:rsid w:val="00C6381B"/>
    <w:rsid w:val="00C71AB4"/>
    <w:rsid w:val="00C753D0"/>
    <w:rsid w:val="00C80E25"/>
    <w:rsid w:val="00C9353F"/>
    <w:rsid w:val="00CA1532"/>
    <w:rsid w:val="00CB0550"/>
    <w:rsid w:val="00CB61B0"/>
    <w:rsid w:val="00CB6B4D"/>
    <w:rsid w:val="00CD500B"/>
    <w:rsid w:val="00CF6F93"/>
    <w:rsid w:val="00D078BE"/>
    <w:rsid w:val="00D11D26"/>
    <w:rsid w:val="00D13F8A"/>
    <w:rsid w:val="00D14C58"/>
    <w:rsid w:val="00D15E47"/>
    <w:rsid w:val="00D1612F"/>
    <w:rsid w:val="00D548FA"/>
    <w:rsid w:val="00D76BEF"/>
    <w:rsid w:val="00D81445"/>
    <w:rsid w:val="00D81902"/>
    <w:rsid w:val="00D918D5"/>
    <w:rsid w:val="00D9442D"/>
    <w:rsid w:val="00DA5743"/>
    <w:rsid w:val="00DC2ECB"/>
    <w:rsid w:val="00DD0DD9"/>
    <w:rsid w:val="00DD5478"/>
    <w:rsid w:val="00DE78C9"/>
    <w:rsid w:val="00DF0702"/>
    <w:rsid w:val="00E12392"/>
    <w:rsid w:val="00E32495"/>
    <w:rsid w:val="00E42057"/>
    <w:rsid w:val="00E420F8"/>
    <w:rsid w:val="00E448A6"/>
    <w:rsid w:val="00E53D3F"/>
    <w:rsid w:val="00E95AD4"/>
    <w:rsid w:val="00EA27F7"/>
    <w:rsid w:val="00EA42D1"/>
    <w:rsid w:val="00EB3958"/>
    <w:rsid w:val="00EC20D5"/>
    <w:rsid w:val="00EC571E"/>
    <w:rsid w:val="00EE35C9"/>
    <w:rsid w:val="00EE4BC9"/>
    <w:rsid w:val="00EF7E72"/>
    <w:rsid w:val="00F02AEC"/>
    <w:rsid w:val="00F13014"/>
    <w:rsid w:val="00F1335F"/>
    <w:rsid w:val="00F20A9A"/>
    <w:rsid w:val="00F238F7"/>
    <w:rsid w:val="00F32F21"/>
    <w:rsid w:val="00F33159"/>
    <w:rsid w:val="00F40CAA"/>
    <w:rsid w:val="00F5012E"/>
    <w:rsid w:val="00F53BF5"/>
    <w:rsid w:val="00F55935"/>
    <w:rsid w:val="00F65C5D"/>
    <w:rsid w:val="00F70924"/>
    <w:rsid w:val="00F955F4"/>
    <w:rsid w:val="00FA1853"/>
    <w:rsid w:val="00FA49C3"/>
    <w:rsid w:val="00FA6A18"/>
    <w:rsid w:val="00FB16B8"/>
    <w:rsid w:val="00FC1EB4"/>
    <w:rsid w:val="00FC389A"/>
    <w:rsid w:val="00FC54E7"/>
    <w:rsid w:val="00FD0B86"/>
    <w:rsid w:val="00FF0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4A"/>
    <w:rPr>
      <w:rFonts w:ascii="Arial" w:hAnsi="Arial"/>
    </w:rPr>
  </w:style>
  <w:style w:type="paragraph" w:styleId="Heading1">
    <w:name w:val="heading 1"/>
    <w:basedOn w:val="Normal"/>
    <w:next w:val="Normal"/>
    <w:link w:val="Heading1Char"/>
    <w:uiPriority w:val="9"/>
    <w:qFormat/>
    <w:rsid w:val="00880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8084A"/>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88084A"/>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88084A"/>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88084A"/>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88084A"/>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8808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084A"/>
  </w:style>
  <w:style w:type="table" w:customStyle="1" w:styleId="TableTGAblue2023">
    <w:name w:val="Table TGA blue 2023"/>
    <w:basedOn w:val="TableNormal"/>
    <w:uiPriority w:val="99"/>
    <w:qFormat/>
    <w:rsid w:val="0088084A"/>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88084A"/>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88084A"/>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88084A"/>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88084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88084A"/>
    <w:rPr>
      <w:rFonts w:ascii="Arial" w:eastAsia="Times New Roman" w:hAnsi="Arial" w:cs="Times New Roman"/>
      <w:bCs/>
      <w:color w:val="001871"/>
      <w:sz w:val="24"/>
      <w:szCs w:val="21"/>
    </w:rPr>
  </w:style>
  <w:style w:type="paragraph" w:styleId="Date">
    <w:name w:val="Date"/>
    <w:basedOn w:val="Normal"/>
    <w:next w:val="Normal"/>
    <w:link w:val="DateChar"/>
    <w:uiPriority w:val="99"/>
    <w:rsid w:val="0088084A"/>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88084A"/>
    <w:rPr>
      <w:rFonts w:ascii="Arial" w:eastAsia="Cambria" w:hAnsi="Arial" w:cs="Times New Roman"/>
      <w:color w:val="333F4A"/>
      <w:sz w:val="28"/>
    </w:rPr>
  </w:style>
  <w:style w:type="paragraph" w:styleId="Footer">
    <w:name w:val="footer"/>
    <w:basedOn w:val="Normal"/>
    <w:link w:val="FooterChar"/>
    <w:uiPriority w:val="99"/>
    <w:rsid w:val="0088084A"/>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88084A"/>
    <w:rPr>
      <w:rFonts w:ascii="Arial" w:eastAsia="Cambria" w:hAnsi="Arial" w:cs="Times New Roman"/>
      <w:color w:val="333F4A"/>
      <w:sz w:val="17"/>
    </w:rPr>
  </w:style>
  <w:style w:type="paragraph" w:styleId="Header">
    <w:name w:val="header"/>
    <w:basedOn w:val="Normal"/>
    <w:link w:val="HeaderChar"/>
    <w:uiPriority w:val="99"/>
    <w:rsid w:val="0088084A"/>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88084A"/>
    <w:rPr>
      <w:rFonts w:ascii="Arial" w:eastAsia="Cambria" w:hAnsi="Arial" w:cs="Times New Roman"/>
      <w:color w:val="333F4A"/>
      <w:sz w:val="17"/>
    </w:rPr>
  </w:style>
  <w:style w:type="character" w:styleId="Hyperlink">
    <w:name w:val="Hyperlink"/>
    <w:basedOn w:val="DefaultParagraphFont"/>
    <w:uiPriority w:val="99"/>
    <w:unhideWhenUsed/>
    <w:rsid w:val="0088084A"/>
    <w:rPr>
      <w:rFonts w:ascii="Arial" w:hAnsi="Arial"/>
      <w:color w:val="0000FF"/>
      <w:u w:val="single"/>
    </w:rPr>
  </w:style>
  <w:style w:type="paragraph" w:customStyle="1" w:styleId="LegalCopy">
    <w:name w:val="Legal Copy"/>
    <w:basedOn w:val="Footer"/>
    <w:rsid w:val="0088084A"/>
  </w:style>
  <w:style w:type="paragraph" w:customStyle="1" w:styleId="LegalSubheading">
    <w:name w:val="Legal Subheading"/>
    <w:basedOn w:val="Normal"/>
    <w:rsid w:val="0088084A"/>
    <w:pPr>
      <w:outlineLvl w:val="1"/>
    </w:pPr>
    <w:rPr>
      <w:sz w:val="17"/>
    </w:rPr>
  </w:style>
  <w:style w:type="paragraph" w:styleId="ListBullet">
    <w:name w:val="List Bullet"/>
    <w:basedOn w:val="Normal"/>
    <w:autoRedefine/>
    <w:uiPriority w:val="2"/>
    <w:qFormat/>
    <w:rsid w:val="0088084A"/>
    <w:pPr>
      <w:numPr>
        <w:numId w:val="10"/>
      </w:numPr>
      <w:spacing w:before="120" w:after="180" w:line="240" w:lineRule="atLeast"/>
    </w:pPr>
    <w:rPr>
      <w:rFonts w:eastAsia="Cambria" w:cs="Times New Roman"/>
    </w:rPr>
  </w:style>
  <w:style w:type="paragraph" w:styleId="ListBullet2">
    <w:name w:val="List Bullet 2"/>
    <w:basedOn w:val="Normal"/>
    <w:uiPriority w:val="2"/>
    <w:qFormat/>
    <w:rsid w:val="0088084A"/>
    <w:pPr>
      <w:numPr>
        <w:ilvl w:val="1"/>
        <w:numId w:val="10"/>
      </w:numPr>
      <w:spacing w:before="120" w:after="180" w:line="240" w:lineRule="atLeast"/>
    </w:pPr>
    <w:rPr>
      <w:rFonts w:eastAsia="Cambria" w:cs="Times New Roman"/>
      <w:color w:val="333F48"/>
    </w:rPr>
  </w:style>
  <w:style w:type="paragraph" w:styleId="ListBullet3">
    <w:name w:val="List Bullet 3"/>
    <w:basedOn w:val="Normal"/>
    <w:uiPriority w:val="2"/>
    <w:qFormat/>
    <w:rsid w:val="0088084A"/>
    <w:pPr>
      <w:numPr>
        <w:numId w:val="3"/>
      </w:numPr>
      <w:spacing w:before="120" w:after="180" w:line="240" w:lineRule="atLeast"/>
    </w:pPr>
    <w:rPr>
      <w:rFonts w:eastAsia="Cambria" w:cs="Times New Roman"/>
      <w:color w:val="333F48"/>
    </w:rPr>
  </w:style>
  <w:style w:type="numbering" w:customStyle="1" w:styleId="ListBullets">
    <w:name w:val="ListBullets"/>
    <w:uiPriority w:val="99"/>
    <w:locked/>
    <w:rsid w:val="0088084A"/>
    <w:pPr>
      <w:numPr>
        <w:numId w:val="10"/>
      </w:numPr>
    </w:pPr>
  </w:style>
  <w:style w:type="paragraph" w:customStyle="1" w:styleId="Numberbullet0">
    <w:name w:val="Number bullet"/>
    <w:basedOn w:val="ListBullet"/>
    <w:uiPriority w:val="3"/>
    <w:qFormat/>
    <w:rsid w:val="0088084A"/>
    <w:pPr>
      <w:numPr>
        <w:numId w:val="2"/>
      </w:numPr>
    </w:pPr>
  </w:style>
  <w:style w:type="paragraph" w:customStyle="1" w:styleId="Numberbullet2">
    <w:name w:val="Number bullet 2"/>
    <w:basedOn w:val="ListBullet2"/>
    <w:uiPriority w:val="3"/>
    <w:qFormat/>
    <w:rsid w:val="0088084A"/>
    <w:pPr>
      <w:numPr>
        <w:numId w:val="2"/>
      </w:numPr>
    </w:pPr>
  </w:style>
  <w:style w:type="paragraph" w:customStyle="1" w:styleId="Numberbullet3">
    <w:name w:val="Number bullet 3"/>
    <w:basedOn w:val="Normal"/>
    <w:uiPriority w:val="3"/>
    <w:qFormat/>
    <w:rsid w:val="0088084A"/>
    <w:pPr>
      <w:numPr>
        <w:numId w:val="4"/>
      </w:numPr>
      <w:spacing w:before="120" w:after="180" w:line="240" w:lineRule="atLeast"/>
    </w:pPr>
    <w:rPr>
      <w:rFonts w:eastAsia="Cambria" w:cs="Times New Roman"/>
      <w:color w:val="333F48"/>
    </w:rPr>
  </w:style>
  <w:style w:type="numbering" w:customStyle="1" w:styleId="NumberBullet">
    <w:name w:val="NumberBullet"/>
    <w:uiPriority w:val="99"/>
    <w:locked/>
    <w:rsid w:val="0088084A"/>
    <w:pPr>
      <w:numPr>
        <w:numId w:val="2"/>
      </w:numPr>
    </w:pPr>
  </w:style>
  <w:style w:type="paragraph" w:styleId="Subtitle">
    <w:name w:val="Subtitle"/>
    <w:basedOn w:val="Normal"/>
    <w:link w:val="SubtitleChar"/>
    <w:uiPriority w:val="11"/>
    <w:rsid w:val="0088084A"/>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88084A"/>
    <w:rPr>
      <w:rFonts w:ascii="Arial" w:eastAsia="Times New Roman" w:hAnsi="Arial" w:cs="Times New Roman"/>
      <w:bCs/>
      <w:iCs/>
      <w:color w:val="006BA6"/>
      <w:sz w:val="40"/>
      <w:szCs w:val="24"/>
    </w:rPr>
  </w:style>
  <w:style w:type="table" w:styleId="TableGrid">
    <w:name w:val="Table Grid"/>
    <w:basedOn w:val="TableNormal"/>
    <w:uiPriority w:val="59"/>
    <w:rsid w:val="0088084A"/>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88084A"/>
    <w:pPr>
      <w:spacing w:before="120" w:after="360" w:line="240" w:lineRule="atLeast"/>
      <w:jc w:val="center"/>
    </w:pPr>
    <w:rPr>
      <w:rFonts w:eastAsia="Cambria" w:cs="Times New Roman"/>
      <w:b/>
      <w:color w:val="333F48"/>
      <w:sz w:val="28"/>
    </w:rPr>
  </w:style>
  <w:style w:type="paragraph" w:styleId="Title">
    <w:name w:val="Title"/>
    <w:link w:val="TitleChar"/>
    <w:uiPriority w:val="10"/>
    <w:rsid w:val="0088084A"/>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88084A"/>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88084A"/>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88084A"/>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88084A"/>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88084A"/>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88084A"/>
    <w:rPr>
      <w:rFonts w:ascii="Arial" w:eastAsia="Cambria" w:hAnsi="Arial" w:cs="Times New Roman"/>
      <w:color w:val="333F48"/>
      <w:sz w:val="16"/>
    </w:rPr>
  </w:style>
  <w:style w:type="character" w:styleId="FootnoteReference">
    <w:name w:val="footnote reference"/>
    <w:basedOn w:val="DefaultParagraphFont"/>
    <w:uiPriority w:val="99"/>
    <w:unhideWhenUsed/>
    <w:rsid w:val="0088084A"/>
    <w:rPr>
      <w:vertAlign w:val="superscript"/>
    </w:rPr>
  </w:style>
  <w:style w:type="paragraph" w:customStyle="1" w:styleId="NonTOCheading2">
    <w:name w:val="Non TOC heading 2"/>
    <w:basedOn w:val="Normal"/>
    <w:next w:val="Normal"/>
    <w:rsid w:val="0088084A"/>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88084A"/>
    <w:pPr>
      <w:pBdr>
        <w:bottom w:val="none" w:sz="0" w:space="0" w:color="auto"/>
      </w:pBdr>
      <w:spacing w:line="240" w:lineRule="atLeast"/>
    </w:pPr>
  </w:style>
  <w:style w:type="paragraph" w:customStyle="1" w:styleId="Tabledescription">
    <w:name w:val="Table description"/>
    <w:basedOn w:val="Normal"/>
    <w:next w:val="Normal"/>
    <w:rsid w:val="0088084A"/>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88084A"/>
    <w:pPr>
      <w:keepNext/>
      <w:spacing w:before="120" w:after="180" w:line="240" w:lineRule="atLeast"/>
    </w:pPr>
    <w:rPr>
      <w:rFonts w:eastAsia="Cambria" w:cs="Times New Roman"/>
      <w:b/>
      <w:color w:val="333F48"/>
    </w:rPr>
  </w:style>
  <w:style w:type="paragraph" w:customStyle="1" w:styleId="Address">
    <w:name w:val="Address"/>
    <w:basedOn w:val="Normal"/>
    <w:rsid w:val="0088084A"/>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88084A"/>
    <w:pPr>
      <w:tabs>
        <w:tab w:val="left" w:pos="425"/>
      </w:tabs>
    </w:pPr>
  </w:style>
  <w:style w:type="paragraph" w:customStyle="1" w:styleId="ListBullet-donotcross">
    <w:name w:val="List Bullet - do not (cross)"/>
    <w:basedOn w:val="ListBullet"/>
    <w:autoRedefine/>
    <w:uiPriority w:val="1"/>
    <w:qFormat/>
    <w:rsid w:val="0088084A"/>
    <w:pPr>
      <w:ind w:left="357" w:hanging="357"/>
    </w:pPr>
    <w:rPr>
      <w:rFonts w:eastAsiaTheme="minorHAnsi" w:cstheme="minorBidi"/>
      <w:szCs w:val="22"/>
    </w:rPr>
  </w:style>
  <w:style w:type="table" w:customStyle="1" w:styleId="TGABlack2023">
    <w:name w:val="TGA Black 2023"/>
    <w:basedOn w:val="TableTGAblue2023"/>
    <w:uiPriority w:val="99"/>
    <w:rsid w:val="0088084A"/>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ListBullet"/>
    <w:autoRedefine/>
    <w:uiPriority w:val="34"/>
    <w:qFormat/>
    <w:rsid w:val="0088084A"/>
    <w:pPr>
      <w:ind w:left="357" w:hanging="357"/>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character" w:customStyle="1" w:styleId="Heading1Char">
    <w:name w:val="Heading 1 Char"/>
    <w:basedOn w:val="DefaultParagraphFont"/>
    <w:link w:val="Heading1"/>
    <w:uiPriority w:val="9"/>
    <w:rsid w:val="0088084A"/>
    <w:rPr>
      <w:rFonts w:asciiTheme="majorHAnsi" w:eastAsiaTheme="majorEastAsia" w:hAnsiTheme="majorHAnsi" w:cstheme="majorBidi"/>
      <w:color w:val="2F5496" w:themeColor="accent1" w:themeShade="BF"/>
      <w:sz w:val="32"/>
      <w:szCs w:val="32"/>
    </w:rPr>
  </w:style>
  <w:style w:type="paragraph" w:customStyle="1" w:styleId="Legislation">
    <w:name w:val="Legislation"/>
    <w:basedOn w:val="Normal"/>
    <w:qFormat/>
    <w:rsid w:val="0088084A"/>
    <w:pPr>
      <w:jc w:val="center"/>
    </w:pPr>
    <w:rPr>
      <w:i/>
      <w:color w:val="333F48"/>
    </w:rPr>
  </w:style>
  <w:style w:type="paragraph" w:customStyle="1" w:styleId="Legislation-list">
    <w:name w:val="Legislation-list"/>
    <w:basedOn w:val="Numberbullet0"/>
    <w:qFormat/>
    <w:rsid w:val="0088084A"/>
    <w:pPr>
      <w:numPr>
        <w:numId w:val="12"/>
      </w:numPr>
      <w:jc w:val="center"/>
    </w:pPr>
    <w:rPr>
      <w:i/>
    </w:rPr>
  </w:style>
  <w:style w:type="paragraph" w:styleId="TOCHeading">
    <w:name w:val="TOC Heading"/>
    <w:basedOn w:val="Heading1"/>
    <w:next w:val="Normal"/>
    <w:uiPriority w:val="39"/>
    <w:unhideWhenUsed/>
    <w:qFormat/>
    <w:rsid w:val="0088084A"/>
    <w:pPr>
      <w:outlineLvl w:val="9"/>
    </w:pPr>
    <w:rPr>
      <w:lang w:val="en-US"/>
    </w:rPr>
  </w:style>
  <w:style w:type="character" w:styleId="PlaceholderText">
    <w:name w:val="Placeholder Text"/>
    <w:basedOn w:val="DefaultParagraphFont"/>
    <w:uiPriority w:val="99"/>
    <w:semiHidden/>
    <w:rsid w:val="0088084A"/>
    <w:rPr>
      <w:color w:val="808080"/>
    </w:rPr>
  </w:style>
  <w:style w:type="paragraph" w:styleId="Revision">
    <w:name w:val="Revision"/>
    <w:hidden/>
    <w:uiPriority w:val="99"/>
    <w:semiHidden/>
    <w:rsid w:val="00165CF7"/>
    <w:pPr>
      <w:spacing w:after="0" w:line="240" w:lineRule="auto"/>
    </w:pPr>
    <w:rPr>
      <w:rFonts w:ascii="Arial" w:hAnsi="Arial"/>
    </w:rPr>
  </w:style>
  <w:style w:type="character" w:customStyle="1" w:styleId="cf01">
    <w:name w:val="cf01"/>
    <w:basedOn w:val="DefaultParagraphFont"/>
    <w:rsid w:val="00C6381B"/>
    <w:rPr>
      <w:rFonts w:ascii="Segoe UI" w:hAnsi="Segoe UI" w:cs="Segoe UI" w:hint="default"/>
      <w:sz w:val="18"/>
      <w:szCs w:val="18"/>
    </w:rPr>
  </w:style>
  <w:style w:type="paragraph" w:customStyle="1" w:styleId="pf0">
    <w:name w:val="pf0"/>
    <w:basedOn w:val="Normal"/>
    <w:rsid w:val="00C638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1">
    <w:name w:val="pf1"/>
    <w:basedOn w:val="Normal"/>
    <w:rsid w:val="004C7F44"/>
    <w:pPr>
      <w:spacing w:before="100" w:beforeAutospacing="1" w:after="100" w:afterAutospacing="1" w:line="240" w:lineRule="auto"/>
      <w:ind w:left="360"/>
    </w:pPr>
    <w:rPr>
      <w:rFonts w:ascii="Times New Roman" w:eastAsia="Times New Roman" w:hAnsi="Times New Roman" w:cs="Times New Roman"/>
      <w:sz w:val="24"/>
      <w:szCs w:val="24"/>
      <w:lang w:eastAsia="en-AU"/>
    </w:rPr>
  </w:style>
  <w:style w:type="character" w:customStyle="1" w:styleId="cf11">
    <w:name w:val="cf11"/>
    <w:basedOn w:val="DefaultParagraphFont"/>
    <w:rsid w:val="004C7F44"/>
    <w:rPr>
      <w:rFonts w:ascii="Segoe UI" w:hAnsi="Segoe UI" w:cs="Segoe UI" w:hint="default"/>
      <w:sz w:val="18"/>
      <w:szCs w:val="18"/>
    </w:rPr>
  </w:style>
  <w:style w:type="character" w:customStyle="1" w:styleId="cf21">
    <w:name w:val="cf21"/>
    <w:basedOn w:val="DefaultParagraphFont"/>
    <w:rsid w:val="004C7F44"/>
    <w:rPr>
      <w:rFonts w:ascii="Segoe UI" w:hAnsi="Segoe UI" w:cs="Segoe UI" w:hint="default"/>
      <w:sz w:val="18"/>
      <w:szCs w:val="18"/>
      <w:shd w:val="clear" w:color="auto" w:fill="FFFF00"/>
    </w:rPr>
  </w:style>
  <w:style w:type="paragraph" w:styleId="NormalWeb">
    <w:name w:val="Normal (Web)"/>
    <w:basedOn w:val="Normal"/>
    <w:uiPriority w:val="99"/>
    <w:semiHidden/>
    <w:unhideWhenUsed/>
    <w:rsid w:val="004C7F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roupname">
    <w:name w:val="groupname"/>
    <w:basedOn w:val="DefaultParagraphFont"/>
    <w:rsid w:val="00B325F0"/>
  </w:style>
  <w:style w:type="character" w:customStyle="1" w:styleId="author">
    <w:name w:val="author"/>
    <w:basedOn w:val="DefaultParagraphFont"/>
    <w:rsid w:val="00B325F0"/>
  </w:style>
  <w:style w:type="character" w:customStyle="1" w:styleId="pubyear">
    <w:name w:val="pubyear"/>
    <w:basedOn w:val="DefaultParagraphFont"/>
    <w:rsid w:val="00B325F0"/>
  </w:style>
  <w:style w:type="character" w:customStyle="1" w:styleId="articletitle">
    <w:name w:val="articletitle"/>
    <w:basedOn w:val="DefaultParagraphFont"/>
    <w:rsid w:val="00B325F0"/>
  </w:style>
  <w:style w:type="character" w:styleId="FollowedHyperlink">
    <w:name w:val="FollowedHyperlink"/>
    <w:basedOn w:val="DefaultParagraphFont"/>
    <w:uiPriority w:val="99"/>
    <w:semiHidden/>
    <w:unhideWhenUsed/>
    <w:rsid w:val="00FD0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037">
      <w:bodyDiv w:val="1"/>
      <w:marLeft w:val="0"/>
      <w:marRight w:val="0"/>
      <w:marTop w:val="0"/>
      <w:marBottom w:val="0"/>
      <w:divBdr>
        <w:top w:val="none" w:sz="0" w:space="0" w:color="auto"/>
        <w:left w:val="none" w:sz="0" w:space="0" w:color="auto"/>
        <w:bottom w:val="none" w:sz="0" w:space="0" w:color="auto"/>
        <w:right w:val="none" w:sz="0" w:space="0" w:color="auto"/>
      </w:divBdr>
    </w:div>
    <w:div w:id="657615728">
      <w:bodyDiv w:val="1"/>
      <w:marLeft w:val="0"/>
      <w:marRight w:val="0"/>
      <w:marTop w:val="0"/>
      <w:marBottom w:val="0"/>
      <w:divBdr>
        <w:top w:val="none" w:sz="0" w:space="0" w:color="auto"/>
        <w:left w:val="none" w:sz="0" w:space="0" w:color="auto"/>
        <w:bottom w:val="none" w:sz="0" w:space="0" w:color="auto"/>
        <w:right w:val="none" w:sz="0" w:space="0" w:color="auto"/>
      </w:divBdr>
    </w:div>
    <w:div w:id="1264190014">
      <w:bodyDiv w:val="1"/>
      <w:marLeft w:val="0"/>
      <w:marRight w:val="0"/>
      <w:marTop w:val="0"/>
      <w:marBottom w:val="0"/>
      <w:divBdr>
        <w:top w:val="none" w:sz="0" w:space="0" w:color="auto"/>
        <w:left w:val="none" w:sz="0" w:space="0" w:color="auto"/>
        <w:bottom w:val="none" w:sz="0" w:space="0" w:color="auto"/>
        <w:right w:val="none" w:sz="0" w:space="0" w:color="auto"/>
      </w:divBdr>
    </w:div>
    <w:div w:id="1683893068">
      <w:bodyDiv w:val="1"/>
      <w:marLeft w:val="0"/>
      <w:marRight w:val="0"/>
      <w:marTop w:val="0"/>
      <w:marBottom w:val="0"/>
      <w:divBdr>
        <w:top w:val="none" w:sz="0" w:space="0" w:color="auto"/>
        <w:left w:val="none" w:sz="0" w:space="0" w:color="auto"/>
        <w:bottom w:val="none" w:sz="0" w:space="0" w:color="auto"/>
        <w:right w:val="none" w:sz="0" w:space="0" w:color="auto"/>
      </w:divBdr>
    </w:div>
    <w:div w:id="19478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consultations.tga.gov.au/tga/scheduling-interim-decision-nov-2022/consultation/published_select_responden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consultations.tga.gov.au/medicines-regulation-division/low-neg-risk-2023-2024/user_uploads/cmes---low-negligible-risk-annual-consultation---2023-2024---final-decisions-document.pdf" TargetMode="Externa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sites/default/files/2023-02/public-notice-of-interim-decisions-acms-40-accs-35-joint-acms-accs-32-november-2022.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ga.gov.au/sites/default/files/2022-09/consultation-proposed-amendments-poisons-standard-accs-acms-and-joint-accsacms-meetings-november-2022.pdf" TargetMode="External"/><Relationship Id="rId20" Type="http://schemas.openxmlformats.org/officeDocument/2006/relationships/hyperlink" Target="https://consultations.tga.gov.au/tga/scheduling-interim-decision-gte-amygdali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consultations.tga.gov.au/tga/scheduling-interim-decision-gte-amygdali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tions.tga.gov.au/tga/pre-meeting-nov-2022/consultation/published_select_respondent" TargetMode="External"/><Relationship Id="rId23" Type="http://schemas.openxmlformats.org/officeDocument/2006/relationships/hyperlink" Target="https://consultations.tga.gov.au/medicines-regulation-division/low-neg-risk-2023-2024/user_uploads/cmes---low-negligible-risk-annual-consultation---2023-2024---final-decisions-document.pdf" TargetMode="External"/><Relationship Id="rId28" Type="http://schemas.openxmlformats.org/officeDocument/2006/relationships/hyperlink" Target="https://www.tga.gov.au" TargetMode="External"/><Relationship Id="rId10" Type="http://schemas.openxmlformats.org/officeDocument/2006/relationships/footer" Target="footer2.xml"/><Relationship Id="rId19" Type="http://schemas.openxmlformats.org/officeDocument/2006/relationships/hyperlink" Target="https://consultations.tga.gov.au/tga/scheduling-interim-decision-nov-2022/consultation/published_select_respond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sites/default/files/2022-09/consultation-proposed-amendments-poisons-standard-accs-acms-and-joint-accsacms-meetings-november-2022.pdf" TargetMode="External"/><Relationship Id="rId22" Type="http://schemas.openxmlformats.org/officeDocument/2006/relationships/hyperlink" Target="https://www.legislation.gov.au/F2024L00209/asmade/text" TargetMode="External"/><Relationship Id="rId27" Type="http://schemas.openxmlformats.org/officeDocument/2006/relationships/hyperlink" Target="mailto:info@tga.gov.a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canada.ca/en/health-canada/services/food-nutrition/public-involvement-partnerships/notice-modification-list-permitted-supplemental-ingredients-permit-use-green-tea-extract-supplemental-ingredient-foods/document.html" TargetMode="External"/><Relationship Id="rId2" Type="http://schemas.openxmlformats.org/officeDocument/2006/relationships/hyperlink" Target="https://doi.org/10.2903/j.efsa.2018.5239" TargetMode="External"/><Relationship Id="rId1" Type="http://schemas.openxmlformats.org/officeDocument/2006/relationships/hyperlink" Target="https://consultations.tga.gov.au/medicines-regulation-division/low-neg-risk-2023-2024/user_uploads/cmes---low-negligible-risk-annual-consultation---2023-2024---final-decisions-document.pdf" TargetMode="External"/><Relationship Id="rId5" Type="http://schemas.openxmlformats.org/officeDocument/2006/relationships/hyperlink" Target="https://www.legislation.gov.au/F2019L01352/latest/text" TargetMode="External"/><Relationship Id="rId4" Type="http://schemas.openxmlformats.org/officeDocument/2006/relationships/hyperlink" Target="https://www.tga.gov.au/resources/resource/guidance/changes-regulation-sports-supplements-austral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TotalTime>
  <Pages>9</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dc:title>
  <dc:subject>scheduling</dc:subject>
  <dc:creator>Therapeutic Goods Administration</dc:creator>
  <cp:keywords/>
  <dc:description/>
  <cp:lastModifiedBy>LACK, Janet</cp:lastModifiedBy>
  <cp:revision>3</cp:revision>
  <dcterms:created xsi:type="dcterms:W3CDTF">2025-02-19T03:46:00Z</dcterms:created>
  <dcterms:modified xsi:type="dcterms:W3CDTF">2025-02-19T03:48:00Z</dcterms:modified>
</cp:coreProperties>
</file>