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597A0" w14:textId="4C344BB4" w:rsidR="004032BD" w:rsidRPr="000A7AE8" w:rsidRDefault="004032BD" w:rsidP="001A2060">
      <w:pPr>
        <w:pStyle w:val="Title"/>
        <w:rPr>
          <w:rFonts w:eastAsia="SimSun"/>
        </w:rPr>
      </w:pPr>
      <w:r w:rsidRPr="000A7AE8">
        <w:rPr>
          <w:rFonts w:eastAsia="SimSun"/>
        </w:rPr>
        <w:t>Australian P</w:t>
      </w:r>
      <w:r w:rsidR="00544A7F" w:rsidRPr="000A7AE8">
        <w:rPr>
          <w:rFonts w:eastAsia="SimSun"/>
        </w:rPr>
        <w:t xml:space="preserve">roduct </w:t>
      </w:r>
      <w:r w:rsidRPr="000A7AE8">
        <w:rPr>
          <w:rFonts w:eastAsia="SimSun"/>
        </w:rPr>
        <w:t>I</w:t>
      </w:r>
      <w:r w:rsidR="00544A7F" w:rsidRPr="000A7AE8">
        <w:rPr>
          <w:rFonts w:eastAsia="SimSun"/>
        </w:rPr>
        <w:t>nformation</w:t>
      </w:r>
      <w:r w:rsidRPr="000A7AE8">
        <w:rPr>
          <w:rFonts w:eastAsia="SimSun"/>
        </w:rPr>
        <w:t xml:space="preserve"> –</w:t>
      </w:r>
      <w:r w:rsidR="00544A7F" w:rsidRPr="000A7AE8">
        <w:rPr>
          <w:rFonts w:eastAsia="SimSun"/>
        </w:rPr>
        <w:t xml:space="preserve"> </w:t>
      </w:r>
      <w:r w:rsidR="00260A0D" w:rsidRPr="000A7AE8">
        <w:rPr>
          <w:rFonts w:eastAsia="SimSun"/>
        </w:rPr>
        <w:t>ORENCIA</w:t>
      </w:r>
      <w:r w:rsidR="004704A9" w:rsidRPr="000A7AE8">
        <w:rPr>
          <w:rFonts w:eastAsia="SimSun"/>
          <w:vertAlign w:val="superscript"/>
          <w:lang w:val="en-US"/>
        </w:rPr>
        <w:t>®</w:t>
      </w:r>
      <w:r w:rsidR="00544A7F" w:rsidRPr="000A7AE8">
        <w:rPr>
          <w:rFonts w:eastAsia="SimSun"/>
          <w:vertAlign w:val="superscript"/>
          <w:lang w:val="en-US"/>
        </w:rPr>
        <w:t xml:space="preserve"> </w:t>
      </w:r>
      <w:r w:rsidR="00544A7F" w:rsidRPr="000A7AE8">
        <w:rPr>
          <w:rFonts w:eastAsia="SimSun"/>
          <w:lang w:val="en-US"/>
        </w:rPr>
        <w:t>(</w:t>
      </w:r>
      <w:r w:rsidR="00260A0D" w:rsidRPr="000A7AE8">
        <w:rPr>
          <w:rFonts w:eastAsia="SimSun"/>
        </w:rPr>
        <w:t>abatacept</w:t>
      </w:r>
      <w:r w:rsidR="00544A7F" w:rsidRPr="000A7AE8">
        <w:rPr>
          <w:rFonts w:eastAsia="SimSun"/>
        </w:rPr>
        <w:t>)</w:t>
      </w:r>
    </w:p>
    <w:p w14:paraId="54F134D8" w14:textId="77777777" w:rsidR="001A3992" w:rsidRPr="000A7AE8" w:rsidRDefault="001A3992" w:rsidP="00E376B1">
      <w:pPr>
        <w:pStyle w:val="Heading1"/>
        <w:numPr>
          <w:ilvl w:val="0"/>
          <w:numId w:val="30"/>
        </w:numPr>
      </w:pPr>
      <w:r w:rsidRPr="000A7AE8">
        <w:t>Name of the medicine</w:t>
      </w:r>
    </w:p>
    <w:p w14:paraId="6417220B" w14:textId="163B6788" w:rsidR="00260A0D" w:rsidRPr="000A7AE8" w:rsidRDefault="0046343A" w:rsidP="00260A0D">
      <w:pPr>
        <w:rPr>
          <w:rFonts w:cs="Times New Roman"/>
        </w:rPr>
      </w:pPr>
      <w:r w:rsidRPr="000A7AE8">
        <w:rPr>
          <w:rFonts w:cs="Times New Roman"/>
          <w:lang w:val="en-US"/>
        </w:rPr>
        <w:t>ORENCIA (</w:t>
      </w:r>
      <w:proofErr w:type="spellStart"/>
      <w:r w:rsidR="00260A0D" w:rsidRPr="000A7AE8">
        <w:rPr>
          <w:rFonts w:cs="Times New Roman"/>
          <w:lang w:val="en-US"/>
        </w:rPr>
        <w:t>abatacept</w:t>
      </w:r>
      <w:proofErr w:type="spellEnd"/>
      <w:r w:rsidRPr="000A7AE8">
        <w:rPr>
          <w:rFonts w:cs="Times New Roman"/>
          <w:lang w:val="en-US"/>
        </w:rPr>
        <w:t>)</w:t>
      </w:r>
      <w:r w:rsidR="00260A0D" w:rsidRPr="000A7AE8">
        <w:rPr>
          <w:rFonts w:cs="Times New Roman"/>
          <w:lang w:val="en-US"/>
        </w:rPr>
        <w:t xml:space="preserve"> </w:t>
      </w:r>
    </w:p>
    <w:p w14:paraId="40A1BF9F" w14:textId="6804E87C" w:rsidR="001A3992" w:rsidRPr="000A7AE8" w:rsidRDefault="001A3992" w:rsidP="00E376B1">
      <w:pPr>
        <w:pStyle w:val="Heading1"/>
      </w:pPr>
      <w:r w:rsidRPr="000A7AE8">
        <w:t>Qualitative and quantitative composition</w:t>
      </w:r>
    </w:p>
    <w:p w14:paraId="643B5A3E" w14:textId="77777777" w:rsidR="006B4211" w:rsidRPr="000A7AE8" w:rsidRDefault="006B4211" w:rsidP="006B4211">
      <w:proofErr w:type="spellStart"/>
      <w:r w:rsidRPr="000A7AE8">
        <w:t>Abatacept</w:t>
      </w:r>
      <w:proofErr w:type="spellEnd"/>
      <w:r w:rsidRPr="000A7AE8">
        <w:t xml:space="preserve"> is a fusion protein produced by recombinant DNA technology in Chinese hamster ovary cells.</w:t>
      </w:r>
    </w:p>
    <w:p w14:paraId="7E592D4D" w14:textId="72392855" w:rsidR="00260A0D" w:rsidRPr="000A7AE8" w:rsidRDefault="00EA1A82" w:rsidP="00EA1A82">
      <w:pPr>
        <w:pStyle w:val="Heading3"/>
      </w:pPr>
      <w:r w:rsidRPr="000A7AE8">
        <w:t>Lyophilized Powder for IV Infusion</w:t>
      </w:r>
    </w:p>
    <w:p w14:paraId="3E2BD191" w14:textId="443D02A7" w:rsidR="00260A0D" w:rsidRPr="000A7AE8" w:rsidRDefault="00260A0D" w:rsidP="00383CBC">
      <w:r w:rsidRPr="000A7AE8">
        <w:t xml:space="preserve">Each vial contains 250 mg </w:t>
      </w:r>
      <w:proofErr w:type="spellStart"/>
      <w:r w:rsidRPr="000A7AE8">
        <w:t>abatacept</w:t>
      </w:r>
      <w:proofErr w:type="spellEnd"/>
      <w:r w:rsidRPr="000A7AE8">
        <w:t>.</w:t>
      </w:r>
    </w:p>
    <w:p w14:paraId="3213856A" w14:textId="2F40454D" w:rsidR="00260A0D" w:rsidRPr="000A7AE8" w:rsidRDefault="00260A0D" w:rsidP="00EA1A82">
      <w:pPr>
        <w:rPr>
          <w:b/>
        </w:rPr>
      </w:pPr>
      <w:r w:rsidRPr="000A7AE8">
        <w:rPr>
          <w:b/>
        </w:rPr>
        <w:t>Excipient with known effect</w:t>
      </w:r>
    </w:p>
    <w:p w14:paraId="31F1EFE7" w14:textId="29248E33" w:rsidR="00260A0D" w:rsidRPr="000A7AE8" w:rsidRDefault="00260A0D" w:rsidP="00260A0D">
      <w:r w:rsidRPr="000A7AE8">
        <w:t>Each vial contains 8.625 mg sodium</w:t>
      </w:r>
      <w:r w:rsidR="00383CBC" w:rsidRPr="000A7AE8">
        <w:t>.</w:t>
      </w:r>
    </w:p>
    <w:p w14:paraId="298D33D5" w14:textId="4087E27F" w:rsidR="00260A0D" w:rsidRPr="000A7AE8" w:rsidRDefault="00EA1A82" w:rsidP="00EA1A82">
      <w:pPr>
        <w:pStyle w:val="Heading3"/>
      </w:pPr>
      <w:r w:rsidRPr="000A7AE8">
        <w:t>Solution for Subcutaneous Administration</w:t>
      </w:r>
    </w:p>
    <w:p w14:paraId="290A2DB9" w14:textId="65C85F74" w:rsidR="00260A0D" w:rsidRPr="000A7AE8" w:rsidRDefault="00260A0D" w:rsidP="00383CBC">
      <w:r w:rsidRPr="000A7AE8">
        <w:t xml:space="preserve">Each 1mL pre-filled syringe or </w:t>
      </w:r>
      <w:proofErr w:type="spellStart"/>
      <w:r w:rsidRPr="000A7AE8">
        <w:t>autoinjector</w:t>
      </w:r>
      <w:proofErr w:type="spellEnd"/>
      <w:r w:rsidRPr="000A7AE8">
        <w:t xml:space="preserve"> contains 125 mg </w:t>
      </w:r>
      <w:proofErr w:type="spellStart"/>
      <w:r w:rsidRPr="000A7AE8">
        <w:t>abatacept</w:t>
      </w:r>
      <w:proofErr w:type="spellEnd"/>
      <w:r w:rsidR="00383CBC" w:rsidRPr="000A7AE8">
        <w:t>.</w:t>
      </w:r>
    </w:p>
    <w:p w14:paraId="0688E6A8" w14:textId="7C0D7BDD" w:rsidR="00260A0D" w:rsidRPr="000A7AE8" w:rsidRDefault="00260A0D" w:rsidP="00EA1A82">
      <w:pPr>
        <w:rPr>
          <w:b/>
        </w:rPr>
      </w:pPr>
      <w:r w:rsidRPr="000A7AE8">
        <w:rPr>
          <w:b/>
        </w:rPr>
        <w:t>Excipient with known effect</w:t>
      </w:r>
    </w:p>
    <w:p w14:paraId="38229962" w14:textId="287408A3" w:rsidR="000E7BE9" w:rsidRPr="000A7AE8" w:rsidRDefault="000E7BE9" w:rsidP="000E7BE9">
      <w:r w:rsidRPr="000A7AE8">
        <w:t xml:space="preserve">Each syringe or </w:t>
      </w:r>
      <w:proofErr w:type="spellStart"/>
      <w:r w:rsidRPr="000A7AE8">
        <w:t>autoinjector</w:t>
      </w:r>
      <w:proofErr w:type="spellEnd"/>
      <w:r w:rsidRPr="000A7AE8">
        <w:t xml:space="preserve"> contains 0.322mg sodium.</w:t>
      </w:r>
    </w:p>
    <w:p w14:paraId="5E80BE16" w14:textId="77777777" w:rsidR="0046343A" w:rsidRPr="000A7AE8" w:rsidRDefault="0046343A" w:rsidP="00580399">
      <w:r w:rsidRPr="000A7AE8">
        <w:t>For the full list of excipients, see section 6.1.</w:t>
      </w:r>
    </w:p>
    <w:p w14:paraId="3F527148" w14:textId="77777777" w:rsidR="001A3992" w:rsidRPr="000A7AE8" w:rsidRDefault="001A3992" w:rsidP="00C27979">
      <w:pPr>
        <w:pStyle w:val="Heading1"/>
      </w:pPr>
      <w:r w:rsidRPr="000A7AE8">
        <w:t>Pharmaceutical form</w:t>
      </w:r>
    </w:p>
    <w:p w14:paraId="53B45832" w14:textId="3B4FD4A1" w:rsidR="006B4211" w:rsidRPr="000A7AE8" w:rsidRDefault="005C0AB3" w:rsidP="006B4211">
      <w:pPr>
        <w:pStyle w:val="Heading3"/>
      </w:pPr>
      <w:r w:rsidRPr="000A7AE8">
        <w:t>Lyophilized powder for IV</w:t>
      </w:r>
      <w:r w:rsidR="00FD1FC8" w:rsidRPr="000A7AE8">
        <w:t xml:space="preserve"> infusion</w:t>
      </w:r>
    </w:p>
    <w:p w14:paraId="48A867D4" w14:textId="503B5CA8" w:rsidR="006B4211" w:rsidRPr="000A7AE8" w:rsidRDefault="006B4211" w:rsidP="006B4211">
      <w:r w:rsidRPr="000A7AE8">
        <w:t>ORENCIA is a sterile, white, preservative-free, lyophilized powder for parenteral administration. Following reconstitution with 10 mL of sterile water for injection, the solution of ORENCIA is clear, colourless to pale yellow, with a pH range of 7.2 to 7.8.</w:t>
      </w:r>
      <w:r w:rsidR="00C243BB" w:rsidRPr="000A7AE8">
        <w:t xml:space="preserve"> </w:t>
      </w:r>
    </w:p>
    <w:p w14:paraId="7FA41EE8" w14:textId="1F9F3FEF" w:rsidR="006B4211" w:rsidRPr="000A7AE8" w:rsidRDefault="00FD1FC8" w:rsidP="006B4211">
      <w:pPr>
        <w:pStyle w:val="Heading3"/>
      </w:pPr>
      <w:r w:rsidRPr="000A7AE8">
        <w:t>Solution for subcutaneous administration</w:t>
      </w:r>
    </w:p>
    <w:p w14:paraId="5642A3E4" w14:textId="77777777" w:rsidR="006B4211" w:rsidRPr="000A7AE8" w:rsidRDefault="006B4211" w:rsidP="006B4211">
      <w:r w:rsidRPr="000A7AE8">
        <w:t xml:space="preserve">ORENCIA, solution for injection, pre-filled syringe or </w:t>
      </w:r>
      <w:proofErr w:type="spellStart"/>
      <w:r w:rsidRPr="000A7AE8">
        <w:t>autoinjector</w:t>
      </w:r>
      <w:proofErr w:type="spellEnd"/>
      <w:r w:rsidRPr="000A7AE8">
        <w:t xml:space="preserve"> is supplied as a sterile, preservative-free, ready-to-use solution for subcutaneous injection. The subcutaneous solution is clear, colourless to pale yellow with a pH of 6.8 to 7.4.</w:t>
      </w:r>
    </w:p>
    <w:p w14:paraId="58C6FC72" w14:textId="77777777" w:rsidR="001A3992" w:rsidRPr="000A7AE8" w:rsidRDefault="001A3992" w:rsidP="00C27979">
      <w:pPr>
        <w:pStyle w:val="Heading1"/>
      </w:pPr>
      <w:r w:rsidRPr="000A7AE8">
        <w:t>Clinical particulars</w:t>
      </w:r>
    </w:p>
    <w:p w14:paraId="64CF8B96" w14:textId="77777777" w:rsidR="001A3992" w:rsidRPr="000A7AE8" w:rsidRDefault="003B14A8" w:rsidP="003144B2">
      <w:pPr>
        <w:pStyle w:val="Heading2"/>
      </w:pPr>
      <w:r w:rsidRPr="000A7AE8">
        <w:t>Therapeutic indications</w:t>
      </w:r>
    </w:p>
    <w:p w14:paraId="0290F50E" w14:textId="77777777" w:rsidR="006B4211" w:rsidRPr="000A7AE8" w:rsidRDefault="006B4211" w:rsidP="006B4211">
      <w:r w:rsidRPr="000A7AE8">
        <w:t xml:space="preserve">ORENCIA in combination with methotrexate is indicated for the treatment of moderate to severe active rheumatoid arthritis in adult patients who have had an insufficient response or intolerance to other disease modifying anti-rheumatic drugs (DMARDs), such as methotrexate or tumour necrosis </w:t>
      </w:r>
      <w:proofErr w:type="gramStart"/>
      <w:r w:rsidRPr="000A7AE8">
        <w:t>factor</w:t>
      </w:r>
      <w:proofErr w:type="gramEnd"/>
      <w:r w:rsidRPr="000A7AE8">
        <w:t xml:space="preserve"> (TNF) blocking agents. A reduction in the progression of joint damage and improvement in physical function have been demonstrated during combination treatment with ORENCIA and methotrexate.</w:t>
      </w:r>
    </w:p>
    <w:p w14:paraId="0E15C865" w14:textId="77777777" w:rsidR="006B4211" w:rsidRPr="000A7AE8" w:rsidRDefault="006B4211" w:rsidP="006B4211">
      <w:r w:rsidRPr="000A7AE8">
        <w:lastRenderedPageBreak/>
        <w:t>ORENCIA in combination with methotrexate is also indicated in the treatment of severe, active and progressive rheumatoid arthritis in adults not previously treated with methotrexate.</w:t>
      </w:r>
    </w:p>
    <w:p w14:paraId="74B587E8" w14:textId="41E129F0" w:rsidR="006B4211" w:rsidRPr="000A7AE8" w:rsidRDefault="006B4211" w:rsidP="006B4211">
      <w:r w:rsidRPr="000A7AE8">
        <w:t xml:space="preserve">ORENCIA is indicated for reducing signs and symptoms in paediatric patients 6 years of age and older with moderately to severely active </w:t>
      </w:r>
      <w:proofErr w:type="spellStart"/>
      <w:r w:rsidRPr="000A7AE8">
        <w:t>polyarticular</w:t>
      </w:r>
      <w:proofErr w:type="spellEnd"/>
      <w:r w:rsidRPr="000A7AE8">
        <w:t xml:space="preserve"> juvenile idiopathic arthritis </w:t>
      </w:r>
      <w:proofErr w:type="gramStart"/>
      <w:r w:rsidRPr="000A7AE8">
        <w:t>who</w:t>
      </w:r>
      <w:proofErr w:type="gramEnd"/>
      <w:r w:rsidRPr="000A7AE8">
        <w:t xml:space="preserve"> have had an inadequate response to one or more disease-modifying anti-rheumatic drugs (DMARDs). ORENCIA may be used as monotherapy or concomitantly with methotrexate (MTX). (There is no clinical trial data for the use of ORENCIA subcutaneous formulation in children, therefore its use in children cannot be recommended.)</w:t>
      </w:r>
    </w:p>
    <w:p w14:paraId="4FDA1D19" w14:textId="073C9BAA" w:rsidR="006B4211" w:rsidRPr="000A7AE8" w:rsidRDefault="006B4211" w:rsidP="005C0AB3">
      <w:r w:rsidRPr="000A7AE8">
        <w:t>ORENCIA is indicated for the treatment of active psoriatic arthritis (</w:t>
      </w:r>
      <w:proofErr w:type="spellStart"/>
      <w:r w:rsidRPr="000A7AE8">
        <w:t>PsA</w:t>
      </w:r>
      <w:proofErr w:type="spellEnd"/>
      <w:r w:rsidRPr="000A7AE8">
        <w:t>) in adults when the response to previous disease-modifying anti-rheumatic drug (DMARD) therapy has been inadequate. ORENCIA can be used with or without non-biologic DMARDs.</w:t>
      </w:r>
    </w:p>
    <w:p w14:paraId="7D9B1FD2" w14:textId="77777777" w:rsidR="006B4211" w:rsidRPr="000A7AE8" w:rsidRDefault="006B4211" w:rsidP="005C0AB3">
      <w:r w:rsidRPr="000A7AE8">
        <w:t>ORENCIA should not be administered concurrently with other biological DMARDs (</w:t>
      </w:r>
      <w:proofErr w:type="spellStart"/>
      <w:r w:rsidRPr="000A7AE8">
        <w:t>eg</w:t>
      </w:r>
      <w:proofErr w:type="spellEnd"/>
      <w:r w:rsidRPr="000A7AE8">
        <w:t xml:space="preserve">, TNF inhibitors, rituximab, or </w:t>
      </w:r>
      <w:proofErr w:type="spellStart"/>
      <w:r w:rsidRPr="000A7AE8">
        <w:t>anakinra</w:t>
      </w:r>
      <w:proofErr w:type="spellEnd"/>
      <w:r w:rsidRPr="000A7AE8">
        <w:t>).</w:t>
      </w:r>
    </w:p>
    <w:p w14:paraId="4D307C13" w14:textId="77777777" w:rsidR="001A3992" w:rsidRPr="000A7AE8" w:rsidRDefault="001A3992" w:rsidP="003144B2">
      <w:pPr>
        <w:pStyle w:val="Heading2"/>
      </w:pPr>
      <w:r w:rsidRPr="000A7AE8">
        <w:t>Do</w:t>
      </w:r>
      <w:r w:rsidR="00413966" w:rsidRPr="000A7AE8">
        <w:t>se and method of administration</w:t>
      </w:r>
    </w:p>
    <w:p w14:paraId="0B7BB2EE" w14:textId="77777777" w:rsidR="006B4211" w:rsidRPr="000A7AE8" w:rsidRDefault="006B4211" w:rsidP="005C0AB3">
      <w:r w:rsidRPr="000A7AE8">
        <w:t xml:space="preserve">For adult patients with RA or </w:t>
      </w:r>
      <w:proofErr w:type="spellStart"/>
      <w:r w:rsidRPr="000A7AE8">
        <w:t>PsA</w:t>
      </w:r>
      <w:proofErr w:type="spellEnd"/>
      <w:r w:rsidRPr="000A7AE8">
        <w:t>, ORENCIA may be administered as an intravenous (IV) infusion or a subcutaneous (SC) injection. Methotrexate, other non-biologic DMARDs, corticosteroids, salicylates, nonsteroidal anti-inflammatory drugs (NSAIDs), or analgesics may be used during treatment with ORENCIA.</w:t>
      </w:r>
    </w:p>
    <w:p w14:paraId="238C13A1" w14:textId="77777777" w:rsidR="006B4211" w:rsidRPr="000A7AE8" w:rsidRDefault="006B4211" w:rsidP="00690C07">
      <w:pPr>
        <w:pStyle w:val="Heading3"/>
      </w:pPr>
      <w:r w:rsidRPr="000A7AE8">
        <w:t>IV dosing regimen - Rheumatoid Arthritis and Psoriatic Arthritis</w:t>
      </w:r>
    </w:p>
    <w:p w14:paraId="4FD9BFAF" w14:textId="0B7D481B" w:rsidR="006B4211" w:rsidRPr="000A7AE8" w:rsidRDefault="006B4211" w:rsidP="005C0AB3">
      <w:r w:rsidRPr="000A7AE8">
        <w:t xml:space="preserve">ORENCIA IV should be administered as a 30-minute intravenous infusion utilizing the weight range-based dosing specified in Table 1. Following the initial IV administration, an intravenous infusion should be given at 2 and 4 weeks after the first infusion and every 4 weeks thereafter. </w:t>
      </w:r>
    </w:p>
    <w:tbl>
      <w:tblPr>
        <w:tblW w:w="0" w:type="auto"/>
        <w:jc w:val="center"/>
        <w:tblLayout w:type="fixed"/>
        <w:tblLook w:val="0000" w:firstRow="0" w:lastRow="0" w:firstColumn="0" w:lastColumn="0" w:noHBand="0" w:noVBand="0"/>
      </w:tblPr>
      <w:tblGrid>
        <w:gridCol w:w="2520"/>
        <w:gridCol w:w="1440"/>
        <w:gridCol w:w="1890"/>
      </w:tblGrid>
      <w:tr w:rsidR="000A7AE8" w:rsidRPr="000A7AE8" w14:paraId="3B6DC2EB" w14:textId="77777777" w:rsidTr="004E2896">
        <w:trPr>
          <w:cantSplit/>
          <w:tblHeader/>
          <w:jc w:val="center"/>
        </w:trPr>
        <w:tc>
          <w:tcPr>
            <w:tcW w:w="5850" w:type="dxa"/>
            <w:gridSpan w:val="3"/>
            <w:tcBorders>
              <w:bottom w:val="double" w:sz="4" w:space="0" w:color="auto"/>
            </w:tcBorders>
          </w:tcPr>
          <w:p w14:paraId="6F9B7F41" w14:textId="3433E120" w:rsidR="006B4211" w:rsidRPr="000A7AE8" w:rsidRDefault="006B4211" w:rsidP="00FC400B">
            <w:pPr>
              <w:pStyle w:val="BMSTableTitle"/>
              <w:tabs>
                <w:tab w:val="clear" w:pos="2160"/>
              </w:tabs>
              <w:rPr>
                <w:sz w:val="22"/>
                <w:szCs w:val="22"/>
              </w:rPr>
            </w:pPr>
            <w:bookmarkStart w:id="0" w:name="Table_MISC"/>
            <w:bookmarkEnd w:id="0"/>
            <w:r w:rsidRPr="000A7AE8">
              <w:rPr>
                <w:sz w:val="22"/>
                <w:szCs w:val="22"/>
              </w:rPr>
              <w:t>Table 1:</w:t>
            </w:r>
            <w:r w:rsidRPr="000A7AE8">
              <w:rPr>
                <w:sz w:val="22"/>
                <w:szCs w:val="22"/>
              </w:rPr>
              <w:tab/>
              <w:t>Dose of ORENCIA</w:t>
            </w:r>
            <w:r w:rsidRPr="000A7AE8">
              <w:rPr>
                <w:sz w:val="22"/>
                <w:szCs w:val="22"/>
                <w:vertAlign w:val="superscript"/>
              </w:rPr>
              <w:t xml:space="preserve"> </w:t>
            </w:r>
            <w:r w:rsidRPr="000A7AE8">
              <w:rPr>
                <w:sz w:val="22"/>
                <w:szCs w:val="22"/>
              </w:rPr>
              <w:t xml:space="preserve">for Intravenous Infusion in Adult RA and </w:t>
            </w:r>
            <w:proofErr w:type="spellStart"/>
            <w:r w:rsidRPr="000A7AE8">
              <w:rPr>
                <w:sz w:val="22"/>
                <w:szCs w:val="22"/>
              </w:rPr>
              <w:t>PsA</w:t>
            </w:r>
            <w:proofErr w:type="spellEnd"/>
          </w:p>
        </w:tc>
      </w:tr>
      <w:tr w:rsidR="000A7AE8" w:rsidRPr="000A7AE8" w14:paraId="207303D7" w14:textId="77777777" w:rsidTr="004E2896">
        <w:trPr>
          <w:jc w:val="center"/>
        </w:trPr>
        <w:tc>
          <w:tcPr>
            <w:tcW w:w="2520" w:type="dxa"/>
            <w:tcBorders>
              <w:top w:val="double" w:sz="4" w:space="0" w:color="auto"/>
              <w:bottom w:val="single" w:sz="4" w:space="0" w:color="auto"/>
            </w:tcBorders>
            <w:vAlign w:val="bottom"/>
          </w:tcPr>
          <w:p w14:paraId="7CDB9732" w14:textId="77777777" w:rsidR="006B4211" w:rsidRPr="000A7AE8" w:rsidRDefault="006B4211" w:rsidP="004E2896">
            <w:pPr>
              <w:pStyle w:val="BMSTableHeader"/>
              <w:rPr>
                <w:szCs w:val="22"/>
              </w:rPr>
            </w:pPr>
            <w:r w:rsidRPr="000A7AE8">
              <w:rPr>
                <w:szCs w:val="22"/>
              </w:rPr>
              <w:t>Body Weight of Patient</w:t>
            </w:r>
          </w:p>
        </w:tc>
        <w:tc>
          <w:tcPr>
            <w:tcW w:w="1440" w:type="dxa"/>
            <w:tcBorders>
              <w:top w:val="double" w:sz="4" w:space="0" w:color="auto"/>
              <w:bottom w:val="single" w:sz="4" w:space="0" w:color="auto"/>
            </w:tcBorders>
            <w:vAlign w:val="bottom"/>
          </w:tcPr>
          <w:p w14:paraId="0F44539A" w14:textId="77777777" w:rsidR="006B4211" w:rsidRPr="000A7AE8" w:rsidRDefault="006B4211" w:rsidP="004E2896">
            <w:pPr>
              <w:pStyle w:val="BMSTableHeader"/>
              <w:rPr>
                <w:szCs w:val="22"/>
              </w:rPr>
            </w:pPr>
            <w:r w:rsidRPr="000A7AE8">
              <w:rPr>
                <w:szCs w:val="22"/>
              </w:rPr>
              <w:t>Dose</w:t>
            </w:r>
          </w:p>
        </w:tc>
        <w:tc>
          <w:tcPr>
            <w:tcW w:w="1890" w:type="dxa"/>
            <w:tcBorders>
              <w:top w:val="double" w:sz="4" w:space="0" w:color="auto"/>
              <w:bottom w:val="single" w:sz="4" w:space="0" w:color="auto"/>
            </w:tcBorders>
            <w:vAlign w:val="bottom"/>
          </w:tcPr>
          <w:p w14:paraId="4B47E6EE" w14:textId="77777777" w:rsidR="006B4211" w:rsidRPr="000A7AE8" w:rsidRDefault="006B4211" w:rsidP="004E2896">
            <w:pPr>
              <w:pStyle w:val="BMSTableHeader"/>
              <w:rPr>
                <w:szCs w:val="22"/>
              </w:rPr>
            </w:pPr>
            <w:r w:rsidRPr="000A7AE8">
              <w:rPr>
                <w:szCs w:val="22"/>
              </w:rPr>
              <w:t xml:space="preserve">Number of </w:t>
            </w:r>
            <w:proofErr w:type="spellStart"/>
            <w:r w:rsidRPr="000A7AE8">
              <w:rPr>
                <w:szCs w:val="22"/>
              </w:rPr>
              <w:t>Vials</w:t>
            </w:r>
            <w:r w:rsidRPr="000A7AE8">
              <w:rPr>
                <w:szCs w:val="22"/>
                <w:vertAlign w:val="superscript"/>
              </w:rPr>
              <w:t>a</w:t>
            </w:r>
            <w:proofErr w:type="spellEnd"/>
          </w:p>
        </w:tc>
      </w:tr>
      <w:tr w:rsidR="000A7AE8" w:rsidRPr="000A7AE8" w14:paraId="1380DC59" w14:textId="77777777" w:rsidTr="004E2896">
        <w:trPr>
          <w:jc w:val="center"/>
        </w:trPr>
        <w:tc>
          <w:tcPr>
            <w:tcW w:w="2520" w:type="dxa"/>
            <w:tcBorders>
              <w:top w:val="single" w:sz="4" w:space="0" w:color="auto"/>
            </w:tcBorders>
            <w:vAlign w:val="bottom"/>
          </w:tcPr>
          <w:p w14:paraId="77671E9A" w14:textId="3D467410" w:rsidR="006B4211" w:rsidRPr="000A7AE8" w:rsidRDefault="006B4211" w:rsidP="004E2896">
            <w:pPr>
              <w:pStyle w:val="BMSTableText"/>
              <w:rPr>
                <w:szCs w:val="22"/>
              </w:rPr>
            </w:pPr>
            <w:r w:rsidRPr="000A7AE8">
              <w:rPr>
                <w:szCs w:val="22"/>
              </w:rPr>
              <w:t>&lt;60 kg</w:t>
            </w:r>
          </w:p>
        </w:tc>
        <w:tc>
          <w:tcPr>
            <w:tcW w:w="1440" w:type="dxa"/>
            <w:tcBorders>
              <w:top w:val="single" w:sz="4" w:space="0" w:color="auto"/>
            </w:tcBorders>
            <w:vAlign w:val="bottom"/>
          </w:tcPr>
          <w:p w14:paraId="4A0DEF6F" w14:textId="77777777" w:rsidR="006B4211" w:rsidRPr="000A7AE8" w:rsidRDefault="006B4211" w:rsidP="004E2896">
            <w:pPr>
              <w:pStyle w:val="BMSTableText"/>
              <w:rPr>
                <w:szCs w:val="22"/>
              </w:rPr>
            </w:pPr>
            <w:r w:rsidRPr="000A7AE8">
              <w:rPr>
                <w:szCs w:val="22"/>
              </w:rPr>
              <w:t>500 mg</w:t>
            </w:r>
          </w:p>
        </w:tc>
        <w:tc>
          <w:tcPr>
            <w:tcW w:w="1890" w:type="dxa"/>
            <w:tcBorders>
              <w:top w:val="single" w:sz="4" w:space="0" w:color="auto"/>
            </w:tcBorders>
            <w:vAlign w:val="bottom"/>
          </w:tcPr>
          <w:p w14:paraId="13A747F9" w14:textId="77777777" w:rsidR="006B4211" w:rsidRPr="000A7AE8" w:rsidRDefault="006B4211" w:rsidP="004E2896">
            <w:pPr>
              <w:pStyle w:val="BMSTableText"/>
              <w:rPr>
                <w:szCs w:val="22"/>
              </w:rPr>
            </w:pPr>
            <w:r w:rsidRPr="000A7AE8">
              <w:rPr>
                <w:szCs w:val="22"/>
              </w:rPr>
              <w:t>2</w:t>
            </w:r>
          </w:p>
        </w:tc>
      </w:tr>
      <w:tr w:rsidR="000A7AE8" w:rsidRPr="000A7AE8" w14:paraId="3F95FFDF" w14:textId="77777777" w:rsidTr="004E2896">
        <w:trPr>
          <w:jc w:val="center"/>
        </w:trPr>
        <w:tc>
          <w:tcPr>
            <w:tcW w:w="2520" w:type="dxa"/>
            <w:vAlign w:val="bottom"/>
          </w:tcPr>
          <w:p w14:paraId="51920159" w14:textId="77777777" w:rsidR="006B4211" w:rsidRPr="000A7AE8" w:rsidRDefault="006B4211" w:rsidP="004E2896">
            <w:pPr>
              <w:pStyle w:val="BMSTableText"/>
              <w:rPr>
                <w:szCs w:val="22"/>
              </w:rPr>
            </w:pPr>
            <w:r w:rsidRPr="000A7AE8">
              <w:rPr>
                <w:szCs w:val="22"/>
              </w:rPr>
              <w:t>60 to 100 kg</w:t>
            </w:r>
          </w:p>
        </w:tc>
        <w:tc>
          <w:tcPr>
            <w:tcW w:w="1440" w:type="dxa"/>
            <w:vAlign w:val="bottom"/>
          </w:tcPr>
          <w:p w14:paraId="694A83F4" w14:textId="77777777" w:rsidR="006B4211" w:rsidRPr="000A7AE8" w:rsidRDefault="006B4211" w:rsidP="004E2896">
            <w:pPr>
              <w:pStyle w:val="BMSTableText"/>
              <w:rPr>
                <w:szCs w:val="22"/>
              </w:rPr>
            </w:pPr>
            <w:r w:rsidRPr="000A7AE8">
              <w:rPr>
                <w:szCs w:val="22"/>
              </w:rPr>
              <w:t>750 mg</w:t>
            </w:r>
          </w:p>
        </w:tc>
        <w:tc>
          <w:tcPr>
            <w:tcW w:w="1890" w:type="dxa"/>
            <w:vAlign w:val="bottom"/>
          </w:tcPr>
          <w:p w14:paraId="6AB51290" w14:textId="77777777" w:rsidR="006B4211" w:rsidRPr="000A7AE8" w:rsidRDefault="006B4211" w:rsidP="004E2896">
            <w:pPr>
              <w:pStyle w:val="BMSTableText"/>
              <w:rPr>
                <w:szCs w:val="22"/>
              </w:rPr>
            </w:pPr>
            <w:r w:rsidRPr="000A7AE8">
              <w:rPr>
                <w:szCs w:val="22"/>
              </w:rPr>
              <w:t>3</w:t>
            </w:r>
          </w:p>
        </w:tc>
      </w:tr>
      <w:tr w:rsidR="000A7AE8" w:rsidRPr="000A7AE8" w14:paraId="4BB23E8B" w14:textId="77777777" w:rsidTr="004E2896">
        <w:trPr>
          <w:jc w:val="center"/>
        </w:trPr>
        <w:tc>
          <w:tcPr>
            <w:tcW w:w="2520" w:type="dxa"/>
            <w:tcBorders>
              <w:bottom w:val="double" w:sz="4" w:space="0" w:color="auto"/>
            </w:tcBorders>
            <w:vAlign w:val="bottom"/>
          </w:tcPr>
          <w:p w14:paraId="7885D484" w14:textId="52DF4EBF" w:rsidR="006B4211" w:rsidRPr="000A7AE8" w:rsidRDefault="006B4211" w:rsidP="004E2896">
            <w:pPr>
              <w:pStyle w:val="BMSTableText"/>
              <w:rPr>
                <w:szCs w:val="22"/>
              </w:rPr>
            </w:pPr>
            <w:r w:rsidRPr="000A7AE8">
              <w:rPr>
                <w:szCs w:val="22"/>
              </w:rPr>
              <w:t>&gt;100 kg</w:t>
            </w:r>
          </w:p>
        </w:tc>
        <w:tc>
          <w:tcPr>
            <w:tcW w:w="1440" w:type="dxa"/>
            <w:tcBorders>
              <w:bottom w:val="double" w:sz="4" w:space="0" w:color="auto"/>
            </w:tcBorders>
            <w:vAlign w:val="bottom"/>
          </w:tcPr>
          <w:p w14:paraId="4136C93C" w14:textId="77777777" w:rsidR="006B4211" w:rsidRPr="000A7AE8" w:rsidRDefault="006B4211" w:rsidP="004E2896">
            <w:pPr>
              <w:pStyle w:val="BMSTableText"/>
              <w:rPr>
                <w:szCs w:val="22"/>
              </w:rPr>
            </w:pPr>
            <w:r w:rsidRPr="000A7AE8">
              <w:rPr>
                <w:szCs w:val="22"/>
              </w:rPr>
              <w:t>1 gram</w:t>
            </w:r>
          </w:p>
        </w:tc>
        <w:tc>
          <w:tcPr>
            <w:tcW w:w="1890" w:type="dxa"/>
            <w:tcBorders>
              <w:bottom w:val="double" w:sz="4" w:space="0" w:color="auto"/>
            </w:tcBorders>
            <w:vAlign w:val="bottom"/>
          </w:tcPr>
          <w:p w14:paraId="6DD2D13F" w14:textId="77777777" w:rsidR="006B4211" w:rsidRPr="000A7AE8" w:rsidRDefault="006B4211" w:rsidP="004E2896">
            <w:pPr>
              <w:pStyle w:val="BMSTableText"/>
              <w:rPr>
                <w:szCs w:val="22"/>
              </w:rPr>
            </w:pPr>
            <w:r w:rsidRPr="000A7AE8">
              <w:rPr>
                <w:szCs w:val="22"/>
              </w:rPr>
              <w:t>4</w:t>
            </w:r>
          </w:p>
        </w:tc>
      </w:tr>
    </w:tbl>
    <w:p w14:paraId="101640A0" w14:textId="6223E099" w:rsidR="006B4211" w:rsidRPr="000A7AE8" w:rsidRDefault="006B4211" w:rsidP="000A7AE8">
      <w:pPr>
        <w:pStyle w:val="BMSTableNoteInfo"/>
        <w:tabs>
          <w:tab w:val="clear" w:pos="216"/>
          <w:tab w:val="left" w:pos="1620"/>
        </w:tabs>
        <w:spacing w:after="240"/>
        <w:ind w:left="0" w:firstLine="1224"/>
        <w:rPr>
          <w:color w:val="auto"/>
          <w:sz w:val="18"/>
          <w:szCs w:val="22"/>
        </w:rPr>
      </w:pPr>
      <w:r w:rsidRPr="000A7AE8">
        <w:rPr>
          <w:rStyle w:val="BMSTableNote"/>
          <w:sz w:val="22"/>
          <w:szCs w:val="22"/>
        </w:rPr>
        <w:tab/>
      </w:r>
      <w:proofErr w:type="spellStart"/>
      <w:proofErr w:type="gramStart"/>
      <w:r w:rsidR="00FE4022" w:rsidRPr="000A7AE8">
        <w:rPr>
          <w:rStyle w:val="BMSTableNote"/>
          <w:sz w:val="18"/>
          <w:szCs w:val="22"/>
        </w:rPr>
        <w:t>a</w:t>
      </w:r>
      <w:proofErr w:type="spellEnd"/>
      <w:proofErr w:type="gramEnd"/>
      <w:r w:rsidR="00FE4022" w:rsidRPr="000A7AE8">
        <w:rPr>
          <w:rStyle w:val="BMSTableNote"/>
          <w:sz w:val="18"/>
          <w:szCs w:val="22"/>
        </w:rPr>
        <w:t xml:space="preserve"> </w:t>
      </w:r>
      <w:r w:rsidRPr="000A7AE8">
        <w:rPr>
          <w:color w:val="auto"/>
          <w:sz w:val="18"/>
          <w:szCs w:val="22"/>
        </w:rPr>
        <w:t xml:space="preserve">Each vial provides 250 mg of </w:t>
      </w:r>
      <w:proofErr w:type="spellStart"/>
      <w:r w:rsidRPr="000A7AE8">
        <w:rPr>
          <w:color w:val="auto"/>
          <w:sz w:val="18"/>
          <w:szCs w:val="22"/>
        </w:rPr>
        <w:t>abatacept</w:t>
      </w:r>
      <w:proofErr w:type="spellEnd"/>
      <w:r w:rsidRPr="000A7AE8">
        <w:rPr>
          <w:color w:val="auto"/>
          <w:sz w:val="18"/>
          <w:szCs w:val="22"/>
        </w:rPr>
        <w:t xml:space="preserve"> for administration.</w:t>
      </w:r>
    </w:p>
    <w:p w14:paraId="40BA03B4" w14:textId="008843A4" w:rsidR="006B4211" w:rsidRPr="000A7AE8" w:rsidRDefault="006B4211" w:rsidP="005C0AB3">
      <w:r w:rsidRPr="000A7AE8">
        <w:t>For paediatric juvenile idiopathic arthritis, a dose calculated based on each patient’s body weight is</w:t>
      </w:r>
      <w:r w:rsidR="00FC400B" w:rsidRPr="000A7AE8">
        <w:t xml:space="preserve"> </w:t>
      </w:r>
      <w:r w:rsidRPr="000A7AE8">
        <w:t xml:space="preserve">used (see </w:t>
      </w:r>
      <w:r w:rsidR="00730D4E" w:rsidRPr="000A7AE8">
        <w:t xml:space="preserve">4.2 Dose and method of administration – </w:t>
      </w:r>
      <w:r w:rsidR="0064433C" w:rsidRPr="000A7AE8">
        <w:t xml:space="preserve">Special Populations - </w:t>
      </w:r>
      <w:r w:rsidRPr="000A7AE8">
        <w:t>Paediatric and adolescent).</w:t>
      </w:r>
    </w:p>
    <w:p w14:paraId="3B2CF877" w14:textId="77777777" w:rsidR="006B4211" w:rsidRPr="000A7AE8" w:rsidRDefault="006B4211" w:rsidP="00690C07">
      <w:pPr>
        <w:pStyle w:val="Heading3"/>
      </w:pPr>
      <w:r w:rsidRPr="000A7AE8">
        <w:t>Subcutaneous dosing regimen</w:t>
      </w:r>
    </w:p>
    <w:p w14:paraId="4744D289" w14:textId="77777777" w:rsidR="006B4211" w:rsidRPr="000A7AE8" w:rsidRDefault="006B4211" w:rsidP="005C0AB3">
      <w:r w:rsidRPr="000A7AE8">
        <w:t>Rheumatoid Arthritis</w:t>
      </w:r>
    </w:p>
    <w:p w14:paraId="364D9B6D" w14:textId="61B4C366" w:rsidR="006B4211" w:rsidRPr="000A7AE8" w:rsidRDefault="006B4211" w:rsidP="005C0AB3">
      <w:pPr>
        <w:rPr>
          <w:u w:val="double"/>
        </w:rPr>
      </w:pPr>
      <w:r w:rsidRPr="000A7AE8">
        <w:t>ORENCIA</w:t>
      </w:r>
      <w:r w:rsidRPr="000A7AE8">
        <w:rPr>
          <w:vertAlign w:val="superscript"/>
        </w:rPr>
        <w:t xml:space="preserve"> </w:t>
      </w:r>
      <w:r w:rsidRPr="000A7AE8">
        <w:t>SC should be administered weekly at a dose of 125 mg by subcutaneous injection regardless of weight and may be initiated with or without an IV loading dose. For patients initiating therapy with an IV loading dose, ORENCIA should be initiated with a single intravenous infusion (based on body weight categories</w:t>
      </w:r>
      <w:r w:rsidR="00383CBC" w:rsidRPr="000A7AE8">
        <w:t>, see</w:t>
      </w:r>
      <w:r w:rsidRPr="000A7AE8">
        <w:t xml:space="preserve"> Table 1), followed by the first 125 mg subcutaneous injection administered within a day of the IV infusion.</w:t>
      </w:r>
    </w:p>
    <w:p w14:paraId="5A506D47" w14:textId="77777777" w:rsidR="006B4211" w:rsidRPr="000A7AE8" w:rsidRDefault="006B4211" w:rsidP="005C0AB3">
      <w:r w:rsidRPr="000A7AE8">
        <w:t>Patients switching from ORENCIA intravenous therapy to subcutaneous administration should administer the first subcutaneous dose instead of the next scheduled monthly intravenous dose.</w:t>
      </w:r>
      <w:bookmarkStart w:id="1" w:name="_Toc522071738"/>
      <w:bookmarkStart w:id="2" w:name="_Toc1971368"/>
      <w:bookmarkStart w:id="3" w:name="_Toc2059756"/>
      <w:bookmarkStart w:id="4" w:name="_Toc2060965"/>
      <w:bookmarkStart w:id="5" w:name="_Toc2061072"/>
      <w:bookmarkStart w:id="6" w:name="_Toc2061583"/>
      <w:bookmarkStart w:id="7" w:name="_Toc2061647"/>
      <w:bookmarkStart w:id="8" w:name="_Toc2061712"/>
      <w:bookmarkStart w:id="9" w:name="_Toc2062028"/>
      <w:bookmarkStart w:id="10" w:name="_Toc96146308"/>
    </w:p>
    <w:p w14:paraId="5A7D1DF9" w14:textId="77777777" w:rsidR="006B4211" w:rsidRPr="000A7AE8" w:rsidRDefault="006B4211" w:rsidP="005C0AB3">
      <w:r w:rsidRPr="000A7AE8">
        <w:lastRenderedPageBreak/>
        <w:t>Psoriatic Arthritis</w:t>
      </w:r>
    </w:p>
    <w:p w14:paraId="0CF3C9DA" w14:textId="77777777" w:rsidR="006B4211" w:rsidRPr="000A7AE8" w:rsidRDefault="006B4211" w:rsidP="005C0AB3">
      <w:r w:rsidRPr="000A7AE8">
        <w:t>ORENCIA should be administered weekly at a dose of 125 mg by subcutaneous (SC) injection without the need for an intravenous (IV) loading dose. ORENCIA can be used with or without non-biologic DMARDs.</w:t>
      </w:r>
    </w:p>
    <w:p w14:paraId="7F93755A" w14:textId="77777777" w:rsidR="006B4211" w:rsidRPr="000A7AE8" w:rsidRDefault="006B4211" w:rsidP="005C0AB3">
      <w:r w:rsidRPr="000A7AE8">
        <w:t>Patients switching from ORENCIA intravenous therapy to subcutaneous administration should administer the first subcutaneous dose instead of the next scheduled intravenous dose.</w:t>
      </w:r>
    </w:p>
    <w:p w14:paraId="5709F0A2" w14:textId="77777777" w:rsidR="006B4211" w:rsidRPr="000A7AE8" w:rsidRDefault="006B4211" w:rsidP="005C0AB3">
      <w:pPr>
        <w:pStyle w:val="Heading3"/>
      </w:pPr>
      <w:r w:rsidRPr="000A7AE8">
        <w:t>Hypersensitivity Reactions</w:t>
      </w:r>
    </w:p>
    <w:p w14:paraId="33616945" w14:textId="77777777" w:rsidR="006B4211" w:rsidRPr="000A7AE8" w:rsidRDefault="006B4211" w:rsidP="005C0AB3">
      <w:r w:rsidRPr="000A7AE8">
        <w:t xml:space="preserve">Hypersensitivity reactions are uncommon with the infusion of ORENCIA, however these may occur. To minimize the incidence of hypersensitivity reactions, the patient should be monitored closely before and after ORENCIA administration. Should any such reaction occur, then appropriate responses and treatments are to be initiated. The necessary equipment, treatments and procedures sufficient to initiate management of acute infusion reactions (anaphylaxis) should be in place.  </w:t>
      </w:r>
    </w:p>
    <w:p w14:paraId="3B103D8E" w14:textId="2426E07C" w:rsidR="006B4211" w:rsidRPr="000A7AE8" w:rsidRDefault="006B4211" w:rsidP="005C0AB3">
      <w:r w:rsidRPr="000A7AE8">
        <w:t>The risk of hypersensitivity reactions including anaphylaxis and how they are managed should be discussed with the patient by the prescriber prior to the patient receiving ORENCIA, so that the patient is aware of such risks and has an understanding of these risks.</w:t>
      </w:r>
    </w:p>
    <w:p w14:paraId="07B76AE2" w14:textId="77777777" w:rsidR="00690C07" w:rsidRPr="000A7AE8" w:rsidRDefault="00690C07" w:rsidP="00690C07">
      <w:pPr>
        <w:pStyle w:val="Heading3"/>
      </w:pPr>
      <w:r w:rsidRPr="000A7AE8">
        <w:t>SPECIAL POPULATIONS</w:t>
      </w:r>
    </w:p>
    <w:p w14:paraId="1BCF2AF2" w14:textId="77777777" w:rsidR="00690C07" w:rsidRPr="000A7AE8" w:rsidRDefault="00690C07" w:rsidP="00C02EB7">
      <w:pPr>
        <w:pStyle w:val="Heading4"/>
      </w:pPr>
      <w:bookmarkStart w:id="11" w:name="_Toc522071740"/>
      <w:bookmarkStart w:id="12" w:name="_Toc1971370"/>
      <w:bookmarkStart w:id="13" w:name="_Toc2059758"/>
      <w:bookmarkStart w:id="14" w:name="_Toc2060967"/>
      <w:bookmarkStart w:id="15" w:name="_Toc2061074"/>
      <w:bookmarkStart w:id="16" w:name="_Toc2061585"/>
      <w:bookmarkStart w:id="17" w:name="_Toc2061649"/>
      <w:bookmarkStart w:id="18" w:name="_Toc2061714"/>
      <w:bookmarkStart w:id="19" w:name="_Toc2062030"/>
      <w:bookmarkStart w:id="20" w:name="_Toc96146309"/>
      <w:proofErr w:type="spellStart"/>
      <w:r w:rsidRPr="000A7AE8">
        <w:t>Paediatric</w:t>
      </w:r>
      <w:bookmarkEnd w:id="11"/>
      <w:bookmarkEnd w:id="12"/>
      <w:bookmarkEnd w:id="13"/>
      <w:bookmarkEnd w:id="14"/>
      <w:bookmarkEnd w:id="15"/>
      <w:bookmarkEnd w:id="16"/>
      <w:bookmarkEnd w:id="17"/>
      <w:bookmarkEnd w:id="18"/>
      <w:bookmarkEnd w:id="19"/>
      <w:proofErr w:type="spellEnd"/>
      <w:r w:rsidRPr="000A7AE8">
        <w:t xml:space="preserve"> and adolescent</w:t>
      </w:r>
      <w:bookmarkEnd w:id="20"/>
      <w:r w:rsidRPr="000A7AE8">
        <w:t xml:space="preserve"> </w:t>
      </w:r>
    </w:p>
    <w:p w14:paraId="0D2CD7A5" w14:textId="77777777" w:rsidR="00690C07" w:rsidRPr="000A7AE8" w:rsidRDefault="00690C07" w:rsidP="00690C07">
      <w:pPr>
        <w:pStyle w:val="BMSBodyText"/>
        <w:spacing w:line="240" w:lineRule="auto"/>
        <w:rPr>
          <w:iCs/>
          <w:color w:val="auto"/>
          <w:sz w:val="22"/>
          <w:szCs w:val="22"/>
        </w:rPr>
      </w:pPr>
      <w:r w:rsidRPr="000A7AE8">
        <w:rPr>
          <w:i/>
          <w:color w:val="auto"/>
          <w:sz w:val="22"/>
          <w:szCs w:val="22"/>
        </w:rPr>
        <w:t>Juvenile Idiopathic Arthritis</w:t>
      </w:r>
    </w:p>
    <w:p w14:paraId="75AF5676" w14:textId="04DC2966" w:rsidR="00690C07" w:rsidRPr="000A7AE8" w:rsidRDefault="00690C07" w:rsidP="00F702E1">
      <w:r w:rsidRPr="000A7AE8">
        <w:rPr>
          <w:iCs/>
        </w:rPr>
        <w:t>T</w:t>
      </w:r>
      <w:r w:rsidRPr="000A7AE8">
        <w:t>he recommended dose of ORENCIA for patients 6 to 17 years of age with juvenile idiopathic arthritis who weigh less than 75 kg is 10 mg/kg calculated based on the patient’s body weight at each administration. Paediatric patients weighing 75 kg or more should be administered ORENCIA following the adult dosing regimen, not to exceed a maximum dose of 1000 mg. ORENCIA should be administered as a 30-minute intravenous infusion. Following the initial administration, ORENCIA should be given at 2 and 4 weeks after the first infusion and every 4 weeks thereafter. Any unused portions in the vials must be immediately discarded.</w:t>
      </w:r>
    </w:p>
    <w:p w14:paraId="6294D0D2" w14:textId="77777777" w:rsidR="00690C07" w:rsidRPr="000A7AE8" w:rsidRDefault="00690C07" w:rsidP="00F702E1">
      <w:r w:rsidRPr="000A7AE8">
        <w:t>There is no clinical trial data for the use of ORENCIA subcutaneous formulation in children, therefore its use in children cannot be recommended.</w:t>
      </w:r>
    </w:p>
    <w:bookmarkEnd w:id="1"/>
    <w:bookmarkEnd w:id="2"/>
    <w:bookmarkEnd w:id="3"/>
    <w:bookmarkEnd w:id="4"/>
    <w:bookmarkEnd w:id="5"/>
    <w:bookmarkEnd w:id="6"/>
    <w:bookmarkEnd w:id="7"/>
    <w:bookmarkEnd w:id="8"/>
    <w:bookmarkEnd w:id="9"/>
    <w:bookmarkEnd w:id="10"/>
    <w:p w14:paraId="7667F9C6" w14:textId="2534439F" w:rsidR="006B4211" w:rsidRPr="000A7AE8" w:rsidRDefault="00690C07" w:rsidP="00C02EB7">
      <w:pPr>
        <w:pStyle w:val="Heading4"/>
        <w:rPr>
          <w:rFonts w:ascii="Times New Roman" w:hAnsi="Times New Roman"/>
        </w:rPr>
      </w:pPr>
      <w:r w:rsidRPr="000A7AE8">
        <w:t>Elderly patients</w:t>
      </w:r>
    </w:p>
    <w:p w14:paraId="0DE62961" w14:textId="15956B1C" w:rsidR="006B4211" w:rsidRPr="000A7AE8" w:rsidRDefault="006B4211" w:rsidP="00F702E1">
      <w:bookmarkStart w:id="21" w:name="_Toc522071742"/>
      <w:bookmarkStart w:id="22" w:name="_Toc1971373"/>
      <w:bookmarkStart w:id="23" w:name="_Toc2059761"/>
      <w:bookmarkStart w:id="24" w:name="_Toc2060970"/>
      <w:bookmarkStart w:id="25" w:name="_Toc2061077"/>
      <w:bookmarkStart w:id="26" w:name="_Toc2061588"/>
      <w:bookmarkStart w:id="27" w:name="_Toc2061652"/>
      <w:bookmarkStart w:id="28" w:name="_Toc2061717"/>
      <w:bookmarkStart w:id="29" w:name="_Toc2062033"/>
      <w:r w:rsidRPr="000A7AE8">
        <w:t>No do</w:t>
      </w:r>
      <w:r w:rsidR="00511B40" w:rsidRPr="000A7AE8">
        <w:t>se adjustment is required (see 4.4 Special Warnings and Precautions for Use</w:t>
      </w:r>
      <w:r w:rsidRPr="000A7AE8">
        <w:t>).</w:t>
      </w:r>
    </w:p>
    <w:p w14:paraId="4E3CCDEF" w14:textId="1D967D69" w:rsidR="00690C07" w:rsidRPr="000A7AE8" w:rsidRDefault="00690C07" w:rsidP="00C02EB7">
      <w:pPr>
        <w:pStyle w:val="Heading4"/>
      </w:pPr>
      <w:bookmarkStart w:id="30" w:name="_Toc96146311"/>
      <w:r w:rsidRPr="000A7AE8">
        <w:t>Patients with renal impairment or hepatic impairment</w:t>
      </w:r>
    </w:p>
    <w:p w14:paraId="0DB52E4E" w14:textId="5BDCD36C" w:rsidR="00690C07" w:rsidRPr="000A7AE8" w:rsidRDefault="00690C07" w:rsidP="00F702E1">
      <w:r w:rsidRPr="000A7AE8">
        <w:t>ORENCIA has not been studied in these patient populations. No dose recommendations can be made.</w:t>
      </w:r>
    </w:p>
    <w:p w14:paraId="2702FA87" w14:textId="77777777" w:rsidR="00690C07" w:rsidRPr="000A7AE8" w:rsidRDefault="00690C07" w:rsidP="00690C07">
      <w:pPr>
        <w:pStyle w:val="Heading3"/>
      </w:pPr>
      <w:r w:rsidRPr="000A7AE8">
        <w:t>Concomitant therapy</w:t>
      </w:r>
    </w:p>
    <w:p w14:paraId="3851D26D" w14:textId="77777777" w:rsidR="00690C07" w:rsidRPr="000A7AE8" w:rsidRDefault="00690C07" w:rsidP="00F702E1">
      <w:r w:rsidRPr="000A7AE8">
        <w:t>Methotrexate, other non-biologic DMARDs, corticosteroids, salicylates, nonsteroidal anti-inflammatory drugs (NSAIDs), or analgesics may be used during treatment with ORENCIA.</w:t>
      </w:r>
    </w:p>
    <w:bookmarkEnd w:id="21"/>
    <w:bookmarkEnd w:id="22"/>
    <w:bookmarkEnd w:id="23"/>
    <w:bookmarkEnd w:id="24"/>
    <w:bookmarkEnd w:id="25"/>
    <w:bookmarkEnd w:id="26"/>
    <w:bookmarkEnd w:id="27"/>
    <w:bookmarkEnd w:id="28"/>
    <w:bookmarkEnd w:id="29"/>
    <w:bookmarkEnd w:id="30"/>
    <w:p w14:paraId="54EAC949" w14:textId="77777777" w:rsidR="00690C07" w:rsidRPr="000A7AE8" w:rsidRDefault="00690C07" w:rsidP="00690C07">
      <w:pPr>
        <w:pStyle w:val="Heading3"/>
      </w:pPr>
      <w:r w:rsidRPr="000A7AE8">
        <w:t>METHOD OF ADMINISTRATION</w:t>
      </w:r>
    </w:p>
    <w:p w14:paraId="5232E43F" w14:textId="08CC27E7" w:rsidR="006B4211" w:rsidRPr="000A7AE8" w:rsidRDefault="00F702E1" w:rsidP="00C02EB7">
      <w:pPr>
        <w:pStyle w:val="Heading4"/>
      </w:pPr>
      <w:r w:rsidRPr="000A7AE8">
        <w:t>Preparation and Administration Instructions for Intravenous I</w:t>
      </w:r>
      <w:r w:rsidR="00073FB1" w:rsidRPr="000A7AE8">
        <w:t>nfusion</w:t>
      </w:r>
    </w:p>
    <w:p w14:paraId="056B3090" w14:textId="77777777" w:rsidR="006B4211" w:rsidRPr="000A7AE8" w:rsidRDefault="006B4211" w:rsidP="00F702E1">
      <w:pPr>
        <w:rPr>
          <w:b/>
        </w:rPr>
      </w:pPr>
      <w:r w:rsidRPr="000A7AE8">
        <w:rPr>
          <w:b/>
        </w:rPr>
        <w:t>Use aseptic technique.</w:t>
      </w:r>
    </w:p>
    <w:p w14:paraId="7C32B876" w14:textId="5E68EFB6" w:rsidR="006B4211" w:rsidRPr="000A7AE8" w:rsidRDefault="006B4211" w:rsidP="00F702E1">
      <w:r w:rsidRPr="000A7AE8">
        <w:t xml:space="preserve">ORENCIA is provided as a lyophilized powder in preservative-free, single-use vials. Each vial of ORENCIA must be reconstituted with 10 mL of sterile water for </w:t>
      </w:r>
      <w:proofErr w:type="gramStart"/>
      <w:r w:rsidRPr="000A7AE8">
        <w:t>injection,</w:t>
      </w:r>
      <w:proofErr w:type="gramEnd"/>
      <w:r w:rsidRPr="000A7AE8">
        <w:t xml:space="preserve"> BP. Immediately after </w:t>
      </w:r>
      <w:r w:rsidRPr="000A7AE8">
        <w:lastRenderedPageBreak/>
        <w:t xml:space="preserve">reconstitution, the product must be further diluted to 100 mL with 0.9% sodium chloride injection, BP. </w:t>
      </w:r>
      <w:proofErr w:type="gramStart"/>
      <w:r w:rsidRPr="000A7AE8">
        <w:t>To reduce microbiological hazard, use as soon as practicable after dilution.</w:t>
      </w:r>
      <w:proofErr w:type="gramEnd"/>
      <w:r w:rsidRPr="000A7AE8">
        <w:t xml:space="preserve"> </w:t>
      </w:r>
      <w:proofErr w:type="gramStart"/>
      <w:r w:rsidRPr="000A7AE8">
        <w:t>If storage is necessary hold at 2 – 8ºC for not more than 24 hours.</w:t>
      </w:r>
      <w:proofErr w:type="gramEnd"/>
    </w:p>
    <w:p w14:paraId="3D86B591" w14:textId="31D7D238" w:rsidR="006B4211" w:rsidRPr="000A7AE8" w:rsidRDefault="000A7AE8" w:rsidP="000A7AE8">
      <w:pPr>
        <w:ind w:left="284" w:hanging="284"/>
      </w:pPr>
      <w:r>
        <w:t>1)</w:t>
      </w:r>
      <w:r>
        <w:tab/>
      </w:r>
      <w:r w:rsidR="006B4211" w:rsidRPr="000A7AE8">
        <w:t xml:space="preserve">Each ORENCIA vial provides 250 mg of </w:t>
      </w:r>
      <w:proofErr w:type="spellStart"/>
      <w:r w:rsidR="006B4211" w:rsidRPr="000A7AE8">
        <w:t>abatacept</w:t>
      </w:r>
      <w:proofErr w:type="spellEnd"/>
      <w:r w:rsidR="006B4211" w:rsidRPr="000A7AE8">
        <w:t xml:space="preserve"> for administration.</w:t>
      </w:r>
    </w:p>
    <w:p w14:paraId="73F0543D" w14:textId="3B18D3F6" w:rsidR="006B4211" w:rsidRPr="000A7AE8" w:rsidRDefault="000A7AE8" w:rsidP="00F702E1">
      <w:pPr>
        <w:ind w:left="284" w:hanging="284"/>
        <w:rPr>
          <w:u w:val="single"/>
        </w:rPr>
      </w:pPr>
      <w:r>
        <w:t>2)</w:t>
      </w:r>
      <w:r>
        <w:tab/>
      </w:r>
      <w:r w:rsidR="006B4211" w:rsidRPr="000A7AE8">
        <w:t>Reconstitute the ORENCIA powder in each vial with 10 m</w:t>
      </w:r>
      <w:r w:rsidR="00383CBC" w:rsidRPr="000A7AE8">
        <w:t>L</w:t>
      </w:r>
      <w:r w:rsidR="006B4211" w:rsidRPr="000A7AE8">
        <w:t xml:space="preserve"> of sterile water for injection BP, </w:t>
      </w:r>
      <w:r w:rsidR="006B4211" w:rsidRPr="000A7AE8">
        <w:rPr>
          <w:b/>
        </w:rPr>
        <w:t>USING</w:t>
      </w:r>
      <w:r w:rsidR="006B4211" w:rsidRPr="000A7AE8">
        <w:rPr>
          <w:i/>
        </w:rPr>
        <w:t xml:space="preserve"> </w:t>
      </w:r>
      <w:r w:rsidR="006B4211" w:rsidRPr="000A7AE8">
        <w:rPr>
          <w:b/>
        </w:rPr>
        <w:t>ONLY the SILICONE-FREE DISPOSABLE SYRINGE PROVIDED WITH EACH</w:t>
      </w:r>
      <w:r w:rsidR="006B4211" w:rsidRPr="000A7AE8">
        <w:t xml:space="preserve"> </w:t>
      </w:r>
      <w:r w:rsidR="006B4211" w:rsidRPr="000A7AE8">
        <w:rPr>
          <w:b/>
        </w:rPr>
        <w:t>VIAL</w:t>
      </w:r>
      <w:r w:rsidR="006B4211" w:rsidRPr="000A7AE8">
        <w:t xml:space="preserve"> and an 18-21-gauge needle. Remove the flip-top from the vial and wipe the top with an alcohol swab. Insert the syringe needle into the vial through the </w:t>
      </w:r>
      <w:proofErr w:type="spellStart"/>
      <w:r w:rsidR="006B4211" w:rsidRPr="000A7AE8">
        <w:t>center</w:t>
      </w:r>
      <w:proofErr w:type="spellEnd"/>
      <w:r w:rsidR="006B4211" w:rsidRPr="000A7AE8">
        <w:t xml:space="preserve"> of the rubber stopper and direct the stream of sterile water for injection BP, to the glass wall of the vial. Do not use the vial if the vacuum is not present. To minimize foam formation in solutions of ORENCIA, the vial should be rotated with gentle swirling until the contents are completely dissolved. Avoid prolonged or vigorous agitation. Do not shake. Upon complete dissolution of the lyophilized powder, the vial should be vented with a needle to dissipate any foam that may be present. The solution should be clear and colourless to pale yellow. Do not use if opaque particles, discolouration, or other foreign particles are present. After reconstitution, the concentration of </w:t>
      </w:r>
      <w:proofErr w:type="spellStart"/>
      <w:r w:rsidR="006B4211" w:rsidRPr="000A7AE8">
        <w:t>abatacept</w:t>
      </w:r>
      <w:proofErr w:type="spellEnd"/>
      <w:r w:rsidR="006B4211" w:rsidRPr="000A7AE8">
        <w:t xml:space="preserve"> in the vial will be 25</w:t>
      </w:r>
      <w:r w:rsidR="00383CBC" w:rsidRPr="000A7AE8">
        <w:t xml:space="preserve"> </w:t>
      </w:r>
      <w:r w:rsidR="006B4211" w:rsidRPr="000A7AE8">
        <w:t>mg/</w:t>
      </w:r>
      <w:proofErr w:type="spellStart"/>
      <w:r w:rsidR="006B4211" w:rsidRPr="000A7AE8">
        <w:t>mL</w:t>
      </w:r>
      <w:r w:rsidR="00FC400B" w:rsidRPr="000A7AE8">
        <w:t>.</w:t>
      </w:r>
      <w:proofErr w:type="spellEnd"/>
    </w:p>
    <w:p w14:paraId="65DC9CD2" w14:textId="042E4D75" w:rsidR="006B4211" w:rsidRPr="000A7AE8" w:rsidRDefault="000A7AE8" w:rsidP="00F702E1">
      <w:pPr>
        <w:ind w:left="284" w:hanging="284"/>
      </w:pPr>
      <w:r>
        <w:t>3)</w:t>
      </w:r>
      <w:r>
        <w:tab/>
      </w:r>
      <w:r w:rsidR="006B4211" w:rsidRPr="000A7AE8">
        <w:t>The reconstituted ORENCIA solution must be further diluted to 100 m</w:t>
      </w:r>
      <w:r w:rsidR="00383CBC" w:rsidRPr="000A7AE8">
        <w:t>L</w:t>
      </w:r>
      <w:r w:rsidR="006B4211" w:rsidRPr="000A7AE8">
        <w:t xml:space="preserve"> as follows. From a 100 m</w:t>
      </w:r>
      <w:r w:rsidR="00383CBC" w:rsidRPr="000A7AE8">
        <w:t>L</w:t>
      </w:r>
      <w:r w:rsidR="006B4211" w:rsidRPr="000A7AE8">
        <w:t xml:space="preserve"> infusion bag or bottle, withdraw a volume of 0.9% sodium chloride injection BP, equal to the volume of the reconstituted ORENCIA. Slowly add the reconstituted ORENCIA solution from each vial to the infusion bag or bottle, </w:t>
      </w:r>
      <w:r w:rsidR="006B4211" w:rsidRPr="000A7AE8">
        <w:rPr>
          <w:b/>
        </w:rPr>
        <w:t>USING</w:t>
      </w:r>
      <w:r w:rsidR="006B4211" w:rsidRPr="000A7AE8">
        <w:t xml:space="preserve"> </w:t>
      </w:r>
      <w:r w:rsidR="006B4211" w:rsidRPr="000A7AE8">
        <w:rPr>
          <w:b/>
        </w:rPr>
        <w:t>ONLY the SILICONE-FREE DISPOSABLE SYRINGE</w:t>
      </w:r>
      <w:r w:rsidR="006B4211" w:rsidRPr="000A7AE8">
        <w:t xml:space="preserve"> </w:t>
      </w:r>
      <w:r w:rsidR="006B4211" w:rsidRPr="000A7AE8">
        <w:rPr>
          <w:b/>
        </w:rPr>
        <w:t>PROVIDED WITH EACH VIAL.</w:t>
      </w:r>
      <w:r w:rsidR="006B4211" w:rsidRPr="000A7AE8">
        <w:t xml:space="preserve"> Gently mix. </w:t>
      </w:r>
      <w:r w:rsidR="006B4211" w:rsidRPr="000A7AE8">
        <w:rPr>
          <w:b/>
        </w:rPr>
        <w:t>DO NOT SHAKE THE BAG OR BOTTLE.</w:t>
      </w:r>
      <w:r w:rsidR="006B4211" w:rsidRPr="000A7AE8">
        <w:t xml:space="preserve"> The final concentration of </w:t>
      </w:r>
      <w:proofErr w:type="spellStart"/>
      <w:r w:rsidR="006B4211" w:rsidRPr="000A7AE8">
        <w:t>abatacept</w:t>
      </w:r>
      <w:proofErr w:type="spellEnd"/>
      <w:r w:rsidR="006B4211" w:rsidRPr="000A7AE8">
        <w:t xml:space="preserve"> in the bag or bottle will depend upon the amount of drug added, but will be no more than 10</w:t>
      </w:r>
      <w:r w:rsidR="00383CBC" w:rsidRPr="000A7AE8">
        <w:t xml:space="preserve"> </w:t>
      </w:r>
      <w:r w:rsidR="006B4211" w:rsidRPr="000A7AE8">
        <w:t>mg/</w:t>
      </w:r>
      <w:proofErr w:type="spellStart"/>
      <w:r w:rsidR="006B4211" w:rsidRPr="000A7AE8">
        <w:t>mL.</w:t>
      </w:r>
      <w:proofErr w:type="spellEnd"/>
      <w:r w:rsidR="006B4211" w:rsidRPr="000A7AE8">
        <w:t xml:space="preserve"> Any unused portion in the vials must be immediately discarded.</w:t>
      </w:r>
    </w:p>
    <w:p w14:paraId="5B791D72" w14:textId="5AB0838A" w:rsidR="006B4211" w:rsidRPr="000A7AE8" w:rsidRDefault="000A7AE8" w:rsidP="00F702E1">
      <w:pPr>
        <w:ind w:left="284" w:hanging="284"/>
      </w:pPr>
      <w:r>
        <w:t>4)</w:t>
      </w:r>
      <w:r>
        <w:tab/>
      </w:r>
      <w:r w:rsidR="006B4211" w:rsidRPr="000A7AE8">
        <w:t xml:space="preserve">Prior to administration, the ORENCIA solution should be inspected visually for particulate matter and discolouration. Discard the solution if any particulate matter or discolouration is observed. </w:t>
      </w:r>
    </w:p>
    <w:p w14:paraId="506B939A" w14:textId="05041AD3" w:rsidR="006B4211" w:rsidRPr="000A7AE8" w:rsidRDefault="000A7AE8" w:rsidP="00F702E1">
      <w:pPr>
        <w:ind w:left="284" w:hanging="284"/>
      </w:pPr>
      <w:r>
        <w:t>5)</w:t>
      </w:r>
      <w:r>
        <w:tab/>
      </w:r>
      <w:r w:rsidR="006B4211" w:rsidRPr="000A7AE8">
        <w:t xml:space="preserve">The entire, fully diluted ORENCIA solution should be administered over a period of 30 minutes and must be administered with an infusion set and a sterile, non-pyrogenic, low-protein-binding filter (pore size of 0.2 to 1.2 </w:t>
      </w:r>
      <w:r w:rsidR="006B4211" w:rsidRPr="000A7AE8">
        <w:sym w:font="Symbol" w:char="F06D"/>
      </w:r>
      <w:r w:rsidR="006B4211" w:rsidRPr="000A7AE8">
        <w:t>m).</w:t>
      </w:r>
    </w:p>
    <w:p w14:paraId="7F8BDB03" w14:textId="6DE9DED4" w:rsidR="00BC2B99" w:rsidRPr="000A7AE8" w:rsidRDefault="000A7AE8" w:rsidP="00BC2B99">
      <w:pPr>
        <w:ind w:left="284" w:hanging="284"/>
      </w:pPr>
      <w:r>
        <w:t>6)</w:t>
      </w:r>
      <w:r>
        <w:tab/>
      </w:r>
      <w:r w:rsidR="006B4211" w:rsidRPr="000A7AE8">
        <w:t>ORENCIA should not be infused concomitantly in the same intravenous line with other agents. No physical or biochemical compatibility studies have been conducted to evaluate the co-administration of ORENCIA with other agents.</w:t>
      </w:r>
    </w:p>
    <w:p w14:paraId="09E1EF01" w14:textId="3372FF40" w:rsidR="006B4211" w:rsidRPr="000A7AE8" w:rsidDel="00D575DC" w:rsidRDefault="000A7AE8" w:rsidP="00BC2B99">
      <w:pPr>
        <w:ind w:left="284" w:hanging="284"/>
      </w:pPr>
      <w:r>
        <w:t>7)</w:t>
      </w:r>
      <w:r>
        <w:tab/>
      </w:r>
      <w:r w:rsidR="006B4211" w:rsidRPr="000A7AE8" w:rsidDel="00D575DC">
        <w:t>EACH VIAL OF ORENCIA IS FOR SINGLE USE IN ONE PATIENT ONLY. DISCARD ANY RESIDUE.</w:t>
      </w:r>
    </w:p>
    <w:p w14:paraId="3B9AB6E1" w14:textId="77777777" w:rsidR="006B4211" w:rsidRPr="000A7AE8" w:rsidRDefault="006B4211" w:rsidP="00F702E1">
      <w:r w:rsidRPr="000A7AE8">
        <w:t xml:space="preserve">If the </w:t>
      </w:r>
      <w:r w:rsidRPr="000A7AE8">
        <w:rPr>
          <w:b/>
        </w:rPr>
        <w:t>SILICONE-FREE DISPOSABLE SYRINGE</w:t>
      </w:r>
      <w:r w:rsidRPr="000A7AE8">
        <w:t xml:space="preserve"> is dropped or becomes contaminated, use a new </w:t>
      </w:r>
      <w:r w:rsidRPr="000A7AE8">
        <w:rPr>
          <w:b/>
        </w:rPr>
        <w:t>SILICONE-FREE DISPOSABLE SYRINGE</w:t>
      </w:r>
      <w:r w:rsidRPr="000A7AE8">
        <w:t xml:space="preserve"> from inventory. For information on obtaining additional </w:t>
      </w:r>
      <w:r w:rsidRPr="000A7AE8">
        <w:rPr>
          <w:b/>
        </w:rPr>
        <w:t>SILICONE-FREE DISPOSABLE SYRINGES</w:t>
      </w:r>
      <w:r w:rsidRPr="000A7AE8">
        <w:t>, contact Bristol-Myers Squibb Australia 1800-RENCIA or contact Bristol-Myers Squibb Australia 1800-067567.</w:t>
      </w:r>
    </w:p>
    <w:p w14:paraId="34256A08" w14:textId="1FE7E894" w:rsidR="006B4211" w:rsidRPr="000A7AE8" w:rsidRDefault="00F702E1" w:rsidP="00C02EB7">
      <w:pPr>
        <w:pStyle w:val="Heading4"/>
      </w:pPr>
      <w:r w:rsidRPr="000A7AE8">
        <w:t>Preparation and Administration In</w:t>
      </w:r>
      <w:r w:rsidR="00073FB1" w:rsidRPr="000A7AE8">
        <w:t xml:space="preserve">structions for </w:t>
      </w:r>
      <w:r w:rsidRPr="000A7AE8">
        <w:t>Subcutaneous I</w:t>
      </w:r>
      <w:r w:rsidR="00073FB1" w:rsidRPr="000A7AE8">
        <w:t>njection</w:t>
      </w:r>
    </w:p>
    <w:p w14:paraId="1A618EF9" w14:textId="370C4843" w:rsidR="006B4211" w:rsidRPr="000A7AE8" w:rsidRDefault="006B4211" w:rsidP="00F702E1">
      <w:r w:rsidRPr="000A7AE8">
        <w:t xml:space="preserve">ORENCIA </w:t>
      </w:r>
      <w:r w:rsidR="007615DB" w:rsidRPr="000A7AE8">
        <w:t xml:space="preserve">Solution for </w:t>
      </w:r>
      <w:r w:rsidRPr="000A7AE8">
        <w:t>Injection, 125 mg/syringe or 125</w:t>
      </w:r>
      <w:r w:rsidR="00383CBC" w:rsidRPr="000A7AE8">
        <w:t xml:space="preserve"> </w:t>
      </w:r>
      <w:r w:rsidRPr="000A7AE8">
        <w:t>mg/</w:t>
      </w:r>
      <w:proofErr w:type="spellStart"/>
      <w:r w:rsidRPr="000A7AE8">
        <w:t>autoinjector</w:t>
      </w:r>
      <w:proofErr w:type="spellEnd"/>
      <w:r w:rsidRPr="000A7AE8">
        <w:t xml:space="preserve"> is not intended for IV infusion.</w:t>
      </w:r>
    </w:p>
    <w:p w14:paraId="2BB6A6AC" w14:textId="3AE49B0F" w:rsidR="006B4211" w:rsidRPr="000A7AE8" w:rsidRDefault="006B4211" w:rsidP="00F702E1">
      <w:pPr>
        <w:rPr>
          <w:strike/>
          <w:u w:val="double"/>
        </w:rPr>
      </w:pPr>
      <w:r w:rsidRPr="000A7AE8">
        <w:t xml:space="preserve">ORENCIA </w:t>
      </w:r>
      <w:r w:rsidR="007615DB" w:rsidRPr="000A7AE8">
        <w:t xml:space="preserve">Solution for </w:t>
      </w:r>
      <w:r w:rsidRPr="000A7AE8">
        <w:t>Injection is intended for use under the guidance of a physician or healthcare practitioner.</w:t>
      </w:r>
      <w:r w:rsidRPr="000A7AE8">
        <w:rPr>
          <w:iCs/>
        </w:rPr>
        <w:t xml:space="preserve"> The first dose should be done under medical supervision. Patients can self-inject after the </w:t>
      </w:r>
      <w:r w:rsidRPr="000A7AE8">
        <w:rPr>
          <w:iCs/>
        </w:rPr>
        <w:lastRenderedPageBreak/>
        <w:t>treating physician/healthcare practitioner is assured that the patient’s and/or carer’s injection technique is satisfactory, and while providing medical follow-up as necessary.</w:t>
      </w:r>
      <w:r w:rsidRPr="000A7AE8">
        <w:rPr>
          <w:u w:val="double"/>
        </w:rPr>
        <w:t xml:space="preserve"> </w:t>
      </w:r>
    </w:p>
    <w:p w14:paraId="1924E183" w14:textId="3CB6A217" w:rsidR="006B4211" w:rsidRPr="000A7AE8" w:rsidRDefault="006B4211" w:rsidP="00F702E1">
      <w:r w:rsidRPr="000A7AE8">
        <w:t>After training in subcutaneous injection technique, the patient may self-inject ORENCIA</w:t>
      </w:r>
      <w:r w:rsidR="00383CBC" w:rsidRPr="000A7AE8">
        <w:t>.</w:t>
      </w:r>
      <w:r w:rsidRPr="000A7AE8">
        <w:t xml:space="preserve"> Patients should be instructed to follow the directions provided in the Patient/Caregiver Instructions for Use section for additional details on medication administration.</w:t>
      </w:r>
    </w:p>
    <w:p w14:paraId="36EC2DF1" w14:textId="77777777" w:rsidR="006B4211" w:rsidRPr="000A7AE8" w:rsidRDefault="006B4211" w:rsidP="00F52BCF">
      <w:r w:rsidRPr="000A7AE8">
        <w:t xml:space="preserve">Parenteral drug products should be inspected visually for particulate matter and discolouration prior to administration, whenever solution and container permit. </w:t>
      </w:r>
      <w:proofErr w:type="gramStart"/>
      <w:r w:rsidRPr="000A7AE8">
        <w:t>Do not use</w:t>
      </w:r>
      <w:proofErr w:type="gramEnd"/>
      <w:r w:rsidRPr="000A7AE8">
        <w:t xml:space="preserve"> ORENCIA prefilled syringes or </w:t>
      </w:r>
      <w:proofErr w:type="spellStart"/>
      <w:r w:rsidRPr="000A7AE8">
        <w:t>autoinjectors</w:t>
      </w:r>
      <w:proofErr w:type="spellEnd"/>
      <w:r w:rsidRPr="000A7AE8">
        <w:t xml:space="preserve"> exhibiting particulate matter or discolouration. ORENCIA should be clear and colourless to pale yellow. EACH PRE-FILLED SYRINGE OR AUTOINJECTOR OF ORENCIA IS FOR SINGLE USE IN ONE PATIENT ONLY. DISCARD ANY RESIDUE. </w:t>
      </w:r>
    </w:p>
    <w:p w14:paraId="1DAB37BE" w14:textId="77777777" w:rsidR="006B4211" w:rsidRPr="000A7AE8" w:rsidRDefault="006B4211" w:rsidP="00F52BCF">
      <w:r w:rsidRPr="000A7AE8">
        <w:t xml:space="preserve">Patients using ORENCIA for subcutaneous administration should be instructed to inject the full amount in the syringe or </w:t>
      </w:r>
      <w:proofErr w:type="spellStart"/>
      <w:r w:rsidRPr="000A7AE8">
        <w:t>autoinjector</w:t>
      </w:r>
      <w:proofErr w:type="spellEnd"/>
      <w:r w:rsidRPr="000A7AE8">
        <w:t xml:space="preserve"> (1.0 mL), which provides 125 mg of ORENCIA,</w:t>
      </w:r>
      <w:r w:rsidRPr="000A7AE8">
        <w:rPr>
          <w:b/>
        </w:rPr>
        <w:t xml:space="preserve"> </w:t>
      </w:r>
      <w:r w:rsidRPr="000A7AE8">
        <w:t>according to the directions provided in the Patient/Caregiver Instructions for Use section.</w:t>
      </w:r>
    </w:p>
    <w:p w14:paraId="4C86288C" w14:textId="505A650D" w:rsidR="006B4211" w:rsidRDefault="006B4211" w:rsidP="00F52BCF">
      <w:r w:rsidRPr="000A7AE8">
        <w:t>Injection sites should be rotated and injections should never be given into areas where the skin is tender, bruised, red, or hard.</w:t>
      </w:r>
    </w:p>
    <w:p w14:paraId="74186B96" w14:textId="2CDF7B69" w:rsidR="00601929" w:rsidRPr="000A7AE8" w:rsidRDefault="00601929" w:rsidP="00F52BCF"/>
    <w:p w14:paraId="6126740B" w14:textId="77777777" w:rsidR="001A3992" w:rsidRPr="000A7AE8" w:rsidRDefault="001A3992" w:rsidP="003144B2">
      <w:pPr>
        <w:pStyle w:val="Heading2"/>
      </w:pPr>
      <w:r w:rsidRPr="000A7AE8">
        <w:t>Contraindications</w:t>
      </w:r>
    </w:p>
    <w:p w14:paraId="6451738E" w14:textId="1E87FC03" w:rsidR="00297AAE" w:rsidRPr="000A7AE8" w:rsidRDefault="00297AAE" w:rsidP="00F52BCF">
      <w:r w:rsidRPr="000A7AE8">
        <w:t xml:space="preserve">ORENCIA should not be administered to patients with known hypersensitivity to ORENCIA or any of its components (see </w:t>
      </w:r>
      <w:r w:rsidR="00511B40" w:rsidRPr="000A7AE8">
        <w:t>2 Qualitative and Quantitative Composition</w:t>
      </w:r>
      <w:r w:rsidR="00C35502" w:rsidRPr="000A7AE8">
        <w:t xml:space="preserve"> and 6.1 List of Excipients</w:t>
      </w:r>
      <w:r w:rsidRPr="000A7AE8">
        <w:t>). ORENCIA should not be administered to patients with severe infections such as sepsis, abscesses, tuberculosis, and opportunistic infections.</w:t>
      </w:r>
    </w:p>
    <w:p w14:paraId="5BAFDE01" w14:textId="77777777" w:rsidR="001A3992" w:rsidRPr="000A7AE8" w:rsidRDefault="00E74A56" w:rsidP="003144B2">
      <w:pPr>
        <w:pStyle w:val="Heading2"/>
      </w:pPr>
      <w:r w:rsidRPr="000A7AE8">
        <w:t>Special warnings and p</w:t>
      </w:r>
      <w:r w:rsidR="001A3992" w:rsidRPr="000A7AE8">
        <w:t xml:space="preserve">recautions </w:t>
      </w:r>
      <w:r w:rsidRPr="000A7AE8">
        <w:t>for use</w:t>
      </w:r>
    </w:p>
    <w:p w14:paraId="154014BA" w14:textId="77777777" w:rsidR="00297AAE" w:rsidRPr="000A7AE8" w:rsidRDefault="00297AAE" w:rsidP="004314AA">
      <w:pPr>
        <w:pStyle w:val="Heading3"/>
      </w:pPr>
      <w:bookmarkStart w:id="31" w:name="_Toc132615499"/>
      <w:r w:rsidRPr="000A7AE8">
        <w:t>Combination with TNF blocking agents</w:t>
      </w:r>
      <w:bookmarkEnd w:id="31"/>
    </w:p>
    <w:p w14:paraId="5667E9ED" w14:textId="77777777" w:rsidR="00297AAE" w:rsidRPr="000A7AE8" w:rsidRDefault="00297AAE" w:rsidP="00F52BCF">
      <w:r w:rsidRPr="000A7AE8">
        <w:t>There is limited experience with the use of ORENCIA in combination with TNF blocking agents. In placebo-controlled clinical trials in patients with adult RA, patients receiving concomitant intravenous ORENCIA and TNF blocking agent therapy experienced more infections (24%) and serious infections (2.2%) compared to patients treated with only TNF blocking agents (19% and 0.8%, respectively). Concurrent therapy with ORENCIA and a TNF blocking agent is not recommended.</w:t>
      </w:r>
    </w:p>
    <w:p w14:paraId="6B861870" w14:textId="77777777" w:rsidR="00297AAE" w:rsidRPr="000A7AE8" w:rsidRDefault="00297AAE" w:rsidP="00F52BCF">
      <w:r w:rsidRPr="000A7AE8">
        <w:t>While transitioning from TNF blocking agent therapy to ORENCIA therapy, patients should be monitored for signs of infection.</w:t>
      </w:r>
    </w:p>
    <w:p w14:paraId="5CC997F5" w14:textId="68412C73" w:rsidR="00C85BCE" w:rsidRPr="000A7AE8" w:rsidRDefault="00297AAE" w:rsidP="00BC2B99">
      <w:pPr>
        <w:rPr>
          <w:i/>
        </w:rPr>
      </w:pPr>
      <w:r w:rsidRPr="000A7AE8">
        <w:rPr>
          <w:i/>
        </w:rPr>
        <w:t>Other biologic RA therapy</w:t>
      </w:r>
    </w:p>
    <w:p w14:paraId="12647DBF" w14:textId="1AF24EE6" w:rsidR="00297AAE" w:rsidRPr="000A7AE8" w:rsidRDefault="00297AAE" w:rsidP="00F52BCF">
      <w:r w:rsidRPr="000A7AE8">
        <w:t xml:space="preserve">There is insufficient experience to assess the safety and efficacy of ORENCIA administered concurrently with other biologic RA therapy, such as </w:t>
      </w:r>
      <w:proofErr w:type="spellStart"/>
      <w:r w:rsidRPr="000A7AE8">
        <w:t>anakinra</w:t>
      </w:r>
      <w:proofErr w:type="spellEnd"/>
      <w:r w:rsidRPr="000A7AE8">
        <w:t xml:space="preserve"> or rituximab, and therefore</w:t>
      </w:r>
      <w:r w:rsidR="00C85BCE" w:rsidRPr="000A7AE8">
        <w:t>,</w:t>
      </w:r>
      <w:r w:rsidRPr="000A7AE8">
        <w:t xml:space="preserve"> such use is not recommended.</w:t>
      </w:r>
    </w:p>
    <w:p w14:paraId="3438C202" w14:textId="77777777" w:rsidR="00297AAE" w:rsidRPr="000A7AE8" w:rsidRDefault="00297AAE" w:rsidP="004314AA">
      <w:pPr>
        <w:pStyle w:val="Heading3"/>
      </w:pPr>
      <w:bookmarkStart w:id="32" w:name="_Toc132615500"/>
      <w:r w:rsidRPr="000A7AE8">
        <w:t>Hypersensitivity</w:t>
      </w:r>
      <w:bookmarkEnd w:id="32"/>
    </w:p>
    <w:p w14:paraId="0077945B" w14:textId="334B5F00" w:rsidR="00297AAE" w:rsidRPr="000A7AE8" w:rsidRDefault="00297AAE" w:rsidP="00F52BCF">
      <w:r w:rsidRPr="000A7AE8">
        <w:t xml:space="preserve">Hypersensitivity reactions can be observed during treatment with any injectable protein. Such reactions have been reported with ORENCIA intravenous administration in clinical trials, where patients were not required to be </w:t>
      </w:r>
      <w:proofErr w:type="spellStart"/>
      <w:r w:rsidRPr="000A7AE8">
        <w:t>pretreated</w:t>
      </w:r>
      <w:proofErr w:type="spellEnd"/>
      <w:r w:rsidRPr="000A7AE8">
        <w:t xml:space="preserve"> to prevent hypersensitivity reactions. The occurrence of anaphylaxis remained rare between the double blind trials and long-term open-label experience (see </w:t>
      </w:r>
      <w:r w:rsidR="00511B40" w:rsidRPr="000A7AE8">
        <w:t xml:space="preserve">4.8 Adverse Effects (Undesirable Effects) - </w:t>
      </w:r>
      <w:r w:rsidRPr="000A7AE8">
        <w:t xml:space="preserve">Infusion-related reactions and hypersensitivity reactions). Hypersensitivity was reported uncommonly. Other events potentially associated with drug </w:t>
      </w:r>
      <w:r w:rsidRPr="000A7AE8">
        <w:lastRenderedPageBreak/>
        <w:t xml:space="preserve">hypersensitivity, such as hypotension, </w:t>
      </w:r>
      <w:proofErr w:type="spellStart"/>
      <w:r w:rsidRPr="000A7AE8">
        <w:t>urticaria</w:t>
      </w:r>
      <w:proofErr w:type="spellEnd"/>
      <w:r w:rsidRPr="000A7AE8">
        <w:t xml:space="preserve">, and dyspnoea, that occurred within 24 hours of ORENCIA infusion were uncommon. Anaphylaxis or </w:t>
      </w:r>
      <w:proofErr w:type="spellStart"/>
      <w:r w:rsidRPr="000A7AE8">
        <w:t>anaphylactoid</w:t>
      </w:r>
      <w:proofErr w:type="spellEnd"/>
      <w:r w:rsidRPr="000A7AE8">
        <w:t xml:space="preserve"> reactions can occur after the first infusion and can be life-threatening. In </w:t>
      </w:r>
      <w:proofErr w:type="spellStart"/>
      <w:r w:rsidRPr="000A7AE8">
        <w:t>postmarketing</w:t>
      </w:r>
      <w:proofErr w:type="spellEnd"/>
      <w:r w:rsidRPr="000A7AE8">
        <w:t xml:space="preserve"> experience, a case of fatal anaphylaxis following the first infusion of ORENCIA</w:t>
      </w:r>
      <w:r w:rsidRPr="000A7AE8">
        <w:rPr>
          <w:vertAlign w:val="superscript"/>
        </w:rPr>
        <w:t xml:space="preserve"> </w:t>
      </w:r>
      <w:r w:rsidRPr="000A7AE8">
        <w:t>has been reported. If an anaphylactic or other serious allergic reaction occurs, administration of IV or SC ORENCIA should be stopped immediately with appropriate therapy instituted, and the use of ORENCIA should be permanently discontinued.</w:t>
      </w:r>
    </w:p>
    <w:p w14:paraId="0683216E" w14:textId="77777777" w:rsidR="00297AAE" w:rsidRPr="000A7AE8" w:rsidRDefault="00297AAE" w:rsidP="004314AA">
      <w:pPr>
        <w:pStyle w:val="Heading3"/>
      </w:pPr>
      <w:bookmarkStart w:id="33" w:name="_Toc132615501"/>
      <w:r w:rsidRPr="000A7AE8">
        <w:t>Effects on the immune system</w:t>
      </w:r>
      <w:bookmarkEnd w:id="33"/>
    </w:p>
    <w:p w14:paraId="6FA63F8B" w14:textId="77777777" w:rsidR="00297AAE" w:rsidRPr="000A7AE8" w:rsidRDefault="00297AAE" w:rsidP="00F52BCF">
      <w:r w:rsidRPr="000A7AE8">
        <w:t xml:space="preserve">The possibility exists for drugs that affect the immune system, including ORENCIA, to affect vaccination responses and host </w:t>
      </w:r>
      <w:proofErr w:type="spellStart"/>
      <w:r w:rsidRPr="000A7AE8">
        <w:t>defenses</w:t>
      </w:r>
      <w:proofErr w:type="spellEnd"/>
      <w:r w:rsidRPr="000A7AE8">
        <w:t xml:space="preserve"> against infections and malignancies.</w:t>
      </w:r>
    </w:p>
    <w:p w14:paraId="57E0A0E0" w14:textId="77777777" w:rsidR="00297AAE" w:rsidRPr="000A7AE8" w:rsidRDefault="00297AAE" w:rsidP="00F52BCF">
      <w:r w:rsidRPr="000A7AE8">
        <w:t xml:space="preserve">In a small study with healthy subjects ORENCIA reduced the quantitative immune response (measured via antibody </w:t>
      </w:r>
      <w:proofErr w:type="spellStart"/>
      <w:r w:rsidRPr="000A7AE8">
        <w:t>titer</w:t>
      </w:r>
      <w:proofErr w:type="spellEnd"/>
      <w:r w:rsidRPr="000A7AE8">
        <w:t xml:space="preserve"> against the tetanus toxoid vaccine and pneumococci antigens). However the 2-fold increase in </w:t>
      </w:r>
      <w:proofErr w:type="spellStart"/>
      <w:r w:rsidRPr="000A7AE8">
        <w:t>titer</w:t>
      </w:r>
      <w:proofErr w:type="spellEnd"/>
      <w:r w:rsidRPr="000A7AE8">
        <w:t xml:space="preserve"> response to these antigens was not altered.</w:t>
      </w:r>
    </w:p>
    <w:p w14:paraId="5F88A92F" w14:textId="77777777" w:rsidR="00297AAE" w:rsidRPr="000A7AE8" w:rsidRDefault="00297AAE" w:rsidP="004314AA">
      <w:pPr>
        <w:pStyle w:val="Heading3"/>
      </w:pPr>
      <w:bookmarkStart w:id="34" w:name="_Toc132615502"/>
      <w:r w:rsidRPr="000A7AE8">
        <w:t>Infections</w:t>
      </w:r>
      <w:bookmarkEnd w:id="34"/>
    </w:p>
    <w:p w14:paraId="18CF5AED" w14:textId="27531883" w:rsidR="00297AAE" w:rsidRPr="000A7AE8" w:rsidRDefault="00297AAE" w:rsidP="00F52BCF">
      <w:r w:rsidRPr="000A7AE8">
        <w:rPr>
          <w:lang w:eastAsia="en-AU"/>
        </w:rPr>
        <w:t xml:space="preserve">Serious infections, including sepsis and pneumonia, have been reported in patients receiving ORENCIA. Some of these infections have been fatal. Many of the serious infections have occurred in patients on concomitant immunosuppressive therapy which in addition to their underlying </w:t>
      </w:r>
      <w:proofErr w:type="gramStart"/>
      <w:r w:rsidRPr="000A7AE8">
        <w:rPr>
          <w:lang w:eastAsia="en-AU"/>
        </w:rPr>
        <w:t>disease,</w:t>
      </w:r>
      <w:proofErr w:type="gramEnd"/>
      <w:r w:rsidRPr="000A7AE8">
        <w:rPr>
          <w:lang w:eastAsia="en-AU"/>
        </w:rPr>
        <w:t xml:space="preserve"> could further predispose them to infections.</w:t>
      </w:r>
      <w:r w:rsidRPr="000A7AE8">
        <w:rPr>
          <w:i/>
          <w:lang w:eastAsia="en-AU"/>
        </w:rPr>
        <w:t xml:space="preserve"> </w:t>
      </w:r>
      <w:r w:rsidRPr="000A7AE8">
        <w:t>Physicians should exercise caution when considering the use of ORENCIA in patients with: a history of recurrent infections; underlying conditions which may predispose them to infections; or chronic, latent, or localized infections. Patients who develop a new infection while undergoing treatment with ORENCIA should be monitored closely. Administration of ORENCIA should be discontinued if a patient develops a serious infection. A higher rate of serious infections has been observed in adult RA patients treated with concurrent TNF blocking agents and ORENCIA.</w:t>
      </w:r>
    </w:p>
    <w:p w14:paraId="65DFEA52" w14:textId="77777777" w:rsidR="00297AAE" w:rsidRPr="000A7AE8" w:rsidRDefault="00297AAE" w:rsidP="00F52BCF">
      <w:r w:rsidRPr="000A7AE8">
        <w:t>In placebo-controlled clinical studies in adults, of 1955 ORENCIA patients and 989 placebo patients, two cases of tuberculosis were reported, one each in the ORENCIA and placebo groups. When treating patients with therapies that modulate the immune system, it is appropriate to screen for tuberculosis infections, as was the case with patients in these clinical trials. ORENCIA has not been studied in patients with a positive tuberculosis screen, and the safety of ORENCIA in individuals with latent tuberculosis is unknown. Patients testing positive in tuberculosis screening, should be treated by standard medical practice prior to therapy with ORENCIA.</w:t>
      </w:r>
    </w:p>
    <w:p w14:paraId="5A2D3CC8" w14:textId="77777777" w:rsidR="00297AAE" w:rsidRPr="000A7AE8" w:rsidRDefault="00297AAE" w:rsidP="00F52BCF">
      <w:bookmarkStart w:id="35" w:name="_Toc132615503"/>
      <w:r w:rsidRPr="000A7AE8">
        <w:t>Anti-rheumatic therapies have been associated with hepatitis B reactivation. Therefore, screening for viral hepatitis should be performed in accordance with published guidelines before starting therapy with ORENCIA.</w:t>
      </w:r>
    </w:p>
    <w:p w14:paraId="14819B34" w14:textId="77777777" w:rsidR="00297AAE" w:rsidRPr="000A7AE8" w:rsidRDefault="00297AAE" w:rsidP="004314AA">
      <w:pPr>
        <w:pStyle w:val="Heading3"/>
      </w:pPr>
      <w:r w:rsidRPr="000A7AE8">
        <w:t>Malignancies</w:t>
      </w:r>
      <w:bookmarkEnd w:id="35"/>
    </w:p>
    <w:p w14:paraId="4B2BC580" w14:textId="663F15DE" w:rsidR="00297AAE" w:rsidRPr="000A7AE8" w:rsidRDefault="00297AAE" w:rsidP="00F52BCF">
      <w:r w:rsidRPr="000A7AE8">
        <w:t xml:space="preserve">In the placebo-controlled clinical trials in adult RA, the frequencies of malignancies in </w:t>
      </w:r>
      <w:proofErr w:type="spellStart"/>
      <w:r w:rsidRPr="000A7AE8">
        <w:t>abatacept</w:t>
      </w:r>
      <w:proofErr w:type="spellEnd"/>
      <w:r w:rsidRPr="000A7AE8">
        <w:t>- and placebo-treated patients were 1.4% and 1.1%, respectively (</w:t>
      </w:r>
      <w:r w:rsidR="00511B40" w:rsidRPr="000A7AE8">
        <w:t>see 4.8 Adverse Effects (Undesirable Effects)</w:t>
      </w:r>
      <w:r w:rsidRPr="000A7AE8">
        <w:t>). Patients with known malignancies were not included in these clinical trials. In carcinogenicity studies in mice, an increase in lymphomas and mammary tumours were noted. The clinical significance of th</w:t>
      </w:r>
      <w:r w:rsidR="002F045D" w:rsidRPr="000A7AE8">
        <w:t>is observation is unknown (see 5.3 Preclinical Safety Data - Carcinogenicity</w:t>
      </w:r>
      <w:r w:rsidRPr="000A7AE8">
        <w:t>). The potential role of ORENCIA</w:t>
      </w:r>
      <w:r w:rsidRPr="000A7AE8">
        <w:rPr>
          <w:vertAlign w:val="superscript"/>
        </w:rPr>
        <w:t xml:space="preserve"> </w:t>
      </w:r>
      <w:r w:rsidRPr="000A7AE8">
        <w:t xml:space="preserve">in the development of malignancies, including lymphoma, in humans is unknown.  There have been reports of non-melanoma skin cancers in patients receiving ORENCIA (see </w:t>
      </w:r>
      <w:r w:rsidR="00511B40" w:rsidRPr="000A7AE8">
        <w:t>4.8 Adverse Effects (Undesirable Effects)</w:t>
      </w:r>
      <w:r w:rsidRPr="000A7AE8">
        <w:t>). Periodic skin examination is recommended for all patients, particularly for those with risk factors for skin cancer.</w:t>
      </w:r>
    </w:p>
    <w:p w14:paraId="69448E66" w14:textId="77777777" w:rsidR="00297AAE" w:rsidRPr="000A7AE8" w:rsidRDefault="00297AAE" w:rsidP="004314AA">
      <w:pPr>
        <w:pStyle w:val="Heading3"/>
      </w:pPr>
      <w:bookmarkStart w:id="36" w:name="_Toc132615504"/>
      <w:r w:rsidRPr="000A7AE8">
        <w:lastRenderedPageBreak/>
        <w:t>Infusion-related reactions</w:t>
      </w:r>
    </w:p>
    <w:p w14:paraId="0617C32A" w14:textId="0F037A58" w:rsidR="00297AAE" w:rsidRPr="000A7AE8" w:rsidRDefault="00297AAE" w:rsidP="00F52BCF">
      <w:pPr>
        <w:rPr>
          <w:b/>
          <w:u w:val="single"/>
        </w:rPr>
      </w:pPr>
      <w:r w:rsidRPr="000A7AE8">
        <w:t xml:space="preserve">Infusion Related reactions can be observed during treatment with any injectable protein. Such reactions have been reported with ORENCIA administration in clinical trials, where patients were not required to be </w:t>
      </w:r>
      <w:proofErr w:type="spellStart"/>
      <w:r w:rsidRPr="000A7AE8">
        <w:t>pretreated</w:t>
      </w:r>
      <w:proofErr w:type="spellEnd"/>
      <w:r w:rsidRPr="000A7AE8">
        <w:t xml:space="preserve"> to prevent hypersensitivity re</w:t>
      </w:r>
      <w:r w:rsidR="002F045D" w:rsidRPr="000A7AE8">
        <w:t>actions (see 4.8 Adverse Effects (Undesirable Effects) -</w:t>
      </w:r>
      <w:r w:rsidRPr="000A7AE8">
        <w:t xml:space="preserve"> Infusion-related reactions and hypersensitivity reactions).</w:t>
      </w:r>
    </w:p>
    <w:p w14:paraId="58A6C925" w14:textId="1715EEA4" w:rsidR="00297AAE" w:rsidRPr="000A7AE8" w:rsidRDefault="00297AAE" w:rsidP="004314AA">
      <w:pPr>
        <w:pStyle w:val="Heading3"/>
      </w:pPr>
      <w:r w:rsidRPr="000A7AE8">
        <w:t>Immunizations</w:t>
      </w:r>
      <w:bookmarkEnd w:id="36"/>
    </w:p>
    <w:p w14:paraId="117F74B3" w14:textId="77777777" w:rsidR="00297AAE" w:rsidRPr="000A7AE8" w:rsidRDefault="00297AAE" w:rsidP="00F52BCF">
      <w:r w:rsidRPr="000A7AE8">
        <w:t>Live vaccines should not be given concurrently with ORENCIA or within 3 months of its discontinuation. No data are available on the secondary transmission of infection from persons receiving live vaccines to patients receiving ORENCIA. No data are available on the effects of vaccinations in patients receiving ORENCIA. Drugs that affect the immune system, including ORENCIA, may blunt the effectiveness of some immunizations.</w:t>
      </w:r>
    </w:p>
    <w:p w14:paraId="61ACABDA" w14:textId="77777777" w:rsidR="00297AAE" w:rsidRPr="000A7AE8" w:rsidRDefault="00297AAE" w:rsidP="00F52BCF">
      <w:r w:rsidRPr="000A7AE8">
        <w:t>It is recommended that patients with juvenile idiopathic arthritis be brought up to date with all immunizations in agreement with current immunization guidelines prior to initiating ORENCIA therapy.</w:t>
      </w:r>
    </w:p>
    <w:p w14:paraId="3849A635" w14:textId="77777777" w:rsidR="00297AAE" w:rsidRPr="000A7AE8" w:rsidRDefault="00297AAE" w:rsidP="004314AA">
      <w:pPr>
        <w:pStyle w:val="Heading3"/>
      </w:pPr>
      <w:r w:rsidRPr="000A7AE8">
        <w:t>Autoimmune processes</w:t>
      </w:r>
    </w:p>
    <w:p w14:paraId="7C7A1B30" w14:textId="77E92BCA" w:rsidR="00297AAE" w:rsidRPr="000A7AE8" w:rsidRDefault="00297AAE" w:rsidP="00F52BCF">
      <w:r w:rsidRPr="000A7AE8">
        <w:t>There is a theoretical concern that treatment with ORENCIA might increase the risk for autoimmune processes, for example</w:t>
      </w:r>
      <w:r w:rsidR="00C85BCE" w:rsidRPr="000A7AE8">
        <w:t>,</w:t>
      </w:r>
      <w:r w:rsidRPr="000A7AE8">
        <w:t xml:space="preserve"> deterioration of multiple sclerosis. In the placebo-controlled clinical trials, </w:t>
      </w:r>
      <w:proofErr w:type="spellStart"/>
      <w:r w:rsidRPr="000A7AE8">
        <w:t>abatacept</w:t>
      </w:r>
      <w:proofErr w:type="spellEnd"/>
      <w:r w:rsidRPr="000A7AE8">
        <w:t xml:space="preserve"> treatment did not lead to increased autoantibody formation, such as antinuclear and anti-dsDNA antibodies, relative to placebo treatment.</w:t>
      </w:r>
    </w:p>
    <w:p w14:paraId="4708BB20" w14:textId="77777777" w:rsidR="004314AA" w:rsidRPr="000A7AE8" w:rsidRDefault="004314AA" w:rsidP="004314AA">
      <w:pPr>
        <w:pStyle w:val="Heading3"/>
      </w:pPr>
      <w:r w:rsidRPr="000A7AE8">
        <w:t>Patients on controlled sodium diet</w:t>
      </w:r>
    </w:p>
    <w:p w14:paraId="34FF9A4F" w14:textId="014734EA" w:rsidR="004314AA" w:rsidRPr="000A7AE8" w:rsidRDefault="004314AA" w:rsidP="002E3927">
      <w:r w:rsidRPr="000A7AE8">
        <w:t>This medicinal product contains 1.5</w:t>
      </w:r>
      <w:r w:rsidR="00C85BCE" w:rsidRPr="000A7AE8">
        <w:t xml:space="preserve"> </w:t>
      </w:r>
      <w:proofErr w:type="spellStart"/>
      <w:r w:rsidRPr="000A7AE8">
        <w:t>mmol</w:t>
      </w:r>
      <w:proofErr w:type="spellEnd"/>
      <w:r w:rsidRPr="000A7AE8">
        <w:t xml:space="preserve"> (or 34.5</w:t>
      </w:r>
      <w:r w:rsidR="00C85BCE" w:rsidRPr="000A7AE8">
        <w:t xml:space="preserve"> </w:t>
      </w:r>
      <w:r w:rsidRPr="000A7AE8">
        <w:t xml:space="preserve">mg) sodium per maximum dose of 4 vials (0.375 </w:t>
      </w:r>
      <w:proofErr w:type="spellStart"/>
      <w:r w:rsidRPr="000A7AE8">
        <w:t>mmol</w:t>
      </w:r>
      <w:proofErr w:type="spellEnd"/>
      <w:r w:rsidRPr="000A7AE8">
        <w:t xml:space="preserve"> or 8.625 mg sodium per vial). To be taken into consideration when treating patients on a controlled sodium diet.</w:t>
      </w:r>
    </w:p>
    <w:p w14:paraId="4CCFA0D0" w14:textId="77777777" w:rsidR="004314AA" w:rsidRPr="000A7AE8" w:rsidRDefault="004314AA" w:rsidP="004314AA">
      <w:pPr>
        <w:pStyle w:val="Heading3"/>
      </w:pPr>
      <w:r w:rsidRPr="000A7AE8">
        <w:t>Use in Patients with Psoriatic Skin Lesions</w:t>
      </w:r>
    </w:p>
    <w:p w14:paraId="54593CC7" w14:textId="77777777" w:rsidR="004314AA" w:rsidRPr="000A7AE8" w:rsidRDefault="004314AA" w:rsidP="002E3927">
      <w:r w:rsidRPr="000A7AE8">
        <w:t xml:space="preserve">Use of ORENCIA in </w:t>
      </w:r>
      <w:proofErr w:type="spellStart"/>
      <w:r w:rsidRPr="000A7AE8">
        <w:t>PsA</w:t>
      </w:r>
      <w:proofErr w:type="spellEnd"/>
      <w:r w:rsidRPr="000A7AE8">
        <w:t xml:space="preserve"> should be limited to patients for whom additional systemic therapy for psoriatic skin lesions is not required.</w:t>
      </w:r>
    </w:p>
    <w:p w14:paraId="7E7D89BD" w14:textId="77777777" w:rsidR="004314AA" w:rsidRPr="000A7AE8" w:rsidRDefault="004314AA" w:rsidP="004314AA">
      <w:pPr>
        <w:pStyle w:val="Heading3"/>
      </w:pPr>
      <w:r w:rsidRPr="000A7AE8">
        <w:t>Use in Patients with Chronic Obstructive Pulmonary Disease (COPD)</w:t>
      </w:r>
    </w:p>
    <w:p w14:paraId="311A03A2" w14:textId="77777777" w:rsidR="004314AA" w:rsidRPr="000A7AE8" w:rsidRDefault="004314AA" w:rsidP="002E3927">
      <w:r w:rsidRPr="000A7AE8">
        <w:t>COPD adult patients treated with ORENCIA developed adverse events more frequently than those treated with placebo, including COPD exacerbations, cough, rhonchi, and dyspnoea. Use of ORENCIA in patients with rheumatoid arthritis and COPD should be undertaken with caution and such patients should be monitored for worsening of their respiratory status.</w:t>
      </w:r>
    </w:p>
    <w:p w14:paraId="4E0A2DF3" w14:textId="77777777" w:rsidR="004314AA" w:rsidRPr="000A7AE8" w:rsidRDefault="004314AA" w:rsidP="00073FB1">
      <w:pPr>
        <w:pStyle w:val="Heading3"/>
      </w:pPr>
      <w:r w:rsidRPr="000A7AE8">
        <w:t>Subcutaneous Injections</w:t>
      </w:r>
    </w:p>
    <w:p w14:paraId="7791A3C8" w14:textId="7F27EC08" w:rsidR="004314AA" w:rsidRPr="000A7AE8" w:rsidRDefault="004314AA" w:rsidP="002E3927">
      <w:r w:rsidRPr="000A7AE8">
        <w:t>The first dose should be done under medical supervision. Patients can self-inject after the treating physician/healthcare practitioner is assured that the patient’s and/or carer’s injection technique is satisfactory, and while providing medical follow-up as necessary</w:t>
      </w:r>
      <w:r w:rsidRPr="000A7AE8">
        <w:rPr>
          <w:bCs/>
        </w:rPr>
        <w:t xml:space="preserve"> </w:t>
      </w:r>
      <w:r w:rsidRPr="000A7AE8">
        <w:t xml:space="preserve">(see </w:t>
      </w:r>
      <w:r w:rsidR="002F045D" w:rsidRPr="000A7AE8">
        <w:t>4.2 Dose and Method of Administration - Preparation and Administration Instructions for Subcutaneous Injection</w:t>
      </w:r>
      <w:r w:rsidRPr="000A7AE8">
        <w:t>).</w:t>
      </w:r>
    </w:p>
    <w:p w14:paraId="29452E10" w14:textId="77777777" w:rsidR="004314AA" w:rsidRPr="000A7AE8" w:rsidRDefault="004314AA" w:rsidP="004314AA">
      <w:pPr>
        <w:pStyle w:val="Heading3"/>
      </w:pPr>
      <w:r w:rsidRPr="000A7AE8">
        <w:t>Information for Patients</w:t>
      </w:r>
    </w:p>
    <w:p w14:paraId="5E04DFC5" w14:textId="77777777" w:rsidR="004314AA" w:rsidRPr="000A7AE8" w:rsidRDefault="004314AA" w:rsidP="002E3927">
      <w:r w:rsidRPr="000A7AE8">
        <w:t>Patients should be provided the ORENCIA Patient Information leaflet and provided an opportunity to read it prior to each treatment session. Because caution should be exercised in administering ORENCIA to patients with active infections, it is important that the patient’s overall health be assessed at each visit and any questions resulting from the patient’s reading of the Patient Information be discussed.</w:t>
      </w:r>
    </w:p>
    <w:p w14:paraId="4310AE1E" w14:textId="1A13C919" w:rsidR="001A3992" w:rsidRPr="000A7AE8" w:rsidRDefault="001A3992" w:rsidP="00EA1A82">
      <w:pPr>
        <w:pStyle w:val="Heading3"/>
      </w:pPr>
      <w:r w:rsidRPr="000A7AE8">
        <w:lastRenderedPageBreak/>
        <w:t>Use in the elderly</w:t>
      </w:r>
    </w:p>
    <w:p w14:paraId="39D7B06E" w14:textId="77777777" w:rsidR="004314AA" w:rsidRPr="000A7AE8" w:rsidRDefault="004314AA" w:rsidP="002E3927">
      <w:r w:rsidRPr="000A7AE8">
        <w:t>A total of 323 patients 65 years of age and older, including 53 patients 75 years and older, received ORENCIA in clinical studies. Similar efficacy was observed in these patients and younger patients. The frequency of serious infection and malignancy among ORENCIA-treated patients over age 65 was higher than for those under age 65. Because there is a higher incidence of infections and malignancies in the elderly population in general, caution should be used when treating the elderly.</w:t>
      </w:r>
    </w:p>
    <w:p w14:paraId="71F49AE0" w14:textId="2AEC26E4" w:rsidR="001A3992" w:rsidRPr="000A7AE8" w:rsidRDefault="001A3992" w:rsidP="00EA1A82">
      <w:pPr>
        <w:pStyle w:val="Heading3"/>
      </w:pPr>
      <w:r w:rsidRPr="000A7AE8">
        <w:t>Paediatric use</w:t>
      </w:r>
    </w:p>
    <w:p w14:paraId="2883F301" w14:textId="77777777" w:rsidR="004314AA" w:rsidRPr="000A7AE8" w:rsidRDefault="004314AA" w:rsidP="002E3927">
      <w:r w:rsidRPr="000A7AE8">
        <w:t xml:space="preserve">ORENCIA is indicated for reducing signs and symptoms in paediatric patients 6 years of age and older with moderately to severely active </w:t>
      </w:r>
      <w:proofErr w:type="spellStart"/>
      <w:r w:rsidRPr="000A7AE8">
        <w:t>polyarticular</w:t>
      </w:r>
      <w:proofErr w:type="spellEnd"/>
      <w:r w:rsidRPr="000A7AE8">
        <w:t xml:space="preserve"> juvenile idiopathic arthritis </w:t>
      </w:r>
      <w:proofErr w:type="gramStart"/>
      <w:r w:rsidRPr="000A7AE8">
        <w:t>who</w:t>
      </w:r>
      <w:proofErr w:type="gramEnd"/>
      <w:r w:rsidRPr="000A7AE8">
        <w:t xml:space="preserve"> have had an inadequate response to one or more disease-modifying anti-rheumatic drugs (DMARDs). ORENCIA may be used as monotherapy or concomitantly with methotrexate (MTX).</w:t>
      </w:r>
    </w:p>
    <w:p w14:paraId="690E3BA9" w14:textId="0D404FC0" w:rsidR="004314AA" w:rsidRPr="000A7AE8" w:rsidRDefault="004314AA" w:rsidP="002E3927">
      <w:r w:rsidRPr="000A7AE8">
        <w:t>The safety and effectiveness of ORENCIA in paediatric patients below 6 years of age have not been established. Therefore, ORENCIA is not recommended for use in patients below the age of 6 years.</w:t>
      </w:r>
    </w:p>
    <w:p w14:paraId="6213BB7A" w14:textId="77777777" w:rsidR="004314AA" w:rsidRPr="000A7AE8" w:rsidRDefault="004314AA" w:rsidP="002E3927">
      <w:r w:rsidRPr="000A7AE8">
        <w:t>Safety and efficacy of ORENCIA in paediatric patients for uses other than juvenile idiopathic arthritis have not been established.</w:t>
      </w:r>
    </w:p>
    <w:p w14:paraId="2A0C258B" w14:textId="77777777" w:rsidR="004314AA" w:rsidRPr="000A7AE8" w:rsidRDefault="004314AA" w:rsidP="002E3927">
      <w:r w:rsidRPr="000A7AE8">
        <w:t>There is no clinical trial data for the use of ORENCIA subcutaneous formulation in children, therefore its use in children cannot be recommended.</w:t>
      </w:r>
    </w:p>
    <w:p w14:paraId="2F090064" w14:textId="77777777" w:rsidR="004314AA" w:rsidRPr="000A7AE8" w:rsidRDefault="004314AA" w:rsidP="002E3927">
      <w:r w:rsidRPr="000A7AE8">
        <w:rPr>
          <w:bCs/>
        </w:rPr>
        <w:t xml:space="preserve">The long-term effects of </w:t>
      </w:r>
      <w:r w:rsidRPr="000A7AE8">
        <w:t>ORENCIA therapy on skeletal, behavioural, cognitive, sexual, and immune maturation and development in children are unknown.</w:t>
      </w:r>
    </w:p>
    <w:p w14:paraId="0760CD54" w14:textId="77777777" w:rsidR="004314AA" w:rsidRPr="000A7AE8" w:rsidRDefault="004314AA" w:rsidP="002E3927">
      <w:pPr>
        <w:rPr>
          <w:bCs/>
          <w:u w:val="single"/>
        </w:rPr>
      </w:pPr>
      <w:r w:rsidRPr="000A7AE8">
        <w:rPr>
          <w:u w:val="single"/>
        </w:rPr>
        <w:t>Non-clinical studies relevant for use in the paediatric population</w:t>
      </w:r>
    </w:p>
    <w:p w14:paraId="27B1D08E" w14:textId="77777777" w:rsidR="004314AA" w:rsidRPr="000A7AE8" w:rsidRDefault="004314AA" w:rsidP="002E3927">
      <w:r w:rsidRPr="000A7AE8">
        <w:t xml:space="preserve">Studies in rats exposed to </w:t>
      </w:r>
      <w:proofErr w:type="spellStart"/>
      <w:r w:rsidRPr="000A7AE8">
        <w:t>abatacept</w:t>
      </w:r>
      <w:proofErr w:type="spellEnd"/>
      <w:r w:rsidRPr="000A7AE8">
        <w:t xml:space="preserve"> have shown immune system abnormalities including a low incidence of infections leading to death (juvenile rats) as well as inflammation of the thyroid and pancreas (both juvenile and adult rats). Studies in adult mice and monkeys have not demonstrated similar findings. The increased susceptibility to opportunistic infections observed in juvenile rats is likely associated with the exposure to </w:t>
      </w:r>
      <w:proofErr w:type="spellStart"/>
      <w:r w:rsidRPr="000A7AE8">
        <w:t>abatacept</w:t>
      </w:r>
      <w:proofErr w:type="spellEnd"/>
      <w:r w:rsidRPr="000A7AE8">
        <w:t xml:space="preserve"> prior to development of memory responses. The relevance of these results to humans greater than 6 years of age, where memory responses have more time to develop, is unknown.</w:t>
      </w:r>
    </w:p>
    <w:p w14:paraId="4FE66561" w14:textId="77777777" w:rsidR="001A3992" w:rsidRPr="000A7AE8" w:rsidRDefault="001A3992" w:rsidP="00EA1A82">
      <w:pPr>
        <w:pStyle w:val="Heading3"/>
      </w:pPr>
      <w:r w:rsidRPr="000A7AE8">
        <w:t>Effects on laboratory tests</w:t>
      </w:r>
    </w:p>
    <w:p w14:paraId="2788D58A" w14:textId="77777777" w:rsidR="004314AA" w:rsidRPr="000A7AE8" w:rsidRDefault="004314AA" w:rsidP="002E3927">
      <w:r w:rsidRPr="000A7AE8">
        <w:t>Blood Glucose Testing</w:t>
      </w:r>
    </w:p>
    <w:p w14:paraId="4774D1C8" w14:textId="77777777" w:rsidR="004314AA" w:rsidRPr="000A7AE8" w:rsidRDefault="004314AA" w:rsidP="002E3927">
      <w:r w:rsidRPr="000A7AE8">
        <w:t xml:space="preserve">Parenteral drug products containing maltose can interfere with the readings of blood glucose monitors that use test strips with glucose dehydrogenase </w:t>
      </w:r>
      <w:proofErr w:type="spellStart"/>
      <w:r w:rsidRPr="000A7AE8">
        <w:t>pyrroloquinolinequinone</w:t>
      </w:r>
      <w:proofErr w:type="spellEnd"/>
      <w:r w:rsidRPr="000A7AE8">
        <w:t xml:space="preserve"> (GDH-PQQ). The GDH-PQQ based glucose monitoring systems may react with the maltose present in ORENCIA</w:t>
      </w:r>
      <w:r w:rsidRPr="000A7AE8">
        <w:rPr>
          <w:vertAlign w:val="superscript"/>
        </w:rPr>
        <w:t xml:space="preserve"> </w:t>
      </w:r>
      <w:r w:rsidRPr="000A7AE8">
        <w:t>for intravenous administration, resulting in falsely elevated blood glucose readings on the day of infusion. When receiving ORENCIA</w:t>
      </w:r>
      <w:r w:rsidRPr="000A7AE8">
        <w:rPr>
          <w:vertAlign w:val="superscript"/>
        </w:rPr>
        <w:t xml:space="preserve"> </w:t>
      </w:r>
      <w:r w:rsidRPr="000A7AE8">
        <w:t xml:space="preserve">for intravenous administration, patients that require blood glucose monitoring should be advised to consider methods that do not react with maltose, such as those based on glucose dehydrogenase nicotine adenine dinucleotide (GDH-NAD), glucose oxidase, or glucose hexokinase test methods. </w:t>
      </w:r>
    </w:p>
    <w:p w14:paraId="67A0C227" w14:textId="77777777" w:rsidR="004314AA" w:rsidRPr="000A7AE8" w:rsidRDefault="004314AA" w:rsidP="002E3927">
      <w:r w:rsidRPr="000A7AE8">
        <w:rPr>
          <w:bCs/>
        </w:rPr>
        <w:t>ORENCIA</w:t>
      </w:r>
      <w:r w:rsidRPr="000A7AE8">
        <w:rPr>
          <w:bCs/>
          <w:vertAlign w:val="superscript"/>
        </w:rPr>
        <w:t xml:space="preserve"> </w:t>
      </w:r>
      <w:r w:rsidRPr="000A7AE8">
        <w:rPr>
          <w:bCs/>
        </w:rPr>
        <w:t xml:space="preserve">for subcutaneous administration </w:t>
      </w:r>
      <w:r w:rsidRPr="000A7AE8">
        <w:t>does not contain maltose; therefore, patients do not need to alter their glucose monitoring.</w:t>
      </w:r>
    </w:p>
    <w:p w14:paraId="37896E24" w14:textId="77777777" w:rsidR="001A3992" w:rsidRPr="000A7AE8" w:rsidRDefault="001A3992" w:rsidP="003144B2">
      <w:pPr>
        <w:pStyle w:val="Heading2"/>
      </w:pPr>
      <w:r w:rsidRPr="000A7AE8">
        <w:t>Interactions with other medicines and other forms of interactions</w:t>
      </w:r>
    </w:p>
    <w:p w14:paraId="1ACEE169" w14:textId="77777777" w:rsidR="003612A6" w:rsidRPr="000A7AE8" w:rsidRDefault="003612A6" w:rsidP="002E3927">
      <w:r w:rsidRPr="000A7AE8">
        <w:lastRenderedPageBreak/>
        <w:t>Formal drug interaction studies have not been conducted with ORENCIA.</w:t>
      </w:r>
    </w:p>
    <w:p w14:paraId="0DAA4A72" w14:textId="7DC495D2" w:rsidR="003612A6" w:rsidRPr="000A7AE8" w:rsidRDefault="003612A6" w:rsidP="002E3927">
      <w:r w:rsidRPr="000A7AE8">
        <w:t xml:space="preserve">The majority of patients in the RA placebo-controlled clinical trials received concomitant DMARDs, NSAIDs, and/or corticosteroids. Most patients were taking MTX. Other less frequently used concomitant DMARDs included chloroquine/hydroxychloroquine, sulfasalazine, and </w:t>
      </w:r>
      <w:proofErr w:type="spellStart"/>
      <w:r w:rsidRPr="000A7AE8">
        <w:t>leflunomide</w:t>
      </w:r>
      <w:proofErr w:type="spellEnd"/>
      <w:r w:rsidRPr="000A7AE8">
        <w:t xml:space="preserve">. There is limited experience with </w:t>
      </w:r>
      <w:proofErr w:type="spellStart"/>
      <w:r w:rsidRPr="000A7AE8">
        <w:t>abatacept</w:t>
      </w:r>
      <w:proofErr w:type="spellEnd"/>
      <w:r w:rsidRPr="000A7AE8">
        <w:t xml:space="preserve"> in combination with other DMARDs such as azathioprine, gold and </w:t>
      </w:r>
      <w:proofErr w:type="spellStart"/>
      <w:r w:rsidRPr="000A7AE8">
        <w:t>anakinra</w:t>
      </w:r>
      <w:proofErr w:type="spellEnd"/>
      <w:r w:rsidRPr="000A7AE8">
        <w:t xml:space="preserve">. Population pharmacokinetic analyses revealed that MTX, NSAIDs, corticosteroids, and TNF blocking agents did not influence </w:t>
      </w:r>
      <w:proofErr w:type="spellStart"/>
      <w:r w:rsidRPr="000A7AE8">
        <w:t>abatacept</w:t>
      </w:r>
      <w:proofErr w:type="spellEnd"/>
      <w:r w:rsidRPr="000A7AE8">
        <w:t xml:space="preserve"> clearance (see </w:t>
      </w:r>
      <w:r w:rsidR="002F045D" w:rsidRPr="000A7AE8">
        <w:t>5.2 Pharmacokinetic Properties).</w:t>
      </w:r>
    </w:p>
    <w:p w14:paraId="58F6ADF6" w14:textId="77777777" w:rsidR="003612A6" w:rsidRPr="000A7AE8" w:rsidRDefault="003612A6" w:rsidP="002E3927">
      <w:r w:rsidRPr="000A7AE8">
        <w:t xml:space="preserve">Concurrent administration of a TNF blocking agent with ORENCIA has been associated with an increased risk of serious infections. Concurrent therapy with ORENCIA and TNF blocking agents is not recommended. </w:t>
      </w:r>
    </w:p>
    <w:p w14:paraId="0A7C9934" w14:textId="05AC3329" w:rsidR="003612A6" w:rsidRPr="000A7AE8" w:rsidRDefault="003612A6" w:rsidP="002E3927">
      <w:r w:rsidRPr="000A7AE8">
        <w:t xml:space="preserve">There is insufficient experience to assess the safety and efficacy of ORENCIA administered concurrently with </w:t>
      </w:r>
      <w:proofErr w:type="spellStart"/>
      <w:r w:rsidRPr="000A7AE8">
        <w:t>anakinra</w:t>
      </w:r>
      <w:proofErr w:type="spellEnd"/>
      <w:r w:rsidRPr="000A7AE8">
        <w:t xml:space="preserve"> or rituximab, and therefore</w:t>
      </w:r>
      <w:r w:rsidR="00C85BCE" w:rsidRPr="000A7AE8">
        <w:t>,</w:t>
      </w:r>
      <w:r w:rsidRPr="000A7AE8">
        <w:t xml:space="preserve"> such use is not recommended.</w:t>
      </w:r>
    </w:p>
    <w:p w14:paraId="690E0368" w14:textId="77777777" w:rsidR="003612A6" w:rsidRPr="000A7AE8" w:rsidRDefault="003612A6" w:rsidP="002E3927">
      <w:r w:rsidRPr="000A7AE8">
        <w:t>ORENCIA has not been studied in combination with agents which deplete lymphocyte count. Such combination therapy could potentiate the effects of ORENCIA on the immune system.</w:t>
      </w:r>
    </w:p>
    <w:p w14:paraId="47C33CD2" w14:textId="77777777" w:rsidR="001A3992" w:rsidRPr="000A7AE8" w:rsidRDefault="001A3992" w:rsidP="003144B2">
      <w:pPr>
        <w:pStyle w:val="Heading2"/>
      </w:pPr>
      <w:r w:rsidRPr="000A7AE8">
        <w:t xml:space="preserve">Fertility, pregnancy and lactation </w:t>
      </w:r>
    </w:p>
    <w:p w14:paraId="280121BA" w14:textId="49F22FC7" w:rsidR="001A3992" w:rsidRPr="000A7AE8" w:rsidRDefault="001A3992" w:rsidP="00EA1A82">
      <w:pPr>
        <w:pStyle w:val="Heading3"/>
      </w:pPr>
      <w:r w:rsidRPr="000A7AE8">
        <w:t>Effects on fertility</w:t>
      </w:r>
    </w:p>
    <w:p w14:paraId="6B1FC2BA" w14:textId="1F7B9761" w:rsidR="007615DB" w:rsidRPr="000A7AE8" w:rsidRDefault="007615DB" w:rsidP="002E3927">
      <w:r w:rsidRPr="000A7AE8">
        <w:t xml:space="preserve">Fertility in rats was unaffected by </w:t>
      </w:r>
      <w:proofErr w:type="spellStart"/>
      <w:r w:rsidRPr="000A7AE8">
        <w:t>abatacept</w:t>
      </w:r>
      <w:proofErr w:type="spellEnd"/>
      <w:r w:rsidRPr="000A7AE8">
        <w:t xml:space="preserve"> doses of up to 200 mg/kg every 3 days (11-fold the human drug exposure based on AUC).</w:t>
      </w:r>
    </w:p>
    <w:p w14:paraId="4E77A374" w14:textId="6F5D0BD7" w:rsidR="001A3992" w:rsidRPr="000A7AE8" w:rsidRDefault="003C741E" w:rsidP="00EA1A82">
      <w:pPr>
        <w:pStyle w:val="Heading3"/>
      </w:pPr>
      <w:r w:rsidRPr="000A7AE8">
        <w:t>Use in pregnancy</w:t>
      </w:r>
      <w:r w:rsidR="007615DB" w:rsidRPr="000A7AE8">
        <w:t xml:space="preserve"> (Category C)</w:t>
      </w:r>
    </w:p>
    <w:p w14:paraId="5D0D0DB7" w14:textId="3D6B3A90" w:rsidR="007615DB" w:rsidRPr="000A7AE8" w:rsidRDefault="007615DB" w:rsidP="002E3927">
      <w:r w:rsidRPr="000A7AE8">
        <w:t>There are no adequate and well-controlled studies in pregnant women. The use of ORENCIA during pregnancy is not recommended.</w:t>
      </w:r>
      <w:r w:rsidR="00A744E6" w:rsidRPr="000A7AE8">
        <w:t xml:space="preserve"> </w:t>
      </w:r>
      <w:proofErr w:type="spellStart"/>
      <w:r w:rsidR="00A744E6" w:rsidRPr="000A7AE8">
        <w:t>Abatacept</w:t>
      </w:r>
      <w:proofErr w:type="spellEnd"/>
      <w:r w:rsidR="00A744E6" w:rsidRPr="000A7AE8">
        <w:t xml:space="preserve"> may affect the immune system in the </w:t>
      </w:r>
      <w:proofErr w:type="spellStart"/>
      <w:r w:rsidR="00A744E6" w:rsidRPr="000A7AE8">
        <w:t>fetus</w:t>
      </w:r>
      <w:proofErr w:type="spellEnd"/>
      <w:r w:rsidR="00A744E6" w:rsidRPr="000A7AE8">
        <w:t>.</w:t>
      </w:r>
      <w:r w:rsidR="00D76919" w:rsidRPr="000A7AE8">
        <w:t xml:space="preserve"> (See 5.3 Preclinical safety data) </w:t>
      </w:r>
    </w:p>
    <w:p w14:paraId="58D3FA4C" w14:textId="77777777" w:rsidR="007615DB" w:rsidRPr="000A7AE8" w:rsidRDefault="007615DB" w:rsidP="002E3927">
      <w:proofErr w:type="spellStart"/>
      <w:r w:rsidRPr="000A7AE8">
        <w:t>Abatacept</w:t>
      </w:r>
      <w:proofErr w:type="spellEnd"/>
      <w:r w:rsidRPr="000A7AE8">
        <w:t xml:space="preserve"> may cross the placenta into the serum of infants born to women treated with </w:t>
      </w:r>
      <w:proofErr w:type="spellStart"/>
      <w:r w:rsidRPr="000A7AE8">
        <w:t>abatacept</w:t>
      </w:r>
      <w:proofErr w:type="spellEnd"/>
      <w:r w:rsidRPr="000A7AE8">
        <w:t xml:space="preserve"> during pregnancy. Consequently, these infants may be at increased risk for infection. The safety of administering live vaccines to infants exposed to </w:t>
      </w:r>
      <w:proofErr w:type="spellStart"/>
      <w:r w:rsidRPr="000A7AE8">
        <w:t>abatacept</w:t>
      </w:r>
      <w:proofErr w:type="spellEnd"/>
      <w:r w:rsidRPr="000A7AE8">
        <w:t xml:space="preserve"> </w:t>
      </w:r>
      <w:r w:rsidRPr="000A7AE8">
        <w:rPr>
          <w:i/>
        </w:rPr>
        <w:t>in utero</w:t>
      </w:r>
      <w:r w:rsidRPr="000A7AE8">
        <w:t xml:space="preserve"> is unknown. Administration of live vaccines to infants exposed to </w:t>
      </w:r>
      <w:proofErr w:type="spellStart"/>
      <w:r w:rsidRPr="000A7AE8">
        <w:t>abatacept</w:t>
      </w:r>
      <w:proofErr w:type="spellEnd"/>
      <w:r w:rsidRPr="000A7AE8">
        <w:t xml:space="preserve"> </w:t>
      </w:r>
      <w:r w:rsidRPr="000A7AE8">
        <w:rPr>
          <w:i/>
        </w:rPr>
        <w:t>in utero</w:t>
      </w:r>
      <w:r w:rsidRPr="000A7AE8">
        <w:t xml:space="preserve"> is not recommended for 5 months following the mother’s last exposure to </w:t>
      </w:r>
      <w:proofErr w:type="spellStart"/>
      <w:r w:rsidRPr="000A7AE8">
        <w:t>abatacept</w:t>
      </w:r>
      <w:proofErr w:type="spellEnd"/>
      <w:r w:rsidRPr="000A7AE8">
        <w:t xml:space="preserve"> during pregnancy.  Please refer to the Product Information of the vaccine being considered to confirm it is not a live vaccine.</w:t>
      </w:r>
    </w:p>
    <w:p w14:paraId="5EC66C89" w14:textId="4F9FD7FE" w:rsidR="001A3992" w:rsidRPr="000A7AE8" w:rsidRDefault="007615DB" w:rsidP="00EA1A82">
      <w:pPr>
        <w:pStyle w:val="Heading3"/>
      </w:pPr>
      <w:r w:rsidRPr="000A7AE8">
        <w:t>Use in lactation</w:t>
      </w:r>
    </w:p>
    <w:p w14:paraId="5626EB67" w14:textId="77777777" w:rsidR="007615DB" w:rsidRPr="000A7AE8" w:rsidRDefault="007615DB" w:rsidP="002E3927">
      <w:proofErr w:type="spellStart"/>
      <w:r w:rsidRPr="000A7AE8">
        <w:t>Abatacept</w:t>
      </w:r>
      <w:proofErr w:type="spellEnd"/>
      <w:r w:rsidRPr="000A7AE8">
        <w:t xml:space="preserve"> has been shown to be present in rat milk and in the serum of suckling pups. It is not known whether </w:t>
      </w:r>
      <w:proofErr w:type="spellStart"/>
      <w:r w:rsidRPr="000A7AE8">
        <w:t>abatacept</w:t>
      </w:r>
      <w:proofErr w:type="spellEnd"/>
      <w:r w:rsidRPr="000A7AE8">
        <w:t xml:space="preserve"> is excreted in human milk or absorbed systemically after ingestion. Because many drugs are excreted in human milk, and because of the potential for serious adverse reactions in breast-fed infants from </w:t>
      </w:r>
      <w:proofErr w:type="spellStart"/>
      <w:r w:rsidRPr="000A7AE8">
        <w:t>abatacept</w:t>
      </w:r>
      <w:proofErr w:type="spellEnd"/>
      <w:r w:rsidRPr="000A7AE8">
        <w:t xml:space="preserve">, women on </w:t>
      </w:r>
      <w:proofErr w:type="spellStart"/>
      <w:r w:rsidRPr="000A7AE8">
        <w:t>abatacept</w:t>
      </w:r>
      <w:proofErr w:type="spellEnd"/>
      <w:r w:rsidRPr="000A7AE8">
        <w:t xml:space="preserve"> should not breast feed. The long half-life of </w:t>
      </w:r>
      <w:proofErr w:type="spellStart"/>
      <w:r w:rsidRPr="000A7AE8">
        <w:t>abatacept</w:t>
      </w:r>
      <w:proofErr w:type="spellEnd"/>
      <w:r w:rsidRPr="000A7AE8">
        <w:t xml:space="preserve"> should also be considered when discontinuing therapy.</w:t>
      </w:r>
    </w:p>
    <w:p w14:paraId="0375B0C2" w14:textId="77777777" w:rsidR="001A3992" w:rsidRPr="000A7AE8" w:rsidRDefault="001A3992" w:rsidP="003144B2">
      <w:pPr>
        <w:pStyle w:val="Heading2"/>
      </w:pPr>
      <w:r w:rsidRPr="000A7AE8">
        <w:t>Effects on ab</w:t>
      </w:r>
      <w:r w:rsidR="003C741E" w:rsidRPr="000A7AE8">
        <w:t>ility to drive and use machines</w:t>
      </w:r>
    </w:p>
    <w:p w14:paraId="79A07D04" w14:textId="7A0C4358" w:rsidR="003612A6" w:rsidRPr="000A7AE8" w:rsidRDefault="00121782" w:rsidP="00121782">
      <w:pPr>
        <w:rPr>
          <w:rFonts w:cs="Times New Roman"/>
        </w:rPr>
      </w:pPr>
      <w:r w:rsidRPr="000A7AE8">
        <w:t>The effects of this medicine on a person’s ability to drive and use machines were not assessed as part of its registration.</w:t>
      </w:r>
      <w:r w:rsidRPr="000A7AE8">
        <w:rPr>
          <w:rFonts w:cs="Times New Roman"/>
        </w:rPr>
        <w:t xml:space="preserve"> </w:t>
      </w:r>
    </w:p>
    <w:p w14:paraId="7150EC92" w14:textId="77777777" w:rsidR="001A3992" w:rsidRPr="000A7AE8" w:rsidRDefault="001A3992" w:rsidP="00121782">
      <w:pPr>
        <w:pStyle w:val="Heading2"/>
      </w:pPr>
      <w:r w:rsidRPr="000A7AE8">
        <w:t>Adverse effects (Undesirable effects)</w:t>
      </w:r>
    </w:p>
    <w:p w14:paraId="59039A58" w14:textId="77777777" w:rsidR="004E2896" w:rsidRPr="000A7AE8" w:rsidRDefault="004E2896" w:rsidP="00121782">
      <w:pPr>
        <w:pStyle w:val="Heading3"/>
      </w:pPr>
      <w:r w:rsidRPr="000A7AE8">
        <w:lastRenderedPageBreak/>
        <w:t>Clinical trial experience in adult RA patients treated with intravenous ORENCIA</w:t>
      </w:r>
    </w:p>
    <w:p w14:paraId="1A7037D5" w14:textId="77777777" w:rsidR="004E2896" w:rsidRPr="000A7AE8" w:rsidRDefault="004E2896" w:rsidP="00121782">
      <w:r w:rsidRPr="000A7AE8">
        <w:t xml:space="preserve">ORENCIA has been studied in patients with active rheumatoid arthritis in placebo-controlled clinical trials (1955 patients with ORENCIA, 989 with placebo). The trials had either a double-blind, placebo-controlled period of 6 months (258 patients with ORENCIA, 133 with placebo) or 1 year (1697 patients with ORENCIA, 856 with placebo). Most patients in these trials were taking methotrexate (81.9% with ORENCIA, 83.3% with placebo). Other concomitant medications included: NSAIDs (83.9% with ORENCIA, 85.1% with placebo); systemic corticosteroids (74.7% with ORENCIA, 75.8% with placebo); non-biological DMARD therapy, most commonly chloroquine/hydroxychloroquine, </w:t>
      </w:r>
      <w:proofErr w:type="spellStart"/>
      <w:r w:rsidRPr="000A7AE8">
        <w:t>leflunomide</w:t>
      </w:r>
      <w:proofErr w:type="spellEnd"/>
      <w:r w:rsidRPr="000A7AE8">
        <w:t xml:space="preserve"> and/or sulfasalazine (26.9% with ORENCIA, 32.1% with placebo); TNF blocking agents, mainly </w:t>
      </w:r>
      <w:proofErr w:type="spellStart"/>
      <w:r w:rsidRPr="000A7AE8">
        <w:t>etanercept</w:t>
      </w:r>
      <w:proofErr w:type="spellEnd"/>
      <w:r w:rsidRPr="000A7AE8">
        <w:t xml:space="preserve"> (9.4% with ORENCIA, 12.3% with placebo); and </w:t>
      </w:r>
      <w:proofErr w:type="spellStart"/>
      <w:r w:rsidRPr="000A7AE8">
        <w:t>anakinra</w:t>
      </w:r>
      <w:proofErr w:type="spellEnd"/>
      <w:r w:rsidRPr="000A7AE8">
        <w:t xml:space="preserve"> (1.1% with ORENCIA, 1.6% with placebo).</w:t>
      </w:r>
    </w:p>
    <w:p w14:paraId="2DDAA120" w14:textId="55B27B35" w:rsidR="004E2896" w:rsidRPr="000A7AE8" w:rsidRDefault="004E2896" w:rsidP="002E3927">
      <w:r w:rsidRPr="000A7AE8">
        <w:t>In placebo-controlled clinical trials with ORENCIA, adverse drug reactions (ADRs) (adverse events at least possibly causally-related to treatment) were reported in 52.2% of ORENCIA-treated patients and 46.1% of placebo-treated patients. The most frequently reported adverse drug reactions (≥5%) among ORENCIA-treated patients were headache and nausea. The proportion of patients who discontinued treatment due to ADRs was 3.4% for ORENCIA-treated patients and 2.2% for placebo-treated patients.</w:t>
      </w:r>
    </w:p>
    <w:p w14:paraId="3764131B" w14:textId="6A3E5C2E" w:rsidR="004E2896" w:rsidRPr="000A7AE8" w:rsidRDefault="004E2896" w:rsidP="002E3927">
      <w:r w:rsidRPr="000A7AE8">
        <w:t xml:space="preserve">Overall adverse events reported irrespective of consideration to causality to treatment in the placebo-controlled clinical trials in RA patients are listed in Table </w:t>
      </w:r>
      <w:r w:rsidR="00932AF4" w:rsidRPr="000A7AE8">
        <w:t>2</w:t>
      </w:r>
      <w:r w:rsidRPr="000A7AE8">
        <w:t>.</w:t>
      </w:r>
    </w:p>
    <w:p w14:paraId="7C4BABB8" w14:textId="259149D2" w:rsidR="004E2896" w:rsidRPr="000A7AE8" w:rsidRDefault="004E2896" w:rsidP="002E3927">
      <w:r w:rsidRPr="000A7AE8">
        <w:t>The majority of these adverse events were mild to moderate and the severity was similar in patients that had previously taken traditional DMARDs, such as MTX, or biological therapies, such</w:t>
      </w:r>
      <w:r w:rsidR="00932AF4" w:rsidRPr="000A7AE8">
        <w:t xml:space="preserve"> as TNF blocking agents (Table 3</w:t>
      </w:r>
      <w:bookmarkStart w:id="37" w:name="Tablex_OverviewofAdverseEventsinPla"/>
      <w:bookmarkEnd w:id="37"/>
      <w:r w:rsidR="00932AF4" w:rsidRPr="000A7AE8">
        <w:t>).</w:t>
      </w:r>
    </w:p>
    <w:tbl>
      <w:tblPr>
        <w:tblW w:w="0" w:type="auto"/>
        <w:tblBorders>
          <w:bottom w:val="double" w:sz="6" w:space="0" w:color="auto"/>
        </w:tblBorders>
        <w:tblLayout w:type="fixed"/>
        <w:tblLook w:val="0000" w:firstRow="0" w:lastRow="0" w:firstColumn="0" w:lastColumn="0" w:noHBand="0" w:noVBand="0"/>
      </w:tblPr>
      <w:tblGrid>
        <w:gridCol w:w="4878"/>
        <w:gridCol w:w="1989"/>
        <w:gridCol w:w="1989"/>
      </w:tblGrid>
      <w:tr w:rsidR="000A7AE8" w:rsidRPr="000A7AE8" w14:paraId="0685DC49" w14:textId="77777777" w:rsidTr="004E2896">
        <w:trPr>
          <w:tblHeader/>
        </w:trPr>
        <w:tc>
          <w:tcPr>
            <w:tcW w:w="8856" w:type="dxa"/>
            <w:gridSpan w:val="3"/>
            <w:tcBorders>
              <w:bottom w:val="double" w:sz="6" w:space="0" w:color="000000"/>
            </w:tcBorders>
          </w:tcPr>
          <w:p w14:paraId="7E07A65B" w14:textId="395225C9" w:rsidR="004E2896" w:rsidRPr="000A7AE8" w:rsidRDefault="00932AF4" w:rsidP="004E2896">
            <w:pPr>
              <w:pStyle w:val="BMSTableTitle"/>
              <w:rPr>
                <w:sz w:val="22"/>
                <w:szCs w:val="22"/>
              </w:rPr>
            </w:pPr>
            <w:r w:rsidRPr="000A7AE8">
              <w:rPr>
                <w:sz w:val="22"/>
                <w:szCs w:val="22"/>
              </w:rPr>
              <w:t>Table 2</w:t>
            </w:r>
            <w:r w:rsidR="004E2896" w:rsidRPr="000A7AE8">
              <w:rPr>
                <w:sz w:val="22"/>
                <w:szCs w:val="22"/>
              </w:rPr>
              <w:t>:</w:t>
            </w:r>
            <w:r w:rsidR="004E2896" w:rsidRPr="000A7AE8">
              <w:rPr>
                <w:sz w:val="22"/>
                <w:szCs w:val="22"/>
              </w:rPr>
              <w:tab/>
              <w:t>Overview of Adverse Events in Placebo-Controlled Clinical Trials in Rheumatoid Arthritis Patients</w:t>
            </w:r>
          </w:p>
        </w:tc>
      </w:tr>
      <w:tr w:rsidR="000A7AE8" w:rsidRPr="000A7AE8" w14:paraId="2E975D18" w14:textId="77777777" w:rsidTr="004E2896">
        <w:trPr>
          <w:tblHeader/>
        </w:trPr>
        <w:tc>
          <w:tcPr>
            <w:tcW w:w="4878" w:type="dxa"/>
            <w:tcBorders>
              <w:top w:val="double" w:sz="6" w:space="0" w:color="000000"/>
              <w:bottom w:val="single" w:sz="4" w:space="0" w:color="auto"/>
            </w:tcBorders>
          </w:tcPr>
          <w:p w14:paraId="58608D4C" w14:textId="77777777" w:rsidR="004E2896" w:rsidRPr="000A7AE8" w:rsidRDefault="004E2896" w:rsidP="004E2896">
            <w:pPr>
              <w:pStyle w:val="BMSTableHeader"/>
              <w:jc w:val="left"/>
              <w:rPr>
                <w:sz w:val="22"/>
                <w:szCs w:val="22"/>
              </w:rPr>
            </w:pPr>
          </w:p>
        </w:tc>
        <w:tc>
          <w:tcPr>
            <w:tcW w:w="1989" w:type="dxa"/>
            <w:tcBorders>
              <w:top w:val="double" w:sz="6" w:space="0" w:color="000000"/>
              <w:bottom w:val="single" w:sz="4" w:space="0" w:color="auto"/>
            </w:tcBorders>
          </w:tcPr>
          <w:p w14:paraId="0B197FF8" w14:textId="77777777" w:rsidR="004E2896" w:rsidRPr="000A7AE8" w:rsidRDefault="004E2896" w:rsidP="004E2896">
            <w:pPr>
              <w:pStyle w:val="BMSTableHeader"/>
            </w:pPr>
            <w:r w:rsidRPr="000A7AE8">
              <w:t>ORENCIA</w:t>
            </w:r>
          </w:p>
          <w:p w14:paraId="6C4EFB06" w14:textId="77777777" w:rsidR="004E2896" w:rsidRPr="000A7AE8" w:rsidRDefault="004E2896" w:rsidP="004E2896">
            <w:pPr>
              <w:pStyle w:val="BMSTableHeader"/>
            </w:pPr>
            <w:r w:rsidRPr="000A7AE8">
              <w:t>(n=1955)</w:t>
            </w:r>
          </w:p>
          <w:p w14:paraId="2D00FC48" w14:textId="77777777" w:rsidR="004E2896" w:rsidRPr="000A7AE8" w:rsidRDefault="004E2896" w:rsidP="004E2896">
            <w:pPr>
              <w:pStyle w:val="BMSTableHeader"/>
            </w:pPr>
            <w:r w:rsidRPr="000A7AE8">
              <w:t>Percentage</w:t>
            </w:r>
          </w:p>
        </w:tc>
        <w:tc>
          <w:tcPr>
            <w:tcW w:w="1989" w:type="dxa"/>
            <w:tcBorders>
              <w:top w:val="double" w:sz="6" w:space="0" w:color="000000"/>
              <w:bottom w:val="single" w:sz="4" w:space="0" w:color="auto"/>
            </w:tcBorders>
          </w:tcPr>
          <w:p w14:paraId="19DB2D9A" w14:textId="77777777" w:rsidR="004E2896" w:rsidRPr="000A7AE8" w:rsidRDefault="004E2896" w:rsidP="004E2896">
            <w:pPr>
              <w:pStyle w:val="BMSTableHeader"/>
            </w:pPr>
            <w:r w:rsidRPr="000A7AE8">
              <w:t>Placebo</w:t>
            </w:r>
          </w:p>
          <w:p w14:paraId="08711F73" w14:textId="77777777" w:rsidR="004E2896" w:rsidRPr="000A7AE8" w:rsidRDefault="004E2896" w:rsidP="004E2896">
            <w:pPr>
              <w:pStyle w:val="BMSTableHeader"/>
            </w:pPr>
            <w:r w:rsidRPr="000A7AE8">
              <w:t>(n=989)</w:t>
            </w:r>
          </w:p>
          <w:p w14:paraId="76D04296" w14:textId="77777777" w:rsidR="004E2896" w:rsidRPr="000A7AE8" w:rsidRDefault="004E2896" w:rsidP="004E2896">
            <w:pPr>
              <w:pStyle w:val="BMSTableHeader"/>
            </w:pPr>
            <w:r w:rsidRPr="000A7AE8">
              <w:t>Percentage</w:t>
            </w:r>
          </w:p>
        </w:tc>
      </w:tr>
      <w:tr w:rsidR="000A7AE8" w:rsidRPr="000A7AE8" w14:paraId="114AF087" w14:textId="77777777" w:rsidTr="004E2896">
        <w:tc>
          <w:tcPr>
            <w:tcW w:w="4878" w:type="dxa"/>
            <w:tcBorders>
              <w:top w:val="single" w:sz="4" w:space="0" w:color="auto"/>
              <w:bottom w:val="nil"/>
            </w:tcBorders>
          </w:tcPr>
          <w:p w14:paraId="7FDB2B12" w14:textId="77777777" w:rsidR="004E2896" w:rsidRPr="000A7AE8" w:rsidRDefault="004E2896" w:rsidP="004E2896">
            <w:pPr>
              <w:pStyle w:val="BMSTableText"/>
              <w:jc w:val="left"/>
            </w:pPr>
            <w:r w:rsidRPr="000A7AE8">
              <w:t xml:space="preserve">All adverse events </w:t>
            </w:r>
          </w:p>
        </w:tc>
        <w:tc>
          <w:tcPr>
            <w:tcW w:w="1989" w:type="dxa"/>
            <w:tcBorders>
              <w:top w:val="single" w:sz="4" w:space="0" w:color="auto"/>
              <w:bottom w:val="nil"/>
            </w:tcBorders>
          </w:tcPr>
          <w:p w14:paraId="16104B13" w14:textId="77777777" w:rsidR="004E2896" w:rsidRPr="000A7AE8" w:rsidRDefault="004E2896" w:rsidP="004E2896">
            <w:pPr>
              <w:pStyle w:val="BMSTableText"/>
            </w:pPr>
            <w:r w:rsidRPr="000A7AE8">
              <w:t>88.8</w:t>
            </w:r>
          </w:p>
        </w:tc>
        <w:tc>
          <w:tcPr>
            <w:tcW w:w="1989" w:type="dxa"/>
            <w:tcBorders>
              <w:top w:val="single" w:sz="4" w:space="0" w:color="auto"/>
              <w:bottom w:val="nil"/>
            </w:tcBorders>
          </w:tcPr>
          <w:p w14:paraId="0A1CE35C" w14:textId="77777777" w:rsidR="004E2896" w:rsidRPr="000A7AE8" w:rsidRDefault="004E2896" w:rsidP="004E2896">
            <w:pPr>
              <w:pStyle w:val="BMSTableText"/>
            </w:pPr>
            <w:r w:rsidRPr="000A7AE8">
              <w:t>85.1</w:t>
            </w:r>
          </w:p>
        </w:tc>
      </w:tr>
      <w:tr w:rsidR="000A7AE8" w:rsidRPr="000A7AE8" w14:paraId="3C2132DF" w14:textId="77777777" w:rsidTr="004E2896">
        <w:tc>
          <w:tcPr>
            <w:tcW w:w="4878" w:type="dxa"/>
            <w:tcBorders>
              <w:top w:val="nil"/>
              <w:bottom w:val="nil"/>
            </w:tcBorders>
          </w:tcPr>
          <w:p w14:paraId="02FA360D" w14:textId="77777777" w:rsidR="004E2896" w:rsidRPr="000A7AE8" w:rsidRDefault="004E2896" w:rsidP="004E2896">
            <w:pPr>
              <w:pStyle w:val="BMSTableText"/>
              <w:jc w:val="left"/>
            </w:pPr>
            <w:r w:rsidRPr="000A7AE8">
              <w:t>Serious adverse events</w:t>
            </w:r>
          </w:p>
        </w:tc>
        <w:tc>
          <w:tcPr>
            <w:tcW w:w="1989" w:type="dxa"/>
            <w:tcBorders>
              <w:top w:val="nil"/>
              <w:bottom w:val="nil"/>
            </w:tcBorders>
          </w:tcPr>
          <w:p w14:paraId="53F83D61" w14:textId="77777777" w:rsidR="004E2896" w:rsidRPr="000A7AE8" w:rsidRDefault="004E2896" w:rsidP="004E2896">
            <w:pPr>
              <w:pStyle w:val="BMSTableText"/>
            </w:pPr>
            <w:r w:rsidRPr="000A7AE8">
              <w:t>14.0</w:t>
            </w:r>
          </w:p>
        </w:tc>
        <w:tc>
          <w:tcPr>
            <w:tcW w:w="1989" w:type="dxa"/>
            <w:tcBorders>
              <w:top w:val="nil"/>
              <w:bottom w:val="nil"/>
            </w:tcBorders>
          </w:tcPr>
          <w:p w14:paraId="755795F8" w14:textId="77777777" w:rsidR="004E2896" w:rsidRPr="000A7AE8" w:rsidRDefault="004E2896" w:rsidP="004E2896">
            <w:pPr>
              <w:pStyle w:val="BMSTableText"/>
            </w:pPr>
            <w:r w:rsidRPr="000A7AE8">
              <w:t>12.5</w:t>
            </w:r>
          </w:p>
        </w:tc>
      </w:tr>
      <w:tr w:rsidR="000A7AE8" w:rsidRPr="000A7AE8" w14:paraId="5EC869A7" w14:textId="77777777" w:rsidTr="004E2896">
        <w:tc>
          <w:tcPr>
            <w:tcW w:w="4878" w:type="dxa"/>
            <w:tcBorders>
              <w:top w:val="nil"/>
              <w:bottom w:val="nil"/>
            </w:tcBorders>
          </w:tcPr>
          <w:p w14:paraId="60A95E84" w14:textId="77777777" w:rsidR="004E2896" w:rsidRPr="000A7AE8" w:rsidRDefault="004E2896" w:rsidP="004E2896">
            <w:pPr>
              <w:pStyle w:val="BMSTableText"/>
              <w:jc w:val="left"/>
            </w:pPr>
            <w:r w:rsidRPr="000A7AE8">
              <w:t>Infections and infestations</w:t>
            </w:r>
          </w:p>
        </w:tc>
        <w:tc>
          <w:tcPr>
            <w:tcW w:w="1989" w:type="dxa"/>
            <w:tcBorders>
              <w:top w:val="nil"/>
              <w:bottom w:val="nil"/>
            </w:tcBorders>
          </w:tcPr>
          <w:p w14:paraId="5C9BCF0F" w14:textId="77777777" w:rsidR="004E2896" w:rsidRPr="000A7AE8" w:rsidRDefault="004E2896" w:rsidP="004E2896">
            <w:pPr>
              <w:pStyle w:val="BMSTableText"/>
            </w:pPr>
            <w:r w:rsidRPr="000A7AE8">
              <w:t>54.1</w:t>
            </w:r>
          </w:p>
        </w:tc>
        <w:tc>
          <w:tcPr>
            <w:tcW w:w="1989" w:type="dxa"/>
            <w:tcBorders>
              <w:top w:val="nil"/>
              <w:bottom w:val="nil"/>
            </w:tcBorders>
          </w:tcPr>
          <w:p w14:paraId="60635BDF" w14:textId="77777777" w:rsidR="004E2896" w:rsidRPr="000A7AE8" w:rsidRDefault="004E2896" w:rsidP="004E2896">
            <w:pPr>
              <w:pStyle w:val="BMSTableText"/>
            </w:pPr>
            <w:r w:rsidRPr="000A7AE8">
              <w:t>48.7</w:t>
            </w:r>
          </w:p>
        </w:tc>
      </w:tr>
      <w:tr w:rsidR="000A7AE8" w:rsidRPr="000A7AE8" w14:paraId="7CB24A0C" w14:textId="77777777" w:rsidTr="004E2896">
        <w:tc>
          <w:tcPr>
            <w:tcW w:w="4878" w:type="dxa"/>
            <w:tcBorders>
              <w:top w:val="nil"/>
              <w:bottom w:val="nil"/>
            </w:tcBorders>
          </w:tcPr>
          <w:p w14:paraId="498A1E3C" w14:textId="77777777" w:rsidR="004E2896" w:rsidRPr="000A7AE8" w:rsidRDefault="004E2896" w:rsidP="004E2896">
            <w:pPr>
              <w:pStyle w:val="BMSTableText"/>
              <w:jc w:val="left"/>
            </w:pPr>
            <w:r w:rsidRPr="000A7AE8">
              <w:t>Malignancies</w:t>
            </w:r>
          </w:p>
        </w:tc>
        <w:tc>
          <w:tcPr>
            <w:tcW w:w="1989" w:type="dxa"/>
            <w:tcBorders>
              <w:top w:val="nil"/>
              <w:bottom w:val="nil"/>
            </w:tcBorders>
          </w:tcPr>
          <w:p w14:paraId="52B6B338" w14:textId="77777777" w:rsidR="004E2896" w:rsidRPr="000A7AE8" w:rsidRDefault="004E2896" w:rsidP="004E2896">
            <w:pPr>
              <w:pStyle w:val="BMSTableText"/>
            </w:pPr>
            <w:r w:rsidRPr="000A7AE8">
              <w:t>1.4</w:t>
            </w:r>
          </w:p>
        </w:tc>
        <w:tc>
          <w:tcPr>
            <w:tcW w:w="1989" w:type="dxa"/>
            <w:tcBorders>
              <w:top w:val="nil"/>
              <w:bottom w:val="nil"/>
            </w:tcBorders>
          </w:tcPr>
          <w:p w14:paraId="460659DD" w14:textId="77777777" w:rsidR="004E2896" w:rsidRPr="000A7AE8" w:rsidRDefault="004E2896" w:rsidP="004E2896">
            <w:pPr>
              <w:pStyle w:val="BMSTableText"/>
            </w:pPr>
            <w:r w:rsidRPr="000A7AE8">
              <w:t>1.1</w:t>
            </w:r>
          </w:p>
        </w:tc>
      </w:tr>
      <w:tr w:rsidR="004E2896" w:rsidRPr="000A7AE8" w14:paraId="3D711196" w14:textId="77777777" w:rsidTr="004E2896">
        <w:tc>
          <w:tcPr>
            <w:tcW w:w="4878" w:type="dxa"/>
            <w:tcBorders>
              <w:bottom w:val="double" w:sz="6" w:space="0" w:color="auto"/>
            </w:tcBorders>
          </w:tcPr>
          <w:p w14:paraId="5ECFBB99" w14:textId="77777777" w:rsidR="004E2896" w:rsidRPr="000A7AE8" w:rsidRDefault="004E2896" w:rsidP="004E2896">
            <w:pPr>
              <w:pStyle w:val="BMSTableText"/>
              <w:jc w:val="left"/>
            </w:pPr>
            <w:r w:rsidRPr="000A7AE8">
              <w:t>Acute infusion-related events</w:t>
            </w:r>
            <w:r w:rsidRPr="000A7AE8">
              <w:rPr>
                <w:vertAlign w:val="superscript"/>
              </w:rPr>
              <w:t xml:space="preserve"> </w:t>
            </w:r>
            <w:r w:rsidRPr="000A7AE8">
              <w:t>(reported within 1 hour of the start of the infusion)</w:t>
            </w:r>
          </w:p>
        </w:tc>
        <w:tc>
          <w:tcPr>
            <w:tcW w:w="1989" w:type="dxa"/>
            <w:tcBorders>
              <w:bottom w:val="double" w:sz="6" w:space="0" w:color="auto"/>
            </w:tcBorders>
          </w:tcPr>
          <w:p w14:paraId="625CC58E" w14:textId="77777777" w:rsidR="004E2896" w:rsidRPr="000A7AE8" w:rsidRDefault="004E2896" w:rsidP="004E2896">
            <w:pPr>
              <w:pStyle w:val="BMSTableText"/>
            </w:pPr>
            <w:r w:rsidRPr="000A7AE8">
              <w:t>9.8</w:t>
            </w:r>
          </w:p>
        </w:tc>
        <w:tc>
          <w:tcPr>
            <w:tcW w:w="1989" w:type="dxa"/>
            <w:tcBorders>
              <w:bottom w:val="double" w:sz="6" w:space="0" w:color="auto"/>
            </w:tcBorders>
          </w:tcPr>
          <w:p w14:paraId="1C13C4C9" w14:textId="77777777" w:rsidR="004E2896" w:rsidRPr="000A7AE8" w:rsidRDefault="004E2896" w:rsidP="004E2896">
            <w:pPr>
              <w:pStyle w:val="BMSTableText"/>
            </w:pPr>
            <w:r w:rsidRPr="000A7AE8">
              <w:t>6.7</w:t>
            </w:r>
          </w:p>
        </w:tc>
      </w:tr>
    </w:tbl>
    <w:p w14:paraId="35BC74AB" w14:textId="77777777" w:rsidR="004E2896" w:rsidRPr="000A7AE8" w:rsidRDefault="004E2896" w:rsidP="004E2896">
      <w:pPr>
        <w:rPr>
          <w:rFonts w:cs="Times New Roman"/>
        </w:rPr>
      </w:pPr>
      <w:bookmarkStart w:id="38" w:name="Tablex_IntensityofAdverseEventsinDo"/>
      <w:bookmarkEnd w:id="38"/>
    </w:p>
    <w:tbl>
      <w:tblPr>
        <w:tblW w:w="0" w:type="auto"/>
        <w:tblBorders>
          <w:bottom w:val="double" w:sz="6" w:space="0" w:color="auto"/>
        </w:tblBorders>
        <w:tblLayout w:type="fixed"/>
        <w:tblLook w:val="0000" w:firstRow="0" w:lastRow="0" w:firstColumn="0" w:lastColumn="0" w:noHBand="0" w:noVBand="0"/>
      </w:tblPr>
      <w:tblGrid>
        <w:gridCol w:w="3686"/>
        <w:gridCol w:w="1241"/>
        <w:gridCol w:w="1310"/>
        <w:gridCol w:w="1309"/>
        <w:gridCol w:w="1310"/>
      </w:tblGrid>
      <w:tr w:rsidR="000A7AE8" w:rsidRPr="000A7AE8" w14:paraId="0D40F218" w14:textId="77777777" w:rsidTr="004E2896">
        <w:trPr>
          <w:tblHeader/>
        </w:trPr>
        <w:tc>
          <w:tcPr>
            <w:tcW w:w="8856" w:type="dxa"/>
            <w:gridSpan w:val="5"/>
            <w:tcBorders>
              <w:bottom w:val="double" w:sz="6" w:space="0" w:color="000000"/>
            </w:tcBorders>
          </w:tcPr>
          <w:p w14:paraId="19D4A169" w14:textId="2497E158" w:rsidR="004E2896" w:rsidRPr="000A7AE8" w:rsidRDefault="004E2896" w:rsidP="00932AF4">
            <w:pPr>
              <w:pStyle w:val="BMSTableTitle"/>
              <w:rPr>
                <w:sz w:val="22"/>
                <w:szCs w:val="22"/>
              </w:rPr>
            </w:pPr>
            <w:r w:rsidRPr="000A7AE8">
              <w:rPr>
                <w:sz w:val="22"/>
                <w:szCs w:val="22"/>
              </w:rPr>
              <w:t xml:space="preserve">Table </w:t>
            </w:r>
            <w:r w:rsidR="00932AF4" w:rsidRPr="000A7AE8">
              <w:rPr>
                <w:sz w:val="22"/>
                <w:szCs w:val="22"/>
              </w:rPr>
              <w:t>3</w:t>
            </w:r>
            <w:r w:rsidRPr="000A7AE8">
              <w:rPr>
                <w:sz w:val="22"/>
                <w:szCs w:val="22"/>
              </w:rPr>
              <w:t>:</w:t>
            </w:r>
            <w:r w:rsidRPr="000A7AE8">
              <w:rPr>
                <w:sz w:val="22"/>
                <w:szCs w:val="22"/>
              </w:rPr>
              <w:tab/>
              <w:t>Intensity of Adverse Events in Double-Blind, Controlled Study Periods: Study IV vs Study III</w:t>
            </w:r>
          </w:p>
        </w:tc>
      </w:tr>
      <w:tr w:rsidR="000A7AE8" w:rsidRPr="000A7AE8" w14:paraId="3D1DF182" w14:textId="77777777" w:rsidTr="004E2896">
        <w:trPr>
          <w:tblHeader/>
        </w:trPr>
        <w:tc>
          <w:tcPr>
            <w:tcW w:w="3686" w:type="dxa"/>
            <w:tcBorders>
              <w:top w:val="double" w:sz="6" w:space="0" w:color="000000"/>
              <w:bottom w:val="single" w:sz="4" w:space="0" w:color="auto"/>
            </w:tcBorders>
          </w:tcPr>
          <w:p w14:paraId="0F9437FF" w14:textId="77777777" w:rsidR="004E2896" w:rsidRPr="000A7AE8" w:rsidRDefault="004E2896" w:rsidP="004E2896">
            <w:pPr>
              <w:pStyle w:val="BMSTableHeader"/>
              <w:jc w:val="left"/>
              <w:rPr>
                <w:sz w:val="22"/>
                <w:szCs w:val="22"/>
              </w:rPr>
            </w:pPr>
          </w:p>
        </w:tc>
        <w:tc>
          <w:tcPr>
            <w:tcW w:w="5170" w:type="dxa"/>
            <w:gridSpan w:val="4"/>
            <w:tcBorders>
              <w:top w:val="double" w:sz="6" w:space="0" w:color="000000"/>
              <w:bottom w:val="single" w:sz="4" w:space="0" w:color="auto"/>
            </w:tcBorders>
          </w:tcPr>
          <w:p w14:paraId="4434EABB" w14:textId="77777777" w:rsidR="004E2896" w:rsidRPr="000A7AE8" w:rsidRDefault="004E2896" w:rsidP="004E2896">
            <w:pPr>
              <w:pStyle w:val="BMSTableHeader"/>
            </w:pPr>
            <w:r w:rsidRPr="000A7AE8">
              <w:t>Percent of Patients</w:t>
            </w:r>
          </w:p>
        </w:tc>
      </w:tr>
      <w:tr w:rsidR="000A7AE8" w:rsidRPr="000A7AE8" w14:paraId="761574E3" w14:textId="77777777" w:rsidTr="004E2896">
        <w:tc>
          <w:tcPr>
            <w:tcW w:w="3686" w:type="dxa"/>
            <w:tcBorders>
              <w:top w:val="single" w:sz="4" w:space="0" w:color="auto"/>
              <w:bottom w:val="single" w:sz="4" w:space="0" w:color="auto"/>
            </w:tcBorders>
          </w:tcPr>
          <w:p w14:paraId="40C6DF72" w14:textId="77777777" w:rsidR="004E2896" w:rsidRPr="000A7AE8" w:rsidRDefault="004E2896" w:rsidP="004E2896">
            <w:pPr>
              <w:pStyle w:val="BMSTableText"/>
              <w:jc w:val="left"/>
              <w:rPr>
                <w:sz w:val="22"/>
                <w:szCs w:val="22"/>
              </w:rPr>
            </w:pPr>
          </w:p>
        </w:tc>
        <w:tc>
          <w:tcPr>
            <w:tcW w:w="1241" w:type="dxa"/>
            <w:tcBorders>
              <w:top w:val="single" w:sz="4" w:space="0" w:color="auto"/>
              <w:bottom w:val="single" w:sz="4" w:space="0" w:color="auto"/>
            </w:tcBorders>
          </w:tcPr>
          <w:p w14:paraId="2876DC60" w14:textId="77777777" w:rsidR="004E2896" w:rsidRPr="000A7AE8" w:rsidRDefault="004E2896" w:rsidP="004E2896">
            <w:pPr>
              <w:pStyle w:val="BMSTableHeader"/>
            </w:pPr>
            <w:r w:rsidRPr="000A7AE8">
              <w:t>Mild</w:t>
            </w:r>
          </w:p>
        </w:tc>
        <w:tc>
          <w:tcPr>
            <w:tcW w:w="1310" w:type="dxa"/>
            <w:tcBorders>
              <w:top w:val="single" w:sz="4" w:space="0" w:color="auto"/>
              <w:bottom w:val="single" w:sz="4" w:space="0" w:color="auto"/>
            </w:tcBorders>
          </w:tcPr>
          <w:p w14:paraId="72F11F0C" w14:textId="77777777" w:rsidR="004E2896" w:rsidRPr="000A7AE8" w:rsidRDefault="004E2896" w:rsidP="004E2896">
            <w:pPr>
              <w:pStyle w:val="BMSTableHeader"/>
            </w:pPr>
            <w:r w:rsidRPr="000A7AE8">
              <w:t>Moderate</w:t>
            </w:r>
          </w:p>
        </w:tc>
        <w:tc>
          <w:tcPr>
            <w:tcW w:w="1309" w:type="dxa"/>
            <w:tcBorders>
              <w:top w:val="single" w:sz="4" w:space="0" w:color="auto"/>
              <w:bottom w:val="single" w:sz="4" w:space="0" w:color="auto"/>
            </w:tcBorders>
          </w:tcPr>
          <w:p w14:paraId="2740F6D6" w14:textId="77777777" w:rsidR="004E2896" w:rsidRPr="000A7AE8" w:rsidRDefault="004E2896" w:rsidP="004E2896">
            <w:pPr>
              <w:pStyle w:val="BMSTableHeader"/>
            </w:pPr>
            <w:r w:rsidRPr="000A7AE8">
              <w:t>Severe</w:t>
            </w:r>
          </w:p>
        </w:tc>
        <w:tc>
          <w:tcPr>
            <w:tcW w:w="1310" w:type="dxa"/>
            <w:tcBorders>
              <w:top w:val="single" w:sz="4" w:space="0" w:color="auto"/>
              <w:bottom w:val="single" w:sz="4" w:space="0" w:color="auto"/>
            </w:tcBorders>
          </w:tcPr>
          <w:p w14:paraId="024A43BE" w14:textId="77777777" w:rsidR="004E2896" w:rsidRPr="000A7AE8" w:rsidRDefault="004E2896" w:rsidP="004E2896">
            <w:pPr>
              <w:pStyle w:val="BMSTableHeader"/>
            </w:pPr>
            <w:r w:rsidRPr="000A7AE8">
              <w:t>Very Severe</w:t>
            </w:r>
          </w:p>
        </w:tc>
      </w:tr>
      <w:tr w:rsidR="000A7AE8" w:rsidRPr="000A7AE8" w14:paraId="3258C7E9" w14:textId="77777777" w:rsidTr="004E2896">
        <w:tc>
          <w:tcPr>
            <w:tcW w:w="3686" w:type="dxa"/>
            <w:tcBorders>
              <w:top w:val="single" w:sz="4" w:space="0" w:color="auto"/>
            </w:tcBorders>
          </w:tcPr>
          <w:p w14:paraId="30321065" w14:textId="77777777" w:rsidR="004E2896" w:rsidRPr="000A7AE8" w:rsidRDefault="004E2896" w:rsidP="004E2896">
            <w:pPr>
              <w:pStyle w:val="BMSTableText"/>
              <w:jc w:val="left"/>
              <w:rPr>
                <w:b/>
              </w:rPr>
            </w:pPr>
            <w:r w:rsidRPr="000A7AE8">
              <w:rPr>
                <w:b/>
              </w:rPr>
              <w:t>Study IV, Inadequate Response to TNF Blocking Agent</w:t>
            </w:r>
          </w:p>
        </w:tc>
        <w:tc>
          <w:tcPr>
            <w:tcW w:w="1241" w:type="dxa"/>
            <w:tcBorders>
              <w:top w:val="single" w:sz="4" w:space="0" w:color="auto"/>
            </w:tcBorders>
          </w:tcPr>
          <w:p w14:paraId="0BABBAB3" w14:textId="77777777" w:rsidR="004E2896" w:rsidRPr="000A7AE8" w:rsidRDefault="004E2896" w:rsidP="004E2896">
            <w:pPr>
              <w:pStyle w:val="BMSTableText"/>
            </w:pPr>
          </w:p>
        </w:tc>
        <w:tc>
          <w:tcPr>
            <w:tcW w:w="1310" w:type="dxa"/>
            <w:tcBorders>
              <w:top w:val="single" w:sz="4" w:space="0" w:color="auto"/>
            </w:tcBorders>
          </w:tcPr>
          <w:p w14:paraId="56262DDB" w14:textId="77777777" w:rsidR="004E2896" w:rsidRPr="000A7AE8" w:rsidRDefault="004E2896" w:rsidP="004E2896">
            <w:pPr>
              <w:pStyle w:val="BMSTableText"/>
            </w:pPr>
          </w:p>
        </w:tc>
        <w:tc>
          <w:tcPr>
            <w:tcW w:w="1309" w:type="dxa"/>
            <w:tcBorders>
              <w:top w:val="single" w:sz="4" w:space="0" w:color="auto"/>
            </w:tcBorders>
          </w:tcPr>
          <w:p w14:paraId="11BA19AE" w14:textId="77777777" w:rsidR="004E2896" w:rsidRPr="000A7AE8" w:rsidRDefault="004E2896" w:rsidP="004E2896">
            <w:pPr>
              <w:pStyle w:val="BMSTableText"/>
            </w:pPr>
          </w:p>
        </w:tc>
        <w:tc>
          <w:tcPr>
            <w:tcW w:w="1310" w:type="dxa"/>
            <w:tcBorders>
              <w:top w:val="single" w:sz="4" w:space="0" w:color="auto"/>
            </w:tcBorders>
          </w:tcPr>
          <w:p w14:paraId="2B77EA00" w14:textId="77777777" w:rsidR="004E2896" w:rsidRPr="000A7AE8" w:rsidRDefault="004E2896" w:rsidP="004E2896">
            <w:pPr>
              <w:pStyle w:val="BMSTableText"/>
            </w:pPr>
          </w:p>
        </w:tc>
      </w:tr>
      <w:tr w:rsidR="000A7AE8" w:rsidRPr="000A7AE8" w14:paraId="70428727" w14:textId="77777777" w:rsidTr="004E2896">
        <w:tc>
          <w:tcPr>
            <w:tcW w:w="3686" w:type="dxa"/>
          </w:tcPr>
          <w:p w14:paraId="12F9FB2E" w14:textId="77777777" w:rsidR="004E2896" w:rsidRPr="000A7AE8" w:rsidRDefault="004E2896" w:rsidP="004E2896">
            <w:pPr>
              <w:pStyle w:val="BMSTableText"/>
              <w:ind w:left="360"/>
              <w:jc w:val="left"/>
            </w:pPr>
            <w:r w:rsidRPr="000A7AE8">
              <w:t xml:space="preserve">ORENCIA </w:t>
            </w:r>
          </w:p>
        </w:tc>
        <w:tc>
          <w:tcPr>
            <w:tcW w:w="1241" w:type="dxa"/>
          </w:tcPr>
          <w:p w14:paraId="1B25DCC5" w14:textId="77777777" w:rsidR="004E2896" w:rsidRPr="000A7AE8" w:rsidRDefault="004E2896" w:rsidP="004E2896">
            <w:pPr>
              <w:pStyle w:val="BMSTableText"/>
            </w:pPr>
            <w:r w:rsidRPr="000A7AE8">
              <w:t>61.2%</w:t>
            </w:r>
          </w:p>
        </w:tc>
        <w:tc>
          <w:tcPr>
            <w:tcW w:w="1310" w:type="dxa"/>
          </w:tcPr>
          <w:p w14:paraId="169328DE" w14:textId="77777777" w:rsidR="004E2896" w:rsidRPr="000A7AE8" w:rsidRDefault="004E2896" w:rsidP="004E2896">
            <w:pPr>
              <w:pStyle w:val="BMSTableText"/>
            </w:pPr>
            <w:r w:rsidRPr="000A7AE8">
              <w:t>47.3%</w:t>
            </w:r>
          </w:p>
        </w:tc>
        <w:tc>
          <w:tcPr>
            <w:tcW w:w="1309" w:type="dxa"/>
          </w:tcPr>
          <w:p w14:paraId="26938213" w14:textId="77777777" w:rsidR="004E2896" w:rsidRPr="000A7AE8" w:rsidRDefault="004E2896" w:rsidP="004E2896">
            <w:pPr>
              <w:pStyle w:val="BMSTableText"/>
            </w:pPr>
            <w:r w:rsidRPr="000A7AE8">
              <w:t>8.1%</w:t>
            </w:r>
          </w:p>
        </w:tc>
        <w:tc>
          <w:tcPr>
            <w:tcW w:w="1310" w:type="dxa"/>
          </w:tcPr>
          <w:p w14:paraId="03F1D9F0" w14:textId="77777777" w:rsidR="004E2896" w:rsidRPr="000A7AE8" w:rsidRDefault="004E2896" w:rsidP="004E2896">
            <w:pPr>
              <w:pStyle w:val="BMSTableText"/>
            </w:pPr>
            <w:r w:rsidRPr="000A7AE8">
              <w:t>1.9%</w:t>
            </w:r>
          </w:p>
        </w:tc>
      </w:tr>
      <w:tr w:rsidR="000A7AE8" w:rsidRPr="000A7AE8" w14:paraId="16BD3DE8" w14:textId="77777777" w:rsidTr="004E2896">
        <w:tc>
          <w:tcPr>
            <w:tcW w:w="3686" w:type="dxa"/>
          </w:tcPr>
          <w:p w14:paraId="4347E17F" w14:textId="77777777" w:rsidR="004E2896" w:rsidRPr="000A7AE8" w:rsidRDefault="004E2896" w:rsidP="004E2896">
            <w:pPr>
              <w:pStyle w:val="BMSTableText"/>
              <w:ind w:left="360"/>
              <w:jc w:val="left"/>
            </w:pPr>
            <w:r w:rsidRPr="000A7AE8">
              <w:lastRenderedPageBreak/>
              <w:t>Placebo</w:t>
            </w:r>
          </w:p>
        </w:tc>
        <w:tc>
          <w:tcPr>
            <w:tcW w:w="1241" w:type="dxa"/>
          </w:tcPr>
          <w:p w14:paraId="37A2A891" w14:textId="77777777" w:rsidR="004E2896" w:rsidRPr="000A7AE8" w:rsidRDefault="004E2896" w:rsidP="004E2896">
            <w:pPr>
              <w:pStyle w:val="BMSTableText"/>
            </w:pPr>
            <w:r w:rsidRPr="000A7AE8">
              <w:t>51.1%</w:t>
            </w:r>
          </w:p>
        </w:tc>
        <w:tc>
          <w:tcPr>
            <w:tcW w:w="1310" w:type="dxa"/>
          </w:tcPr>
          <w:p w14:paraId="76299DEF" w14:textId="77777777" w:rsidR="004E2896" w:rsidRPr="000A7AE8" w:rsidRDefault="004E2896" w:rsidP="004E2896">
            <w:pPr>
              <w:pStyle w:val="BMSTableText"/>
            </w:pPr>
            <w:r w:rsidRPr="000A7AE8">
              <w:t>42.1%</w:t>
            </w:r>
          </w:p>
        </w:tc>
        <w:tc>
          <w:tcPr>
            <w:tcW w:w="1309" w:type="dxa"/>
          </w:tcPr>
          <w:p w14:paraId="359CE32B" w14:textId="77777777" w:rsidR="004E2896" w:rsidRPr="000A7AE8" w:rsidRDefault="004E2896" w:rsidP="004E2896">
            <w:pPr>
              <w:pStyle w:val="BMSTableText"/>
            </w:pPr>
            <w:r w:rsidRPr="000A7AE8">
              <w:t>9.8%</w:t>
            </w:r>
          </w:p>
        </w:tc>
        <w:tc>
          <w:tcPr>
            <w:tcW w:w="1310" w:type="dxa"/>
          </w:tcPr>
          <w:p w14:paraId="5EC3C083" w14:textId="77777777" w:rsidR="004E2896" w:rsidRPr="000A7AE8" w:rsidRDefault="004E2896" w:rsidP="004E2896">
            <w:pPr>
              <w:pStyle w:val="BMSTableText"/>
            </w:pPr>
            <w:r w:rsidRPr="000A7AE8">
              <w:t>0.8%</w:t>
            </w:r>
          </w:p>
        </w:tc>
      </w:tr>
      <w:tr w:rsidR="000A7AE8" w:rsidRPr="000A7AE8" w14:paraId="11029B7E" w14:textId="77777777" w:rsidTr="004E2896">
        <w:tc>
          <w:tcPr>
            <w:tcW w:w="3686" w:type="dxa"/>
          </w:tcPr>
          <w:p w14:paraId="74FC985D" w14:textId="77777777" w:rsidR="004E2896" w:rsidRPr="000A7AE8" w:rsidRDefault="004E2896" w:rsidP="004E2896">
            <w:pPr>
              <w:pStyle w:val="BMSTableText"/>
              <w:jc w:val="left"/>
              <w:rPr>
                <w:b/>
              </w:rPr>
            </w:pPr>
            <w:r w:rsidRPr="000A7AE8">
              <w:rPr>
                <w:b/>
              </w:rPr>
              <w:t>Study III, Inadequate Response to MTX</w:t>
            </w:r>
          </w:p>
        </w:tc>
        <w:tc>
          <w:tcPr>
            <w:tcW w:w="1241" w:type="dxa"/>
          </w:tcPr>
          <w:p w14:paraId="196E12A3" w14:textId="77777777" w:rsidR="004E2896" w:rsidRPr="000A7AE8" w:rsidRDefault="004E2896" w:rsidP="004E2896">
            <w:pPr>
              <w:pStyle w:val="BMSTableText"/>
            </w:pPr>
          </w:p>
        </w:tc>
        <w:tc>
          <w:tcPr>
            <w:tcW w:w="1310" w:type="dxa"/>
          </w:tcPr>
          <w:p w14:paraId="2ECDAB97" w14:textId="77777777" w:rsidR="004E2896" w:rsidRPr="000A7AE8" w:rsidRDefault="004E2896" w:rsidP="004E2896">
            <w:pPr>
              <w:pStyle w:val="BMSTableText"/>
            </w:pPr>
          </w:p>
        </w:tc>
        <w:tc>
          <w:tcPr>
            <w:tcW w:w="1309" w:type="dxa"/>
          </w:tcPr>
          <w:p w14:paraId="233C986C" w14:textId="77777777" w:rsidR="004E2896" w:rsidRPr="000A7AE8" w:rsidRDefault="004E2896" w:rsidP="004E2896">
            <w:pPr>
              <w:pStyle w:val="BMSTableText"/>
            </w:pPr>
          </w:p>
        </w:tc>
        <w:tc>
          <w:tcPr>
            <w:tcW w:w="1310" w:type="dxa"/>
          </w:tcPr>
          <w:p w14:paraId="66B03588" w14:textId="77777777" w:rsidR="004E2896" w:rsidRPr="000A7AE8" w:rsidRDefault="004E2896" w:rsidP="004E2896">
            <w:pPr>
              <w:pStyle w:val="BMSTableText"/>
            </w:pPr>
          </w:p>
        </w:tc>
      </w:tr>
      <w:tr w:rsidR="000A7AE8" w:rsidRPr="000A7AE8" w14:paraId="178C5ACF" w14:textId="77777777" w:rsidTr="004E2896">
        <w:tc>
          <w:tcPr>
            <w:tcW w:w="3686" w:type="dxa"/>
          </w:tcPr>
          <w:p w14:paraId="2C13F8A2" w14:textId="77777777" w:rsidR="004E2896" w:rsidRPr="000A7AE8" w:rsidRDefault="004E2896" w:rsidP="004E2896">
            <w:pPr>
              <w:pStyle w:val="BMSTableText"/>
              <w:ind w:left="360"/>
              <w:jc w:val="left"/>
            </w:pPr>
            <w:r w:rsidRPr="000A7AE8">
              <w:t>ORENCIA</w:t>
            </w:r>
          </w:p>
        </w:tc>
        <w:tc>
          <w:tcPr>
            <w:tcW w:w="1241" w:type="dxa"/>
          </w:tcPr>
          <w:p w14:paraId="153619C0" w14:textId="77777777" w:rsidR="004E2896" w:rsidRPr="000A7AE8" w:rsidRDefault="004E2896" w:rsidP="004E2896">
            <w:pPr>
              <w:pStyle w:val="BMSTableText"/>
            </w:pPr>
            <w:r w:rsidRPr="000A7AE8">
              <w:t>75.1%</w:t>
            </w:r>
          </w:p>
        </w:tc>
        <w:tc>
          <w:tcPr>
            <w:tcW w:w="1310" w:type="dxa"/>
          </w:tcPr>
          <w:p w14:paraId="57868562" w14:textId="77777777" w:rsidR="004E2896" w:rsidRPr="000A7AE8" w:rsidRDefault="004E2896" w:rsidP="004E2896">
            <w:pPr>
              <w:pStyle w:val="BMSTableText"/>
            </w:pPr>
            <w:r w:rsidRPr="000A7AE8">
              <w:t>60.3%</w:t>
            </w:r>
          </w:p>
        </w:tc>
        <w:tc>
          <w:tcPr>
            <w:tcW w:w="1309" w:type="dxa"/>
          </w:tcPr>
          <w:p w14:paraId="5EB7E800" w14:textId="77777777" w:rsidR="004E2896" w:rsidRPr="000A7AE8" w:rsidRDefault="004E2896" w:rsidP="004E2896">
            <w:pPr>
              <w:pStyle w:val="BMSTableText"/>
            </w:pPr>
            <w:r w:rsidRPr="000A7AE8">
              <w:t>15.2%</w:t>
            </w:r>
          </w:p>
        </w:tc>
        <w:tc>
          <w:tcPr>
            <w:tcW w:w="1310" w:type="dxa"/>
          </w:tcPr>
          <w:p w14:paraId="504C3B50" w14:textId="77777777" w:rsidR="004E2896" w:rsidRPr="000A7AE8" w:rsidRDefault="004E2896" w:rsidP="004E2896">
            <w:pPr>
              <w:pStyle w:val="BMSTableText"/>
            </w:pPr>
            <w:r w:rsidRPr="000A7AE8">
              <w:t>1.2%</w:t>
            </w:r>
          </w:p>
        </w:tc>
      </w:tr>
      <w:tr w:rsidR="004E2896" w:rsidRPr="000A7AE8" w14:paraId="79F7B6A3" w14:textId="77777777" w:rsidTr="004E2896">
        <w:tc>
          <w:tcPr>
            <w:tcW w:w="3686" w:type="dxa"/>
            <w:tcBorders>
              <w:bottom w:val="double" w:sz="6" w:space="0" w:color="auto"/>
            </w:tcBorders>
          </w:tcPr>
          <w:p w14:paraId="7E847C81" w14:textId="77777777" w:rsidR="004E2896" w:rsidRPr="000A7AE8" w:rsidRDefault="004E2896" w:rsidP="004E2896">
            <w:pPr>
              <w:pStyle w:val="BMSTableText"/>
              <w:ind w:left="360"/>
              <w:jc w:val="left"/>
            </w:pPr>
            <w:r w:rsidRPr="000A7AE8">
              <w:t>Placebo</w:t>
            </w:r>
          </w:p>
        </w:tc>
        <w:tc>
          <w:tcPr>
            <w:tcW w:w="1241" w:type="dxa"/>
            <w:tcBorders>
              <w:bottom w:val="double" w:sz="6" w:space="0" w:color="auto"/>
            </w:tcBorders>
          </w:tcPr>
          <w:p w14:paraId="3BA961BE" w14:textId="77777777" w:rsidR="004E2896" w:rsidRPr="000A7AE8" w:rsidRDefault="004E2896" w:rsidP="004E2896">
            <w:pPr>
              <w:pStyle w:val="BMSTableText"/>
            </w:pPr>
            <w:r w:rsidRPr="000A7AE8">
              <w:t>73.5%</w:t>
            </w:r>
          </w:p>
        </w:tc>
        <w:tc>
          <w:tcPr>
            <w:tcW w:w="1310" w:type="dxa"/>
            <w:tcBorders>
              <w:bottom w:val="double" w:sz="6" w:space="0" w:color="auto"/>
            </w:tcBorders>
          </w:tcPr>
          <w:p w14:paraId="6C1779AE" w14:textId="77777777" w:rsidR="004E2896" w:rsidRPr="000A7AE8" w:rsidRDefault="004E2896" w:rsidP="004E2896">
            <w:pPr>
              <w:pStyle w:val="BMSTableText"/>
            </w:pPr>
            <w:r w:rsidRPr="000A7AE8">
              <w:t>55.3%</w:t>
            </w:r>
          </w:p>
        </w:tc>
        <w:tc>
          <w:tcPr>
            <w:tcW w:w="1309" w:type="dxa"/>
            <w:tcBorders>
              <w:bottom w:val="double" w:sz="6" w:space="0" w:color="auto"/>
            </w:tcBorders>
          </w:tcPr>
          <w:p w14:paraId="5BA4093C" w14:textId="77777777" w:rsidR="004E2896" w:rsidRPr="000A7AE8" w:rsidRDefault="004E2896" w:rsidP="004E2896">
            <w:pPr>
              <w:pStyle w:val="BMSTableText"/>
            </w:pPr>
            <w:r w:rsidRPr="000A7AE8">
              <w:t>12.8%</w:t>
            </w:r>
          </w:p>
        </w:tc>
        <w:tc>
          <w:tcPr>
            <w:tcW w:w="1310" w:type="dxa"/>
            <w:tcBorders>
              <w:bottom w:val="double" w:sz="6" w:space="0" w:color="auto"/>
            </w:tcBorders>
          </w:tcPr>
          <w:p w14:paraId="3F033AE8" w14:textId="77777777" w:rsidR="004E2896" w:rsidRPr="000A7AE8" w:rsidRDefault="004E2896" w:rsidP="004E2896">
            <w:pPr>
              <w:pStyle w:val="BMSTableText"/>
            </w:pPr>
            <w:r w:rsidRPr="000A7AE8">
              <w:t>0.9%</w:t>
            </w:r>
          </w:p>
        </w:tc>
      </w:tr>
    </w:tbl>
    <w:p w14:paraId="7263B4C6" w14:textId="30EB2421" w:rsidR="004E2896" w:rsidRPr="000A7AE8" w:rsidRDefault="004E2896" w:rsidP="000A7AE8">
      <w:pPr>
        <w:spacing w:before="240"/>
      </w:pPr>
      <w:r w:rsidRPr="000A7AE8">
        <w:t>In general, adverse events are more common with biological agents as compared with other types of medications used in the management of rheumatoid arthritis.</w:t>
      </w:r>
    </w:p>
    <w:p w14:paraId="761B05B7" w14:textId="3AFCE2A9" w:rsidR="004E2896" w:rsidRPr="000A7AE8" w:rsidRDefault="004E2896" w:rsidP="002E3927">
      <w:r w:rsidRPr="000A7AE8">
        <w:t xml:space="preserve">Adverse drug reactions greater in frequency (difference &gt;0.2%) in ORENCIA-treated patients compared to placebo patients are listed below by system organ class and frequency (very common </w:t>
      </w:r>
      <w:r w:rsidRPr="000A7AE8">
        <w:sym w:font="Symbol" w:char="F0B3"/>
      </w:r>
      <w:r w:rsidRPr="000A7AE8">
        <w:t xml:space="preserve">10%; common </w:t>
      </w:r>
      <w:r w:rsidRPr="000A7AE8">
        <w:sym w:font="Symbol" w:char="F0B3"/>
      </w:r>
      <w:r w:rsidRPr="000A7AE8">
        <w:t xml:space="preserve">1% </w:t>
      </w:r>
      <w:r w:rsidR="001B7A6D" w:rsidRPr="000A7AE8">
        <w:t xml:space="preserve">- </w:t>
      </w:r>
      <w:r w:rsidRPr="000A7AE8">
        <w:t xml:space="preserve">&lt;10%; uncommon </w:t>
      </w:r>
      <w:r w:rsidRPr="000A7AE8">
        <w:sym w:font="Symbol" w:char="F0B3"/>
      </w:r>
      <w:r w:rsidRPr="000A7AE8">
        <w:t xml:space="preserve">0.1% </w:t>
      </w:r>
      <w:r w:rsidR="001B7A6D" w:rsidRPr="000A7AE8">
        <w:t xml:space="preserve">- </w:t>
      </w:r>
      <w:r w:rsidRPr="000A7AE8">
        <w:t xml:space="preserve">&lt;1%; rare </w:t>
      </w:r>
      <w:r w:rsidRPr="000A7AE8">
        <w:sym w:font="Symbol" w:char="F0B3"/>
      </w:r>
      <w:r w:rsidRPr="000A7AE8">
        <w:t xml:space="preserve">0.01% </w:t>
      </w:r>
      <w:r w:rsidR="001B7A6D" w:rsidRPr="000A7AE8">
        <w:t xml:space="preserve">- </w:t>
      </w:r>
      <w:r w:rsidRPr="000A7AE8">
        <w:t>&lt;0.1%).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0A7AE8" w:rsidRPr="000A7AE8" w14:paraId="0CAE9FA9" w14:textId="77777777" w:rsidTr="00203339">
        <w:tc>
          <w:tcPr>
            <w:tcW w:w="3114" w:type="dxa"/>
          </w:tcPr>
          <w:p w14:paraId="4DEADD21" w14:textId="655D1076" w:rsidR="002E3927" w:rsidRPr="000A7AE8" w:rsidRDefault="002E3927" w:rsidP="00203339">
            <w:pPr>
              <w:pStyle w:val="BMSTableText"/>
              <w:jc w:val="left"/>
              <w:rPr>
                <w:i/>
              </w:rPr>
            </w:pPr>
            <w:bookmarkStart w:id="39" w:name="_Toc1971390"/>
            <w:bookmarkStart w:id="40" w:name="_Toc2059778"/>
            <w:bookmarkStart w:id="41" w:name="_Toc2060987"/>
            <w:bookmarkStart w:id="42" w:name="_Toc2061094"/>
            <w:bookmarkStart w:id="43" w:name="_Toc2061605"/>
            <w:bookmarkStart w:id="44" w:name="_Toc2061669"/>
            <w:bookmarkStart w:id="45" w:name="_Toc2061734"/>
            <w:bookmarkStart w:id="46" w:name="_Toc2062050"/>
            <w:bookmarkStart w:id="47" w:name="_Toc1971389"/>
            <w:bookmarkStart w:id="48" w:name="_Toc2059777"/>
            <w:bookmarkStart w:id="49" w:name="_Toc2060986"/>
            <w:bookmarkStart w:id="50" w:name="_Toc2061093"/>
            <w:bookmarkStart w:id="51" w:name="_Toc2061604"/>
            <w:bookmarkStart w:id="52" w:name="_Toc2061668"/>
            <w:bookmarkStart w:id="53" w:name="_Toc2061733"/>
            <w:bookmarkStart w:id="54" w:name="_Toc2062049"/>
            <w:bookmarkStart w:id="55" w:name="_Toc522071756"/>
            <w:r w:rsidRPr="000A7AE8">
              <w:rPr>
                <w:i/>
              </w:rPr>
              <w:t>Infections and infestations</w:t>
            </w:r>
          </w:p>
        </w:tc>
        <w:tc>
          <w:tcPr>
            <w:tcW w:w="5902" w:type="dxa"/>
          </w:tcPr>
          <w:p w14:paraId="4632247D" w14:textId="77777777" w:rsidR="002E3927" w:rsidRPr="000A7AE8" w:rsidRDefault="002E3927" w:rsidP="00203339">
            <w:pPr>
              <w:pStyle w:val="BMSTableText"/>
            </w:pPr>
          </w:p>
        </w:tc>
      </w:tr>
      <w:tr w:rsidR="000A7AE8" w:rsidRPr="000A7AE8" w14:paraId="63686FE5" w14:textId="77777777" w:rsidTr="00203339">
        <w:tc>
          <w:tcPr>
            <w:tcW w:w="3114" w:type="dxa"/>
          </w:tcPr>
          <w:p w14:paraId="222FDE7A" w14:textId="1CD33E14" w:rsidR="002E3927" w:rsidRPr="000A7AE8" w:rsidRDefault="002E3927" w:rsidP="00203339">
            <w:pPr>
              <w:pStyle w:val="BMSTableText"/>
              <w:ind w:left="360"/>
              <w:jc w:val="left"/>
            </w:pPr>
            <w:r w:rsidRPr="000A7AE8">
              <w:t>Very Common:</w:t>
            </w:r>
          </w:p>
        </w:tc>
        <w:tc>
          <w:tcPr>
            <w:tcW w:w="5902" w:type="dxa"/>
          </w:tcPr>
          <w:p w14:paraId="2176BE1F" w14:textId="371603BE" w:rsidR="002E3927" w:rsidRPr="000A7AE8" w:rsidRDefault="002E3927" w:rsidP="00203339">
            <w:pPr>
              <w:pStyle w:val="BMSTableText"/>
              <w:jc w:val="left"/>
            </w:pPr>
            <w:r w:rsidRPr="000A7AE8">
              <w:t xml:space="preserve">Upper respiratory tract infection (including </w:t>
            </w:r>
            <w:proofErr w:type="spellStart"/>
            <w:r w:rsidRPr="000A7AE8">
              <w:t>tracheitis</w:t>
            </w:r>
            <w:proofErr w:type="spellEnd"/>
            <w:r w:rsidRPr="000A7AE8">
              <w:t xml:space="preserve">, </w:t>
            </w:r>
            <w:proofErr w:type="spellStart"/>
            <w:r w:rsidRPr="000A7AE8">
              <w:t>nasopharyngitis</w:t>
            </w:r>
            <w:proofErr w:type="spellEnd"/>
            <w:r w:rsidRPr="000A7AE8">
              <w:t>)</w:t>
            </w:r>
          </w:p>
        </w:tc>
      </w:tr>
      <w:tr w:rsidR="000A7AE8" w:rsidRPr="000A7AE8" w14:paraId="36457BBA" w14:textId="77777777" w:rsidTr="00203339">
        <w:tc>
          <w:tcPr>
            <w:tcW w:w="3114" w:type="dxa"/>
          </w:tcPr>
          <w:p w14:paraId="38998CB8" w14:textId="5E7DCA64" w:rsidR="002E3927" w:rsidRPr="000A7AE8" w:rsidRDefault="002E3927" w:rsidP="00203339">
            <w:pPr>
              <w:pStyle w:val="BMSTableText"/>
              <w:ind w:left="360"/>
              <w:jc w:val="left"/>
            </w:pPr>
            <w:r w:rsidRPr="000A7AE8">
              <w:t>Common:</w:t>
            </w:r>
          </w:p>
        </w:tc>
        <w:tc>
          <w:tcPr>
            <w:tcW w:w="5902" w:type="dxa"/>
          </w:tcPr>
          <w:p w14:paraId="75B8313A" w14:textId="3B2D7260" w:rsidR="002E3927" w:rsidRPr="000A7AE8" w:rsidRDefault="002E3927" w:rsidP="00203339">
            <w:pPr>
              <w:pStyle w:val="BMSTableText"/>
              <w:jc w:val="left"/>
            </w:pPr>
            <w:r w:rsidRPr="000A7AE8">
              <w:t>Lower respiratory tract infection (including, bronchitis), urinary tract infection, herpes infections (including herpes simplex, oral herpes and herpes zoster), rhinitis</w:t>
            </w:r>
          </w:p>
        </w:tc>
      </w:tr>
      <w:tr w:rsidR="000A7AE8" w:rsidRPr="000A7AE8" w14:paraId="0A0525F8" w14:textId="77777777" w:rsidTr="00203339">
        <w:tc>
          <w:tcPr>
            <w:tcW w:w="3114" w:type="dxa"/>
          </w:tcPr>
          <w:p w14:paraId="22A85993" w14:textId="7B7F290B" w:rsidR="002E3927" w:rsidRPr="000A7AE8" w:rsidRDefault="002E3927" w:rsidP="00203339">
            <w:pPr>
              <w:pStyle w:val="BMSTableText"/>
              <w:ind w:left="360"/>
              <w:jc w:val="left"/>
            </w:pPr>
            <w:r w:rsidRPr="000A7AE8">
              <w:t>Uncommon:</w:t>
            </w:r>
          </w:p>
        </w:tc>
        <w:tc>
          <w:tcPr>
            <w:tcW w:w="5902" w:type="dxa"/>
          </w:tcPr>
          <w:p w14:paraId="2F812F6D" w14:textId="027E46EB" w:rsidR="002E3927" w:rsidRPr="000A7AE8" w:rsidRDefault="002E3927" w:rsidP="00203339">
            <w:pPr>
              <w:pStyle w:val="BMSTableText"/>
              <w:jc w:val="left"/>
            </w:pPr>
            <w:r w:rsidRPr="000A7AE8">
              <w:t xml:space="preserve">Tooth infection, infected skin ulcer, </w:t>
            </w:r>
            <w:proofErr w:type="spellStart"/>
            <w:r w:rsidRPr="000A7AE8">
              <w:t>onchomycosis</w:t>
            </w:r>
            <w:proofErr w:type="spellEnd"/>
          </w:p>
        </w:tc>
      </w:tr>
      <w:tr w:rsidR="000A7AE8" w:rsidRPr="000A7AE8" w14:paraId="4137FABD" w14:textId="77777777" w:rsidTr="00203339">
        <w:tc>
          <w:tcPr>
            <w:tcW w:w="3114" w:type="dxa"/>
          </w:tcPr>
          <w:p w14:paraId="028E4582" w14:textId="6D38B4B9" w:rsidR="002E3927" w:rsidRPr="000A7AE8" w:rsidRDefault="002E3927" w:rsidP="00203339">
            <w:pPr>
              <w:pStyle w:val="BMSTableText"/>
              <w:jc w:val="left"/>
              <w:rPr>
                <w:i/>
              </w:rPr>
            </w:pPr>
            <w:r w:rsidRPr="000A7AE8">
              <w:rPr>
                <w:i/>
              </w:rPr>
              <w:t>Neoplasms benign and malignant (including cysts and polyps)</w:t>
            </w:r>
          </w:p>
        </w:tc>
        <w:tc>
          <w:tcPr>
            <w:tcW w:w="5902" w:type="dxa"/>
          </w:tcPr>
          <w:p w14:paraId="270D385C" w14:textId="77777777" w:rsidR="002E3927" w:rsidRPr="000A7AE8" w:rsidRDefault="002E3927" w:rsidP="00203339">
            <w:pPr>
              <w:pStyle w:val="BMSTableText"/>
              <w:jc w:val="left"/>
            </w:pPr>
          </w:p>
        </w:tc>
      </w:tr>
      <w:tr w:rsidR="000A7AE8" w:rsidRPr="000A7AE8" w14:paraId="3C2546EC" w14:textId="77777777" w:rsidTr="00203339">
        <w:tc>
          <w:tcPr>
            <w:tcW w:w="3114" w:type="dxa"/>
          </w:tcPr>
          <w:p w14:paraId="1B9B02EC" w14:textId="2FB81E1B" w:rsidR="002E3927" w:rsidRPr="000A7AE8" w:rsidRDefault="002E3927" w:rsidP="00203339">
            <w:pPr>
              <w:pStyle w:val="BMSTableText"/>
              <w:ind w:left="360"/>
              <w:jc w:val="left"/>
            </w:pPr>
            <w:r w:rsidRPr="000A7AE8">
              <w:t>Uncommon:</w:t>
            </w:r>
          </w:p>
        </w:tc>
        <w:tc>
          <w:tcPr>
            <w:tcW w:w="5902" w:type="dxa"/>
          </w:tcPr>
          <w:p w14:paraId="24CBDE8B" w14:textId="6379F747" w:rsidR="002E3927" w:rsidRPr="000A7AE8" w:rsidRDefault="002E3927" w:rsidP="00203339">
            <w:pPr>
              <w:pStyle w:val="BMSTableText"/>
              <w:jc w:val="left"/>
            </w:pPr>
            <w:r w:rsidRPr="000A7AE8">
              <w:t>Basal cell carcinoma</w:t>
            </w:r>
          </w:p>
        </w:tc>
      </w:tr>
      <w:tr w:rsidR="000A7AE8" w:rsidRPr="000A7AE8" w14:paraId="6950FD22" w14:textId="77777777" w:rsidTr="00203339">
        <w:tc>
          <w:tcPr>
            <w:tcW w:w="3114" w:type="dxa"/>
          </w:tcPr>
          <w:p w14:paraId="7D1EB00F" w14:textId="32DEC130" w:rsidR="002E3927" w:rsidRPr="000A7AE8" w:rsidRDefault="002E3927" w:rsidP="00203339">
            <w:pPr>
              <w:pStyle w:val="BMSTableText"/>
              <w:jc w:val="left"/>
              <w:rPr>
                <w:i/>
              </w:rPr>
            </w:pPr>
            <w:r w:rsidRPr="000A7AE8">
              <w:rPr>
                <w:i/>
              </w:rPr>
              <w:t>Blood and the lymphatic system disorders</w:t>
            </w:r>
          </w:p>
        </w:tc>
        <w:tc>
          <w:tcPr>
            <w:tcW w:w="5902" w:type="dxa"/>
          </w:tcPr>
          <w:p w14:paraId="1D5537F9" w14:textId="77777777" w:rsidR="002E3927" w:rsidRPr="000A7AE8" w:rsidRDefault="002E3927" w:rsidP="00203339">
            <w:pPr>
              <w:pStyle w:val="BMSTableText"/>
              <w:jc w:val="left"/>
            </w:pPr>
          </w:p>
        </w:tc>
      </w:tr>
      <w:tr w:rsidR="000A7AE8" w:rsidRPr="000A7AE8" w14:paraId="2FC26967" w14:textId="77777777" w:rsidTr="00203339">
        <w:tc>
          <w:tcPr>
            <w:tcW w:w="3114" w:type="dxa"/>
          </w:tcPr>
          <w:p w14:paraId="630BEB99" w14:textId="0D2D0D60" w:rsidR="002E3927" w:rsidRPr="000A7AE8" w:rsidRDefault="002E3927" w:rsidP="00203339">
            <w:pPr>
              <w:pStyle w:val="BMSTableText"/>
              <w:ind w:left="360"/>
              <w:jc w:val="left"/>
            </w:pPr>
            <w:r w:rsidRPr="000A7AE8">
              <w:t>Common:</w:t>
            </w:r>
          </w:p>
        </w:tc>
        <w:tc>
          <w:tcPr>
            <w:tcW w:w="5902" w:type="dxa"/>
          </w:tcPr>
          <w:p w14:paraId="5B5A3C26" w14:textId="75FDCA96" w:rsidR="002E3927" w:rsidRPr="000A7AE8" w:rsidRDefault="002E3927" w:rsidP="00203339">
            <w:pPr>
              <w:pStyle w:val="BMSTableText"/>
              <w:jc w:val="left"/>
            </w:pPr>
            <w:r w:rsidRPr="000A7AE8">
              <w:t>Leukopenia</w:t>
            </w:r>
          </w:p>
        </w:tc>
      </w:tr>
      <w:tr w:rsidR="000A7AE8" w:rsidRPr="000A7AE8" w14:paraId="7F64E093" w14:textId="77777777" w:rsidTr="00203339">
        <w:tc>
          <w:tcPr>
            <w:tcW w:w="3114" w:type="dxa"/>
          </w:tcPr>
          <w:p w14:paraId="18C5DE17" w14:textId="39ECDA9D" w:rsidR="002E3927" w:rsidRPr="000A7AE8" w:rsidRDefault="002E3927" w:rsidP="00203339">
            <w:pPr>
              <w:pStyle w:val="BMSTableText"/>
              <w:ind w:left="360"/>
              <w:jc w:val="left"/>
            </w:pPr>
            <w:r w:rsidRPr="000A7AE8">
              <w:t>Uncommon:</w:t>
            </w:r>
          </w:p>
        </w:tc>
        <w:tc>
          <w:tcPr>
            <w:tcW w:w="5902" w:type="dxa"/>
          </w:tcPr>
          <w:p w14:paraId="79E5C935" w14:textId="37C29600" w:rsidR="002E3927" w:rsidRPr="000A7AE8" w:rsidRDefault="002E3927" w:rsidP="00203339">
            <w:pPr>
              <w:pStyle w:val="BMSTableText"/>
              <w:jc w:val="left"/>
            </w:pPr>
            <w:r w:rsidRPr="000A7AE8">
              <w:t>Thrombocytopenia</w:t>
            </w:r>
          </w:p>
        </w:tc>
      </w:tr>
      <w:tr w:rsidR="000A7AE8" w:rsidRPr="000A7AE8" w14:paraId="337C0DBF" w14:textId="77777777" w:rsidTr="00203339">
        <w:tc>
          <w:tcPr>
            <w:tcW w:w="3114" w:type="dxa"/>
          </w:tcPr>
          <w:p w14:paraId="49585BA2" w14:textId="13CD401E" w:rsidR="002E3927" w:rsidRPr="000A7AE8" w:rsidRDefault="002E3927" w:rsidP="00203339">
            <w:pPr>
              <w:pStyle w:val="BMSTableText"/>
              <w:jc w:val="left"/>
              <w:rPr>
                <w:i/>
              </w:rPr>
            </w:pPr>
            <w:r w:rsidRPr="000A7AE8">
              <w:rPr>
                <w:i/>
              </w:rPr>
              <w:t>Psychiatric disorders</w:t>
            </w:r>
          </w:p>
        </w:tc>
        <w:tc>
          <w:tcPr>
            <w:tcW w:w="5902" w:type="dxa"/>
          </w:tcPr>
          <w:p w14:paraId="5DC0409F" w14:textId="77777777" w:rsidR="002E3927" w:rsidRPr="000A7AE8" w:rsidRDefault="002E3927" w:rsidP="00203339">
            <w:pPr>
              <w:pStyle w:val="BMSTableText"/>
              <w:jc w:val="left"/>
            </w:pPr>
          </w:p>
        </w:tc>
      </w:tr>
      <w:tr w:rsidR="000A7AE8" w:rsidRPr="000A7AE8" w14:paraId="122C03A3" w14:textId="77777777" w:rsidTr="00203339">
        <w:tc>
          <w:tcPr>
            <w:tcW w:w="3114" w:type="dxa"/>
          </w:tcPr>
          <w:p w14:paraId="2B2FDBA1" w14:textId="6EEFF4C2" w:rsidR="002E3927" w:rsidRPr="000A7AE8" w:rsidRDefault="002E3927" w:rsidP="00203339">
            <w:pPr>
              <w:pStyle w:val="BMSTableText"/>
              <w:ind w:left="360"/>
              <w:jc w:val="left"/>
            </w:pPr>
            <w:r w:rsidRPr="000A7AE8">
              <w:t>Uncommon:</w:t>
            </w:r>
          </w:p>
        </w:tc>
        <w:tc>
          <w:tcPr>
            <w:tcW w:w="5902" w:type="dxa"/>
          </w:tcPr>
          <w:p w14:paraId="660969C8" w14:textId="1087E293" w:rsidR="002E3927" w:rsidRPr="000A7AE8" w:rsidRDefault="002E3927" w:rsidP="00203339">
            <w:pPr>
              <w:pStyle w:val="BMSTableText"/>
              <w:jc w:val="left"/>
            </w:pPr>
            <w:r w:rsidRPr="000A7AE8">
              <w:t>Depression, anxiety, sleep disorder (including insomnia)</w:t>
            </w:r>
          </w:p>
        </w:tc>
      </w:tr>
      <w:tr w:rsidR="000A7AE8" w:rsidRPr="000A7AE8" w14:paraId="0B40DA82" w14:textId="77777777" w:rsidTr="00203339">
        <w:tc>
          <w:tcPr>
            <w:tcW w:w="3114" w:type="dxa"/>
          </w:tcPr>
          <w:p w14:paraId="0F1B01BA" w14:textId="5EEE0B64" w:rsidR="002E3927" w:rsidRPr="000A7AE8" w:rsidRDefault="002E3927" w:rsidP="00203339">
            <w:pPr>
              <w:pStyle w:val="BMSTableText"/>
              <w:jc w:val="left"/>
              <w:rPr>
                <w:i/>
              </w:rPr>
            </w:pPr>
            <w:r w:rsidRPr="000A7AE8">
              <w:rPr>
                <w:i/>
              </w:rPr>
              <w:t>Nervous system disorders</w:t>
            </w:r>
          </w:p>
        </w:tc>
        <w:tc>
          <w:tcPr>
            <w:tcW w:w="5902" w:type="dxa"/>
          </w:tcPr>
          <w:p w14:paraId="1A1DFB5D" w14:textId="77777777" w:rsidR="002E3927" w:rsidRPr="000A7AE8" w:rsidRDefault="002E3927" w:rsidP="00203339">
            <w:pPr>
              <w:pStyle w:val="BMSTableText"/>
              <w:jc w:val="left"/>
            </w:pPr>
          </w:p>
        </w:tc>
      </w:tr>
      <w:tr w:rsidR="000A7AE8" w:rsidRPr="000A7AE8" w14:paraId="5725E142" w14:textId="77777777" w:rsidTr="00203339">
        <w:tc>
          <w:tcPr>
            <w:tcW w:w="3114" w:type="dxa"/>
          </w:tcPr>
          <w:p w14:paraId="023E0D91" w14:textId="52FEC06A" w:rsidR="002E3927" w:rsidRPr="000A7AE8" w:rsidRDefault="002E3927" w:rsidP="00203339">
            <w:pPr>
              <w:pStyle w:val="BMSTableText"/>
              <w:ind w:left="360"/>
              <w:jc w:val="left"/>
            </w:pPr>
            <w:r w:rsidRPr="000A7AE8">
              <w:t xml:space="preserve">Common: </w:t>
            </w:r>
          </w:p>
        </w:tc>
        <w:tc>
          <w:tcPr>
            <w:tcW w:w="5902" w:type="dxa"/>
          </w:tcPr>
          <w:p w14:paraId="219B1FF6" w14:textId="4E76F137" w:rsidR="002E3927" w:rsidRPr="000A7AE8" w:rsidRDefault="002E3927" w:rsidP="00203339">
            <w:pPr>
              <w:pStyle w:val="BMSTableText"/>
              <w:jc w:val="left"/>
            </w:pPr>
            <w:r w:rsidRPr="000A7AE8">
              <w:t xml:space="preserve">Headache, dizziness, </w:t>
            </w:r>
            <w:proofErr w:type="spellStart"/>
            <w:r w:rsidRPr="000A7AE8">
              <w:t>paraesthesia</w:t>
            </w:r>
            <w:proofErr w:type="spellEnd"/>
          </w:p>
        </w:tc>
      </w:tr>
      <w:tr w:rsidR="000A7AE8" w:rsidRPr="000A7AE8" w14:paraId="2AA651A3" w14:textId="77777777" w:rsidTr="00203339">
        <w:tc>
          <w:tcPr>
            <w:tcW w:w="3114" w:type="dxa"/>
          </w:tcPr>
          <w:p w14:paraId="5F73EB6E" w14:textId="32D3CD8D" w:rsidR="002E3927" w:rsidRPr="000A7AE8" w:rsidRDefault="002E3927" w:rsidP="00203339">
            <w:pPr>
              <w:pStyle w:val="BMSTableText"/>
              <w:jc w:val="left"/>
              <w:rPr>
                <w:i/>
              </w:rPr>
            </w:pPr>
            <w:r w:rsidRPr="000A7AE8">
              <w:rPr>
                <w:i/>
              </w:rPr>
              <w:t>Eye disorders</w:t>
            </w:r>
          </w:p>
        </w:tc>
        <w:tc>
          <w:tcPr>
            <w:tcW w:w="5902" w:type="dxa"/>
          </w:tcPr>
          <w:p w14:paraId="7D1BB2C6" w14:textId="77777777" w:rsidR="002E3927" w:rsidRPr="000A7AE8" w:rsidRDefault="002E3927" w:rsidP="00203339">
            <w:pPr>
              <w:pStyle w:val="BMSTableText"/>
              <w:jc w:val="left"/>
            </w:pPr>
          </w:p>
        </w:tc>
      </w:tr>
      <w:tr w:rsidR="000A7AE8" w:rsidRPr="000A7AE8" w14:paraId="146D8256" w14:textId="77777777" w:rsidTr="00203339">
        <w:tc>
          <w:tcPr>
            <w:tcW w:w="3114" w:type="dxa"/>
          </w:tcPr>
          <w:p w14:paraId="329FADB4" w14:textId="556AF49E" w:rsidR="002E3927" w:rsidRPr="000A7AE8" w:rsidRDefault="002E3927" w:rsidP="00203339">
            <w:pPr>
              <w:pStyle w:val="BMSTableText"/>
              <w:ind w:left="360"/>
              <w:jc w:val="left"/>
            </w:pPr>
            <w:r w:rsidRPr="000A7AE8">
              <w:t>Common:</w:t>
            </w:r>
          </w:p>
        </w:tc>
        <w:tc>
          <w:tcPr>
            <w:tcW w:w="5902" w:type="dxa"/>
          </w:tcPr>
          <w:p w14:paraId="32D79B4C" w14:textId="0FD40151" w:rsidR="002E3927" w:rsidRPr="000A7AE8" w:rsidRDefault="002E3927" w:rsidP="00203339">
            <w:pPr>
              <w:pStyle w:val="BMSTableText"/>
              <w:jc w:val="left"/>
            </w:pPr>
            <w:r w:rsidRPr="000A7AE8">
              <w:t>Conjunctivitis</w:t>
            </w:r>
          </w:p>
        </w:tc>
      </w:tr>
      <w:tr w:rsidR="000A7AE8" w:rsidRPr="000A7AE8" w14:paraId="43415C8A" w14:textId="77777777" w:rsidTr="00203339">
        <w:tc>
          <w:tcPr>
            <w:tcW w:w="3114" w:type="dxa"/>
          </w:tcPr>
          <w:p w14:paraId="7F2432E1" w14:textId="6F59BE4C" w:rsidR="002E3927" w:rsidRPr="000A7AE8" w:rsidRDefault="002E3927" w:rsidP="00203339">
            <w:pPr>
              <w:pStyle w:val="BMSTableText"/>
              <w:ind w:left="360"/>
              <w:jc w:val="left"/>
            </w:pPr>
            <w:r w:rsidRPr="000A7AE8">
              <w:t>Uncommon:</w:t>
            </w:r>
          </w:p>
        </w:tc>
        <w:tc>
          <w:tcPr>
            <w:tcW w:w="5902" w:type="dxa"/>
          </w:tcPr>
          <w:p w14:paraId="2AC0D894" w14:textId="12E4A13B" w:rsidR="002E3927" w:rsidRPr="000A7AE8" w:rsidRDefault="002E3927" w:rsidP="00203339">
            <w:pPr>
              <w:pStyle w:val="BMSTableText"/>
              <w:jc w:val="left"/>
            </w:pPr>
            <w:r w:rsidRPr="000A7AE8">
              <w:t>Visual acuity reduced</w:t>
            </w:r>
          </w:p>
        </w:tc>
      </w:tr>
      <w:tr w:rsidR="000A7AE8" w:rsidRPr="000A7AE8" w14:paraId="57EF4F19" w14:textId="77777777" w:rsidTr="00203339">
        <w:tc>
          <w:tcPr>
            <w:tcW w:w="3114" w:type="dxa"/>
          </w:tcPr>
          <w:p w14:paraId="64ED7EDA" w14:textId="144E3133" w:rsidR="002E3927" w:rsidRPr="000A7AE8" w:rsidRDefault="002E3927" w:rsidP="00203339">
            <w:pPr>
              <w:pStyle w:val="BMSTableText"/>
              <w:jc w:val="left"/>
              <w:rPr>
                <w:i/>
              </w:rPr>
            </w:pPr>
            <w:r w:rsidRPr="000A7AE8">
              <w:rPr>
                <w:i/>
              </w:rPr>
              <w:t>Ear and labyrinth disorders</w:t>
            </w:r>
          </w:p>
        </w:tc>
        <w:tc>
          <w:tcPr>
            <w:tcW w:w="5902" w:type="dxa"/>
          </w:tcPr>
          <w:p w14:paraId="06286D21" w14:textId="77777777" w:rsidR="002E3927" w:rsidRPr="000A7AE8" w:rsidRDefault="002E3927" w:rsidP="00203339">
            <w:pPr>
              <w:pStyle w:val="BMSTableText"/>
              <w:jc w:val="left"/>
            </w:pPr>
          </w:p>
        </w:tc>
      </w:tr>
      <w:tr w:rsidR="000A7AE8" w:rsidRPr="000A7AE8" w14:paraId="2A6C0D25" w14:textId="77777777" w:rsidTr="00203339">
        <w:tc>
          <w:tcPr>
            <w:tcW w:w="3114" w:type="dxa"/>
          </w:tcPr>
          <w:p w14:paraId="19DCEA7F" w14:textId="6166F3F2" w:rsidR="002E3927" w:rsidRPr="000A7AE8" w:rsidRDefault="002E3927" w:rsidP="00203339">
            <w:pPr>
              <w:pStyle w:val="BMSTableText"/>
              <w:ind w:left="360"/>
              <w:jc w:val="left"/>
            </w:pPr>
            <w:r w:rsidRPr="000A7AE8">
              <w:t>Uncommon:</w:t>
            </w:r>
          </w:p>
        </w:tc>
        <w:tc>
          <w:tcPr>
            <w:tcW w:w="5902" w:type="dxa"/>
          </w:tcPr>
          <w:p w14:paraId="4B1CC987" w14:textId="18FC890B" w:rsidR="002E3927" w:rsidRPr="000A7AE8" w:rsidRDefault="002E3927" w:rsidP="00203339">
            <w:pPr>
              <w:pStyle w:val="BMSTableText"/>
              <w:jc w:val="left"/>
            </w:pPr>
            <w:r w:rsidRPr="000A7AE8">
              <w:t>Vertigo</w:t>
            </w:r>
          </w:p>
        </w:tc>
      </w:tr>
      <w:tr w:rsidR="000A7AE8" w:rsidRPr="000A7AE8" w14:paraId="64B7175F" w14:textId="77777777" w:rsidTr="00203339">
        <w:tc>
          <w:tcPr>
            <w:tcW w:w="3114" w:type="dxa"/>
          </w:tcPr>
          <w:p w14:paraId="3997494B" w14:textId="66B55FD6" w:rsidR="002E3927" w:rsidRPr="000A7AE8" w:rsidRDefault="002E3927" w:rsidP="00203339">
            <w:pPr>
              <w:pStyle w:val="BMSTableText"/>
              <w:jc w:val="left"/>
              <w:rPr>
                <w:i/>
              </w:rPr>
            </w:pPr>
            <w:r w:rsidRPr="000A7AE8">
              <w:rPr>
                <w:i/>
              </w:rPr>
              <w:t>Cardiac disorders</w:t>
            </w:r>
          </w:p>
        </w:tc>
        <w:tc>
          <w:tcPr>
            <w:tcW w:w="5902" w:type="dxa"/>
          </w:tcPr>
          <w:p w14:paraId="7BE39424" w14:textId="77777777" w:rsidR="002E3927" w:rsidRPr="000A7AE8" w:rsidRDefault="002E3927" w:rsidP="00203339">
            <w:pPr>
              <w:pStyle w:val="BMSTableText"/>
              <w:jc w:val="left"/>
            </w:pPr>
          </w:p>
        </w:tc>
      </w:tr>
      <w:tr w:rsidR="000A7AE8" w:rsidRPr="000A7AE8" w14:paraId="1FEF51EB" w14:textId="77777777" w:rsidTr="00203339">
        <w:tc>
          <w:tcPr>
            <w:tcW w:w="3114" w:type="dxa"/>
          </w:tcPr>
          <w:p w14:paraId="37A46206" w14:textId="73C6DA4D" w:rsidR="002E3927" w:rsidRPr="000A7AE8" w:rsidRDefault="002E3927" w:rsidP="00203339">
            <w:pPr>
              <w:pStyle w:val="BMSTableText"/>
              <w:ind w:left="360"/>
              <w:jc w:val="left"/>
            </w:pPr>
            <w:r w:rsidRPr="000A7AE8">
              <w:t>Uncommon:</w:t>
            </w:r>
          </w:p>
        </w:tc>
        <w:tc>
          <w:tcPr>
            <w:tcW w:w="5902" w:type="dxa"/>
          </w:tcPr>
          <w:p w14:paraId="38513F1F" w14:textId="3283BCE4" w:rsidR="002E3927" w:rsidRPr="000A7AE8" w:rsidRDefault="002E3927" w:rsidP="00203339">
            <w:pPr>
              <w:pStyle w:val="BMSTableText"/>
              <w:jc w:val="left"/>
            </w:pPr>
            <w:r w:rsidRPr="000A7AE8">
              <w:t>Tachycardia, bradycardia, palpitations</w:t>
            </w:r>
          </w:p>
        </w:tc>
      </w:tr>
      <w:tr w:rsidR="000A7AE8" w:rsidRPr="000A7AE8" w14:paraId="087EC399" w14:textId="77777777" w:rsidTr="00203339">
        <w:tc>
          <w:tcPr>
            <w:tcW w:w="3114" w:type="dxa"/>
          </w:tcPr>
          <w:p w14:paraId="1386B76A" w14:textId="5BF74461" w:rsidR="002E3927" w:rsidRPr="000A7AE8" w:rsidRDefault="002E3927" w:rsidP="00203339">
            <w:pPr>
              <w:pStyle w:val="BMSTableText"/>
              <w:jc w:val="left"/>
              <w:rPr>
                <w:i/>
              </w:rPr>
            </w:pPr>
            <w:r w:rsidRPr="000A7AE8">
              <w:rPr>
                <w:i/>
              </w:rPr>
              <w:t>Vascular disorders</w:t>
            </w:r>
          </w:p>
        </w:tc>
        <w:tc>
          <w:tcPr>
            <w:tcW w:w="5902" w:type="dxa"/>
          </w:tcPr>
          <w:p w14:paraId="32372477" w14:textId="77777777" w:rsidR="002E3927" w:rsidRPr="000A7AE8" w:rsidRDefault="002E3927" w:rsidP="00203339">
            <w:pPr>
              <w:pStyle w:val="BMSTableText"/>
              <w:jc w:val="left"/>
            </w:pPr>
          </w:p>
        </w:tc>
      </w:tr>
      <w:tr w:rsidR="000A7AE8" w:rsidRPr="000A7AE8" w14:paraId="62139574" w14:textId="77777777" w:rsidTr="00203339">
        <w:tc>
          <w:tcPr>
            <w:tcW w:w="3114" w:type="dxa"/>
          </w:tcPr>
          <w:p w14:paraId="7E1F47AF" w14:textId="6077EEF7" w:rsidR="002E3927" w:rsidRPr="000A7AE8" w:rsidRDefault="002E3927" w:rsidP="00203339">
            <w:pPr>
              <w:pStyle w:val="BMSTableText"/>
              <w:ind w:left="360"/>
              <w:jc w:val="left"/>
            </w:pPr>
            <w:r w:rsidRPr="000A7AE8">
              <w:t>Common:</w:t>
            </w:r>
          </w:p>
        </w:tc>
        <w:tc>
          <w:tcPr>
            <w:tcW w:w="5902" w:type="dxa"/>
          </w:tcPr>
          <w:p w14:paraId="110E0647" w14:textId="1A02FC8A" w:rsidR="002E3927" w:rsidRPr="000A7AE8" w:rsidRDefault="002E3927" w:rsidP="00203339">
            <w:pPr>
              <w:pStyle w:val="BMSTableText"/>
              <w:jc w:val="left"/>
            </w:pPr>
            <w:r w:rsidRPr="000A7AE8">
              <w:t>Hypertension, flushing</w:t>
            </w:r>
          </w:p>
        </w:tc>
      </w:tr>
      <w:tr w:rsidR="000A7AE8" w:rsidRPr="000A7AE8" w14:paraId="63D9DF5D" w14:textId="77777777" w:rsidTr="00203339">
        <w:tc>
          <w:tcPr>
            <w:tcW w:w="3114" w:type="dxa"/>
          </w:tcPr>
          <w:p w14:paraId="7615691E" w14:textId="4FB0CBAC" w:rsidR="002E3927" w:rsidRPr="000A7AE8" w:rsidRDefault="002E3927" w:rsidP="00203339">
            <w:pPr>
              <w:pStyle w:val="BMSTableText"/>
              <w:ind w:left="360"/>
              <w:jc w:val="left"/>
            </w:pPr>
            <w:r w:rsidRPr="000A7AE8">
              <w:lastRenderedPageBreak/>
              <w:t>Uncommon:</w:t>
            </w:r>
          </w:p>
        </w:tc>
        <w:tc>
          <w:tcPr>
            <w:tcW w:w="5902" w:type="dxa"/>
          </w:tcPr>
          <w:p w14:paraId="2E6E986A" w14:textId="6FF5A627" w:rsidR="002E3927" w:rsidRPr="000A7AE8" w:rsidRDefault="002E3927" w:rsidP="00203339">
            <w:pPr>
              <w:pStyle w:val="BMSTableText"/>
              <w:jc w:val="left"/>
            </w:pPr>
            <w:r w:rsidRPr="000A7AE8">
              <w:t>Hypotension, hot flush</w:t>
            </w:r>
          </w:p>
        </w:tc>
      </w:tr>
      <w:tr w:rsidR="000A7AE8" w:rsidRPr="000A7AE8" w14:paraId="7D6E6DBC" w14:textId="77777777" w:rsidTr="00203339">
        <w:tc>
          <w:tcPr>
            <w:tcW w:w="3114" w:type="dxa"/>
          </w:tcPr>
          <w:p w14:paraId="2DC05CF8" w14:textId="4EFA93BF" w:rsidR="002E3927" w:rsidRPr="000A7AE8" w:rsidRDefault="002E3927" w:rsidP="00203339">
            <w:pPr>
              <w:pStyle w:val="BMSTableText"/>
              <w:jc w:val="left"/>
              <w:rPr>
                <w:i/>
              </w:rPr>
            </w:pPr>
            <w:r w:rsidRPr="000A7AE8">
              <w:rPr>
                <w:i/>
              </w:rPr>
              <w:t>Respiratory, thoracic and mediastinal disorders</w:t>
            </w:r>
          </w:p>
        </w:tc>
        <w:tc>
          <w:tcPr>
            <w:tcW w:w="5902" w:type="dxa"/>
          </w:tcPr>
          <w:p w14:paraId="47BB746E" w14:textId="77777777" w:rsidR="002E3927" w:rsidRPr="000A7AE8" w:rsidRDefault="002E3927" w:rsidP="00203339">
            <w:pPr>
              <w:pStyle w:val="BMSTableText"/>
              <w:jc w:val="left"/>
            </w:pPr>
          </w:p>
        </w:tc>
      </w:tr>
      <w:tr w:rsidR="000A7AE8" w:rsidRPr="000A7AE8" w14:paraId="355A2891" w14:textId="77777777" w:rsidTr="00203339">
        <w:tc>
          <w:tcPr>
            <w:tcW w:w="3114" w:type="dxa"/>
          </w:tcPr>
          <w:p w14:paraId="4A280DEF" w14:textId="0DAC41F7" w:rsidR="002E3927" w:rsidRPr="000A7AE8" w:rsidRDefault="002E3927" w:rsidP="00203339">
            <w:pPr>
              <w:pStyle w:val="BMSTableText"/>
              <w:ind w:left="360"/>
              <w:jc w:val="left"/>
            </w:pPr>
            <w:r w:rsidRPr="000A7AE8">
              <w:t xml:space="preserve">Common: </w:t>
            </w:r>
            <w:r w:rsidRPr="000A7AE8">
              <w:tab/>
            </w:r>
          </w:p>
        </w:tc>
        <w:tc>
          <w:tcPr>
            <w:tcW w:w="5902" w:type="dxa"/>
          </w:tcPr>
          <w:p w14:paraId="7DAB72A5" w14:textId="670C4C74" w:rsidR="002E3927" w:rsidRPr="000A7AE8" w:rsidRDefault="002E3927" w:rsidP="00203339">
            <w:pPr>
              <w:pStyle w:val="BMSTableText"/>
              <w:jc w:val="left"/>
            </w:pPr>
            <w:r w:rsidRPr="000A7AE8">
              <w:t>Cough</w:t>
            </w:r>
          </w:p>
        </w:tc>
      </w:tr>
      <w:tr w:rsidR="000A7AE8" w:rsidRPr="000A7AE8" w14:paraId="52A25209" w14:textId="77777777" w:rsidTr="00203339">
        <w:tc>
          <w:tcPr>
            <w:tcW w:w="3114" w:type="dxa"/>
          </w:tcPr>
          <w:p w14:paraId="7D9F149A" w14:textId="6E649998" w:rsidR="002E3927" w:rsidRPr="000A7AE8" w:rsidRDefault="002E3927" w:rsidP="00203339">
            <w:pPr>
              <w:pStyle w:val="BMSTableText"/>
              <w:jc w:val="left"/>
              <w:rPr>
                <w:i/>
              </w:rPr>
            </w:pPr>
            <w:r w:rsidRPr="000A7AE8">
              <w:rPr>
                <w:i/>
              </w:rPr>
              <w:t>Gastrointestinal disorders</w:t>
            </w:r>
          </w:p>
        </w:tc>
        <w:tc>
          <w:tcPr>
            <w:tcW w:w="5902" w:type="dxa"/>
          </w:tcPr>
          <w:p w14:paraId="5AE65D9E" w14:textId="77777777" w:rsidR="002E3927" w:rsidRPr="000A7AE8" w:rsidRDefault="002E3927" w:rsidP="00203339">
            <w:pPr>
              <w:pStyle w:val="BMSTableText"/>
              <w:jc w:val="left"/>
            </w:pPr>
          </w:p>
        </w:tc>
      </w:tr>
      <w:tr w:rsidR="000A7AE8" w:rsidRPr="000A7AE8" w14:paraId="0FAAE3AA" w14:textId="77777777" w:rsidTr="00203339">
        <w:tc>
          <w:tcPr>
            <w:tcW w:w="3114" w:type="dxa"/>
          </w:tcPr>
          <w:p w14:paraId="3AF31AB5" w14:textId="0AF1CD2D" w:rsidR="002E3927" w:rsidRPr="000A7AE8" w:rsidRDefault="002E3927" w:rsidP="00203339">
            <w:pPr>
              <w:pStyle w:val="BMSTableText"/>
              <w:ind w:left="360"/>
              <w:jc w:val="left"/>
            </w:pPr>
            <w:r w:rsidRPr="000A7AE8">
              <w:t>Common:</w:t>
            </w:r>
          </w:p>
        </w:tc>
        <w:tc>
          <w:tcPr>
            <w:tcW w:w="5902" w:type="dxa"/>
          </w:tcPr>
          <w:p w14:paraId="1B5464C7" w14:textId="1D91C9DC" w:rsidR="002E3927" w:rsidRPr="000A7AE8" w:rsidRDefault="002E3927" w:rsidP="00203339">
            <w:pPr>
              <w:pStyle w:val="BMSTableText"/>
              <w:jc w:val="left"/>
            </w:pPr>
            <w:r w:rsidRPr="000A7AE8">
              <w:t xml:space="preserve">Abdominal pain, </w:t>
            </w:r>
            <w:proofErr w:type="spellStart"/>
            <w:r w:rsidRPr="000A7AE8">
              <w:t>diarrhoea</w:t>
            </w:r>
            <w:proofErr w:type="spellEnd"/>
            <w:r w:rsidRPr="000A7AE8">
              <w:t xml:space="preserve">, nausea, dyspepsia, mouth ulceration, </w:t>
            </w:r>
            <w:proofErr w:type="spellStart"/>
            <w:r w:rsidRPr="000A7AE8">
              <w:t>aphthous</w:t>
            </w:r>
            <w:proofErr w:type="spellEnd"/>
            <w:r w:rsidRPr="000A7AE8">
              <w:t xml:space="preserve"> stomatitis</w:t>
            </w:r>
          </w:p>
        </w:tc>
      </w:tr>
      <w:tr w:rsidR="000A7AE8" w:rsidRPr="000A7AE8" w14:paraId="6A88BEAE" w14:textId="77777777" w:rsidTr="00203339">
        <w:tc>
          <w:tcPr>
            <w:tcW w:w="3114" w:type="dxa"/>
          </w:tcPr>
          <w:p w14:paraId="7D38F397" w14:textId="687C7EA2" w:rsidR="002E3927" w:rsidRPr="000A7AE8" w:rsidRDefault="002E3927" w:rsidP="00203339">
            <w:pPr>
              <w:pStyle w:val="BMSTableText"/>
              <w:ind w:left="360"/>
              <w:jc w:val="left"/>
            </w:pPr>
            <w:r w:rsidRPr="000A7AE8">
              <w:t>Uncommon:</w:t>
            </w:r>
          </w:p>
        </w:tc>
        <w:tc>
          <w:tcPr>
            <w:tcW w:w="5902" w:type="dxa"/>
          </w:tcPr>
          <w:p w14:paraId="0CE5E4D7" w14:textId="4D4A3705" w:rsidR="002E3927" w:rsidRPr="000A7AE8" w:rsidRDefault="002E3927" w:rsidP="00203339">
            <w:pPr>
              <w:pStyle w:val="BMSTableText"/>
              <w:jc w:val="left"/>
            </w:pPr>
            <w:r w:rsidRPr="000A7AE8">
              <w:t>Gastritis</w:t>
            </w:r>
          </w:p>
        </w:tc>
      </w:tr>
      <w:tr w:rsidR="000A7AE8" w:rsidRPr="000A7AE8" w14:paraId="6EB2DB00" w14:textId="77777777" w:rsidTr="00203339">
        <w:tc>
          <w:tcPr>
            <w:tcW w:w="3114" w:type="dxa"/>
          </w:tcPr>
          <w:p w14:paraId="33C9333C" w14:textId="7CAAA829" w:rsidR="002E3927" w:rsidRPr="000A7AE8" w:rsidRDefault="002E3927" w:rsidP="00203339">
            <w:pPr>
              <w:pStyle w:val="BMSTableText"/>
              <w:jc w:val="left"/>
              <w:rPr>
                <w:i/>
              </w:rPr>
            </w:pPr>
            <w:r w:rsidRPr="000A7AE8">
              <w:rPr>
                <w:i/>
              </w:rPr>
              <w:t>Skin and subcutaneous tissue disorders</w:t>
            </w:r>
          </w:p>
        </w:tc>
        <w:tc>
          <w:tcPr>
            <w:tcW w:w="5902" w:type="dxa"/>
          </w:tcPr>
          <w:p w14:paraId="48BF51D3" w14:textId="77777777" w:rsidR="002E3927" w:rsidRPr="000A7AE8" w:rsidRDefault="002E3927" w:rsidP="00203339">
            <w:pPr>
              <w:pStyle w:val="BMSTableText"/>
              <w:jc w:val="left"/>
            </w:pPr>
          </w:p>
        </w:tc>
      </w:tr>
      <w:tr w:rsidR="000A7AE8" w:rsidRPr="000A7AE8" w14:paraId="3F7CE1A1" w14:textId="77777777" w:rsidTr="00203339">
        <w:tc>
          <w:tcPr>
            <w:tcW w:w="3114" w:type="dxa"/>
          </w:tcPr>
          <w:p w14:paraId="5C2E992B" w14:textId="300D26BA" w:rsidR="002E3927" w:rsidRPr="000A7AE8" w:rsidRDefault="00203339" w:rsidP="00203339">
            <w:pPr>
              <w:pStyle w:val="BMSTableText"/>
              <w:ind w:left="360"/>
              <w:jc w:val="left"/>
            </w:pPr>
            <w:r w:rsidRPr="000A7AE8">
              <w:t xml:space="preserve">Common: </w:t>
            </w:r>
          </w:p>
        </w:tc>
        <w:tc>
          <w:tcPr>
            <w:tcW w:w="5902" w:type="dxa"/>
          </w:tcPr>
          <w:p w14:paraId="02B6F25F" w14:textId="1DE4CD2A" w:rsidR="002E3927" w:rsidRPr="000A7AE8" w:rsidRDefault="00203339" w:rsidP="00203339">
            <w:pPr>
              <w:pStyle w:val="BMSTableText"/>
              <w:jc w:val="left"/>
            </w:pPr>
            <w:r w:rsidRPr="000A7AE8">
              <w:t>Rash (including dermatitis), alopecia</w:t>
            </w:r>
          </w:p>
        </w:tc>
      </w:tr>
      <w:tr w:rsidR="000A7AE8" w:rsidRPr="000A7AE8" w14:paraId="04E80540" w14:textId="77777777" w:rsidTr="00203339">
        <w:tc>
          <w:tcPr>
            <w:tcW w:w="3114" w:type="dxa"/>
          </w:tcPr>
          <w:p w14:paraId="03DF481B" w14:textId="6B488AAC" w:rsidR="002E3927" w:rsidRPr="000A7AE8" w:rsidRDefault="00203339" w:rsidP="00203339">
            <w:pPr>
              <w:pStyle w:val="BMSTableText"/>
              <w:ind w:left="360"/>
              <w:jc w:val="left"/>
            </w:pPr>
            <w:r w:rsidRPr="000A7AE8">
              <w:t>Uncommon:</w:t>
            </w:r>
          </w:p>
        </w:tc>
        <w:tc>
          <w:tcPr>
            <w:tcW w:w="5902" w:type="dxa"/>
          </w:tcPr>
          <w:p w14:paraId="27DDD959" w14:textId="68914C35" w:rsidR="002E3927" w:rsidRPr="000A7AE8" w:rsidRDefault="00203339" w:rsidP="00203339">
            <w:pPr>
              <w:pStyle w:val="BMSTableText"/>
              <w:jc w:val="left"/>
            </w:pPr>
            <w:r w:rsidRPr="000A7AE8">
              <w:t>Increased tendency to bruise, dry skin, hyperhidrosis, erythema</w:t>
            </w:r>
          </w:p>
        </w:tc>
      </w:tr>
      <w:tr w:rsidR="000A7AE8" w:rsidRPr="000A7AE8" w14:paraId="48ACA0EF" w14:textId="77777777" w:rsidTr="00203339">
        <w:tc>
          <w:tcPr>
            <w:tcW w:w="3114" w:type="dxa"/>
          </w:tcPr>
          <w:p w14:paraId="6A88B37D" w14:textId="0C7D75E5" w:rsidR="002E3927" w:rsidRPr="000A7AE8" w:rsidRDefault="00203339" w:rsidP="00203339">
            <w:pPr>
              <w:pStyle w:val="BMSTableText"/>
              <w:jc w:val="left"/>
              <w:rPr>
                <w:i/>
              </w:rPr>
            </w:pPr>
            <w:r w:rsidRPr="000A7AE8">
              <w:rPr>
                <w:i/>
              </w:rPr>
              <w:t>Musculoskeletal, connective tissue and bone disorders</w:t>
            </w:r>
          </w:p>
        </w:tc>
        <w:tc>
          <w:tcPr>
            <w:tcW w:w="5902" w:type="dxa"/>
          </w:tcPr>
          <w:p w14:paraId="195ABA5F" w14:textId="77777777" w:rsidR="002E3927" w:rsidRPr="000A7AE8" w:rsidRDefault="002E3927" w:rsidP="00203339">
            <w:pPr>
              <w:pStyle w:val="BMSTableText"/>
              <w:jc w:val="left"/>
            </w:pPr>
          </w:p>
        </w:tc>
      </w:tr>
      <w:tr w:rsidR="000A7AE8" w:rsidRPr="000A7AE8" w14:paraId="1F4D449E" w14:textId="77777777" w:rsidTr="00203339">
        <w:tc>
          <w:tcPr>
            <w:tcW w:w="3114" w:type="dxa"/>
          </w:tcPr>
          <w:p w14:paraId="074D03F4" w14:textId="5A62F5AC" w:rsidR="002E3927" w:rsidRPr="000A7AE8" w:rsidRDefault="00203339" w:rsidP="00203339">
            <w:pPr>
              <w:pStyle w:val="BMSTableText"/>
              <w:ind w:left="360"/>
              <w:jc w:val="left"/>
            </w:pPr>
            <w:r w:rsidRPr="000A7AE8">
              <w:t>Common:</w:t>
            </w:r>
          </w:p>
        </w:tc>
        <w:tc>
          <w:tcPr>
            <w:tcW w:w="5902" w:type="dxa"/>
          </w:tcPr>
          <w:p w14:paraId="309D5832" w14:textId="7190623E" w:rsidR="002E3927" w:rsidRPr="000A7AE8" w:rsidRDefault="00203339" w:rsidP="00203339">
            <w:pPr>
              <w:pStyle w:val="BMSTableText"/>
              <w:jc w:val="left"/>
            </w:pPr>
            <w:r w:rsidRPr="000A7AE8">
              <w:t>Pain in extremity</w:t>
            </w:r>
          </w:p>
        </w:tc>
      </w:tr>
      <w:tr w:rsidR="000A7AE8" w:rsidRPr="000A7AE8" w14:paraId="415D0AE1" w14:textId="77777777" w:rsidTr="00203339">
        <w:tc>
          <w:tcPr>
            <w:tcW w:w="3114" w:type="dxa"/>
          </w:tcPr>
          <w:p w14:paraId="317E46FA" w14:textId="003337E3" w:rsidR="002E3927" w:rsidRPr="000A7AE8" w:rsidRDefault="00203339" w:rsidP="00203339">
            <w:pPr>
              <w:pStyle w:val="BMSTableText"/>
              <w:ind w:left="360"/>
              <w:jc w:val="left"/>
            </w:pPr>
            <w:r w:rsidRPr="000A7AE8">
              <w:t>Uncommon:</w:t>
            </w:r>
          </w:p>
        </w:tc>
        <w:tc>
          <w:tcPr>
            <w:tcW w:w="5902" w:type="dxa"/>
          </w:tcPr>
          <w:p w14:paraId="5475AC3A" w14:textId="451F49F7" w:rsidR="002E3927" w:rsidRPr="000A7AE8" w:rsidRDefault="00203339" w:rsidP="00203339">
            <w:pPr>
              <w:pStyle w:val="BMSTableText"/>
              <w:jc w:val="left"/>
            </w:pPr>
            <w:r w:rsidRPr="000A7AE8">
              <w:t>Arthralgia</w:t>
            </w:r>
          </w:p>
        </w:tc>
      </w:tr>
      <w:tr w:rsidR="000A7AE8" w:rsidRPr="000A7AE8" w14:paraId="4C2E5624" w14:textId="77777777" w:rsidTr="00203339">
        <w:tc>
          <w:tcPr>
            <w:tcW w:w="3114" w:type="dxa"/>
          </w:tcPr>
          <w:p w14:paraId="6ED43A2B" w14:textId="0B752C3B" w:rsidR="00203339" w:rsidRPr="000A7AE8" w:rsidRDefault="00203339" w:rsidP="00203339">
            <w:pPr>
              <w:pStyle w:val="BMSTableText"/>
              <w:jc w:val="left"/>
              <w:rPr>
                <w:i/>
              </w:rPr>
            </w:pPr>
            <w:r w:rsidRPr="000A7AE8">
              <w:rPr>
                <w:i/>
              </w:rPr>
              <w:t>Reproductive system and breast disorders</w:t>
            </w:r>
          </w:p>
        </w:tc>
        <w:tc>
          <w:tcPr>
            <w:tcW w:w="5902" w:type="dxa"/>
          </w:tcPr>
          <w:p w14:paraId="5EC87B48" w14:textId="77777777" w:rsidR="00203339" w:rsidRPr="000A7AE8" w:rsidRDefault="00203339" w:rsidP="00203339">
            <w:pPr>
              <w:pStyle w:val="BMSTableText"/>
              <w:jc w:val="left"/>
            </w:pPr>
          </w:p>
        </w:tc>
      </w:tr>
      <w:tr w:rsidR="000A7AE8" w:rsidRPr="000A7AE8" w14:paraId="726747B3" w14:textId="77777777" w:rsidTr="00203339">
        <w:tc>
          <w:tcPr>
            <w:tcW w:w="3114" w:type="dxa"/>
          </w:tcPr>
          <w:p w14:paraId="4E64C499" w14:textId="38112670" w:rsidR="00203339" w:rsidRPr="000A7AE8" w:rsidRDefault="00203339" w:rsidP="00203339">
            <w:pPr>
              <w:pStyle w:val="BMSTableText"/>
              <w:ind w:left="360"/>
              <w:jc w:val="left"/>
            </w:pPr>
            <w:r w:rsidRPr="000A7AE8">
              <w:t>Uncommon:</w:t>
            </w:r>
          </w:p>
        </w:tc>
        <w:tc>
          <w:tcPr>
            <w:tcW w:w="5902" w:type="dxa"/>
          </w:tcPr>
          <w:p w14:paraId="0AD6EDA3" w14:textId="01C640FB" w:rsidR="00203339" w:rsidRPr="000A7AE8" w:rsidRDefault="00203339" w:rsidP="00203339">
            <w:pPr>
              <w:pStyle w:val="BMSTableText"/>
              <w:jc w:val="left"/>
            </w:pPr>
            <w:r w:rsidRPr="000A7AE8">
              <w:t>Amenorrhea, menorrhagia</w:t>
            </w:r>
          </w:p>
        </w:tc>
      </w:tr>
      <w:tr w:rsidR="000A7AE8" w:rsidRPr="000A7AE8" w14:paraId="415BECF3" w14:textId="77777777" w:rsidTr="00203339">
        <w:tc>
          <w:tcPr>
            <w:tcW w:w="3114" w:type="dxa"/>
          </w:tcPr>
          <w:p w14:paraId="44434C56" w14:textId="52C27CA6" w:rsidR="00203339" w:rsidRPr="000A7AE8" w:rsidRDefault="00203339" w:rsidP="00203339">
            <w:pPr>
              <w:pStyle w:val="BMSTableText"/>
              <w:jc w:val="left"/>
              <w:rPr>
                <w:i/>
              </w:rPr>
            </w:pPr>
            <w:r w:rsidRPr="000A7AE8">
              <w:rPr>
                <w:i/>
              </w:rPr>
              <w:t>General disorders and administration site conditions</w:t>
            </w:r>
          </w:p>
        </w:tc>
        <w:tc>
          <w:tcPr>
            <w:tcW w:w="5902" w:type="dxa"/>
          </w:tcPr>
          <w:p w14:paraId="64D458B4" w14:textId="77777777" w:rsidR="00203339" w:rsidRPr="000A7AE8" w:rsidRDefault="00203339" w:rsidP="00203339">
            <w:pPr>
              <w:pStyle w:val="BMSTableText"/>
              <w:jc w:val="left"/>
            </w:pPr>
          </w:p>
        </w:tc>
      </w:tr>
      <w:tr w:rsidR="000A7AE8" w:rsidRPr="000A7AE8" w14:paraId="5220A945" w14:textId="77777777" w:rsidTr="00203339">
        <w:tc>
          <w:tcPr>
            <w:tcW w:w="3114" w:type="dxa"/>
          </w:tcPr>
          <w:p w14:paraId="21F582CC" w14:textId="6E193E6B" w:rsidR="00203339" w:rsidRPr="000A7AE8" w:rsidRDefault="00203339" w:rsidP="00203339">
            <w:pPr>
              <w:pStyle w:val="BMSTableText"/>
              <w:ind w:left="360"/>
              <w:jc w:val="left"/>
            </w:pPr>
            <w:r w:rsidRPr="000A7AE8">
              <w:t xml:space="preserve">Common: </w:t>
            </w:r>
          </w:p>
        </w:tc>
        <w:tc>
          <w:tcPr>
            <w:tcW w:w="5902" w:type="dxa"/>
          </w:tcPr>
          <w:p w14:paraId="62A7958A" w14:textId="067132DE" w:rsidR="00203339" w:rsidRPr="000A7AE8" w:rsidRDefault="00203339" w:rsidP="00203339">
            <w:pPr>
              <w:pStyle w:val="BMSTableText"/>
              <w:jc w:val="left"/>
            </w:pPr>
            <w:r w:rsidRPr="000A7AE8">
              <w:t>Fatigue, asthenia</w:t>
            </w:r>
          </w:p>
        </w:tc>
      </w:tr>
      <w:tr w:rsidR="000A7AE8" w:rsidRPr="000A7AE8" w14:paraId="441A512B" w14:textId="77777777" w:rsidTr="00203339">
        <w:tc>
          <w:tcPr>
            <w:tcW w:w="3114" w:type="dxa"/>
          </w:tcPr>
          <w:p w14:paraId="660BEE3F" w14:textId="03F59D05" w:rsidR="00203339" w:rsidRPr="000A7AE8" w:rsidRDefault="00203339" w:rsidP="00203339">
            <w:pPr>
              <w:pStyle w:val="BMSTableText"/>
              <w:ind w:left="360"/>
              <w:jc w:val="left"/>
            </w:pPr>
            <w:r w:rsidRPr="000A7AE8">
              <w:t>Uncommon:</w:t>
            </w:r>
          </w:p>
        </w:tc>
        <w:tc>
          <w:tcPr>
            <w:tcW w:w="5902" w:type="dxa"/>
          </w:tcPr>
          <w:p w14:paraId="72BFD34E" w14:textId="5989A9B6" w:rsidR="00203339" w:rsidRPr="000A7AE8" w:rsidRDefault="00203339" w:rsidP="00203339">
            <w:pPr>
              <w:pStyle w:val="BMSTableText"/>
              <w:jc w:val="left"/>
            </w:pPr>
            <w:r w:rsidRPr="000A7AE8">
              <w:t>Influenza-like illness</w:t>
            </w:r>
          </w:p>
        </w:tc>
      </w:tr>
      <w:tr w:rsidR="000A7AE8" w:rsidRPr="000A7AE8" w14:paraId="5A6DE9EC" w14:textId="77777777" w:rsidTr="00203339">
        <w:tc>
          <w:tcPr>
            <w:tcW w:w="3114" w:type="dxa"/>
          </w:tcPr>
          <w:p w14:paraId="5396E975" w14:textId="53582F3E" w:rsidR="00203339" w:rsidRPr="000A7AE8" w:rsidRDefault="00203339" w:rsidP="00203339">
            <w:pPr>
              <w:pStyle w:val="BMSTableText"/>
              <w:jc w:val="left"/>
              <w:rPr>
                <w:i/>
              </w:rPr>
            </w:pPr>
            <w:r w:rsidRPr="000A7AE8">
              <w:rPr>
                <w:i/>
              </w:rPr>
              <w:t>Investigations</w:t>
            </w:r>
          </w:p>
        </w:tc>
        <w:tc>
          <w:tcPr>
            <w:tcW w:w="5902" w:type="dxa"/>
          </w:tcPr>
          <w:p w14:paraId="5F8708EA" w14:textId="77777777" w:rsidR="00203339" w:rsidRPr="000A7AE8" w:rsidRDefault="00203339" w:rsidP="00203339">
            <w:pPr>
              <w:pStyle w:val="BMSTableText"/>
              <w:jc w:val="left"/>
            </w:pPr>
          </w:p>
        </w:tc>
      </w:tr>
      <w:tr w:rsidR="000A7AE8" w:rsidRPr="000A7AE8" w14:paraId="232CCF0F" w14:textId="77777777" w:rsidTr="00203339">
        <w:tc>
          <w:tcPr>
            <w:tcW w:w="3114" w:type="dxa"/>
          </w:tcPr>
          <w:p w14:paraId="310FC86B" w14:textId="45DC8EC8" w:rsidR="00203339" w:rsidRPr="000A7AE8" w:rsidRDefault="00203339" w:rsidP="00203339">
            <w:pPr>
              <w:pStyle w:val="BMSTableText"/>
              <w:ind w:left="360"/>
              <w:jc w:val="left"/>
            </w:pPr>
            <w:r w:rsidRPr="000A7AE8">
              <w:t>Common:</w:t>
            </w:r>
          </w:p>
        </w:tc>
        <w:tc>
          <w:tcPr>
            <w:tcW w:w="5902" w:type="dxa"/>
          </w:tcPr>
          <w:p w14:paraId="458890EE" w14:textId="67C67409" w:rsidR="00203339" w:rsidRPr="000A7AE8" w:rsidRDefault="00203339" w:rsidP="00203339">
            <w:pPr>
              <w:pStyle w:val="BMSTableText"/>
              <w:jc w:val="left"/>
            </w:pPr>
            <w:r w:rsidRPr="000A7AE8">
              <w:t>Blood pressure increased, liver function test abnormal (including transaminases increased)</w:t>
            </w:r>
          </w:p>
        </w:tc>
      </w:tr>
      <w:tr w:rsidR="000A7AE8" w:rsidRPr="000A7AE8" w14:paraId="573765F1" w14:textId="77777777" w:rsidTr="00203339">
        <w:tc>
          <w:tcPr>
            <w:tcW w:w="3114" w:type="dxa"/>
          </w:tcPr>
          <w:p w14:paraId="5BC66A80" w14:textId="7FB2BB65" w:rsidR="00203339" w:rsidRPr="000A7AE8" w:rsidRDefault="00203339" w:rsidP="00203339">
            <w:pPr>
              <w:pStyle w:val="BMSTableText"/>
              <w:ind w:left="360"/>
              <w:jc w:val="left"/>
            </w:pPr>
            <w:r w:rsidRPr="000A7AE8">
              <w:t>Uncommon:</w:t>
            </w:r>
          </w:p>
        </w:tc>
        <w:tc>
          <w:tcPr>
            <w:tcW w:w="5902" w:type="dxa"/>
          </w:tcPr>
          <w:p w14:paraId="65F08551" w14:textId="7AA1506E" w:rsidR="00203339" w:rsidRPr="000A7AE8" w:rsidRDefault="00203339" w:rsidP="00203339">
            <w:pPr>
              <w:pStyle w:val="BMSTableText"/>
              <w:jc w:val="left"/>
            </w:pPr>
            <w:r w:rsidRPr="000A7AE8">
              <w:t>Blood pressure decreased, weight increased</w:t>
            </w:r>
          </w:p>
        </w:tc>
      </w:tr>
    </w:tbl>
    <w:p w14:paraId="5B8E89A7" w14:textId="18C67DCC" w:rsidR="004E2896" w:rsidRPr="000A7AE8" w:rsidRDefault="004E2896" w:rsidP="00C02EB7">
      <w:pPr>
        <w:pStyle w:val="Heading4"/>
      </w:pPr>
      <w:bookmarkStart w:id="56" w:name="_Toc96146329"/>
      <w:r w:rsidRPr="000A7AE8">
        <w:t>Infections</w:t>
      </w:r>
      <w:bookmarkEnd w:id="56"/>
    </w:p>
    <w:p w14:paraId="0643BE63" w14:textId="77777777" w:rsidR="004E2896" w:rsidRPr="000A7AE8" w:rsidRDefault="004E2896" w:rsidP="00203339">
      <w:r w:rsidRPr="000A7AE8">
        <w:t xml:space="preserve">In the placebo-controlled trials, infections at least possibly related to treatment were reported in 23.2% of ORENCIA-treated patients and 19.5% of placebo patients. </w:t>
      </w:r>
    </w:p>
    <w:p w14:paraId="6FEB92F6" w14:textId="114086FC" w:rsidR="004E2896" w:rsidRPr="000A7AE8" w:rsidRDefault="004E2896" w:rsidP="00203339">
      <w:pPr>
        <w:rPr>
          <w:rFonts w:cs="Times New Roman"/>
        </w:rPr>
      </w:pPr>
      <w:r w:rsidRPr="000A7AE8">
        <w:rPr>
          <w:rFonts w:cs="Times New Roman"/>
        </w:rPr>
        <w:t xml:space="preserve">AEs reported in patients treated by </w:t>
      </w:r>
      <w:proofErr w:type="spellStart"/>
      <w:r w:rsidRPr="000A7AE8">
        <w:rPr>
          <w:rFonts w:cs="Times New Roman"/>
        </w:rPr>
        <w:t>abatacept</w:t>
      </w:r>
      <w:proofErr w:type="spellEnd"/>
      <w:r w:rsidRPr="000A7AE8">
        <w:rPr>
          <w:rFonts w:cs="Times New Roman"/>
        </w:rPr>
        <w:t xml:space="preserve"> intravenous or subcutaneous which did not occur with an excess incidence (i.e. the difference was not &gt;0.2%) over placebo but were considered to be medically relevant based on the overall clinical experience included sinusitis (common), Pelvic Inflammatory Disease (uncommon) and </w:t>
      </w:r>
      <w:proofErr w:type="spellStart"/>
      <w:r w:rsidRPr="000A7AE8">
        <w:rPr>
          <w:rFonts w:cs="Times New Roman"/>
        </w:rPr>
        <w:t>urosepsis</w:t>
      </w:r>
      <w:proofErr w:type="spellEnd"/>
      <w:r w:rsidRPr="000A7AE8">
        <w:rPr>
          <w:rFonts w:cs="Times New Roman"/>
        </w:rPr>
        <w:t xml:space="preserve"> (uncommon).</w:t>
      </w:r>
    </w:p>
    <w:p w14:paraId="3B71CDA5" w14:textId="73610F66" w:rsidR="004E2896" w:rsidRPr="000A7AE8" w:rsidRDefault="004E2896" w:rsidP="00203339">
      <w:r w:rsidRPr="000A7AE8">
        <w:t xml:space="preserve">Serious infections at least possibly related to treatment were reported in 1.8% of ORENCIA-treated patients and 1.0% of placebo patients. The most frequent (0.1-0.3%) serious infections at least possibly related to treatment reported with ORENCIA were pneumonia, cellulitis, localized infection, urinary tract infection, bronchitis, diverticulitis, and acute pyelonephritis (see </w:t>
      </w:r>
      <w:r w:rsidR="002F045D" w:rsidRPr="000A7AE8">
        <w:t>4.4 Special Warnings and Precautions for Use</w:t>
      </w:r>
      <w:r w:rsidRPr="000A7AE8">
        <w:t>).</w:t>
      </w:r>
    </w:p>
    <w:p w14:paraId="17EB0A89" w14:textId="20DDFD4A" w:rsidR="004E2896" w:rsidRPr="000A7AE8" w:rsidRDefault="004E2896" w:rsidP="00203339">
      <w:pPr>
        <w:rPr>
          <w:bCs/>
        </w:rPr>
      </w:pPr>
      <w:r w:rsidRPr="000A7AE8">
        <w:rPr>
          <w:bCs/>
        </w:rPr>
        <w:t>In double</w:t>
      </w:r>
      <w:r w:rsidR="001B7A6D" w:rsidRPr="000A7AE8">
        <w:rPr>
          <w:bCs/>
        </w:rPr>
        <w:t>-</w:t>
      </w:r>
      <w:r w:rsidRPr="000A7AE8">
        <w:rPr>
          <w:bCs/>
        </w:rPr>
        <w:t xml:space="preserve">blind and open-label clinical trials in 4,149 patients treated with </w:t>
      </w:r>
      <w:proofErr w:type="spellStart"/>
      <w:r w:rsidRPr="000A7AE8">
        <w:rPr>
          <w:bCs/>
        </w:rPr>
        <w:t>abatacept</w:t>
      </w:r>
      <w:proofErr w:type="spellEnd"/>
      <w:r w:rsidRPr="000A7AE8">
        <w:rPr>
          <w:bCs/>
        </w:rPr>
        <w:t xml:space="preserve"> during 11,658 patient-years, the incidence rate of serious infections was 2.87 per 100 patient-years, and the annualized incidence rate remained stable.</w:t>
      </w:r>
    </w:p>
    <w:p w14:paraId="2AC8D530" w14:textId="77777777" w:rsidR="004E2896" w:rsidRPr="000A7AE8" w:rsidRDefault="004E2896" w:rsidP="00C02EB7">
      <w:pPr>
        <w:pStyle w:val="Heading4"/>
      </w:pPr>
      <w:bookmarkStart w:id="57" w:name="_Toc96146330"/>
      <w:r w:rsidRPr="000A7AE8">
        <w:lastRenderedPageBreak/>
        <w:t>Malignancies</w:t>
      </w:r>
      <w:bookmarkEnd w:id="57"/>
    </w:p>
    <w:p w14:paraId="75A7556C" w14:textId="77777777" w:rsidR="004E2896" w:rsidRPr="000A7AE8" w:rsidRDefault="004E2896" w:rsidP="00203339">
      <w:r w:rsidRPr="000A7AE8">
        <w:t>In placebo-controlled clinical trials, malignancies were reported in 27 of 1955 ORENCIA-treated patients observed during 1687 patient-years, and in 11 of 989 placebo-treated patients observed during 794 patient-years.</w:t>
      </w:r>
    </w:p>
    <w:p w14:paraId="1B4DD30C" w14:textId="7F4AB1DB" w:rsidR="004E2896" w:rsidRPr="000A7AE8" w:rsidRDefault="004E2896" w:rsidP="00203339">
      <w:r w:rsidRPr="000A7AE8">
        <w:rPr>
          <w:lang w:eastAsia="en-AU"/>
        </w:rPr>
        <w:t>In double-blind and open-label clinical trials in 4</w:t>
      </w:r>
      <w:r w:rsidR="001B7A6D" w:rsidRPr="000A7AE8">
        <w:rPr>
          <w:lang w:eastAsia="en-AU"/>
        </w:rPr>
        <w:t>,</w:t>
      </w:r>
      <w:r w:rsidRPr="000A7AE8">
        <w:rPr>
          <w:lang w:eastAsia="en-AU"/>
        </w:rPr>
        <w:t xml:space="preserve">149 patients treated with ORENCIA during  11,658 patient-years, (of which over 1,000 were treated with </w:t>
      </w:r>
      <w:proofErr w:type="spellStart"/>
      <w:r w:rsidRPr="000A7AE8">
        <w:rPr>
          <w:lang w:eastAsia="en-AU"/>
        </w:rPr>
        <w:t>abatacept</w:t>
      </w:r>
      <w:proofErr w:type="spellEnd"/>
      <w:r w:rsidRPr="000A7AE8">
        <w:rPr>
          <w:lang w:eastAsia="en-AU"/>
        </w:rPr>
        <w:t xml:space="preserve"> for over 5 years), the incidence rate of malignancy was 1.41 per 100 patient-years, and the annualised incidence rate remained stable. The incidence rates per 100 patient-years were 0.74 for non-</w:t>
      </w:r>
      <w:proofErr w:type="spellStart"/>
      <w:r w:rsidRPr="000A7AE8">
        <w:rPr>
          <w:lang w:eastAsia="en-AU"/>
        </w:rPr>
        <w:t>melanomatous</w:t>
      </w:r>
      <w:proofErr w:type="spellEnd"/>
      <w:r w:rsidRPr="000A7AE8">
        <w:rPr>
          <w:lang w:eastAsia="en-AU"/>
        </w:rPr>
        <w:t xml:space="preserve"> skin cancer, 0.57 for solid malignancies and 0.13 for hematologic malignancies. The most frequently reported solid organ cancer was lung cancer (0.15 per 100 patient-years), and the most common hematologic malignancy was lymphoma (0.07 per 100 patient-years). The incidence rate did not increase for malignancies overall, by major type (non-</w:t>
      </w:r>
      <w:proofErr w:type="spellStart"/>
      <w:r w:rsidRPr="000A7AE8">
        <w:rPr>
          <w:lang w:eastAsia="en-AU"/>
        </w:rPr>
        <w:t>melanomatous</w:t>
      </w:r>
      <w:proofErr w:type="spellEnd"/>
      <w:r w:rsidRPr="000A7AE8">
        <w:rPr>
          <w:lang w:eastAsia="en-AU"/>
        </w:rPr>
        <w:t xml:space="preserve"> skin cancer, solid </w:t>
      </w:r>
      <w:proofErr w:type="spellStart"/>
      <w:r w:rsidRPr="000A7AE8">
        <w:rPr>
          <w:lang w:eastAsia="en-AU"/>
        </w:rPr>
        <w:t>tumors</w:t>
      </w:r>
      <w:proofErr w:type="spellEnd"/>
      <w:r w:rsidRPr="000A7AE8">
        <w:rPr>
          <w:lang w:eastAsia="en-AU"/>
        </w:rPr>
        <w:t xml:space="preserve">, and hematologic malignancies), or for individual </w:t>
      </w:r>
      <w:proofErr w:type="spellStart"/>
      <w:r w:rsidRPr="000A7AE8">
        <w:rPr>
          <w:lang w:eastAsia="en-AU"/>
        </w:rPr>
        <w:t>tumor</w:t>
      </w:r>
      <w:proofErr w:type="spellEnd"/>
      <w:r w:rsidRPr="000A7AE8">
        <w:rPr>
          <w:lang w:eastAsia="en-AU"/>
        </w:rPr>
        <w:t xml:space="preserve"> types in the double-blind and open</w:t>
      </w:r>
      <w:r w:rsidR="001B7A6D" w:rsidRPr="000A7AE8">
        <w:rPr>
          <w:lang w:eastAsia="en-AU"/>
        </w:rPr>
        <w:t>-</w:t>
      </w:r>
      <w:r w:rsidRPr="000A7AE8">
        <w:rPr>
          <w:lang w:eastAsia="en-AU"/>
        </w:rPr>
        <w:t xml:space="preserve">label period compared to the double-blind experience.  </w:t>
      </w:r>
      <w:r w:rsidRPr="000A7AE8">
        <w:t>The type and pattern of malignancies reported during the open-label period of the trials were similar to those reported for the double-blind experience.</w:t>
      </w:r>
    </w:p>
    <w:p w14:paraId="13A62304" w14:textId="77777777" w:rsidR="004E2896" w:rsidRPr="000A7AE8" w:rsidRDefault="004E2896" w:rsidP="00203339">
      <w:r w:rsidRPr="000A7AE8">
        <w:t>The incidence rate of observed malignancies was consistent with that expected in an age- and gender-matched rheumatoid arthritis population.</w:t>
      </w:r>
    </w:p>
    <w:p w14:paraId="679A1802" w14:textId="14C04113" w:rsidR="004E2896" w:rsidRPr="000A7AE8" w:rsidRDefault="004E2896" w:rsidP="00203339">
      <w:r w:rsidRPr="000A7AE8">
        <w:t>With regard to the general population, the observed and expected malignancies and the standardised incide</w:t>
      </w:r>
      <w:r w:rsidR="00932AF4" w:rsidRPr="000A7AE8">
        <w:t>nce ratios are shown in Table 4</w:t>
      </w:r>
      <w:r w:rsidRPr="000A7AE8">
        <w:t>.</w:t>
      </w:r>
    </w:p>
    <w:tbl>
      <w:tblPr>
        <w:tblW w:w="9092" w:type="dxa"/>
        <w:tblBorders>
          <w:bottom w:val="double" w:sz="6" w:space="0" w:color="auto"/>
        </w:tblBorders>
        <w:tblLayout w:type="fixed"/>
        <w:tblLook w:val="0000" w:firstRow="0" w:lastRow="0" w:firstColumn="0" w:lastColumn="0" w:noHBand="0" w:noVBand="0"/>
      </w:tblPr>
      <w:tblGrid>
        <w:gridCol w:w="3261"/>
        <w:gridCol w:w="1984"/>
        <w:gridCol w:w="1418"/>
        <w:gridCol w:w="2429"/>
      </w:tblGrid>
      <w:tr w:rsidR="000A7AE8" w:rsidRPr="000A7AE8" w14:paraId="68F13370" w14:textId="77777777" w:rsidTr="004E2896">
        <w:trPr>
          <w:tblHeader/>
        </w:trPr>
        <w:tc>
          <w:tcPr>
            <w:tcW w:w="9092" w:type="dxa"/>
            <w:gridSpan w:val="4"/>
            <w:tcBorders>
              <w:bottom w:val="double" w:sz="6" w:space="0" w:color="000000"/>
            </w:tcBorders>
          </w:tcPr>
          <w:p w14:paraId="1D97F07A" w14:textId="4A503914" w:rsidR="004E2896" w:rsidRPr="000A7AE8" w:rsidRDefault="00932AF4" w:rsidP="004E2896">
            <w:pPr>
              <w:pStyle w:val="BMSTableTitle"/>
              <w:rPr>
                <w:sz w:val="22"/>
                <w:szCs w:val="22"/>
              </w:rPr>
            </w:pPr>
            <w:bookmarkStart w:id="58" w:name="Tablex_ObservedandExpectedMalignanc"/>
            <w:bookmarkEnd w:id="58"/>
            <w:r w:rsidRPr="000A7AE8">
              <w:rPr>
                <w:sz w:val="22"/>
                <w:szCs w:val="22"/>
              </w:rPr>
              <w:t>Table 4</w:t>
            </w:r>
            <w:r w:rsidR="004E2896" w:rsidRPr="000A7AE8">
              <w:rPr>
                <w:sz w:val="22"/>
                <w:szCs w:val="22"/>
              </w:rPr>
              <w:t>:</w:t>
            </w:r>
            <w:r w:rsidR="004E2896" w:rsidRPr="000A7AE8">
              <w:rPr>
                <w:sz w:val="22"/>
                <w:szCs w:val="22"/>
              </w:rPr>
              <w:tab/>
              <w:t xml:space="preserve">Observed and Expected Malignancies and </w:t>
            </w:r>
            <w:proofErr w:type="spellStart"/>
            <w:r w:rsidR="004E2896" w:rsidRPr="000A7AE8">
              <w:rPr>
                <w:sz w:val="22"/>
                <w:szCs w:val="22"/>
              </w:rPr>
              <w:t>Standardised</w:t>
            </w:r>
            <w:proofErr w:type="spellEnd"/>
            <w:r w:rsidR="004E2896" w:rsidRPr="000A7AE8">
              <w:rPr>
                <w:sz w:val="22"/>
                <w:szCs w:val="22"/>
              </w:rPr>
              <w:t xml:space="preserve"> Incidence Ratios (SIRs) Compared with the General </w:t>
            </w:r>
            <w:proofErr w:type="spellStart"/>
            <w:r w:rsidR="004E2896" w:rsidRPr="000A7AE8">
              <w:rPr>
                <w:sz w:val="22"/>
                <w:szCs w:val="22"/>
              </w:rPr>
              <w:t>Population</w:t>
            </w:r>
            <w:r w:rsidR="004E2896" w:rsidRPr="000A7AE8">
              <w:rPr>
                <w:rStyle w:val="BMSTableNote"/>
                <w:sz w:val="22"/>
                <w:szCs w:val="22"/>
              </w:rPr>
              <w:t>a</w:t>
            </w:r>
            <w:proofErr w:type="spellEnd"/>
          </w:p>
        </w:tc>
      </w:tr>
      <w:tr w:rsidR="000A7AE8" w:rsidRPr="000A7AE8" w14:paraId="5C7B9F4C" w14:textId="77777777" w:rsidTr="004E2896">
        <w:trPr>
          <w:trHeight w:val="457"/>
          <w:tblHeader/>
        </w:trPr>
        <w:tc>
          <w:tcPr>
            <w:tcW w:w="3261" w:type="dxa"/>
            <w:tcBorders>
              <w:top w:val="double" w:sz="6" w:space="0" w:color="000000"/>
              <w:bottom w:val="single" w:sz="4" w:space="0" w:color="auto"/>
            </w:tcBorders>
          </w:tcPr>
          <w:p w14:paraId="61C7BCE4" w14:textId="77777777" w:rsidR="004E2896" w:rsidRPr="000A7AE8" w:rsidRDefault="004E2896" w:rsidP="004E2896">
            <w:pPr>
              <w:pStyle w:val="BMSTableHeader"/>
            </w:pPr>
            <w:r w:rsidRPr="000A7AE8">
              <w:t>Malignancy</w:t>
            </w:r>
          </w:p>
        </w:tc>
        <w:tc>
          <w:tcPr>
            <w:tcW w:w="1984" w:type="dxa"/>
            <w:tcBorders>
              <w:top w:val="double" w:sz="6" w:space="0" w:color="000000"/>
              <w:bottom w:val="single" w:sz="4" w:space="0" w:color="auto"/>
            </w:tcBorders>
          </w:tcPr>
          <w:p w14:paraId="46A66B44" w14:textId="77777777" w:rsidR="004E2896" w:rsidRPr="000A7AE8" w:rsidRDefault="004E2896" w:rsidP="004E2896">
            <w:pPr>
              <w:pStyle w:val="BMSTableHeader"/>
            </w:pPr>
            <w:proofErr w:type="spellStart"/>
            <w:r w:rsidRPr="000A7AE8">
              <w:t>Observed</w:t>
            </w:r>
            <w:r w:rsidRPr="000A7AE8">
              <w:rPr>
                <w:rStyle w:val="BMSTableNote"/>
                <w:sz w:val="22"/>
                <w:szCs w:val="22"/>
              </w:rPr>
              <w:t>b</w:t>
            </w:r>
            <w:proofErr w:type="spellEnd"/>
            <w:r w:rsidRPr="000A7AE8">
              <w:t xml:space="preserve"> </w:t>
            </w:r>
          </w:p>
        </w:tc>
        <w:tc>
          <w:tcPr>
            <w:tcW w:w="1418" w:type="dxa"/>
            <w:tcBorders>
              <w:top w:val="double" w:sz="6" w:space="0" w:color="000000"/>
              <w:bottom w:val="single" w:sz="4" w:space="0" w:color="auto"/>
            </w:tcBorders>
          </w:tcPr>
          <w:p w14:paraId="796DF3E1" w14:textId="77777777" w:rsidR="004E2896" w:rsidRPr="000A7AE8" w:rsidRDefault="004E2896" w:rsidP="004E2896">
            <w:pPr>
              <w:pStyle w:val="BMSTableHeader"/>
            </w:pPr>
            <w:proofErr w:type="spellStart"/>
            <w:r w:rsidRPr="000A7AE8">
              <w:t>Expected</w:t>
            </w:r>
            <w:r w:rsidRPr="000A7AE8">
              <w:rPr>
                <w:rStyle w:val="BMSTableNote"/>
                <w:sz w:val="22"/>
                <w:szCs w:val="22"/>
              </w:rPr>
              <w:t>c</w:t>
            </w:r>
            <w:proofErr w:type="spellEnd"/>
          </w:p>
        </w:tc>
        <w:tc>
          <w:tcPr>
            <w:tcW w:w="2429" w:type="dxa"/>
            <w:tcBorders>
              <w:top w:val="double" w:sz="6" w:space="0" w:color="000000"/>
              <w:bottom w:val="single" w:sz="4" w:space="0" w:color="auto"/>
            </w:tcBorders>
          </w:tcPr>
          <w:p w14:paraId="3A369EEC" w14:textId="381C00D1" w:rsidR="004E2896" w:rsidRPr="000A7AE8" w:rsidRDefault="004E2896" w:rsidP="004E2896">
            <w:pPr>
              <w:pStyle w:val="BMSTableHeader"/>
              <w:rPr>
                <w:lang w:val="it-IT"/>
              </w:rPr>
            </w:pPr>
            <w:r w:rsidRPr="000A7AE8">
              <w:rPr>
                <w:lang w:val="it-IT"/>
              </w:rPr>
              <w:t>SIR (95% CI)</w:t>
            </w:r>
            <w:r w:rsidRPr="000A7AE8">
              <w:rPr>
                <w:rStyle w:val="BMSTableNote"/>
                <w:sz w:val="22"/>
                <w:szCs w:val="22"/>
                <w:lang w:val="it-IT"/>
              </w:rPr>
              <w:t>d</w:t>
            </w:r>
          </w:p>
        </w:tc>
      </w:tr>
      <w:tr w:rsidR="000A7AE8" w:rsidRPr="000A7AE8" w14:paraId="319ECCF2" w14:textId="77777777" w:rsidTr="004E2896">
        <w:tc>
          <w:tcPr>
            <w:tcW w:w="3261" w:type="dxa"/>
            <w:tcBorders>
              <w:top w:val="single" w:sz="4" w:space="0" w:color="auto"/>
            </w:tcBorders>
          </w:tcPr>
          <w:p w14:paraId="0D9AFF1A" w14:textId="77777777" w:rsidR="004E2896" w:rsidRPr="000A7AE8" w:rsidRDefault="004E2896" w:rsidP="004E2896">
            <w:pPr>
              <w:pStyle w:val="BMSTableText"/>
            </w:pPr>
            <w:r w:rsidRPr="000A7AE8">
              <w:t>Overall Solid Organ Malignancies</w:t>
            </w:r>
          </w:p>
        </w:tc>
        <w:tc>
          <w:tcPr>
            <w:tcW w:w="1984" w:type="dxa"/>
            <w:tcBorders>
              <w:top w:val="single" w:sz="4" w:space="0" w:color="auto"/>
            </w:tcBorders>
          </w:tcPr>
          <w:p w14:paraId="0E394FC8" w14:textId="77777777" w:rsidR="004E2896" w:rsidRPr="000A7AE8" w:rsidRDefault="004E2896" w:rsidP="004E2896">
            <w:pPr>
              <w:pStyle w:val="BMSTableText"/>
            </w:pPr>
            <w:r w:rsidRPr="000A7AE8">
              <w:t>28</w:t>
            </w:r>
          </w:p>
        </w:tc>
        <w:tc>
          <w:tcPr>
            <w:tcW w:w="1418" w:type="dxa"/>
            <w:tcBorders>
              <w:top w:val="single" w:sz="4" w:space="0" w:color="auto"/>
            </w:tcBorders>
          </w:tcPr>
          <w:p w14:paraId="47B65C22" w14:textId="77777777" w:rsidR="004E2896" w:rsidRPr="000A7AE8" w:rsidRDefault="004E2896" w:rsidP="004E2896">
            <w:pPr>
              <w:pStyle w:val="BMSTableText"/>
            </w:pPr>
            <w:r w:rsidRPr="000A7AE8">
              <w:t>37.25</w:t>
            </w:r>
          </w:p>
        </w:tc>
        <w:tc>
          <w:tcPr>
            <w:tcW w:w="2429" w:type="dxa"/>
            <w:tcBorders>
              <w:top w:val="single" w:sz="4" w:space="0" w:color="auto"/>
            </w:tcBorders>
          </w:tcPr>
          <w:p w14:paraId="39F97232" w14:textId="77777777" w:rsidR="004E2896" w:rsidRPr="000A7AE8" w:rsidRDefault="004E2896" w:rsidP="004E2896">
            <w:pPr>
              <w:pStyle w:val="BMSTableText"/>
            </w:pPr>
            <w:r w:rsidRPr="000A7AE8">
              <w:t>0.75 (0.50, 1.09)</w:t>
            </w:r>
          </w:p>
        </w:tc>
      </w:tr>
      <w:tr w:rsidR="000A7AE8" w:rsidRPr="000A7AE8" w14:paraId="4BCE7445" w14:textId="77777777" w:rsidTr="004E2896">
        <w:tc>
          <w:tcPr>
            <w:tcW w:w="3261" w:type="dxa"/>
          </w:tcPr>
          <w:p w14:paraId="34291F28" w14:textId="77777777" w:rsidR="004E2896" w:rsidRPr="000A7AE8" w:rsidRDefault="004E2896" w:rsidP="004E2896">
            <w:pPr>
              <w:pStyle w:val="BMSTableText"/>
            </w:pPr>
            <w:r w:rsidRPr="000A7AE8">
              <w:t>Lung</w:t>
            </w:r>
          </w:p>
        </w:tc>
        <w:tc>
          <w:tcPr>
            <w:tcW w:w="1984" w:type="dxa"/>
          </w:tcPr>
          <w:p w14:paraId="289D00B3" w14:textId="77777777" w:rsidR="004E2896" w:rsidRPr="000A7AE8" w:rsidRDefault="004E2896" w:rsidP="004E2896">
            <w:pPr>
              <w:pStyle w:val="BMSTableText"/>
            </w:pPr>
            <w:r w:rsidRPr="000A7AE8">
              <w:t>11</w:t>
            </w:r>
          </w:p>
        </w:tc>
        <w:tc>
          <w:tcPr>
            <w:tcW w:w="1418" w:type="dxa"/>
          </w:tcPr>
          <w:p w14:paraId="2A308B3A" w14:textId="77777777" w:rsidR="004E2896" w:rsidRPr="000A7AE8" w:rsidRDefault="004E2896" w:rsidP="004E2896">
            <w:pPr>
              <w:pStyle w:val="BMSTableText"/>
            </w:pPr>
            <w:r w:rsidRPr="000A7AE8">
              <w:t>4.88</w:t>
            </w:r>
          </w:p>
        </w:tc>
        <w:tc>
          <w:tcPr>
            <w:tcW w:w="2429" w:type="dxa"/>
          </w:tcPr>
          <w:p w14:paraId="2359EC64" w14:textId="77777777" w:rsidR="004E2896" w:rsidRPr="000A7AE8" w:rsidRDefault="004E2896" w:rsidP="004E2896">
            <w:pPr>
              <w:pStyle w:val="BMSTableText"/>
            </w:pPr>
            <w:r w:rsidRPr="000A7AE8">
              <w:t>2.25 (1.12, 4.03)</w:t>
            </w:r>
          </w:p>
        </w:tc>
      </w:tr>
      <w:tr w:rsidR="000A7AE8" w:rsidRPr="000A7AE8" w14:paraId="2BC89325" w14:textId="77777777" w:rsidTr="004E2896">
        <w:tc>
          <w:tcPr>
            <w:tcW w:w="3261" w:type="dxa"/>
          </w:tcPr>
          <w:p w14:paraId="4A4F60E5" w14:textId="77777777" w:rsidR="004E2896" w:rsidRPr="000A7AE8" w:rsidRDefault="004E2896" w:rsidP="004E2896">
            <w:pPr>
              <w:pStyle w:val="BMSTableText"/>
            </w:pPr>
            <w:r w:rsidRPr="000A7AE8">
              <w:t>Breast</w:t>
            </w:r>
          </w:p>
        </w:tc>
        <w:tc>
          <w:tcPr>
            <w:tcW w:w="1984" w:type="dxa"/>
          </w:tcPr>
          <w:p w14:paraId="62450542" w14:textId="77777777" w:rsidR="004E2896" w:rsidRPr="000A7AE8" w:rsidRDefault="004E2896" w:rsidP="004E2896">
            <w:pPr>
              <w:pStyle w:val="BMSTableText"/>
            </w:pPr>
            <w:r w:rsidRPr="000A7AE8">
              <w:t>4</w:t>
            </w:r>
          </w:p>
        </w:tc>
        <w:tc>
          <w:tcPr>
            <w:tcW w:w="1418" w:type="dxa"/>
          </w:tcPr>
          <w:p w14:paraId="0CE7AD8A" w14:textId="77777777" w:rsidR="004E2896" w:rsidRPr="000A7AE8" w:rsidRDefault="004E2896" w:rsidP="004E2896">
            <w:pPr>
              <w:pStyle w:val="BMSTableText"/>
            </w:pPr>
            <w:r w:rsidRPr="000A7AE8">
              <w:t>9.66</w:t>
            </w:r>
          </w:p>
        </w:tc>
        <w:tc>
          <w:tcPr>
            <w:tcW w:w="2429" w:type="dxa"/>
          </w:tcPr>
          <w:p w14:paraId="2EF94493" w14:textId="77777777" w:rsidR="004E2896" w:rsidRPr="000A7AE8" w:rsidRDefault="004E2896" w:rsidP="004E2896">
            <w:pPr>
              <w:pStyle w:val="BMSTableText"/>
            </w:pPr>
            <w:r w:rsidRPr="000A7AE8">
              <w:t>0.41 (0.11, 1.10)</w:t>
            </w:r>
          </w:p>
        </w:tc>
      </w:tr>
      <w:tr w:rsidR="000A7AE8" w:rsidRPr="000A7AE8" w14:paraId="769C5618" w14:textId="77777777" w:rsidTr="004E2896">
        <w:tc>
          <w:tcPr>
            <w:tcW w:w="3261" w:type="dxa"/>
          </w:tcPr>
          <w:p w14:paraId="48C1C0D1" w14:textId="77777777" w:rsidR="004E2896" w:rsidRPr="000A7AE8" w:rsidRDefault="004E2896" w:rsidP="004E2896">
            <w:pPr>
              <w:pStyle w:val="BMSTableText"/>
            </w:pPr>
            <w:r w:rsidRPr="000A7AE8">
              <w:t>Prostate</w:t>
            </w:r>
          </w:p>
        </w:tc>
        <w:tc>
          <w:tcPr>
            <w:tcW w:w="1984" w:type="dxa"/>
          </w:tcPr>
          <w:p w14:paraId="4C0EEB9D" w14:textId="77777777" w:rsidR="004E2896" w:rsidRPr="000A7AE8" w:rsidRDefault="004E2896" w:rsidP="004E2896">
            <w:pPr>
              <w:pStyle w:val="BMSTableText"/>
            </w:pPr>
            <w:r w:rsidRPr="000A7AE8">
              <w:t>3</w:t>
            </w:r>
          </w:p>
        </w:tc>
        <w:tc>
          <w:tcPr>
            <w:tcW w:w="1418" w:type="dxa"/>
          </w:tcPr>
          <w:p w14:paraId="7371D021" w14:textId="77777777" w:rsidR="004E2896" w:rsidRPr="000A7AE8" w:rsidRDefault="004E2896" w:rsidP="004E2896">
            <w:pPr>
              <w:pStyle w:val="BMSTableText"/>
            </w:pPr>
            <w:r w:rsidRPr="000A7AE8">
              <w:t>3.92</w:t>
            </w:r>
          </w:p>
        </w:tc>
        <w:tc>
          <w:tcPr>
            <w:tcW w:w="2429" w:type="dxa"/>
          </w:tcPr>
          <w:p w14:paraId="704A89FB" w14:textId="77777777" w:rsidR="004E2896" w:rsidRPr="000A7AE8" w:rsidRDefault="004E2896" w:rsidP="004E2896">
            <w:pPr>
              <w:pStyle w:val="BMSTableText"/>
            </w:pPr>
            <w:r w:rsidRPr="000A7AE8">
              <w:t>0.77 (0.15, 2.24)</w:t>
            </w:r>
          </w:p>
        </w:tc>
      </w:tr>
      <w:tr w:rsidR="000A7AE8" w:rsidRPr="000A7AE8" w14:paraId="2F180993" w14:textId="77777777" w:rsidTr="004E2896">
        <w:trPr>
          <w:trHeight w:val="302"/>
        </w:trPr>
        <w:tc>
          <w:tcPr>
            <w:tcW w:w="3261" w:type="dxa"/>
          </w:tcPr>
          <w:p w14:paraId="669FD6EB" w14:textId="77777777" w:rsidR="004E2896" w:rsidRPr="000A7AE8" w:rsidRDefault="004E2896" w:rsidP="004E2896">
            <w:pPr>
              <w:pStyle w:val="BMSTableText"/>
            </w:pPr>
            <w:r w:rsidRPr="000A7AE8">
              <w:t>Colon/Rectum</w:t>
            </w:r>
          </w:p>
        </w:tc>
        <w:tc>
          <w:tcPr>
            <w:tcW w:w="1984" w:type="dxa"/>
          </w:tcPr>
          <w:p w14:paraId="1D04ED7C" w14:textId="77777777" w:rsidR="004E2896" w:rsidRPr="000A7AE8" w:rsidRDefault="004E2896" w:rsidP="004E2896">
            <w:pPr>
              <w:pStyle w:val="BMSTableText"/>
            </w:pPr>
            <w:r w:rsidRPr="000A7AE8">
              <w:t>0</w:t>
            </w:r>
          </w:p>
        </w:tc>
        <w:tc>
          <w:tcPr>
            <w:tcW w:w="1418" w:type="dxa"/>
          </w:tcPr>
          <w:p w14:paraId="6117680A" w14:textId="77777777" w:rsidR="004E2896" w:rsidRPr="000A7AE8" w:rsidRDefault="004E2896" w:rsidP="004E2896">
            <w:pPr>
              <w:pStyle w:val="BMSTableText"/>
            </w:pPr>
            <w:r w:rsidRPr="000A7AE8">
              <w:t>3.54</w:t>
            </w:r>
          </w:p>
        </w:tc>
        <w:tc>
          <w:tcPr>
            <w:tcW w:w="2429" w:type="dxa"/>
          </w:tcPr>
          <w:p w14:paraId="59FF3819" w14:textId="77777777" w:rsidR="004E2896" w:rsidRPr="000A7AE8" w:rsidRDefault="004E2896" w:rsidP="004E2896">
            <w:pPr>
              <w:pStyle w:val="BMSTableText"/>
            </w:pPr>
            <w:r w:rsidRPr="000A7AE8">
              <w:t>0 (0.00, 1.04)</w:t>
            </w:r>
          </w:p>
        </w:tc>
      </w:tr>
      <w:tr w:rsidR="000A7AE8" w:rsidRPr="000A7AE8" w14:paraId="43474BB5" w14:textId="77777777" w:rsidTr="004E2896">
        <w:tc>
          <w:tcPr>
            <w:tcW w:w="3261" w:type="dxa"/>
            <w:tcBorders>
              <w:bottom w:val="double" w:sz="6" w:space="0" w:color="auto"/>
            </w:tcBorders>
          </w:tcPr>
          <w:p w14:paraId="483414DC" w14:textId="77777777" w:rsidR="004E2896" w:rsidRPr="000A7AE8" w:rsidRDefault="004E2896" w:rsidP="004E2896">
            <w:pPr>
              <w:pStyle w:val="BMSTableText"/>
            </w:pPr>
            <w:r w:rsidRPr="000A7AE8">
              <w:t>Lymphoma</w:t>
            </w:r>
          </w:p>
        </w:tc>
        <w:tc>
          <w:tcPr>
            <w:tcW w:w="1984" w:type="dxa"/>
            <w:tcBorders>
              <w:bottom w:val="double" w:sz="6" w:space="0" w:color="auto"/>
            </w:tcBorders>
          </w:tcPr>
          <w:p w14:paraId="11110834" w14:textId="77777777" w:rsidR="004E2896" w:rsidRPr="000A7AE8" w:rsidRDefault="004E2896" w:rsidP="004E2896">
            <w:pPr>
              <w:pStyle w:val="BMSTableText"/>
            </w:pPr>
            <w:r w:rsidRPr="000A7AE8">
              <w:t>4</w:t>
            </w:r>
          </w:p>
        </w:tc>
        <w:tc>
          <w:tcPr>
            <w:tcW w:w="1418" w:type="dxa"/>
            <w:tcBorders>
              <w:bottom w:val="double" w:sz="6" w:space="0" w:color="auto"/>
            </w:tcBorders>
          </w:tcPr>
          <w:p w14:paraId="557462EB" w14:textId="77777777" w:rsidR="004E2896" w:rsidRPr="000A7AE8" w:rsidRDefault="004E2896" w:rsidP="004E2896">
            <w:pPr>
              <w:pStyle w:val="BMSTableText"/>
            </w:pPr>
            <w:r w:rsidRPr="000A7AE8">
              <w:t>1.34</w:t>
            </w:r>
          </w:p>
        </w:tc>
        <w:tc>
          <w:tcPr>
            <w:tcW w:w="2429" w:type="dxa"/>
            <w:tcBorders>
              <w:bottom w:val="double" w:sz="6" w:space="0" w:color="auto"/>
            </w:tcBorders>
          </w:tcPr>
          <w:p w14:paraId="6D03BBC4" w14:textId="77777777" w:rsidR="004E2896" w:rsidRPr="000A7AE8" w:rsidRDefault="004E2896" w:rsidP="004E2896">
            <w:pPr>
              <w:pStyle w:val="BMSTableText"/>
            </w:pPr>
            <w:r w:rsidRPr="000A7AE8">
              <w:t>3.00 (0.81, 7.67)</w:t>
            </w:r>
          </w:p>
        </w:tc>
      </w:tr>
    </w:tbl>
    <w:p w14:paraId="21304230" w14:textId="538F740D" w:rsidR="004E2896" w:rsidRPr="000A7AE8" w:rsidRDefault="004E2896" w:rsidP="004E2896">
      <w:pPr>
        <w:pStyle w:val="BMSTableHeader"/>
        <w:jc w:val="left"/>
        <w:rPr>
          <w:b w:val="0"/>
          <w:bCs/>
          <w:sz w:val="18"/>
          <w:szCs w:val="18"/>
        </w:rPr>
      </w:pPr>
      <w:proofErr w:type="gramStart"/>
      <w:r w:rsidRPr="000A7AE8">
        <w:rPr>
          <w:rStyle w:val="BMSTableNote"/>
          <w:sz w:val="18"/>
          <w:szCs w:val="18"/>
        </w:rPr>
        <w:t>a</w:t>
      </w:r>
      <w:proofErr w:type="gramEnd"/>
      <w:r w:rsidRPr="000A7AE8">
        <w:rPr>
          <w:sz w:val="18"/>
          <w:szCs w:val="18"/>
        </w:rPr>
        <w:t xml:space="preserve"> </w:t>
      </w:r>
      <w:r w:rsidRPr="000A7AE8">
        <w:rPr>
          <w:b w:val="0"/>
          <w:bCs/>
          <w:sz w:val="18"/>
          <w:szCs w:val="18"/>
        </w:rPr>
        <w:t>General Population Rate estimates from United States Surveillance and End Results (SEER).</w:t>
      </w:r>
    </w:p>
    <w:p w14:paraId="5367E056" w14:textId="257F4813" w:rsidR="004E2896" w:rsidRPr="000A7AE8" w:rsidRDefault="004E2896" w:rsidP="004E2896">
      <w:pPr>
        <w:pStyle w:val="BMSTableHeader"/>
        <w:jc w:val="left"/>
        <w:rPr>
          <w:rStyle w:val="BMSTableNote"/>
          <w:sz w:val="18"/>
          <w:szCs w:val="18"/>
        </w:rPr>
      </w:pPr>
      <w:proofErr w:type="gramStart"/>
      <w:r w:rsidRPr="000A7AE8">
        <w:rPr>
          <w:rStyle w:val="BMSTableNote"/>
          <w:sz w:val="18"/>
          <w:szCs w:val="18"/>
        </w:rPr>
        <w:t>b</w:t>
      </w:r>
      <w:proofErr w:type="gramEnd"/>
      <w:r w:rsidRPr="000A7AE8">
        <w:rPr>
          <w:sz w:val="18"/>
          <w:szCs w:val="18"/>
        </w:rPr>
        <w:t xml:space="preserve"> </w:t>
      </w:r>
      <w:r w:rsidRPr="000A7AE8">
        <w:rPr>
          <w:b w:val="0"/>
          <w:bCs/>
          <w:sz w:val="18"/>
          <w:szCs w:val="18"/>
        </w:rPr>
        <w:t>Observed number in ORENCIA-exposed patients in double-blind and open-label clinical trials.</w:t>
      </w:r>
    </w:p>
    <w:p w14:paraId="53162639" w14:textId="763A523C" w:rsidR="004E2896" w:rsidRPr="000A7AE8" w:rsidRDefault="004E2896" w:rsidP="004E2896">
      <w:pPr>
        <w:pStyle w:val="BMSTableHeader"/>
        <w:jc w:val="left"/>
        <w:rPr>
          <w:b w:val="0"/>
          <w:bCs/>
          <w:sz w:val="18"/>
          <w:szCs w:val="18"/>
        </w:rPr>
      </w:pPr>
      <w:proofErr w:type="gramStart"/>
      <w:r w:rsidRPr="000A7AE8">
        <w:rPr>
          <w:rStyle w:val="BMSTableNote"/>
          <w:sz w:val="18"/>
          <w:szCs w:val="18"/>
        </w:rPr>
        <w:t>c</w:t>
      </w:r>
      <w:proofErr w:type="gramEnd"/>
      <w:r w:rsidRPr="000A7AE8">
        <w:rPr>
          <w:sz w:val="18"/>
          <w:szCs w:val="18"/>
        </w:rPr>
        <w:t xml:space="preserve"> </w:t>
      </w:r>
      <w:r w:rsidRPr="000A7AE8">
        <w:rPr>
          <w:b w:val="0"/>
          <w:bCs/>
          <w:sz w:val="18"/>
          <w:szCs w:val="18"/>
        </w:rPr>
        <w:t>Based on General Population (SEER) rate estimates; adjusted for age and gender and takes into account duration of ORENCIA exposure.</w:t>
      </w:r>
    </w:p>
    <w:p w14:paraId="13C53087" w14:textId="000921B5" w:rsidR="004E2896" w:rsidRPr="000A7AE8" w:rsidRDefault="004E2896" w:rsidP="004E2896">
      <w:pPr>
        <w:pStyle w:val="BMSTableHeader"/>
        <w:jc w:val="left"/>
        <w:rPr>
          <w:b w:val="0"/>
          <w:bCs/>
          <w:sz w:val="18"/>
          <w:szCs w:val="18"/>
        </w:rPr>
      </w:pPr>
      <w:proofErr w:type="gramStart"/>
      <w:r w:rsidRPr="000A7AE8">
        <w:rPr>
          <w:rStyle w:val="BMSTableNote"/>
          <w:sz w:val="18"/>
          <w:szCs w:val="18"/>
        </w:rPr>
        <w:t>d</w:t>
      </w:r>
      <w:proofErr w:type="gramEnd"/>
      <w:r w:rsidRPr="000A7AE8">
        <w:rPr>
          <w:b w:val="0"/>
          <w:bCs/>
          <w:sz w:val="18"/>
          <w:szCs w:val="18"/>
        </w:rPr>
        <w:t xml:space="preserve"> SIR -</w:t>
      </w:r>
      <w:proofErr w:type="spellStart"/>
      <w:r w:rsidRPr="000A7AE8">
        <w:rPr>
          <w:b w:val="0"/>
          <w:bCs/>
          <w:sz w:val="18"/>
          <w:szCs w:val="18"/>
        </w:rPr>
        <w:t>Standardised</w:t>
      </w:r>
      <w:proofErr w:type="spellEnd"/>
      <w:r w:rsidRPr="000A7AE8">
        <w:rPr>
          <w:b w:val="0"/>
          <w:bCs/>
          <w:sz w:val="18"/>
          <w:szCs w:val="18"/>
        </w:rPr>
        <w:t xml:space="preserve"> incidence ratio (Observed/Expected)  95% CI - confidence interval.</w:t>
      </w:r>
    </w:p>
    <w:p w14:paraId="795ECFA1" w14:textId="77777777" w:rsidR="00932AF4" w:rsidRPr="000A7AE8" w:rsidRDefault="00932AF4" w:rsidP="004E2896">
      <w:pPr>
        <w:pStyle w:val="BMSTableHeader"/>
        <w:jc w:val="left"/>
        <w:rPr>
          <w:b w:val="0"/>
          <w:bCs/>
          <w:sz w:val="18"/>
          <w:szCs w:val="18"/>
        </w:rPr>
      </w:pPr>
    </w:p>
    <w:p w14:paraId="0EE35A07" w14:textId="77777777" w:rsidR="004E2896" w:rsidRPr="000A7AE8" w:rsidRDefault="004E2896" w:rsidP="00C02EB7">
      <w:pPr>
        <w:pStyle w:val="Heading4"/>
      </w:pPr>
      <w:bookmarkStart w:id="59" w:name="_Toc96146331"/>
      <w:r w:rsidRPr="000A7AE8">
        <w:t>Infusion-related reactions</w:t>
      </w:r>
      <w:bookmarkEnd w:id="59"/>
      <w:r w:rsidRPr="000A7AE8">
        <w:t xml:space="preserve"> and hypersensitivity reactions</w:t>
      </w:r>
    </w:p>
    <w:p w14:paraId="43016DBF" w14:textId="77777777" w:rsidR="004E2896" w:rsidRPr="000A7AE8" w:rsidRDefault="004E2896" w:rsidP="00203339">
      <w:r w:rsidRPr="000A7AE8">
        <w:t xml:space="preserve">Infusion-related reactions can be observed during treatment with any injectable protein. Such reactions have been reported with ORENCIA administration in clinical trials, where patients were not required to be </w:t>
      </w:r>
      <w:proofErr w:type="spellStart"/>
      <w:r w:rsidRPr="000A7AE8">
        <w:t>pretreated</w:t>
      </w:r>
      <w:proofErr w:type="spellEnd"/>
      <w:r w:rsidRPr="000A7AE8">
        <w:t xml:space="preserve"> to prevent hypersensitivity reactions.</w:t>
      </w:r>
    </w:p>
    <w:p w14:paraId="17C706AD" w14:textId="6F9624AD" w:rsidR="004E2896" w:rsidRPr="000A7AE8" w:rsidRDefault="004E2896" w:rsidP="00203339">
      <w:pPr>
        <w:rPr>
          <w:rFonts w:cs="Times New Roman"/>
        </w:rPr>
      </w:pPr>
      <w:r w:rsidRPr="000A7AE8">
        <w:rPr>
          <w:rFonts w:cs="Times New Roman"/>
        </w:rPr>
        <w:t>Acute infusion reactions (within 1 hour of infusion) the incidence rate of 4.04 per 100 p-y. The annual incidence rate of acute-</w:t>
      </w:r>
      <w:proofErr w:type="spellStart"/>
      <w:r w:rsidRPr="000A7AE8">
        <w:rPr>
          <w:rFonts w:cs="Times New Roman"/>
        </w:rPr>
        <w:t>infusional</w:t>
      </w:r>
      <w:proofErr w:type="spellEnd"/>
      <w:r w:rsidRPr="000A7AE8">
        <w:rPr>
          <w:rFonts w:cs="Times New Roman"/>
        </w:rPr>
        <w:t xml:space="preserve"> events was elevated in the first year of exposure, decreased in the second, and then remained stable with increasing duration of exposure to </w:t>
      </w:r>
      <w:proofErr w:type="spellStart"/>
      <w:r w:rsidRPr="000A7AE8">
        <w:rPr>
          <w:rFonts w:cs="Times New Roman"/>
        </w:rPr>
        <w:t>abatacept</w:t>
      </w:r>
      <w:proofErr w:type="spellEnd"/>
      <w:r w:rsidRPr="000A7AE8">
        <w:rPr>
          <w:rFonts w:cs="Times New Roman"/>
        </w:rPr>
        <w:t xml:space="preserve">. The 4 most common events contributing to this incidence rate per 100 p-y were dizziness (0.70), headache (0.69), </w:t>
      </w:r>
      <w:r w:rsidRPr="000A7AE8">
        <w:rPr>
          <w:rFonts w:cs="Times New Roman"/>
        </w:rPr>
        <w:lastRenderedPageBreak/>
        <w:t>hypertension (0.62), and nausea (0.40). The frequencies of these 4 events were 1.9%, 1.8%</w:t>
      </w:r>
      <w:r w:rsidR="00981025" w:rsidRPr="000A7AE8">
        <w:rPr>
          <w:rFonts w:cs="Times New Roman"/>
        </w:rPr>
        <w:t>,</w:t>
      </w:r>
      <w:r w:rsidRPr="000A7AE8">
        <w:rPr>
          <w:rFonts w:cs="Times New Roman"/>
        </w:rPr>
        <w:t xml:space="preserve"> 1.7%</w:t>
      </w:r>
      <w:r w:rsidR="00981025" w:rsidRPr="000A7AE8">
        <w:rPr>
          <w:rFonts w:cs="Times New Roman"/>
        </w:rPr>
        <w:t>,</w:t>
      </w:r>
      <w:r w:rsidRPr="000A7AE8">
        <w:rPr>
          <w:rFonts w:cs="Times New Roman"/>
        </w:rPr>
        <w:t xml:space="preserve"> and 1.1%, respectively. Greater than 95% of all subjects with acute-</w:t>
      </w:r>
      <w:proofErr w:type="spellStart"/>
      <w:r w:rsidRPr="000A7AE8">
        <w:rPr>
          <w:rFonts w:cs="Times New Roman"/>
        </w:rPr>
        <w:t>infusional</w:t>
      </w:r>
      <w:proofErr w:type="spellEnd"/>
      <w:r w:rsidRPr="000A7AE8">
        <w:rPr>
          <w:rFonts w:cs="Times New Roman"/>
        </w:rPr>
        <w:t xml:space="preserve"> events were mild or moderate in intensity.</w:t>
      </w:r>
    </w:p>
    <w:p w14:paraId="2AB273C0" w14:textId="1035F455" w:rsidR="004E2896" w:rsidRPr="000A7AE8" w:rsidRDefault="004E2896" w:rsidP="00203339">
      <w:pPr>
        <w:rPr>
          <w:rFonts w:cs="Times New Roman"/>
          <w:u w:val="single"/>
        </w:rPr>
      </w:pPr>
      <w:r w:rsidRPr="000A7AE8">
        <w:rPr>
          <w:rFonts w:cs="Times New Roman"/>
        </w:rPr>
        <w:t>Peri-infusion reactions (up to 24</w:t>
      </w:r>
      <w:r w:rsidR="00981025" w:rsidRPr="000A7AE8">
        <w:rPr>
          <w:rFonts w:cs="Times New Roman"/>
        </w:rPr>
        <w:t xml:space="preserve"> </w:t>
      </w:r>
      <w:r w:rsidRPr="000A7AE8">
        <w:rPr>
          <w:rFonts w:cs="Times New Roman"/>
        </w:rPr>
        <w:t>h</w:t>
      </w:r>
      <w:r w:rsidR="00981025" w:rsidRPr="000A7AE8">
        <w:rPr>
          <w:rFonts w:cs="Times New Roman"/>
        </w:rPr>
        <w:t>ou</w:t>
      </w:r>
      <w:r w:rsidRPr="000A7AE8">
        <w:rPr>
          <w:rFonts w:cs="Times New Roman"/>
        </w:rPr>
        <w:t xml:space="preserve">rs after infusion) the incidence rate was 11.63 per 100 p-y. The 4 most common events contributing </w:t>
      </w:r>
      <w:r w:rsidR="00981025" w:rsidRPr="000A7AE8">
        <w:rPr>
          <w:rFonts w:cs="Times New Roman"/>
        </w:rPr>
        <w:t xml:space="preserve">to </w:t>
      </w:r>
      <w:r w:rsidRPr="000A7AE8">
        <w:rPr>
          <w:rFonts w:cs="Times New Roman"/>
        </w:rPr>
        <w:t>this overall incidence rate per 100 p-y were headache (3.09), nausea (1.69), dizziness (1.56), and hypertension (1.16). Approximately 95% of all subjects with peri-</w:t>
      </w:r>
      <w:proofErr w:type="spellStart"/>
      <w:r w:rsidRPr="000A7AE8">
        <w:rPr>
          <w:rFonts w:cs="Times New Roman"/>
        </w:rPr>
        <w:t>infusional</w:t>
      </w:r>
      <w:proofErr w:type="spellEnd"/>
      <w:r w:rsidRPr="000A7AE8">
        <w:rPr>
          <w:rFonts w:cs="Times New Roman"/>
        </w:rPr>
        <w:t xml:space="preserve"> events had events that were mild or moderate in intensity.</w:t>
      </w:r>
      <w:bookmarkStart w:id="60" w:name="_Toc96146332"/>
    </w:p>
    <w:p w14:paraId="1B0F49F8" w14:textId="77777777" w:rsidR="004E2896" w:rsidRPr="000A7AE8" w:rsidRDefault="004E2896" w:rsidP="00C02EB7">
      <w:pPr>
        <w:pStyle w:val="Heading4"/>
      </w:pPr>
      <w:r w:rsidRPr="000A7AE8">
        <w:t>Adverse drug reactions in patients with chronic obstructive pulmonary disease (COPD)</w:t>
      </w:r>
    </w:p>
    <w:p w14:paraId="349571EE" w14:textId="2AB8F219" w:rsidR="004E2896" w:rsidRPr="000A7AE8" w:rsidRDefault="004E2896" w:rsidP="00203339">
      <w:r w:rsidRPr="000A7AE8">
        <w:t>In Study V, there were 37 patients with COPD treated with ORENCIA and 17 treated with placebo. The COPD patients treated with ORENCIA developed adverse drug</w:t>
      </w:r>
      <w:r w:rsidR="00932AF4" w:rsidRPr="000A7AE8">
        <w:t xml:space="preserve"> reactions more frequently than </w:t>
      </w:r>
      <w:r w:rsidRPr="000A7AE8">
        <w:t>those treated with placebo (51.4% vs. 47.1%, respectively). Respiratory disorders occurred more frequently in ORENCIA-treated patients than in placebo-treated patients (10.8% vs. 5.9%, respectively); these included COPD exacerbation, and dyspnoea. A greater percentage of ORENCIA- than placebo-treated patients with COPD developed a serious adverse reaction (5.4% vs. 0%), including COPD exacerbation (1 of 37 patients [2.7%]) and bronchitis (1 of 37 patients [2.7%]).</w:t>
      </w:r>
    </w:p>
    <w:bookmarkEnd w:id="60"/>
    <w:p w14:paraId="64409232" w14:textId="77777777" w:rsidR="004E2896" w:rsidRPr="000A7AE8" w:rsidRDefault="004E2896" w:rsidP="00C02EB7">
      <w:pPr>
        <w:pStyle w:val="Heading4"/>
      </w:pPr>
      <w:r w:rsidRPr="000A7AE8">
        <w:t>Autoimmune processes</w:t>
      </w:r>
    </w:p>
    <w:p w14:paraId="1C358718" w14:textId="77777777" w:rsidR="004E2896" w:rsidRPr="000A7AE8" w:rsidRDefault="004E2896" w:rsidP="00203339">
      <w:bookmarkStart w:id="61" w:name="_Toc96146333"/>
      <w:r w:rsidRPr="000A7AE8">
        <w:t>ORENCIA therapy did not lead to increased formation of antinuclear or anti-double stranded DNA antibodies compared with placebo.</w:t>
      </w:r>
      <w:bookmarkEnd w:id="61"/>
    </w:p>
    <w:p w14:paraId="4C8C7205" w14:textId="77777777" w:rsidR="004E2896" w:rsidRPr="000A7AE8" w:rsidRDefault="004E2896" w:rsidP="00203339">
      <w:r w:rsidRPr="000A7AE8">
        <w:t>The incidence rate of autoimmune disorders remained stable during open-label experience (1.63 per 100 patient-years) compared to the double-blind experience (2.07 per 100 patient-years). The most frequently reported autoimmune-related disorder during the open-label experience was psoriasis.</w:t>
      </w:r>
    </w:p>
    <w:p w14:paraId="42FEFC8A" w14:textId="77777777" w:rsidR="004E2896" w:rsidRPr="000A7AE8" w:rsidRDefault="004E2896" w:rsidP="00C02EB7">
      <w:pPr>
        <w:pStyle w:val="Heading4"/>
      </w:pPr>
      <w:r w:rsidRPr="000A7AE8">
        <w:t>Immunogenicity</w:t>
      </w:r>
    </w:p>
    <w:p w14:paraId="4B2B01FD" w14:textId="77777777" w:rsidR="004E2896" w:rsidRPr="000A7AE8" w:rsidRDefault="004E2896" w:rsidP="00015766">
      <w:r w:rsidRPr="000A7AE8">
        <w:t>Antibodies directed against the ORENCIA molecule were assessed by ELISA assays in 3,985 rheumatoid arthritis patients treated for up to 8 years with ORENCIA. One hundred and eighty-seven of 3,877 patients developed anti-</w:t>
      </w:r>
      <w:proofErr w:type="spellStart"/>
      <w:r w:rsidRPr="000A7AE8">
        <w:t>abatacept</w:t>
      </w:r>
      <w:proofErr w:type="spellEnd"/>
      <w:r w:rsidRPr="000A7AE8">
        <w:t xml:space="preserve"> antibodies while on treatment. In patients assessed for anti-</w:t>
      </w:r>
      <w:proofErr w:type="spellStart"/>
      <w:r w:rsidRPr="000A7AE8">
        <w:t>abatacept</w:t>
      </w:r>
      <w:proofErr w:type="spellEnd"/>
      <w:r w:rsidRPr="000A7AE8">
        <w:t xml:space="preserve"> antibodies after discontinuation of ORENCIA (&gt;42 days after last dose), 103 of 1,888 (5.5%) were seropositive.</w:t>
      </w:r>
    </w:p>
    <w:p w14:paraId="5682B636" w14:textId="6E0A0671" w:rsidR="002F045D" w:rsidRPr="000A7AE8" w:rsidRDefault="004E2896" w:rsidP="002F045D">
      <w:r w:rsidRPr="000A7AE8">
        <w:t xml:space="preserve">Samples with confirmed binding activity to CTLA-4 were assessed for the presence of neutralizing antibodies. Twenty-two of 48 evaluable patients showed significant neutralizing activity. The potential clinical relevance of neutralizing antibody formation is not known. </w:t>
      </w:r>
    </w:p>
    <w:p w14:paraId="0A29CA9F" w14:textId="18EB6784" w:rsidR="004E2896" w:rsidRPr="000A7AE8" w:rsidRDefault="004E2896" w:rsidP="002F045D">
      <w:r w:rsidRPr="000A7AE8">
        <w:t xml:space="preserve">Overall, there was no apparent correlation of antibody development to clinical response or adverse events. However, the number of patients that developed antibodies was too limited to make a definitive assessment. </w:t>
      </w:r>
    </w:p>
    <w:p w14:paraId="705EE36C" w14:textId="77777777" w:rsidR="004E2896" w:rsidRPr="000A7AE8" w:rsidRDefault="004E2896" w:rsidP="00C02EB7">
      <w:pPr>
        <w:pStyle w:val="Heading4"/>
      </w:pPr>
      <w:bookmarkStart w:id="62" w:name="_Toc96146334"/>
      <w:bookmarkEnd w:id="39"/>
      <w:bookmarkEnd w:id="40"/>
      <w:bookmarkEnd w:id="41"/>
      <w:bookmarkEnd w:id="42"/>
      <w:bookmarkEnd w:id="43"/>
      <w:bookmarkEnd w:id="44"/>
      <w:bookmarkEnd w:id="45"/>
      <w:bookmarkEnd w:id="46"/>
      <w:r w:rsidRPr="000A7AE8">
        <w:t xml:space="preserve">Clinical experience in MTX-naive patients </w:t>
      </w:r>
    </w:p>
    <w:p w14:paraId="29F56F8F" w14:textId="11A61829" w:rsidR="004E2896" w:rsidRPr="000A7AE8" w:rsidRDefault="004E2896" w:rsidP="00E1787C">
      <w:r w:rsidRPr="000A7AE8">
        <w:t>Study VI was an active-controlled clinical trial in MTX-naive patien</w:t>
      </w:r>
      <w:r w:rsidR="00D51CFB" w:rsidRPr="000A7AE8">
        <w:t xml:space="preserve">ts. Data from Study VI were not </w:t>
      </w:r>
      <w:r w:rsidRPr="000A7AE8">
        <w:t xml:space="preserve">integrated into the safety dataset described above in this section; however, the safety experience in MTX-naive patients was consistent with that described above in patients with an inadequate response to MTX or a TNF blocking agent. The adverse reaction profile observed in patients receiving MTX alone in Study VI was as expected, and the adverse reaction profile observed in patients receiving </w:t>
      </w:r>
      <w:r w:rsidRPr="000A7AE8">
        <w:rPr>
          <w:lang w:eastAsia="en-AU"/>
        </w:rPr>
        <w:t>ORENCIA</w:t>
      </w:r>
      <w:r w:rsidR="00981025" w:rsidRPr="000A7AE8">
        <w:t>+</w:t>
      </w:r>
      <w:r w:rsidRPr="000A7AE8">
        <w:t>MTX was similar to that in patients receiving MTX alone.</w:t>
      </w:r>
    </w:p>
    <w:p w14:paraId="03457EA2" w14:textId="349871FC" w:rsidR="000A7AE8" w:rsidRDefault="00932AF4" w:rsidP="00E1787C">
      <w:r w:rsidRPr="000A7AE8">
        <w:t>Table 5</w:t>
      </w:r>
      <w:r w:rsidR="004E2896" w:rsidRPr="000A7AE8">
        <w:t xml:space="preserve"> </w:t>
      </w:r>
      <w:r w:rsidR="004E2896" w:rsidRPr="000A7AE8">
        <w:rPr>
          <w:lang w:eastAsia="en-AU"/>
        </w:rPr>
        <w:t>below lists the adverse drug reactions (ADRs - adverse events at least possibly causally related to treatment) occurring in ≥1% of patients treated with ORENCIA+MTX in AGREE (IM101023).</w:t>
      </w:r>
    </w:p>
    <w:p w14:paraId="5759A118" w14:textId="77777777" w:rsidR="000A7AE8" w:rsidRDefault="000A7AE8">
      <w:pPr>
        <w:spacing w:line="276" w:lineRule="auto"/>
        <w:jc w:val="left"/>
      </w:pPr>
      <w:r>
        <w:lastRenderedPageBreak/>
        <w:br w:type="page"/>
      </w:r>
    </w:p>
    <w:p w14:paraId="2BDD28B0" w14:textId="2BDAB1F9" w:rsidR="004E2896" w:rsidRPr="000A7AE8" w:rsidRDefault="00932AF4" w:rsidP="00E1787C">
      <w:pPr>
        <w:pStyle w:val="BMSTableTitle"/>
        <w:rPr>
          <w:sz w:val="22"/>
        </w:rPr>
      </w:pPr>
      <w:r w:rsidRPr="000A7AE8">
        <w:rPr>
          <w:sz w:val="22"/>
        </w:rPr>
        <w:lastRenderedPageBreak/>
        <w:t>Table 5</w:t>
      </w:r>
      <w:r w:rsidR="004E2896" w:rsidRPr="000A7AE8">
        <w:rPr>
          <w:sz w:val="22"/>
        </w:rPr>
        <w:t>:</w:t>
      </w:r>
      <w:r w:rsidR="004E2896" w:rsidRPr="000A7AE8">
        <w:rPr>
          <w:sz w:val="22"/>
        </w:rPr>
        <w:tab/>
        <w:t xml:space="preserve">Adverse Drug Reactions (ADRs) Occurring in </w:t>
      </w:r>
      <w:r w:rsidR="004E2896" w:rsidRPr="000A7AE8">
        <w:rPr>
          <w:sz w:val="22"/>
        </w:rPr>
        <w:sym w:font="Symbol" w:char="F0B3"/>
      </w:r>
      <w:r w:rsidR="004E2896" w:rsidRPr="000A7AE8">
        <w:rPr>
          <w:sz w:val="22"/>
        </w:rPr>
        <w:t>1% of Patie</w:t>
      </w:r>
      <w:r w:rsidR="00E1787C" w:rsidRPr="000A7AE8">
        <w:rPr>
          <w:sz w:val="22"/>
        </w:rPr>
        <w:t xml:space="preserve">nts in the ORENCIA+MTX </w:t>
      </w:r>
      <w:r w:rsidR="004E2896" w:rsidRPr="000A7AE8">
        <w:rPr>
          <w:sz w:val="22"/>
        </w:rPr>
        <w:t>in AGREE (IM101023)</w:t>
      </w:r>
    </w:p>
    <w:tbl>
      <w:tblPr>
        <w:tblpPr w:leftFromText="180" w:rightFromText="180" w:vertAnchor="text" w:horzAnchor="margin" w:tblpY="145"/>
        <w:tblW w:w="0" w:type="auto"/>
        <w:tblBorders>
          <w:top w:val="double" w:sz="4" w:space="0" w:color="auto"/>
          <w:bottom w:val="double" w:sz="4" w:space="0" w:color="auto"/>
        </w:tblBorders>
        <w:tblLayout w:type="fixed"/>
        <w:tblLook w:val="0000" w:firstRow="0" w:lastRow="0" w:firstColumn="0" w:lastColumn="0" w:noHBand="0" w:noVBand="0"/>
      </w:tblPr>
      <w:tblGrid>
        <w:gridCol w:w="4697"/>
        <w:gridCol w:w="2412"/>
        <w:gridCol w:w="2250"/>
      </w:tblGrid>
      <w:tr w:rsidR="000A7AE8" w:rsidRPr="000A7AE8" w14:paraId="61C5CA93" w14:textId="77777777" w:rsidTr="004E2896">
        <w:trPr>
          <w:trHeight w:val="348"/>
        </w:trPr>
        <w:tc>
          <w:tcPr>
            <w:tcW w:w="4697" w:type="dxa"/>
            <w:tcBorders>
              <w:top w:val="double" w:sz="4" w:space="0" w:color="auto"/>
              <w:bottom w:val="single" w:sz="4" w:space="0" w:color="auto"/>
            </w:tcBorders>
            <w:vAlign w:val="center"/>
          </w:tcPr>
          <w:p w14:paraId="5E6EB51D" w14:textId="77777777" w:rsidR="004E2896" w:rsidRPr="000A7AE8" w:rsidRDefault="004E2896" w:rsidP="00D51CFB">
            <w:pPr>
              <w:pStyle w:val="BMSTableHeader"/>
              <w:jc w:val="left"/>
            </w:pPr>
            <w:r w:rsidRPr="000A7AE8">
              <w:t xml:space="preserve">Related Adverse Event (Preferred Term) </w:t>
            </w:r>
          </w:p>
        </w:tc>
        <w:tc>
          <w:tcPr>
            <w:tcW w:w="2412" w:type="dxa"/>
            <w:tcBorders>
              <w:top w:val="double" w:sz="4" w:space="0" w:color="auto"/>
              <w:bottom w:val="single" w:sz="4" w:space="0" w:color="auto"/>
            </w:tcBorders>
          </w:tcPr>
          <w:p w14:paraId="54F465E9" w14:textId="6045D7E9" w:rsidR="00D51CFB" w:rsidRPr="000A7AE8" w:rsidRDefault="004E2896" w:rsidP="00E1787C">
            <w:pPr>
              <w:pStyle w:val="BMSTableHeader"/>
            </w:pPr>
            <w:r w:rsidRPr="000A7AE8">
              <w:t xml:space="preserve">ORENCIA+MTX </w:t>
            </w:r>
          </w:p>
          <w:p w14:paraId="5826F6D2" w14:textId="240553FE" w:rsidR="004E2896" w:rsidRPr="000A7AE8" w:rsidRDefault="004E2896" w:rsidP="00E1787C">
            <w:pPr>
              <w:pStyle w:val="BMSTableHeader"/>
            </w:pPr>
            <w:r w:rsidRPr="000A7AE8">
              <w:t>n=256</w:t>
            </w:r>
          </w:p>
          <w:p w14:paraId="69D7B598" w14:textId="77777777" w:rsidR="004E2896" w:rsidRPr="000A7AE8" w:rsidRDefault="004E2896" w:rsidP="00E1787C">
            <w:pPr>
              <w:pStyle w:val="BMSTableHeader"/>
            </w:pPr>
            <w:r w:rsidRPr="000A7AE8">
              <w:t xml:space="preserve">% </w:t>
            </w:r>
          </w:p>
        </w:tc>
        <w:tc>
          <w:tcPr>
            <w:tcW w:w="2250" w:type="dxa"/>
            <w:tcBorders>
              <w:top w:val="double" w:sz="4" w:space="0" w:color="auto"/>
              <w:bottom w:val="single" w:sz="4" w:space="0" w:color="auto"/>
            </w:tcBorders>
          </w:tcPr>
          <w:p w14:paraId="135E8A39" w14:textId="2E70DAD4" w:rsidR="004E2896" w:rsidRPr="000A7AE8" w:rsidRDefault="004E2896" w:rsidP="00E1787C">
            <w:pPr>
              <w:pStyle w:val="BMSTableHeader"/>
            </w:pPr>
            <w:proofErr w:type="spellStart"/>
            <w:r w:rsidRPr="000A7AE8">
              <w:t>Placebo+MTX</w:t>
            </w:r>
            <w:proofErr w:type="spellEnd"/>
            <w:r w:rsidRPr="000A7AE8">
              <w:t xml:space="preserve"> </w:t>
            </w:r>
          </w:p>
          <w:p w14:paraId="2CE965CE" w14:textId="0764333C" w:rsidR="004E2896" w:rsidRPr="000A7AE8" w:rsidRDefault="004E2896" w:rsidP="00E1787C">
            <w:pPr>
              <w:pStyle w:val="BMSTableHeader"/>
            </w:pPr>
            <w:r w:rsidRPr="000A7AE8">
              <w:t xml:space="preserve">n=253 </w:t>
            </w:r>
          </w:p>
          <w:p w14:paraId="10F3530D" w14:textId="77777777" w:rsidR="004E2896" w:rsidRPr="000A7AE8" w:rsidRDefault="004E2896" w:rsidP="00E1787C">
            <w:pPr>
              <w:pStyle w:val="BMSTableHeader"/>
            </w:pPr>
            <w:r w:rsidRPr="000A7AE8">
              <w:t xml:space="preserve">% </w:t>
            </w:r>
          </w:p>
        </w:tc>
      </w:tr>
      <w:tr w:rsidR="000A7AE8" w:rsidRPr="000A7AE8" w14:paraId="2848A82A" w14:textId="77777777" w:rsidTr="004E2896">
        <w:trPr>
          <w:trHeight w:val="120"/>
        </w:trPr>
        <w:tc>
          <w:tcPr>
            <w:tcW w:w="4697" w:type="dxa"/>
            <w:tcBorders>
              <w:top w:val="single" w:sz="4" w:space="0" w:color="auto"/>
            </w:tcBorders>
          </w:tcPr>
          <w:p w14:paraId="7BF953B9" w14:textId="77777777" w:rsidR="004E2896" w:rsidRPr="000A7AE8" w:rsidRDefault="004E2896" w:rsidP="00E1787C">
            <w:pPr>
              <w:pStyle w:val="BMSTableText"/>
              <w:jc w:val="left"/>
              <w:rPr>
                <w:i/>
              </w:rPr>
            </w:pPr>
            <w:r w:rsidRPr="000A7AE8">
              <w:rPr>
                <w:i/>
              </w:rPr>
              <w:t xml:space="preserve">Infections and Infestations </w:t>
            </w:r>
          </w:p>
        </w:tc>
        <w:tc>
          <w:tcPr>
            <w:tcW w:w="2412" w:type="dxa"/>
            <w:tcBorders>
              <w:top w:val="single" w:sz="4" w:space="0" w:color="auto"/>
            </w:tcBorders>
          </w:tcPr>
          <w:p w14:paraId="270DD6BF" w14:textId="77777777" w:rsidR="004E2896" w:rsidRPr="000A7AE8" w:rsidRDefault="004E2896" w:rsidP="00E1787C">
            <w:pPr>
              <w:pStyle w:val="BMSTableText"/>
            </w:pPr>
          </w:p>
        </w:tc>
        <w:tc>
          <w:tcPr>
            <w:tcW w:w="2250" w:type="dxa"/>
            <w:tcBorders>
              <w:top w:val="single" w:sz="4" w:space="0" w:color="auto"/>
            </w:tcBorders>
          </w:tcPr>
          <w:p w14:paraId="58F41EA6" w14:textId="77777777" w:rsidR="004E2896" w:rsidRPr="000A7AE8" w:rsidRDefault="004E2896" w:rsidP="00E1787C">
            <w:pPr>
              <w:pStyle w:val="BMSTableText"/>
            </w:pPr>
          </w:p>
        </w:tc>
      </w:tr>
      <w:tr w:rsidR="000A7AE8" w:rsidRPr="000A7AE8" w14:paraId="1067F464" w14:textId="77777777" w:rsidTr="004E2896">
        <w:trPr>
          <w:trHeight w:val="118"/>
        </w:trPr>
        <w:tc>
          <w:tcPr>
            <w:tcW w:w="4697" w:type="dxa"/>
          </w:tcPr>
          <w:p w14:paraId="06680F47" w14:textId="77777777" w:rsidR="004E2896" w:rsidRPr="000A7AE8" w:rsidRDefault="004E2896" w:rsidP="00720A58">
            <w:pPr>
              <w:pStyle w:val="BMSTableText"/>
              <w:ind w:left="360"/>
              <w:jc w:val="left"/>
            </w:pPr>
            <w:r w:rsidRPr="000A7AE8">
              <w:t xml:space="preserve">bronchitis </w:t>
            </w:r>
          </w:p>
        </w:tc>
        <w:tc>
          <w:tcPr>
            <w:tcW w:w="2412" w:type="dxa"/>
          </w:tcPr>
          <w:p w14:paraId="611EDD39" w14:textId="77777777" w:rsidR="004E2896" w:rsidRPr="000A7AE8" w:rsidRDefault="004E2896" w:rsidP="00E1787C">
            <w:pPr>
              <w:pStyle w:val="BMSTableText"/>
            </w:pPr>
            <w:r w:rsidRPr="000A7AE8">
              <w:t xml:space="preserve">3.9 </w:t>
            </w:r>
          </w:p>
        </w:tc>
        <w:tc>
          <w:tcPr>
            <w:tcW w:w="2250" w:type="dxa"/>
          </w:tcPr>
          <w:p w14:paraId="7819CA04" w14:textId="77777777" w:rsidR="004E2896" w:rsidRPr="000A7AE8" w:rsidRDefault="004E2896" w:rsidP="00E1787C">
            <w:pPr>
              <w:pStyle w:val="BMSTableText"/>
            </w:pPr>
            <w:r w:rsidRPr="000A7AE8">
              <w:t xml:space="preserve">1.2 </w:t>
            </w:r>
          </w:p>
        </w:tc>
      </w:tr>
      <w:tr w:rsidR="000A7AE8" w:rsidRPr="000A7AE8" w14:paraId="68262035" w14:textId="77777777" w:rsidTr="004E2896">
        <w:trPr>
          <w:trHeight w:val="120"/>
        </w:trPr>
        <w:tc>
          <w:tcPr>
            <w:tcW w:w="4697" w:type="dxa"/>
          </w:tcPr>
          <w:p w14:paraId="7F175A65" w14:textId="77777777" w:rsidR="004E2896" w:rsidRPr="000A7AE8" w:rsidRDefault="004E2896" w:rsidP="00720A58">
            <w:pPr>
              <w:pStyle w:val="BMSTableText"/>
              <w:ind w:left="360"/>
              <w:jc w:val="left"/>
            </w:pPr>
            <w:proofErr w:type="spellStart"/>
            <w:r w:rsidRPr="000A7AE8">
              <w:t>nasopharyngitis</w:t>
            </w:r>
            <w:proofErr w:type="spellEnd"/>
            <w:r w:rsidRPr="000A7AE8">
              <w:t xml:space="preserve"> </w:t>
            </w:r>
          </w:p>
        </w:tc>
        <w:tc>
          <w:tcPr>
            <w:tcW w:w="2412" w:type="dxa"/>
          </w:tcPr>
          <w:p w14:paraId="3DF3CC21" w14:textId="77777777" w:rsidR="004E2896" w:rsidRPr="000A7AE8" w:rsidRDefault="004E2896" w:rsidP="00E1787C">
            <w:pPr>
              <w:pStyle w:val="BMSTableText"/>
            </w:pPr>
            <w:r w:rsidRPr="000A7AE8">
              <w:t xml:space="preserve">3.1 </w:t>
            </w:r>
          </w:p>
        </w:tc>
        <w:tc>
          <w:tcPr>
            <w:tcW w:w="2250" w:type="dxa"/>
          </w:tcPr>
          <w:p w14:paraId="4CEAD625" w14:textId="77777777" w:rsidR="004E2896" w:rsidRPr="000A7AE8" w:rsidRDefault="004E2896" w:rsidP="00E1787C">
            <w:pPr>
              <w:pStyle w:val="BMSTableText"/>
            </w:pPr>
            <w:r w:rsidRPr="000A7AE8">
              <w:t xml:space="preserve">2.0 </w:t>
            </w:r>
          </w:p>
        </w:tc>
      </w:tr>
      <w:tr w:rsidR="000A7AE8" w:rsidRPr="000A7AE8" w14:paraId="3CE6965A" w14:textId="77777777" w:rsidTr="004E2896">
        <w:trPr>
          <w:trHeight w:val="120"/>
        </w:trPr>
        <w:tc>
          <w:tcPr>
            <w:tcW w:w="4697" w:type="dxa"/>
          </w:tcPr>
          <w:p w14:paraId="19AE7822" w14:textId="77777777" w:rsidR="004E2896" w:rsidRPr="000A7AE8" w:rsidRDefault="004E2896" w:rsidP="00720A58">
            <w:pPr>
              <w:pStyle w:val="BMSTableText"/>
              <w:ind w:left="360"/>
              <w:jc w:val="left"/>
            </w:pPr>
            <w:r w:rsidRPr="000A7AE8">
              <w:t xml:space="preserve">urinary tract infection </w:t>
            </w:r>
          </w:p>
        </w:tc>
        <w:tc>
          <w:tcPr>
            <w:tcW w:w="2412" w:type="dxa"/>
          </w:tcPr>
          <w:p w14:paraId="554372E3" w14:textId="77777777" w:rsidR="004E2896" w:rsidRPr="000A7AE8" w:rsidRDefault="004E2896" w:rsidP="00E1787C">
            <w:pPr>
              <w:pStyle w:val="BMSTableText"/>
            </w:pPr>
            <w:r w:rsidRPr="000A7AE8">
              <w:t xml:space="preserve">2.3 </w:t>
            </w:r>
          </w:p>
        </w:tc>
        <w:tc>
          <w:tcPr>
            <w:tcW w:w="2250" w:type="dxa"/>
          </w:tcPr>
          <w:p w14:paraId="179B53B2" w14:textId="77777777" w:rsidR="004E2896" w:rsidRPr="000A7AE8" w:rsidRDefault="004E2896" w:rsidP="00E1787C">
            <w:pPr>
              <w:pStyle w:val="BMSTableText"/>
            </w:pPr>
            <w:r w:rsidRPr="000A7AE8">
              <w:t xml:space="preserve">2.8 </w:t>
            </w:r>
          </w:p>
        </w:tc>
      </w:tr>
      <w:tr w:rsidR="000A7AE8" w:rsidRPr="000A7AE8" w14:paraId="30F2E6FF" w14:textId="77777777" w:rsidTr="004E2896">
        <w:trPr>
          <w:trHeight w:val="118"/>
        </w:trPr>
        <w:tc>
          <w:tcPr>
            <w:tcW w:w="4697" w:type="dxa"/>
          </w:tcPr>
          <w:p w14:paraId="7522C77E" w14:textId="77777777" w:rsidR="004E2896" w:rsidRPr="000A7AE8" w:rsidRDefault="004E2896" w:rsidP="00720A58">
            <w:pPr>
              <w:pStyle w:val="BMSTableText"/>
              <w:ind w:left="360"/>
              <w:jc w:val="left"/>
            </w:pPr>
            <w:r w:rsidRPr="000A7AE8">
              <w:t xml:space="preserve">upper respiratory tract infection </w:t>
            </w:r>
          </w:p>
        </w:tc>
        <w:tc>
          <w:tcPr>
            <w:tcW w:w="2412" w:type="dxa"/>
          </w:tcPr>
          <w:p w14:paraId="524C33F1" w14:textId="77777777" w:rsidR="004E2896" w:rsidRPr="000A7AE8" w:rsidRDefault="004E2896" w:rsidP="00E1787C">
            <w:pPr>
              <w:pStyle w:val="BMSTableText"/>
            </w:pPr>
            <w:r w:rsidRPr="000A7AE8">
              <w:t xml:space="preserve">2.3 </w:t>
            </w:r>
          </w:p>
        </w:tc>
        <w:tc>
          <w:tcPr>
            <w:tcW w:w="2250" w:type="dxa"/>
          </w:tcPr>
          <w:p w14:paraId="50719877" w14:textId="77777777" w:rsidR="004E2896" w:rsidRPr="000A7AE8" w:rsidRDefault="004E2896" w:rsidP="00E1787C">
            <w:pPr>
              <w:pStyle w:val="BMSTableText"/>
            </w:pPr>
            <w:r w:rsidRPr="000A7AE8">
              <w:t xml:space="preserve">2.4 </w:t>
            </w:r>
          </w:p>
        </w:tc>
      </w:tr>
      <w:tr w:rsidR="000A7AE8" w:rsidRPr="000A7AE8" w14:paraId="663A5B19" w14:textId="77777777" w:rsidTr="004E2896">
        <w:trPr>
          <w:trHeight w:val="120"/>
        </w:trPr>
        <w:tc>
          <w:tcPr>
            <w:tcW w:w="4697" w:type="dxa"/>
          </w:tcPr>
          <w:p w14:paraId="71948F56" w14:textId="77777777" w:rsidR="004E2896" w:rsidRPr="000A7AE8" w:rsidRDefault="004E2896" w:rsidP="00720A58">
            <w:pPr>
              <w:pStyle w:val="BMSTableText"/>
              <w:ind w:left="360"/>
              <w:jc w:val="left"/>
            </w:pPr>
            <w:r w:rsidRPr="000A7AE8">
              <w:t xml:space="preserve">oral herpes </w:t>
            </w:r>
          </w:p>
        </w:tc>
        <w:tc>
          <w:tcPr>
            <w:tcW w:w="2412" w:type="dxa"/>
          </w:tcPr>
          <w:p w14:paraId="6B4BDA1D" w14:textId="77777777" w:rsidR="004E2896" w:rsidRPr="000A7AE8" w:rsidRDefault="004E2896" w:rsidP="00E1787C">
            <w:pPr>
              <w:pStyle w:val="BMSTableText"/>
            </w:pPr>
            <w:r w:rsidRPr="000A7AE8">
              <w:t xml:space="preserve">2.0 </w:t>
            </w:r>
          </w:p>
        </w:tc>
        <w:tc>
          <w:tcPr>
            <w:tcW w:w="2250" w:type="dxa"/>
          </w:tcPr>
          <w:p w14:paraId="57FB7EBF" w14:textId="77777777" w:rsidR="004E2896" w:rsidRPr="000A7AE8" w:rsidRDefault="004E2896" w:rsidP="00E1787C">
            <w:pPr>
              <w:pStyle w:val="BMSTableText"/>
            </w:pPr>
            <w:r w:rsidRPr="000A7AE8">
              <w:t xml:space="preserve">1.2 </w:t>
            </w:r>
          </w:p>
        </w:tc>
      </w:tr>
      <w:tr w:rsidR="000A7AE8" w:rsidRPr="000A7AE8" w14:paraId="1B4B3851" w14:textId="77777777" w:rsidTr="004E2896">
        <w:trPr>
          <w:trHeight w:val="118"/>
        </w:trPr>
        <w:tc>
          <w:tcPr>
            <w:tcW w:w="4697" w:type="dxa"/>
          </w:tcPr>
          <w:p w14:paraId="67C5B5A1" w14:textId="77777777" w:rsidR="004E2896" w:rsidRPr="000A7AE8" w:rsidRDefault="004E2896" w:rsidP="00720A58">
            <w:pPr>
              <w:pStyle w:val="BMSTableText"/>
              <w:ind w:left="360"/>
              <w:jc w:val="left"/>
            </w:pPr>
            <w:r w:rsidRPr="000A7AE8">
              <w:t xml:space="preserve">pharyngitis </w:t>
            </w:r>
          </w:p>
        </w:tc>
        <w:tc>
          <w:tcPr>
            <w:tcW w:w="2412" w:type="dxa"/>
          </w:tcPr>
          <w:p w14:paraId="26D5E2BE" w14:textId="77777777" w:rsidR="004E2896" w:rsidRPr="000A7AE8" w:rsidRDefault="004E2896" w:rsidP="00E1787C">
            <w:pPr>
              <w:pStyle w:val="BMSTableText"/>
            </w:pPr>
            <w:r w:rsidRPr="000A7AE8">
              <w:t xml:space="preserve">2.0 </w:t>
            </w:r>
          </w:p>
        </w:tc>
        <w:tc>
          <w:tcPr>
            <w:tcW w:w="2250" w:type="dxa"/>
          </w:tcPr>
          <w:p w14:paraId="76685329" w14:textId="77777777" w:rsidR="004E2896" w:rsidRPr="000A7AE8" w:rsidRDefault="004E2896" w:rsidP="00E1787C">
            <w:pPr>
              <w:pStyle w:val="BMSTableText"/>
            </w:pPr>
            <w:r w:rsidRPr="000A7AE8">
              <w:t xml:space="preserve">0.4 </w:t>
            </w:r>
          </w:p>
        </w:tc>
      </w:tr>
      <w:tr w:rsidR="000A7AE8" w:rsidRPr="000A7AE8" w14:paraId="4979B4E5" w14:textId="77777777" w:rsidTr="004E2896">
        <w:trPr>
          <w:trHeight w:val="120"/>
        </w:trPr>
        <w:tc>
          <w:tcPr>
            <w:tcW w:w="4697" w:type="dxa"/>
            <w:tcBorders>
              <w:bottom w:val="nil"/>
            </w:tcBorders>
          </w:tcPr>
          <w:p w14:paraId="2FBC4EF9" w14:textId="77777777" w:rsidR="004E2896" w:rsidRPr="000A7AE8" w:rsidRDefault="004E2896" w:rsidP="00720A58">
            <w:pPr>
              <w:pStyle w:val="BMSTableText"/>
              <w:ind w:left="360"/>
              <w:jc w:val="left"/>
            </w:pPr>
            <w:r w:rsidRPr="000A7AE8">
              <w:t xml:space="preserve">influenza </w:t>
            </w:r>
          </w:p>
        </w:tc>
        <w:tc>
          <w:tcPr>
            <w:tcW w:w="2412" w:type="dxa"/>
            <w:tcBorders>
              <w:bottom w:val="nil"/>
            </w:tcBorders>
          </w:tcPr>
          <w:p w14:paraId="662E6E3D" w14:textId="77777777" w:rsidR="004E2896" w:rsidRPr="000A7AE8" w:rsidRDefault="004E2896" w:rsidP="00E1787C">
            <w:pPr>
              <w:pStyle w:val="BMSTableText"/>
            </w:pPr>
            <w:r w:rsidRPr="000A7AE8">
              <w:t xml:space="preserve">1.6 </w:t>
            </w:r>
          </w:p>
        </w:tc>
        <w:tc>
          <w:tcPr>
            <w:tcW w:w="2250" w:type="dxa"/>
            <w:tcBorders>
              <w:bottom w:val="nil"/>
            </w:tcBorders>
          </w:tcPr>
          <w:p w14:paraId="1E47F473" w14:textId="77777777" w:rsidR="004E2896" w:rsidRPr="000A7AE8" w:rsidRDefault="004E2896" w:rsidP="00E1787C">
            <w:pPr>
              <w:pStyle w:val="BMSTableText"/>
            </w:pPr>
            <w:r w:rsidRPr="000A7AE8">
              <w:t xml:space="preserve">2.8 </w:t>
            </w:r>
          </w:p>
        </w:tc>
      </w:tr>
      <w:tr w:rsidR="000A7AE8" w:rsidRPr="000A7AE8" w14:paraId="478E6A71" w14:textId="77777777" w:rsidTr="004E2896">
        <w:trPr>
          <w:trHeight w:val="118"/>
        </w:trPr>
        <w:tc>
          <w:tcPr>
            <w:tcW w:w="4697" w:type="dxa"/>
            <w:tcBorders>
              <w:top w:val="nil"/>
              <w:bottom w:val="single" w:sz="4" w:space="0" w:color="auto"/>
            </w:tcBorders>
          </w:tcPr>
          <w:p w14:paraId="5D1D9C37" w14:textId="77777777" w:rsidR="004E2896" w:rsidRPr="000A7AE8" w:rsidRDefault="004E2896" w:rsidP="00720A58">
            <w:pPr>
              <w:pStyle w:val="BMSTableText"/>
              <w:ind w:left="360"/>
              <w:jc w:val="left"/>
            </w:pPr>
            <w:r w:rsidRPr="000A7AE8">
              <w:t xml:space="preserve">herpes zoster </w:t>
            </w:r>
          </w:p>
        </w:tc>
        <w:tc>
          <w:tcPr>
            <w:tcW w:w="2412" w:type="dxa"/>
            <w:tcBorders>
              <w:top w:val="nil"/>
              <w:bottom w:val="single" w:sz="4" w:space="0" w:color="auto"/>
            </w:tcBorders>
          </w:tcPr>
          <w:p w14:paraId="53FEE0D1" w14:textId="77777777" w:rsidR="004E2896" w:rsidRPr="000A7AE8" w:rsidRDefault="004E2896" w:rsidP="00E1787C">
            <w:pPr>
              <w:pStyle w:val="BMSTableText"/>
            </w:pPr>
            <w:r w:rsidRPr="000A7AE8">
              <w:t xml:space="preserve">1.2 </w:t>
            </w:r>
          </w:p>
        </w:tc>
        <w:tc>
          <w:tcPr>
            <w:tcW w:w="2250" w:type="dxa"/>
            <w:tcBorders>
              <w:top w:val="nil"/>
              <w:bottom w:val="single" w:sz="4" w:space="0" w:color="auto"/>
            </w:tcBorders>
          </w:tcPr>
          <w:p w14:paraId="74038EE9" w14:textId="77777777" w:rsidR="004E2896" w:rsidRPr="000A7AE8" w:rsidRDefault="004E2896" w:rsidP="00E1787C">
            <w:pPr>
              <w:pStyle w:val="BMSTableText"/>
            </w:pPr>
            <w:r w:rsidRPr="000A7AE8">
              <w:t xml:space="preserve">1.2 </w:t>
            </w:r>
          </w:p>
        </w:tc>
      </w:tr>
      <w:tr w:rsidR="000A7AE8" w:rsidRPr="000A7AE8" w14:paraId="03474388" w14:textId="77777777" w:rsidTr="004E2896">
        <w:trPr>
          <w:trHeight w:val="120"/>
        </w:trPr>
        <w:tc>
          <w:tcPr>
            <w:tcW w:w="4697" w:type="dxa"/>
            <w:tcBorders>
              <w:top w:val="single" w:sz="4" w:space="0" w:color="auto"/>
            </w:tcBorders>
          </w:tcPr>
          <w:p w14:paraId="3D965D2C" w14:textId="77777777" w:rsidR="004E2896" w:rsidRPr="000A7AE8" w:rsidRDefault="004E2896" w:rsidP="00E1787C">
            <w:pPr>
              <w:pStyle w:val="BMSTableText"/>
              <w:jc w:val="left"/>
              <w:rPr>
                <w:i/>
              </w:rPr>
            </w:pPr>
            <w:r w:rsidRPr="000A7AE8">
              <w:rPr>
                <w:i/>
              </w:rPr>
              <w:t xml:space="preserve">Gastrointestinal Disorders </w:t>
            </w:r>
          </w:p>
        </w:tc>
        <w:tc>
          <w:tcPr>
            <w:tcW w:w="2412" w:type="dxa"/>
            <w:tcBorders>
              <w:top w:val="single" w:sz="4" w:space="0" w:color="auto"/>
            </w:tcBorders>
          </w:tcPr>
          <w:p w14:paraId="4C813EF2" w14:textId="77777777" w:rsidR="004E2896" w:rsidRPr="000A7AE8" w:rsidRDefault="004E2896" w:rsidP="00E1787C">
            <w:pPr>
              <w:pStyle w:val="BMSTableText"/>
            </w:pPr>
          </w:p>
        </w:tc>
        <w:tc>
          <w:tcPr>
            <w:tcW w:w="2250" w:type="dxa"/>
            <w:tcBorders>
              <w:top w:val="single" w:sz="4" w:space="0" w:color="auto"/>
            </w:tcBorders>
          </w:tcPr>
          <w:p w14:paraId="15589B37" w14:textId="77777777" w:rsidR="004E2896" w:rsidRPr="000A7AE8" w:rsidRDefault="004E2896" w:rsidP="00E1787C">
            <w:pPr>
              <w:pStyle w:val="BMSTableText"/>
            </w:pPr>
          </w:p>
        </w:tc>
      </w:tr>
      <w:tr w:rsidR="000A7AE8" w:rsidRPr="000A7AE8" w14:paraId="4CC3F7A5" w14:textId="77777777" w:rsidTr="004E2896">
        <w:trPr>
          <w:trHeight w:val="120"/>
        </w:trPr>
        <w:tc>
          <w:tcPr>
            <w:tcW w:w="4697" w:type="dxa"/>
            <w:vAlign w:val="center"/>
          </w:tcPr>
          <w:p w14:paraId="5FF674DF" w14:textId="77777777" w:rsidR="004E2896" w:rsidRPr="000A7AE8" w:rsidRDefault="004E2896" w:rsidP="00720A58">
            <w:pPr>
              <w:pStyle w:val="BMSTableText"/>
              <w:ind w:left="360"/>
              <w:jc w:val="left"/>
            </w:pPr>
            <w:r w:rsidRPr="000A7AE8">
              <w:t xml:space="preserve">nausea </w:t>
            </w:r>
          </w:p>
        </w:tc>
        <w:tc>
          <w:tcPr>
            <w:tcW w:w="2412" w:type="dxa"/>
          </w:tcPr>
          <w:p w14:paraId="0CEE7F43" w14:textId="77777777" w:rsidR="004E2896" w:rsidRPr="000A7AE8" w:rsidRDefault="004E2896" w:rsidP="00E1787C">
            <w:pPr>
              <w:pStyle w:val="BMSTableText"/>
            </w:pPr>
            <w:r w:rsidRPr="000A7AE8">
              <w:t xml:space="preserve">4.3 </w:t>
            </w:r>
          </w:p>
        </w:tc>
        <w:tc>
          <w:tcPr>
            <w:tcW w:w="2250" w:type="dxa"/>
          </w:tcPr>
          <w:p w14:paraId="3494D534" w14:textId="77777777" w:rsidR="004E2896" w:rsidRPr="000A7AE8" w:rsidRDefault="004E2896" w:rsidP="00E1787C">
            <w:pPr>
              <w:pStyle w:val="BMSTableText"/>
            </w:pPr>
            <w:r w:rsidRPr="000A7AE8">
              <w:t xml:space="preserve">4.3 </w:t>
            </w:r>
          </w:p>
        </w:tc>
      </w:tr>
      <w:tr w:rsidR="000A7AE8" w:rsidRPr="000A7AE8" w14:paraId="696D0FFE" w14:textId="77777777" w:rsidTr="004E2896">
        <w:trPr>
          <w:trHeight w:val="118"/>
        </w:trPr>
        <w:tc>
          <w:tcPr>
            <w:tcW w:w="4697" w:type="dxa"/>
            <w:tcBorders>
              <w:bottom w:val="nil"/>
            </w:tcBorders>
          </w:tcPr>
          <w:p w14:paraId="150040EC" w14:textId="77777777" w:rsidR="004E2896" w:rsidRPr="000A7AE8" w:rsidRDefault="004E2896" w:rsidP="00720A58">
            <w:pPr>
              <w:pStyle w:val="BMSTableText"/>
              <w:ind w:left="360"/>
              <w:jc w:val="left"/>
            </w:pPr>
            <w:r w:rsidRPr="000A7AE8">
              <w:t xml:space="preserve">mouth ulceration   </w:t>
            </w:r>
          </w:p>
        </w:tc>
        <w:tc>
          <w:tcPr>
            <w:tcW w:w="2412" w:type="dxa"/>
            <w:tcBorders>
              <w:bottom w:val="nil"/>
            </w:tcBorders>
          </w:tcPr>
          <w:p w14:paraId="45C75841" w14:textId="77777777" w:rsidR="004E2896" w:rsidRPr="000A7AE8" w:rsidRDefault="004E2896" w:rsidP="00E1787C">
            <w:pPr>
              <w:pStyle w:val="BMSTableText"/>
            </w:pPr>
            <w:r w:rsidRPr="000A7AE8">
              <w:t xml:space="preserve">1.6 </w:t>
            </w:r>
          </w:p>
        </w:tc>
        <w:tc>
          <w:tcPr>
            <w:tcW w:w="2250" w:type="dxa"/>
            <w:tcBorders>
              <w:bottom w:val="nil"/>
            </w:tcBorders>
          </w:tcPr>
          <w:p w14:paraId="0B918A23" w14:textId="77777777" w:rsidR="004E2896" w:rsidRPr="000A7AE8" w:rsidRDefault="004E2896" w:rsidP="00E1787C">
            <w:pPr>
              <w:pStyle w:val="BMSTableText"/>
            </w:pPr>
            <w:r w:rsidRPr="000A7AE8">
              <w:t xml:space="preserve">0.4 </w:t>
            </w:r>
          </w:p>
        </w:tc>
      </w:tr>
      <w:tr w:rsidR="000A7AE8" w:rsidRPr="000A7AE8" w14:paraId="58F26509" w14:textId="77777777" w:rsidTr="004E2896">
        <w:trPr>
          <w:trHeight w:val="120"/>
        </w:trPr>
        <w:tc>
          <w:tcPr>
            <w:tcW w:w="4697" w:type="dxa"/>
            <w:tcBorders>
              <w:top w:val="nil"/>
              <w:bottom w:val="single" w:sz="4" w:space="0" w:color="auto"/>
            </w:tcBorders>
          </w:tcPr>
          <w:p w14:paraId="180B74B8" w14:textId="77777777" w:rsidR="004E2896" w:rsidRPr="000A7AE8" w:rsidRDefault="004E2896" w:rsidP="00720A58">
            <w:pPr>
              <w:pStyle w:val="BMSTableText"/>
              <w:ind w:left="360"/>
              <w:jc w:val="left"/>
            </w:pPr>
            <w:proofErr w:type="spellStart"/>
            <w:r w:rsidRPr="000A7AE8">
              <w:t>diarrhoea</w:t>
            </w:r>
            <w:proofErr w:type="spellEnd"/>
            <w:r w:rsidRPr="000A7AE8">
              <w:t xml:space="preserve"> </w:t>
            </w:r>
          </w:p>
        </w:tc>
        <w:tc>
          <w:tcPr>
            <w:tcW w:w="2412" w:type="dxa"/>
            <w:tcBorders>
              <w:top w:val="nil"/>
              <w:bottom w:val="single" w:sz="4" w:space="0" w:color="auto"/>
            </w:tcBorders>
          </w:tcPr>
          <w:p w14:paraId="0A896A79" w14:textId="77777777" w:rsidR="004E2896" w:rsidRPr="000A7AE8" w:rsidRDefault="004E2896" w:rsidP="00E1787C">
            <w:pPr>
              <w:pStyle w:val="BMSTableText"/>
            </w:pPr>
            <w:r w:rsidRPr="000A7AE8">
              <w:t xml:space="preserve">1.2 </w:t>
            </w:r>
          </w:p>
        </w:tc>
        <w:tc>
          <w:tcPr>
            <w:tcW w:w="2250" w:type="dxa"/>
            <w:tcBorders>
              <w:top w:val="nil"/>
              <w:bottom w:val="single" w:sz="4" w:space="0" w:color="auto"/>
            </w:tcBorders>
          </w:tcPr>
          <w:p w14:paraId="54C65D34" w14:textId="77777777" w:rsidR="004E2896" w:rsidRPr="000A7AE8" w:rsidRDefault="004E2896" w:rsidP="00E1787C">
            <w:pPr>
              <w:pStyle w:val="BMSTableText"/>
            </w:pPr>
            <w:r w:rsidRPr="000A7AE8">
              <w:t xml:space="preserve">2.4 </w:t>
            </w:r>
          </w:p>
        </w:tc>
      </w:tr>
      <w:tr w:rsidR="000A7AE8" w:rsidRPr="000A7AE8" w14:paraId="64648A8F" w14:textId="77777777" w:rsidTr="004E2896">
        <w:trPr>
          <w:trHeight w:val="118"/>
        </w:trPr>
        <w:tc>
          <w:tcPr>
            <w:tcW w:w="4697" w:type="dxa"/>
            <w:tcBorders>
              <w:top w:val="single" w:sz="4" w:space="0" w:color="auto"/>
            </w:tcBorders>
          </w:tcPr>
          <w:p w14:paraId="661AFF9B" w14:textId="77777777" w:rsidR="004E2896" w:rsidRPr="000A7AE8" w:rsidRDefault="004E2896" w:rsidP="00E1787C">
            <w:pPr>
              <w:pStyle w:val="BMSTableText"/>
              <w:jc w:val="left"/>
              <w:rPr>
                <w:i/>
              </w:rPr>
            </w:pPr>
            <w:r w:rsidRPr="000A7AE8">
              <w:rPr>
                <w:i/>
              </w:rPr>
              <w:t xml:space="preserve">Nervous System Disorders </w:t>
            </w:r>
          </w:p>
        </w:tc>
        <w:tc>
          <w:tcPr>
            <w:tcW w:w="2412" w:type="dxa"/>
            <w:tcBorders>
              <w:top w:val="single" w:sz="4" w:space="0" w:color="auto"/>
            </w:tcBorders>
          </w:tcPr>
          <w:p w14:paraId="34CCC862" w14:textId="77777777" w:rsidR="004E2896" w:rsidRPr="000A7AE8" w:rsidRDefault="004E2896" w:rsidP="00E1787C">
            <w:pPr>
              <w:pStyle w:val="BMSTableText"/>
            </w:pPr>
          </w:p>
        </w:tc>
        <w:tc>
          <w:tcPr>
            <w:tcW w:w="2250" w:type="dxa"/>
            <w:tcBorders>
              <w:top w:val="single" w:sz="4" w:space="0" w:color="auto"/>
            </w:tcBorders>
          </w:tcPr>
          <w:p w14:paraId="2F3020BC" w14:textId="77777777" w:rsidR="004E2896" w:rsidRPr="000A7AE8" w:rsidRDefault="004E2896" w:rsidP="00E1787C">
            <w:pPr>
              <w:pStyle w:val="BMSTableText"/>
            </w:pPr>
          </w:p>
        </w:tc>
      </w:tr>
      <w:tr w:rsidR="000A7AE8" w:rsidRPr="000A7AE8" w14:paraId="2C027CDA" w14:textId="77777777" w:rsidTr="004E2896">
        <w:trPr>
          <w:trHeight w:val="120"/>
        </w:trPr>
        <w:tc>
          <w:tcPr>
            <w:tcW w:w="4697" w:type="dxa"/>
            <w:tcBorders>
              <w:bottom w:val="nil"/>
            </w:tcBorders>
          </w:tcPr>
          <w:p w14:paraId="00248DFC" w14:textId="77777777" w:rsidR="004E2896" w:rsidRPr="000A7AE8" w:rsidRDefault="004E2896" w:rsidP="00720A58">
            <w:pPr>
              <w:pStyle w:val="BMSTableText"/>
              <w:ind w:left="360"/>
              <w:jc w:val="left"/>
            </w:pPr>
            <w:r w:rsidRPr="000A7AE8">
              <w:t xml:space="preserve">headache </w:t>
            </w:r>
          </w:p>
        </w:tc>
        <w:tc>
          <w:tcPr>
            <w:tcW w:w="2412" w:type="dxa"/>
            <w:tcBorders>
              <w:bottom w:val="nil"/>
            </w:tcBorders>
          </w:tcPr>
          <w:p w14:paraId="15679D98" w14:textId="77777777" w:rsidR="004E2896" w:rsidRPr="000A7AE8" w:rsidRDefault="004E2896" w:rsidP="00E1787C">
            <w:pPr>
              <w:pStyle w:val="BMSTableText"/>
            </w:pPr>
            <w:r w:rsidRPr="000A7AE8">
              <w:t xml:space="preserve">3.5 </w:t>
            </w:r>
          </w:p>
        </w:tc>
        <w:tc>
          <w:tcPr>
            <w:tcW w:w="2250" w:type="dxa"/>
            <w:tcBorders>
              <w:bottom w:val="nil"/>
            </w:tcBorders>
          </w:tcPr>
          <w:p w14:paraId="431587AB" w14:textId="77777777" w:rsidR="004E2896" w:rsidRPr="000A7AE8" w:rsidRDefault="004E2896" w:rsidP="00E1787C">
            <w:pPr>
              <w:pStyle w:val="BMSTableText"/>
            </w:pPr>
            <w:r w:rsidRPr="000A7AE8">
              <w:t xml:space="preserve">3.6 </w:t>
            </w:r>
          </w:p>
        </w:tc>
      </w:tr>
      <w:tr w:rsidR="000A7AE8" w:rsidRPr="000A7AE8" w14:paraId="4EF797A2" w14:textId="77777777" w:rsidTr="004E2896">
        <w:trPr>
          <w:trHeight w:val="120"/>
        </w:trPr>
        <w:tc>
          <w:tcPr>
            <w:tcW w:w="4697" w:type="dxa"/>
            <w:tcBorders>
              <w:top w:val="nil"/>
              <w:bottom w:val="single" w:sz="4" w:space="0" w:color="auto"/>
            </w:tcBorders>
          </w:tcPr>
          <w:p w14:paraId="767C790E" w14:textId="77777777" w:rsidR="004E2896" w:rsidRPr="000A7AE8" w:rsidRDefault="004E2896" w:rsidP="00720A58">
            <w:pPr>
              <w:pStyle w:val="BMSTableText"/>
              <w:ind w:left="360"/>
              <w:jc w:val="left"/>
            </w:pPr>
            <w:r w:rsidRPr="000A7AE8">
              <w:t xml:space="preserve">dizziness </w:t>
            </w:r>
          </w:p>
        </w:tc>
        <w:tc>
          <w:tcPr>
            <w:tcW w:w="2412" w:type="dxa"/>
            <w:tcBorders>
              <w:top w:val="nil"/>
              <w:bottom w:val="single" w:sz="4" w:space="0" w:color="auto"/>
            </w:tcBorders>
          </w:tcPr>
          <w:p w14:paraId="203D0154" w14:textId="77777777" w:rsidR="004E2896" w:rsidRPr="000A7AE8" w:rsidRDefault="004E2896" w:rsidP="00E1787C">
            <w:pPr>
              <w:pStyle w:val="BMSTableText"/>
            </w:pPr>
            <w:r w:rsidRPr="000A7AE8">
              <w:t xml:space="preserve">3.5 </w:t>
            </w:r>
          </w:p>
        </w:tc>
        <w:tc>
          <w:tcPr>
            <w:tcW w:w="2250" w:type="dxa"/>
            <w:tcBorders>
              <w:top w:val="nil"/>
              <w:bottom w:val="single" w:sz="4" w:space="0" w:color="auto"/>
            </w:tcBorders>
          </w:tcPr>
          <w:p w14:paraId="5F68B514" w14:textId="77777777" w:rsidR="004E2896" w:rsidRPr="000A7AE8" w:rsidRDefault="004E2896" w:rsidP="00E1787C">
            <w:pPr>
              <w:pStyle w:val="BMSTableText"/>
            </w:pPr>
            <w:r w:rsidRPr="000A7AE8">
              <w:t xml:space="preserve">2.4 </w:t>
            </w:r>
          </w:p>
        </w:tc>
      </w:tr>
      <w:tr w:rsidR="000A7AE8" w:rsidRPr="000A7AE8" w14:paraId="359E38A4" w14:textId="77777777" w:rsidTr="004E2896">
        <w:trPr>
          <w:trHeight w:val="118"/>
        </w:trPr>
        <w:tc>
          <w:tcPr>
            <w:tcW w:w="4697" w:type="dxa"/>
            <w:tcBorders>
              <w:top w:val="single" w:sz="4" w:space="0" w:color="auto"/>
            </w:tcBorders>
          </w:tcPr>
          <w:p w14:paraId="0B80F3C0" w14:textId="77777777" w:rsidR="004E2896" w:rsidRPr="000A7AE8" w:rsidRDefault="004E2896" w:rsidP="00E1787C">
            <w:pPr>
              <w:pStyle w:val="BMSTableText"/>
              <w:jc w:val="left"/>
              <w:rPr>
                <w:i/>
              </w:rPr>
            </w:pPr>
            <w:r w:rsidRPr="000A7AE8">
              <w:rPr>
                <w:i/>
              </w:rPr>
              <w:t xml:space="preserve">Investigations </w:t>
            </w:r>
          </w:p>
        </w:tc>
        <w:tc>
          <w:tcPr>
            <w:tcW w:w="2412" w:type="dxa"/>
            <w:tcBorders>
              <w:top w:val="single" w:sz="4" w:space="0" w:color="auto"/>
            </w:tcBorders>
          </w:tcPr>
          <w:p w14:paraId="6D13D4AE" w14:textId="77777777" w:rsidR="004E2896" w:rsidRPr="000A7AE8" w:rsidRDefault="004E2896" w:rsidP="00E1787C">
            <w:pPr>
              <w:pStyle w:val="BMSTableText"/>
            </w:pPr>
          </w:p>
        </w:tc>
        <w:tc>
          <w:tcPr>
            <w:tcW w:w="2250" w:type="dxa"/>
            <w:tcBorders>
              <w:top w:val="single" w:sz="4" w:space="0" w:color="auto"/>
            </w:tcBorders>
          </w:tcPr>
          <w:p w14:paraId="2CD2FF70" w14:textId="77777777" w:rsidR="004E2896" w:rsidRPr="000A7AE8" w:rsidRDefault="004E2896" w:rsidP="00E1787C">
            <w:pPr>
              <w:pStyle w:val="BMSTableText"/>
            </w:pPr>
          </w:p>
        </w:tc>
      </w:tr>
      <w:tr w:rsidR="000A7AE8" w:rsidRPr="000A7AE8" w14:paraId="3CD3AF72" w14:textId="77777777" w:rsidTr="004E2896">
        <w:trPr>
          <w:trHeight w:val="120"/>
        </w:trPr>
        <w:tc>
          <w:tcPr>
            <w:tcW w:w="4697" w:type="dxa"/>
          </w:tcPr>
          <w:p w14:paraId="11EFB3F6" w14:textId="77777777" w:rsidR="004E2896" w:rsidRPr="000A7AE8" w:rsidRDefault="004E2896" w:rsidP="00720A58">
            <w:pPr>
              <w:pStyle w:val="BMSTableText"/>
              <w:ind w:left="360"/>
              <w:jc w:val="left"/>
            </w:pPr>
            <w:r w:rsidRPr="000A7AE8">
              <w:t xml:space="preserve">alanine aminotransferase increased </w:t>
            </w:r>
          </w:p>
        </w:tc>
        <w:tc>
          <w:tcPr>
            <w:tcW w:w="2412" w:type="dxa"/>
          </w:tcPr>
          <w:p w14:paraId="33D7A9AD" w14:textId="77777777" w:rsidR="004E2896" w:rsidRPr="000A7AE8" w:rsidRDefault="004E2896" w:rsidP="00E1787C">
            <w:pPr>
              <w:pStyle w:val="BMSTableText"/>
            </w:pPr>
            <w:r w:rsidRPr="000A7AE8">
              <w:t xml:space="preserve">3.1 </w:t>
            </w:r>
          </w:p>
        </w:tc>
        <w:tc>
          <w:tcPr>
            <w:tcW w:w="2250" w:type="dxa"/>
          </w:tcPr>
          <w:p w14:paraId="73952C5C" w14:textId="77777777" w:rsidR="004E2896" w:rsidRPr="000A7AE8" w:rsidRDefault="004E2896" w:rsidP="00E1787C">
            <w:pPr>
              <w:pStyle w:val="BMSTableText"/>
            </w:pPr>
            <w:r w:rsidRPr="000A7AE8">
              <w:t xml:space="preserve">2.4 </w:t>
            </w:r>
          </w:p>
        </w:tc>
      </w:tr>
      <w:tr w:rsidR="000A7AE8" w:rsidRPr="000A7AE8" w14:paraId="5B0F514E" w14:textId="77777777" w:rsidTr="004E2896">
        <w:trPr>
          <w:trHeight w:val="118"/>
        </w:trPr>
        <w:tc>
          <w:tcPr>
            <w:tcW w:w="4697" w:type="dxa"/>
            <w:tcBorders>
              <w:bottom w:val="nil"/>
            </w:tcBorders>
          </w:tcPr>
          <w:p w14:paraId="1FFE8328" w14:textId="77777777" w:rsidR="004E2896" w:rsidRPr="000A7AE8" w:rsidRDefault="004E2896" w:rsidP="00720A58">
            <w:pPr>
              <w:pStyle w:val="BMSTableText"/>
              <w:ind w:left="360"/>
              <w:jc w:val="left"/>
            </w:pPr>
            <w:r w:rsidRPr="000A7AE8">
              <w:t xml:space="preserve">aspartate aminotransferase increased </w:t>
            </w:r>
          </w:p>
        </w:tc>
        <w:tc>
          <w:tcPr>
            <w:tcW w:w="2412" w:type="dxa"/>
            <w:tcBorders>
              <w:bottom w:val="nil"/>
            </w:tcBorders>
          </w:tcPr>
          <w:p w14:paraId="01FA47BD" w14:textId="77777777" w:rsidR="004E2896" w:rsidRPr="000A7AE8" w:rsidRDefault="004E2896" w:rsidP="00E1787C">
            <w:pPr>
              <w:pStyle w:val="BMSTableText"/>
            </w:pPr>
            <w:r w:rsidRPr="000A7AE8">
              <w:t xml:space="preserve">2.0 </w:t>
            </w:r>
          </w:p>
        </w:tc>
        <w:tc>
          <w:tcPr>
            <w:tcW w:w="2250" w:type="dxa"/>
            <w:tcBorders>
              <w:bottom w:val="nil"/>
            </w:tcBorders>
          </w:tcPr>
          <w:p w14:paraId="799EC598" w14:textId="77777777" w:rsidR="004E2896" w:rsidRPr="000A7AE8" w:rsidRDefault="004E2896" w:rsidP="00E1787C">
            <w:pPr>
              <w:pStyle w:val="BMSTableText"/>
            </w:pPr>
            <w:r w:rsidRPr="000A7AE8">
              <w:t xml:space="preserve">1.6 </w:t>
            </w:r>
          </w:p>
        </w:tc>
      </w:tr>
      <w:tr w:rsidR="000A7AE8" w:rsidRPr="000A7AE8" w14:paraId="0A154503" w14:textId="77777777" w:rsidTr="004E2896">
        <w:trPr>
          <w:trHeight w:val="120"/>
        </w:trPr>
        <w:tc>
          <w:tcPr>
            <w:tcW w:w="4697" w:type="dxa"/>
            <w:tcBorders>
              <w:top w:val="nil"/>
              <w:bottom w:val="single" w:sz="4" w:space="0" w:color="auto"/>
            </w:tcBorders>
          </w:tcPr>
          <w:p w14:paraId="75AEFC44" w14:textId="77777777" w:rsidR="004E2896" w:rsidRPr="000A7AE8" w:rsidRDefault="004E2896" w:rsidP="00720A58">
            <w:pPr>
              <w:pStyle w:val="BMSTableText"/>
              <w:ind w:left="360"/>
              <w:jc w:val="left"/>
            </w:pPr>
            <w:r w:rsidRPr="000A7AE8">
              <w:t xml:space="preserve">weight increased </w:t>
            </w:r>
          </w:p>
        </w:tc>
        <w:tc>
          <w:tcPr>
            <w:tcW w:w="2412" w:type="dxa"/>
            <w:tcBorders>
              <w:top w:val="nil"/>
              <w:bottom w:val="single" w:sz="4" w:space="0" w:color="auto"/>
            </w:tcBorders>
          </w:tcPr>
          <w:p w14:paraId="5510C239" w14:textId="77777777" w:rsidR="004E2896" w:rsidRPr="000A7AE8" w:rsidRDefault="004E2896" w:rsidP="00E1787C">
            <w:pPr>
              <w:pStyle w:val="BMSTableText"/>
            </w:pPr>
            <w:r w:rsidRPr="000A7AE8">
              <w:t xml:space="preserve">1.2 </w:t>
            </w:r>
          </w:p>
        </w:tc>
        <w:tc>
          <w:tcPr>
            <w:tcW w:w="2250" w:type="dxa"/>
            <w:tcBorders>
              <w:top w:val="nil"/>
              <w:bottom w:val="single" w:sz="4" w:space="0" w:color="auto"/>
            </w:tcBorders>
          </w:tcPr>
          <w:p w14:paraId="7EF7F8EB" w14:textId="77777777" w:rsidR="004E2896" w:rsidRPr="000A7AE8" w:rsidRDefault="004E2896" w:rsidP="00E1787C">
            <w:pPr>
              <w:pStyle w:val="BMSTableText"/>
            </w:pPr>
            <w:r w:rsidRPr="000A7AE8">
              <w:t xml:space="preserve">0 </w:t>
            </w:r>
          </w:p>
        </w:tc>
      </w:tr>
      <w:tr w:rsidR="000A7AE8" w:rsidRPr="000A7AE8" w14:paraId="52A62BE7" w14:textId="77777777" w:rsidTr="004E2896">
        <w:trPr>
          <w:trHeight w:val="118"/>
        </w:trPr>
        <w:tc>
          <w:tcPr>
            <w:tcW w:w="4697" w:type="dxa"/>
            <w:tcBorders>
              <w:top w:val="single" w:sz="4" w:space="0" w:color="auto"/>
              <w:bottom w:val="nil"/>
            </w:tcBorders>
          </w:tcPr>
          <w:p w14:paraId="6D053E75" w14:textId="77777777" w:rsidR="004E2896" w:rsidRPr="000A7AE8" w:rsidRDefault="004E2896" w:rsidP="00E1787C">
            <w:pPr>
              <w:pStyle w:val="BMSTableText"/>
              <w:jc w:val="left"/>
              <w:rPr>
                <w:i/>
              </w:rPr>
            </w:pPr>
            <w:r w:rsidRPr="000A7AE8">
              <w:rPr>
                <w:i/>
              </w:rPr>
              <w:t xml:space="preserve">Respiratory, Thoracic and Mediastinal Disorders </w:t>
            </w:r>
          </w:p>
        </w:tc>
        <w:tc>
          <w:tcPr>
            <w:tcW w:w="2412" w:type="dxa"/>
            <w:tcBorders>
              <w:top w:val="single" w:sz="4" w:space="0" w:color="auto"/>
              <w:bottom w:val="nil"/>
            </w:tcBorders>
          </w:tcPr>
          <w:p w14:paraId="7D39FB72" w14:textId="77777777" w:rsidR="004E2896" w:rsidRPr="000A7AE8" w:rsidRDefault="004E2896" w:rsidP="00E1787C">
            <w:pPr>
              <w:pStyle w:val="BMSTableText"/>
            </w:pPr>
          </w:p>
        </w:tc>
        <w:tc>
          <w:tcPr>
            <w:tcW w:w="2250" w:type="dxa"/>
            <w:tcBorders>
              <w:top w:val="single" w:sz="4" w:space="0" w:color="auto"/>
              <w:bottom w:val="nil"/>
            </w:tcBorders>
          </w:tcPr>
          <w:p w14:paraId="347048D0" w14:textId="77777777" w:rsidR="004E2896" w:rsidRPr="000A7AE8" w:rsidRDefault="004E2896" w:rsidP="00E1787C">
            <w:pPr>
              <w:pStyle w:val="BMSTableText"/>
            </w:pPr>
          </w:p>
        </w:tc>
      </w:tr>
      <w:tr w:rsidR="000A7AE8" w:rsidRPr="000A7AE8" w14:paraId="7A12FD68" w14:textId="77777777" w:rsidTr="004E2896">
        <w:trPr>
          <w:trHeight w:val="120"/>
        </w:trPr>
        <w:tc>
          <w:tcPr>
            <w:tcW w:w="4697" w:type="dxa"/>
            <w:tcBorders>
              <w:top w:val="nil"/>
              <w:bottom w:val="single" w:sz="4" w:space="0" w:color="auto"/>
            </w:tcBorders>
          </w:tcPr>
          <w:p w14:paraId="4BEF1CAD" w14:textId="77777777" w:rsidR="004E2896" w:rsidRPr="000A7AE8" w:rsidRDefault="004E2896" w:rsidP="00720A58">
            <w:pPr>
              <w:pStyle w:val="BMSTableText"/>
              <w:ind w:left="360"/>
              <w:jc w:val="left"/>
            </w:pPr>
            <w:r w:rsidRPr="000A7AE8">
              <w:t>cough</w:t>
            </w:r>
          </w:p>
        </w:tc>
        <w:tc>
          <w:tcPr>
            <w:tcW w:w="2412" w:type="dxa"/>
            <w:tcBorders>
              <w:top w:val="nil"/>
              <w:bottom w:val="single" w:sz="4" w:space="0" w:color="auto"/>
            </w:tcBorders>
          </w:tcPr>
          <w:p w14:paraId="2F2BF7EF" w14:textId="77777777" w:rsidR="004E2896" w:rsidRPr="000A7AE8" w:rsidRDefault="004E2896" w:rsidP="00E1787C">
            <w:pPr>
              <w:pStyle w:val="BMSTableText"/>
            </w:pPr>
            <w:r w:rsidRPr="000A7AE8">
              <w:t xml:space="preserve"> 2.7 </w:t>
            </w:r>
          </w:p>
        </w:tc>
        <w:tc>
          <w:tcPr>
            <w:tcW w:w="2250" w:type="dxa"/>
            <w:tcBorders>
              <w:top w:val="nil"/>
              <w:bottom w:val="single" w:sz="4" w:space="0" w:color="auto"/>
            </w:tcBorders>
          </w:tcPr>
          <w:p w14:paraId="44D3528E" w14:textId="77777777" w:rsidR="004E2896" w:rsidRPr="000A7AE8" w:rsidRDefault="004E2896" w:rsidP="00E1787C">
            <w:pPr>
              <w:pStyle w:val="BMSTableText"/>
            </w:pPr>
            <w:r w:rsidRPr="000A7AE8">
              <w:t xml:space="preserve">1.6 </w:t>
            </w:r>
          </w:p>
        </w:tc>
      </w:tr>
      <w:tr w:rsidR="000A7AE8" w:rsidRPr="000A7AE8" w14:paraId="55F61A06" w14:textId="77777777" w:rsidTr="00203339">
        <w:trPr>
          <w:trHeight w:val="120"/>
        </w:trPr>
        <w:tc>
          <w:tcPr>
            <w:tcW w:w="4697" w:type="dxa"/>
            <w:tcBorders>
              <w:top w:val="single" w:sz="4" w:space="0" w:color="auto"/>
              <w:bottom w:val="nil"/>
            </w:tcBorders>
          </w:tcPr>
          <w:p w14:paraId="4590673B" w14:textId="77777777" w:rsidR="004E2896" w:rsidRPr="000A7AE8" w:rsidRDefault="004E2896" w:rsidP="00E1787C">
            <w:pPr>
              <w:pStyle w:val="BMSTableText"/>
              <w:jc w:val="left"/>
              <w:rPr>
                <w:i/>
              </w:rPr>
            </w:pPr>
            <w:r w:rsidRPr="000A7AE8">
              <w:rPr>
                <w:i/>
              </w:rPr>
              <w:t xml:space="preserve">General Disorders and Administration Site Conditions </w:t>
            </w:r>
          </w:p>
        </w:tc>
        <w:tc>
          <w:tcPr>
            <w:tcW w:w="2412" w:type="dxa"/>
            <w:tcBorders>
              <w:top w:val="single" w:sz="4" w:space="0" w:color="auto"/>
              <w:bottom w:val="nil"/>
            </w:tcBorders>
          </w:tcPr>
          <w:p w14:paraId="4FD5245D" w14:textId="77777777" w:rsidR="004E2896" w:rsidRPr="000A7AE8" w:rsidRDefault="004E2896" w:rsidP="00E1787C">
            <w:pPr>
              <w:pStyle w:val="BMSTableText"/>
            </w:pPr>
          </w:p>
        </w:tc>
        <w:tc>
          <w:tcPr>
            <w:tcW w:w="2250" w:type="dxa"/>
            <w:tcBorders>
              <w:top w:val="single" w:sz="4" w:space="0" w:color="auto"/>
              <w:bottom w:val="nil"/>
            </w:tcBorders>
          </w:tcPr>
          <w:p w14:paraId="3EE0ED22" w14:textId="77777777" w:rsidR="004E2896" w:rsidRPr="000A7AE8" w:rsidRDefault="004E2896" w:rsidP="00E1787C">
            <w:pPr>
              <w:pStyle w:val="BMSTableText"/>
            </w:pPr>
          </w:p>
        </w:tc>
      </w:tr>
      <w:tr w:rsidR="000A7AE8" w:rsidRPr="000A7AE8" w14:paraId="03BABBC4" w14:textId="77777777" w:rsidTr="00203339">
        <w:trPr>
          <w:trHeight w:val="118"/>
        </w:trPr>
        <w:tc>
          <w:tcPr>
            <w:tcW w:w="4697" w:type="dxa"/>
            <w:tcBorders>
              <w:top w:val="nil"/>
              <w:bottom w:val="single" w:sz="4" w:space="0" w:color="auto"/>
            </w:tcBorders>
          </w:tcPr>
          <w:p w14:paraId="5D514EDD" w14:textId="77777777" w:rsidR="004E2896" w:rsidRPr="000A7AE8" w:rsidRDefault="004E2896" w:rsidP="00720A58">
            <w:pPr>
              <w:pStyle w:val="BMSTableText"/>
              <w:ind w:left="360"/>
              <w:jc w:val="left"/>
            </w:pPr>
            <w:r w:rsidRPr="000A7AE8">
              <w:t xml:space="preserve">fatigue </w:t>
            </w:r>
          </w:p>
        </w:tc>
        <w:tc>
          <w:tcPr>
            <w:tcW w:w="2412" w:type="dxa"/>
            <w:tcBorders>
              <w:top w:val="nil"/>
              <w:bottom w:val="single" w:sz="4" w:space="0" w:color="auto"/>
            </w:tcBorders>
          </w:tcPr>
          <w:p w14:paraId="134B69B3" w14:textId="77777777" w:rsidR="004E2896" w:rsidRPr="000A7AE8" w:rsidRDefault="004E2896" w:rsidP="00E1787C">
            <w:pPr>
              <w:pStyle w:val="BMSTableText"/>
            </w:pPr>
            <w:r w:rsidRPr="000A7AE8">
              <w:t xml:space="preserve">1.2 </w:t>
            </w:r>
          </w:p>
        </w:tc>
        <w:tc>
          <w:tcPr>
            <w:tcW w:w="2250" w:type="dxa"/>
            <w:tcBorders>
              <w:top w:val="nil"/>
              <w:bottom w:val="single" w:sz="4" w:space="0" w:color="auto"/>
            </w:tcBorders>
          </w:tcPr>
          <w:p w14:paraId="4F22C3B4" w14:textId="77777777" w:rsidR="004E2896" w:rsidRPr="000A7AE8" w:rsidRDefault="004E2896" w:rsidP="00E1787C">
            <w:pPr>
              <w:pStyle w:val="BMSTableText"/>
            </w:pPr>
            <w:r w:rsidRPr="000A7AE8">
              <w:t xml:space="preserve">1.2 </w:t>
            </w:r>
          </w:p>
        </w:tc>
      </w:tr>
      <w:tr w:rsidR="000A7AE8" w:rsidRPr="000A7AE8" w14:paraId="421BE236" w14:textId="77777777" w:rsidTr="00203339">
        <w:trPr>
          <w:trHeight w:val="120"/>
        </w:trPr>
        <w:tc>
          <w:tcPr>
            <w:tcW w:w="4697" w:type="dxa"/>
            <w:tcBorders>
              <w:top w:val="single" w:sz="4" w:space="0" w:color="auto"/>
            </w:tcBorders>
          </w:tcPr>
          <w:p w14:paraId="2DC20CD8" w14:textId="7E8067E0" w:rsidR="004E2896" w:rsidRPr="000A7AE8" w:rsidRDefault="00027F68" w:rsidP="00027F68">
            <w:pPr>
              <w:pStyle w:val="BMSTableText"/>
              <w:jc w:val="left"/>
            </w:pPr>
            <w:r w:rsidRPr="000A7AE8">
              <w:rPr>
                <w:i/>
              </w:rPr>
              <w:t>V</w:t>
            </w:r>
            <w:r w:rsidR="004E2896" w:rsidRPr="000A7AE8">
              <w:rPr>
                <w:i/>
              </w:rPr>
              <w:t xml:space="preserve">ascular </w:t>
            </w:r>
            <w:r w:rsidRPr="000A7AE8">
              <w:rPr>
                <w:i/>
              </w:rPr>
              <w:t>D</w:t>
            </w:r>
            <w:r w:rsidR="004E2896" w:rsidRPr="000A7AE8">
              <w:rPr>
                <w:i/>
              </w:rPr>
              <w:t>isorders</w:t>
            </w:r>
            <w:r w:rsidR="004E2896" w:rsidRPr="000A7AE8">
              <w:t xml:space="preserve"> </w:t>
            </w:r>
          </w:p>
        </w:tc>
        <w:tc>
          <w:tcPr>
            <w:tcW w:w="2412" w:type="dxa"/>
            <w:tcBorders>
              <w:top w:val="single" w:sz="4" w:space="0" w:color="auto"/>
            </w:tcBorders>
          </w:tcPr>
          <w:p w14:paraId="08738E9E" w14:textId="77777777" w:rsidR="004E2896" w:rsidRPr="000A7AE8" w:rsidRDefault="004E2896" w:rsidP="00E1787C">
            <w:pPr>
              <w:pStyle w:val="BMSTableText"/>
            </w:pPr>
          </w:p>
        </w:tc>
        <w:tc>
          <w:tcPr>
            <w:tcW w:w="2250" w:type="dxa"/>
            <w:tcBorders>
              <w:top w:val="single" w:sz="4" w:space="0" w:color="auto"/>
            </w:tcBorders>
          </w:tcPr>
          <w:p w14:paraId="5432F633" w14:textId="77777777" w:rsidR="004E2896" w:rsidRPr="000A7AE8" w:rsidRDefault="004E2896" w:rsidP="00E1787C">
            <w:pPr>
              <w:pStyle w:val="BMSTableText"/>
            </w:pPr>
          </w:p>
        </w:tc>
      </w:tr>
      <w:tr w:rsidR="000A7AE8" w:rsidRPr="000A7AE8" w14:paraId="5E7EA838" w14:textId="77777777" w:rsidTr="004E2896">
        <w:trPr>
          <w:trHeight w:val="118"/>
        </w:trPr>
        <w:tc>
          <w:tcPr>
            <w:tcW w:w="4697" w:type="dxa"/>
          </w:tcPr>
          <w:p w14:paraId="42C209BC" w14:textId="77777777" w:rsidR="004E2896" w:rsidRPr="000A7AE8" w:rsidRDefault="004E2896" w:rsidP="00720A58">
            <w:pPr>
              <w:pStyle w:val="BMSTableText"/>
              <w:ind w:left="360"/>
              <w:jc w:val="left"/>
            </w:pPr>
            <w:r w:rsidRPr="000A7AE8">
              <w:t>hypertension</w:t>
            </w:r>
          </w:p>
        </w:tc>
        <w:tc>
          <w:tcPr>
            <w:tcW w:w="2412" w:type="dxa"/>
          </w:tcPr>
          <w:p w14:paraId="28FC3C27" w14:textId="77777777" w:rsidR="004E2896" w:rsidRPr="000A7AE8" w:rsidRDefault="004E2896" w:rsidP="00E1787C">
            <w:pPr>
              <w:pStyle w:val="BMSTableText"/>
            </w:pPr>
            <w:r w:rsidRPr="000A7AE8">
              <w:t xml:space="preserve"> 1.2 </w:t>
            </w:r>
          </w:p>
        </w:tc>
        <w:tc>
          <w:tcPr>
            <w:tcW w:w="2250" w:type="dxa"/>
          </w:tcPr>
          <w:p w14:paraId="6F9C6940" w14:textId="77777777" w:rsidR="004E2896" w:rsidRPr="000A7AE8" w:rsidRDefault="004E2896" w:rsidP="00E1787C">
            <w:pPr>
              <w:pStyle w:val="BMSTableText"/>
            </w:pPr>
            <w:r w:rsidRPr="000A7AE8">
              <w:t xml:space="preserve">1.6 </w:t>
            </w:r>
          </w:p>
        </w:tc>
      </w:tr>
    </w:tbl>
    <w:p w14:paraId="3C0862CE" w14:textId="77777777" w:rsidR="004E2896" w:rsidRPr="000A7AE8" w:rsidRDefault="004E2896" w:rsidP="004E2896">
      <w:pPr>
        <w:pStyle w:val="CM45"/>
        <w:spacing w:after="122"/>
        <w:rPr>
          <w:b/>
          <w:bCs/>
          <w:sz w:val="22"/>
          <w:szCs w:val="22"/>
          <w:u w:val="single"/>
        </w:rPr>
      </w:pPr>
    </w:p>
    <w:p w14:paraId="69475D02" w14:textId="77777777" w:rsidR="004E2896" w:rsidRPr="000A7AE8" w:rsidRDefault="004E2896" w:rsidP="00C02EB7">
      <w:pPr>
        <w:pStyle w:val="Heading4"/>
      </w:pPr>
      <w:r w:rsidRPr="000A7AE8">
        <w:t xml:space="preserve">Less common Clinical Trial Adverse Drug Reactions (&lt;1.0%) </w:t>
      </w:r>
    </w:p>
    <w:p w14:paraId="71C7FFF9" w14:textId="77777777" w:rsidR="004E2896" w:rsidRPr="000A7AE8" w:rsidRDefault="004E2896" w:rsidP="004E2896">
      <w:pPr>
        <w:rPr>
          <w:rFonts w:cs="Times New Roman"/>
        </w:rPr>
      </w:pPr>
      <w:r w:rsidRPr="000A7AE8">
        <w:rPr>
          <w:rFonts w:cs="Times New Roman"/>
        </w:rPr>
        <w:t>ADRs reported in less than 1% of patients receiving ORENCIA</w:t>
      </w:r>
      <w:r w:rsidRPr="000A7AE8">
        <w:rPr>
          <w:rFonts w:cs="Times New Roman"/>
          <w:vertAlign w:val="superscript"/>
        </w:rPr>
        <w:sym w:font="Symbol" w:char="F0D2"/>
      </w:r>
      <w:r w:rsidRPr="000A7AE8">
        <w:rPr>
          <w:rFonts w:cs="Times New Roman"/>
        </w:rPr>
        <w:t xml:space="preserve"> + MTX in the AGREE Trial and not listed in </w:t>
      </w:r>
      <w:r w:rsidRPr="000A7AE8">
        <w:rPr>
          <w:rFonts w:cs="Times New Roman"/>
          <w:bCs/>
        </w:rPr>
        <w:t>Table 11</w:t>
      </w:r>
      <w:r w:rsidRPr="000A7AE8">
        <w:rPr>
          <w:rFonts w:cs="Times New Roman"/>
        </w:rPr>
        <w:t xml:space="preserve"> are listed below by body system.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6132"/>
      </w:tblGrid>
      <w:tr w:rsidR="000A7AE8" w:rsidRPr="000A7AE8" w14:paraId="6270E2C7" w14:textId="77777777" w:rsidTr="00E1787C">
        <w:trPr>
          <w:trHeight w:val="651"/>
        </w:trPr>
        <w:tc>
          <w:tcPr>
            <w:tcW w:w="2894" w:type="dxa"/>
            <w:tcBorders>
              <w:top w:val="nil"/>
              <w:left w:val="nil"/>
              <w:bottom w:val="nil"/>
              <w:right w:val="nil"/>
            </w:tcBorders>
            <w:shd w:val="clear" w:color="auto" w:fill="auto"/>
          </w:tcPr>
          <w:p w14:paraId="301948DA" w14:textId="77777777" w:rsidR="004E2896" w:rsidRPr="000A7AE8" w:rsidRDefault="004E2896" w:rsidP="004E2896">
            <w:pPr>
              <w:rPr>
                <w:rFonts w:cs="Times New Roman"/>
                <w:i/>
              </w:rPr>
            </w:pPr>
            <w:r w:rsidRPr="000A7AE8">
              <w:rPr>
                <w:rFonts w:cs="Times New Roman"/>
                <w:i/>
                <w:iCs/>
              </w:rPr>
              <w:t>Blood and lymphatic system disorders</w:t>
            </w:r>
            <w:r w:rsidRPr="000A7AE8">
              <w:rPr>
                <w:rFonts w:cs="Times New Roman"/>
                <w:i/>
              </w:rPr>
              <w:t xml:space="preserve">: </w:t>
            </w:r>
          </w:p>
        </w:tc>
        <w:tc>
          <w:tcPr>
            <w:tcW w:w="6132" w:type="dxa"/>
            <w:tcBorders>
              <w:top w:val="nil"/>
              <w:left w:val="nil"/>
              <w:bottom w:val="nil"/>
              <w:right w:val="nil"/>
            </w:tcBorders>
            <w:shd w:val="clear" w:color="auto" w:fill="auto"/>
          </w:tcPr>
          <w:p w14:paraId="550CADB5" w14:textId="77777777" w:rsidR="004E2896" w:rsidRPr="000A7AE8" w:rsidRDefault="004E2896" w:rsidP="004E2896">
            <w:pPr>
              <w:rPr>
                <w:rFonts w:cs="Times New Roman"/>
              </w:rPr>
            </w:pPr>
            <w:r w:rsidRPr="000A7AE8">
              <w:rPr>
                <w:rFonts w:cs="Times New Roman"/>
              </w:rPr>
              <w:t>anaemia</w:t>
            </w:r>
          </w:p>
        </w:tc>
      </w:tr>
      <w:tr w:rsidR="000A7AE8" w:rsidRPr="000A7AE8" w14:paraId="6293C45D" w14:textId="77777777" w:rsidTr="00E1787C">
        <w:trPr>
          <w:trHeight w:val="434"/>
        </w:trPr>
        <w:tc>
          <w:tcPr>
            <w:tcW w:w="2894" w:type="dxa"/>
            <w:tcBorders>
              <w:top w:val="nil"/>
              <w:left w:val="nil"/>
              <w:bottom w:val="nil"/>
              <w:right w:val="nil"/>
            </w:tcBorders>
            <w:shd w:val="clear" w:color="auto" w:fill="auto"/>
          </w:tcPr>
          <w:p w14:paraId="1FB8C6F5" w14:textId="77777777" w:rsidR="004E2896" w:rsidRPr="000A7AE8" w:rsidRDefault="004E2896" w:rsidP="004E2896">
            <w:pPr>
              <w:rPr>
                <w:rFonts w:cs="Times New Roman"/>
                <w:i/>
              </w:rPr>
            </w:pPr>
            <w:r w:rsidRPr="000A7AE8">
              <w:rPr>
                <w:rFonts w:cs="Times New Roman"/>
                <w:i/>
                <w:iCs/>
              </w:rPr>
              <w:lastRenderedPageBreak/>
              <w:t>Ear and labyrinth disorders</w:t>
            </w:r>
            <w:r w:rsidRPr="000A7AE8">
              <w:rPr>
                <w:rFonts w:cs="Times New Roman"/>
                <w:i/>
              </w:rPr>
              <w:t>:</w:t>
            </w:r>
          </w:p>
        </w:tc>
        <w:tc>
          <w:tcPr>
            <w:tcW w:w="6132" w:type="dxa"/>
            <w:tcBorders>
              <w:top w:val="nil"/>
              <w:left w:val="nil"/>
              <w:bottom w:val="nil"/>
              <w:right w:val="nil"/>
            </w:tcBorders>
            <w:shd w:val="clear" w:color="auto" w:fill="auto"/>
          </w:tcPr>
          <w:p w14:paraId="0EB5769B" w14:textId="77777777" w:rsidR="004E2896" w:rsidRPr="000A7AE8" w:rsidRDefault="004E2896" w:rsidP="004E2896">
            <w:pPr>
              <w:rPr>
                <w:rFonts w:cs="Times New Roman"/>
              </w:rPr>
            </w:pPr>
            <w:r w:rsidRPr="000A7AE8">
              <w:rPr>
                <w:rFonts w:cs="Times New Roman"/>
              </w:rPr>
              <w:t>vertigo</w:t>
            </w:r>
          </w:p>
        </w:tc>
      </w:tr>
      <w:tr w:rsidR="000A7AE8" w:rsidRPr="000A7AE8" w14:paraId="566D3A73" w14:textId="77777777" w:rsidTr="00E17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2"/>
        </w:trPr>
        <w:tc>
          <w:tcPr>
            <w:tcW w:w="2894" w:type="dxa"/>
            <w:shd w:val="clear" w:color="auto" w:fill="auto"/>
          </w:tcPr>
          <w:p w14:paraId="59E11C7E" w14:textId="77777777" w:rsidR="004E2896" w:rsidRPr="000A7AE8" w:rsidRDefault="004E2896" w:rsidP="004E2896">
            <w:pPr>
              <w:rPr>
                <w:rFonts w:cs="Times New Roman"/>
                <w:i/>
              </w:rPr>
            </w:pPr>
            <w:r w:rsidRPr="000A7AE8">
              <w:rPr>
                <w:rFonts w:cs="Times New Roman"/>
                <w:i/>
                <w:iCs/>
              </w:rPr>
              <w:t>Eye disorders</w:t>
            </w:r>
            <w:r w:rsidRPr="000A7AE8">
              <w:rPr>
                <w:rFonts w:cs="Times New Roman"/>
                <w:i/>
              </w:rPr>
              <w:t xml:space="preserve">: </w:t>
            </w:r>
          </w:p>
        </w:tc>
        <w:tc>
          <w:tcPr>
            <w:tcW w:w="6132" w:type="dxa"/>
            <w:shd w:val="clear" w:color="auto" w:fill="auto"/>
          </w:tcPr>
          <w:p w14:paraId="2C0EFF84" w14:textId="77777777" w:rsidR="004E2896" w:rsidRPr="000A7AE8" w:rsidRDefault="004E2896" w:rsidP="004E2896">
            <w:pPr>
              <w:rPr>
                <w:rFonts w:cs="Times New Roman"/>
              </w:rPr>
            </w:pPr>
            <w:r w:rsidRPr="000A7AE8">
              <w:rPr>
                <w:rFonts w:cs="Times New Roman"/>
              </w:rPr>
              <w:t xml:space="preserve">eye irritation, presbyopia </w:t>
            </w:r>
          </w:p>
        </w:tc>
      </w:tr>
      <w:tr w:rsidR="000A7AE8" w:rsidRPr="000A7AE8" w14:paraId="543BEF95" w14:textId="77777777" w:rsidTr="00E17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2894" w:type="dxa"/>
            <w:shd w:val="clear" w:color="auto" w:fill="auto"/>
          </w:tcPr>
          <w:p w14:paraId="37684344" w14:textId="77777777" w:rsidR="004E2896" w:rsidRPr="000A7AE8" w:rsidRDefault="004E2896" w:rsidP="004E2896">
            <w:pPr>
              <w:rPr>
                <w:rFonts w:cs="Times New Roman"/>
                <w:b/>
                <w:i/>
              </w:rPr>
            </w:pPr>
            <w:r w:rsidRPr="000A7AE8">
              <w:rPr>
                <w:rFonts w:cs="Times New Roman"/>
                <w:i/>
                <w:iCs/>
              </w:rPr>
              <w:t>Gastrointestinal disorders</w:t>
            </w:r>
            <w:r w:rsidRPr="000A7AE8">
              <w:rPr>
                <w:rFonts w:cs="Times New Roman"/>
                <w:i/>
              </w:rPr>
              <w:t>:</w:t>
            </w:r>
          </w:p>
        </w:tc>
        <w:tc>
          <w:tcPr>
            <w:tcW w:w="6132" w:type="dxa"/>
            <w:shd w:val="clear" w:color="auto" w:fill="auto"/>
          </w:tcPr>
          <w:p w14:paraId="35E95A5A" w14:textId="77777777" w:rsidR="004E2896" w:rsidRPr="000A7AE8" w:rsidRDefault="004E2896" w:rsidP="004E2896">
            <w:pPr>
              <w:rPr>
                <w:rFonts w:cs="Times New Roman"/>
              </w:rPr>
            </w:pPr>
            <w:r w:rsidRPr="000A7AE8">
              <w:rPr>
                <w:rFonts w:cs="Times New Roman"/>
              </w:rPr>
              <w:t xml:space="preserve">vomiting, abdominal pain upper, dry mouth, dyspepsia, abdominal pain, gastritis, gastrointestinal haemorrhage, gastrointestinal pain, gingival ulceration, lip dry </w:t>
            </w:r>
          </w:p>
        </w:tc>
      </w:tr>
      <w:tr w:rsidR="000A7AE8" w:rsidRPr="000A7AE8" w14:paraId="0CAB1AC2" w14:textId="77777777" w:rsidTr="00E17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5"/>
        </w:trPr>
        <w:tc>
          <w:tcPr>
            <w:tcW w:w="2894" w:type="dxa"/>
            <w:shd w:val="clear" w:color="auto" w:fill="auto"/>
          </w:tcPr>
          <w:p w14:paraId="1A630C82" w14:textId="77777777" w:rsidR="004E2896" w:rsidRPr="000A7AE8" w:rsidRDefault="004E2896" w:rsidP="004E2896">
            <w:pPr>
              <w:rPr>
                <w:rFonts w:cs="Times New Roman"/>
                <w:i/>
              </w:rPr>
            </w:pPr>
            <w:r w:rsidRPr="000A7AE8">
              <w:rPr>
                <w:rFonts w:cs="Times New Roman"/>
                <w:i/>
                <w:iCs/>
              </w:rPr>
              <w:t>General disorders and administration site conditions</w:t>
            </w:r>
            <w:r w:rsidRPr="000A7AE8">
              <w:rPr>
                <w:rFonts w:cs="Times New Roman"/>
                <w:i/>
              </w:rPr>
              <w:t>:</w:t>
            </w:r>
          </w:p>
        </w:tc>
        <w:tc>
          <w:tcPr>
            <w:tcW w:w="6132" w:type="dxa"/>
            <w:shd w:val="clear" w:color="auto" w:fill="auto"/>
          </w:tcPr>
          <w:p w14:paraId="64E3A7D9" w14:textId="1F1DEE7E" w:rsidR="004E2896" w:rsidRPr="000A7AE8" w:rsidRDefault="004E2896" w:rsidP="004E2896">
            <w:pPr>
              <w:rPr>
                <w:rFonts w:cs="Times New Roman"/>
              </w:rPr>
            </w:pPr>
            <w:r w:rsidRPr="000A7AE8">
              <w:rPr>
                <w:rFonts w:cs="Times New Roman"/>
              </w:rPr>
              <w:t>malaise, chest pain, asthenia, chest discomfort, axillary pain, chills, feeling hot, infusion</w:t>
            </w:r>
            <w:r w:rsidR="00720A58" w:rsidRPr="000A7AE8">
              <w:rPr>
                <w:rFonts w:cs="Times New Roman"/>
              </w:rPr>
              <w:t>-</w:t>
            </w:r>
            <w:r w:rsidRPr="000A7AE8">
              <w:rPr>
                <w:rFonts w:cs="Times New Roman"/>
              </w:rPr>
              <w:t xml:space="preserve">related reaction, infusion site erythema, infusion site pain, sudden death </w:t>
            </w:r>
          </w:p>
        </w:tc>
      </w:tr>
      <w:tr w:rsidR="000A7AE8" w:rsidRPr="000A7AE8" w14:paraId="2DCE3A31" w14:textId="77777777" w:rsidTr="00E17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2894" w:type="dxa"/>
            <w:shd w:val="clear" w:color="auto" w:fill="auto"/>
          </w:tcPr>
          <w:p w14:paraId="1B2E3FAC" w14:textId="77777777" w:rsidR="004E2896" w:rsidRPr="000A7AE8" w:rsidRDefault="004E2896" w:rsidP="004E2896">
            <w:pPr>
              <w:rPr>
                <w:rFonts w:cs="Times New Roman"/>
                <w:i/>
              </w:rPr>
            </w:pPr>
            <w:r w:rsidRPr="000A7AE8">
              <w:rPr>
                <w:rFonts w:cs="Times New Roman"/>
                <w:i/>
                <w:iCs/>
              </w:rPr>
              <w:t>Hepatobiliary disorders</w:t>
            </w:r>
            <w:r w:rsidRPr="000A7AE8">
              <w:rPr>
                <w:rFonts w:cs="Times New Roman"/>
                <w:i/>
              </w:rPr>
              <w:t xml:space="preserve">: </w:t>
            </w:r>
          </w:p>
        </w:tc>
        <w:tc>
          <w:tcPr>
            <w:tcW w:w="6132" w:type="dxa"/>
            <w:shd w:val="clear" w:color="auto" w:fill="auto"/>
          </w:tcPr>
          <w:p w14:paraId="584D6FFE" w14:textId="77777777" w:rsidR="004E2896" w:rsidRPr="000A7AE8" w:rsidRDefault="004E2896" w:rsidP="004E2896">
            <w:pPr>
              <w:rPr>
                <w:rFonts w:cs="Times New Roman"/>
              </w:rPr>
            </w:pPr>
            <w:r w:rsidRPr="000A7AE8">
              <w:rPr>
                <w:rFonts w:cs="Times New Roman"/>
              </w:rPr>
              <w:t>hepatic function abnormal</w:t>
            </w:r>
          </w:p>
        </w:tc>
      </w:tr>
      <w:tr w:rsidR="000A7AE8" w:rsidRPr="000A7AE8" w14:paraId="1539DD43" w14:textId="77777777" w:rsidTr="00E17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2894" w:type="dxa"/>
            <w:shd w:val="clear" w:color="auto" w:fill="auto"/>
          </w:tcPr>
          <w:p w14:paraId="5B9B3840" w14:textId="77777777" w:rsidR="004E2896" w:rsidRPr="000A7AE8" w:rsidRDefault="004E2896" w:rsidP="004E2896">
            <w:pPr>
              <w:rPr>
                <w:rFonts w:cs="Times New Roman"/>
                <w:i/>
              </w:rPr>
            </w:pPr>
            <w:r w:rsidRPr="000A7AE8">
              <w:rPr>
                <w:rFonts w:cs="Times New Roman"/>
                <w:i/>
                <w:iCs/>
              </w:rPr>
              <w:t>Immune system disorders</w:t>
            </w:r>
            <w:r w:rsidRPr="000A7AE8">
              <w:rPr>
                <w:rFonts w:cs="Times New Roman"/>
                <w:i/>
              </w:rPr>
              <w:t xml:space="preserve">: </w:t>
            </w:r>
          </w:p>
        </w:tc>
        <w:tc>
          <w:tcPr>
            <w:tcW w:w="6132" w:type="dxa"/>
            <w:shd w:val="clear" w:color="auto" w:fill="auto"/>
          </w:tcPr>
          <w:p w14:paraId="6CC9CFE8" w14:textId="77777777" w:rsidR="004E2896" w:rsidRPr="000A7AE8" w:rsidRDefault="004E2896" w:rsidP="004E2896">
            <w:pPr>
              <w:rPr>
                <w:rFonts w:cs="Times New Roman"/>
              </w:rPr>
            </w:pPr>
            <w:r w:rsidRPr="000A7AE8">
              <w:rPr>
                <w:rFonts w:cs="Times New Roman"/>
              </w:rPr>
              <w:t xml:space="preserve">hypersensitivity </w:t>
            </w:r>
          </w:p>
        </w:tc>
      </w:tr>
      <w:tr w:rsidR="000A7AE8" w:rsidRPr="000A7AE8" w14:paraId="40CCB3F2" w14:textId="77777777" w:rsidTr="00E17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7"/>
        </w:trPr>
        <w:tc>
          <w:tcPr>
            <w:tcW w:w="2894" w:type="dxa"/>
            <w:shd w:val="clear" w:color="auto" w:fill="auto"/>
          </w:tcPr>
          <w:p w14:paraId="67EA0F0E" w14:textId="77777777" w:rsidR="004E2896" w:rsidRPr="000A7AE8" w:rsidRDefault="004E2896" w:rsidP="004E2896">
            <w:pPr>
              <w:rPr>
                <w:rFonts w:cs="Times New Roman"/>
                <w:i/>
              </w:rPr>
            </w:pPr>
            <w:r w:rsidRPr="000A7AE8">
              <w:rPr>
                <w:rFonts w:cs="Times New Roman"/>
                <w:i/>
                <w:iCs/>
              </w:rPr>
              <w:t>Infections and infestations</w:t>
            </w:r>
            <w:r w:rsidRPr="000A7AE8">
              <w:rPr>
                <w:rFonts w:cs="Times New Roman"/>
                <w:i/>
              </w:rPr>
              <w:t>:</w:t>
            </w:r>
          </w:p>
        </w:tc>
        <w:tc>
          <w:tcPr>
            <w:tcW w:w="6132" w:type="dxa"/>
            <w:shd w:val="clear" w:color="auto" w:fill="auto"/>
          </w:tcPr>
          <w:p w14:paraId="19508360" w14:textId="77777777" w:rsidR="004E2896" w:rsidRPr="000A7AE8" w:rsidRDefault="004E2896" w:rsidP="004E2896">
            <w:pPr>
              <w:rPr>
                <w:rFonts w:cs="Times New Roman"/>
              </w:rPr>
            </w:pPr>
            <w:r w:rsidRPr="000A7AE8">
              <w:rPr>
                <w:rFonts w:cs="Times New Roman"/>
              </w:rPr>
              <w:t xml:space="preserve">gastroenteritis, tooth abscess, pneumonia, respiratory tract infection, sinusitis, tonsillitis, viral upper respiratory tract infection, </w:t>
            </w:r>
            <w:proofErr w:type="spellStart"/>
            <w:r w:rsidRPr="000A7AE8">
              <w:rPr>
                <w:rFonts w:cs="Times New Roman"/>
              </w:rPr>
              <w:t>acariasis</w:t>
            </w:r>
            <w:proofErr w:type="spellEnd"/>
            <w:r w:rsidRPr="000A7AE8">
              <w:rPr>
                <w:rFonts w:cs="Times New Roman"/>
              </w:rPr>
              <w:t xml:space="preserve">, furuncle, genital herpes, tinea </w:t>
            </w:r>
            <w:proofErr w:type="spellStart"/>
            <w:r w:rsidRPr="000A7AE8">
              <w:rPr>
                <w:rFonts w:cs="Times New Roman"/>
              </w:rPr>
              <w:t>pedis</w:t>
            </w:r>
            <w:proofErr w:type="spellEnd"/>
            <w:r w:rsidRPr="000A7AE8">
              <w:rPr>
                <w:rFonts w:cs="Times New Roman"/>
              </w:rPr>
              <w:t xml:space="preserve">, </w:t>
            </w:r>
            <w:proofErr w:type="spellStart"/>
            <w:r w:rsidRPr="000A7AE8">
              <w:rPr>
                <w:rFonts w:cs="Times New Roman"/>
              </w:rPr>
              <w:t>acarodermatitis</w:t>
            </w:r>
            <w:proofErr w:type="spellEnd"/>
            <w:r w:rsidRPr="000A7AE8">
              <w:rPr>
                <w:rFonts w:cs="Times New Roman"/>
              </w:rPr>
              <w:t xml:space="preserve">, bacterial infection, bronchopneumonia, cystitis, ear infection, fungal rash, laryngitis, lung infection </w:t>
            </w:r>
            <w:proofErr w:type="spellStart"/>
            <w:r w:rsidRPr="000A7AE8">
              <w:rPr>
                <w:rFonts w:cs="Times New Roman"/>
              </w:rPr>
              <w:t>pseudomonal</w:t>
            </w:r>
            <w:proofErr w:type="spellEnd"/>
            <w:r w:rsidRPr="000A7AE8">
              <w:rPr>
                <w:rFonts w:cs="Times New Roman"/>
              </w:rPr>
              <w:t xml:space="preserve">, rhinitis, sepsis, soft tissue infection, tinea versicolour, vaginal infection </w:t>
            </w:r>
          </w:p>
        </w:tc>
      </w:tr>
      <w:tr w:rsidR="000A7AE8" w:rsidRPr="000A7AE8" w14:paraId="3D048034" w14:textId="77777777" w:rsidTr="00E17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trPr>
        <w:tc>
          <w:tcPr>
            <w:tcW w:w="2894" w:type="dxa"/>
            <w:shd w:val="clear" w:color="auto" w:fill="auto"/>
          </w:tcPr>
          <w:p w14:paraId="08201BFD" w14:textId="77777777" w:rsidR="004E2896" w:rsidRPr="000A7AE8" w:rsidRDefault="004E2896" w:rsidP="004E2896">
            <w:pPr>
              <w:rPr>
                <w:rFonts w:cs="Times New Roman"/>
                <w:i/>
              </w:rPr>
            </w:pPr>
            <w:r w:rsidRPr="000A7AE8">
              <w:rPr>
                <w:rFonts w:cs="Times New Roman"/>
                <w:i/>
                <w:iCs/>
              </w:rPr>
              <w:t>Injury, poisoning and procedural complications</w:t>
            </w:r>
            <w:r w:rsidRPr="000A7AE8">
              <w:rPr>
                <w:rFonts w:cs="Times New Roman"/>
                <w:i/>
              </w:rPr>
              <w:t>:</w:t>
            </w:r>
          </w:p>
        </w:tc>
        <w:tc>
          <w:tcPr>
            <w:tcW w:w="6132" w:type="dxa"/>
            <w:shd w:val="clear" w:color="auto" w:fill="auto"/>
          </w:tcPr>
          <w:p w14:paraId="52DE80EA" w14:textId="77777777" w:rsidR="004E2896" w:rsidRPr="000A7AE8" w:rsidRDefault="004E2896" w:rsidP="004E2896">
            <w:pPr>
              <w:rPr>
                <w:rFonts w:cs="Times New Roman"/>
              </w:rPr>
            </w:pPr>
            <w:r w:rsidRPr="000A7AE8">
              <w:rPr>
                <w:rFonts w:cs="Times New Roman"/>
              </w:rPr>
              <w:t xml:space="preserve">contusion </w:t>
            </w:r>
          </w:p>
        </w:tc>
      </w:tr>
      <w:tr w:rsidR="000A7AE8" w:rsidRPr="000A7AE8" w14:paraId="638D23C6" w14:textId="77777777" w:rsidTr="00E17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7"/>
        </w:trPr>
        <w:tc>
          <w:tcPr>
            <w:tcW w:w="2894" w:type="dxa"/>
            <w:shd w:val="clear" w:color="auto" w:fill="auto"/>
          </w:tcPr>
          <w:p w14:paraId="70B713A5" w14:textId="77777777" w:rsidR="004E2896" w:rsidRPr="000A7AE8" w:rsidRDefault="004E2896" w:rsidP="004E2896">
            <w:pPr>
              <w:rPr>
                <w:rFonts w:cs="Times New Roman"/>
                <w:i/>
              </w:rPr>
            </w:pPr>
            <w:r w:rsidRPr="000A7AE8">
              <w:rPr>
                <w:rFonts w:cs="Times New Roman"/>
                <w:i/>
                <w:iCs/>
              </w:rPr>
              <w:t>Investigations</w:t>
            </w:r>
            <w:r w:rsidRPr="000A7AE8">
              <w:rPr>
                <w:rFonts w:cs="Times New Roman"/>
                <w:i/>
              </w:rPr>
              <w:t>:</w:t>
            </w:r>
          </w:p>
        </w:tc>
        <w:tc>
          <w:tcPr>
            <w:tcW w:w="6132" w:type="dxa"/>
            <w:shd w:val="clear" w:color="auto" w:fill="auto"/>
          </w:tcPr>
          <w:p w14:paraId="3A798918" w14:textId="77777777" w:rsidR="004E2896" w:rsidRPr="000A7AE8" w:rsidRDefault="004E2896" w:rsidP="004E2896">
            <w:pPr>
              <w:rPr>
                <w:rFonts w:cs="Times New Roman"/>
              </w:rPr>
            </w:pPr>
            <w:r w:rsidRPr="000A7AE8">
              <w:rPr>
                <w:rFonts w:cs="Times New Roman"/>
              </w:rPr>
              <w:t>transaminases increased, gamma-</w:t>
            </w:r>
            <w:proofErr w:type="spellStart"/>
            <w:r w:rsidRPr="000A7AE8">
              <w:rPr>
                <w:rFonts w:cs="Times New Roman"/>
              </w:rPr>
              <w:t>glutamyltransferase</w:t>
            </w:r>
            <w:proofErr w:type="spellEnd"/>
            <w:r w:rsidRPr="000A7AE8">
              <w:rPr>
                <w:rFonts w:cs="Times New Roman"/>
              </w:rPr>
              <w:t xml:space="preserve"> increased, blood alkaline phosphatase increased, blood pressure increased </w:t>
            </w:r>
          </w:p>
        </w:tc>
      </w:tr>
      <w:tr w:rsidR="000A7AE8" w:rsidRPr="000A7AE8" w14:paraId="338153DD" w14:textId="77777777" w:rsidTr="00E17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1"/>
        </w:trPr>
        <w:tc>
          <w:tcPr>
            <w:tcW w:w="2894" w:type="dxa"/>
            <w:shd w:val="clear" w:color="auto" w:fill="auto"/>
          </w:tcPr>
          <w:p w14:paraId="38A25CC4" w14:textId="77777777" w:rsidR="004E2896" w:rsidRPr="000A7AE8" w:rsidRDefault="004E2896" w:rsidP="004E2896">
            <w:pPr>
              <w:rPr>
                <w:rFonts w:cs="Times New Roman"/>
                <w:i/>
              </w:rPr>
            </w:pPr>
            <w:r w:rsidRPr="000A7AE8">
              <w:rPr>
                <w:rFonts w:cs="Times New Roman"/>
                <w:i/>
                <w:iCs/>
              </w:rPr>
              <w:t>Metabolism and nutrition disorders</w:t>
            </w:r>
            <w:r w:rsidRPr="000A7AE8">
              <w:rPr>
                <w:rFonts w:cs="Times New Roman"/>
                <w:i/>
              </w:rPr>
              <w:t>:</w:t>
            </w:r>
          </w:p>
        </w:tc>
        <w:tc>
          <w:tcPr>
            <w:tcW w:w="6132" w:type="dxa"/>
            <w:shd w:val="clear" w:color="auto" w:fill="auto"/>
          </w:tcPr>
          <w:p w14:paraId="47CD8C04" w14:textId="77777777" w:rsidR="004E2896" w:rsidRPr="000A7AE8" w:rsidRDefault="004E2896" w:rsidP="004E2896">
            <w:pPr>
              <w:rPr>
                <w:rFonts w:cs="Times New Roman"/>
              </w:rPr>
            </w:pPr>
            <w:r w:rsidRPr="000A7AE8">
              <w:rPr>
                <w:rFonts w:cs="Times New Roman"/>
              </w:rPr>
              <w:t xml:space="preserve">diabetes mellitus </w:t>
            </w:r>
          </w:p>
        </w:tc>
      </w:tr>
      <w:tr w:rsidR="000A7AE8" w:rsidRPr="000A7AE8" w14:paraId="05A67C70" w14:textId="77777777" w:rsidTr="00E17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trPr>
        <w:tc>
          <w:tcPr>
            <w:tcW w:w="2894" w:type="dxa"/>
            <w:shd w:val="clear" w:color="auto" w:fill="auto"/>
          </w:tcPr>
          <w:p w14:paraId="037B1A08" w14:textId="77777777" w:rsidR="004E2896" w:rsidRPr="000A7AE8" w:rsidRDefault="004E2896" w:rsidP="004E2896">
            <w:pPr>
              <w:rPr>
                <w:rFonts w:cs="Times New Roman"/>
                <w:i/>
              </w:rPr>
            </w:pPr>
            <w:r w:rsidRPr="000A7AE8">
              <w:rPr>
                <w:rFonts w:cs="Times New Roman"/>
                <w:i/>
                <w:iCs/>
              </w:rPr>
              <w:t>Musculoskeletal and connective tissue disorders</w:t>
            </w:r>
            <w:r w:rsidRPr="000A7AE8">
              <w:rPr>
                <w:rFonts w:cs="Times New Roman"/>
                <w:i/>
              </w:rPr>
              <w:t>:</w:t>
            </w:r>
          </w:p>
        </w:tc>
        <w:tc>
          <w:tcPr>
            <w:tcW w:w="6132" w:type="dxa"/>
            <w:shd w:val="clear" w:color="auto" w:fill="auto"/>
          </w:tcPr>
          <w:p w14:paraId="24A26918" w14:textId="77777777" w:rsidR="004E2896" w:rsidRPr="000A7AE8" w:rsidRDefault="004E2896" w:rsidP="004E2896">
            <w:pPr>
              <w:rPr>
                <w:rFonts w:cs="Times New Roman"/>
              </w:rPr>
            </w:pPr>
            <w:r w:rsidRPr="000A7AE8">
              <w:rPr>
                <w:rFonts w:cs="Times New Roman"/>
              </w:rPr>
              <w:t xml:space="preserve">back pain, joint swelling, ligament disorder, musculoskeletal stiffness, pain in extremity, systemic lupus erythematosus </w:t>
            </w:r>
          </w:p>
        </w:tc>
      </w:tr>
      <w:tr w:rsidR="000A7AE8" w:rsidRPr="000A7AE8" w14:paraId="0DC97FFF" w14:textId="77777777" w:rsidTr="00E17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7"/>
        </w:trPr>
        <w:tc>
          <w:tcPr>
            <w:tcW w:w="2894" w:type="dxa"/>
            <w:shd w:val="clear" w:color="auto" w:fill="auto"/>
          </w:tcPr>
          <w:p w14:paraId="5F00896F" w14:textId="241E92F7" w:rsidR="004E2896" w:rsidRPr="000A7AE8" w:rsidRDefault="004E2896" w:rsidP="004E2896">
            <w:pPr>
              <w:rPr>
                <w:rFonts w:cs="Times New Roman"/>
                <w:i/>
              </w:rPr>
            </w:pPr>
            <w:r w:rsidRPr="000A7AE8">
              <w:rPr>
                <w:rFonts w:cs="Times New Roman"/>
                <w:i/>
                <w:iCs/>
              </w:rPr>
              <w:t>Neoplasms benign, malignant and unspecified (incl</w:t>
            </w:r>
            <w:r w:rsidR="00720A58" w:rsidRPr="000A7AE8">
              <w:rPr>
                <w:rFonts w:cs="Times New Roman"/>
                <w:i/>
                <w:iCs/>
              </w:rPr>
              <w:t>udes</w:t>
            </w:r>
            <w:r w:rsidRPr="000A7AE8">
              <w:rPr>
                <w:rFonts w:cs="Times New Roman"/>
                <w:i/>
                <w:iCs/>
              </w:rPr>
              <w:t xml:space="preserve"> cysts and polyps)</w:t>
            </w:r>
            <w:r w:rsidRPr="000A7AE8">
              <w:rPr>
                <w:rFonts w:cs="Times New Roman"/>
                <w:i/>
              </w:rPr>
              <w:t>:</w:t>
            </w:r>
          </w:p>
        </w:tc>
        <w:tc>
          <w:tcPr>
            <w:tcW w:w="6132" w:type="dxa"/>
            <w:shd w:val="clear" w:color="auto" w:fill="auto"/>
          </w:tcPr>
          <w:p w14:paraId="32A562BB" w14:textId="77777777" w:rsidR="004E2896" w:rsidRPr="000A7AE8" w:rsidRDefault="004E2896" w:rsidP="004E2896">
            <w:pPr>
              <w:rPr>
                <w:rFonts w:cs="Times New Roman"/>
              </w:rPr>
            </w:pPr>
            <w:r w:rsidRPr="000A7AE8">
              <w:rPr>
                <w:rFonts w:cs="Times New Roman"/>
              </w:rPr>
              <w:t xml:space="preserve">lung neoplasm, skin papilloma </w:t>
            </w:r>
          </w:p>
        </w:tc>
      </w:tr>
      <w:tr w:rsidR="000A7AE8" w:rsidRPr="000A7AE8" w14:paraId="3A2F4D4C" w14:textId="77777777" w:rsidTr="00E1787C">
        <w:trPr>
          <w:trHeight w:val="419"/>
        </w:trPr>
        <w:tc>
          <w:tcPr>
            <w:tcW w:w="2894" w:type="dxa"/>
            <w:tcBorders>
              <w:top w:val="nil"/>
              <w:left w:val="nil"/>
              <w:bottom w:val="nil"/>
              <w:right w:val="nil"/>
            </w:tcBorders>
            <w:shd w:val="clear" w:color="auto" w:fill="auto"/>
          </w:tcPr>
          <w:p w14:paraId="064007DF" w14:textId="77777777" w:rsidR="004E2896" w:rsidRPr="000A7AE8" w:rsidRDefault="004E2896" w:rsidP="004E2896">
            <w:pPr>
              <w:rPr>
                <w:rFonts w:cs="Times New Roman"/>
                <w:i/>
              </w:rPr>
            </w:pPr>
            <w:r w:rsidRPr="000A7AE8">
              <w:rPr>
                <w:rFonts w:cs="Times New Roman"/>
                <w:i/>
                <w:iCs/>
              </w:rPr>
              <w:t>Nervous system disorders</w:t>
            </w:r>
            <w:r w:rsidRPr="000A7AE8">
              <w:rPr>
                <w:rFonts w:cs="Times New Roman"/>
                <w:i/>
              </w:rPr>
              <w:t>:</w:t>
            </w:r>
          </w:p>
        </w:tc>
        <w:tc>
          <w:tcPr>
            <w:tcW w:w="6132" w:type="dxa"/>
            <w:tcBorders>
              <w:top w:val="nil"/>
              <w:left w:val="nil"/>
              <w:bottom w:val="nil"/>
              <w:right w:val="nil"/>
            </w:tcBorders>
            <w:shd w:val="clear" w:color="auto" w:fill="auto"/>
          </w:tcPr>
          <w:p w14:paraId="617AAC42" w14:textId="77777777" w:rsidR="004E2896" w:rsidRPr="000A7AE8" w:rsidRDefault="004E2896" w:rsidP="004E2896">
            <w:pPr>
              <w:rPr>
                <w:rFonts w:cs="Times New Roman"/>
              </w:rPr>
            </w:pPr>
            <w:proofErr w:type="spellStart"/>
            <w:r w:rsidRPr="000A7AE8">
              <w:rPr>
                <w:rFonts w:cs="Times New Roman"/>
              </w:rPr>
              <w:t>dysgeusia</w:t>
            </w:r>
            <w:proofErr w:type="spellEnd"/>
            <w:r w:rsidRPr="000A7AE8">
              <w:rPr>
                <w:rFonts w:cs="Times New Roman"/>
              </w:rPr>
              <w:t xml:space="preserve">, paraesthesia </w:t>
            </w:r>
          </w:p>
        </w:tc>
      </w:tr>
      <w:tr w:rsidR="000A7AE8" w:rsidRPr="000A7AE8" w14:paraId="2B091967" w14:textId="77777777" w:rsidTr="00E1787C">
        <w:trPr>
          <w:trHeight w:val="411"/>
        </w:trPr>
        <w:tc>
          <w:tcPr>
            <w:tcW w:w="2894" w:type="dxa"/>
            <w:tcBorders>
              <w:top w:val="nil"/>
              <w:left w:val="nil"/>
              <w:bottom w:val="nil"/>
              <w:right w:val="nil"/>
            </w:tcBorders>
            <w:shd w:val="clear" w:color="auto" w:fill="auto"/>
          </w:tcPr>
          <w:p w14:paraId="43B536F9" w14:textId="77777777" w:rsidR="004E2896" w:rsidRPr="000A7AE8" w:rsidRDefault="004E2896" w:rsidP="004E2896">
            <w:pPr>
              <w:rPr>
                <w:rFonts w:cs="Times New Roman"/>
                <w:i/>
              </w:rPr>
            </w:pPr>
            <w:r w:rsidRPr="000A7AE8">
              <w:rPr>
                <w:rFonts w:cs="Times New Roman"/>
                <w:i/>
                <w:iCs/>
              </w:rPr>
              <w:t>Psychiatric disorders</w:t>
            </w:r>
            <w:r w:rsidRPr="000A7AE8">
              <w:rPr>
                <w:rFonts w:cs="Times New Roman"/>
                <w:i/>
              </w:rPr>
              <w:t>:</w:t>
            </w:r>
          </w:p>
        </w:tc>
        <w:tc>
          <w:tcPr>
            <w:tcW w:w="6132" w:type="dxa"/>
            <w:tcBorders>
              <w:top w:val="nil"/>
              <w:left w:val="nil"/>
              <w:bottom w:val="nil"/>
              <w:right w:val="nil"/>
            </w:tcBorders>
            <w:shd w:val="clear" w:color="auto" w:fill="auto"/>
          </w:tcPr>
          <w:p w14:paraId="1A0ACA8C" w14:textId="77777777" w:rsidR="004E2896" w:rsidRPr="000A7AE8" w:rsidRDefault="004E2896" w:rsidP="004E2896">
            <w:pPr>
              <w:rPr>
                <w:rFonts w:cs="Times New Roman"/>
              </w:rPr>
            </w:pPr>
            <w:r w:rsidRPr="000A7AE8">
              <w:rPr>
                <w:rFonts w:cs="Times New Roman"/>
              </w:rPr>
              <w:t xml:space="preserve">depression, insomnia, nervousness </w:t>
            </w:r>
          </w:p>
        </w:tc>
      </w:tr>
      <w:tr w:rsidR="000A7AE8" w:rsidRPr="000A7AE8" w14:paraId="5011A5D0" w14:textId="77777777" w:rsidTr="00E1787C">
        <w:trPr>
          <w:trHeight w:val="701"/>
        </w:trPr>
        <w:tc>
          <w:tcPr>
            <w:tcW w:w="2894" w:type="dxa"/>
            <w:tcBorders>
              <w:top w:val="nil"/>
              <w:left w:val="nil"/>
              <w:bottom w:val="nil"/>
              <w:right w:val="nil"/>
            </w:tcBorders>
            <w:shd w:val="clear" w:color="auto" w:fill="auto"/>
          </w:tcPr>
          <w:p w14:paraId="17205545" w14:textId="77777777" w:rsidR="004E2896" w:rsidRPr="000A7AE8" w:rsidRDefault="004E2896" w:rsidP="004E2896">
            <w:pPr>
              <w:rPr>
                <w:rFonts w:cs="Times New Roman"/>
                <w:i/>
              </w:rPr>
            </w:pPr>
            <w:r w:rsidRPr="000A7AE8">
              <w:rPr>
                <w:rFonts w:cs="Times New Roman"/>
                <w:i/>
                <w:iCs/>
              </w:rPr>
              <w:t>Reproductive system and breast disorders</w:t>
            </w:r>
            <w:r w:rsidRPr="000A7AE8">
              <w:rPr>
                <w:rFonts w:cs="Times New Roman"/>
                <w:i/>
              </w:rPr>
              <w:t>:</w:t>
            </w:r>
          </w:p>
        </w:tc>
        <w:tc>
          <w:tcPr>
            <w:tcW w:w="6132" w:type="dxa"/>
            <w:tcBorders>
              <w:top w:val="nil"/>
              <w:left w:val="nil"/>
              <w:bottom w:val="nil"/>
              <w:right w:val="nil"/>
            </w:tcBorders>
            <w:shd w:val="clear" w:color="auto" w:fill="auto"/>
          </w:tcPr>
          <w:p w14:paraId="4E73EB2B" w14:textId="77777777" w:rsidR="004E2896" w:rsidRPr="000A7AE8" w:rsidRDefault="004E2896" w:rsidP="004E2896">
            <w:pPr>
              <w:rPr>
                <w:rFonts w:cs="Times New Roman"/>
              </w:rPr>
            </w:pPr>
            <w:r w:rsidRPr="000A7AE8">
              <w:rPr>
                <w:rFonts w:cs="Times New Roman"/>
              </w:rPr>
              <w:t xml:space="preserve">breast mass, breast pain </w:t>
            </w:r>
          </w:p>
        </w:tc>
      </w:tr>
      <w:tr w:rsidR="000A7AE8" w:rsidRPr="000A7AE8" w14:paraId="6E785355" w14:textId="77777777" w:rsidTr="00E1787C">
        <w:trPr>
          <w:trHeight w:val="696"/>
        </w:trPr>
        <w:tc>
          <w:tcPr>
            <w:tcW w:w="2894" w:type="dxa"/>
            <w:tcBorders>
              <w:top w:val="nil"/>
              <w:left w:val="nil"/>
              <w:bottom w:val="nil"/>
              <w:right w:val="nil"/>
            </w:tcBorders>
            <w:shd w:val="clear" w:color="auto" w:fill="auto"/>
          </w:tcPr>
          <w:p w14:paraId="50130A8E" w14:textId="77777777" w:rsidR="004E2896" w:rsidRPr="000A7AE8" w:rsidRDefault="004E2896" w:rsidP="004E2896">
            <w:pPr>
              <w:rPr>
                <w:rFonts w:cs="Times New Roman"/>
                <w:i/>
              </w:rPr>
            </w:pPr>
            <w:r w:rsidRPr="000A7AE8">
              <w:rPr>
                <w:rFonts w:cs="Times New Roman"/>
                <w:i/>
                <w:iCs/>
              </w:rPr>
              <w:t>Respiratory, thoracic and mediastinal disorders</w:t>
            </w:r>
            <w:r w:rsidRPr="000A7AE8">
              <w:rPr>
                <w:rFonts w:cs="Times New Roman"/>
                <w:i/>
              </w:rPr>
              <w:t>:</w:t>
            </w:r>
          </w:p>
        </w:tc>
        <w:tc>
          <w:tcPr>
            <w:tcW w:w="6132" w:type="dxa"/>
            <w:tcBorders>
              <w:top w:val="nil"/>
              <w:left w:val="nil"/>
              <w:bottom w:val="nil"/>
              <w:right w:val="nil"/>
            </w:tcBorders>
            <w:shd w:val="clear" w:color="auto" w:fill="auto"/>
          </w:tcPr>
          <w:p w14:paraId="0588DC4E" w14:textId="77777777" w:rsidR="004E2896" w:rsidRPr="000A7AE8" w:rsidRDefault="004E2896" w:rsidP="004E2896">
            <w:pPr>
              <w:rPr>
                <w:rFonts w:cs="Times New Roman"/>
              </w:rPr>
            </w:pPr>
            <w:r w:rsidRPr="000A7AE8">
              <w:rPr>
                <w:rFonts w:cs="Times New Roman"/>
              </w:rPr>
              <w:t xml:space="preserve">nasal congestion, </w:t>
            </w:r>
            <w:proofErr w:type="spellStart"/>
            <w:r w:rsidRPr="000A7AE8">
              <w:rPr>
                <w:rFonts w:cs="Times New Roman"/>
              </w:rPr>
              <w:t>pharyngolaryngeal</w:t>
            </w:r>
            <w:proofErr w:type="spellEnd"/>
            <w:r w:rsidRPr="000A7AE8">
              <w:rPr>
                <w:rFonts w:cs="Times New Roman"/>
              </w:rPr>
              <w:t xml:space="preserve"> pain, rhinorrhoea, sinus congestion, dyspnoea exertional, nasal discomfort, nasal dryness </w:t>
            </w:r>
          </w:p>
        </w:tc>
      </w:tr>
      <w:tr w:rsidR="000A7AE8" w:rsidRPr="000A7AE8" w14:paraId="2056E411" w14:textId="77777777" w:rsidTr="00E1787C">
        <w:trPr>
          <w:trHeight w:val="693"/>
        </w:trPr>
        <w:tc>
          <w:tcPr>
            <w:tcW w:w="2894" w:type="dxa"/>
            <w:tcBorders>
              <w:top w:val="nil"/>
              <w:left w:val="nil"/>
              <w:bottom w:val="nil"/>
              <w:right w:val="nil"/>
            </w:tcBorders>
            <w:shd w:val="clear" w:color="auto" w:fill="auto"/>
          </w:tcPr>
          <w:p w14:paraId="1921CA29" w14:textId="77777777" w:rsidR="004E2896" w:rsidRPr="000A7AE8" w:rsidRDefault="004E2896" w:rsidP="004E2896">
            <w:pPr>
              <w:rPr>
                <w:rFonts w:cs="Times New Roman"/>
                <w:i/>
              </w:rPr>
            </w:pPr>
            <w:r w:rsidRPr="000A7AE8">
              <w:rPr>
                <w:rFonts w:cs="Times New Roman"/>
                <w:i/>
                <w:iCs/>
              </w:rPr>
              <w:t>Skin and subcutaneous tissue disorders</w:t>
            </w:r>
            <w:r w:rsidRPr="000A7AE8">
              <w:rPr>
                <w:rFonts w:cs="Times New Roman"/>
                <w:i/>
              </w:rPr>
              <w:t>:</w:t>
            </w:r>
          </w:p>
        </w:tc>
        <w:tc>
          <w:tcPr>
            <w:tcW w:w="6132" w:type="dxa"/>
            <w:tcBorders>
              <w:top w:val="nil"/>
              <w:left w:val="nil"/>
              <w:bottom w:val="nil"/>
              <w:right w:val="nil"/>
            </w:tcBorders>
            <w:shd w:val="clear" w:color="auto" w:fill="auto"/>
          </w:tcPr>
          <w:p w14:paraId="4055381F" w14:textId="77777777" w:rsidR="004E2896" w:rsidRPr="000A7AE8" w:rsidRDefault="004E2896" w:rsidP="004E2896">
            <w:pPr>
              <w:rPr>
                <w:rFonts w:cs="Times New Roman"/>
              </w:rPr>
            </w:pPr>
            <w:r w:rsidRPr="000A7AE8">
              <w:rPr>
                <w:rFonts w:cs="Times New Roman"/>
              </w:rPr>
              <w:t xml:space="preserve">rash, alopecia, </w:t>
            </w:r>
            <w:proofErr w:type="spellStart"/>
            <w:r w:rsidRPr="000A7AE8">
              <w:rPr>
                <w:rFonts w:cs="Times New Roman"/>
              </w:rPr>
              <w:t>urticaria</w:t>
            </w:r>
            <w:proofErr w:type="spellEnd"/>
            <w:r w:rsidRPr="000A7AE8">
              <w:rPr>
                <w:rFonts w:cs="Times New Roman"/>
              </w:rPr>
              <w:t xml:space="preserve">, acne, eczema, nail dystrophy, pruritus, psoriasis, skin lesion </w:t>
            </w:r>
          </w:p>
        </w:tc>
      </w:tr>
      <w:tr w:rsidR="000A7AE8" w:rsidRPr="000A7AE8" w14:paraId="0CEBF231" w14:textId="77777777" w:rsidTr="00E1787C">
        <w:tc>
          <w:tcPr>
            <w:tcW w:w="2894" w:type="dxa"/>
            <w:tcBorders>
              <w:top w:val="nil"/>
              <w:left w:val="nil"/>
              <w:bottom w:val="nil"/>
              <w:right w:val="nil"/>
            </w:tcBorders>
            <w:shd w:val="clear" w:color="auto" w:fill="auto"/>
          </w:tcPr>
          <w:p w14:paraId="40781BBE" w14:textId="77777777" w:rsidR="004E2896" w:rsidRPr="000A7AE8" w:rsidRDefault="004E2896" w:rsidP="004E2896">
            <w:pPr>
              <w:rPr>
                <w:rFonts w:cs="Times New Roman"/>
                <w:i/>
              </w:rPr>
            </w:pPr>
            <w:r w:rsidRPr="000A7AE8">
              <w:rPr>
                <w:rFonts w:cs="Times New Roman"/>
                <w:i/>
                <w:iCs/>
              </w:rPr>
              <w:t>Vascular disorders</w:t>
            </w:r>
            <w:r w:rsidRPr="000A7AE8">
              <w:rPr>
                <w:rFonts w:cs="Times New Roman"/>
                <w:i/>
              </w:rPr>
              <w:t>:</w:t>
            </w:r>
          </w:p>
        </w:tc>
        <w:tc>
          <w:tcPr>
            <w:tcW w:w="6132" w:type="dxa"/>
            <w:tcBorders>
              <w:top w:val="nil"/>
              <w:left w:val="nil"/>
              <w:bottom w:val="nil"/>
              <w:right w:val="nil"/>
            </w:tcBorders>
            <w:shd w:val="clear" w:color="auto" w:fill="auto"/>
          </w:tcPr>
          <w:p w14:paraId="5ACD315F" w14:textId="77777777" w:rsidR="004E2896" w:rsidRPr="000A7AE8" w:rsidRDefault="004E2896" w:rsidP="004E2896">
            <w:pPr>
              <w:rPr>
                <w:rFonts w:cs="Times New Roman"/>
              </w:rPr>
            </w:pPr>
            <w:r w:rsidRPr="000A7AE8">
              <w:rPr>
                <w:rFonts w:cs="Times New Roman"/>
              </w:rPr>
              <w:t xml:space="preserve">flushing, hyperaemia, hypotension </w:t>
            </w:r>
          </w:p>
        </w:tc>
      </w:tr>
    </w:tbl>
    <w:p w14:paraId="4E7F66E3" w14:textId="21B6732F" w:rsidR="004E2896" w:rsidRPr="000A7AE8" w:rsidRDefault="004E2896" w:rsidP="00C02EB7">
      <w:pPr>
        <w:pStyle w:val="Heading4"/>
      </w:pPr>
      <w:r w:rsidRPr="000A7AE8">
        <w:lastRenderedPageBreak/>
        <w:t>Clinical experience in Study VII (IM101043)</w:t>
      </w:r>
    </w:p>
    <w:p w14:paraId="3E08B43C" w14:textId="398415A6" w:rsidR="004E2896" w:rsidRPr="000A7AE8" w:rsidRDefault="004E2896" w:rsidP="004E2896">
      <w:pPr>
        <w:rPr>
          <w:rFonts w:cs="Times New Roman"/>
        </w:rPr>
      </w:pPr>
      <w:r w:rsidRPr="000A7AE8">
        <w:rPr>
          <w:rFonts w:cs="Times New Roman"/>
        </w:rPr>
        <w:t xml:space="preserve">At 6 months, the overall serious adverse </w:t>
      </w:r>
      <w:proofErr w:type="gramStart"/>
      <w:r w:rsidRPr="000A7AE8">
        <w:rPr>
          <w:rFonts w:cs="Times New Roman"/>
        </w:rPr>
        <w:t>events considered to be related to treatment was</w:t>
      </w:r>
      <w:proofErr w:type="gramEnd"/>
      <w:r w:rsidRPr="000A7AE8">
        <w:rPr>
          <w:rFonts w:cs="Times New Roman"/>
        </w:rPr>
        <w:t xml:space="preserve"> 1.9% (3 patients) in the </w:t>
      </w:r>
      <w:proofErr w:type="spellStart"/>
      <w:r w:rsidRPr="000A7AE8">
        <w:rPr>
          <w:rFonts w:cs="Times New Roman"/>
        </w:rPr>
        <w:t>abatacept</w:t>
      </w:r>
      <w:proofErr w:type="spellEnd"/>
      <w:r w:rsidRPr="000A7AE8">
        <w:rPr>
          <w:rFonts w:cs="Times New Roman"/>
        </w:rPr>
        <w:t xml:space="preserve"> group, 4.8% (8) in the infliximab group, and 2.7% (3) in the placebo group. The frequency of serious infections was 1.3% (2) in the </w:t>
      </w:r>
      <w:proofErr w:type="spellStart"/>
      <w:r w:rsidRPr="000A7AE8">
        <w:rPr>
          <w:rFonts w:cs="Times New Roman"/>
        </w:rPr>
        <w:t>abatacept</w:t>
      </w:r>
      <w:proofErr w:type="spellEnd"/>
      <w:r w:rsidRPr="000A7AE8">
        <w:rPr>
          <w:rFonts w:cs="Times New Roman"/>
        </w:rPr>
        <w:t xml:space="preserve"> group, 2.4% (4) in the infliximab group, and 0.9% (1) in the placebo group. The frequency of acute </w:t>
      </w:r>
      <w:proofErr w:type="spellStart"/>
      <w:r w:rsidRPr="000A7AE8">
        <w:rPr>
          <w:rFonts w:cs="Times New Roman"/>
        </w:rPr>
        <w:t>infusional</w:t>
      </w:r>
      <w:proofErr w:type="spellEnd"/>
      <w:r w:rsidRPr="000A7AE8">
        <w:rPr>
          <w:rFonts w:cs="Times New Roman"/>
        </w:rPr>
        <w:t xml:space="preserve"> adverse events was 5.1% (8) in the </w:t>
      </w:r>
      <w:proofErr w:type="spellStart"/>
      <w:r w:rsidRPr="000A7AE8">
        <w:rPr>
          <w:rFonts w:cs="Times New Roman"/>
        </w:rPr>
        <w:t>abatacept</w:t>
      </w:r>
      <w:proofErr w:type="spellEnd"/>
      <w:r w:rsidRPr="000A7AE8">
        <w:rPr>
          <w:rFonts w:cs="Times New Roman"/>
        </w:rPr>
        <w:t xml:space="preserve"> group, 18.2% (30) in the infliximab group, and 10.0% (11) in the placebo group. At 12 months, the overall serious adverse </w:t>
      </w:r>
      <w:proofErr w:type="gramStart"/>
      <w:r w:rsidRPr="000A7AE8">
        <w:rPr>
          <w:rFonts w:cs="Times New Roman"/>
        </w:rPr>
        <w:t>events considered to be related to treatment was</w:t>
      </w:r>
      <w:proofErr w:type="gramEnd"/>
      <w:r w:rsidRPr="000A7AE8">
        <w:rPr>
          <w:rFonts w:cs="Times New Roman"/>
        </w:rPr>
        <w:t xml:space="preserve"> 3.2% (5) in the </w:t>
      </w:r>
      <w:proofErr w:type="spellStart"/>
      <w:r w:rsidRPr="000A7AE8">
        <w:rPr>
          <w:rFonts w:cs="Times New Roman"/>
        </w:rPr>
        <w:t>abatacept</w:t>
      </w:r>
      <w:proofErr w:type="spellEnd"/>
      <w:r w:rsidRPr="000A7AE8">
        <w:rPr>
          <w:rFonts w:cs="Times New Roman"/>
        </w:rPr>
        <w:t xml:space="preserve"> group and 8.5% (14) in the infliximab group. The frequency of serious infections was 1.3% (2) in the </w:t>
      </w:r>
      <w:proofErr w:type="spellStart"/>
      <w:r w:rsidRPr="000A7AE8">
        <w:rPr>
          <w:rFonts w:cs="Times New Roman"/>
        </w:rPr>
        <w:t>abatacept</w:t>
      </w:r>
      <w:proofErr w:type="spellEnd"/>
      <w:r w:rsidRPr="000A7AE8">
        <w:rPr>
          <w:rFonts w:cs="Times New Roman"/>
        </w:rPr>
        <w:t xml:space="preserve"> group and 6.1% (10) in the infliximab group, with a total of 5 serious opportunistic infections in the infliximab group and none in the </w:t>
      </w:r>
      <w:proofErr w:type="spellStart"/>
      <w:r w:rsidRPr="000A7AE8">
        <w:rPr>
          <w:rFonts w:cs="Times New Roman"/>
        </w:rPr>
        <w:t>abatacept</w:t>
      </w:r>
      <w:proofErr w:type="spellEnd"/>
      <w:r w:rsidRPr="000A7AE8">
        <w:rPr>
          <w:rFonts w:cs="Times New Roman"/>
        </w:rPr>
        <w:t xml:space="preserve"> group. With regard to abnormal laboratory values at 6 months, antinuclear antibodies developed in 1.7% (2) of the </w:t>
      </w:r>
      <w:proofErr w:type="spellStart"/>
      <w:r w:rsidRPr="000A7AE8">
        <w:rPr>
          <w:rFonts w:cs="Times New Roman"/>
        </w:rPr>
        <w:t>abatacept</w:t>
      </w:r>
      <w:proofErr w:type="spellEnd"/>
      <w:r w:rsidRPr="000A7AE8">
        <w:rPr>
          <w:rFonts w:cs="Times New Roman"/>
        </w:rPr>
        <w:t xml:space="preserve"> group, 32.2% (38) of the infliximab group, and 4.9% (4) of the placebo group.</w:t>
      </w:r>
      <w:r w:rsidRPr="000A7AE8">
        <w:rPr>
          <w:rFonts w:cs="Times New Roman"/>
          <w:position w:val="13"/>
          <w:vertAlign w:val="superscript"/>
        </w:rPr>
        <w:t xml:space="preserve"> </w:t>
      </w:r>
    </w:p>
    <w:p w14:paraId="1F63FA9F" w14:textId="52825BF6" w:rsidR="004E2896" w:rsidRPr="000A7AE8" w:rsidRDefault="004E2896" w:rsidP="00C02EB7">
      <w:pPr>
        <w:pStyle w:val="Heading4"/>
      </w:pPr>
      <w:r w:rsidRPr="000A7AE8">
        <w:t xml:space="preserve">Study VIII: Safety of </w:t>
      </w:r>
      <w:proofErr w:type="spellStart"/>
      <w:r w:rsidRPr="000A7AE8">
        <w:t>abatacept</w:t>
      </w:r>
      <w:proofErr w:type="spellEnd"/>
      <w:r w:rsidRPr="000A7AE8">
        <w:t xml:space="preserve"> in patients with or without washout of previous TNF blocking agent therapy </w:t>
      </w:r>
    </w:p>
    <w:p w14:paraId="599258A3" w14:textId="77777777" w:rsidR="004E2896" w:rsidRPr="000A7AE8" w:rsidRDefault="004E2896" w:rsidP="004E2896">
      <w:pPr>
        <w:pStyle w:val="BMSBodyText"/>
        <w:spacing w:before="0" w:after="0" w:line="240" w:lineRule="auto"/>
        <w:rPr>
          <w:b/>
          <w:bCs/>
          <w:color w:val="auto"/>
          <w:sz w:val="22"/>
          <w:szCs w:val="22"/>
        </w:rPr>
      </w:pPr>
      <w:r w:rsidRPr="000A7AE8">
        <w:rPr>
          <w:color w:val="auto"/>
          <w:sz w:val="22"/>
          <w:szCs w:val="22"/>
        </w:rPr>
        <w:t xml:space="preserve">A study of open-label </w:t>
      </w:r>
      <w:proofErr w:type="spellStart"/>
      <w:r w:rsidRPr="000A7AE8">
        <w:rPr>
          <w:color w:val="auto"/>
          <w:sz w:val="22"/>
          <w:szCs w:val="22"/>
        </w:rPr>
        <w:t>abatacept</w:t>
      </w:r>
      <w:proofErr w:type="spellEnd"/>
      <w:r w:rsidRPr="000A7AE8">
        <w:rPr>
          <w:color w:val="auto"/>
          <w:sz w:val="22"/>
          <w:szCs w:val="22"/>
        </w:rPr>
        <w:t xml:space="preserve"> on a background of non-biologic DMARDs was conducted in patients with active RA who had an inadequate response to previous (washout for at least 2 months; n=449) or current (no washout period; n=597) TNF-antagonist therapy (Study VIII, Study IM101064). The primary outcome, incidence of adverse events, serious adverse events, and discontinuations due to adverse events during 6 months of treatment, was similar between those who were previous and current TNF-antagonist users at enrollment, as was the frequency of serious infections. Results from Study VIII support the transition from TNF blocking agent therapy to ORENCIA therapy at the next scheduled dose of the TNF blocking agent therapy.</w:t>
      </w:r>
    </w:p>
    <w:p w14:paraId="5E5F4BDD" w14:textId="77777777" w:rsidR="004E2896" w:rsidRPr="000A7AE8" w:rsidRDefault="004E2896" w:rsidP="00E1787C">
      <w:pPr>
        <w:pStyle w:val="Heading3"/>
      </w:pPr>
      <w:r w:rsidRPr="000A7AE8">
        <w:t>Clinical trial experience in adult RA patients treated with subcutaneous ORENCIA</w:t>
      </w:r>
    </w:p>
    <w:p w14:paraId="08EE57A6" w14:textId="77777777" w:rsidR="004E2896" w:rsidRPr="000A7AE8" w:rsidRDefault="004E2896" w:rsidP="00E1787C">
      <w:bookmarkStart w:id="63" w:name="_Toc268870828"/>
      <w:r w:rsidRPr="000A7AE8">
        <w:t xml:space="preserve">In general, the adverse reactions in adult RA patients treated with subcutaneous </w:t>
      </w:r>
      <w:proofErr w:type="spellStart"/>
      <w:r w:rsidRPr="000A7AE8">
        <w:t>abatacept</w:t>
      </w:r>
      <w:proofErr w:type="spellEnd"/>
      <w:r w:rsidRPr="000A7AE8">
        <w:t xml:space="preserve"> were similar in type to those seen in patients treated with </w:t>
      </w:r>
      <w:proofErr w:type="spellStart"/>
      <w:r w:rsidRPr="000A7AE8">
        <w:t>abatacept</w:t>
      </w:r>
      <w:proofErr w:type="spellEnd"/>
      <w:r w:rsidRPr="000A7AE8">
        <w:t xml:space="preserve"> administered intravenously.</w:t>
      </w:r>
      <w:bookmarkEnd w:id="63"/>
    </w:p>
    <w:p w14:paraId="3AA5202C" w14:textId="77777777" w:rsidR="004E2896" w:rsidRPr="000A7AE8" w:rsidRDefault="004E2896" w:rsidP="00E1787C">
      <w:r w:rsidRPr="000A7AE8">
        <w:t xml:space="preserve">Study SC-I was a randomized, double-blind, double-dummy, non-inferiority study that compared the efficacy and safety of </w:t>
      </w:r>
      <w:proofErr w:type="spellStart"/>
      <w:r w:rsidRPr="000A7AE8">
        <w:t>abatacept</w:t>
      </w:r>
      <w:proofErr w:type="spellEnd"/>
      <w:r w:rsidRPr="000A7AE8">
        <w:t xml:space="preserve"> administered subcutaneously (SC) (with IV loading dose) and intravenously (IV) in 1457 subjects with rheumatoid arthritis, receiving background methotrexate, and experiencing an inadequate response to MTX (MTX-IR).</w:t>
      </w:r>
      <w:r w:rsidRPr="000A7AE8">
        <w:rPr>
          <w:rStyle w:val="EndnoteReference"/>
          <w:sz w:val="22"/>
        </w:rPr>
        <w:t xml:space="preserve"> </w:t>
      </w:r>
      <w:r w:rsidRPr="000A7AE8">
        <w:t xml:space="preserve">The safety experience and immunogenicity for </w:t>
      </w:r>
      <w:r w:rsidRPr="000A7AE8">
        <w:rPr>
          <w:bCs/>
        </w:rPr>
        <w:t>ORENCIA</w:t>
      </w:r>
      <w:r w:rsidRPr="000A7AE8">
        <w:rPr>
          <w:bCs/>
          <w:vertAlign w:val="superscript"/>
        </w:rPr>
        <w:t xml:space="preserve"> </w:t>
      </w:r>
      <w:r w:rsidRPr="000A7AE8">
        <w:t>administered subcutaneously was consistent with intravenous Studies I-VI. Due to the route of administration, injection site reactions and immunogenicity were evaluated and are discussed in the sections below.</w:t>
      </w:r>
    </w:p>
    <w:p w14:paraId="24A5473A" w14:textId="40BE222C" w:rsidR="004E2896" w:rsidRPr="000A7AE8" w:rsidRDefault="004E2896" w:rsidP="00E1787C">
      <w:pPr>
        <w:rPr>
          <w:rFonts w:cs="Times New Roman"/>
          <w:u w:val="double"/>
        </w:rPr>
      </w:pPr>
      <w:r w:rsidRPr="000A7AE8">
        <w:rPr>
          <w:rFonts w:cs="Times New Roman"/>
        </w:rPr>
        <w:t xml:space="preserve">A subgroup </w:t>
      </w:r>
      <w:r w:rsidRPr="000A7AE8">
        <w:rPr>
          <w:rFonts w:cs="Times New Roman"/>
          <w:bCs/>
        </w:rPr>
        <w:t xml:space="preserve">analysis, although limited by assessments involving small numbers and the lack of a comparator, did not reveal any unexpected safety concerns. The finding that more AEs were reported subjects &gt;100 kg both for IV and SC </w:t>
      </w:r>
      <w:proofErr w:type="spellStart"/>
      <w:r w:rsidRPr="000A7AE8">
        <w:rPr>
          <w:rFonts w:cs="Times New Roman"/>
          <w:bCs/>
        </w:rPr>
        <w:t>abatacept</w:t>
      </w:r>
      <w:proofErr w:type="spellEnd"/>
      <w:r w:rsidRPr="000A7AE8">
        <w:rPr>
          <w:rFonts w:cs="Times New Roman"/>
          <w:bCs/>
        </w:rPr>
        <w:t xml:space="preserve"> may reflect small numbers of subjects in some subgroups and differences in exposure</w:t>
      </w:r>
      <w:r w:rsidRPr="000A7AE8">
        <w:rPr>
          <w:rFonts w:cs="Times New Roman"/>
          <w:b/>
          <w:bCs/>
        </w:rPr>
        <w:t>.</w:t>
      </w:r>
    </w:p>
    <w:p w14:paraId="73AA4E1D" w14:textId="277863EC" w:rsidR="004E2896" w:rsidRPr="000A7AE8" w:rsidRDefault="004E2896" w:rsidP="004E2896">
      <w:pPr>
        <w:rPr>
          <w:rFonts w:cs="Times New Roman"/>
        </w:rPr>
      </w:pPr>
      <w:r w:rsidRPr="000A7AE8">
        <w:rPr>
          <w:rFonts w:cs="Times New Roman"/>
        </w:rPr>
        <w:t>Study SC</w:t>
      </w:r>
      <w:r w:rsidRPr="000A7AE8">
        <w:rPr>
          <w:rFonts w:cs="Times New Roman"/>
        </w:rPr>
        <w:noBreakHyphen/>
        <w:t>IV was a randomized, investigator</w:t>
      </w:r>
      <w:r w:rsidRPr="000A7AE8">
        <w:rPr>
          <w:rFonts w:cs="Times New Roman"/>
        </w:rPr>
        <w:noBreakHyphen/>
        <w:t>blinded, non</w:t>
      </w:r>
      <w:r w:rsidRPr="000A7AE8">
        <w:rPr>
          <w:rFonts w:cs="Times New Roman"/>
        </w:rPr>
        <w:noBreakHyphen/>
        <w:t xml:space="preserve">inferiority study that compared the efficacy and safety of SC </w:t>
      </w:r>
      <w:proofErr w:type="spellStart"/>
      <w:r w:rsidRPr="000A7AE8">
        <w:rPr>
          <w:rFonts w:cs="Times New Roman"/>
        </w:rPr>
        <w:t>abatacept</w:t>
      </w:r>
      <w:proofErr w:type="spellEnd"/>
      <w:r w:rsidRPr="000A7AE8">
        <w:rPr>
          <w:rFonts w:cs="Times New Roman"/>
        </w:rPr>
        <w:t xml:space="preserve"> (without IV loading dose) and adalimumab in subjects with moderate to severely active rheumatoid arthritis, receiving background methotrexate, and experiencing an inadequate response to MTX (MTX</w:t>
      </w:r>
      <w:r w:rsidRPr="000A7AE8">
        <w:rPr>
          <w:rFonts w:cs="Times New Roman"/>
        </w:rPr>
        <w:noBreakHyphen/>
        <w:t xml:space="preserve">IR) (see </w:t>
      </w:r>
      <w:r w:rsidR="002F045D" w:rsidRPr="000A7AE8">
        <w:rPr>
          <w:rFonts w:cs="Times New Roman"/>
        </w:rPr>
        <w:t xml:space="preserve">5.1 </w:t>
      </w:r>
      <w:proofErr w:type="spellStart"/>
      <w:r w:rsidR="002F045D" w:rsidRPr="000A7AE8">
        <w:rPr>
          <w:rFonts w:cs="Times New Roman"/>
        </w:rPr>
        <w:t>Pharmacodynamic</w:t>
      </w:r>
      <w:proofErr w:type="spellEnd"/>
      <w:r w:rsidR="002F045D" w:rsidRPr="000A7AE8">
        <w:rPr>
          <w:rFonts w:cs="Times New Roman"/>
        </w:rPr>
        <w:t xml:space="preserve"> Properties - Clinical Trials</w:t>
      </w:r>
      <w:r w:rsidRPr="000A7AE8">
        <w:rPr>
          <w:rFonts w:cs="Times New Roman"/>
        </w:rPr>
        <w:t>). The safety experience for ORENCIA administered subcutaneously was consistent with subcutaneous Study SC</w:t>
      </w:r>
      <w:r w:rsidRPr="000A7AE8">
        <w:rPr>
          <w:rFonts w:cs="Times New Roman"/>
        </w:rPr>
        <w:noBreakHyphen/>
        <w:t>I.</w:t>
      </w:r>
    </w:p>
    <w:p w14:paraId="6783AAC4" w14:textId="77777777" w:rsidR="004E2896" w:rsidRPr="000A7AE8" w:rsidRDefault="004E2896" w:rsidP="00C02EB7">
      <w:pPr>
        <w:pStyle w:val="Heading4"/>
      </w:pPr>
      <w:r w:rsidRPr="000A7AE8">
        <w:t xml:space="preserve">Injection Site Reactions in Adult RA Patients Treated with SC </w:t>
      </w:r>
      <w:proofErr w:type="spellStart"/>
      <w:r w:rsidRPr="000A7AE8">
        <w:t>Abatacept</w:t>
      </w:r>
      <w:proofErr w:type="spellEnd"/>
    </w:p>
    <w:p w14:paraId="413B0156" w14:textId="77777777" w:rsidR="004E2896" w:rsidRPr="000A7AE8" w:rsidRDefault="004E2896" w:rsidP="004E2896">
      <w:pPr>
        <w:rPr>
          <w:rFonts w:cs="Times New Roman"/>
          <w:bCs/>
        </w:rPr>
      </w:pPr>
      <w:r w:rsidRPr="000A7AE8">
        <w:rPr>
          <w:rFonts w:cs="Times New Roman"/>
          <w:bCs/>
        </w:rPr>
        <w:t xml:space="preserve">Study SC-I compared the safety of </w:t>
      </w:r>
      <w:proofErr w:type="spellStart"/>
      <w:r w:rsidRPr="000A7AE8">
        <w:rPr>
          <w:rFonts w:cs="Times New Roman"/>
          <w:bCs/>
        </w:rPr>
        <w:t>abatacept</w:t>
      </w:r>
      <w:proofErr w:type="spellEnd"/>
      <w:r w:rsidRPr="000A7AE8">
        <w:rPr>
          <w:rFonts w:cs="Times New Roman"/>
          <w:bCs/>
        </w:rPr>
        <w:t xml:space="preserve"> including injection site reactions following subcutaneous or intravenous administration. The overall frequency of injection site reactions was 2.6% (19/736) and 2.5% (18/721) for the SC </w:t>
      </w:r>
      <w:proofErr w:type="spellStart"/>
      <w:r w:rsidRPr="000A7AE8">
        <w:rPr>
          <w:rFonts w:cs="Times New Roman"/>
          <w:bCs/>
        </w:rPr>
        <w:t>abatacept</w:t>
      </w:r>
      <w:proofErr w:type="spellEnd"/>
      <w:r w:rsidRPr="000A7AE8">
        <w:rPr>
          <w:rFonts w:cs="Times New Roman"/>
          <w:bCs/>
        </w:rPr>
        <w:t xml:space="preserve"> group and the IV </w:t>
      </w:r>
      <w:proofErr w:type="spellStart"/>
      <w:r w:rsidRPr="000A7AE8">
        <w:rPr>
          <w:rFonts w:cs="Times New Roman"/>
          <w:bCs/>
        </w:rPr>
        <w:t>abatacept</w:t>
      </w:r>
      <w:proofErr w:type="spellEnd"/>
      <w:r w:rsidRPr="000A7AE8">
        <w:rPr>
          <w:rFonts w:cs="Times New Roman"/>
          <w:bCs/>
        </w:rPr>
        <w:t xml:space="preserve"> group (SC placebo), respectively. All </w:t>
      </w:r>
      <w:r w:rsidRPr="000A7AE8">
        <w:rPr>
          <w:rFonts w:cs="Times New Roman"/>
          <w:bCs/>
        </w:rPr>
        <w:lastRenderedPageBreak/>
        <w:t>injection site reactions were described as mild to moderate (haematoma, pruritus, or erythema) and generally did not necessitate drug discontinuation.</w:t>
      </w:r>
      <w:r w:rsidRPr="000A7AE8" w:rsidDel="00DB03F9">
        <w:rPr>
          <w:rFonts w:cs="Times New Roman"/>
          <w:bCs/>
        </w:rPr>
        <w:t xml:space="preserve"> </w:t>
      </w:r>
    </w:p>
    <w:p w14:paraId="4BCA8653" w14:textId="77777777" w:rsidR="004E2896" w:rsidRPr="000A7AE8" w:rsidRDefault="004E2896" w:rsidP="004E2896">
      <w:pPr>
        <w:rPr>
          <w:rFonts w:cs="Times New Roman"/>
          <w:bCs/>
        </w:rPr>
      </w:pPr>
      <w:r w:rsidRPr="000A7AE8">
        <w:rPr>
          <w:rFonts w:cs="Times New Roman"/>
          <w:bCs/>
        </w:rPr>
        <w:t>Study SC</w:t>
      </w:r>
      <w:r w:rsidRPr="000A7AE8">
        <w:rPr>
          <w:rFonts w:cs="Times New Roman"/>
          <w:bCs/>
        </w:rPr>
        <w:noBreakHyphen/>
        <w:t xml:space="preserve">IV compared the safety of SC </w:t>
      </w:r>
      <w:proofErr w:type="spellStart"/>
      <w:r w:rsidRPr="000A7AE8">
        <w:rPr>
          <w:rFonts w:cs="Times New Roman"/>
          <w:bCs/>
        </w:rPr>
        <w:t>abatacept</w:t>
      </w:r>
      <w:proofErr w:type="spellEnd"/>
      <w:r w:rsidRPr="000A7AE8">
        <w:rPr>
          <w:rFonts w:cs="Times New Roman"/>
          <w:bCs/>
        </w:rPr>
        <w:t xml:space="preserve"> and adalimumab including injection site reactions following subcutaneous administration. The frequency of injection site reactions were 3.8% (12/318) and 9.1% (30/328) at 12 months (p=0.006) and 4.1% (13/318) and 10.4% (34/328) at 24 months for </w:t>
      </w:r>
      <w:proofErr w:type="spellStart"/>
      <w:r w:rsidRPr="000A7AE8">
        <w:rPr>
          <w:rFonts w:cs="Times New Roman"/>
          <w:bCs/>
        </w:rPr>
        <w:t>abatacept</w:t>
      </w:r>
      <w:proofErr w:type="spellEnd"/>
      <w:r w:rsidRPr="000A7AE8">
        <w:rPr>
          <w:rFonts w:cs="Times New Roman"/>
          <w:bCs/>
        </w:rPr>
        <w:t xml:space="preserve"> SC and adalimumab SC, respectively.</w:t>
      </w:r>
    </w:p>
    <w:p w14:paraId="33900BD9" w14:textId="77777777" w:rsidR="004E2896" w:rsidRPr="000A7AE8" w:rsidRDefault="004E2896" w:rsidP="00C02EB7">
      <w:pPr>
        <w:pStyle w:val="Heading4"/>
      </w:pPr>
      <w:r w:rsidRPr="000A7AE8">
        <w:t xml:space="preserve">Immunogenicity in Adult RA Patients Treated with SC </w:t>
      </w:r>
      <w:proofErr w:type="spellStart"/>
      <w:r w:rsidRPr="000A7AE8">
        <w:t>Abatacept</w:t>
      </w:r>
      <w:proofErr w:type="spellEnd"/>
    </w:p>
    <w:p w14:paraId="38235AAD" w14:textId="77777777" w:rsidR="004E2896" w:rsidRPr="000A7AE8" w:rsidRDefault="004E2896" w:rsidP="00203339">
      <w:r w:rsidRPr="000A7AE8">
        <w:t xml:space="preserve">Study SC-I compared the immunogenicity to </w:t>
      </w:r>
      <w:proofErr w:type="spellStart"/>
      <w:r w:rsidRPr="000A7AE8">
        <w:t>abatacept</w:t>
      </w:r>
      <w:proofErr w:type="spellEnd"/>
      <w:r w:rsidRPr="000A7AE8">
        <w:t xml:space="preserve"> following subcutaneous or intravenous administration. The overall immunogenicity frequency to </w:t>
      </w:r>
      <w:proofErr w:type="spellStart"/>
      <w:r w:rsidRPr="000A7AE8">
        <w:t>abatacept</w:t>
      </w:r>
      <w:proofErr w:type="spellEnd"/>
      <w:r w:rsidRPr="000A7AE8">
        <w:t xml:space="preserve"> was 1.1% (8/725) and 2.3% (16/710) for the subcutaneous and intravenous groups, respectively. The rate is consistent with previous experience, and there was no effect of immunogenicity on pharmacokinetics, safety, or efficacy.</w:t>
      </w:r>
    </w:p>
    <w:p w14:paraId="3F5A6654" w14:textId="77777777" w:rsidR="004E2896" w:rsidRPr="000A7AE8" w:rsidRDefault="004E2896" w:rsidP="00C02EB7">
      <w:pPr>
        <w:pStyle w:val="Heading4"/>
      </w:pPr>
      <w:r w:rsidRPr="000A7AE8">
        <w:t xml:space="preserve">Immunogenicity and Safety of SC </w:t>
      </w:r>
      <w:proofErr w:type="spellStart"/>
      <w:r w:rsidRPr="000A7AE8">
        <w:t>Abatacept</w:t>
      </w:r>
      <w:proofErr w:type="spellEnd"/>
      <w:r w:rsidRPr="000A7AE8">
        <w:t xml:space="preserve"> Administration as Monotherapy without an IV Loading Dose</w:t>
      </w:r>
    </w:p>
    <w:p w14:paraId="0A14894C" w14:textId="5A5323D3" w:rsidR="004E2896" w:rsidRPr="000A7AE8" w:rsidRDefault="004E2896" w:rsidP="00203339">
      <w:r w:rsidRPr="000A7AE8">
        <w:t xml:space="preserve">Study SC-II (IM101173) was conducted to determine the effect of monotherapy use of ORENCIA on immunogenicity following subcutaneous administration without an intravenous load in 100 RA patients, who had not previously received </w:t>
      </w:r>
      <w:proofErr w:type="spellStart"/>
      <w:r w:rsidRPr="000A7AE8">
        <w:t>abatacept</w:t>
      </w:r>
      <w:proofErr w:type="spellEnd"/>
      <w:r w:rsidRPr="000A7AE8">
        <w:t xml:space="preserve"> or other CTLA4Ig, who received either subcutaneous ORENCIA</w:t>
      </w:r>
      <w:r w:rsidR="00720A58" w:rsidRPr="000A7AE8">
        <w:t>+MTX</w:t>
      </w:r>
      <w:r w:rsidRPr="000A7AE8">
        <w:t>(n=51) or subcutaneous ORENCIA monotherapy (n=49). No patients in either group developed anti-product antibodies after 4 months of treatment. The safety observed in this study was consistent with that observed in the other subcutaneous studies.</w:t>
      </w:r>
    </w:p>
    <w:p w14:paraId="50E3E7D9" w14:textId="77777777" w:rsidR="004E2896" w:rsidRPr="000A7AE8" w:rsidRDefault="004E2896" w:rsidP="00C02EB7">
      <w:pPr>
        <w:pStyle w:val="Heading4"/>
      </w:pPr>
      <w:r w:rsidRPr="000A7AE8">
        <w:t>Immunogenicity and Safety of SC ORENCIA</w:t>
      </w:r>
      <w:r w:rsidRPr="000A7AE8">
        <w:rPr>
          <w:vertAlign w:val="superscript"/>
        </w:rPr>
        <w:t xml:space="preserve"> </w:t>
      </w:r>
      <w:r w:rsidRPr="000A7AE8">
        <w:t>upon Withdrawal (Three Months) and Restart of Treatment</w:t>
      </w:r>
    </w:p>
    <w:p w14:paraId="5242555C" w14:textId="7F4E4E42" w:rsidR="004E2896" w:rsidRPr="000A7AE8" w:rsidRDefault="004E2896" w:rsidP="00203339">
      <w:r w:rsidRPr="000A7AE8">
        <w:t xml:space="preserve">Study SC-III (IM101167) in the subcutaneous program was conducted to investigate the effect of withdrawal (three months) and restart of ORENCIA subcutaneous treatment on immunogenicity in RA patients treated concomitantly with methotrexate. One hundred sixty-seven patients were enrolled in the first 3-month treatment period and responders (n=120) were randomized to either subcutaneous ORENCIA or placebo for the second 3-month period (withdrawal period). Patients from this period then received open-label ORENCIA treatment in the final 3-month period of the study (period 3). At the end of the withdrawal period, 0/38 patients who continued to receive subcutaneous ORENCIA developed anti-product antibodies compared to 7/73 (9.6%) of patients who had subcutaneous ORENCIA withdrawn during this period. Half of the patients receiving subcutaneous placebo during the withdrawal period received a single intravenous infusion of ORENCIA at the start of </w:t>
      </w:r>
      <w:r w:rsidR="00720A58" w:rsidRPr="000A7AE8">
        <w:t>P</w:t>
      </w:r>
      <w:r w:rsidRPr="000A7AE8">
        <w:t xml:space="preserve">eriod 3 and half received intravenous placebo prior to reinitiating subcutaneous ORENCIA in Period 3. At the end of </w:t>
      </w:r>
      <w:r w:rsidR="00720A58" w:rsidRPr="000A7AE8">
        <w:t>P</w:t>
      </w:r>
      <w:r w:rsidRPr="000A7AE8">
        <w:t>eriod 3, when all patients again received subcutaneous ORENCIA, the immunogenicity rates were 1/38 (2.6%) in the group receiving subcutaneous ORENCIA throughout, and 2/73 (2.7%) in the group that had received placebo during the withdrawal period. Upon reinitiating therapy, there were no injection reactions and no differences in response to therapy in patients who were withdrawn from subcutaneous therapy for up to 3 months relative to those who remained on subcutaneous therapy, whether therapy was reintroduced with or without an intravenous loading dose. The safety observed in this study was consistent with that observed in the other studies.</w:t>
      </w:r>
    </w:p>
    <w:p w14:paraId="6280E7DD" w14:textId="77777777" w:rsidR="004E2896" w:rsidRPr="000A7AE8" w:rsidRDefault="004E2896" w:rsidP="00C02EB7">
      <w:pPr>
        <w:pStyle w:val="Heading4"/>
      </w:pPr>
      <w:r w:rsidRPr="000A7AE8">
        <w:t>Study SC</w:t>
      </w:r>
      <w:r w:rsidRPr="000A7AE8">
        <w:noBreakHyphen/>
        <w:t xml:space="preserve">IV: Additional Safety Information for SC </w:t>
      </w:r>
      <w:proofErr w:type="spellStart"/>
      <w:r w:rsidRPr="000A7AE8">
        <w:t>abatacept</w:t>
      </w:r>
      <w:proofErr w:type="spellEnd"/>
      <w:r w:rsidRPr="000A7AE8">
        <w:t xml:space="preserve"> versus adalimumab</w:t>
      </w:r>
    </w:p>
    <w:p w14:paraId="100D3EA6" w14:textId="51390A68" w:rsidR="004E2896" w:rsidRPr="000A7AE8" w:rsidRDefault="004E2896" w:rsidP="00932AF4">
      <w:pPr>
        <w:rPr>
          <w:lang w:eastAsia="en-AU"/>
        </w:rPr>
      </w:pPr>
      <w:r w:rsidRPr="000A7AE8">
        <w:rPr>
          <w:lang w:eastAsia="en-AU"/>
        </w:rPr>
        <w:t xml:space="preserve">Safety and structural damage assessments were conducted at one and two years. The overall safety profile with respect to adverse events was similar between the two groups over the 24-month period. After 24 months, adverse reactions were reported in 41.5% (132/318) and 50% (164/328) of </w:t>
      </w:r>
      <w:proofErr w:type="spellStart"/>
      <w:r w:rsidRPr="000A7AE8">
        <w:rPr>
          <w:lang w:eastAsia="en-AU"/>
        </w:rPr>
        <w:t>abatacept</w:t>
      </w:r>
      <w:proofErr w:type="spellEnd"/>
      <w:r w:rsidRPr="000A7AE8">
        <w:rPr>
          <w:lang w:eastAsia="en-AU"/>
        </w:rPr>
        <w:t xml:space="preserve"> and adalimumab-treated patients. Serious adverse reactions were reported in 3.5% (11/318) and 6.1% (20/328) of the respective group. At 24 months, 20.8% (66/318) in the SC </w:t>
      </w:r>
      <w:proofErr w:type="spellStart"/>
      <w:r w:rsidRPr="000A7AE8">
        <w:rPr>
          <w:lang w:eastAsia="en-AU"/>
        </w:rPr>
        <w:t>abatacept</w:t>
      </w:r>
      <w:proofErr w:type="spellEnd"/>
      <w:r w:rsidRPr="000A7AE8">
        <w:rPr>
          <w:lang w:eastAsia="en-AU"/>
        </w:rPr>
        <w:t xml:space="preserve"> group and 25.3% (83/328) in the adalimumab group had discontinued. </w:t>
      </w:r>
    </w:p>
    <w:p w14:paraId="67291223" w14:textId="77777777" w:rsidR="004E2896" w:rsidRPr="000A7AE8" w:rsidRDefault="004E2896" w:rsidP="00932AF4">
      <w:pPr>
        <w:rPr>
          <w:lang w:eastAsia="en-AU"/>
        </w:rPr>
      </w:pPr>
      <w:r w:rsidRPr="000A7AE8">
        <w:rPr>
          <w:lang w:eastAsia="en-AU"/>
        </w:rPr>
        <w:lastRenderedPageBreak/>
        <w:t xml:space="preserve">At 24 months, 1.6% (5/318) patients in the SC </w:t>
      </w:r>
      <w:proofErr w:type="spellStart"/>
      <w:r w:rsidRPr="000A7AE8">
        <w:rPr>
          <w:lang w:eastAsia="en-AU"/>
        </w:rPr>
        <w:t>abatacept</w:t>
      </w:r>
      <w:proofErr w:type="spellEnd"/>
      <w:r w:rsidRPr="000A7AE8">
        <w:rPr>
          <w:lang w:eastAsia="en-AU"/>
        </w:rPr>
        <w:t xml:space="preserve"> group and 4.9% (16/328) patients in the adalimumab group discontinued due to serious adverse events. In SC</w:t>
      </w:r>
      <w:r w:rsidRPr="000A7AE8">
        <w:rPr>
          <w:lang w:eastAsia="en-AU"/>
        </w:rPr>
        <w:noBreakHyphen/>
        <w:t xml:space="preserve">IV, serious infections were reported in 3.8% (12/318) of patients treated with </w:t>
      </w:r>
      <w:proofErr w:type="spellStart"/>
      <w:r w:rsidRPr="000A7AE8">
        <w:rPr>
          <w:lang w:eastAsia="en-AU"/>
        </w:rPr>
        <w:t>abatacept</w:t>
      </w:r>
      <w:proofErr w:type="spellEnd"/>
      <w:r w:rsidRPr="000A7AE8">
        <w:rPr>
          <w:lang w:eastAsia="en-AU"/>
        </w:rPr>
        <w:t xml:space="preserve"> SC weekly, none which led to discontinuation, and in 5.8% (19/328) of patients treated with adalimumab SC every</w:t>
      </w:r>
      <w:r w:rsidRPr="000A7AE8">
        <w:rPr>
          <w:lang w:eastAsia="en-AU"/>
        </w:rPr>
        <w:noBreakHyphen/>
        <w:t>other</w:t>
      </w:r>
      <w:r w:rsidRPr="000A7AE8">
        <w:rPr>
          <w:lang w:eastAsia="en-AU"/>
        </w:rPr>
        <w:noBreakHyphen/>
        <w:t>week, leading to 9 discontinuations in the 24</w:t>
      </w:r>
      <w:r w:rsidRPr="000A7AE8">
        <w:rPr>
          <w:lang w:eastAsia="en-AU"/>
        </w:rPr>
        <w:noBreakHyphen/>
        <w:t>month period.</w:t>
      </w:r>
    </w:p>
    <w:p w14:paraId="614C420E" w14:textId="77777777" w:rsidR="004E2896" w:rsidRPr="000A7AE8" w:rsidRDefault="004E2896" w:rsidP="00932AF4">
      <w:pPr>
        <w:rPr>
          <w:lang w:eastAsia="en-AU"/>
        </w:rPr>
      </w:pPr>
      <w:r w:rsidRPr="000A7AE8">
        <w:rPr>
          <w:lang w:eastAsia="en-AU"/>
        </w:rPr>
        <w:t xml:space="preserve">Autoimmune disorders (for example, psoriasis, Raynaud’s phenomenon, erythema </w:t>
      </w:r>
      <w:proofErr w:type="spellStart"/>
      <w:r w:rsidRPr="000A7AE8">
        <w:rPr>
          <w:lang w:eastAsia="en-AU"/>
        </w:rPr>
        <w:t>nodosum</w:t>
      </w:r>
      <w:proofErr w:type="spellEnd"/>
      <w:r w:rsidRPr="000A7AE8">
        <w:rPr>
          <w:lang w:eastAsia="en-AU"/>
        </w:rPr>
        <w:t xml:space="preserve">), mild to moderate in severity, were reported in 3.8% (12/318) patients in the SC </w:t>
      </w:r>
      <w:proofErr w:type="spellStart"/>
      <w:r w:rsidRPr="000A7AE8">
        <w:rPr>
          <w:lang w:eastAsia="en-AU"/>
        </w:rPr>
        <w:t>abatacept</w:t>
      </w:r>
      <w:proofErr w:type="spellEnd"/>
      <w:r w:rsidRPr="000A7AE8">
        <w:rPr>
          <w:lang w:eastAsia="en-AU"/>
        </w:rPr>
        <w:t xml:space="preserve"> group and 1.5% (5/328) patients in the adalimumab group over the 24</w:t>
      </w:r>
      <w:r w:rsidRPr="000A7AE8">
        <w:rPr>
          <w:lang w:eastAsia="en-AU"/>
        </w:rPr>
        <w:noBreakHyphen/>
        <w:t>month period.</w:t>
      </w:r>
    </w:p>
    <w:p w14:paraId="458F07D3" w14:textId="77777777" w:rsidR="004E2896" w:rsidRPr="000A7AE8" w:rsidRDefault="004E2896" w:rsidP="00E1787C">
      <w:pPr>
        <w:pStyle w:val="Heading3"/>
      </w:pPr>
      <w:proofErr w:type="spellStart"/>
      <w:r w:rsidRPr="000A7AE8">
        <w:t>Postmarketing</w:t>
      </w:r>
      <w:proofErr w:type="spellEnd"/>
      <w:r w:rsidRPr="000A7AE8">
        <w:t xml:space="preserve"> experience</w:t>
      </w:r>
    </w:p>
    <w:p w14:paraId="1B2C0358" w14:textId="7A1D365B" w:rsidR="004E2896" w:rsidRPr="000A7AE8" w:rsidRDefault="004E2896" w:rsidP="004E2896">
      <w:pPr>
        <w:autoSpaceDE w:val="0"/>
        <w:autoSpaceDN w:val="0"/>
        <w:adjustRightInd w:val="0"/>
        <w:rPr>
          <w:rFonts w:cs="Times New Roman"/>
          <w:lang w:eastAsia="en-AU"/>
        </w:rPr>
      </w:pPr>
      <w:r w:rsidRPr="000A7AE8">
        <w:rPr>
          <w:rFonts w:cs="Times New Roman"/>
          <w:lang w:eastAsia="en-AU"/>
        </w:rPr>
        <w:t xml:space="preserve">Adverse reactions have been reported during the post-approval use of ORENCIA. Because these reactions are reported voluntarily from a population of uncertain size, it is not always possible to reliably estimate their frequency or establish a causal relationship to ORENCIA. During </w:t>
      </w:r>
      <w:proofErr w:type="spellStart"/>
      <w:r w:rsidRPr="000A7AE8">
        <w:rPr>
          <w:rFonts w:cs="Times New Roman"/>
          <w:lang w:eastAsia="en-AU"/>
        </w:rPr>
        <w:t>postmarketing</w:t>
      </w:r>
      <w:proofErr w:type="spellEnd"/>
      <w:r w:rsidRPr="000A7AE8">
        <w:rPr>
          <w:rFonts w:cs="Times New Roman"/>
          <w:lang w:eastAsia="en-AU"/>
        </w:rPr>
        <w:t xml:space="preserve"> experience, </w:t>
      </w:r>
      <w:proofErr w:type="gramStart"/>
      <w:r w:rsidRPr="000A7AE8">
        <w:rPr>
          <w:rFonts w:cs="Times New Roman"/>
          <w:lang w:eastAsia="en-AU"/>
        </w:rPr>
        <w:t>systemic infusion reactions was</w:t>
      </w:r>
      <w:proofErr w:type="gramEnd"/>
      <w:r w:rsidRPr="000A7AE8">
        <w:rPr>
          <w:rFonts w:cs="Times New Roman"/>
          <w:lang w:eastAsia="en-AU"/>
        </w:rPr>
        <w:t xml:space="preserve"> similar to that seen in the clinical trial experience with IV ORENCIA</w:t>
      </w:r>
      <w:r w:rsidRPr="000A7AE8">
        <w:rPr>
          <w:rFonts w:cs="Times New Roman"/>
          <w:vertAlign w:val="superscript"/>
          <w:lang w:eastAsia="en-AU"/>
        </w:rPr>
        <w:t xml:space="preserve"> </w:t>
      </w:r>
      <w:r w:rsidRPr="000A7AE8">
        <w:rPr>
          <w:rFonts w:cs="Times New Roman"/>
          <w:lang w:eastAsia="en-AU"/>
        </w:rPr>
        <w:t xml:space="preserve">with the exception of one case of fatal anaphylaxis. </w:t>
      </w:r>
      <w:proofErr w:type="spellStart"/>
      <w:r w:rsidRPr="000A7AE8">
        <w:rPr>
          <w:rFonts w:cs="Times New Roman"/>
          <w:lang w:eastAsia="en-AU"/>
        </w:rPr>
        <w:t>Postmarketing</w:t>
      </w:r>
      <w:proofErr w:type="spellEnd"/>
      <w:r w:rsidRPr="000A7AE8">
        <w:rPr>
          <w:rFonts w:cs="Times New Roman"/>
          <w:lang w:eastAsia="en-AU"/>
        </w:rPr>
        <w:t xml:space="preserve"> reports of systemic injection reactions (</w:t>
      </w:r>
      <w:proofErr w:type="spellStart"/>
      <w:r w:rsidRPr="000A7AE8">
        <w:rPr>
          <w:rFonts w:cs="Times New Roman"/>
          <w:lang w:eastAsia="en-AU"/>
        </w:rPr>
        <w:t>eg</w:t>
      </w:r>
      <w:proofErr w:type="spellEnd"/>
      <w:r w:rsidRPr="000A7AE8">
        <w:rPr>
          <w:rFonts w:cs="Times New Roman"/>
          <w:lang w:eastAsia="en-AU"/>
        </w:rPr>
        <w:t>, pruritus, throat tightness, dyspnoea) have been received following the use of SC ORENCIA.</w:t>
      </w:r>
    </w:p>
    <w:p w14:paraId="02890AB5" w14:textId="77777777" w:rsidR="004E2896" w:rsidRPr="000A7AE8" w:rsidRDefault="004E2896" w:rsidP="00E1787C">
      <w:pPr>
        <w:pStyle w:val="Heading3"/>
      </w:pPr>
      <w:r w:rsidRPr="000A7AE8">
        <w:t>Laboratory findings</w:t>
      </w:r>
      <w:bookmarkEnd w:id="47"/>
      <w:bookmarkEnd w:id="48"/>
      <w:bookmarkEnd w:id="49"/>
      <w:bookmarkEnd w:id="50"/>
      <w:bookmarkEnd w:id="51"/>
      <w:bookmarkEnd w:id="52"/>
      <w:bookmarkEnd w:id="53"/>
      <w:bookmarkEnd w:id="54"/>
      <w:bookmarkEnd w:id="62"/>
    </w:p>
    <w:bookmarkEnd w:id="55"/>
    <w:p w14:paraId="04ED0E7B" w14:textId="77777777" w:rsidR="00205F10" w:rsidRDefault="004E2896" w:rsidP="00205F10">
      <w:r w:rsidRPr="000A7AE8">
        <w:t>Based on the results of clinical studies, no special laboratory evaluations are necessary in addition to careful medical management and supervision of patients.</w:t>
      </w:r>
    </w:p>
    <w:p w14:paraId="762942D4" w14:textId="5FB6DA99" w:rsidR="004E2896" w:rsidRPr="000A7AE8" w:rsidRDefault="004E2896" w:rsidP="00E1787C">
      <w:pPr>
        <w:pStyle w:val="Heading3"/>
      </w:pPr>
      <w:r w:rsidRPr="000A7AE8">
        <w:t>Summary of the safety profile in Psoriatic Arthritis (</w:t>
      </w:r>
      <w:proofErr w:type="spellStart"/>
      <w:r w:rsidRPr="000A7AE8">
        <w:t>PsA</w:t>
      </w:r>
      <w:proofErr w:type="spellEnd"/>
      <w:r w:rsidRPr="000A7AE8">
        <w:t>)</w:t>
      </w:r>
    </w:p>
    <w:p w14:paraId="27F5AB24" w14:textId="7891E60A" w:rsidR="004E2896" w:rsidRPr="000A7AE8" w:rsidRDefault="004E2896" w:rsidP="00203339">
      <w:r w:rsidRPr="000A7AE8">
        <w:rPr>
          <w:lang w:eastAsia="en-AU"/>
        </w:rPr>
        <w:t>ORENCIA</w:t>
      </w:r>
      <w:r w:rsidRPr="000A7AE8">
        <w:rPr>
          <w:vertAlign w:val="superscript"/>
          <w:lang w:eastAsia="en-AU"/>
        </w:rPr>
        <w:t xml:space="preserve"> </w:t>
      </w:r>
      <w:r w:rsidRPr="000A7AE8">
        <w:t xml:space="preserve">has been studied in patients with active psoriatic arthritis in two placebo-controlled clinical trials (341 patients with </w:t>
      </w:r>
      <w:r w:rsidRPr="000A7AE8">
        <w:rPr>
          <w:lang w:eastAsia="en-AU"/>
        </w:rPr>
        <w:t>ORENCIA</w:t>
      </w:r>
      <w:r w:rsidRPr="000A7AE8">
        <w:t xml:space="preserve">, 253 patients with placebo) (see </w:t>
      </w:r>
      <w:r w:rsidR="002F045D" w:rsidRPr="000A7AE8">
        <w:t xml:space="preserve">5.1 </w:t>
      </w:r>
      <w:proofErr w:type="spellStart"/>
      <w:r w:rsidR="002F045D" w:rsidRPr="000A7AE8">
        <w:t>Pharmacodynamic</w:t>
      </w:r>
      <w:proofErr w:type="spellEnd"/>
      <w:r w:rsidR="002F045D" w:rsidRPr="000A7AE8">
        <w:t xml:space="preserve"> Properties - Clinical Trials</w:t>
      </w:r>
      <w:r w:rsidRPr="000A7AE8">
        <w:t xml:space="preserve">). During the 24-week placebo-controlled period in the larger study </w:t>
      </w:r>
      <w:proofErr w:type="spellStart"/>
      <w:r w:rsidRPr="000A7AE8">
        <w:t>PsA</w:t>
      </w:r>
      <w:proofErr w:type="spellEnd"/>
      <w:r w:rsidRPr="000A7AE8">
        <w:t xml:space="preserve">-II, the proportion of patients with adverse reactions </w:t>
      </w:r>
      <w:r w:rsidRPr="000A7AE8">
        <w:rPr>
          <w:bCs/>
        </w:rPr>
        <w:t>was</w:t>
      </w:r>
      <w:r w:rsidRPr="000A7AE8">
        <w:t xml:space="preserve"> similar in the </w:t>
      </w:r>
      <w:r w:rsidRPr="000A7AE8">
        <w:rPr>
          <w:lang w:eastAsia="en-AU"/>
        </w:rPr>
        <w:t>ORENCIA</w:t>
      </w:r>
      <w:r w:rsidRPr="000A7AE8">
        <w:rPr>
          <w:vertAlign w:val="superscript"/>
          <w:lang w:eastAsia="en-AU"/>
        </w:rPr>
        <w:t xml:space="preserve"> </w:t>
      </w:r>
      <w:r w:rsidRPr="000A7AE8">
        <w:t xml:space="preserve">and placebo treatment groups (15.5% and 11.4%, respectively). There were no adverse reactions that occurred at ≥ 2% in either treatment group during the 24-week placebo-controlled period. The overall safety profile was comparable between studies </w:t>
      </w:r>
      <w:proofErr w:type="spellStart"/>
      <w:r w:rsidRPr="000A7AE8">
        <w:t>PsA</w:t>
      </w:r>
      <w:proofErr w:type="spellEnd"/>
      <w:r w:rsidRPr="000A7AE8">
        <w:t xml:space="preserve">-I and </w:t>
      </w:r>
      <w:proofErr w:type="spellStart"/>
      <w:r w:rsidRPr="000A7AE8">
        <w:t>PsA</w:t>
      </w:r>
      <w:proofErr w:type="spellEnd"/>
      <w:r w:rsidRPr="000A7AE8">
        <w:t>-II and consistent with the safety profile in rheumatoid arthritis.</w:t>
      </w:r>
    </w:p>
    <w:p w14:paraId="7877A570" w14:textId="77777777" w:rsidR="004E2896" w:rsidRPr="000A7AE8" w:rsidRDefault="004E2896" w:rsidP="00E1787C">
      <w:pPr>
        <w:pStyle w:val="Heading3"/>
      </w:pPr>
      <w:r w:rsidRPr="000A7AE8">
        <w:t>Clinical Trial experience in Paediatric and Adolescent patients treated with intravenous ORENCIA</w:t>
      </w:r>
      <w:r w:rsidRPr="000A7AE8">
        <w:rPr>
          <w:vertAlign w:val="superscript"/>
        </w:rPr>
        <w:t xml:space="preserve"> </w:t>
      </w:r>
    </w:p>
    <w:p w14:paraId="2112BDCA" w14:textId="3C553195" w:rsidR="004E2896" w:rsidRPr="000A7AE8" w:rsidRDefault="004E2896" w:rsidP="00203339">
      <w:r w:rsidRPr="000A7AE8">
        <w:t xml:space="preserve">In general, the adverse events in paediatric patients were similar in frequency and type to those seen in adult patients (see </w:t>
      </w:r>
      <w:r w:rsidR="002F045D" w:rsidRPr="000A7AE8">
        <w:t>4.4 Special Warnings and Precautions for Use and 4.8 Adverse Effects (Undesirable Effects)</w:t>
      </w:r>
      <w:r w:rsidRPr="000A7AE8">
        <w:t>).</w:t>
      </w:r>
    </w:p>
    <w:p w14:paraId="6707AAD9" w14:textId="69BDBC16" w:rsidR="004E2896" w:rsidRPr="000A7AE8" w:rsidRDefault="004E2896" w:rsidP="00203339">
      <w:r w:rsidRPr="000A7AE8">
        <w:rPr>
          <w:lang w:eastAsia="en-AU"/>
        </w:rPr>
        <w:t>ORENCIA</w:t>
      </w:r>
      <w:r w:rsidRPr="000A7AE8">
        <w:t xml:space="preserve"> has been studied in 190 paediatric patients; 6 to 17 years of age, with </w:t>
      </w:r>
      <w:proofErr w:type="spellStart"/>
      <w:r w:rsidRPr="000A7AE8">
        <w:t>polyarticular</w:t>
      </w:r>
      <w:proofErr w:type="spellEnd"/>
      <w:r w:rsidRPr="000A7AE8">
        <w:t xml:space="preserve"> juvenile idiopathic arthritis (see </w:t>
      </w:r>
      <w:r w:rsidR="006D3F06" w:rsidRPr="000A7AE8">
        <w:t xml:space="preserve">5.1 </w:t>
      </w:r>
      <w:proofErr w:type="spellStart"/>
      <w:r w:rsidR="006D3F06" w:rsidRPr="000A7AE8">
        <w:t>Pharmacodynamic</w:t>
      </w:r>
      <w:proofErr w:type="spellEnd"/>
      <w:r w:rsidR="006D3F06" w:rsidRPr="000A7AE8">
        <w:t xml:space="preserve"> Properties - Clinical Trial</w:t>
      </w:r>
      <w:r w:rsidRPr="000A7AE8">
        <w:t>). Overall frequency of adverse events in the 4</w:t>
      </w:r>
      <w:r w:rsidRPr="000A7AE8">
        <w:noBreakHyphen/>
        <w:t xml:space="preserve">month, lead-in, </w:t>
      </w:r>
      <w:proofErr w:type="gramStart"/>
      <w:r w:rsidRPr="000A7AE8">
        <w:t>open</w:t>
      </w:r>
      <w:proofErr w:type="gramEnd"/>
      <w:r w:rsidRPr="000A7AE8">
        <w:t xml:space="preserve">-label period of the study was 70%; infections occurred at a frequency of 36%. The most common infections were upper respiratory tract infection and </w:t>
      </w:r>
      <w:proofErr w:type="spellStart"/>
      <w:r w:rsidRPr="000A7AE8">
        <w:t>nasopharyngitis</w:t>
      </w:r>
      <w:proofErr w:type="spellEnd"/>
      <w:r w:rsidRPr="000A7AE8">
        <w:t>. The infections resolved without sequelae, and the types of infections were consistent with those commonly seen in outpatient paediatric populations. Other events that occurred at a prevalence of at least 5% were headache, nausea, diarrhoea, cough, pyrexia, and abdominal pain.</w:t>
      </w:r>
    </w:p>
    <w:p w14:paraId="2C323713" w14:textId="77777777" w:rsidR="004E2896" w:rsidRPr="000A7AE8" w:rsidRDefault="004E2896" w:rsidP="00203339">
      <w:r w:rsidRPr="000A7AE8">
        <w:t xml:space="preserve">A total of 6 serious adverse events (acute lymphocytic </w:t>
      </w:r>
      <w:proofErr w:type="spellStart"/>
      <w:r w:rsidRPr="000A7AE8">
        <w:t>leukemia</w:t>
      </w:r>
      <w:proofErr w:type="spellEnd"/>
      <w:r w:rsidRPr="000A7AE8">
        <w:t xml:space="preserve">, ovarian cyst, varicella infection, disease flare [2], and joint wear) were reported during the initial 4 months of treatment with </w:t>
      </w:r>
      <w:r w:rsidRPr="000A7AE8">
        <w:rPr>
          <w:lang w:eastAsia="en-AU"/>
        </w:rPr>
        <w:t>ORENCIA.</w:t>
      </w:r>
    </w:p>
    <w:p w14:paraId="1D77B17D" w14:textId="77777777" w:rsidR="004E2896" w:rsidRPr="000A7AE8" w:rsidRDefault="004E2896" w:rsidP="00203339">
      <w:r w:rsidRPr="000A7AE8">
        <w:lastRenderedPageBreak/>
        <w:t>For the 122 patients who responded in the lead-in period and entered the placebo-controlled, 6</w:t>
      </w:r>
      <w:r w:rsidRPr="000A7AE8">
        <w:softHyphen/>
        <w:t>month, withdrawal phase, there were no serious adverse events in 60 ORENCIA-treated patients and 3 serious adverse events in 2 of the 62 placebo-treated patients (haematoma in one patient, varicella and encephalitis in the other).</w:t>
      </w:r>
    </w:p>
    <w:p w14:paraId="13E0DD3B" w14:textId="77777777" w:rsidR="004E2896" w:rsidRPr="000A7AE8" w:rsidRDefault="004E2896" w:rsidP="00203339">
      <w:r w:rsidRPr="000A7AE8">
        <w:t xml:space="preserve">Of the 190 patients with JIA treated with </w:t>
      </w:r>
      <w:r w:rsidRPr="000A7AE8">
        <w:rPr>
          <w:lang w:eastAsia="en-AU"/>
        </w:rPr>
        <w:t>ORENCIA</w:t>
      </w:r>
      <w:r w:rsidRPr="000A7AE8">
        <w:t xml:space="preserve"> in this study, one (0.5%) patient discontinued due to non-consecutive infusion reactions, consisting of bronchospasm and </w:t>
      </w:r>
      <w:proofErr w:type="spellStart"/>
      <w:r w:rsidRPr="000A7AE8">
        <w:t>urticaria</w:t>
      </w:r>
      <w:proofErr w:type="spellEnd"/>
      <w:r w:rsidRPr="000A7AE8">
        <w:t>. During Periods A, B, and C, acute infusion-related reactions occurred at a frequency of 4%, 2%, and 3%, respectively, and were consistent with the types of events reported in adults.</w:t>
      </w:r>
    </w:p>
    <w:p w14:paraId="3493EB96" w14:textId="77777777" w:rsidR="004E2896" w:rsidRPr="000A7AE8" w:rsidRDefault="004E2896" w:rsidP="00015766">
      <w:pPr>
        <w:rPr>
          <w:rFonts w:cs="Times New Roman"/>
          <w:iCs/>
        </w:rPr>
      </w:pPr>
      <w:r w:rsidRPr="000A7AE8">
        <w:rPr>
          <w:rFonts w:cs="Times New Roman"/>
        </w:rPr>
        <w:t xml:space="preserve">Upon continued treatment in the open-label extension period, 27.5% (42/153) of patients discontinued treatment, and the types of adverse events were similar in frequency and type to those seen in adult patients, </w:t>
      </w:r>
      <w:r w:rsidRPr="000A7AE8">
        <w:rPr>
          <w:rFonts w:cs="Times New Roman"/>
          <w:iCs/>
        </w:rPr>
        <w:t xml:space="preserve">except for a single 14 year old patient diagnosed with temporal lobe epilepsy secondary to multiple sclerosis while on open-label treatment. The subject was reported to have a probable seizure four days after the 12th infusion of </w:t>
      </w:r>
      <w:proofErr w:type="spellStart"/>
      <w:r w:rsidRPr="000A7AE8">
        <w:rPr>
          <w:rFonts w:cs="Times New Roman"/>
          <w:iCs/>
        </w:rPr>
        <w:t>abatacept</w:t>
      </w:r>
      <w:proofErr w:type="spellEnd"/>
      <w:r w:rsidRPr="000A7AE8">
        <w:rPr>
          <w:rFonts w:cs="Times New Roman"/>
          <w:iCs/>
        </w:rPr>
        <w:t xml:space="preserve">. The subject had no known personal or family history of multiple sclerosis prior to study entry. This has been the only case of MS in the JIA study with </w:t>
      </w:r>
      <w:proofErr w:type="spellStart"/>
      <w:r w:rsidRPr="000A7AE8">
        <w:rPr>
          <w:rFonts w:cs="Times New Roman"/>
          <w:iCs/>
        </w:rPr>
        <w:t>abatacept</w:t>
      </w:r>
      <w:proofErr w:type="spellEnd"/>
      <w:r w:rsidRPr="000A7AE8">
        <w:rPr>
          <w:rFonts w:cs="Times New Roman"/>
          <w:iCs/>
        </w:rPr>
        <w:t xml:space="preserve"> and there is no evidence to date that there is an increased risk of MS or other demyelinating events due to </w:t>
      </w:r>
      <w:proofErr w:type="spellStart"/>
      <w:r w:rsidRPr="000A7AE8">
        <w:rPr>
          <w:rFonts w:cs="Times New Roman"/>
          <w:iCs/>
        </w:rPr>
        <w:t>abatacept</w:t>
      </w:r>
      <w:proofErr w:type="spellEnd"/>
      <w:r w:rsidRPr="000A7AE8">
        <w:rPr>
          <w:rFonts w:cs="Times New Roman"/>
          <w:iCs/>
        </w:rPr>
        <w:t xml:space="preserve"> treatment.</w:t>
      </w:r>
    </w:p>
    <w:p w14:paraId="29C1BA73" w14:textId="01EC3408" w:rsidR="004E2896" w:rsidRPr="000A7AE8" w:rsidRDefault="004E2896" w:rsidP="00203339">
      <w:r w:rsidRPr="000A7AE8">
        <w:t xml:space="preserve">Adverse events regardless of causality occurring in ≥5% of </w:t>
      </w:r>
      <w:proofErr w:type="spellStart"/>
      <w:r w:rsidRPr="000A7AE8">
        <w:t>pediatric</w:t>
      </w:r>
      <w:proofErr w:type="spellEnd"/>
      <w:r w:rsidRPr="000A7AE8">
        <w:t xml:space="preserve"> patients receiving </w:t>
      </w:r>
      <w:bookmarkStart w:id="64" w:name="OLE_LINK1"/>
      <w:bookmarkStart w:id="65" w:name="OLE_LINK2"/>
      <w:r w:rsidRPr="000A7AE8">
        <w:t>ORENCIA</w:t>
      </w:r>
      <w:r w:rsidRPr="000A7AE8">
        <w:rPr>
          <w:vertAlign w:val="superscript"/>
        </w:rPr>
        <w:t xml:space="preserve"> </w:t>
      </w:r>
      <w:bookmarkEnd w:id="64"/>
      <w:bookmarkEnd w:id="65"/>
      <w:r w:rsidRPr="000A7AE8">
        <w:t xml:space="preserve">in </w:t>
      </w:r>
      <w:r w:rsidR="00720A58" w:rsidRPr="000A7AE8">
        <w:t>P</w:t>
      </w:r>
      <w:r w:rsidRPr="000A7AE8">
        <w:t>eriod B (double-blind phase) of the three</w:t>
      </w:r>
      <w:r w:rsidR="00720A58" w:rsidRPr="000A7AE8">
        <w:t>-</w:t>
      </w:r>
      <w:r w:rsidRPr="000A7AE8">
        <w:t xml:space="preserve">part study conducted in paediatric and adolescent patients with </w:t>
      </w:r>
      <w:proofErr w:type="spellStart"/>
      <w:r w:rsidRPr="000A7AE8">
        <w:t>polyarticular</w:t>
      </w:r>
      <w:proofErr w:type="spellEnd"/>
      <w:r w:rsidRPr="000A7AE8">
        <w:t xml:space="preserve"> JIA</w:t>
      </w:r>
      <w:r w:rsidR="00932AF4" w:rsidRPr="000A7AE8">
        <w:t xml:space="preserve"> are listed in Table 6</w:t>
      </w:r>
      <w:r w:rsidRPr="000A7AE8">
        <w:t xml:space="preserve"> below by system organ classification. All adverse events listed below fall into the frequency category of common (</w:t>
      </w:r>
      <w:r w:rsidRPr="000A7AE8">
        <w:sym w:font="Symbol" w:char="F0B3"/>
      </w:r>
      <w:r w:rsidRPr="000A7AE8">
        <w:t>1%</w:t>
      </w:r>
      <w:r w:rsidR="00720A58" w:rsidRPr="000A7AE8">
        <w:t xml:space="preserve"> -</w:t>
      </w:r>
      <w:r w:rsidRPr="000A7AE8">
        <w:t xml:space="preserve"> &lt;10%), as defined above for adult RA.</w:t>
      </w:r>
    </w:p>
    <w:p w14:paraId="7F70E785" w14:textId="5D94D253" w:rsidR="004E2896" w:rsidRPr="000A7AE8" w:rsidRDefault="00932AF4" w:rsidP="00E1787C">
      <w:pPr>
        <w:pStyle w:val="BMSTableTitle"/>
        <w:rPr>
          <w:sz w:val="22"/>
          <w:u w:val="single"/>
        </w:rPr>
      </w:pPr>
      <w:r w:rsidRPr="000A7AE8">
        <w:rPr>
          <w:sz w:val="22"/>
        </w:rPr>
        <w:t>Table 6</w:t>
      </w:r>
      <w:r w:rsidR="004E2896" w:rsidRPr="000A7AE8">
        <w:rPr>
          <w:sz w:val="22"/>
        </w:rPr>
        <w:t xml:space="preserve">: </w:t>
      </w:r>
      <w:r w:rsidR="004E2896" w:rsidRPr="000A7AE8">
        <w:rPr>
          <w:sz w:val="22"/>
        </w:rPr>
        <w:tab/>
        <w:t>Adverse Events in Placebo-Controlled Trials (regardless of causality) at</w:t>
      </w:r>
      <w:r w:rsidR="00E1787C" w:rsidRPr="000A7AE8">
        <w:rPr>
          <w:sz w:val="22"/>
        </w:rPr>
        <w:t xml:space="preserve"> </w:t>
      </w:r>
      <w:r w:rsidR="004E2896" w:rsidRPr="000A7AE8">
        <w:rPr>
          <w:sz w:val="22"/>
        </w:rPr>
        <w:sym w:font="Symbol" w:char="F0B3"/>
      </w:r>
      <w:r w:rsidR="004E2896" w:rsidRPr="000A7AE8">
        <w:rPr>
          <w:sz w:val="22"/>
        </w:rPr>
        <w:t>5% for Period B (double-blind phase)</w:t>
      </w:r>
    </w:p>
    <w:tbl>
      <w:tblPr>
        <w:tblW w:w="0" w:type="auto"/>
        <w:tblBorders>
          <w:top w:val="double" w:sz="4" w:space="0" w:color="auto"/>
          <w:bottom w:val="double" w:sz="4" w:space="0" w:color="auto"/>
        </w:tblBorders>
        <w:tblLayout w:type="fixed"/>
        <w:tblLook w:val="0000" w:firstRow="0" w:lastRow="0" w:firstColumn="0" w:lastColumn="0" w:noHBand="0" w:noVBand="0"/>
      </w:tblPr>
      <w:tblGrid>
        <w:gridCol w:w="2952"/>
        <w:gridCol w:w="2952"/>
        <w:gridCol w:w="2952"/>
      </w:tblGrid>
      <w:tr w:rsidR="000A7AE8" w:rsidRPr="000A7AE8" w14:paraId="7DA85BFE" w14:textId="77777777" w:rsidTr="004E2896">
        <w:trPr>
          <w:tblHeader/>
        </w:trPr>
        <w:tc>
          <w:tcPr>
            <w:tcW w:w="2952" w:type="dxa"/>
            <w:tcBorders>
              <w:top w:val="double" w:sz="4" w:space="0" w:color="auto"/>
              <w:bottom w:val="single" w:sz="4" w:space="0" w:color="auto"/>
            </w:tcBorders>
          </w:tcPr>
          <w:p w14:paraId="296ED627" w14:textId="77777777" w:rsidR="004E2896" w:rsidRPr="000A7AE8" w:rsidRDefault="004E2896" w:rsidP="00D51CFB">
            <w:pPr>
              <w:pStyle w:val="BMSTableHeader"/>
              <w:jc w:val="left"/>
            </w:pPr>
            <w:bookmarkStart w:id="66" w:name="Tablet_Undesirableeffectsinpatients"/>
            <w:bookmarkEnd w:id="66"/>
            <w:r w:rsidRPr="000A7AE8">
              <w:t>System Organ Classification / Preferred Term</w:t>
            </w:r>
          </w:p>
        </w:tc>
        <w:tc>
          <w:tcPr>
            <w:tcW w:w="2952" w:type="dxa"/>
            <w:tcBorders>
              <w:top w:val="double" w:sz="4" w:space="0" w:color="auto"/>
              <w:bottom w:val="single" w:sz="4" w:space="0" w:color="auto"/>
            </w:tcBorders>
          </w:tcPr>
          <w:p w14:paraId="1C1A51E3" w14:textId="77777777" w:rsidR="004E2896" w:rsidRPr="000A7AE8" w:rsidRDefault="004E2896" w:rsidP="00E1787C">
            <w:pPr>
              <w:pStyle w:val="BMSTableHeader"/>
              <w:rPr>
                <w:vertAlign w:val="superscript"/>
              </w:rPr>
            </w:pPr>
            <w:r w:rsidRPr="000A7AE8">
              <w:t>ORENCIA</w:t>
            </w:r>
          </w:p>
          <w:p w14:paraId="38C44263" w14:textId="77777777" w:rsidR="004E2896" w:rsidRPr="000A7AE8" w:rsidRDefault="004E2896" w:rsidP="00E1787C">
            <w:pPr>
              <w:pStyle w:val="BMSTableHeader"/>
              <w:rPr>
                <w:bCs/>
              </w:rPr>
            </w:pPr>
            <w:proofErr w:type="gramStart"/>
            <w:r w:rsidRPr="000A7AE8">
              <w:t>n</w:t>
            </w:r>
            <w:proofErr w:type="gramEnd"/>
            <w:r w:rsidRPr="000A7AE8">
              <w:t xml:space="preserve"> (%)</w:t>
            </w:r>
          </w:p>
        </w:tc>
        <w:tc>
          <w:tcPr>
            <w:tcW w:w="2952" w:type="dxa"/>
            <w:tcBorders>
              <w:top w:val="double" w:sz="4" w:space="0" w:color="auto"/>
              <w:bottom w:val="single" w:sz="4" w:space="0" w:color="auto"/>
            </w:tcBorders>
          </w:tcPr>
          <w:p w14:paraId="5C33B065" w14:textId="77777777" w:rsidR="004E2896" w:rsidRPr="000A7AE8" w:rsidRDefault="004E2896" w:rsidP="00E1787C">
            <w:pPr>
              <w:pStyle w:val="BMSTableHeader"/>
              <w:rPr>
                <w:vertAlign w:val="superscript"/>
              </w:rPr>
            </w:pPr>
            <w:proofErr w:type="spellStart"/>
            <w:r w:rsidRPr="000A7AE8">
              <w:t>Placebo</w:t>
            </w:r>
            <w:r w:rsidRPr="000A7AE8">
              <w:rPr>
                <w:vertAlign w:val="superscript"/>
              </w:rPr>
              <w:t>a</w:t>
            </w:r>
            <w:proofErr w:type="spellEnd"/>
          </w:p>
          <w:p w14:paraId="46030A21" w14:textId="77777777" w:rsidR="004E2896" w:rsidRPr="000A7AE8" w:rsidRDefault="004E2896" w:rsidP="00E1787C">
            <w:pPr>
              <w:pStyle w:val="BMSTableHeader"/>
            </w:pPr>
            <w:proofErr w:type="gramStart"/>
            <w:r w:rsidRPr="000A7AE8">
              <w:t>n</w:t>
            </w:r>
            <w:proofErr w:type="gramEnd"/>
            <w:r w:rsidRPr="000A7AE8">
              <w:t xml:space="preserve"> (%)</w:t>
            </w:r>
          </w:p>
        </w:tc>
      </w:tr>
      <w:tr w:rsidR="000A7AE8" w:rsidRPr="000A7AE8" w14:paraId="55FE0AF4" w14:textId="77777777" w:rsidTr="004E2896">
        <w:tc>
          <w:tcPr>
            <w:tcW w:w="2952" w:type="dxa"/>
            <w:tcBorders>
              <w:top w:val="single" w:sz="4" w:space="0" w:color="auto"/>
              <w:bottom w:val="single" w:sz="4" w:space="0" w:color="auto"/>
            </w:tcBorders>
          </w:tcPr>
          <w:p w14:paraId="3EDE0E78" w14:textId="77777777" w:rsidR="004E2896" w:rsidRPr="000A7AE8" w:rsidRDefault="004E2896" w:rsidP="00E1787C">
            <w:pPr>
              <w:pStyle w:val="BMSTableText"/>
              <w:jc w:val="left"/>
            </w:pPr>
            <w:r w:rsidRPr="000A7AE8">
              <w:t>Number treated</w:t>
            </w:r>
          </w:p>
        </w:tc>
        <w:tc>
          <w:tcPr>
            <w:tcW w:w="2952" w:type="dxa"/>
            <w:tcBorders>
              <w:top w:val="single" w:sz="4" w:space="0" w:color="auto"/>
              <w:bottom w:val="single" w:sz="4" w:space="0" w:color="auto"/>
            </w:tcBorders>
          </w:tcPr>
          <w:p w14:paraId="67DDDA59" w14:textId="77777777" w:rsidR="004E2896" w:rsidRPr="000A7AE8" w:rsidRDefault="004E2896" w:rsidP="00E1787C">
            <w:pPr>
              <w:pStyle w:val="BMSTableText"/>
            </w:pPr>
            <w:r w:rsidRPr="000A7AE8">
              <w:t>60 (100)</w:t>
            </w:r>
          </w:p>
        </w:tc>
        <w:tc>
          <w:tcPr>
            <w:tcW w:w="2952" w:type="dxa"/>
            <w:tcBorders>
              <w:top w:val="single" w:sz="4" w:space="0" w:color="auto"/>
              <w:bottom w:val="single" w:sz="4" w:space="0" w:color="auto"/>
            </w:tcBorders>
          </w:tcPr>
          <w:p w14:paraId="450E707B" w14:textId="77777777" w:rsidR="004E2896" w:rsidRPr="000A7AE8" w:rsidRDefault="004E2896" w:rsidP="00E1787C">
            <w:pPr>
              <w:pStyle w:val="BMSTableText"/>
            </w:pPr>
            <w:r w:rsidRPr="000A7AE8">
              <w:t>62 (100)</w:t>
            </w:r>
          </w:p>
        </w:tc>
      </w:tr>
      <w:tr w:rsidR="000A7AE8" w:rsidRPr="000A7AE8" w14:paraId="5C5B5D30" w14:textId="77777777" w:rsidTr="004E2896">
        <w:tc>
          <w:tcPr>
            <w:tcW w:w="8856" w:type="dxa"/>
            <w:gridSpan w:val="3"/>
            <w:tcBorders>
              <w:top w:val="single" w:sz="4" w:space="0" w:color="auto"/>
            </w:tcBorders>
          </w:tcPr>
          <w:p w14:paraId="0DF71E8A" w14:textId="77777777" w:rsidR="004E2896" w:rsidRPr="000A7AE8" w:rsidRDefault="004E2896" w:rsidP="00E1787C">
            <w:pPr>
              <w:pStyle w:val="BMSTableText"/>
              <w:jc w:val="left"/>
              <w:rPr>
                <w:i/>
              </w:rPr>
            </w:pPr>
            <w:r w:rsidRPr="000A7AE8">
              <w:rPr>
                <w:i/>
              </w:rPr>
              <w:t>Infections and infestations</w:t>
            </w:r>
          </w:p>
        </w:tc>
      </w:tr>
      <w:tr w:rsidR="000A7AE8" w:rsidRPr="000A7AE8" w14:paraId="171BD355" w14:textId="77777777" w:rsidTr="004E2896">
        <w:tc>
          <w:tcPr>
            <w:tcW w:w="2952" w:type="dxa"/>
          </w:tcPr>
          <w:p w14:paraId="3812D819" w14:textId="77777777" w:rsidR="004E2896" w:rsidRPr="000A7AE8" w:rsidRDefault="004E2896" w:rsidP="00E1787C">
            <w:pPr>
              <w:pStyle w:val="BMSTableText"/>
              <w:ind w:left="360"/>
              <w:jc w:val="left"/>
            </w:pPr>
            <w:r w:rsidRPr="000A7AE8">
              <w:t>Influenza</w:t>
            </w:r>
          </w:p>
        </w:tc>
        <w:tc>
          <w:tcPr>
            <w:tcW w:w="2952" w:type="dxa"/>
          </w:tcPr>
          <w:p w14:paraId="45F912DF" w14:textId="77777777" w:rsidR="004E2896" w:rsidRPr="000A7AE8" w:rsidRDefault="004E2896" w:rsidP="00E1787C">
            <w:pPr>
              <w:pStyle w:val="BMSTableText"/>
            </w:pPr>
            <w:r w:rsidRPr="000A7AE8">
              <w:t>5 (8.3)</w:t>
            </w:r>
          </w:p>
        </w:tc>
        <w:tc>
          <w:tcPr>
            <w:tcW w:w="2952" w:type="dxa"/>
          </w:tcPr>
          <w:p w14:paraId="7F55BC0A" w14:textId="77777777" w:rsidR="004E2896" w:rsidRPr="000A7AE8" w:rsidRDefault="004E2896" w:rsidP="00E1787C">
            <w:pPr>
              <w:pStyle w:val="BMSTableText"/>
            </w:pPr>
            <w:r w:rsidRPr="000A7AE8">
              <w:t>4 (6.5)</w:t>
            </w:r>
          </w:p>
        </w:tc>
      </w:tr>
      <w:tr w:rsidR="000A7AE8" w:rsidRPr="000A7AE8" w14:paraId="3CE94383" w14:textId="77777777" w:rsidTr="004E2896">
        <w:tc>
          <w:tcPr>
            <w:tcW w:w="2952" w:type="dxa"/>
          </w:tcPr>
          <w:p w14:paraId="2187158F" w14:textId="77777777" w:rsidR="004E2896" w:rsidRPr="000A7AE8" w:rsidRDefault="004E2896" w:rsidP="00E1787C">
            <w:pPr>
              <w:pStyle w:val="BMSTableText"/>
              <w:ind w:left="360"/>
              <w:jc w:val="left"/>
            </w:pPr>
            <w:r w:rsidRPr="000A7AE8">
              <w:t>Bacteriuria</w:t>
            </w:r>
          </w:p>
        </w:tc>
        <w:tc>
          <w:tcPr>
            <w:tcW w:w="2952" w:type="dxa"/>
          </w:tcPr>
          <w:p w14:paraId="5652D2D5" w14:textId="77777777" w:rsidR="004E2896" w:rsidRPr="000A7AE8" w:rsidRDefault="004E2896" w:rsidP="00E1787C">
            <w:pPr>
              <w:pStyle w:val="BMSTableText"/>
            </w:pPr>
            <w:r w:rsidRPr="000A7AE8">
              <w:t>4 (6.7)</w:t>
            </w:r>
          </w:p>
        </w:tc>
        <w:tc>
          <w:tcPr>
            <w:tcW w:w="2952" w:type="dxa"/>
          </w:tcPr>
          <w:p w14:paraId="426F24F3" w14:textId="77777777" w:rsidR="004E2896" w:rsidRPr="000A7AE8" w:rsidRDefault="004E2896" w:rsidP="00E1787C">
            <w:pPr>
              <w:pStyle w:val="BMSTableText"/>
            </w:pPr>
            <w:r w:rsidRPr="000A7AE8">
              <w:t>0</w:t>
            </w:r>
          </w:p>
        </w:tc>
      </w:tr>
      <w:tr w:rsidR="000A7AE8" w:rsidRPr="000A7AE8" w14:paraId="0141F6B8" w14:textId="77777777" w:rsidTr="004E2896">
        <w:tc>
          <w:tcPr>
            <w:tcW w:w="2952" w:type="dxa"/>
          </w:tcPr>
          <w:p w14:paraId="5BCFCC22" w14:textId="77777777" w:rsidR="004E2896" w:rsidRPr="000A7AE8" w:rsidRDefault="004E2896" w:rsidP="00E1787C">
            <w:pPr>
              <w:pStyle w:val="BMSTableText"/>
              <w:ind w:left="360"/>
              <w:jc w:val="left"/>
            </w:pPr>
            <w:proofErr w:type="spellStart"/>
            <w:r w:rsidRPr="000A7AE8">
              <w:t>Nasopharyngitis</w:t>
            </w:r>
            <w:proofErr w:type="spellEnd"/>
          </w:p>
        </w:tc>
        <w:tc>
          <w:tcPr>
            <w:tcW w:w="2952" w:type="dxa"/>
          </w:tcPr>
          <w:p w14:paraId="4DD7227F" w14:textId="77777777" w:rsidR="004E2896" w:rsidRPr="000A7AE8" w:rsidRDefault="004E2896" w:rsidP="00E1787C">
            <w:pPr>
              <w:pStyle w:val="BMSTableText"/>
            </w:pPr>
            <w:r w:rsidRPr="000A7AE8">
              <w:t>4 (6.7)</w:t>
            </w:r>
          </w:p>
        </w:tc>
        <w:tc>
          <w:tcPr>
            <w:tcW w:w="2952" w:type="dxa"/>
          </w:tcPr>
          <w:p w14:paraId="51533C6D" w14:textId="77777777" w:rsidR="004E2896" w:rsidRPr="000A7AE8" w:rsidRDefault="004E2896" w:rsidP="00E1787C">
            <w:pPr>
              <w:pStyle w:val="BMSTableText"/>
            </w:pPr>
            <w:r w:rsidRPr="000A7AE8">
              <w:t>3 (4.8)</w:t>
            </w:r>
          </w:p>
        </w:tc>
      </w:tr>
      <w:tr w:rsidR="000A7AE8" w:rsidRPr="000A7AE8" w14:paraId="397F711A" w14:textId="77777777" w:rsidTr="004E2896">
        <w:tc>
          <w:tcPr>
            <w:tcW w:w="2952" w:type="dxa"/>
          </w:tcPr>
          <w:p w14:paraId="5AA2B181" w14:textId="77777777" w:rsidR="004E2896" w:rsidRPr="000A7AE8" w:rsidRDefault="004E2896" w:rsidP="00E1787C">
            <w:pPr>
              <w:pStyle w:val="BMSTableText"/>
              <w:ind w:left="360"/>
              <w:jc w:val="left"/>
            </w:pPr>
            <w:r w:rsidRPr="000A7AE8">
              <w:t>Upper respiratory tract infection</w:t>
            </w:r>
          </w:p>
        </w:tc>
        <w:tc>
          <w:tcPr>
            <w:tcW w:w="2952" w:type="dxa"/>
          </w:tcPr>
          <w:p w14:paraId="2E8098B4" w14:textId="77777777" w:rsidR="004E2896" w:rsidRPr="000A7AE8" w:rsidRDefault="004E2896" w:rsidP="00E1787C">
            <w:pPr>
              <w:pStyle w:val="BMSTableText"/>
            </w:pPr>
            <w:r w:rsidRPr="000A7AE8">
              <w:t>4 (6.7)</w:t>
            </w:r>
          </w:p>
        </w:tc>
        <w:tc>
          <w:tcPr>
            <w:tcW w:w="2952" w:type="dxa"/>
          </w:tcPr>
          <w:p w14:paraId="166EF37B" w14:textId="77777777" w:rsidR="004E2896" w:rsidRPr="000A7AE8" w:rsidRDefault="004E2896" w:rsidP="00E1787C">
            <w:pPr>
              <w:pStyle w:val="BMSTableText"/>
            </w:pPr>
            <w:r w:rsidRPr="000A7AE8">
              <w:t>5 (8.1)</w:t>
            </w:r>
          </w:p>
        </w:tc>
      </w:tr>
      <w:tr w:rsidR="000A7AE8" w:rsidRPr="000A7AE8" w14:paraId="24E1D570" w14:textId="77777777" w:rsidTr="004E2896">
        <w:tc>
          <w:tcPr>
            <w:tcW w:w="2952" w:type="dxa"/>
            <w:tcBorders>
              <w:bottom w:val="nil"/>
            </w:tcBorders>
          </w:tcPr>
          <w:p w14:paraId="6922CDDB" w14:textId="77777777" w:rsidR="004E2896" w:rsidRPr="000A7AE8" w:rsidRDefault="004E2896" w:rsidP="00E1787C">
            <w:pPr>
              <w:pStyle w:val="BMSTableText"/>
              <w:ind w:left="360"/>
              <w:jc w:val="left"/>
            </w:pPr>
            <w:r w:rsidRPr="000A7AE8">
              <w:t>Gastroenteritis</w:t>
            </w:r>
          </w:p>
        </w:tc>
        <w:tc>
          <w:tcPr>
            <w:tcW w:w="2952" w:type="dxa"/>
            <w:tcBorders>
              <w:bottom w:val="nil"/>
            </w:tcBorders>
          </w:tcPr>
          <w:p w14:paraId="77403B79" w14:textId="77777777" w:rsidR="004E2896" w:rsidRPr="000A7AE8" w:rsidRDefault="004E2896" w:rsidP="00E1787C">
            <w:pPr>
              <w:pStyle w:val="BMSTableText"/>
            </w:pPr>
            <w:r w:rsidRPr="000A7AE8">
              <w:t>3 (5.0)</w:t>
            </w:r>
          </w:p>
        </w:tc>
        <w:tc>
          <w:tcPr>
            <w:tcW w:w="2952" w:type="dxa"/>
            <w:tcBorders>
              <w:bottom w:val="nil"/>
            </w:tcBorders>
          </w:tcPr>
          <w:p w14:paraId="763686E4" w14:textId="77777777" w:rsidR="004E2896" w:rsidRPr="000A7AE8" w:rsidRDefault="004E2896" w:rsidP="00E1787C">
            <w:pPr>
              <w:pStyle w:val="BMSTableText"/>
            </w:pPr>
            <w:r w:rsidRPr="000A7AE8">
              <w:t>1 (1.6)</w:t>
            </w:r>
          </w:p>
        </w:tc>
      </w:tr>
      <w:tr w:rsidR="000A7AE8" w:rsidRPr="000A7AE8" w14:paraId="452CA4CC" w14:textId="77777777" w:rsidTr="004E2896">
        <w:tc>
          <w:tcPr>
            <w:tcW w:w="2952" w:type="dxa"/>
            <w:tcBorders>
              <w:top w:val="nil"/>
              <w:bottom w:val="single" w:sz="4" w:space="0" w:color="auto"/>
            </w:tcBorders>
          </w:tcPr>
          <w:p w14:paraId="06C5DFDD" w14:textId="77777777" w:rsidR="004E2896" w:rsidRPr="000A7AE8" w:rsidRDefault="004E2896" w:rsidP="00E1787C">
            <w:pPr>
              <w:pStyle w:val="BMSTableText"/>
              <w:ind w:left="360"/>
              <w:jc w:val="left"/>
            </w:pPr>
            <w:r w:rsidRPr="000A7AE8">
              <w:t>Sinusitis</w:t>
            </w:r>
          </w:p>
        </w:tc>
        <w:tc>
          <w:tcPr>
            <w:tcW w:w="2952" w:type="dxa"/>
            <w:tcBorders>
              <w:top w:val="nil"/>
              <w:bottom w:val="single" w:sz="4" w:space="0" w:color="auto"/>
            </w:tcBorders>
          </w:tcPr>
          <w:p w14:paraId="7029E145" w14:textId="77777777" w:rsidR="004E2896" w:rsidRPr="000A7AE8" w:rsidRDefault="004E2896" w:rsidP="00E1787C">
            <w:pPr>
              <w:pStyle w:val="BMSTableText"/>
            </w:pPr>
            <w:r w:rsidRPr="000A7AE8">
              <w:t>3 (5.0)</w:t>
            </w:r>
          </w:p>
        </w:tc>
        <w:tc>
          <w:tcPr>
            <w:tcW w:w="2952" w:type="dxa"/>
            <w:tcBorders>
              <w:top w:val="nil"/>
              <w:bottom w:val="single" w:sz="4" w:space="0" w:color="auto"/>
            </w:tcBorders>
          </w:tcPr>
          <w:p w14:paraId="11B418EB" w14:textId="77777777" w:rsidR="004E2896" w:rsidRPr="000A7AE8" w:rsidRDefault="004E2896" w:rsidP="00E1787C">
            <w:pPr>
              <w:pStyle w:val="BMSTableText"/>
            </w:pPr>
            <w:r w:rsidRPr="000A7AE8">
              <w:t>2 (3.2)</w:t>
            </w:r>
          </w:p>
        </w:tc>
      </w:tr>
      <w:tr w:rsidR="000A7AE8" w:rsidRPr="000A7AE8" w14:paraId="0A285F6A" w14:textId="77777777" w:rsidTr="004E2896">
        <w:tc>
          <w:tcPr>
            <w:tcW w:w="8856" w:type="dxa"/>
            <w:gridSpan w:val="3"/>
            <w:tcBorders>
              <w:top w:val="single" w:sz="4" w:space="0" w:color="auto"/>
              <w:bottom w:val="nil"/>
            </w:tcBorders>
          </w:tcPr>
          <w:p w14:paraId="5CBAED24" w14:textId="77777777" w:rsidR="004E2896" w:rsidRPr="000A7AE8" w:rsidRDefault="004E2896" w:rsidP="00E1787C">
            <w:pPr>
              <w:pStyle w:val="BMSTableText"/>
              <w:jc w:val="left"/>
              <w:rPr>
                <w:i/>
              </w:rPr>
            </w:pPr>
            <w:r w:rsidRPr="000A7AE8">
              <w:rPr>
                <w:i/>
              </w:rPr>
              <w:t>Gastrointestinal disorders</w:t>
            </w:r>
          </w:p>
        </w:tc>
      </w:tr>
      <w:tr w:rsidR="000A7AE8" w:rsidRPr="000A7AE8" w14:paraId="3857C374" w14:textId="77777777" w:rsidTr="004E2896">
        <w:tc>
          <w:tcPr>
            <w:tcW w:w="2952" w:type="dxa"/>
            <w:tcBorders>
              <w:top w:val="nil"/>
              <w:bottom w:val="single" w:sz="4" w:space="0" w:color="auto"/>
            </w:tcBorders>
          </w:tcPr>
          <w:p w14:paraId="49E1171C" w14:textId="77777777" w:rsidR="004E2896" w:rsidRPr="000A7AE8" w:rsidRDefault="004E2896" w:rsidP="00E1787C">
            <w:pPr>
              <w:pStyle w:val="BMSTableText"/>
              <w:ind w:left="360"/>
              <w:jc w:val="left"/>
            </w:pPr>
            <w:r w:rsidRPr="000A7AE8">
              <w:t>Abdominal pain</w:t>
            </w:r>
          </w:p>
        </w:tc>
        <w:tc>
          <w:tcPr>
            <w:tcW w:w="2952" w:type="dxa"/>
            <w:tcBorders>
              <w:top w:val="nil"/>
              <w:bottom w:val="single" w:sz="4" w:space="0" w:color="auto"/>
            </w:tcBorders>
          </w:tcPr>
          <w:p w14:paraId="5B407073" w14:textId="77777777" w:rsidR="004E2896" w:rsidRPr="000A7AE8" w:rsidRDefault="004E2896" w:rsidP="00E1787C">
            <w:pPr>
              <w:pStyle w:val="BMSTableText"/>
            </w:pPr>
            <w:r w:rsidRPr="000A7AE8">
              <w:t>3 (5.0)</w:t>
            </w:r>
          </w:p>
        </w:tc>
        <w:tc>
          <w:tcPr>
            <w:tcW w:w="2952" w:type="dxa"/>
            <w:tcBorders>
              <w:top w:val="nil"/>
              <w:bottom w:val="single" w:sz="4" w:space="0" w:color="auto"/>
            </w:tcBorders>
          </w:tcPr>
          <w:p w14:paraId="5226DF77" w14:textId="77777777" w:rsidR="004E2896" w:rsidRPr="000A7AE8" w:rsidRDefault="004E2896" w:rsidP="00E1787C">
            <w:pPr>
              <w:pStyle w:val="BMSTableText"/>
            </w:pPr>
            <w:r w:rsidRPr="000A7AE8">
              <w:t>1 (1.6)</w:t>
            </w:r>
          </w:p>
        </w:tc>
      </w:tr>
      <w:tr w:rsidR="000A7AE8" w:rsidRPr="000A7AE8" w14:paraId="76649DA3" w14:textId="77777777" w:rsidTr="004E2896">
        <w:tc>
          <w:tcPr>
            <w:tcW w:w="8856" w:type="dxa"/>
            <w:gridSpan w:val="3"/>
            <w:tcBorders>
              <w:top w:val="single" w:sz="4" w:space="0" w:color="auto"/>
              <w:bottom w:val="nil"/>
            </w:tcBorders>
          </w:tcPr>
          <w:p w14:paraId="19F21036" w14:textId="77777777" w:rsidR="004E2896" w:rsidRPr="000A7AE8" w:rsidRDefault="004E2896" w:rsidP="00E1787C">
            <w:pPr>
              <w:pStyle w:val="BMSTableText"/>
              <w:jc w:val="left"/>
              <w:rPr>
                <w:i/>
              </w:rPr>
            </w:pPr>
            <w:r w:rsidRPr="000A7AE8">
              <w:rPr>
                <w:i/>
              </w:rPr>
              <w:t>General disorders and administration site conditions</w:t>
            </w:r>
          </w:p>
        </w:tc>
      </w:tr>
      <w:tr w:rsidR="000A7AE8" w:rsidRPr="000A7AE8" w14:paraId="533A2FD6" w14:textId="77777777" w:rsidTr="004E2896">
        <w:tc>
          <w:tcPr>
            <w:tcW w:w="2952" w:type="dxa"/>
            <w:tcBorders>
              <w:top w:val="nil"/>
              <w:bottom w:val="single" w:sz="4" w:space="0" w:color="auto"/>
            </w:tcBorders>
          </w:tcPr>
          <w:p w14:paraId="0D0074FF" w14:textId="77777777" w:rsidR="004E2896" w:rsidRPr="000A7AE8" w:rsidRDefault="004E2896" w:rsidP="00E1787C">
            <w:pPr>
              <w:pStyle w:val="BMSTableText"/>
              <w:ind w:left="360"/>
              <w:jc w:val="left"/>
            </w:pPr>
            <w:r w:rsidRPr="000A7AE8">
              <w:t>Pyrexia</w:t>
            </w:r>
          </w:p>
        </w:tc>
        <w:tc>
          <w:tcPr>
            <w:tcW w:w="2952" w:type="dxa"/>
            <w:tcBorders>
              <w:top w:val="nil"/>
              <w:bottom w:val="single" w:sz="4" w:space="0" w:color="auto"/>
            </w:tcBorders>
          </w:tcPr>
          <w:p w14:paraId="65951B00" w14:textId="77777777" w:rsidR="004E2896" w:rsidRPr="000A7AE8" w:rsidRDefault="004E2896" w:rsidP="00E1787C">
            <w:pPr>
              <w:pStyle w:val="BMSTableText"/>
            </w:pPr>
            <w:r w:rsidRPr="000A7AE8">
              <w:t>4 (6.7)</w:t>
            </w:r>
          </w:p>
        </w:tc>
        <w:tc>
          <w:tcPr>
            <w:tcW w:w="2952" w:type="dxa"/>
            <w:tcBorders>
              <w:top w:val="nil"/>
              <w:bottom w:val="single" w:sz="4" w:space="0" w:color="auto"/>
            </w:tcBorders>
          </w:tcPr>
          <w:p w14:paraId="2439A9F7" w14:textId="77777777" w:rsidR="004E2896" w:rsidRPr="000A7AE8" w:rsidRDefault="004E2896" w:rsidP="00E1787C">
            <w:pPr>
              <w:pStyle w:val="BMSTableText"/>
            </w:pPr>
            <w:r w:rsidRPr="000A7AE8">
              <w:t>5 (8.1)</w:t>
            </w:r>
          </w:p>
        </w:tc>
      </w:tr>
      <w:tr w:rsidR="000A7AE8" w:rsidRPr="000A7AE8" w14:paraId="05E332D8" w14:textId="77777777" w:rsidTr="004E2896">
        <w:tc>
          <w:tcPr>
            <w:tcW w:w="8856" w:type="dxa"/>
            <w:gridSpan w:val="3"/>
            <w:tcBorders>
              <w:top w:val="single" w:sz="4" w:space="0" w:color="auto"/>
            </w:tcBorders>
          </w:tcPr>
          <w:p w14:paraId="7A4A0D0A" w14:textId="77777777" w:rsidR="004E2896" w:rsidRPr="000A7AE8" w:rsidRDefault="004E2896" w:rsidP="00E1787C">
            <w:pPr>
              <w:pStyle w:val="BMSTableText"/>
              <w:jc w:val="both"/>
              <w:rPr>
                <w:i/>
              </w:rPr>
            </w:pPr>
            <w:r w:rsidRPr="000A7AE8">
              <w:rPr>
                <w:i/>
              </w:rPr>
              <w:t>Nervous system disorders</w:t>
            </w:r>
          </w:p>
        </w:tc>
      </w:tr>
      <w:tr w:rsidR="000A7AE8" w:rsidRPr="000A7AE8" w14:paraId="618291D5" w14:textId="77777777" w:rsidTr="004E2896">
        <w:tc>
          <w:tcPr>
            <w:tcW w:w="2952" w:type="dxa"/>
          </w:tcPr>
          <w:p w14:paraId="782245D5" w14:textId="77777777" w:rsidR="004E2896" w:rsidRPr="000A7AE8" w:rsidRDefault="004E2896" w:rsidP="00E1787C">
            <w:pPr>
              <w:pStyle w:val="BMSTableText"/>
              <w:ind w:left="360"/>
              <w:jc w:val="left"/>
            </w:pPr>
            <w:r w:rsidRPr="000A7AE8">
              <w:t>Headache</w:t>
            </w:r>
          </w:p>
        </w:tc>
        <w:tc>
          <w:tcPr>
            <w:tcW w:w="2952" w:type="dxa"/>
          </w:tcPr>
          <w:p w14:paraId="55DDF384" w14:textId="77777777" w:rsidR="004E2896" w:rsidRPr="000A7AE8" w:rsidRDefault="004E2896" w:rsidP="00E1787C">
            <w:pPr>
              <w:pStyle w:val="BMSTableText"/>
            </w:pPr>
            <w:r w:rsidRPr="000A7AE8">
              <w:t>3 (5.0)</w:t>
            </w:r>
          </w:p>
        </w:tc>
        <w:tc>
          <w:tcPr>
            <w:tcW w:w="2952" w:type="dxa"/>
          </w:tcPr>
          <w:p w14:paraId="3ED3E199" w14:textId="77777777" w:rsidR="004E2896" w:rsidRPr="000A7AE8" w:rsidRDefault="004E2896" w:rsidP="00E1787C">
            <w:pPr>
              <w:pStyle w:val="BMSTableText"/>
            </w:pPr>
            <w:r w:rsidRPr="000A7AE8">
              <w:t>1 (1.6)</w:t>
            </w:r>
          </w:p>
        </w:tc>
      </w:tr>
    </w:tbl>
    <w:p w14:paraId="69217DC1" w14:textId="2485F9AD" w:rsidR="004E2896" w:rsidRPr="000A7AE8" w:rsidRDefault="004E2896" w:rsidP="004E2896">
      <w:pPr>
        <w:rPr>
          <w:rFonts w:cs="Times New Roman"/>
          <w:sz w:val="18"/>
          <w:szCs w:val="18"/>
        </w:rPr>
      </w:pPr>
      <w:proofErr w:type="gramStart"/>
      <w:r w:rsidRPr="000A7AE8">
        <w:rPr>
          <w:rFonts w:cs="Times New Roman"/>
          <w:sz w:val="18"/>
          <w:szCs w:val="18"/>
          <w:vertAlign w:val="superscript"/>
        </w:rPr>
        <w:t>a</w:t>
      </w:r>
      <w:proofErr w:type="gramEnd"/>
      <w:r w:rsidRPr="000A7AE8">
        <w:rPr>
          <w:rFonts w:cs="Times New Roman"/>
          <w:sz w:val="18"/>
          <w:szCs w:val="18"/>
        </w:rPr>
        <w:t xml:space="preserve"> Preceding the double-blind phase of the study (Period B), all patients were treated with ORENCIA for 4 months in the open-label, lead-in phase (Period A). At the conclusion of Period A, patients who exhibited a predefined clinical response were randomized into one of 2 arms (in Period B), and either continued on ORENCIA or withdrew from ORENCIA</w:t>
      </w:r>
      <w:r w:rsidRPr="000A7AE8">
        <w:rPr>
          <w:rFonts w:cs="Times New Roman"/>
          <w:sz w:val="18"/>
          <w:szCs w:val="18"/>
          <w:vertAlign w:val="superscript"/>
        </w:rPr>
        <w:t xml:space="preserve"> </w:t>
      </w:r>
      <w:r w:rsidRPr="000A7AE8">
        <w:rPr>
          <w:rFonts w:cs="Times New Roman"/>
          <w:sz w:val="18"/>
          <w:szCs w:val="18"/>
        </w:rPr>
        <w:t xml:space="preserve">to </w:t>
      </w:r>
      <w:r w:rsidRPr="000A7AE8">
        <w:rPr>
          <w:rFonts w:cs="Times New Roman"/>
          <w:sz w:val="18"/>
          <w:szCs w:val="18"/>
        </w:rPr>
        <w:lastRenderedPageBreak/>
        <w:t>receive placebo. See</w:t>
      </w:r>
      <w:r w:rsidR="000A7AE8">
        <w:rPr>
          <w:rFonts w:cs="Times New Roman"/>
          <w:sz w:val="18"/>
          <w:szCs w:val="18"/>
        </w:rPr>
        <w:t xml:space="preserve"> </w:t>
      </w:r>
      <w:r w:rsidR="00730D4E" w:rsidRPr="000A7AE8">
        <w:rPr>
          <w:rFonts w:cs="Times New Roman"/>
          <w:sz w:val="18"/>
          <w:szCs w:val="18"/>
        </w:rPr>
        <w:t xml:space="preserve">5.1 </w:t>
      </w:r>
      <w:proofErr w:type="spellStart"/>
      <w:r w:rsidR="00730D4E" w:rsidRPr="000A7AE8">
        <w:rPr>
          <w:rFonts w:cs="Times New Roman"/>
          <w:sz w:val="18"/>
          <w:szCs w:val="18"/>
        </w:rPr>
        <w:t>Pharmacodynamic</w:t>
      </w:r>
      <w:proofErr w:type="spellEnd"/>
      <w:r w:rsidR="00730D4E" w:rsidRPr="000A7AE8">
        <w:rPr>
          <w:rFonts w:cs="Times New Roman"/>
          <w:sz w:val="18"/>
          <w:szCs w:val="18"/>
        </w:rPr>
        <w:t xml:space="preserve"> properties – Mechanism of action – clinical trials</w:t>
      </w:r>
      <w:r w:rsidR="001143BC" w:rsidRPr="000A7AE8">
        <w:rPr>
          <w:rFonts w:cs="Times New Roman"/>
          <w:sz w:val="18"/>
          <w:szCs w:val="18"/>
        </w:rPr>
        <w:t xml:space="preserve"> - </w:t>
      </w:r>
      <w:r w:rsidRPr="000A7AE8">
        <w:rPr>
          <w:rFonts w:cs="Times New Roman"/>
          <w:sz w:val="18"/>
          <w:szCs w:val="18"/>
        </w:rPr>
        <w:t>Paediatric and Adolescent (Juvenile Idiopathic Arthritis).</w:t>
      </w:r>
    </w:p>
    <w:p w14:paraId="44E24C19" w14:textId="24332C11" w:rsidR="004E2896" w:rsidRPr="000A7AE8" w:rsidRDefault="004E2896" w:rsidP="00C02EB7">
      <w:pPr>
        <w:pStyle w:val="Heading4"/>
      </w:pPr>
      <w:r w:rsidRPr="000A7AE8">
        <w:t>Clinical Trial Adverse Drug Reactions (&lt;5%)</w:t>
      </w:r>
    </w:p>
    <w:p w14:paraId="388E4601" w14:textId="5A2E4278" w:rsidR="004E2896" w:rsidRPr="000A7AE8" w:rsidRDefault="004E2896" w:rsidP="004E2896">
      <w:pPr>
        <w:rPr>
          <w:rFonts w:cs="Times New Roman"/>
          <w:bCs/>
          <w:iCs/>
        </w:rPr>
      </w:pPr>
      <w:r w:rsidRPr="000A7AE8">
        <w:rPr>
          <w:rFonts w:cs="Times New Roman"/>
          <w:bCs/>
          <w:iCs/>
        </w:rPr>
        <w:t>ADRs reported in less than 5% for Period B (double-blind) for patients receiving ORENCIA in the paediatric clinical trials are listed below by body system. Each ADR was a single ADR case yielding an incidence of 1.7%, no ADR with a frequency of less than 1% was reported.</w:t>
      </w:r>
    </w:p>
    <w:p w14:paraId="452075EC" w14:textId="77777777" w:rsidR="004E2896" w:rsidRPr="000A7AE8" w:rsidRDefault="004E2896" w:rsidP="004E2896">
      <w:pPr>
        <w:pStyle w:val="BMSBodyText"/>
        <w:spacing w:line="240" w:lineRule="auto"/>
        <w:ind w:right="540"/>
        <w:rPr>
          <w:color w:val="auto"/>
          <w:sz w:val="22"/>
          <w:szCs w:val="22"/>
        </w:rPr>
      </w:pPr>
      <w:r w:rsidRPr="000A7AE8">
        <w:rPr>
          <w:i/>
          <w:color w:val="auto"/>
          <w:sz w:val="22"/>
          <w:szCs w:val="22"/>
        </w:rPr>
        <w:t xml:space="preserve">Infections and Infestations: </w:t>
      </w:r>
      <w:r w:rsidRPr="000A7AE8">
        <w:rPr>
          <w:color w:val="auto"/>
          <w:sz w:val="22"/>
          <w:szCs w:val="22"/>
        </w:rPr>
        <w:t xml:space="preserve">Sinusitis, influenza, rhinitis, tinea </w:t>
      </w:r>
      <w:proofErr w:type="spellStart"/>
      <w:r w:rsidRPr="000A7AE8">
        <w:rPr>
          <w:color w:val="auto"/>
          <w:sz w:val="22"/>
          <w:szCs w:val="22"/>
        </w:rPr>
        <w:t>versicolour</w:t>
      </w:r>
      <w:proofErr w:type="spellEnd"/>
      <w:r w:rsidRPr="000A7AE8">
        <w:rPr>
          <w:color w:val="auto"/>
          <w:sz w:val="22"/>
          <w:szCs w:val="22"/>
        </w:rPr>
        <w:t>, upper respiratory tract infection, bacteriuria, otitis externa</w:t>
      </w:r>
    </w:p>
    <w:p w14:paraId="0958A53F" w14:textId="3BB8DB92" w:rsidR="004E2896" w:rsidRPr="000A7AE8" w:rsidRDefault="004E2896" w:rsidP="004E2896">
      <w:pPr>
        <w:pStyle w:val="BMSBodyText"/>
        <w:spacing w:line="240" w:lineRule="auto"/>
        <w:ind w:right="540"/>
        <w:rPr>
          <w:color w:val="auto"/>
          <w:sz w:val="22"/>
          <w:szCs w:val="22"/>
        </w:rPr>
      </w:pPr>
      <w:r w:rsidRPr="000A7AE8">
        <w:rPr>
          <w:i/>
          <w:color w:val="auto"/>
          <w:sz w:val="22"/>
          <w:szCs w:val="22"/>
        </w:rPr>
        <w:t>Gastrointestinal disorders</w:t>
      </w:r>
      <w:r w:rsidRPr="000A7AE8">
        <w:rPr>
          <w:color w:val="auto"/>
          <w:sz w:val="22"/>
          <w:szCs w:val="22"/>
        </w:rPr>
        <w:t xml:space="preserve">: Abdominal pain, nausea, </w:t>
      </w:r>
      <w:proofErr w:type="spellStart"/>
      <w:r w:rsidRPr="000A7AE8">
        <w:rPr>
          <w:color w:val="auto"/>
          <w:sz w:val="22"/>
          <w:szCs w:val="22"/>
        </w:rPr>
        <w:t>aphthous</w:t>
      </w:r>
      <w:proofErr w:type="spellEnd"/>
      <w:r w:rsidRPr="000A7AE8">
        <w:rPr>
          <w:color w:val="auto"/>
          <w:sz w:val="22"/>
          <w:szCs w:val="22"/>
        </w:rPr>
        <w:t xml:space="preserve"> stomatitis</w:t>
      </w:r>
    </w:p>
    <w:p w14:paraId="28C81271" w14:textId="77777777" w:rsidR="004E2896" w:rsidRPr="000A7AE8" w:rsidRDefault="004E2896" w:rsidP="004E2896">
      <w:pPr>
        <w:pStyle w:val="BMSBodyText"/>
        <w:spacing w:line="240" w:lineRule="auto"/>
        <w:ind w:right="540"/>
        <w:rPr>
          <w:color w:val="auto"/>
          <w:sz w:val="22"/>
          <w:szCs w:val="22"/>
        </w:rPr>
      </w:pPr>
      <w:r w:rsidRPr="000A7AE8">
        <w:rPr>
          <w:i/>
          <w:color w:val="auto"/>
          <w:sz w:val="22"/>
          <w:szCs w:val="22"/>
        </w:rPr>
        <w:t xml:space="preserve">Skin and subcutaneous tissue disorders: </w:t>
      </w:r>
      <w:proofErr w:type="spellStart"/>
      <w:r w:rsidRPr="000A7AE8">
        <w:rPr>
          <w:color w:val="auto"/>
          <w:sz w:val="22"/>
          <w:szCs w:val="22"/>
        </w:rPr>
        <w:t>Pityriasis</w:t>
      </w:r>
      <w:proofErr w:type="spellEnd"/>
      <w:r w:rsidRPr="000A7AE8">
        <w:rPr>
          <w:color w:val="auto"/>
          <w:sz w:val="22"/>
          <w:szCs w:val="22"/>
        </w:rPr>
        <w:t>, skin lesion</w:t>
      </w:r>
    </w:p>
    <w:p w14:paraId="1E784781" w14:textId="77777777" w:rsidR="004E2896" w:rsidRPr="000A7AE8" w:rsidRDefault="004E2896" w:rsidP="004E2896">
      <w:pPr>
        <w:pStyle w:val="BMSBodyText"/>
        <w:spacing w:line="240" w:lineRule="auto"/>
        <w:ind w:right="540"/>
        <w:rPr>
          <w:color w:val="auto"/>
          <w:sz w:val="22"/>
          <w:szCs w:val="22"/>
        </w:rPr>
      </w:pPr>
      <w:r w:rsidRPr="000A7AE8">
        <w:rPr>
          <w:i/>
          <w:color w:val="auto"/>
          <w:sz w:val="22"/>
          <w:szCs w:val="22"/>
        </w:rPr>
        <w:t xml:space="preserve">Nervous system disorders: </w:t>
      </w:r>
      <w:r w:rsidRPr="000A7AE8">
        <w:rPr>
          <w:color w:val="auto"/>
          <w:sz w:val="22"/>
          <w:szCs w:val="22"/>
        </w:rPr>
        <w:t>headache</w:t>
      </w:r>
    </w:p>
    <w:p w14:paraId="075BDA29" w14:textId="77777777" w:rsidR="004E2896" w:rsidRPr="000A7AE8" w:rsidRDefault="004E2896" w:rsidP="004E2896">
      <w:pPr>
        <w:pStyle w:val="BMSBodyText"/>
        <w:spacing w:line="240" w:lineRule="auto"/>
        <w:ind w:right="540"/>
        <w:rPr>
          <w:color w:val="auto"/>
          <w:sz w:val="22"/>
          <w:szCs w:val="22"/>
        </w:rPr>
      </w:pPr>
      <w:r w:rsidRPr="000A7AE8">
        <w:rPr>
          <w:i/>
          <w:color w:val="auto"/>
          <w:sz w:val="22"/>
          <w:szCs w:val="22"/>
        </w:rPr>
        <w:t xml:space="preserve">Renal and urinary disorders: </w:t>
      </w:r>
      <w:proofErr w:type="spellStart"/>
      <w:r w:rsidRPr="000A7AE8">
        <w:rPr>
          <w:color w:val="auto"/>
          <w:sz w:val="22"/>
          <w:szCs w:val="22"/>
        </w:rPr>
        <w:t>Leukocyturia</w:t>
      </w:r>
      <w:proofErr w:type="spellEnd"/>
    </w:p>
    <w:p w14:paraId="09F518C9" w14:textId="29B8273A" w:rsidR="00D51CFB" w:rsidRPr="000A7AE8" w:rsidRDefault="004E2896" w:rsidP="00D51CFB">
      <w:pPr>
        <w:pStyle w:val="BMSBodyText"/>
        <w:spacing w:line="240" w:lineRule="auto"/>
        <w:ind w:right="540"/>
        <w:rPr>
          <w:color w:val="auto"/>
          <w:sz w:val="22"/>
          <w:szCs w:val="22"/>
        </w:rPr>
      </w:pPr>
      <w:r w:rsidRPr="000A7AE8">
        <w:rPr>
          <w:i/>
          <w:color w:val="auto"/>
          <w:sz w:val="22"/>
          <w:szCs w:val="22"/>
        </w:rPr>
        <w:t xml:space="preserve">Vascular disorders: </w:t>
      </w:r>
      <w:r w:rsidR="00D51CFB" w:rsidRPr="000A7AE8">
        <w:rPr>
          <w:color w:val="auto"/>
          <w:sz w:val="22"/>
          <w:szCs w:val="22"/>
        </w:rPr>
        <w:t>Hypotension</w:t>
      </w:r>
    </w:p>
    <w:p w14:paraId="7BE55B3B" w14:textId="008BB03F" w:rsidR="004E2896" w:rsidRPr="000A7AE8" w:rsidRDefault="004E2896" w:rsidP="00C02EB7">
      <w:pPr>
        <w:pStyle w:val="Heading4"/>
      </w:pPr>
      <w:r w:rsidRPr="000A7AE8">
        <w:t xml:space="preserve">Infections </w:t>
      </w:r>
    </w:p>
    <w:p w14:paraId="28E9D6C1" w14:textId="77777777" w:rsidR="004E2896" w:rsidRPr="000A7AE8" w:rsidRDefault="004E2896" w:rsidP="00203339">
      <w:r w:rsidRPr="000A7AE8">
        <w:rPr>
          <w:bCs/>
        </w:rPr>
        <w:t>A</w:t>
      </w:r>
      <w:r w:rsidRPr="000A7AE8">
        <w:t xml:space="preserve">dverse events of infections were reported in 36% of patients in the 4-month, lead-in, </w:t>
      </w:r>
      <w:proofErr w:type="gramStart"/>
      <w:r w:rsidRPr="000A7AE8">
        <w:t>open</w:t>
      </w:r>
      <w:proofErr w:type="gramEnd"/>
      <w:r w:rsidRPr="000A7AE8">
        <w:t xml:space="preserve">-label period. The most common infections were upper respiratory tract infections [14 (7.4%)] and </w:t>
      </w:r>
      <w:proofErr w:type="spellStart"/>
      <w:r w:rsidRPr="000A7AE8">
        <w:t>nasopharyngitis</w:t>
      </w:r>
      <w:proofErr w:type="spellEnd"/>
      <w:r w:rsidRPr="000A7AE8">
        <w:t xml:space="preserve"> [11 (5.8%)]. Other than upper respiratory tract infections and </w:t>
      </w:r>
      <w:proofErr w:type="spellStart"/>
      <w:r w:rsidRPr="000A7AE8">
        <w:t>nasopharyngitis</w:t>
      </w:r>
      <w:proofErr w:type="spellEnd"/>
      <w:r w:rsidRPr="000A7AE8">
        <w:t xml:space="preserve">, few infectious adverse events were reported. No pneumonias or opportunistic infections were observed. </w:t>
      </w:r>
    </w:p>
    <w:p w14:paraId="52C1DA32" w14:textId="4E5CFB9B" w:rsidR="00E1787C" w:rsidRPr="000A7AE8" w:rsidRDefault="004E2896" w:rsidP="00015766">
      <w:r w:rsidRPr="000A7AE8">
        <w:t xml:space="preserve">During the double-blind phase, adverse events of infections were reported in the </w:t>
      </w:r>
      <w:proofErr w:type="spellStart"/>
      <w:r w:rsidRPr="000A7AE8">
        <w:t>abatacept</w:t>
      </w:r>
      <w:proofErr w:type="spellEnd"/>
      <w:r w:rsidRPr="000A7AE8">
        <w:t xml:space="preserve"> and placebo groups [45% and 44%]; influenza 5 [8.3%] vs</w:t>
      </w:r>
      <w:r w:rsidR="00720A58" w:rsidRPr="000A7AE8">
        <w:t>.</w:t>
      </w:r>
      <w:r w:rsidRPr="000A7AE8">
        <w:t xml:space="preserve"> 4 [6.5%], bacteriuria 4 [6.7%] vs</w:t>
      </w:r>
      <w:r w:rsidR="00720A58" w:rsidRPr="000A7AE8">
        <w:t>.</w:t>
      </w:r>
      <w:r w:rsidRPr="000A7AE8">
        <w:t xml:space="preserve"> 0 [0%], </w:t>
      </w:r>
      <w:proofErr w:type="spellStart"/>
      <w:r w:rsidRPr="000A7AE8">
        <w:t>nasopharyngitis</w:t>
      </w:r>
      <w:proofErr w:type="spellEnd"/>
      <w:r w:rsidRPr="000A7AE8">
        <w:t xml:space="preserve"> 4 [6.7%] vs</w:t>
      </w:r>
      <w:r w:rsidR="00720A58" w:rsidRPr="000A7AE8">
        <w:t>.</w:t>
      </w:r>
      <w:r w:rsidRPr="000A7AE8">
        <w:t xml:space="preserve"> 3 [4.8%], and upper respiratory tract infections 4 [6.7%] vs</w:t>
      </w:r>
      <w:r w:rsidR="00720A58" w:rsidRPr="000A7AE8">
        <w:t>.</w:t>
      </w:r>
      <w:r w:rsidRPr="000A7AE8">
        <w:t xml:space="preserve"> 5 [8.1%], were the most frequently reported events. </w:t>
      </w:r>
    </w:p>
    <w:p w14:paraId="151128E8" w14:textId="7B5DA64D" w:rsidR="004E2896" w:rsidRPr="000A7AE8" w:rsidRDefault="004E2896" w:rsidP="00C02EB7">
      <w:pPr>
        <w:pStyle w:val="Heading4"/>
      </w:pPr>
      <w:r w:rsidRPr="000A7AE8">
        <w:t xml:space="preserve">Infusion-related Reactions </w:t>
      </w:r>
    </w:p>
    <w:p w14:paraId="4E5B13B0" w14:textId="77777777" w:rsidR="004E2896" w:rsidRPr="000A7AE8" w:rsidRDefault="004E2896" w:rsidP="00203339">
      <w:r w:rsidRPr="000A7AE8">
        <w:rPr>
          <w:bCs/>
        </w:rPr>
        <w:t>In</w:t>
      </w:r>
      <w:r w:rsidRPr="000A7AE8">
        <w:t xml:space="preserve"> the open-label lead-in phase of the study, eight (4.2%) patients experienced acute </w:t>
      </w:r>
      <w:proofErr w:type="spellStart"/>
      <w:r w:rsidRPr="000A7AE8">
        <w:t>infusional</w:t>
      </w:r>
      <w:proofErr w:type="spellEnd"/>
      <w:r w:rsidRPr="000A7AE8">
        <w:t xml:space="preserve"> adverse events; all but one was mild in intensity and none was serious. Most </w:t>
      </w:r>
      <w:proofErr w:type="spellStart"/>
      <w:r w:rsidRPr="000A7AE8">
        <w:t>infusional</w:t>
      </w:r>
      <w:proofErr w:type="spellEnd"/>
      <w:r w:rsidRPr="000A7AE8">
        <w:t xml:space="preserve"> adverse events were reported as single events in one patient each with no recurrences; headache and dizziness occurred in four and two patients, respectively. During the double-blind phase, acute </w:t>
      </w:r>
      <w:proofErr w:type="spellStart"/>
      <w:r w:rsidRPr="000A7AE8">
        <w:t>infusional</w:t>
      </w:r>
      <w:proofErr w:type="spellEnd"/>
      <w:r w:rsidRPr="000A7AE8">
        <w:t xml:space="preserve"> adverse events were reported in 1.7% and 3.2% of the </w:t>
      </w:r>
      <w:proofErr w:type="spellStart"/>
      <w:r w:rsidRPr="000A7AE8">
        <w:t>abatacept</w:t>
      </w:r>
      <w:proofErr w:type="spellEnd"/>
      <w:r w:rsidRPr="000A7AE8">
        <w:t xml:space="preserve"> and placebo groups, respectively; all were either mild or moderate in intensity and none were serious.  </w:t>
      </w:r>
    </w:p>
    <w:p w14:paraId="170F24C0" w14:textId="77777777" w:rsidR="004E2896" w:rsidRPr="000A7AE8" w:rsidRDefault="004E2896" w:rsidP="00C02EB7">
      <w:pPr>
        <w:pStyle w:val="Heading4"/>
      </w:pPr>
      <w:r w:rsidRPr="000A7AE8">
        <w:t xml:space="preserve">Autoantibodies </w:t>
      </w:r>
    </w:p>
    <w:p w14:paraId="3B019D1C" w14:textId="77777777" w:rsidR="004E2896" w:rsidRPr="000A7AE8" w:rsidRDefault="004E2896" w:rsidP="00932AF4">
      <w:r w:rsidRPr="000A7AE8">
        <w:rPr>
          <w:bCs/>
        </w:rPr>
        <w:t>In Period A of the paediatric clinical trial, 10.6% of ORENCIA-treated patients that had negative antinuclear</w:t>
      </w:r>
      <w:r w:rsidRPr="000A7AE8">
        <w:t xml:space="preserve"> antibody </w:t>
      </w:r>
      <w:proofErr w:type="spellStart"/>
      <w:r w:rsidRPr="000A7AE8">
        <w:t>titers</w:t>
      </w:r>
      <w:proofErr w:type="spellEnd"/>
      <w:r w:rsidRPr="000A7AE8">
        <w:t xml:space="preserve"> at baseline had positive </w:t>
      </w:r>
      <w:proofErr w:type="spellStart"/>
      <w:r w:rsidRPr="000A7AE8">
        <w:t>titers</w:t>
      </w:r>
      <w:proofErr w:type="spellEnd"/>
      <w:r w:rsidRPr="000A7AE8">
        <w:t xml:space="preserve"> at Day 113. In Period B, 5.9% of ORENCIA-treated patients and 4.0% of placebo patients that had negative antinuclear antibody </w:t>
      </w:r>
      <w:proofErr w:type="spellStart"/>
      <w:r w:rsidRPr="000A7AE8">
        <w:t>titers</w:t>
      </w:r>
      <w:proofErr w:type="spellEnd"/>
      <w:r w:rsidRPr="000A7AE8">
        <w:t xml:space="preserve"> at baseline had positive </w:t>
      </w:r>
      <w:proofErr w:type="spellStart"/>
      <w:r w:rsidRPr="000A7AE8">
        <w:t>titers</w:t>
      </w:r>
      <w:proofErr w:type="spellEnd"/>
      <w:r w:rsidRPr="000A7AE8">
        <w:t xml:space="preserve"> at Day 169. </w:t>
      </w:r>
    </w:p>
    <w:p w14:paraId="47F52053" w14:textId="77777777" w:rsidR="004E2896" w:rsidRPr="000A7AE8" w:rsidRDefault="004E2896" w:rsidP="00932AF4">
      <w:r w:rsidRPr="000A7AE8">
        <w:t xml:space="preserve">In Period </w:t>
      </w:r>
      <w:proofErr w:type="gramStart"/>
      <w:r w:rsidRPr="000A7AE8">
        <w:t>A</w:t>
      </w:r>
      <w:proofErr w:type="gramEnd"/>
      <w:r w:rsidRPr="000A7AE8">
        <w:t xml:space="preserve">, newly detected anti-dsDNA antibodies were observed in 6.2% of ORENCIA-treated patients at Day 113. In Period B, newly detected anti-dsDNA antibodies were observed in 2.3% of ORENCIA-treated patients and 0% of placebo patients at Day 169. </w:t>
      </w:r>
    </w:p>
    <w:p w14:paraId="21E5F23C" w14:textId="77777777" w:rsidR="004E2896" w:rsidRPr="000A7AE8" w:rsidRDefault="004E2896" w:rsidP="00C02EB7">
      <w:pPr>
        <w:pStyle w:val="Heading4"/>
      </w:pPr>
      <w:r w:rsidRPr="000A7AE8">
        <w:t>Immunogenicity</w:t>
      </w:r>
    </w:p>
    <w:p w14:paraId="0D8AB8B9" w14:textId="77777777" w:rsidR="004E2896" w:rsidRPr="000A7AE8" w:rsidRDefault="004E2896" w:rsidP="00932AF4">
      <w:r w:rsidRPr="000A7AE8">
        <w:t xml:space="preserve">Antibodies directed against the entire </w:t>
      </w:r>
      <w:proofErr w:type="spellStart"/>
      <w:r w:rsidRPr="000A7AE8">
        <w:t>abatacept</w:t>
      </w:r>
      <w:proofErr w:type="spellEnd"/>
      <w:r w:rsidRPr="000A7AE8">
        <w:t xml:space="preserve"> molecule or to the CTLA-4 portion of </w:t>
      </w:r>
      <w:proofErr w:type="spellStart"/>
      <w:r w:rsidRPr="000A7AE8">
        <w:t>abatacept</w:t>
      </w:r>
      <w:proofErr w:type="spellEnd"/>
      <w:r w:rsidRPr="000A7AE8">
        <w:t xml:space="preserve"> were assessed by ELISA assays in patients with </w:t>
      </w:r>
      <w:proofErr w:type="spellStart"/>
      <w:r w:rsidRPr="000A7AE8">
        <w:t>polyarticular</w:t>
      </w:r>
      <w:proofErr w:type="spellEnd"/>
      <w:r w:rsidRPr="000A7AE8">
        <w:t xml:space="preserve"> JIA following repeated treatment with </w:t>
      </w:r>
      <w:r w:rsidRPr="000A7AE8">
        <w:rPr>
          <w:lang w:eastAsia="en-AU"/>
        </w:rPr>
        <w:t>ORENCIA</w:t>
      </w:r>
      <w:r w:rsidRPr="000A7AE8">
        <w:t xml:space="preserve">. The rate of </w:t>
      </w:r>
      <w:proofErr w:type="spellStart"/>
      <w:r w:rsidRPr="000A7AE8">
        <w:t>seropositivity</w:t>
      </w:r>
      <w:proofErr w:type="spellEnd"/>
      <w:r w:rsidRPr="000A7AE8">
        <w:t xml:space="preserve"> while patients were receiving </w:t>
      </w:r>
      <w:proofErr w:type="spellStart"/>
      <w:r w:rsidRPr="000A7AE8">
        <w:t>abatacept</w:t>
      </w:r>
      <w:proofErr w:type="spellEnd"/>
      <w:r w:rsidRPr="000A7AE8">
        <w:t xml:space="preserve"> therapy was 0.5% (1/189) during Period A; 13.0% (7/54) during Period B; and 11.4% (17/149) during Period C. For </w:t>
      </w:r>
      <w:r w:rsidRPr="000A7AE8">
        <w:lastRenderedPageBreak/>
        <w:t xml:space="preserve">patients in Period B who were randomized to placebo (therefore withdrawn from therapy for up to 6 months) the rate of </w:t>
      </w:r>
      <w:proofErr w:type="spellStart"/>
      <w:r w:rsidRPr="000A7AE8">
        <w:t>seropositivity</w:t>
      </w:r>
      <w:proofErr w:type="spellEnd"/>
      <w:r w:rsidRPr="000A7AE8">
        <w:t xml:space="preserve"> was 40.7% (22/54). Anti-</w:t>
      </w:r>
      <w:proofErr w:type="spellStart"/>
      <w:r w:rsidRPr="000A7AE8">
        <w:t>abatacept</w:t>
      </w:r>
      <w:proofErr w:type="spellEnd"/>
      <w:r w:rsidRPr="000A7AE8">
        <w:t xml:space="preserve"> antibodies were generally transient and of low </w:t>
      </w:r>
      <w:proofErr w:type="spellStart"/>
      <w:r w:rsidRPr="000A7AE8">
        <w:t>titer</w:t>
      </w:r>
      <w:proofErr w:type="spellEnd"/>
      <w:r w:rsidRPr="000A7AE8">
        <w:t xml:space="preserve">. The absence of concomitant methotrexate (MTX) did not appear to be associated with a higher rate of </w:t>
      </w:r>
      <w:proofErr w:type="spellStart"/>
      <w:r w:rsidRPr="000A7AE8">
        <w:t>seropositivity</w:t>
      </w:r>
      <w:proofErr w:type="spellEnd"/>
      <w:r w:rsidRPr="000A7AE8">
        <w:t xml:space="preserve"> in Period B placebo recipients. The presence of antibodies was not associated with adverse events or </w:t>
      </w:r>
      <w:proofErr w:type="spellStart"/>
      <w:r w:rsidRPr="000A7AE8">
        <w:t>infusional</w:t>
      </w:r>
      <w:proofErr w:type="spellEnd"/>
      <w:r w:rsidRPr="000A7AE8">
        <w:t xml:space="preserve"> reactions, or with changes in efficacy or serum </w:t>
      </w:r>
      <w:proofErr w:type="spellStart"/>
      <w:r w:rsidRPr="000A7AE8">
        <w:t>abatacept</w:t>
      </w:r>
      <w:proofErr w:type="spellEnd"/>
      <w:r w:rsidRPr="000A7AE8">
        <w:t xml:space="preserve"> concentrations. Of the 54 patients withdrawn from </w:t>
      </w:r>
      <w:r w:rsidRPr="000A7AE8">
        <w:rPr>
          <w:lang w:eastAsia="en-AU"/>
        </w:rPr>
        <w:t>ORENCIA</w:t>
      </w:r>
      <w:r w:rsidRPr="000A7AE8">
        <w:t xml:space="preserve"> during the double-blind period for up to 6 months, none had an infusion reaction upon re-initiation of </w:t>
      </w:r>
      <w:r w:rsidRPr="000A7AE8">
        <w:rPr>
          <w:lang w:eastAsia="en-AU"/>
        </w:rPr>
        <w:t>ORENCIA</w:t>
      </w:r>
      <w:r w:rsidRPr="000A7AE8">
        <w:t>.</w:t>
      </w:r>
    </w:p>
    <w:p w14:paraId="1DDD4B47" w14:textId="77777777" w:rsidR="004E2896" w:rsidRPr="000A7AE8" w:rsidRDefault="004E2896" w:rsidP="00C02EB7">
      <w:pPr>
        <w:pStyle w:val="Heading4"/>
      </w:pPr>
      <w:r w:rsidRPr="000A7AE8">
        <w:t xml:space="preserve">Malignancies </w:t>
      </w:r>
    </w:p>
    <w:p w14:paraId="07D4A16C" w14:textId="137C96EC" w:rsidR="00E1787C" w:rsidRPr="000A7AE8" w:rsidRDefault="004E2896" w:rsidP="00E1787C">
      <w:r w:rsidRPr="000A7AE8">
        <w:t>A single case of acute lymphocytic leukaemia was reported in the paediatric trial. No ot</w:t>
      </w:r>
      <w:r w:rsidR="00E1787C" w:rsidRPr="000A7AE8">
        <w:t>her malignancies were reported.</w:t>
      </w:r>
    </w:p>
    <w:p w14:paraId="3D139680" w14:textId="1B243A1D" w:rsidR="00B57C92" w:rsidRPr="000A7AE8" w:rsidRDefault="00B57C92" w:rsidP="00E1787C">
      <w:r w:rsidRPr="000A7AE8">
        <w:t xml:space="preserve">Reporting suspected adverse reactions after registration of the medicinal product is important. It allows continued monitoring of the benefit-risk balance of the medicinal product. </w:t>
      </w:r>
      <w:r w:rsidR="00932AF4" w:rsidRPr="000A7AE8">
        <w:rPr>
          <w:lang w:val="en-US"/>
        </w:rPr>
        <w:t xml:space="preserve">Healthcare professionals are </w:t>
      </w:r>
      <w:r w:rsidR="003D202A" w:rsidRPr="000A7AE8">
        <w:rPr>
          <w:lang w:val="en-US"/>
        </w:rPr>
        <w:t>asked to report any suspected adverse reactions at http://www.tga.gov.au/reporting-problems.</w:t>
      </w:r>
    </w:p>
    <w:p w14:paraId="6D047B41" w14:textId="77777777" w:rsidR="001A3992" w:rsidRPr="000A7AE8" w:rsidRDefault="001A3992" w:rsidP="003144B2">
      <w:pPr>
        <w:pStyle w:val="Heading2"/>
      </w:pPr>
      <w:r w:rsidRPr="000A7AE8">
        <w:t>Overdose</w:t>
      </w:r>
    </w:p>
    <w:p w14:paraId="6EEDD0EA" w14:textId="77777777" w:rsidR="008C35B2" w:rsidRPr="000A7AE8" w:rsidRDefault="008C35B2" w:rsidP="00203339">
      <w:r w:rsidRPr="000A7AE8">
        <w:t xml:space="preserve">Doses up to 50 mg/kg have been administered intravenously without apparent toxic effect. In case of </w:t>
      </w:r>
      <w:proofErr w:type="spellStart"/>
      <w:r w:rsidRPr="000A7AE8">
        <w:t>overdosage</w:t>
      </w:r>
      <w:proofErr w:type="spellEnd"/>
      <w:r w:rsidRPr="000A7AE8">
        <w:t xml:space="preserve">, it is recommended that the patient be monitored for any signs or symptoms of adverse reactions and appropriate symptomatic treatment instituted. </w:t>
      </w:r>
    </w:p>
    <w:p w14:paraId="7603DFE5" w14:textId="77777777" w:rsidR="008C35B2" w:rsidRPr="000A7AE8" w:rsidRDefault="008C35B2">
      <w:pPr>
        <w:rPr>
          <w:rFonts w:cs="Times New Roman"/>
        </w:rPr>
      </w:pPr>
      <w:r w:rsidRPr="000A7AE8">
        <w:rPr>
          <w:rFonts w:cs="Times New Roman"/>
        </w:rPr>
        <w:t>For information on the management of overdose, contact the Poison Information Centre on 131126 (Australia).</w:t>
      </w:r>
    </w:p>
    <w:p w14:paraId="5FF95703" w14:textId="259FC19E" w:rsidR="001A3992" w:rsidRPr="000A7AE8" w:rsidRDefault="001A3992" w:rsidP="00C27979">
      <w:pPr>
        <w:pStyle w:val="Heading1"/>
      </w:pPr>
      <w:r w:rsidRPr="000A7AE8">
        <w:t>Pharmacological properties</w:t>
      </w:r>
    </w:p>
    <w:p w14:paraId="7B8BE53A" w14:textId="3076F219" w:rsidR="001A3992" w:rsidRPr="000A7AE8" w:rsidRDefault="00E61227" w:rsidP="003144B2">
      <w:pPr>
        <w:pStyle w:val="Heading2"/>
      </w:pPr>
      <w:proofErr w:type="spellStart"/>
      <w:r w:rsidRPr="000A7AE8">
        <w:t>Pharmacodynamic</w:t>
      </w:r>
      <w:proofErr w:type="spellEnd"/>
      <w:r w:rsidRPr="000A7AE8">
        <w:t xml:space="preserve"> properties</w:t>
      </w:r>
    </w:p>
    <w:p w14:paraId="40E5EBCA" w14:textId="77777777" w:rsidR="001A3992" w:rsidRPr="000A7AE8" w:rsidRDefault="001A3992" w:rsidP="00EA1A82">
      <w:pPr>
        <w:pStyle w:val="Heading3"/>
      </w:pPr>
      <w:r w:rsidRPr="000A7AE8">
        <w:t>Mechanism of action</w:t>
      </w:r>
    </w:p>
    <w:p w14:paraId="18B59FC4" w14:textId="0C291595" w:rsidR="00AC7CAB" w:rsidRPr="000A7AE8" w:rsidRDefault="00AC7CAB" w:rsidP="00AC7CAB">
      <w:proofErr w:type="spellStart"/>
      <w:r w:rsidRPr="000A7AE8">
        <w:t>Abatacept</w:t>
      </w:r>
      <w:proofErr w:type="spellEnd"/>
      <w:r w:rsidRPr="000A7AE8">
        <w:t xml:space="preserve"> is a </w:t>
      </w:r>
      <w:proofErr w:type="spellStart"/>
      <w:r w:rsidRPr="000A7AE8">
        <w:t>costimulation</w:t>
      </w:r>
      <w:proofErr w:type="spellEnd"/>
      <w:r w:rsidRPr="000A7AE8">
        <w:t xml:space="preserve"> modulator of the interaction of CD80 and CD86 on antigen presenting cells with CD28 on T-</w:t>
      </w:r>
      <w:proofErr w:type="spellStart"/>
      <w:r w:rsidRPr="000A7AE8">
        <w:t>lymophocytes</w:t>
      </w:r>
      <w:proofErr w:type="spellEnd"/>
      <w:r w:rsidRPr="000A7AE8">
        <w:t xml:space="preserve">. </w:t>
      </w:r>
      <w:proofErr w:type="spellStart"/>
      <w:r w:rsidRPr="000A7AE8">
        <w:t>Abatacept</w:t>
      </w:r>
      <w:proofErr w:type="spellEnd"/>
      <w:r w:rsidRPr="000A7AE8">
        <w:t xml:space="preserve"> is a soluble fusion protein that consists of the extracellular domain of human cytotoxic T-lymphocyte-associated antigen 4 (CTLA-4) linked to the modified Fc (hinge, CH2, and CH3 domains) portion of human immunoglobulin G1</w:t>
      </w:r>
      <w:bookmarkStart w:id="67" w:name="_Ref88194502"/>
      <w:r w:rsidRPr="000A7AE8">
        <w:t>.</w:t>
      </w:r>
      <w:bookmarkEnd w:id="67"/>
      <w:r w:rsidRPr="000A7AE8">
        <w:t xml:space="preserve"> </w:t>
      </w:r>
      <w:proofErr w:type="spellStart"/>
      <w:r w:rsidRPr="000A7AE8">
        <w:t>Abatacept</w:t>
      </w:r>
      <w:proofErr w:type="spellEnd"/>
      <w:r w:rsidRPr="000A7AE8">
        <w:t xml:space="preserve"> is produced by recombinant DNA technology in Chinese hamster ovary cells. The apparent molecular weight of </w:t>
      </w:r>
      <w:proofErr w:type="spellStart"/>
      <w:r w:rsidRPr="000A7AE8">
        <w:t>abatacept</w:t>
      </w:r>
      <w:proofErr w:type="spellEnd"/>
      <w:r w:rsidRPr="000A7AE8">
        <w:t xml:space="preserve"> is 92 </w:t>
      </w:r>
      <w:proofErr w:type="spellStart"/>
      <w:r w:rsidRPr="000A7AE8">
        <w:t>kilodaltons</w:t>
      </w:r>
      <w:proofErr w:type="spellEnd"/>
      <w:r w:rsidRPr="000A7AE8">
        <w:t>.</w:t>
      </w:r>
    </w:p>
    <w:p w14:paraId="549B119E" w14:textId="77777777" w:rsidR="00C02EB7" w:rsidRPr="000A7AE8" w:rsidRDefault="00C02EB7" w:rsidP="00C02EB7">
      <w:pPr>
        <w:pStyle w:val="Heading4"/>
      </w:pPr>
      <w:r w:rsidRPr="000A7AE8">
        <w:t>Pharmacology</w:t>
      </w:r>
    </w:p>
    <w:p w14:paraId="5BFFBE5A" w14:textId="77777777" w:rsidR="00C02EB7" w:rsidRPr="000A7AE8" w:rsidRDefault="00C02EB7" w:rsidP="00C02EB7">
      <w:pPr>
        <w:rPr>
          <w:b/>
        </w:rPr>
      </w:pPr>
      <w:r w:rsidRPr="000A7AE8">
        <w:rPr>
          <w:b/>
        </w:rPr>
        <w:t>General</w:t>
      </w:r>
    </w:p>
    <w:p w14:paraId="7D36685F" w14:textId="77777777" w:rsidR="00C02EB7" w:rsidRPr="000A7AE8" w:rsidRDefault="00C02EB7" w:rsidP="00C02EB7">
      <w:proofErr w:type="spellStart"/>
      <w:r w:rsidRPr="000A7AE8">
        <w:t>Abatacept</w:t>
      </w:r>
      <w:proofErr w:type="spellEnd"/>
      <w:r w:rsidRPr="000A7AE8">
        <w:t xml:space="preserve"> modulates a key costimulatory signal required for full activation of T lymphocytes expressing CD28. T lymphocytes are found in the synovium of patients with RA</w:t>
      </w:r>
      <w:r w:rsidRPr="000A7AE8">
        <w:rPr>
          <w:i/>
        </w:rPr>
        <w:t xml:space="preserve">. </w:t>
      </w:r>
      <w:r w:rsidRPr="000A7AE8">
        <w:t xml:space="preserve">Activated T lymphocytes contribute to the pathogenesis of RA and other autoimmune diseases. Full activation of T lymphocytes requires two signals provided by antigen presenting cells: recognition of a specific antigen by a T cell receptor (signal 1) and a second, costimulatory signal. A major costimulatory pathway involves the binding of CD80 and CD86 molecules on the surface of antigen presenting cells to the CD28 receptor on T lymphocytes (signal 2). </w:t>
      </w:r>
      <w:proofErr w:type="spellStart"/>
      <w:r w:rsidRPr="000A7AE8">
        <w:t>Abatacept</w:t>
      </w:r>
      <w:proofErr w:type="spellEnd"/>
      <w:r w:rsidRPr="000A7AE8">
        <w:t xml:space="preserve"> binds specifically to CD80 and CD86 inhibiting this costimulatory pathway. Studies indicate that </w:t>
      </w:r>
      <w:proofErr w:type="spellStart"/>
      <w:r w:rsidRPr="000A7AE8">
        <w:t>abatacept</w:t>
      </w:r>
      <w:proofErr w:type="spellEnd"/>
      <w:r w:rsidRPr="000A7AE8">
        <w:t xml:space="preserve"> affects both memory and naïve T lymphocyte responses.</w:t>
      </w:r>
    </w:p>
    <w:p w14:paraId="2B4EF102" w14:textId="77777777" w:rsidR="00C02EB7" w:rsidRPr="000A7AE8" w:rsidRDefault="00C02EB7" w:rsidP="00C02EB7">
      <w:r w:rsidRPr="000A7AE8">
        <w:t xml:space="preserve">Studies </w:t>
      </w:r>
      <w:r w:rsidRPr="000A7AE8">
        <w:rPr>
          <w:i/>
        </w:rPr>
        <w:t>in vitro</w:t>
      </w:r>
      <w:r w:rsidRPr="000A7AE8">
        <w:t xml:space="preserve"> and in animal models demonstrate that </w:t>
      </w:r>
      <w:proofErr w:type="spellStart"/>
      <w:r w:rsidRPr="000A7AE8">
        <w:t>abatacept</w:t>
      </w:r>
      <w:proofErr w:type="spellEnd"/>
      <w:r w:rsidRPr="000A7AE8">
        <w:t xml:space="preserve"> attenuates T lymphocyte dependent antibody responses and inflammation. </w:t>
      </w:r>
      <w:r w:rsidRPr="000A7AE8">
        <w:rPr>
          <w:i/>
        </w:rPr>
        <w:t>In vitro</w:t>
      </w:r>
      <w:r w:rsidRPr="000A7AE8">
        <w:t xml:space="preserve">, </w:t>
      </w:r>
      <w:proofErr w:type="spellStart"/>
      <w:r w:rsidRPr="000A7AE8">
        <w:t>abatacept</w:t>
      </w:r>
      <w:proofErr w:type="spellEnd"/>
      <w:r w:rsidRPr="000A7AE8">
        <w:t xml:space="preserve"> attenuates T lymphocyte activation as </w:t>
      </w:r>
      <w:r w:rsidRPr="000A7AE8">
        <w:lastRenderedPageBreak/>
        <w:t xml:space="preserve">measured by decreased proliferation and cytokine production in human lymphocytes. </w:t>
      </w:r>
      <w:proofErr w:type="spellStart"/>
      <w:r w:rsidRPr="000A7AE8">
        <w:t>Abatacept</w:t>
      </w:r>
      <w:proofErr w:type="spellEnd"/>
      <w:r w:rsidRPr="000A7AE8">
        <w:t xml:space="preserve"> decreases antigen specific TNF</w:t>
      </w:r>
      <w:r w:rsidRPr="000A7AE8">
        <w:sym w:font="Symbol" w:char="F061"/>
      </w:r>
      <w:r w:rsidRPr="000A7AE8">
        <w:t>, interferon-</w:t>
      </w:r>
      <w:r w:rsidRPr="000A7AE8">
        <w:sym w:font="Symbol" w:char="F067"/>
      </w:r>
      <w:r w:rsidRPr="000A7AE8">
        <w:t xml:space="preserve">, and interleukin-2 production by T lymphocytes. In a rat collagen-induced arthritis model, </w:t>
      </w:r>
      <w:proofErr w:type="spellStart"/>
      <w:r w:rsidRPr="000A7AE8">
        <w:t>abatacept</w:t>
      </w:r>
      <w:proofErr w:type="spellEnd"/>
      <w:r w:rsidRPr="000A7AE8">
        <w:t xml:space="preserve"> suppresses inflammation, decreases anti-collagen antibody production and reduces antigen specific production of interferon-</w:t>
      </w:r>
      <w:r w:rsidRPr="000A7AE8">
        <w:sym w:font="Symbol" w:char="F067"/>
      </w:r>
      <w:r w:rsidRPr="000A7AE8">
        <w:t>.</w:t>
      </w:r>
    </w:p>
    <w:p w14:paraId="0E80B42B" w14:textId="77777777" w:rsidR="00C02EB7" w:rsidRPr="000A7AE8" w:rsidRDefault="00C02EB7" w:rsidP="00C02EB7">
      <w:pPr>
        <w:pStyle w:val="Heading4"/>
      </w:pPr>
      <w:bookmarkStart w:id="68" w:name="_Toc96146337"/>
      <w:r w:rsidRPr="000A7AE8">
        <w:t>Pharmacodynamics</w:t>
      </w:r>
      <w:bookmarkEnd w:id="68"/>
    </w:p>
    <w:p w14:paraId="7A8C924F" w14:textId="77777777" w:rsidR="00C02EB7" w:rsidRPr="000A7AE8" w:rsidRDefault="00C02EB7" w:rsidP="00015766">
      <w:r w:rsidRPr="000A7AE8">
        <w:t xml:space="preserve">Dose finding studies were conducted with </w:t>
      </w:r>
      <w:proofErr w:type="spellStart"/>
      <w:r w:rsidRPr="000A7AE8">
        <w:t>abatacept</w:t>
      </w:r>
      <w:proofErr w:type="spellEnd"/>
      <w:r w:rsidRPr="000A7AE8">
        <w:t xml:space="preserve"> monotherapy (placebo, 0.5 mg/kg, 2 mg/kg, and 10 mg/kg) and in combination with MTX (placebo, 2 mg/kg, and 10 mg/kg). In both studies, the American College of Rheumatology (ACR) 20 response rate increased with increasing doses at 2 mg/kg and 10 mg/kg. In clinical trials with ORENCIA using doses approximating 10 mg/kg, inhibition of T lymphocyte activation, decreases in products of macrophages, fibroblast-like </w:t>
      </w:r>
      <w:proofErr w:type="spellStart"/>
      <w:r w:rsidRPr="000A7AE8">
        <w:t>synoviocytes</w:t>
      </w:r>
      <w:proofErr w:type="spellEnd"/>
      <w:r w:rsidRPr="000A7AE8">
        <w:t xml:space="preserve">, and B cells, and reductions in acute phase reactants of inflammation were observed. Decreases were seen in: serum levels of soluble interleukin-2 receptor, a marker of T lymphocyte activation; serum interleukin-6, a product of activated macrophages and fibroblast-like </w:t>
      </w:r>
      <w:proofErr w:type="spellStart"/>
      <w:r w:rsidRPr="000A7AE8">
        <w:t>synoviocytes</w:t>
      </w:r>
      <w:proofErr w:type="spellEnd"/>
      <w:r w:rsidRPr="000A7AE8">
        <w:t xml:space="preserve">; rheumatoid factor, an autoantibody produced by plasma cells; and C-reactive protein, an acute phase reactant of inflammation. In addition, serum levels of matrix metalloproteinase-3, which produces cartilage destruction and tissue </w:t>
      </w:r>
      <w:proofErr w:type="spellStart"/>
      <w:r w:rsidRPr="000A7AE8">
        <w:t>remodeling</w:t>
      </w:r>
      <w:proofErr w:type="spellEnd"/>
      <w:r w:rsidRPr="000A7AE8">
        <w:t>, were decreased. Reductions in serum TNF</w:t>
      </w:r>
      <w:r w:rsidRPr="000A7AE8">
        <w:sym w:font="Symbol" w:char="F061"/>
      </w:r>
      <w:r w:rsidRPr="000A7AE8">
        <w:t xml:space="preserve"> were also observed. These changes are consistent with the mechanism of action of this selective </w:t>
      </w:r>
      <w:proofErr w:type="spellStart"/>
      <w:r w:rsidRPr="000A7AE8">
        <w:t>costimulation</w:t>
      </w:r>
      <w:proofErr w:type="spellEnd"/>
      <w:r w:rsidRPr="000A7AE8">
        <w:t xml:space="preserve"> modulator.</w:t>
      </w:r>
    </w:p>
    <w:p w14:paraId="4F9378D4" w14:textId="18B5AFB2" w:rsidR="001A3992" w:rsidRPr="000A7AE8" w:rsidRDefault="001A3992" w:rsidP="00203339">
      <w:pPr>
        <w:pStyle w:val="Heading4"/>
      </w:pPr>
      <w:r w:rsidRPr="000A7AE8">
        <w:t>Clinical trials</w:t>
      </w:r>
    </w:p>
    <w:p w14:paraId="4066FB79" w14:textId="77777777" w:rsidR="00580444" w:rsidRPr="000A7AE8" w:rsidRDefault="00580444" w:rsidP="00C02EB7">
      <w:pPr>
        <w:pStyle w:val="Heading4"/>
        <w:rPr>
          <w:i w:val="0"/>
        </w:rPr>
      </w:pPr>
      <w:bookmarkStart w:id="69" w:name="_Toc96146344"/>
      <w:r w:rsidRPr="000A7AE8">
        <w:rPr>
          <w:i w:val="0"/>
        </w:rPr>
        <w:t>Adult Rheumatoid Arthritis in Patients treated with intravenous ORENCIA</w:t>
      </w:r>
    </w:p>
    <w:p w14:paraId="49CA33CA" w14:textId="77777777" w:rsidR="00580444" w:rsidRPr="000A7AE8" w:rsidRDefault="00580444" w:rsidP="00C02EB7">
      <w:pPr>
        <w:rPr>
          <w:b/>
        </w:rPr>
      </w:pPr>
      <w:r w:rsidRPr="000A7AE8">
        <w:rPr>
          <w:b/>
        </w:rPr>
        <w:t>Clinical trials</w:t>
      </w:r>
      <w:bookmarkEnd w:id="69"/>
    </w:p>
    <w:p w14:paraId="6D319642" w14:textId="77777777" w:rsidR="00580444" w:rsidRPr="000A7AE8" w:rsidRDefault="00580444" w:rsidP="00203339">
      <w:r w:rsidRPr="000A7AE8">
        <w:t xml:space="preserve">The efficacy and safety of ORENCIA for intravenous administration were assessed in six randomized, double-blind, placebo-controlled studies in patients </w:t>
      </w:r>
      <w:r w:rsidRPr="000A7AE8">
        <w:sym w:font="Symbol" w:char="F0B3"/>
      </w:r>
      <w:r w:rsidRPr="000A7AE8">
        <w:t xml:space="preserve"> age 18 with active RA diagnosed according to American College of Rheumatology (ACR) criteria. The trials are designated as follows: Study I (IM103002), Study II (IM101100), Study III (IM101102, AIM), Study IV (IM101029, ATTAIN), Study V (IM101031, ASSURE) and Study VI (IM101023, AGREE). </w:t>
      </w:r>
      <w:proofErr w:type="gramStart"/>
      <w:r w:rsidRPr="000A7AE8">
        <w:t>Studies I, II, III, IV and VI required patients to have at least 12 tender and 10 swollen joints at randomization.</w:t>
      </w:r>
      <w:proofErr w:type="gramEnd"/>
      <w:r w:rsidRPr="000A7AE8">
        <w:rPr>
          <w:vertAlign w:val="superscript"/>
        </w:rPr>
        <w:t xml:space="preserve"> </w:t>
      </w:r>
      <w:r w:rsidRPr="000A7AE8">
        <w:t>Study V did not require any specific number of tender or swollen joints. ORENCIA or placebo treatment was given intravenously at weeks 0, 2, and 4 and then every 4 weeks thereafter.</w:t>
      </w:r>
    </w:p>
    <w:p w14:paraId="225E65ED" w14:textId="5CF1D99C" w:rsidR="00580444" w:rsidRPr="000A7AE8" w:rsidRDefault="00580444" w:rsidP="00203339">
      <w:pPr>
        <w:rPr>
          <w:u w:val="single"/>
        </w:rPr>
      </w:pPr>
      <w:r w:rsidRPr="000A7AE8">
        <w:t xml:space="preserve">Study I, a supportive study, evaluated ORENCIA as monotherapy in 122 patients with active RA who had failed at least one non-biologic DMARD or </w:t>
      </w:r>
      <w:proofErr w:type="spellStart"/>
      <w:r w:rsidRPr="000A7AE8">
        <w:t>etanercept</w:t>
      </w:r>
      <w:proofErr w:type="spellEnd"/>
      <w:r w:rsidRPr="000A7AE8">
        <w:t xml:space="preserve">. In Study II and Study III, the efficacy and safety of ORENCIA were assessed in patients with an inadequate response to MTX and who were continued on their stable dose of MTX. In Study IV, the efficacy and safety of ORENCIA were assessed in patients with an inadequate response to a TNF blocking agent, with the TNF blocking agent discontinued prior to randomization; other DMARDs were permitted. Study V primarily assessed safety in patients with active RA requiring additional intervention in spite of current therapy with DMARDs; all DMARDs used at </w:t>
      </w:r>
      <w:proofErr w:type="spellStart"/>
      <w:r w:rsidRPr="000A7AE8">
        <w:t>enrollment</w:t>
      </w:r>
      <w:proofErr w:type="spellEnd"/>
      <w:r w:rsidRPr="000A7AE8">
        <w:t xml:space="preserve"> were continued.</w:t>
      </w:r>
      <w:r w:rsidRPr="000A7AE8">
        <w:rPr>
          <w:vertAlign w:val="superscript"/>
        </w:rPr>
        <w:t xml:space="preserve"> </w:t>
      </w:r>
      <w:r w:rsidRPr="000A7AE8">
        <w:t>In Study VI, the efficacy and safety of ORENCIA were assessed in MTX-naive patients with early, erosive RA (≤</w:t>
      </w:r>
      <w:r w:rsidR="003D6965" w:rsidRPr="000A7AE8">
        <w:t xml:space="preserve"> </w:t>
      </w:r>
      <w:r w:rsidRPr="000A7AE8">
        <w:t>2 years disease duration). In Study VI, patients previously naive to MTX were randomized to receive ORENCIA</w:t>
      </w:r>
      <w:r w:rsidR="003D6965" w:rsidRPr="000A7AE8">
        <w:t>+</w:t>
      </w:r>
      <w:r w:rsidRPr="000A7AE8">
        <w:t xml:space="preserve">MTX or </w:t>
      </w:r>
      <w:proofErr w:type="spellStart"/>
      <w:r w:rsidRPr="000A7AE8">
        <w:t>MTX</w:t>
      </w:r>
      <w:r w:rsidR="003D6965" w:rsidRPr="000A7AE8">
        <w:t>+</w:t>
      </w:r>
      <w:r w:rsidRPr="000A7AE8">
        <w:t>placebo</w:t>
      </w:r>
      <w:proofErr w:type="spellEnd"/>
      <w:r w:rsidRPr="000A7AE8">
        <w:t>.</w:t>
      </w:r>
    </w:p>
    <w:p w14:paraId="30812765" w14:textId="163684A0" w:rsidR="00580444" w:rsidRPr="00DB2EF0" w:rsidRDefault="00580444" w:rsidP="00203339">
      <w:pPr>
        <w:rPr>
          <w:lang w:eastAsia="en-AU"/>
        </w:rPr>
      </w:pPr>
      <w:r w:rsidRPr="000A7AE8">
        <w:t xml:space="preserve">In Study VI, the efficacy and safety of </w:t>
      </w:r>
      <w:proofErr w:type="spellStart"/>
      <w:r w:rsidRPr="000A7AE8">
        <w:t>abatacept</w:t>
      </w:r>
      <w:proofErr w:type="spellEnd"/>
      <w:r w:rsidRPr="000A7AE8">
        <w:t xml:space="preserve"> were assessed in methotrexate-naive, Rheumatoid Factor (RF) and/or anti-Cyclic </w:t>
      </w:r>
      <w:proofErr w:type="spellStart"/>
      <w:r w:rsidRPr="000A7AE8">
        <w:t>Citrullinated</w:t>
      </w:r>
      <w:proofErr w:type="spellEnd"/>
      <w:r w:rsidRPr="000A7AE8">
        <w:t xml:space="preserve"> Peptide 2 (Anti-CCP2)-positive patients with early, erosive rheumatoid arthritis (≤ 2 years disease duration) who were randomized to receive </w:t>
      </w:r>
      <w:proofErr w:type="spellStart"/>
      <w:r w:rsidRPr="000A7AE8">
        <w:t>abatacept</w:t>
      </w:r>
      <w:proofErr w:type="spellEnd"/>
      <w:r w:rsidRPr="000A7AE8">
        <w:t xml:space="preserve"> plus methotrexate or methotrexate plus placebo. </w:t>
      </w:r>
      <w:r w:rsidRPr="000A7AE8">
        <w:rPr>
          <w:lang w:eastAsia="en-AU"/>
        </w:rPr>
        <w:t>For all patients randomized and treated, the median age was 51 years, the median disease duration was 3 months and the median tender and swollen joint counts were 28 and 20, respectively. Patients were randomized t</w:t>
      </w:r>
      <w:r w:rsidR="00DB2EF0">
        <w:rPr>
          <w:lang w:eastAsia="en-AU"/>
        </w:rPr>
        <w:t xml:space="preserve">o receive </w:t>
      </w:r>
      <w:proofErr w:type="spellStart"/>
      <w:r w:rsidR="00DB2EF0">
        <w:rPr>
          <w:lang w:eastAsia="en-AU"/>
        </w:rPr>
        <w:t>abatacept</w:t>
      </w:r>
      <w:proofErr w:type="spellEnd"/>
      <w:r w:rsidR="00DB2EF0">
        <w:rPr>
          <w:lang w:eastAsia="en-AU"/>
        </w:rPr>
        <w:t xml:space="preserve"> (10 mg/kg, </w:t>
      </w:r>
      <w:r w:rsidRPr="000A7AE8">
        <w:rPr>
          <w:lang w:eastAsia="en-AU"/>
        </w:rPr>
        <w:t>weight-tiered dose</w:t>
      </w:r>
      <w:proofErr w:type="gramStart"/>
      <w:r w:rsidRPr="000A7AE8">
        <w:rPr>
          <w:lang w:eastAsia="en-AU"/>
        </w:rPr>
        <w:t>)</w:t>
      </w:r>
      <w:r w:rsidR="003D6965" w:rsidRPr="000A7AE8">
        <w:rPr>
          <w:lang w:eastAsia="en-AU"/>
        </w:rPr>
        <w:t>+</w:t>
      </w:r>
      <w:proofErr w:type="gramEnd"/>
      <w:r w:rsidRPr="000A7AE8">
        <w:rPr>
          <w:lang w:eastAsia="en-AU"/>
        </w:rPr>
        <w:t xml:space="preserve">MTX or </w:t>
      </w:r>
      <w:proofErr w:type="spellStart"/>
      <w:r w:rsidRPr="000A7AE8">
        <w:rPr>
          <w:lang w:eastAsia="en-AU"/>
        </w:rPr>
        <w:t>MTX</w:t>
      </w:r>
      <w:r w:rsidR="003D6965" w:rsidRPr="000A7AE8">
        <w:rPr>
          <w:lang w:eastAsia="en-AU"/>
        </w:rPr>
        <w:t>+</w:t>
      </w:r>
      <w:r w:rsidRPr="000A7AE8">
        <w:rPr>
          <w:lang w:eastAsia="en-AU"/>
        </w:rPr>
        <w:t>placebo</w:t>
      </w:r>
      <w:proofErr w:type="spellEnd"/>
      <w:r w:rsidRPr="000A7AE8">
        <w:rPr>
          <w:lang w:eastAsia="en-AU"/>
        </w:rPr>
        <w:t xml:space="preserve"> for the first 12 months of treatment. In both groups, the </w:t>
      </w:r>
      <w:r w:rsidRPr="000A7AE8">
        <w:rPr>
          <w:lang w:eastAsia="en-AU"/>
        </w:rPr>
        <w:lastRenderedPageBreak/>
        <w:t xml:space="preserve">MTX dose was titrated to at least 15 mg per week not to exceed 20 mg per week. The co-primary endpoints of this study were the proportion of subjects in </w:t>
      </w:r>
      <w:proofErr w:type="spellStart"/>
      <w:r w:rsidRPr="000A7AE8">
        <w:rPr>
          <w:lang w:eastAsia="en-AU"/>
        </w:rPr>
        <w:t>abatacept+MTX</w:t>
      </w:r>
      <w:proofErr w:type="spellEnd"/>
      <w:r w:rsidRPr="000A7AE8">
        <w:rPr>
          <w:lang w:eastAsia="en-AU"/>
        </w:rPr>
        <w:t xml:space="preserve"> group versus </w:t>
      </w:r>
      <w:proofErr w:type="spellStart"/>
      <w:r w:rsidRPr="000A7AE8">
        <w:rPr>
          <w:lang w:eastAsia="en-AU"/>
        </w:rPr>
        <w:t>MTX</w:t>
      </w:r>
      <w:r w:rsidR="003D6965" w:rsidRPr="000A7AE8">
        <w:rPr>
          <w:lang w:eastAsia="en-AU"/>
        </w:rPr>
        <w:t>+placebo</w:t>
      </w:r>
      <w:proofErr w:type="spellEnd"/>
      <w:r w:rsidRPr="000A7AE8">
        <w:rPr>
          <w:lang w:eastAsia="en-AU"/>
        </w:rPr>
        <w:t xml:space="preserve"> who achieved DAS28-CRP remission and to compare inhibition of joint damage progression measured by the </w:t>
      </w:r>
      <w:proofErr w:type="spellStart"/>
      <w:r w:rsidRPr="000A7AE8">
        <w:rPr>
          <w:lang w:eastAsia="en-AU"/>
        </w:rPr>
        <w:t>Genant</w:t>
      </w:r>
      <w:proofErr w:type="spellEnd"/>
      <w:r w:rsidRPr="000A7AE8">
        <w:rPr>
          <w:lang w:eastAsia="en-AU"/>
        </w:rPr>
        <w:t>-modified Sharp total score at 12 months of treatment.</w:t>
      </w:r>
      <w:r w:rsidRPr="000A7AE8">
        <w:rPr>
          <w:u w:val="single"/>
          <w:lang w:eastAsia="en-AU"/>
        </w:rPr>
        <w:t xml:space="preserve"> </w:t>
      </w:r>
    </w:p>
    <w:p w14:paraId="65D12A87" w14:textId="6863744F" w:rsidR="00580444" w:rsidRPr="000A7AE8" w:rsidRDefault="00580444">
      <w:r w:rsidRPr="000A7AE8">
        <w:t xml:space="preserve">Study I patients were randomized to receive one of three doses of ORENCIA (0.5, 2, or 10 mg/kg) or placebo ending at </w:t>
      </w:r>
      <w:r w:rsidR="003D6965" w:rsidRPr="000A7AE8">
        <w:t>W</w:t>
      </w:r>
      <w:r w:rsidRPr="000A7AE8">
        <w:t xml:space="preserve">eek 8. Study II patients were randomized to receive ORENCIA 2 or 10 mg/kg or placebo for 12 months. For </w:t>
      </w:r>
      <w:r w:rsidR="003D6965" w:rsidRPr="000A7AE8">
        <w:t>S</w:t>
      </w:r>
      <w:r w:rsidRPr="000A7AE8">
        <w:t>tudies I and II, only results in the 10</w:t>
      </w:r>
      <w:r w:rsidR="003D6965" w:rsidRPr="000A7AE8">
        <w:t xml:space="preserve"> </w:t>
      </w:r>
      <w:r w:rsidRPr="000A7AE8">
        <w:t>mg/kg group are discussed below. Stud</w:t>
      </w:r>
      <w:r w:rsidR="003D6965" w:rsidRPr="000A7AE8">
        <w:t>ies</w:t>
      </w:r>
      <w:r w:rsidRPr="000A7AE8">
        <w:t xml:space="preserve"> III, IV, V and VI patients were randomized to receive a fixed dose approximating 10 mg/kg of ORENCIA or placebo for 12 months (Studies III</w:t>
      </w:r>
      <w:r w:rsidR="003D6965" w:rsidRPr="000A7AE8">
        <w:t>,</w:t>
      </w:r>
      <w:r w:rsidRPr="000A7AE8">
        <w:t xml:space="preserve"> V and VI) or 6 months (Study IV). The dose of ORENCIA was 500 mg for patients weighing less than 60 kg, 750 mg for patients weighing 60 to 100 kg, and 1 gram for patients weighing greater than 100 kg.</w:t>
      </w:r>
    </w:p>
    <w:p w14:paraId="245958E8" w14:textId="77777777" w:rsidR="00580444" w:rsidRPr="000A7AE8" w:rsidRDefault="00580444" w:rsidP="00932AF4">
      <w:pPr>
        <w:rPr>
          <w:b/>
        </w:rPr>
      </w:pPr>
      <w:bookmarkStart w:id="70" w:name="_Toc96146345"/>
      <w:r w:rsidRPr="000A7AE8">
        <w:rPr>
          <w:b/>
        </w:rPr>
        <w:t>Clinical response</w:t>
      </w:r>
      <w:bookmarkStart w:id="71" w:name="_Toc96146346"/>
      <w:bookmarkEnd w:id="70"/>
    </w:p>
    <w:p w14:paraId="12B48A49" w14:textId="77777777" w:rsidR="00580444" w:rsidRPr="000A7AE8" w:rsidRDefault="00580444" w:rsidP="00932AF4">
      <w:pPr>
        <w:rPr>
          <w:b/>
          <w:i/>
        </w:rPr>
      </w:pPr>
      <w:r w:rsidRPr="000A7AE8">
        <w:rPr>
          <w:b/>
          <w:i/>
        </w:rPr>
        <w:t>ACR response</w:t>
      </w:r>
      <w:bookmarkEnd w:id="71"/>
    </w:p>
    <w:p w14:paraId="3329C95E" w14:textId="7CE88033" w:rsidR="00580444" w:rsidRPr="000A7AE8" w:rsidRDefault="00580444" w:rsidP="00932AF4">
      <w:r w:rsidRPr="000A7AE8">
        <w:t>The percent of ORENCIA-treated patients achieving ACR 20, 50, and 70 responses and major clinical response (defined as achieving an ACR 70 response for a continuous 6-month period) in Studies III</w:t>
      </w:r>
      <w:r w:rsidR="003D6965" w:rsidRPr="000A7AE8">
        <w:t>,</w:t>
      </w:r>
      <w:r w:rsidRPr="000A7AE8">
        <w:t xml:space="preserve"> IV and VI are shown in Table </w:t>
      </w:r>
      <w:r w:rsidR="00932AF4" w:rsidRPr="000A7AE8">
        <w:t>7</w:t>
      </w:r>
      <w:r w:rsidRPr="000A7AE8">
        <w:t xml:space="preserve">. Month 6 and 12 ACR response rates in Study II for the 10 mg/kg group were similar to the ORENCIA group in Study III. ACR response rates at 3 months in Study I </w:t>
      </w:r>
      <w:proofErr w:type="gramStart"/>
      <w:r w:rsidRPr="000A7AE8">
        <w:t>were</w:t>
      </w:r>
      <w:proofErr w:type="gramEnd"/>
      <w:r w:rsidRPr="000A7AE8">
        <w:t xml:space="preserve"> supportive of these findings.</w:t>
      </w:r>
    </w:p>
    <w:p w14:paraId="651EF37D" w14:textId="2FEEAB1F" w:rsidR="00580444" w:rsidRPr="000A7AE8" w:rsidRDefault="00580444" w:rsidP="00932AF4">
      <w:pPr>
        <w:rPr>
          <w:strike/>
        </w:rPr>
      </w:pPr>
      <w:r w:rsidRPr="000A7AE8">
        <w:t xml:space="preserve">In Studies III and IV, improvement in the ACR 20 response rate versus placebo was observed after administration of the first dose, as measured at </w:t>
      </w:r>
      <w:r w:rsidR="003D6965" w:rsidRPr="000A7AE8">
        <w:t>D</w:t>
      </w:r>
      <w:r w:rsidRPr="000A7AE8">
        <w:t>ay 15, and was maintained through the double-blind study period.</w:t>
      </w:r>
      <w:r w:rsidRPr="000A7AE8">
        <w:rPr>
          <w:b/>
        </w:rPr>
        <w:t xml:space="preserve"> </w:t>
      </w:r>
      <w:r w:rsidRPr="000A7AE8">
        <w:t xml:space="preserve">In Study VI, improvement in the ACR 20 response rate in ORENCIA+MTX-treated patients versus </w:t>
      </w:r>
      <w:proofErr w:type="spellStart"/>
      <w:r w:rsidRPr="000A7AE8">
        <w:t>MTX+placebo-treated</w:t>
      </w:r>
      <w:proofErr w:type="spellEnd"/>
      <w:r w:rsidRPr="000A7AE8">
        <w:t xml:space="preserve"> patients was observed at 29 days, and was maintained through the double-blind study period.</w:t>
      </w:r>
      <w:r w:rsidR="003D6965" w:rsidRPr="000A7AE8">
        <w:rPr>
          <w:u w:val="single"/>
        </w:rPr>
        <w:t xml:space="preserve"> </w:t>
      </w:r>
      <w:r w:rsidRPr="000A7AE8">
        <w:t xml:space="preserve">The ACR 50 response with ORENCIA was significantly greater than placebo at </w:t>
      </w:r>
      <w:r w:rsidR="003D6965" w:rsidRPr="000A7AE8">
        <w:t>M</w:t>
      </w:r>
      <w:r w:rsidRPr="000A7AE8">
        <w:t>onths 2 and 3, respectively, for Studies III</w:t>
      </w:r>
      <w:r w:rsidR="003D6965" w:rsidRPr="000A7AE8">
        <w:t>,</w:t>
      </w:r>
      <w:r w:rsidRPr="000A7AE8">
        <w:t xml:space="preserve"> IV and VI, with continued improvement in the ACR</w:t>
      </w:r>
      <w:r w:rsidR="003D6965" w:rsidRPr="000A7AE8">
        <w:t xml:space="preserve"> </w:t>
      </w:r>
      <w:r w:rsidRPr="000A7AE8">
        <w:t>50 response rate through the double-blind period (</w:t>
      </w:r>
      <w:r w:rsidR="003D6965" w:rsidRPr="000A7AE8">
        <w:t>M</w:t>
      </w:r>
      <w:r w:rsidRPr="000A7AE8">
        <w:t xml:space="preserve">onth 12 in Study III and </w:t>
      </w:r>
      <w:r w:rsidR="003D6965" w:rsidRPr="000A7AE8">
        <w:t>M</w:t>
      </w:r>
      <w:r w:rsidRPr="000A7AE8">
        <w:t>onth 6 in Study IV). In the placebo-controlled periods of Studies II, III and VI, ACR response rates were maintained to 12 months in ORENCIA-treated patients. In the uncontrolled open-label long-term extension of Studies II, III, IV and VI, durable and sustained ACR 20, 50, and 70 responses have been observed through 7 years, 5 years, 5 years, and 2 years, respectively, of ORENCIA treatment based on as-observed analyses.</w:t>
      </w:r>
    </w:p>
    <w:p w14:paraId="6F6FE22A" w14:textId="32AF3D2A" w:rsidR="00580444" w:rsidRPr="000A7AE8" w:rsidRDefault="00580444" w:rsidP="00932AF4">
      <w:pPr>
        <w:rPr>
          <w:u w:val="single"/>
        </w:rPr>
      </w:pPr>
      <w:r w:rsidRPr="000A7AE8">
        <w:t xml:space="preserve">In </w:t>
      </w:r>
      <w:r w:rsidR="003D6965" w:rsidRPr="000A7AE8">
        <w:t>S</w:t>
      </w:r>
      <w:r w:rsidRPr="000A7AE8">
        <w:t xml:space="preserve">tudy II, ACR responses were assessed at 7 years with 31/43 (72%) ACR 20 responses, 25/43 (58%) ACR 50 responses, and 19/43 (44%) </w:t>
      </w:r>
      <w:proofErr w:type="gramStart"/>
      <w:r w:rsidRPr="000A7AE8">
        <w:t>ACR 70 responses.</w:t>
      </w:r>
      <w:proofErr w:type="gramEnd"/>
      <w:r w:rsidRPr="000A7AE8">
        <w:t xml:space="preserve"> In </w:t>
      </w:r>
      <w:r w:rsidR="003D6965" w:rsidRPr="000A7AE8">
        <w:t>S</w:t>
      </w:r>
      <w:r w:rsidRPr="000A7AE8">
        <w:t xml:space="preserve">tudy III, ACR responses were assessed at 5 years with 224/268 (84%) ACR 20 responses, 165/270 (61%) ACR 50 responses, and 107/270 (40%) </w:t>
      </w:r>
      <w:proofErr w:type="gramStart"/>
      <w:r w:rsidRPr="000A7AE8">
        <w:t>ACR 70 responses.</w:t>
      </w:r>
      <w:proofErr w:type="gramEnd"/>
      <w:r w:rsidRPr="000A7AE8">
        <w:t xml:space="preserve"> In </w:t>
      </w:r>
      <w:r w:rsidR="003D6965" w:rsidRPr="000A7AE8">
        <w:t>S</w:t>
      </w:r>
      <w:r w:rsidRPr="000A7AE8">
        <w:t xml:space="preserve">tudy IV, ACR responses were assessed at 5 years with 66/89 (74%) ACR 20 responses, 45/88 (51%) ACR 50 responses, and 21/91 (23%) </w:t>
      </w:r>
      <w:proofErr w:type="gramStart"/>
      <w:r w:rsidRPr="000A7AE8">
        <w:t>ACR 70 responses.</w:t>
      </w:r>
      <w:proofErr w:type="gramEnd"/>
      <w:r w:rsidRPr="000A7AE8">
        <w:t xml:space="preserve"> In </w:t>
      </w:r>
      <w:r w:rsidR="003D6965" w:rsidRPr="000A7AE8">
        <w:t>S</w:t>
      </w:r>
      <w:r w:rsidRPr="000A7AE8">
        <w:t xml:space="preserve">tudy VI, ACR responses were assessed at 2 years with 196/219 (90%) ACR 20 responses, 169/217 (78%) ACR 50 responses, and 124/216 (57%) </w:t>
      </w:r>
      <w:proofErr w:type="gramStart"/>
      <w:r w:rsidRPr="000A7AE8">
        <w:t>ACR 70 responses.</w:t>
      </w:r>
      <w:proofErr w:type="gramEnd"/>
      <w:r w:rsidRPr="000A7AE8">
        <w:rPr>
          <w:u w:val="single"/>
        </w:rPr>
        <w:t xml:space="preserve"> </w:t>
      </w:r>
    </w:p>
    <w:p w14:paraId="32446AB5" w14:textId="07CA385F" w:rsidR="00580444" w:rsidRPr="000A7AE8" w:rsidRDefault="00580444" w:rsidP="00932AF4">
      <w:pPr>
        <w:rPr>
          <w:rFonts w:ascii="Times" w:hAnsi="Times"/>
        </w:rPr>
      </w:pPr>
      <w:r w:rsidRPr="000A7AE8">
        <w:t>Greater improvement was seen in all ACR response criteria components in ORENCIA-treated patients than in placebo-treated patients through 6 (Study IV) and 12 (Stud</w:t>
      </w:r>
      <w:r w:rsidR="003D6965" w:rsidRPr="000A7AE8">
        <w:t>ies</w:t>
      </w:r>
      <w:r w:rsidRPr="000A7AE8">
        <w:t xml:space="preserve"> II and III) months. In Study VI, greater improvement was seen in all ACR components at 12 months in ORENCIA+MTX-treated patients than in </w:t>
      </w:r>
      <w:proofErr w:type="spellStart"/>
      <w:r w:rsidRPr="000A7AE8">
        <w:t>MTX+placebo-treated</w:t>
      </w:r>
      <w:proofErr w:type="spellEnd"/>
      <w:r w:rsidRPr="000A7AE8">
        <w:t xml:space="preserve"> patients. In the open-label extension of Studies II, III, and IV, improvements in the individual ACR components were maintained through 7, 5, and 5 years, respectively, of ORENCIA treatment.</w:t>
      </w:r>
      <w:r w:rsidRPr="000A7AE8">
        <w:rPr>
          <w:rFonts w:ascii="Times" w:hAnsi="Times"/>
        </w:rPr>
        <w:t xml:space="preserve"> </w:t>
      </w:r>
    </w:p>
    <w:tbl>
      <w:tblPr>
        <w:tblW w:w="5170" w:type="pct"/>
        <w:tblLook w:val="0000" w:firstRow="0" w:lastRow="0" w:firstColumn="0" w:lastColumn="0" w:noHBand="0" w:noVBand="0"/>
      </w:tblPr>
      <w:tblGrid>
        <w:gridCol w:w="1134"/>
        <w:gridCol w:w="1098"/>
        <w:gridCol w:w="850"/>
        <w:gridCol w:w="1211"/>
        <w:gridCol w:w="1119"/>
        <w:gridCol w:w="1098"/>
        <w:gridCol w:w="850"/>
        <w:gridCol w:w="1098"/>
        <w:gridCol w:w="1098"/>
      </w:tblGrid>
      <w:tr w:rsidR="000A7AE8" w:rsidRPr="000A7AE8" w14:paraId="74BE28BD" w14:textId="77777777" w:rsidTr="00C02EB7">
        <w:trPr>
          <w:cantSplit/>
          <w:tblHeader/>
        </w:trPr>
        <w:tc>
          <w:tcPr>
            <w:tcW w:w="5000" w:type="pct"/>
            <w:gridSpan w:val="9"/>
            <w:tcBorders>
              <w:bottom w:val="double" w:sz="4" w:space="0" w:color="auto"/>
            </w:tcBorders>
          </w:tcPr>
          <w:p w14:paraId="05BE6891" w14:textId="10671392" w:rsidR="00580444" w:rsidRPr="000A7AE8" w:rsidRDefault="00580444" w:rsidP="00C02EB7">
            <w:pPr>
              <w:pStyle w:val="BMSTableTitle"/>
            </w:pPr>
            <w:r w:rsidRPr="000A7AE8">
              <w:rPr>
                <w:highlight w:val="yellow"/>
                <w:u w:val="double"/>
              </w:rPr>
              <w:lastRenderedPageBreak/>
              <w:br w:type="page"/>
            </w:r>
            <w:r w:rsidR="007F47FD" w:rsidRPr="000A7AE8">
              <w:rPr>
                <w:sz w:val="22"/>
              </w:rPr>
              <w:t>Table 7</w:t>
            </w:r>
            <w:r w:rsidRPr="000A7AE8">
              <w:rPr>
                <w:sz w:val="22"/>
              </w:rPr>
              <w:t>:</w:t>
            </w:r>
            <w:r w:rsidRPr="000A7AE8">
              <w:rPr>
                <w:sz w:val="22"/>
              </w:rPr>
              <w:tab/>
              <w:t>Clinical Responses in Controlled Trials</w:t>
            </w:r>
          </w:p>
        </w:tc>
      </w:tr>
      <w:tr w:rsidR="000A7AE8" w:rsidRPr="000A7AE8" w14:paraId="5FFE8DF0" w14:textId="77777777" w:rsidTr="00C02EB7">
        <w:trPr>
          <w:cantSplit/>
          <w:tblHeader/>
        </w:trPr>
        <w:tc>
          <w:tcPr>
            <w:tcW w:w="701" w:type="pct"/>
            <w:tcBorders>
              <w:top w:val="double" w:sz="4" w:space="0" w:color="auto"/>
              <w:right w:val="single" w:sz="4" w:space="0" w:color="auto"/>
            </w:tcBorders>
          </w:tcPr>
          <w:p w14:paraId="3E2DBEFD" w14:textId="77777777" w:rsidR="00580444" w:rsidRPr="000A7AE8" w:rsidRDefault="00580444" w:rsidP="00C02EB7">
            <w:pPr>
              <w:pStyle w:val="BMSTableHeader"/>
              <w:keepNext/>
              <w:keepLines/>
              <w:spacing w:before="40" w:after="40"/>
            </w:pPr>
          </w:p>
        </w:tc>
        <w:tc>
          <w:tcPr>
            <w:tcW w:w="4299" w:type="pct"/>
            <w:gridSpan w:val="8"/>
            <w:tcBorders>
              <w:top w:val="double" w:sz="4" w:space="0" w:color="auto"/>
              <w:left w:val="nil"/>
              <w:bottom w:val="single" w:sz="4" w:space="0" w:color="auto"/>
            </w:tcBorders>
          </w:tcPr>
          <w:p w14:paraId="7C04D223" w14:textId="77777777" w:rsidR="00580444" w:rsidRPr="000A7AE8" w:rsidRDefault="00580444" w:rsidP="00C02EB7">
            <w:pPr>
              <w:pStyle w:val="BMSTableHeader"/>
              <w:keepNext/>
              <w:keepLines/>
              <w:spacing w:before="40" w:after="40"/>
            </w:pPr>
            <w:r w:rsidRPr="000A7AE8">
              <w:t>Percent of Patients</w:t>
            </w:r>
          </w:p>
        </w:tc>
      </w:tr>
      <w:tr w:rsidR="000A7AE8" w:rsidRPr="000A7AE8" w14:paraId="45C9A1AE" w14:textId="77777777" w:rsidTr="00C02EB7">
        <w:trPr>
          <w:cantSplit/>
          <w:tblHeader/>
        </w:trPr>
        <w:tc>
          <w:tcPr>
            <w:tcW w:w="701" w:type="pct"/>
            <w:tcBorders>
              <w:bottom w:val="single" w:sz="4" w:space="0" w:color="auto"/>
              <w:right w:val="single" w:sz="4" w:space="0" w:color="auto"/>
            </w:tcBorders>
          </w:tcPr>
          <w:p w14:paraId="43980887" w14:textId="77777777" w:rsidR="00580444" w:rsidRPr="000A7AE8" w:rsidRDefault="00580444" w:rsidP="00C02EB7">
            <w:pPr>
              <w:pStyle w:val="BMSTableHeader"/>
              <w:keepNext/>
              <w:keepLines/>
            </w:pPr>
          </w:p>
        </w:tc>
        <w:tc>
          <w:tcPr>
            <w:tcW w:w="3169" w:type="pct"/>
            <w:gridSpan w:val="6"/>
            <w:tcBorders>
              <w:left w:val="nil"/>
              <w:bottom w:val="single" w:sz="4" w:space="0" w:color="auto"/>
            </w:tcBorders>
          </w:tcPr>
          <w:p w14:paraId="3A8C02CD" w14:textId="77777777" w:rsidR="00580444" w:rsidRPr="000A7AE8" w:rsidRDefault="00580444" w:rsidP="00C02EB7">
            <w:pPr>
              <w:pStyle w:val="BMSTableHeader"/>
              <w:keepNext/>
              <w:keepLines/>
              <w:spacing w:before="40" w:after="40"/>
            </w:pPr>
            <w:r w:rsidRPr="000A7AE8">
              <w:t>Intravenous Administration</w:t>
            </w:r>
          </w:p>
        </w:tc>
        <w:tc>
          <w:tcPr>
            <w:tcW w:w="1131" w:type="pct"/>
            <w:gridSpan w:val="2"/>
            <w:tcBorders>
              <w:left w:val="single" w:sz="4" w:space="0" w:color="auto"/>
              <w:bottom w:val="single" w:sz="4" w:space="0" w:color="auto"/>
            </w:tcBorders>
          </w:tcPr>
          <w:p w14:paraId="2854518F" w14:textId="77777777" w:rsidR="00580444" w:rsidRPr="000A7AE8" w:rsidRDefault="00580444" w:rsidP="00C02EB7">
            <w:pPr>
              <w:pStyle w:val="BMSTableHeader"/>
              <w:keepNext/>
              <w:keepLines/>
              <w:spacing w:before="40" w:after="40"/>
            </w:pPr>
            <w:r w:rsidRPr="000A7AE8">
              <w:t>Subcutaneous Administration</w:t>
            </w:r>
          </w:p>
        </w:tc>
      </w:tr>
      <w:tr w:rsidR="000A7AE8" w:rsidRPr="000A7AE8" w14:paraId="2AB06896" w14:textId="77777777" w:rsidTr="00C02EB7">
        <w:trPr>
          <w:cantSplit/>
          <w:tblHeader/>
        </w:trPr>
        <w:tc>
          <w:tcPr>
            <w:tcW w:w="701" w:type="pct"/>
            <w:vMerge w:val="restart"/>
            <w:tcBorders>
              <w:bottom w:val="single" w:sz="4" w:space="0" w:color="auto"/>
              <w:right w:val="single" w:sz="4" w:space="0" w:color="auto"/>
            </w:tcBorders>
          </w:tcPr>
          <w:p w14:paraId="634C7C08" w14:textId="77777777" w:rsidR="00580444" w:rsidRPr="000A7AE8" w:rsidRDefault="00580444" w:rsidP="00C02EB7">
            <w:pPr>
              <w:pStyle w:val="BMSTableHeader"/>
              <w:keepNext/>
              <w:keepLines/>
            </w:pPr>
          </w:p>
        </w:tc>
        <w:tc>
          <w:tcPr>
            <w:tcW w:w="1065" w:type="pct"/>
            <w:gridSpan w:val="2"/>
            <w:tcBorders>
              <w:left w:val="nil"/>
              <w:bottom w:val="single" w:sz="4" w:space="0" w:color="auto"/>
            </w:tcBorders>
          </w:tcPr>
          <w:p w14:paraId="083F275C" w14:textId="77777777" w:rsidR="00580444" w:rsidRPr="000A7AE8" w:rsidRDefault="00580444" w:rsidP="00C02EB7">
            <w:pPr>
              <w:jc w:val="center"/>
              <w:rPr>
                <w:b/>
              </w:rPr>
            </w:pPr>
            <w:r w:rsidRPr="000A7AE8">
              <w:rPr>
                <w:b/>
              </w:rPr>
              <w:t>Inadequate Response to MTX</w:t>
            </w:r>
          </w:p>
        </w:tc>
        <w:tc>
          <w:tcPr>
            <w:tcW w:w="1144" w:type="pct"/>
            <w:gridSpan w:val="2"/>
            <w:tcBorders>
              <w:left w:val="single" w:sz="4" w:space="0" w:color="auto"/>
              <w:bottom w:val="single" w:sz="4" w:space="0" w:color="auto"/>
              <w:right w:val="single" w:sz="4" w:space="0" w:color="auto"/>
            </w:tcBorders>
          </w:tcPr>
          <w:p w14:paraId="79D5AFD6" w14:textId="77777777" w:rsidR="00580444" w:rsidRPr="000A7AE8" w:rsidRDefault="00580444" w:rsidP="00C02EB7">
            <w:pPr>
              <w:pStyle w:val="BMSTableHeader"/>
              <w:keepNext/>
              <w:keepLines/>
              <w:spacing w:before="40"/>
            </w:pPr>
            <w:r w:rsidRPr="000A7AE8">
              <w:t>Inadequate Response to</w:t>
            </w:r>
            <w:r w:rsidRPr="000A7AE8">
              <w:br/>
              <w:t>TNF Blocking Agent</w:t>
            </w:r>
          </w:p>
        </w:tc>
        <w:tc>
          <w:tcPr>
            <w:tcW w:w="960" w:type="pct"/>
            <w:gridSpan w:val="2"/>
            <w:tcBorders>
              <w:left w:val="single" w:sz="4" w:space="0" w:color="auto"/>
              <w:bottom w:val="single" w:sz="4" w:space="0" w:color="auto"/>
            </w:tcBorders>
          </w:tcPr>
          <w:p w14:paraId="15C7A685" w14:textId="77777777" w:rsidR="00580444" w:rsidRPr="000A7AE8" w:rsidRDefault="00580444" w:rsidP="00C02EB7">
            <w:pPr>
              <w:pStyle w:val="BMSTableHeader"/>
              <w:keepNext/>
              <w:keepLines/>
              <w:spacing w:before="40" w:after="40"/>
            </w:pPr>
            <w:r w:rsidRPr="000A7AE8">
              <w:t>MTX-Naive</w:t>
            </w:r>
          </w:p>
        </w:tc>
        <w:tc>
          <w:tcPr>
            <w:tcW w:w="1131" w:type="pct"/>
            <w:gridSpan w:val="2"/>
            <w:tcBorders>
              <w:left w:val="single" w:sz="4" w:space="0" w:color="auto"/>
              <w:bottom w:val="single" w:sz="4" w:space="0" w:color="auto"/>
            </w:tcBorders>
          </w:tcPr>
          <w:p w14:paraId="274C06DF" w14:textId="77777777" w:rsidR="00580444" w:rsidRPr="000A7AE8" w:rsidRDefault="00580444" w:rsidP="00C02EB7">
            <w:pPr>
              <w:pStyle w:val="BMSTableHeader"/>
              <w:keepNext/>
              <w:keepLines/>
              <w:spacing w:before="40" w:after="40"/>
            </w:pPr>
            <w:r w:rsidRPr="000A7AE8">
              <w:t>Inadequate Response to MTX</w:t>
            </w:r>
          </w:p>
        </w:tc>
      </w:tr>
      <w:tr w:rsidR="000A7AE8" w:rsidRPr="000A7AE8" w14:paraId="39868A60" w14:textId="77777777" w:rsidTr="00C02EB7">
        <w:trPr>
          <w:cantSplit/>
          <w:tblHeader/>
        </w:trPr>
        <w:tc>
          <w:tcPr>
            <w:tcW w:w="701" w:type="pct"/>
            <w:vMerge/>
            <w:tcBorders>
              <w:bottom w:val="single" w:sz="4" w:space="0" w:color="auto"/>
              <w:right w:val="single" w:sz="4" w:space="0" w:color="auto"/>
            </w:tcBorders>
          </w:tcPr>
          <w:p w14:paraId="4CA91896" w14:textId="77777777" w:rsidR="00580444" w:rsidRPr="000A7AE8" w:rsidRDefault="00580444" w:rsidP="00C02EB7">
            <w:pPr>
              <w:pStyle w:val="BMSTableHeader"/>
              <w:keepNext/>
              <w:keepLines/>
            </w:pPr>
          </w:p>
        </w:tc>
        <w:tc>
          <w:tcPr>
            <w:tcW w:w="1065" w:type="pct"/>
            <w:gridSpan w:val="2"/>
            <w:tcBorders>
              <w:top w:val="single" w:sz="4" w:space="0" w:color="auto"/>
              <w:left w:val="nil"/>
              <w:bottom w:val="single" w:sz="4" w:space="0" w:color="auto"/>
            </w:tcBorders>
          </w:tcPr>
          <w:p w14:paraId="0E210105" w14:textId="77777777" w:rsidR="00580444" w:rsidRPr="000A7AE8" w:rsidRDefault="00580444" w:rsidP="00C02EB7">
            <w:pPr>
              <w:pStyle w:val="BMSTableHeader"/>
              <w:keepNext/>
              <w:keepLines/>
              <w:spacing w:before="40" w:after="40"/>
              <w:rPr>
                <w:b w:val="0"/>
              </w:rPr>
            </w:pPr>
            <w:r w:rsidRPr="000A7AE8">
              <w:t>Study III</w:t>
            </w:r>
          </w:p>
        </w:tc>
        <w:tc>
          <w:tcPr>
            <w:tcW w:w="1144" w:type="pct"/>
            <w:gridSpan w:val="2"/>
            <w:tcBorders>
              <w:top w:val="single" w:sz="4" w:space="0" w:color="auto"/>
              <w:left w:val="single" w:sz="4" w:space="0" w:color="auto"/>
              <w:bottom w:val="single" w:sz="4" w:space="0" w:color="auto"/>
              <w:right w:val="single" w:sz="4" w:space="0" w:color="auto"/>
            </w:tcBorders>
          </w:tcPr>
          <w:p w14:paraId="2330DE15" w14:textId="77777777" w:rsidR="00580444" w:rsidRPr="000A7AE8" w:rsidRDefault="00580444" w:rsidP="00C02EB7">
            <w:pPr>
              <w:pStyle w:val="BMSTableHeader"/>
              <w:keepNext/>
              <w:keepLines/>
              <w:spacing w:before="40" w:after="40"/>
              <w:rPr>
                <w:b w:val="0"/>
              </w:rPr>
            </w:pPr>
            <w:r w:rsidRPr="000A7AE8">
              <w:t>Study IV</w:t>
            </w:r>
          </w:p>
        </w:tc>
        <w:tc>
          <w:tcPr>
            <w:tcW w:w="960" w:type="pct"/>
            <w:gridSpan w:val="2"/>
            <w:tcBorders>
              <w:top w:val="single" w:sz="4" w:space="0" w:color="auto"/>
              <w:left w:val="single" w:sz="4" w:space="0" w:color="auto"/>
              <w:bottom w:val="single" w:sz="4" w:space="0" w:color="auto"/>
            </w:tcBorders>
          </w:tcPr>
          <w:p w14:paraId="24C48720" w14:textId="77777777" w:rsidR="00580444" w:rsidRPr="000A7AE8" w:rsidRDefault="00580444" w:rsidP="00C02EB7">
            <w:pPr>
              <w:pStyle w:val="BMSTableHeader"/>
              <w:keepNext/>
              <w:keepLines/>
              <w:spacing w:before="40" w:after="40"/>
              <w:rPr>
                <w:b w:val="0"/>
              </w:rPr>
            </w:pPr>
            <w:r w:rsidRPr="000A7AE8">
              <w:t>Study VI</w:t>
            </w:r>
          </w:p>
        </w:tc>
        <w:tc>
          <w:tcPr>
            <w:tcW w:w="1131" w:type="pct"/>
            <w:gridSpan w:val="2"/>
            <w:tcBorders>
              <w:top w:val="single" w:sz="4" w:space="0" w:color="auto"/>
              <w:left w:val="single" w:sz="4" w:space="0" w:color="auto"/>
              <w:bottom w:val="single" w:sz="4" w:space="0" w:color="auto"/>
            </w:tcBorders>
          </w:tcPr>
          <w:p w14:paraId="228092A5" w14:textId="73E14C41" w:rsidR="00580444" w:rsidRPr="000A7AE8" w:rsidRDefault="00580444" w:rsidP="00C02EB7">
            <w:pPr>
              <w:pStyle w:val="BMSTableHeader"/>
              <w:keepNext/>
              <w:keepLines/>
              <w:spacing w:before="40" w:after="40"/>
            </w:pPr>
            <w:r w:rsidRPr="000A7AE8">
              <w:t>Study SC-I</w:t>
            </w:r>
          </w:p>
        </w:tc>
      </w:tr>
      <w:tr w:rsidR="000A7AE8" w:rsidRPr="000A7AE8" w14:paraId="36EB39AC" w14:textId="77777777" w:rsidTr="00C02EB7">
        <w:tc>
          <w:tcPr>
            <w:tcW w:w="701" w:type="pct"/>
            <w:tcBorders>
              <w:top w:val="single" w:sz="4" w:space="0" w:color="auto"/>
              <w:bottom w:val="single" w:sz="4" w:space="0" w:color="auto"/>
              <w:right w:val="single" w:sz="4" w:space="0" w:color="auto"/>
            </w:tcBorders>
            <w:vAlign w:val="bottom"/>
          </w:tcPr>
          <w:p w14:paraId="797754D2" w14:textId="77777777" w:rsidR="00580444" w:rsidRPr="000A7AE8" w:rsidRDefault="00580444" w:rsidP="00C02EB7">
            <w:pPr>
              <w:pStyle w:val="BMSTableText"/>
              <w:keepNext/>
              <w:keepLines/>
              <w:spacing w:after="0"/>
              <w:jc w:val="left"/>
            </w:pPr>
          </w:p>
          <w:p w14:paraId="71FDF538" w14:textId="77777777" w:rsidR="00580444" w:rsidRPr="000A7AE8" w:rsidRDefault="00580444" w:rsidP="00C02EB7">
            <w:pPr>
              <w:pStyle w:val="BMSTableText"/>
              <w:keepNext/>
              <w:keepLines/>
              <w:spacing w:before="0" w:after="0"/>
              <w:jc w:val="left"/>
            </w:pPr>
          </w:p>
          <w:p w14:paraId="36B56C24" w14:textId="77777777" w:rsidR="00580444" w:rsidRPr="000A7AE8" w:rsidRDefault="00580444" w:rsidP="00C02EB7">
            <w:pPr>
              <w:pStyle w:val="BMSTableText"/>
              <w:keepNext/>
              <w:keepLines/>
              <w:spacing w:before="0"/>
              <w:jc w:val="left"/>
            </w:pPr>
            <w:r w:rsidRPr="000A7AE8">
              <w:t>Response Rate</w:t>
            </w:r>
          </w:p>
        </w:tc>
        <w:tc>
          <w:tcPr>
            <w:tcW w:w="539" w:type="pct"/>
            <w:tcBorders>
              <w:top w:val="single" w:sz="4" w:space="0" w:color="auto"/>
              <w:left w:val="nil"/>
              <w:bottom w:val="single" w:sz="4" w:space="0" w:color="auto"/>
            </w:tcBorders>
            <w:vAlign w:val="bottom"/>
          </w:tcPr>
          <w:p w14:paraId="69027239" w14:textId="77777777" w:rsidR="00580444" w:rsidRPr="000A7AE8" w:rsidRDefault="00580444" w:rsidP="00C02EB7">
            <w:pPr>
              <w:pStyle w:val="BMSTableText"/>
              <w:keepNext/>
              <w:keepLines/>
              <w:spacing w:before="0"/>
            </w:pPr>
            <w:proofErr w:type="spellStart"/>
            <w:r w:rsidRPr="000A7AE8">
              <w:t>Abatacept</w:t>
            </w:r>
            <w:r w:rsidRPr="000A7AE8">
              <w:rPr>
                <w:rStyle w:val="BMSTableNote"/>
                <w:sz w:val="24"/>
                <w:szCs w:val="24"/>
              </w:rPr>
              <w:t>a</w:t>
            </w:r>
            <w:proofErr w:type="spellEnd"/>
            <w:r w:rsidRPr="000A7AE8">
              <w:rPr>
                <w:rStyle w:val="BMSTableNote"/>
              </w:rPr>
              <w:br/>
            </w:r>
            <w:r w:rsidRPr="000A7AE8">
              <w:t>+MTX</w:t>
            </w:r>
            <w:r w:rsidRPr="000A7AE8">
              <w:br/>
              <w:t>n=424</w:t>
            </w:r>
          </w:p>
        </w:tc>
        <w:tc>
          <w:tcPr>
            <w:tcW w:w="526" w:type="pct"/>
            <w:tcBorders>
              <w:top w:val="single" w:sz="4" w:space="0" w:color="auto"/>
              <w:bottom w:val="single" w:sz="4" w:space="0" w:color="auto"/>
            </w:tcBorders>
            <w:vAlign w:val="bottom"/>
          </w:tcPr>
          <w:p w14:paraId="1DE4EA0C" w14:textId="77777777" w:rsidR="00580444" w:rsidRPr="000A7AE8" w:rsidRDefault="00580444" w:rsidP="00C02EB7">
            <w:pPr>
              <w:pStyle w:val="BMSTableText"/>
              <w:keepNext/>
              <w:keepLines/>
              <w:spacing w:before="0"/>
            </w:pPr>
            <w:r w:rsidRPr="000A7AE8">
              <w:t>Placebo</w:t>
            </w:r>
            <w:r w:rsidRPr="000A7AE8">
              <w:br/>
              <w:t>+MTX</w:t>
            </w:r>
            <w:r w:rsidRPr="000A7AE8">
              <w:br/>
              <w:t>n=214</w:t>
            </w:r>
          </w:p>
        </w:tc>
        <w:tc>
          <w:tcPr>
            <w:tcW w:w="595" w:type="pct"/>
            <w:tcBorders>
              <w:top w:val="single" w:sz="4" w:space="0" w:color="auto"/>
              <w:left w:val="single" w:sz="4" w:space="0" w:color="auto"/>
              <w:bottom w:val="single" w:sz="4" w:space="0" w:color="auto"/>
            </w:tcBorders>
            <w:vAlign w:val="bottom"/>
          </w:tcPr>
          <w:p w14:paraId="71F39311" w14:textId="77777777" w:rsidR="00580444" w:rsidRPr="000A7AE8" w:rsidRDefault="00580444" w:rsidP="00C02EB7">
            <w:pPr>
              <w:pStyle w:val="BMSTableText"/>
              <w:keepNext/>
              <w:keepLines/>
              <w:spacing w:before="0"/>
            </w:pPr>
            <w:proofErr w:type="spellStart"/>
            <w:r w:rsidRPr="000A7AE8">
              <w:t>Abatacept</w:t>
            </w:r>
            <w:r w:rsidRPr="000A7AE8">
              <w:rPr>
                <w:rStyle w:val="BMSTableNote"/>
                <w:sz w:val="24"/>
                <w:szCs w:val="24"/>
              </w:rPr>
              <w:t>a</w:t>
            </w:r>
            <w:proofErr w:type="spellEnd"/>
            <w:r w:rsidRPr="000A7AE8">
              <w:t>+</w:t>
            </w:r>
            <w:r w:rsidRPr="000A7AE8">
              <w:rPr>
                <w:rStyle w:val="BMSSubscript"/>
              </w:rPr>
              <w:br/>
            </w:r>
            <w:proofErr w:type="spellStart"/>
            <w:r w:rsidRPr="000A7AE8">
              <w:t>DMARDs</w:t>
            </w:r>
            <w:r w:rsidRPr="000A7AE8">
              <w:rPr>
                <w:rStyle w:val="BMSTableNote"/>
                <w:sz w:val="24"/>
                <w:szCs w:val="24"/>
              </w:rPr>
              <w:t>b</w:t>
            </w:r>
            <w:proofErr w:type="spellEnd"/>
            <w:r w:rsidRPr="000A7AE8">
              <w:rPr>
                <w:rStyle w:val="BMSTableNote"/>
              </w:rPr>
              <w:br/>
            </w:r>
            <w:r w:rsidRPr="000A7AE8">
              <w:t>n=256</w:t>
            </w:r>
          </w:p>
        </w:tc>
        <w:tc>
          <w:tcPr>
            <w:tcW w:w="549" w:type="pct"/>
            <w:tcBorders>
              <w:top w:val="single" w:sz="4" w:space="0" w:color="auto"/>
              <w:bottom w:val="single" w:sz="4" w:space="0" w:color="auto"/>
              <w:right w:val="single" w:sz="4" w:space="0" w:color="auto"/>
            </w:tcBorders>
            <w:vAlign w:val="bottom"/>
          </w:tcPr>
          <w:p w14:paraId="285DE2AC" w14:textId="77777777" w:rsidR="00580444" w:rsidRPr="000A7AE8" w:rsidRDefault="00580444" w:rsidP="00C02EB7">
            <w:pPr>
              <w:pStyle w:val="BMSTableText"/>
              <w:keepNext/>
              <w:keepLines/>
              <w:spacing w:before="0"/>
            </w:pPr>
            <w:r w:rsidRPr="000A7AE8">
              <w:t>Placebo +</w:t>
            </w:r>
            <w:r w:rsidRPr="000A7AE8">
              <w:br/>
            </w:r>
            <w:proofErr w:type="spellStart"/>
            <w:r w:rsidRPr="000A7AE8">
              <w:t>DMARDs</w:t>
            </w:r>
            <w:r w:rsidRPr="000A7AE8">
              <w:rPr>
                <w:rStyle w:val="BMSTableNote"/>
                <w:sz w:val="24"/>
                <w:szCs w:val="24"/>
              </w:rPr>
              <w:t>b</w:t>
            </w:r>
            <w:proofErr w:type="spellEnd"/>
            <w:r w:rsidRPr="000A7AE8">
              <w:rPr>
                <w:rStyle w:val="BMSTableNote"/>
              </w:rPr>
              <w:br/>
            </w:r>
            <w:r w:rsidRPr="000A7AE8">
              <w:t>n=133</w:t>
            </w:r>
          </w:p>
        </w:tc>
        <w:tc>
          <w:tcPr>
            <w:tcW w:w="543" w:type="pct"/>
            <w:tcBorders>
              <w:top w:val="single" w:sz="4" w:space="0" w:color="auto"/>
              <w:left w:val="single" w:sz="4" w:space="0" w:color="auto"/>
              <w:bottom w:val="single" w:sz="4" w:space="0" w:color="auto"/>
            </w:tcBorders>
            <w:vAlign w:val="bottom"/>
          </w:tcPr>
          <w:p w14:paraId="34CD9EC0" w14:textId="77777777" w:rsidR="00580444" w:rsidRPr="000A7AE8" w:rsidRDefault="00580444" w:rsidP="00C02EB7">
            <w:pPr>
              <w:pStyle w:val="BMSTableText"/>
              <w:keepNext/>
              <w:keepLines/>
              <w:spacing w:before="0"/>
            </w:pPr>
            <w:proofErr w:type="spellStart"/>
            <w:r w:rsidRPr="000A7AE8">
              <w:t>Abatacept</w:t>
            </w:r>
            <w:r w:rsidRPr="000A7AE8">
              <w:rPr>
                <w:rStyle w:val="BMSTableNote"/>
                <w:sz w:val="24"/>
                <w:szCs w:val="24"/>
              </w:rPr>
              <w:t>a</w:t>
            </w:r>
            <w:proofErr w:type="spellEnd"/>
            <w:r w:rsidRPr="000A7AE8">
              <w:br/>
              <w:t>+MTX</w:t>
            </w:r>
            <w:r w:rsidRPr="000A7AE8">
              <w:br/>
              <w:t>n=256</w:t>
            </w:r>
          </w:p>
        </w:tc>
        <w:tc>
          <w:tcPr>
            <w:tcW w:w="417" w:type="pct"/>
            <w:tcBorders>
              <w:top w:val="single" w:sz="4" w:space="0" w:color="auto"/>
              <w:bottom w:val="single" w:sz="4" w:space="0" w:color="auto"/>
              <w:right w:val="single" w:sz="4" w:space="0" w:color="auto"/>
            </w:tcBorders>
            <w:vAlign w:val="bottom"/>
          </w:tcPr>
          <w:p w14:paraId="4F50036A" w14:textId="77777777" w:rsidR="00580444" w:rsidRPr="000A7AE8" w:rsidRDefault="00580444" w:rsidP="00C02EB7">
            <w:pPr>
              <w:pStyle w:val="BMSTableText"/>
              <w:keepNext/>
              <w:keepLines/>
              <w:spacing w:before="0"/>
            </w:pPr>
            <w:r w:rsidRPr="000A7AE8">
              <w:t>Placebo</w:t>
            </w:r>
            <w:r w:rsidRPr="000A7AE8">
              <w:br/>
              <w:t>+MTX</w:t>
            </w:r>
            <w:r w:rsidRPr="000A7AE8">
              <w:br/>
              <w:t>n=253</w:t>
            </w:r>
          </w:p>
        </w:tc>
        <w:tc>
          <w:tcPr>
            <w:tcW w:w="601" w:type="pct"/>
            <w:tcBorders>
              <w:top w:val="single" w:sz="4" w:space="0" w:color="auto"/>
              <w:left w:val="single" w:sz="4" w:space="0" w:color="auto"/>
              <w:bottom w:val="single" w:sz="4" w:space="0" w:color="auto"/>
            </w:tcBorders>
            <w:vAlign w:val="bottom"/>
          </w:tcPr>
          <w:p w14:paraId="4B9FE747" w14:textId="77777777" w:rsidR="00580444" w:rsidRPr="000A7AE8" w:rsidRDefault="00580444" w:rsidP="00C02EB7">
            <w:pPr>
              <w:pStyle w:val="BMSTableText"/>
              <w:keepNext/>
              <w:keepLines/>
              <w:spacing w:after="0"/>
              <w:rPr>
                <w:lang w:val="pt-BR"/>
              </w:rPr>
            </w:pPr>
            <w:proofErr w:type="spellStart"/>
            <w:r w:rsidRPr="000A7AE8">
              <w:t>Abatacept</w:t>
            </w:r>
            <w:proofErr w:type="spellEnd"/>
            <w:r w:rsidRPr="000A7AE8">
              <w:rPr>
                <w:rStyle w:val="BMSTableNote"/>
                <w:sz w:val="24"/>
                <w:szCs w:val="24"/>
                <w:lang w:val="pt-BR"/>
              </w:rPr>
              <w:t>e</w:t>
            </w:r>
            <w:r w:rsidRPr="000A7AE8">
              <w:rPr>
                <w:lang w:val="pt-BR"/>
              </w:rPr>
              <w:t xml:space="preserve"> SC </w:t>
            </w:r>
            <w:r w:rsidRPr="000A7AE8">
              <w:rPr>
                <w:lang w:val="pt-BR"/>
              </w:rPr>
              <w:br/>
              <w:t>+MTX</w:t>
            </w:r>
            <w:r w:rsidRPr="000A7AE8">
              <w:rPr>
                <w:lang w:val="pt-BR"/>
              </w:rPr>
              <w:br/>
              <w:t>n=693</w:t>
            </w:r>
          </w:p>
        </w:tc>
        <w:tc>
          <w:tcPr>
            <w:tcW w:w="530" w:type="pct"/>
            <w:tcBorders>
              <w:top w:val="single" w:sz="4" w:space="0" w:color="auto"/>
              <w:bottom w:val="single" w:sz="4" w:space="0" w:color="auto"/>
            </w:tcBorders>
            <w:vAlign w:val="bottom"/>
          </w:tcPr>
          <w:p w14:paraId="50786C9A" w14:textId="77777777" w:rsidR="00580444" w:rsidRPr="000A7AE8" w:rsidRDefault="00580444" w:rsidP="00C02EB7">
            <w:pPr>
              <w:pStyle w:val="BMSTableText"/>
              <w:keepNext/>
              <w:keepLines/>
              <w:spacing w:after="0"/>
              <w:rPr>
                <w:lang w:val="pt-BR"/>
              </w:rPr>
            </w:pPr>
            <w:proofErr w:type="spellStart"/>
            <w:r w:rsidRPr="000A7AE8">
              <w:t>Abatacept</w:t>
            </w:r>
            <w:proofErr w:type="spellEnd"/>
            <w:r w:rsidRPr="000A7AE8">
              <w:rPr>
                <w:rStyle w:val="BMSTableNote"/>
                <w:sz w:val="24"/>
                <w:szCs w:val="24"/>
                <w:lang w:val="pt-BR"/>
              </w:rPr>
              <w:t>e</w:t>
            </w:r>
            <w:r w:rsidRPr="000A7AE8">
              <w:rPr>
                <w:lang w:val="pt-BR"/>
              </w:rPr>
              <w:t xml:space="preserve"> </w:t>
            </w:r>
            <w:r w:rsidRPr="000A7AE8">
              <w:rPr>
                <w:lang w:val="pt-BR"/>
              </w:rPr>
              <w:br/>
              <w:t xml:space="preserve">IV </w:t>
            </w:r>
            <w:r w:rsidRPr="000A7AE8">
              <w:rPr>
                <w:lang w:val="pt-BR"/>
              </w:rPr>
              <w:br/>
              <w:t>+MTX</w:t>
            </w:r>
            <w:r w:rsidRPr="000A7AE8">
              <w:rPr>
                <w:lang w:val="pt-BR"/>
              </w:rPr>
              <w:br/>
              <w:t>n=678</w:t>
            </w:r>
          </w:p>
        </w:tc>
      </w:tr>
      <w:tr w:rsidR="000A7AE8" w:rsidRPr="000A7AE8" w14:paraId="56C35BA8" w14:textId="77777777" w:rsidTr="00C02EB7">
        <w:tc>
          <w:tcPr>
            <w:tcW w:w="701" w:type="pct"/>
            <w:tcBorders>
              <w:top w:val="single" w:sz="4" w:space="0" w:color="auto"/>
              <w:right w:val="single" w:sz="4" w:space="0" w:color="auto"/>
            </w:tcBorders>
          </w:tcPr>
          <w:p w14:paraId="79103A45" w14:textId="77777777" w:rsidR="00580444" w:rsidRPr="000A7AE8" w:rsidRDefault="00580444" w:rsidP="00C02EB7">
            <w:pPr>
              <w:pStyle w:val="BMSTableText"/>
              <w:keepNext/>
              <w:keepLines/>
              <w:spacing w:after="0"/>
              <w:jc w:val="left"/>
              <w:rPr>
                <w:b/>
                <w:lang w:val="pt-BR"/>
              </w:rPr>
            </w:pPr>
            <w:r w:rsidRPr="000A7AE8">
              <w:rPr>
                <w:b/>
                <w:lang w:val="pt-BR"/>
              </w:rPr>
              <w:t>ACR 20</w:t>
            </w:r>
          </w:p>
        </w:tc>
        <w:tc>
          <w:tcPr>
            <w:tcW w:w="539" w:type="pct"/>
            <w:tcBorders>
              <w:top w:val="single" w:sz="4" w:space="0" w:color="auto"/>
              <w:left w:val="nil"/>
            </w:tcBorders>
          </w:tcPr>
          <w:p w14:paraId="7E987182" w14:textId="77777777" w:rsidR="00580444" w:rsidRPr="000A7AE8" w:rsidRDefault="00580444" w:rsidP="00C02EB7">
            <w:pPr>
              <w:pStyle w:val="BMSTableText"/>
              <w:keepNext/>
              <w:keepLines/>
              <w:spacing w:after="0"/>
              <w:rPr>
                <w:b/>
                <w:lang w:val="pt-BR"/>
              </w:rPr>
            </w:pPr>
          </w:p>
        </w:tc>
        <w:tc>
          <w:tcPr>
            <w:tcW w:w="526" w:type="pct"/>
            <w:tcBorders>
              <w:top w:val="single" w:sz="4" w:space="0" w:color="auto"/>
            </w:tcBorders>
          </w:tcPr>
          <w:p w14:paraId="39477F97" w14:textId="77777777" w:rsidR="00580444" w:rsidRPr="000A7AE8" w:rsidRDefault="00580444" w:rsidP="00C02EB7">
            <w:pPr>
              <w:pStyle w:val="BMSTableText"/>
              <w:keepNext/>
              <w:keepLines/>
              <w:spacing w:after="0"/>
              <w:rPr>
                <w:b/>
                <w:lang w:val="pt-BR"/>
              </w:rPr>
            </w:pPr>
          </w:p>
        </w:tc>
        <w:tc>
          <w:tcPr>
            <w:tcW w:w="595" w:type="pct"/>
            <w:tcBorders>
              <w:top w:val="single" w:sz="4" w:space="0" w:color="auto"/>
              <w:left w:val="single" w:sz="4" w:space="0" w:color="auto"/>
            </w:tcBorders>
          </w:tcPr>
          <w:p w14:paraId="06F684F9" w14:textId="77777777" w:rsidR="00580444" w:rsidRPr="000A7AE8" w:rsidRDefault="00580444" w:rsidP="00C02EB7">
            <w:pPr>
              <w:pStyle w:val="BMSTableText"/>
              <w:keepNext/>
              <w:keepLines/>
              <w:spacing w:after="0"/>
              <w:rPr>
                <w:b/>
                <w:lang w:val="pt-BR"/>
              </w:rPr>
            </w:pPr>
          </w:p>
        </w:tc>
        <w:tc>
          <w:tcPr>
            <w:tcW w:w="549" w:type="pct"/>
            <w:tcBorders>
              <w:top w:val="single" w:sz="4" w:space="0" w:color="auto"/>
              <w:right w:val="single" w:sz="4" w:space="0" w:color="auto"/>
            </w:tcBorders>
          </w:tcPr>
          <w:p w14:paraId="3A57F204" w14:textId="77777777" w:rsidR="00580444" w:rsidRPr="000A7AE8" w:rsidRDefault="00580444" w:rsidP="00C02EB7">
            <w:pPr>
              <w:pStyle w:val="BMSTableText"/>
              <w:keepNext/>
              <w:keepLines/>
              <w:spacing w:after="0"/>
              <w:rPr>
                <w:b/>
                <w:lang w:val="pt-BR"/>
              </w:rPr>
            </w:pPr>
          </w:p>
        </w:tc>
        <w:tc>
          <w:tcPr>
            <w:tcW w:w="543" w:type="pct"/>
            <w:tcBorders>
              <w:top w:val="single" w:sz="4" w:space="0" w:color="auto"/>
              <w:left w:val="single" w:sz="4" w:space="0" w:color="auto"/>
            </w:tcBorders>
          </w:tcPr>
          <w:p w14:paraId="5AEC47B6" w14:textId="77777777" w:rsidR="00580444" w:rsidRPr="000A7AE8" w:rsidRDefault="00580444" w:rsidP="00C02EB7">
            <w:pPr>
              <w:pStyle w:val="BMSTableText"/>
              <w:keepNext/>
              <w:keepLines/>
              <w:spacing w:after="0"/>
              <w:rPr>
                <w:b/>
                <w:lang w:val="pt-BR"/>
              </w:rPr>
            </w:pPr>
          </w:p>
        </w:tc>
        <w:tc>
          <w:tcPr>
            <w:tcW w:w="417" w:type="pct"/>
            <w:tcBorders>
              <w:right w:val="single" w:sz="4" w:space="0" w:color="auto"/>
            </w:tcBorders>
          </w:tcPr>
          <w:p w14:paraId="3587FD2A" w14:textId="77777777" w:rsidR="00580444" w:rsidRPr="000A7AE8" w:rsidRDefault="00580444" w:rsidP="00C02EB7">
            <w:pPr>
              <w:pStyle w:val="BMSTableText"/>
              <w:keepNext/>
              <w:keepLines/>
              <w:spacing w:after="0"/>
              <w:rPr>
                <w:b/>
                <w:lang w:val="pt-BR"/>
              </w:rPr>
            </w:pPr>
          </w:p>
        </w:tc>
        <w:tc>
          <w:tcPr>
            <w:tcW w:w="601" w:type="pct"/>
            <w:tcBorders>
              <w:left w:val="single" w:sz="4" w:space="0" w:color="auto"/>
            </w:tcBorders>
          </w:tcPr>
          <w:p w14:paraId="3D080B40" w14:textId="77777777" w:rsidR="00580444" w:rsidRPr="000A7AE8" w:rsidRDefault="00580444" w:rsidP="00C02EB7">
            <w:pPr>
              <w:pStyle w:val="BMSTableText"/>
              <w:keepNext/>
              <w:keepLines/>
              <w:spacing w:after="0"/>
              <w:rPr>
                <w:b/>
                <w:lang w:val="pt-BR"/>
              </w:rPr>
            </w:pPr>
          </w:p>
        </w:tc>
        <w:tc>
          <w:tcPr>
            <w:tcW w:w="530" w:type="pct"/>
          </w:tcPr>
          <w:p w14:paraId="78A46BAA" w14:textId="77777777" w:rsidR="00580444" w:rsidRPr="000A7AE8" w:rsidRDefault="00580444" w:rsidP="00C02EB7">
            <w:pPr>
              <w:pStyle w:val="BMSTableText"/>
              <w:keepNext/>
              <w:keepLines/>
              <w:spacing w:after="0"/>
              <w:rPr>
                <w:b/>
                <w:lang w:val="pt-BR"/>
              </w:rPr>
            </w:pPr>
          </w:p>
        </w:tc>
      </w:tr>
      <w:tr w:rsidR="000A7AE8" w:rsidRPr="000A7AE8" w14:paraId="33589A6F" w14:textId="77777777" w:rsidTr="00C02EB7">
        <w:tc>
          <w:tcPr>
            <w:tcW w:w="701" w:type="pct"/>
            <w:tcBorders>
              <w:right w:val="single" w:sz="4" w:space="0" w:color="auto"/>
            </w:tcBorders>
            <w:vAlign w:val="center"/>
          </w:tcPr>
          <w:p w14:paraId="1FA02276" w14:textId="77777777" w:rsidR="00580444" w:rsidRPr="000A7AE8" w:rsidRDefault="00580444" w:rsidP="00C02EB7">
            <w:pPr>
              <w:pStyle w:val="BMSTableText"/>
              <w:keepNext/>
              <w:keepLines/>
              <w:tabs>
                <w:tab w:val="clear" w:pos="360"/>
                <w:tab w:val="left" w:pos="115"/>
              </w:tabs>
              <w:spacing w:before="0"/>
              <w:jc w:val="left"/>
              <w:rPr>
                <w:lang w:val="pt-BR"/>
              </w:rPr>
            </w:pPr>
            <w:r w:rsidRPr="000A7AE8">
              <w:rPr>
                <w:lang w:val="pt-BR"/>
              </w:rPr>
              <w:t>Month 3</w:t>
            </w:r>
          </w:p>
        </w:tc>
        <w:tc>
          <w:tcPr>
            <w:tcW w:w="539" w:type="pct"/>
            <w:tcBorders>
              <w:left w:val="nil"/>
            </w:tcBorders>
            <w:vAlign w:val="center"/>
          </w:tcPr>
          <w:p w14:paraId="5D56C7F5" w14:textId="77777777" w:rsidR="00580444" w:rsidRPr="000A7AE8" w:rsidRDefault="00580444" w:rsidP="00C02EB7">
            <w:pPr>
              <w:pStyle w:val="BMSTableText"/>
              <w:tabs>
                <w:tab w:val="clear" w:pos="360"/>
                <w:tab w:val="left" w:pos="115"/>
              </w:tabs>
              <w:spacing w:before="0" w:after="0"/>
              <w:rPr>
                <w:lang w:val="pt-BR"/>
              </w:rPr>
            </w:pPr>
            <w:r w:rsidRPr="000A7AE8">
              <w:rPr>
                <w:lang w:val="pt-BR"/>
              </w:rPr>
              <w:t>62%</w:t>
            </w:r>
            <w:r w:rsidRPr="000A7AE8">
              <w:rPr>
                <w:rStyle w:val="BMSSuperscript"/>
                <w:sz w:val="24"/>
                <w:szCs w:val="24"/>
                <w:lang w:val="pt-BR"/>
              </w:rPr>
              <w:t>***</w:t>
            </w:r>
          </w:p>
        </w:tc>
        <w:tc>
          <w:tcPr>
            <w:tcW w:w="526" w:type="pct"/>
            <w:vAlign w:val="center"/>
          </w:tcPr>
          <w:p w14:paraId="6541D998" w14:textId="77777777" w:rsidR="00580444" w:rsidRPr="000A7AE8" w:rsidRDefault="00580444" w:rsidP="00C02EB7">
            <w:pPr>
              <w:pStyle w:val="BMSTableText"/>
              <w:tabs>
                <w:tab w:val="clear" w:pos="360"/>
                <w:tab w:val="left" w:pos="115"/>
              </w:tabs>
              <w:spacing w:before="0" w:after="0"/>
              <w:rPr>
                <w:lang w:val="pt-BR"/>
              </w:rPr>
            </w:pPr>
            <w:r w:rsidRPr="000A7AE8">
              <w:rPr>
                <w:lang w:val="pt-BR"/>
              </w:rPr>
              <w:t>37%</w:t>
            </w:r>
          </w:p>
        </w:tc>
        <w:tc>
          <w:tcPr>
            <w:tcW w:w="595" w:type="pct"/>
            <w:tcBorders>
              <w:left w:val="single" w:sz="4" w:space="0" w:color="auto"/>
            </w:tcBorders>
            <w:vAlign w:val="center"/>
          </w:tcPr>
          <w:p w14:paraId="2A458306" w14:textId="77777777" w:rsidR="00580444" w:rsidRPr="000A7AE8" w:rsidRDefault="00580444" w:rsidP="00C02EB7">
            <w:pPr>
              <w:pStyle w:val="BMSTableText"/>
              <w:tabs>
                <w:tab w:val="clear" w:pos="360"/>
                <w:tab w:val="left" w:pos="115"/>
              </w:tabs>
              <w:spacing w:before="0" w:after="0"/>
              <w:rPr>
                <w:lang w:val="pt-BR"/>
              </w:rPr>
            </w:pPr>
            <w:r w:rsidRPr="000A7AE8">
              <w:rPr>
                <w:lang w:val="pt-BR"/>
              </w:rPr>
              <w:t>46%</w:t>
            </w:r>
            <w:r w:rsidRPr="000A7AE8">
              <w:rPr>
                <w:rStyle w:val="BMSSuperscript"/>
                <w:sz w:val="24"/>
                <w:szCs w:val="24"/>
                <w:lang w:val="pt-BR"/>
              </w:rPr>
              <w:t>***</w:t>
            </w:r>
          </w:p>
        </w:tc>
        <w:tc>
          <w:tcPr>
            <w:tcW w:w="549" w:type="pct"/>
            <w:tcBorders>
              <w:right w:val="single" w:sz="4" w:space="0" w:color="auto"/>
            </w:tcBorders>
            <w:vAlign w:val="center"/>
          </w:tcPr>
          <w:p w14:paraId="47C038BF" w14:textId="77777777" w:rsidR="00580444" w:rsidRPr="000A7AE8" w:rsidRDefault="00580444" w:rsidP="00C02EB7">
            <w:pPr>
              <w:pStyle w:val="BMSTableText"/>
              <w:tabs>
                <w:tab w:val="clear" w:pos="360"/>
                <w:tab w:val="left" w:pos="115"/>
              </w:tabs>
              <w:spacing w:before="0" w:after="0"/>
              <w:rPr>
                <w:lang w:val="pt-BR"/>
              </w:rPr>
            </w:pPr>
            <w:r w:rsidRPr="000A7AE8">
              <w:rPr>
                <w:lang w:val="pt-BR"/>
              </w:rPr>
              <w:t>18%</w:t>
            </w:r>
          </w:p>
        </w:tc>
        <w:tc>
          <w:tcPr>
            <w:tcW w:w="543" w:type="pct"/>
            <w:tcBorders>
              <w:left w:val="single" w:sz="4" w:space="0" w:color="auto"/>
            </w:tcBorders>
            <w:vAlign w:val="center"/>
          </w:tcPr>
          <w:p w14:paraId="344DE0BD" w14:textId="77777777" w:rsidR="00580444" w:rsidRPr="000A7AE8" w:rsidRDefault="00580444" w:rsidP="00C02EB7">
            <w:pPr>
              <w:pStyle w:val="BMSTableText"/>
              <w:tabs>
                <w:tab w:val="clear" w:pos="360"/>
                <w:tab w:val="left" w:pos="115"/>
              </w:tabs>
              <w:spacing w:before="0" w:after="0"/>
              <w:rPr>
                <w:lang w:val="pt-BR"/>
              </w:rPr>
            </w:pPr>
            <w:r w:rsidRPr="000A7AE8">
              <w:rPr>
                <w:lang w:val="pt-BR"/>
              </w:rPr>
              <w:t>64%*</w:t>
            </w:r>
          </w:p>
        </w:tc>
        <w:tc>
          <w:tcPr>
            <w:tcW w:w="417" w:type="pct"/>
            <w:tcBorders>
              <w:right w:val="single" w:sz="4" w:space="0" w:color="auto"/>
            </w:tcBorders>
            <w:vAlign w:val="center"/>
          </w:tcPr>
          <w:p w14:paraId="2AB374F9" w14:textId="77777777" w:rsidR="00580444" w:rsidRPr="000A7AE8" w:rsidRDefault="00580444" w:rsidP="00C02EB7">
            <w:pPr>
              <w:pStyle w:val="BMSTableText"/>
              <w:tabs>
                <w:tab w:val="clear" w:pos="360"/>
                <w:tab w:val="left" w:pos="115"/>
              </w:tabs>
              <w:spacing w:before="0" w:after="0"/>
              <w:rPr>
                <w:lang w:val="pt-BR"/>
              </w:rPr>
            </w:pPr>
            <w:r w:rsidRPr="000A7AE8">
              <w:rPr>
                <w:lang w:val="pt-BR"/>
              </w:rPr>
              <w:t>53%</w:t>
            </w:r>
          </w:p>
        </w:tc>
        <w:tc>
          <w:tcPr>
            <w:tcW w:w="601" w:type="pct"/>
            <w:tcBorders>
              <w:left w:val="single" w:sz="4" w:space="0" w:color="auto"/>
            </w:tcBorders>
            <w:vAlign w:val="center"/>
          </w:tcPr>
          <w:p w14:paraId="419B44C8" w14:textId="77777777" w:rsidR="00580444" w:rsidRPr="000A7AE8" w:rsidRDefault="00580444" w:rsidP="00C02EB7">
            <w:pPr>
              <w:pStyle w:val="BMSTableText"/>
              <w:tabs>
                <w:tab w:val="clear" w:pos="360"/>
                <w:tab w:val="left" w:pos="115"/>
              </w:tabs>
              <w:spacing w:before="0" w:after="0"/>
              <w:rPr>
                <w:lang w:val="pt-BR"/>
              </w:rPr>
            </w:pPr>
            <w:r w:rsidRPr="000A7AE8">
              <w:rPr>
                <w:lang w:val="pt-BR"/>
              </w:rPr>
              <w:t>68%</w:t>
            </w:r>
          </w:p>
        </w:tc>
        <w:tc>
          <w:tcPr>
            <w:tcW w:w="530" w:type="pct"/>
            <w:vAlign w:val="center"/>
          </w:tcPr>
          <w:p w14:paraId="7CAA7BB4" w14:textId="77777777" w:rsidR="00580444" w:rsidRPr="000A7AE8" w:rsidRDefault="00580444" w:rsidP="00C02EB7">
            <w:pPr>
              <w:pStyle w:val="BMSTableText"/>
              <w:tabs>
                <w:tab w:val="clear" w:pos="360"/>
                <w:tab w:val="left" w:pos="115"/>
              </w:tabs>
              <w:spacing w:before="0" w:after="0"/>
              <w:rPr>
                <w:lang w:val="pt-BR"/>
              </w:rPr>
            </w:pPr>
            <w:r w:rsidRPr="000A7AE8">
              <w:rPr>
                <w:lang w:val="pt-BR"/>
              </w:rPr>
              <w:t>69%</w:t>
            </w:r>
          </w:p>
        </w:tc>
      </w:tr>
      <w:tr w:rsidR="000A7AE8" w:rsidRPr="000A7AE8" w14:paraId="282C5C20" w14:textId="77777777" w:rsidTr="00C02EB7">
        <w:tc>
          <w:tcPr>
            <w:tcW w:w="701" w:type="pct"/>
            <w:tcBorders>
              <w:right w:val="single" w:sz="4" w:space="0" w:color="auto"/>
            </w:tcBorders>
            <w:vAlign w:val="center"/>
          </w:tcPr>
          <w:p w14:paraId="6929597B" w14:textId="77777777" w:rsidR="00580444" w:rsidRPr="000A7AE8" w:rsidRDefault="00580444" w:rsidP="00C02EB7">
            <w:pPr>
              <w:pStyle w:val="BMSTableText"/>
              <w:keepNext/>
              <w:keepLines/>
              <w:tabs>
                <w:tab w:val="clear" w:pos="360"/>
                <w:tab w:val="left" w:pos="115"/>
              </w:tabs>
              <w:spacing w:before="0"/>
              <w:jc w:val="left"/>
              <w:rPr>
                <w:lang w:val="pt-BR"/>
              </w:rPr>
            </w:pPr>
            <w:r w:rsidRPr="000A7AE8">
              <w:rPr>
                <w:lang w:val="pt-BR"/>
              </w:rPr>
              <w:t>Month 6</w:t>
            </w:r>
          </w:p>
        </w:tc>
        <w:tc>
          <w:tcPr>
            <w:tcW w:w="539" w:type="pct"/>
            <w:tcBorders>
              <w:left w:val="nil"/>
            </w:tcBorders>
            <w:vAlign w:val="center"/>
          </w:tcPr>
          <w:p w14:paraId="725AB69F" w14:textId="77777777" w:rsidR="00580444" w:rsidRPr="000A7AE8" w:rsidRDefault="00580444" w:rsidP="00C02EB7">
            <w:pPr>
              <w:pStyle w:val="BMSTableText"/>
              <w:tabs>
                <w:tab w:val="clear" w:pos="360"/>
                <w:tab w:val="left" w:pos="115"/>
              </w:tabs>
              <w:spacing w:before="0" w:after="0"/>
              <w:rPr>
                <w:lang w:val="pt-BR"/>
              </w:rPr>
            </w:pPr>
            <w:r w:rsidRPr="000A7AE8">
              <w:rPr>
                <w:lang w:val="pt-BR"/>
              </w:rPr>
              <w:t>68%</w:t>
            </w:r>
            <w:r w:rsidRPr="000A7AE8">
              <w:rPr>
                <w:rStyle w:val="BMSSuperscript"/>
                <w:sz w:val="24"/>
                <w:szCs w:val="24"/>
              </w:rPr>
              <w:t>***</w:t>
            </w:r>
          </w:p>
        </w:tc>
        <w:tc>
          <w:tcPr>
            <w:tcW w:w="526" w:type="pct"/>
            <w:vAlign w:val="center"/>
          </w:tcPr>
          <w:p w14:paraId="1D1CE408" w14:textId="77777777" w:rsidR="00580444" w:rsidRPr="000A7AE8" w:rsidRDefault="00580444" w:rsidP="00C02EB7">
            <w:pPr>
              <w:pStyle w:val="BMSTableText"/>
              <w:tabs>
                <w:tab w:val="clear" w:pos="360"/>
                <w:tab w:val="left" w:pos="115"/>
              </w:tabs>
              <w:spacing w:before="0" w:after="0"/>
              <w:rPr>
                <w:lang w:val="pt-BR"/>
              </w:rPr>
            </w:pPr>
            <w:r w:rsidRPr="000A7AE8">
              <w:rPr>
                <w:lang w:val="pt-BR"/>
              </w:rPr>
              <w:t>40%</w:t>
            </w:r>
          </w:p>
        </w:tc>
        <w:tc>
          <w:tcPr>
            <w:tcW w:w="595" w:type="pct"/>
            <w:tcBorders>
              <w:left w:val="single" w:sz="4" w:space="0" w:color="auto"/>
            </w:tcBorders>
            <w:vAlign w:val="center"/>
          </w:tcPr>
          <w:p w14:paraId="7864BA87" w14:textId="77777777" w:rsidR="00580444" w:rsidRPr="000A7AE8" w:rsidRDefault="00580444" w:rsidP="00C02EB7">
            <w:pPr>
              <w:pStyle w:val="BMSTableText"/>
              <w:tabs>
                <w:tab w:val="clear" w:pos="360"/>
                <w:tab w:val="left" w:pos="115"/>
              </w:tabs>
              <w:spacing w:before="0" w:after="0"/>
              <w:rPr>
                <w:lang w:val="pt-BR"/>
              </w:rPr>
            </w:pPr>
            <w:r w:rsidRPr="000A7AE8">
              <w:rPr>
                <w:lang w:val="pt-BR"/>
              </w:rPr>
              <w:t>50%</w:t>
            </w:r>
            <w:r w:rsidRPr="000A7AE8">
              <w:rPr>
                <w:rStyle w:val="BMSSuperscript"/>
                <w:sz w:val="24"/>
                <w:szCs w:val="24"/>
                <w:lang w:val="pt-BR"/>
              </w:rPr>
              <w:t>***</w:t>
            </w:r>
          </w:p>
        </w:tc>
        <w:tc>
          <w:tcPr>
            <w:tcW w:w="549" w:type="pct"/>
            <w:tcBorders>
              <w:right w:val="single" w:sz="4" w:space="0" w:color="auto"/>
            </w:tcBorders>
            <w:vAlign w:val="center"/>
          </w:tcPr>
          <w:p w14:paraId="4B54D304" w14:textId="77777777" w:rsidR="00580444" w:rsidRPr="000A7AE8" w:rsidRDefault="00580444" w:rsidP="00C02EB7">
            <w:pPr>
              <w:pStyle w:val="BMSTableText"/>
              <w:tabs>
                <w:tab w:val="clear" w:pos="360"/>
                <w:tab w:val="left" w:pos="115"/>
              </w:tabs>
              <w:spacing w:before="0" w:after="0"/>
              <w:rPr>
                <w:lang w:val="pt-BR"/>
              </w:rPr>
            </w:pPr>
            <w:r w:rsidRPr="000A7AE8">
              <w:rPr>
                <w:lang w:val="pt-BR"/>
              </w:rPr>
              <w:t>20%</w:t>
            </w:r>
          </w:p>
        </w:tc>
        <w:tc>
          <w:tcPr>
            <w:tcW w:w="543" w:type="pct"/>
            <w:tcBorders>
              <w:left w:val="single" w:sz="4" w:space="0" w:color="auto"/>
            </w:tcBorders>
            <w:vAlign w:val="center"/>
          </w:tcPr>
          <w:p w14:paraId="1030119B" w14:textId="77777777" w:rsidR="00580444" w:rsidRPr="000A7AE8" w:rsidRDefault="00580444" w:rsidP="00C02EB7">
            <w:pPr>
              <w:pStyle w:val="BMSTableText"/>
              <w:tabs>
                <w:tab w:val="clear" w:pos="360"/>
                <w:tab w:val="left" w:pos="115"/>
              </w:tabs>
              <w:spacing w:before="0" w:after="0"/>
              <w:rPr>
                <w:lang w:val="pt-BR"/>
              </w:rPr>
            </w:pPr>
            <w:r w:rsidRPr="000A7AE8">
              <w:rPr>
                <w:lang w:val="pt-BR"/>
              </w:rPr>
              <w:t>75%</w:t>
            </w:r>
            <w:r w:rsidRPr="000A7AE8">
              <w:rPr>
                <w:rStyle w:val="BMSTableNote"/>
                <w:sz w:val="24"/>
                <w:szCs w:val="24"/>
                <w:lang w:val="pt-BR"/>
              </w:rPr>
              <w:t>**</w:t>
            </w:r>
          </w:p>
        </w:tc>
        <w:tc>
          <w:tcPr>
            <w:tcW w:w="417" w:type="pct"/>
            <w:tcBorders>
              <w:right w:val="single" w:sz="4" w:space="0" w:color="auto"/>
            </w:tcBorders>
            <w:vAlign w:val="center"/>
          </w:tcPr>
          <w:p w14:paraId="1F200FEC" w14:textId="77777777" w:rsidR="00580444" w:rsidRPr="000A7AE8" w:rsidRDefault="00580444" w:rsidP="00C02EB7">
            <w:pPr>
              <w:pStyle w:val="BMSTableText"/>
              <w:tabs>
                <w:tab w:val="clear" w:pos="360"/>
                <w:tab w:val="left" w:pos="115"/>
              </w:tabs>
              <w:spacing w:before="0" w:after="0"/>
            </w:pPr>
            <w:r w:rsidRPr="000A7AE8">
              <w:t>62%</w:t>
            </w:r>
          </w:p>
        </w:tc>
        <w:tc>
          <w:tcPr>
            <w:tcW w:w="601" w:type="pct"/>
            <w:tcBorders>
              <w:left w:val="single" w:sz="4" w:space="0" w:color="auto"/>
            </w:tcBorders>
            <w:vAlign w:val="center"/>
          </w:tcPr>
          <w:p w14:paraId="2C0F9572" w14:textId="77777777" w:rsidR="00580444" w:rsidRPr="000A7AE8" w:rsidRDefault="00580444" w:rsidP="00C02EB7">
            <w:pPr>
              <w:pStyle w:val="BMSTableText"/>
              <w:tabs>
                <w:tab w:val="clear" w:pos="360"/>
                <w:tab w:val="left" w:pos="115"/>
              </w:tabs>
              <w:spacing w:before="0" w:after="0"/>
            </w:pPr>
            <w:r w:rsidRPr="000A7AE8">
              <w:t>76%</w:t>
            </w:r>
            <w:r w:rsidRPr="000A7AE8">
              <w:rPr>
                <w:rStyle w:val="BMSSuperscript"/>
                <w:sz w:val="24"/>
                <w:szCs w:val="24"/>
              </w:rPr>
              <w:t>§</w:t>
            </w:r>
          </w:p>
        </w:tc>
        <w:tc>
          <w:tcPr>
            <w:tcW w:w="530" w:type="pct"/>
            <w:vAlign w:val="center"/>
          </w:tcPr>
          <w:p w14:paraId="6CE4FF8B" w14:textId="77777777" w:rsidR="00580444" w:rsidRPr="000A7AE8" w:rsidRDefault="00580444" w:rsidP="00C02EB7">
            <w:pPr>
              <w:pStyle w:val="BMSTableText"/>
              <w:tabs>
                <w:tab w:val="clear" w:pos="360"/>
                <w:tab w:val="left" w:pos="115"/>
              </w:tabs>
              <w:spacing w:before="0" w:after="0"/>
            </w:pPr>
            <w:r w:rsidRPr="000A7AE8">
              <w:t>76%</w:t>
            </w:r>
          </w:p>
        </w:tc>
      </w:tr>
      <w:tr w:rsidR="000A7AE8" w:rsidRPr="000A7AE8" w14:paraId="5C39F691" w14:textId="77777777" w:rsidTr="00C02EB7">
        <w:tc>
          <w:tcPr>
            <w:tcW w:w="701" w:type="pct"/>
            <w:tcBorders>
              <w:bottom w:val="single" w:sz="4" w:space="0" w:color="auto"/>
              <w:right w:val="single" w:sz="4" w:space="0" w:color="auto"/>
            </w:tcBorders>
            <w:vAlign w:val="center"/>
          </w:tcPr>
          <w:p w14:paraId="48D70F5E" w14:textId="77777777" w:rsidR="00580444" w:rsidRPr="000A7AE8" w:rsidRDefault="00580444" w:rsidP="00C02EB7">
            <w:pPr>
              <w:pStyle w:val="BMSTableText"/>
              <w:keepNext/>
              <w:keepLines/>
              <w:tabs>
                <w:tab w:val="clear" w:pos="360"/>
                <w:tab w:val="left" w:pos="115"/>
              </w:tabs>
              <w:spacing w:before="0"/>
              <w:jc w:val="left"/>
            </w:pPr>
            <w:r w:rsidRPr="000A7AE8">
              <w:t>Month 12</w:t>
            </w:r>
          </w:p>
        </w:tc>
        <w:tc>
          <w:tcPr>
            <w:tcW w:w="539" w:type="pct"/>
            <w:tcBorders>
              <w:left w:val="nil"/>
              <w:bottom w:val="single" w:sz="4" w:space="0" w:color="auto"/>
            </w:tcBorders>
            <w:vAlign w:val="center"/>
          </w:tcPr>
          <w:p w14:paraId="7D755785" w14:textId="77777777" w:rsidR="00580444" w:rsidRPr="000A7AE8" w:rsidRDefault="00580444" w:rsidP="00C02EB7">
            <w:pPr>
              <w:pStyle w:val="BMSTableText"/>
              <w:tabs>
                <w:tab w:val="clear" w:pos="360"/>
                <w:tab w:val="left" w:pos="115"/>
              </w:tabs>
              <w:spacing w:before="0" w:after="0"/>
            </w:pPr>
            <w:r w:rsidRPr="000A7AE8">
              <w:t>73%</w:t>
            </w:r>
            <w:r w:rsidRPr="000A7AE8">
              <w:rPr>
                <w:rStyle w:val="BMSSuperscript"/>
                <w:sz w:val="24"/>
                <w:szCs w:val="24"/>
              </w:rPr>
              <w:t>***</w:t>
            </w:r>
          </w:p>
        </w:tc>
        <w:tc>
          <w:tcPr>
            <w:tcW w:w="526" w:type="pct"/>
            <w:tcBorders>
              <w:bottom w:val="single" w:sz="4" w:space="0" w:color="auto"/>
            </w:tcBorders>
            <w:vAlign w:val="center"/>
          </w:tcPr>
          <w:p w14:paraId="19AB895F" w14:textId="77777777" w:rsidR="00580444" w:rsidRPr="000A7AE8" w:rsidRDefault="00580444" w:rsidP="00C02EB7">
            <w:pPr>
              <w:pStyle w:val="BMSTableText"/>
              <w:tabs>
                <w:tab w:val="clear" w:pos="360"/>
                <w:tab w:val="left" w:pos="115"/>
              </w:tabs>
              <w:spacing w:before="0" w:after="0"/>
            </w:pPr>
            <w:r w:rsidRPr="000A7AE8">
              <w:t>40%</w:t>
            </w:r>
          </w:p>
        </w:tc>
        <w:tc>
          <w:tcPr>
            <w:tcW w:w="595" w:type="pct"/>
            <w:tcBorders>
              <w:left w:val="single" w:sz="4" w:space="0" w:color="auto"/>
              <w:bottom w:val="single" w:sz="4" w:space="0" w:color="auto"/>
            </w:tcBorders>
            <w:vAlign w:val="center"/>
          </w:tcPr>
          <w:p w14:paraId="64C1C552" w14:textId="77777777" w:rsidR="00580444" w:rsidRPr="000A7AE8" w:rsidRDefault="00580444" w:rsidP="00C02EB7">
            <w:pPr>
              <w:pStyle w:val="BMSTableText"/>
              <w:tabs>
                <w:tab w:val="clear" w:pos="360"/>
                <w:tab w:val="left" w:pos="115"/>
              </w:tabs>
              <w:spacing w:before="0" w:after="0"/>
            </w:pPr>
            <w:r w:rsidRPr="000A7AE8">
              <w:t>NA</w:t>
            </w:r>
          </w:p>
        </w:tc>
        <w:tc>
          <w:tcPr>
            <w:tcW w:w="549" w:type="pct"/>
            <w:tcBorders>
              <w:bottom w:val="single" w:sz="4" w:space="0" w:color="auto"/>
              <w:right w:val="single" w:sz="4" w:space="0" w:color="auto"/>
            </w:tcBorders>
            <w:vAlign w:val="center"/>
          </w:tcPr>
          <w:p w14:paraId="78BBC363" w14:textId="77777777" w:rsidR="00580444" w:rsidRPr="000A7AE8" w:rsidRDefault="00580444" w:rsidP="00C02EB7">
            <w:pPr>
              <w:pStyle w:val="BMSTableText"/>
              <w:tabs>
                <w:tab w:val="clear" w:pos="360"/>
                <w:tab w:val="left" w:pos="115"/>
              </w:tabs>
              <w:spacing w:before="0" w:after="0"/>
            </w:pPr>
            <w:r w:rsidRPr="000A7AE8">
              <w:t>NA</w:t>
            </w:r>
          </w:p>
        </w:tc>
        <w:tc>
          <w:tcPr>
            <w:tcW w:w="543" w:type="pct"/>
            <w:tcBorders>
              <w:left w:val="single" w:sz="4" w:space="0" w:color="auto"/>
              <w:bottom w:val="single" w:sz="4" w:space="0" w:color="auto"/>
            </w:tcBorders>
            <w:vAlign w:val="center"/>
          </w:tcPr>
          <w:p w14:paraId="56439CAF" w14:textId="77777777" w:rsidR="00580444" w:rsidRPr="000A7AE8" w:rsidRDefault="00580444" w:rsidP="00C02EB7">
            <w:pPr>
              <w:pStyle w:val="BMSTableText"/>
              <w:tabs>
                <w:tab w:val="clear" w:pos="360"/>
                <w:tab w:val="left" w:pos="115"/>
              </w:tabs>
              <w:spacing w:before="0" w:after="0"/>
            </w:pPr>
            <w:r w:rsidRPr="000A7AE8">
              <w:t>76%</w:t>
            </w:r>
            <w:r w:rsidRPr="000A7AE8">
              <w:rPr>
                <w:rStyle w:val="BMSSuperscript"/>
                <w:sz w:val="24"/>
                <w:szCs w:val="24"/>
              </w:rPr>
              <w:t>***</w:t>
            </w:r>
          </w:p>
        </w:tc>
        <w:tc>
          <w:tcPr>
            <w:tcW w:w="417" w:type="pct"/>
            <w:tcBorders>
              <w:bottom w:val="single" w:sz="4" w:space="0" w:color="auto"/>
              <w:right w:val="single" w:sz="4" w:space="0" w:color="auto"/>
            </w:tcBorders>
            <w:vAlign w:val="center"/>
          </w:tcPr>
          <w:p w14:paraId="7ADEB8D1" w14:textId="77777777" w:rsidR="00580444" w:rsidRPr="000A7AE8" w:rsidRDefault="00580444" w:rsidP="00C02EB7">
            <w:pPr>
              <w:pStyle w:val="BMSTableText"/>
              <w:tabs>
                <w:tab w:val="clear" w:pos="360"/>
                <w:tab w:val="left" w:pos="115"/>
              </w:tabs>
              <w:spacing w:before="0" w:after="0"/>
            </w:pPr>
            <w:r w:rsidRPr="000A7AE8">
              <w:t>62%</w:t>
            </w:r>
          </w:p>
        </w:tc>
        <w:tc>
          <w:tcPr>
            <w:tcW w:w="601" w:type="pct"/>
            <w:tcBorders>
              <w:left w:val="single" w:sz="4" w:space="0" w:color="auto"/>
              <w:bottom w:val="single" w:sz="4" w:space="0" w:color="auto"/>
            </w:tcBorders>
            <w:vAlign w:val="center"/>
          </w:tcPr>
          <w:p w14:paraId="4D65228F" w14:textId="77777777" w:rsidR="00580444" w:rsidRPr="000A7AE8" w:rsidRDefault="00580444" w:rsidP="00C02EB7">
            <w:pPr>
              <w:pStyle w:val="BMSTableText"/>
              <w:tabs>
                <w:tab w:val="clear" w:pos="360"/>
                <w:tab w:val="left" w:pos="115"/>
              </w:tabs>
              <w:spacing w:before="0" w:after="0"/>
            </w:pPr>
            <w:r w:rsidRPr="000A7AE8">
              <w:t>NA</w:t>
            </w:r>
          </w:p>
        </w:tc>
        <w:tc>
          <w:tcPr>
            <w:tcW w:w="530" w:type="pct"/>
            <w:tcBorders>
              <w:bottom w:val="single" w:sz="4" w:space="0" w:color="auto"/>
            </w:tcBorders>
            <w:vAlign w:val="center"/>
          </w:tcPr>
          <w:p w14:paraId="3BEBB2DF" w14:textId="77777777" w:rsidR="00580444" w:rsidRPr="000A7AE8" w:rsidRDefault="00580444" w:rsidP="00C02EB7">
            <w:pPr>
              <w:pStyle w:val="BMSTableText"/>
              <w:tabs>
                <w:tab w:val="clear" w:pos="360"/>
                <w:tab w:val="left" w:pos="115"/>
              </w:tabs>
              <w:spacing w:before="0" w:after="0"/>
            </w:pPr>
            <w:r w:rsidRPr="000A7AE8">
              <w:t>NA</w:t>
            </w:r>
          </w:p>
        </w:tc>
      </w:tr>
      <w:tr w:rsidR="000A7AE8" w:rsidRPr="000A7AE8" w14:paraId="1B37FFE3" w14:textId="77777777" w:rsidTr="00C02EB7">
        <w:tc>
          <w:tcPr>
            <w:tcW w:w="701" w:type="pct"/>
            <w:tcBorders>
              <w:top w:val="single" w:sz="4" w:space="0" w:color="auto"/>
              <w:right w:val="single" w:sz="4" w:space="0" w:color="auto"/>
            </w:tcBorders>
          </w:tcPr>
          <w:p w14:paraId="36B5058C" w14:textId="77777777" w:rsidR="00580444" w:rsidRPr="000A7AE8" w:rsidRDefault="00580444" w:rsidP="00C02EB7">
            <w:pPr>
              <w:pStyle w:val="BMSTableText"/>
              <w:keepNext/>
              <w:keepLines/>
              <w:spacing w:after="0"/>
              <w:jc w:val="left"/>
              <w:rPr>
                <w:b/>
              </w:rPr>
            </w:pPr>
            <w:r w:rsidRPr="000A7AE8">
              <w:rPr>
                <w:b/>
              </w:rPr>
              <w:t>ACR 50</w:t>
            </w:r>
          </w:p>
        </w:tc>
        <w:tc>
          <w:tcPr>
            <w:tcW w:w="539" w:type="pct"/>
            <w:tcBorders>
              <w:top w:val="single" w:sz="4" w:space="0" w:color="auto"/>
              <w:left w:val="nil"/>
            </w:tcBorders>
          </w:tcPr>
          <w:p w14:paraId="59A2A2C6" w14:textId="77777777" w:rsidR="00580444" w:rsidRPr="000A7AE8" w:rsidRDefault="00580444" w:rsidP="00C02EB7">
            <w:pPr>
              <w:pStyle w:val="BMSTableText"/>
              <w:keepNext/>
              <w:keepLines/>
              <w:spacing w:after="0"/>
              <w:rPr>
                <w:b/>
              </w:rPr>
            </w:pPr>
          </w:p>
        </w:tc>
        <w:tc>
          <w:tcPr>
            <w:tcW w:w="526" w:type="pct"/>
            <w:tcBorders>
              <w:top w:val="single" w:sz="4" w:space="0" w:color="auto"/>
            </w:tcBorders>
          </w:tcPr>
          <w:p w14:paraId="4F4B7ABE" w14:textId="77777777" w:rsidR="00580444" w:rsidRPr="000A7AE8" w:rsidRDefault="00580444" w:rsidP="00C02EB7">
            <w:pPr>
              <w:pStyle w:val="BMSTableText"/>
              <w:keepNext/>
              <w:keepLines/>
              <w:spacing w:after="0"/>
              <w:rPr>
                <w:b/>
              </w:rPr>
            </w:pPr>
          </w:p>
        </w:tc>
        <w:tc>
          <w:tcPr>
            <w:tcW w:w="595" w:type="pct"/>
            <w:tcBorders>
              <w:top w:val="single" w:sz="4" w:space="0" w:color="auto"/>
              <w:left w:val="single" w:sz="4" w:space="0" w:color="auto"/>
            </w:tcBorders>
          </w:tcPr>
          <w:p w14:paraId="1DB0ABAF" w14:textId="77777777" w:rsidR="00580444" w:rsidRPr="000A7AE8" w:rsidRDefault="00580444" w:rsidP="00C02EB7">
            <w:pPr>
              <w:pStyle w:val="BMSTableText"/>
              <w:keepNext/>
              <w:keepLines/>
              <w:spacing w:after="0"/>
              <w:rPr>
                <w:b/>
              </w:rPr>
            </w:pPr>
          </w:p>
        </w:tc>
        <w:tc>
          <w:tcPr>
            <w:tcW w:w="549" w:type="pct"/>
            <w:tcBorders>
              <w:top w:val="single" w:sz="4" w:space="0" w:color="auto"/>
              <w:right w:val="single" w:sz="4" w:space="0" w:color="auto"/>
            </w:tcBorders>
          </w:tcPr>
          <w:p w14:paraId="1DB71831" w14:textId="77777777" w:rsidR="00580444" w:rsidRPr="000A7AE8" w:rsidRDefault="00580444" w:rsidP="00C02EB7">
            <w:pPr>
              <w:pStyle w:val="BMSTableText"/>
              <w:keepNext/>
              <w:keepLines/>
              <w:spacing w:after="0"/>
              <w:rPr>
                <w:b/>
              </w:rPr>
            </w:pPr>
          </w:p>
        </w:tc>
        <w:tc>
          <w:tcPr>
            <w:tcW w:w="543" w:type="pct"/>
            <w:tcBorders>
              <w:top w:val="single" w:sz="4" w:space="0" w:color="auto"/>
              <w:left w:val="single" w:sz="4" w:space="0" w:color="auto"/>
            </w:tcBorders>
          </w:tcPr>
          <w:p w14:paraId="1427CB72" w14:textId="77777777" w:rsidR="00580444" w:rsidRPr="000A7AE8" w:rsidRDefault="00580444" w:rsidP="00C02EB7">
            <w:pPr>
              <w:pStyle w:val="BMSTableText"/>
              <w:keepNext/>
              <w:keepLines/>
              <w:spacing w:after="0"/>
              <w:rPr>
                <w:b/>
              </w:rPr>
            </w:pPr>
          </w:p>
        </w:tc>
        <w:tc>
          <w:tcPr>
            <w:tcW w:w="417" w:type="pct"/>
            <w:tcBorders>
              <w:top w:val="single" w:sz="4" w:space="0" w:color="auto"/>
              <w:right w:val="single" w:sz="4" w:space="0" w:color="auto"/>
            </w:tcBorders>
          </w:tcPr>
          <w:p w14:paraId="55B49E5E" w14:textId="77777777" w:rsidR="00580444" w:rsidRPr="000A7AE8" w:rsidRDefault="00580444" w:rsidP="00C02EB7">
            <w:pPr>
              <w:pStyle w:val="BMSTableText"/>
              <w:keepNext/>
              <w:keepLines/>
              <w:spacing w:after="0"/>
              <w:rPr>
                <w:b/>
              </w:rPr>
            </w:pPr>
          </w:p>
        </w:tc>
        <w:tc>
          <w:tcPr>
            <w:tcW w:w="601" w:type="pct"/>
            <w:tcBorders>
              <w:top w:val="single" w:sz="4" w:space="0" w:color="auto"/>
              <w:left w:val="single" w:sz="4" w:space="0" w:color="auto"/>
            </w:tcBorders>
          </w:tcPr>
          <w:p w14:paraId="0D2C60B5" w14:textId="77777777" w:rsidR="00580444" w:rsidRPr="000A7AE8" w:rsidRDefault="00580444" w:rsidP="00C02EB7">
            <w:pPr>
              <w:pStyle w:val="BMSTableText"/>
              <w:keepNext/>
              <w:keepLines/>
              <w:spacing w:after="0"/>
              <w:rPr>
                <w:b/>
              </w:rPr>
            </w:pPr>
          </w:p>
        </w:tc>
        <w:tc>
          <w:tcPr>
            <w:tcW w:w="530" w:type="pct"/>
            <w:tcBorders>
              <w:top w:val="single" w:sz="4" w:space="0" w:color="auto"/>
            </w:tcBorders>
          </w:tcPr>
          <w:p w14:paraId="7A86AA16" w14:textId="77777777" w:rsidR="00580444" w:rsidRPr="000A7AE8" w:rsidRDefault="00580444" w:rsidP="00C02EB7">
            <w:pPr>
              <w:pStyle w:val="BMSTableText"/>
              <w:keepNext/>
              <w:keepLines/>
              <w:spacing w:after="0"/>
              <w:rPr>
                <w:b/>
              </w:rPr>
            </w:pPr>
          </w:p>
        </w:tc>
      </w:tr>
      <w:tr w:rsidR="000A7AE8" w:rsidRPr="000A7AE8" w14:paraId="287B2B2C" w14:textId="77777777" w:rsidTr="00C02EB7">
        <w:tc>
          <w:tcPr>
            <w:tcW w:w="701" w:type="pct"/>
            <w:tcBorders>
              <w:right w:val="single" w:sz="4" w:space="0" w:color="auto"/>
            </w:tcBorders>
            <w:vAlign w:val="center"/>
          </w:tcPr>
          <w:p w14:paraId="4E605E89" w14:textId="77777777" w:rsidR="00580444" w:rsidRPr="000A7AE8" w:rsidRDefault="00580444" w:rsidP="00C02EB7">
            <w:pPr>
              <w:pStyle w:val="BMSTableText"/>
              <w:keepNext/>
              <w:keepLines/>
              <w:tabs>
                <w:tab w:val="clear" w:pos="360"/>
                <w:tab w:val="left" w:pos="115"/>
              </w:tabs>
              <w:spacing w:before="0"/>
              <w:jc w:val="left"/>
            </w:pPr>
            <w:r w:rsidRPr="000A7AE8">
              <w:t>Month 3</w:t>
            </w:r>
          </w:p>
        </w:tc>
        <w:tc>
          <w:tcPr>
            <w:tcW w:w="539" w:type="pct"/>
            <w:tcBorders>
              <w:left w:val="nil"/>
            </w:tcBorders>
            <w:vAlign w:val="center"/>
          </w:tcPr>
          <w:p w14:paraId="62179B03" w14:textId="77777777" w:rsidR="00580444" w:rsidRPr="000A7AE8" w:rsidRDefault="00580444" w:rsidP="00C02EB7">
            <w:pPr>
              <w:pStyle w:val="BMSTableText"/>
              <w:tabs>
                <w:tab w:val="clear" w:pos="360"/>
                <w:tab w:val="left" w:pos="115"/>
              </w:tabs>
              <w:spacing w:before="0" w:after="0"/>
            </w:pPr>
            <w:r w:rsidRPr="000A7AE8">
              <w:t>32%</w:t>
            </w:r>
            <w:r w:rsidRPr="000A7AE8">
              <w:rPr>
                <w:rStyle w:val="BMSSuperscript"/>
                <w:sz w:val="24"/>
                <w:szCs w:val="24"/>
              </w:rPr>
              <w:t>***</w:t>
            </w:r>
          </w:p>
        </w:tc>
        <w:tc>
          <w:tcPr>
            <w:tcW w:w="526" w:type="pct"/>
            <w:vAlign w:val="center"/>
          </w:tcPr>
          <w:p w14:paraId="3EA2BBD9" w14:textId="77777777" w:rsidR="00580444" w:rsidRPr="000A7AE8" w:rsidRDefault="00580444" w:rsidP="00C02EB7">
            <w:pPr>
              <w:pStyle w:val="BMSTableText"/>
              <w:tabs>
                <w:tab w:val="clear" w:pos="360"/>
                <w:tab w:val="left" w:pos="115"/>
              </w:tabs>
              <w:spacing w:before="0" w:after="0"/>
            </w:pPr>
            <w:r w:rsidRPr="000A7AE8">
              <w:t>8%</w:t>
            </w:r>
          </w:p>
        </w:tc>
        <w:tc>
          <w:tcPr>
            <w:tcW w:w="595" w:type="pct"/>
            <w:tcBorders>
              <w:left w:val="single" w:sz="4" w:space="0" w:color="auto"/>
            </w:tcBorders>
            <w:vAlign w:val="center"/>
          </w:tcPr>
          <w:p w14:paraId="040D540B" w14:textId="77777777" w:rsidR="00580444" w:rsidRPr="000A7AE8" w:rsidRDefault="00580444" w:rsidP="00C02EB7">
            <w:pPr>
              <w:pStyle w:val="BMSTableText"/>
              <w:tabs>
                <w:tab w:val="clear" w:pos="360"/>
                <w:tab w:val="left" w:pos="115"/>
              </w:tabs>
              <w:spacing w:before="0" w:after="0"/>
            </w:pPr>
            <w:r w:rsidRPr="000A7AE8">
              <w:t>18%</w:t>
            </w:r>
            <w:r w:rsidRPr="000A7AE8">
              <w:rPr>
                <w:rStyle w:val="BMSTableNote"/>
                <w:sz w:val="24"/>
                <w:szCs w:val="24"/>
              </w:rPr>
              <w:t>**</w:t>
            </w:r>
          </w:p>
        </w:tc>
        <w:tc>
          <w:tcPr>
            <w:tcW w:w="549" w:type="pct"/>
            <w:tcBorders>
              <w:right w:val="single" w:sz="4" w:space="0" w:color="auto"/>
            </w:tcBorders>
            <w:vAlign w:val="center"/>
          </w:tcPr>
          <w:p w14:paraId="0E5DE62B" w14:textId="77777777" w:rsidR="00580444" w:rsidRPr="000A7AE8" w:rsidRDefault="00580444" w:rsidP="00C02EB7">
            <w:pPr>
              <w:pStyle w:val="BMSTableText"/>
              <w:tabs>
                <w:tab w:val="clear" w:pos="360"/>
                <w:tab w:val="left" w:pos="115"/>
              </w:tabs>
              <w:spacing w:before="0" w:after="0"/>
            </w:pPr>
            <w:r w:rsidRPr="000A7AE8">
              <w:t>6%</w:t>
            </w:r>
          </w:p>
        </w:tc>
        <w:tc>
          <w:tcPr>
            <w:tcW w:w="543" w:type="pct"/>
            <w:tcBorders>
              <w:left w:val="single" w:sz="4" w:space="0" w:color="auto"/>
            </w:tcBorders>
            <w:vAlign w:val="center"/>
          </w:tcPr>
          <w:p w14:paraId="4353ADA1" w14:textId="77777777" w:rsidR="00580444" w:rsidRPr="000A7AE8" w:rsidRDefault="00580444" w:rsidP="00C02EB7">
            <w:pPr>
              <w:pStyle w:val="BMSTableText"/>
              <w:tabs>
                <w:tab w:val="clear" w:pos="360"/>
                <w:tab w:val="left" w:pos="115"/>
              </w:tabs>
              <w:spacing w:before="0" w:after="0"/>
            </w:pPr>
            <w:r w:rsidRPr="000A7AE8">
              <w:t>40%</w:t>
            </w:r>
            <w:r w:rsidRPr="000A7AE8">
              <w:rPr>
                <w:rStyle w:val="BMSSuperscript"/>
                <w:sz w:val="24"/>
                <w:szCs w:val="24"/>
              </w:rPr>
              <w:t>***</w:t>
            </w:r>
          </w:p>
        </w:tc>
        <w:tc>
          <w:tcPr>
            <w:tcW w:w="417" w:type="pct"/>
            <w:tcBorders>
              <w:right w:val="single" w:sz="4" w:space="0" w:color="auto"/>
            </w:tcBorders>
            <w:vAlign w:val="center"/>
          </w:tcPr>
          <w:p w14:paraId="7C38C131" w14:textId="77777777" w:rsidR="00580444" w:rsidRPr="000A7AE8" w:rsidRDefault="00580444" w:rsidP="00C02EB7">
            <w:pPr>
              <w:pStyle w:val="BMSTableText"/>
              <w:tabs>
                <w:tab w:val="clear" w:pos="360"/>
                <w:tab w:val="left" w:pos="115"/>
              </w:tabs>
              <w:spacing w:before="0" w:after="0"/>
            </w:pPr>
            <w:r w:rsidRPr="000A7AE8">
              <w:t>23%</w:t>
            </w:r>
          </w:p>
        </w:tc>
        <w:tc>
          <w:tcPr>
            <w:tcW w:w="601" w:type="pct"/>
            <w:tcBorders>
              <w:left w:val="single" w:sz="4" w:space="0" w:color="auto"/>
            </w:tcBorders>
            <w:vAlign w:val="center"/>
          </w:tcPr>
          <w:p w14:paraId="28586E7C" w14:textId="77777777" w:rsidR="00580444" w:rsidRPr="000A7AE8" w:rsidRDefault="00580444" w:rsidP="00C02EB7">
            <w:pPr>
              <w:pStyle w:val="BMSTableText"/>
              <w:tabs>
                <w:tab w:val="clear" w:pos="360"/>
                <w:tab w:val="left" w:pos="115"/>
              </w:tabs>
              <w:spacing w:before="0" w:after="0"/>
            </w:pPr>
            <w:r w:rsidRPr="000A7AE8">
              <w:t>33%</w:t>
            </w:r>
          </w:p>
        </w:tc>
        <w:tc>
          <w:tcPr>
            <w:tcW w:w="530" w:type="pct"/>
            <w:vAlign w:val="center"/>
          </w:tcPr>
          <w:p w14:paraId="63936449" w14:textId="77777777" w:rsidR="00580444" w:rsidRPr="000A7AE8" w:rsidRDefault="00580444" w:rsidP="00C02EB7">
            <w:pPr>
              <w:pStyle w:val="BMSTableText"/>
              <w:tabs>
                <w:tab w:val="clear" w:pos="360"/>
                <w:tab w:val="left" w:pos="115"/>
              </w:tabs>
              <w:spacing w:before="0" w:after="0"/>
            </w:pPr>
            <w:r w:rsidRPr="000A7AE8">
              <w:t>39%</w:t>
            </w:r>
          </w:p>
        </w:tc>
      </w:tr>
      <w:tr w:rsidR="000A7AE8" w:rsidRPr="000A7AE8" w14:paraId="3D26F083" w14:textId="77777777" w:rsidTr="00C02EB7">
        <w:tc>
          <w:tcPr>
            <w:tcW w:w="701" w:type="pct"/>
            <w:tcBorders>
              <w:right w:val="single" w:sz="4" w:space="0" w:color="auto"/>
            </w:tcBorders>
            <w:vAlign w:val="center"/>
          </w:tcPr>
          <w:p w14:paraId="18340AFB" w14:textId="77777777" w:rsidR="00580444" w:rsidRPr="000A7AE8" w:rsidRDefault="00580444" w:rsidP="00C02EB7">
            <w:pPr>
              <w:pStyle w:val="BMSTableText"/>
              <w:keepNext/>
              <w:keepLines/>
              <w:tabs>
                <w:tab w:val="clear" w:pos="360"/>
                <w:tab w:val="left" w:pos="115"/>
              </w:tabs>
              <w:spacing w:before="0"/>
              <w:jc w:val="left"/>
            </w:pPr>
            <w:r w:rsidRPr="000A7AE8">
              <w:t>Month 6</w:t>
            </w:r>
          </w:p>
        </w:tc>
        <w:tc>
          <w:tcPr>
            <w:tcW w:w="539" w:type="pct"/>
            <w:tcBorders>
              <w:left w:val="nil"/>
            </w:tcBorders>
            <w:vAlign w:val="center"/>
          </w:tcPr>
          <w:p w14:paraId="1F960A6A" w14:textId="77777777" w:rsidR="00580444" w:rsidRPr="000A7AE8" w:rsidRDefault="00580444" w:rsidP="00C02EB7">
            <w:pPr>
              <w:pStyle w:val="BMSTableText"/>
              <w:tabs>
                <w:tab w:val="clear" w:pos="360"/>
                <w:tab w:val="left" w:pos="115"/>
              </w:tabs>
              <w:spacing w:before="0" w:after="0"/>
            </w:pPr>
            <w:r w:rsidRPr="000A7AE8">
              <w:t>40%</w:t>
            </w:r>
            <w:r w:rsidRPr="000A7AE8">
              <w:rPr>
                <w:rStyle w:val="BMSSuperscript"/>
                <w:sz w:val="24"/>
                <w:szCs w:val="24"/>
              </w:rPr>
              <w:t>***</w:t>
            </w:r>
          </w:p>
        </w:tc>
        <w:tc>
          <w:tcPr>
            <w:tcW w:w="526" w:type="pct"/>
            <w:vAlign w:val="center"/>
          </w:tcPr>
          <w:p w14:paraId="5A1A4612" w14:textId="77777777" w:rsidR="00580444" w:rsidRPr="000A7AE8" w:rsidRDefault="00580444" w:rsidP="00C02EB7">
            <w:pPr>
              <w:pStyle w:val="BMSTableText"/>
              <w:tabs>
                <w:tab w:val="clear" w:pos="360"/>
                <w:tab w:val="left" w:pos="115"/>
              </w:tabs>
              <w:spacing w:before="0" w:after="0"/>
            </w:pPr>
            <w:r w:rsidRPr="000A7AE8">
              <w:t>17%</w:t>
            </w:r>
          </w:p>
        </w:tc>
        <w:tc>
          <w:tcPr>
            <w:tcW w:w="595" w:type="pct"/>
            <w:tcBorders>
              <w:left w:val="single" w:sz="4" w:space="0" w:color="auto"/>
            </w:tcBorders>
            <w:vAlign w:val="center"/>
          </w:tcPr>
          <w:p w14:paraId="3CFEF7E8" w14:textId="77777777" w:rsidR="00580444" w:rsidRPr="000A7AE8" w:rsidRDefault="00580444" w:rsidP="00C02EB7">
            <w:pPr>
              <w:pStyle w:val="BMSTableText"/>
              <w:tabs>
                <w:tab w:val="clear" w:pos="360"/>
                <w:tab w:val="left" w:pos="115"/>
              </w:tabs>
              <w:spacing w:before="0" w:after="0"/>
            </w:pPr>
            <w:r w:rsidRPr="000A7AE8">
              <w:t>20%</w:t>
            </w:r>
            <w:r w:rsidRPr="000A7AE8">
              <w:rPr>
                <w:rStyle w:val="BMSSuperscript"/>
                <w:sz w:val="24"/>
                <w:szCs w:val="24"/>
              </w:rPr>
              <w:t>***</w:t>
            </w:r>
          </w:p>
        </w:tc>
        <w:tc>
          <w:tcPr>
            <w:tcW w:w="549" w:type="pct"/>
            <w:tcBorders>
              <w:right w:val="single" w:sz="4" w:space="0" w:color="auto"/>
            </w:tcBorders>
            <w:vAlign w:val="center"/>
          </w:tcPr>
          <w:p w14:paraId="1C79512E" w14:textId="77777777" w:rsidR="00580444" w:rsidRPr="000A7AE8" w:rsidRDefault="00580444" w:rsidP="00C02EB7">
            <w:pPr>
              <w:pStyle w:val="BMSTableText"/>
              <w:tabs>
                <w:tab w:val="clear" w:pos="360"/>
                <w:tab w:val="left" w:pos="115"/>
              </w:tabs>
              <w:spacing w:before="0" w:after="0"/>
            </w:pPr>
            <w:r w:rsidRPr="000A7AE8">
              <w:t>4%</w:t>
            </w:r>
          </w:p>
        </w:tc>
        <w:tc>
          <w:tcPr>
            <w:tcW w:w="543" w:type="pct"/>
            <w:tcBorders>
              <w:left w:val="single" w:sz="4" w:space="0" w:color="auto"/>
            </w:tcBorders>
            <w:vAlign w:val="center"/>
          </w:tcPr>
          <w:p w14:paraId="752C19A4" w14:textId="77777777" w:rsidR="00580444" w:rsidRPr="000A7AE8" w:rsidRDefault="00580444" w:rsidP="00C02EB7">
            <w:pPr>
              <w:pStyle w:val="BMSTableText"/>
              <w:tabs>
                <w:tab w:val="clear" w:pos="360"/>
                <w:tab w:val="left" w:pos="115"/>
              </w:tabs>
              <w:spacing w:before="0" w:after="0"/>
            </w:pPr>
            <w:r w:rsidRPr="000A7AE8">
              <w:t>53%</w:t>
            </w:r>
            <w:r w:rsidRPr="000A7AE8">
              <w:rPr>
                <w:rStyle w:val="BMSSuperscript"/>
                <w:sz w:val="24"/>
                <w:szCs w:val="24"/>
              </w:rPr>
              <w:t>***</w:t>
            </w:r>
          </w:p>
        </w:tc>
        <w:tc>
          <w:tcPr>
            <w:tcW w:w="417" w:type="pct"/>
            <w:tcBorders>
              <w:right w:val="single" w:sz="4" w:space="0" w:color="auto"/>
            </w:tcBorders>
            <w:vAlign w:val="center"/>
          </w:tcPr>
          <w:p w14:paraId="37E090CE" w14:textId="77777777" w:rsidR="00580444" w:rsidRPr="000A7AE8" w:rsidRDefault="00580444" w:rsidP="00C02EB7">
            <w:pPr>
              <w:pStyle w:val="BMSTableText"/>
              <w:tabs>
                <w:tab w:val="clear" w:pos="360"/>
                <w:tab w:val="left" w:pos="115"/>
              </w:tabs>
              <w:spacing w:before="0" w:after="0"/>
            </w:pPr>
            <w:r w:rsidRPr="000A7AE8">
              <w:t>38%</w:t>
            </w:r>
          </w:p>
        </w:tc>
        <w:tc>
          <w:tcPr>
            <w:tcW w:w="601" w:type="pct"/>
            <w:tcBorders>
              <w:left w:val="single" w:sz="4" w:space="0" w:color="auto"/>
            </w:tcBorders>
            <w:vAlign w:val="center"/>
          </w:tcPr>
          <w:p w14:paraId="3D1FFBCA" w14:textId="77777777" w:rsidR="00580444" w:rsidRPr="000A7AE8" w:rsidRDefault="00580444" w:rsidP="00C02EB7">
            <w:pPr>
              <w:pStyle w:val="BMSTableText"/>
              <w:tabs>
                <w:tab w:val="clear" w:pos="360"/>
                <w:tab w:val="left" w:pos="115"/>
              </w:tabs>
              <w:spacing w:before="0" w:after="0"/>
            </w:pPr>
            <w:r w:rsidRPr="000A7AE8">
              <w:t>52%</w:t>
            </w:r>
          </w:p>
        </w:tc>
        <w:tc>
          <w:tcPr>
            <w:tcW w:w="530" w:type="pct"/>
            <w:vAlign w:val="center"/>
          </w:tcPr>
          <w:p w14:paraId="0F0B3CC4" w14:textId="77777777" w:rsidR="00580444" w:rsidRPr="000A7AE8" w:rsidRDefault="00580444" w:rsidP="00C02EB7">
            <w:pPr>
              <w:pStyle w:val="BMSTableText"/>
              <w:tabs>
                <w:tab w:val="clear" w:pos="360"/>
                <w:tab w:val="left" w:pos="115"/>
              </w:tabs>
              <w:spacing w:before="0" w:after="0"/>
            </w:pPr>
            <w:r w:rsidRPr="000A7AE8">
              <w:t>50%</w:t>
            </w:r>
          </w:p>
        </w:tc>
      </w:tr>
      <w:tr w:rsidR="000A7AE8" w:rsidRPr="000A7AE8" w14:paraId="3E8D5D72" w14:textId="77777777" w:rsidTr="00C02EB7">
        <w:tc>
          <w:tcPr>
            <w:tcW w:w="701" w:type="pct"/>
            <w:tcBorders>
              <w:bottom w:val="single" w:sz="4" w:space="0" w:color="auto"/>
              <w:right w:val="single" w:sz="4" w:space="0" w:color="auto"/>
            </w:tcBorders>
            <w:vAlign w:val="center"/>
          </w:tcPr>
          <w:p w14:paraId="19E5AC1B" w14:textId="77777777" w:rsidR="00580444" w:rsidRPr="000A7AE8" w:rsidRDefault="00580444" w:rsidP="00C02EB7">
            <w:pPr>
              <w:pStyle w:val="BMSTableText"/>
              <w:keepNext/>
              <w:keepLines/>
              <w:tabs>
                <w:tab w:val="clear" w:pos="360"/>
                <w:tab w:val="left" w:pos="115"/>
              </w:tabs>
              <w:spacing w:before="0"/>
              <w:jc w:val="left"/>
            </w:pPr>
            <w:r w:rsidRPr="000A7AE8">
              <w:t>Month 12</w:t>
            </w:r>
          </w:p>
        </w:tc>
        <w:tc>
          <w:tcPr>
            <w:tcW w:w="539" w:type="pct"/>
            <w:tcBorders>
              <w:left w:val="nil"/>
              <w:bottom w:val="single" w:sz="4" w:space="0" w:color="auto"/>
            </w:tcBorders>
            <w:vAlign w:val="center"/>
          </w:tcPr>
          <w:p w14:paraId="1B084B79" w14:textId="77777777" w:rsidR="00580444" w:rsidRPr="000A7AE8" w:rsidRDefault="00580444" w:rsidP="00C02EB7">
            <w:pPr>
              <w:pStyle w:val="BMSTableText"/>
              <w:tabs>
                <w:tab w:val="clear" w:pos="360"/>
                <w:tab w:val="left" w:pos="115"/>
              </w:tabs>
              <w:spacing w:before="0" w:after="0"/>
            </w:pPr>
            <w:r w:rsidRPr="000A7AE8">
              <w:t>48%</w:t>
            </w:r>
            <w:r w:rsidRPr="000A7AE8">
              <w:rPr>
                <w:rStyle w:val="BMSSuperscript"/>
                <w:sz w:val="24"/>
                <w:szCs w:val="24"/>
              </w:rPr>
              <w:t>***</w:t>
            </w:r>
          </w:p>
        </w:tc>
        <w:tc>
          <w:tcPr>
            <w:tcW w:w="526" w:type="pct"/>
            <w:tcBorders>
              <w:bottom w:val="single" w:sz="4" w:space="0" w:color="auto"/>
            </w:tcBorders>
            <w:vAlign w:val="center"/>
          </w:tcPr>
          <w:p w14:paraId="28441542" w14:textId="77777777" w:rsidR="00580444" w:rsidRPr="000A7AE8" w:rsidRDefault="00580444" w:rsidP="00C02EB7">
            <w:pPr>
              <w:pStyle w:val="BMSTableText"/>
              <w:tabs>
                <w:tab w:val="clear" w:pos="360"/>
                <w:tab w:val="left" w:pos="115"/>
              </w:tabs>
              <w:spacing w:before="0" w:after="0"/>
            </w:pPr>
            <w:r w:rsidRPr="000A7AE8">
              <w:t>18%</w:t>
            </w:r>
          </w:p>
        </w:tc>
        <w:tc>
          <w:tcPr>
            <w:tcW w:w="595" w:type="pct"/>
            <w:tcBorders>
              <w:left w:val="single" w:sz="4" w:space="0" w:color="auto"/>
              <w:bottom w:val="single" w:sz="4" w:space="0" w:color="auto"/>
            </w:tcBorders>
            <w:vAlign w:val="center"/>
          </w:tcPr>
          <w:p w14:paraId="56F05693" w14:textId="77777777" w:rsidR="00580444" w:rsidRPr="000A7AE8" w:rsidRDefault="00580444" w:rsidP="00C02EB7">
            <w:pPr>
              <w:pStyle w:val="BMSTableText"/>
              <w:tabs>
                <w:tab w:val="clear" w:pos="360"/>
                <w:tab w:val="left" w:pos="115"/>
              </w:tabs>
              <w:spacing w:before="0" w:after="0"/>
            </w:pPr>
            <w:r w:rsidRPr="000A7AE8">
              <w:t>NA</w:t>
            </w:r>
          </w:p>
        </w:tc>
        <w:tc>
          <w:tcPr>
            <w:tcW w:w="549" w:type="pct"/>
            <w:tcBorders>
              <w:bottom w:val="single" w:sz="4" w:space="0" w:color="auto"/>
              <w:right w:val="single" w:sz="4" w:space="0" w:color="auto"/>
            </w:tcBorders>
            <w:vAlign w:val="center"/>
          </w:tcPr>
          <w:p w14:paraId="5D3617D2" w14:textId="77777777" w:rsidR="00580444" w:rsidRPr="000A7AE8" w:rsidRDefault="00580444" w:rsidP="00C02EB7">
            <w:pPr>
              <w:pStyle w:val="BMSTableText"/>
              <w:tabs>
                <w:tab w:val="clear" w:pos="360"/>
                <w:tab w:val="left" w:pos="115"/>
              </w:tabs>
              <w:spacing w:before="0" w:after="0"/>
            </w:pPr>
            <w:r w:rsidRPr="000A7AE8">
              <w:t>NA</w:t>
            </w:r>
          </w:p>
        </w:tc>
        <w:tc>
          <w:tcPr>
            <w:tcW w:w="543" w:type="pct"/>
            <w:tcBorders>
              <w:left w:val="single" w:sz="4" w:space="0" w:color="auto"/>
              <w:bottom w:val="single" w:sz="4" w:space="0" w:color="auto"/>
            </w:tcBorders>
            <w:vAlign w:val="center"/>
          </w:tcPr>
          <w:p w14:paraId="7F3CCBFF" w14:textId="77777777" w:rsidR="00580444" w:rsidRPr="000A7AE8" w:rsidRDefault="00580444" w:rsidP="00C02EB7">
            <w:pPr>
              <w:pStyle w:val="BMSTableText"/>
              <w:tabs>
                <w:tab w:val="clear" w:pos="360"/>
                <w:tab w:val="left" w:pos="115"/>
              </w:tabs>
              <w:spacing w:before="0" w:after="0"/>
            </w:pPr>
            <w:r w:rsidRPr="000A7AE8">
              <w:t>57%</w:t>
            </w:r>
            <w:r w:rsidRPr="000A7AE8">
              <w:rPr>
                <w:rStyle w:val="BMSSuperscript"/>
                <w:sz w:val="24"/>
                <w:szCs w:val="24"/>
              </w:rPr>
              <w:t>***</w:t>
            </w:r>
          </w:p>
        </w:tc>
        <w:tc>
          <w:tcPr>
            <w:tcW w:w="417" w:type="pct"/>
            <w:tcBorders>
              <w:bottom w:val="single" w:sz="4" w:space="0" w:color="auto"/>
              <w:right w:val="single" w:sz="4" w:space="0" w:color="auto"/>
            </w:tcBorders>
            <w:vAlign w:val="center"/>
          </w:tcPr>
          <w:p w14:paraId="5A6AE760" w14:textId="77777777" w:rsidR="00580444" w:rsidRPr="000A7AE8" w:rsidRDefault="00580444" w:rsidP="00C02EB7">
            <w:pPr>
              <w:pStyle w:val="BMSTableText"/>
              <w:tabs>
                <w:tab w:val="clear" w:pos="360"/>
                <w:tab w:val="left" w:pos="115"/>
              </w:tabs>
              <w:spacing w:before="0" w:after="0"/>
            </w:pPr>
            <w:r w:rsidRPr="000A7AE8">
              <w:t>42%</w:t>
            </w:r>
          </w:p>
        </w:tc>
        <w:tc>
          <w:tcPr>
            <w:tcW w:w="601" w:type="pct"/>
            <w:tcBorders>
              <w:left w:val="single" w:sz="4" w:space="0" w:color="auto"/>
              <w:bottom w:val="single" w:sz="4" w:space="0" w:color="auto"/>
            </w:tcBorders>
            <w:vAlign w:val="center"/>
          </w:tcPr>
          <w:p w14:paraId="523B43E3" w14:textId="77777777" w:rsidR="00580444" w:rsidRPr="000A7AE8" w:rsidRDefault="00580444" w:rsidP="00C02EB7">
            <w:pPr>
              <w:pStyle w:val="BMSTableText"/>
              <w:tabs>
                <w:tab w:val="clear" w:pos="360"/>
                <w:tab w:val="left" w:pos="115"/>
              </w:tabs>
              <w:spacing w:before="0" w:after="0"/>
            </w:pPr>
            <w:r w:rsidRPr="000A7AE8">
              <w:t>NA</w:t>
            </w:r>
          </w:p>
        </w:tc>
        <w:tc>
          <w:tcPr>
            <w:tcW w:w="530" w:type="pct"/>
            <w:tcBorders>
              <w:bottom w:val="single" w:sz="4" w:space="0" w:color="auto"/>
            </w:tcBorders>
            <w:vAlign w:val="center"/>
          </w:tcPr>
          <w:p w14:paraId="46A83887" w14:textId="77777777" w:rsidR="00580444" w:rsidRPr="000A7AE8" w:rsidRDefault="00580444" w:rsidP="00C02EB7">
            <w:pPr>
              <w:pStyle w:val="BMSTableText"/>
              <w:tabs>
                <w:tab w:val="clear" w:pos="360"/>
                <w:tab w:val="left" w:pos="115"/>
              </w:tabs>
              <w:spacing w:before="0" w:after="0"/>
            </w:pPr>
            <w:r w:rsidRPr="000A7AE8">
              <w:t>NA</w:t>
            </w:r>
          </w:p>
        </w:tc>
      </w:tr>
      <w:tr w:rsidR="000A7AE8" w:rsidRPr="000A7AE8" w14:paraId="6479C94A" w14:textId="77777777" w:rsidTr="00C02EB7">
        <w:tc>
          <w:tcPr>
            <w:tcW w:w="701" w:type="pct"/>
            <w:tcBorders>
              <w:top w:val="single" w:sz="4" w:space="0" w:color="auto"/>
              <w:right w:val="single" w:sz="4" w:space="0" w:color="auto"/>
            </w:tcBorders>
          </w:tcPr>
          <w:p w14:paraId="5046C66A" w14:textId="77777777" w:rsidR="00580444" w:rsidRPr="000A7AE8" w:rsidRDefault="00580444" w:rsidP="00C02EB7">
            <w:pPr>
              <w:pStyle w:val="BMSTableText"/>
              <w:keepNext/>
              <w:keepLines/>
              <w:spacing w:after="0"/>
              <w:jc w:val="left"/>
              <w:rPr>
                <w:b/>
              </w:rPr>
            </w:pPr>
            <w:r w:rsidRPr="000A7AE8">
              <w:rPr>
                <w:b/>
              </w:rPr>
              <w:t>ACR 70</w:t>
            </w:r>
          </w:p>
        </w:tc>
        <w:tc>
          <w:tcPr>
            <w:tcW w:w="539" w:type="pct"/>
            <w:tcBorders>
              <w:top w:val="single" w:sz="4" w:space="0" w:color="auto"/>
              <w:left w:val="nil"/>
            </w:tcBorders>
          </w:tcPr>
          <w:p w14:paraId="4636AED8" w14:textId="77777777" w:rsidR="00580444" w:rsidRPr="000A7AE8" w:rsidRDefault="00580444" w:rsidP="00C02EB7">
            <w:pPr>
              <w:pStyle w:val="BMSTableText"/>
              <w:keepNext/>
              <w:keepLines/>
              <w:spacing w:before="0"/>
            </w:pPr>
          </w:p>
        </w:tc>
        <w:tc>
          <w:tcPr>
            <w:tcW w:w="526" w:type="pct"/>
            <w:tcBorders>
              <w:top w:val="single" w:sz="4" w:space="0" w:color="auto"/>
            </w:tcBorders>
            <w:vAlign w:val="center"/>
          </w:tcPr>
          <w:p w14:paraId="3ADE623F" w14:textId="77777777" w:rsidR="00580444" w:rsidRPr="000A7AE8" w:rsidRDefault="00580444" w:rsidP="00C02EB7">
            <w:pPr>
              <w:pStyle w:val="BMSTableText"/>
              <w:keepNext/>
              <w:keepLines/>
              <w:spacing w:before="0"/>
            </w:pPr>
          </w:p>
        </w:tc>
        <w:tc>
          <w:tcPr>
            <w:tcW w:w="595" w:type="pct"/>
            <w:tcBorders>
              <w:top w:val="single" w:sz="4" w:space="0" w:color="auto"/>
              <w:left w:val="single" w:sz="4" w:space="0" w:color="auto"/>
            </w:tcBorders>
          </w:tcPr>
          <w:p w14:paraId="006BD332" w14:textId="77777777" w:rsidR="00580444" w:rsidRPr="000A7AE8" w:rsidRDefault="00580444" w:rsidP="00C02EB7">
            <w:pPr>
              <w:pStyle w:val="BMSTableText"/>
              <w:keepNext/>
              <w:keepLines/>
              <w:spacing w:before="0"/>
            </w:pPr>
          </w:p>
        </w:tc>
        <w:tc>
          <w:tcPr>
            <w:tcW w:w="549" w:type="pct"/>
            <w:tcBorders>
              <w:top w:val="single" w:sz="4" w:space="0" w:color="auto"/>
              <w:right w:val="single" w:sz="4" w:space="0" w:color="auto"/>
            </w:tcBorders>
            <w:vAlign w:val="center"/>
          </w:tcPr>
          <w:p w14:paraId="4391E381" w14:textId="77777777" w:rsidR="00580444" w:rsidRPr="000A7AE8" w:rsidRDefault="00580444" w:rsidP="00C02EB7">
            <w:pPr>
              <w:pStyle w:val="BMSTableText"/>
              <w:keepNext/>
              <w:keepLines/>
              <w:spacing w:before="0"/>
            </w:pPr>
          </w:p>
        </w:tc>
        <w:tc>
          <w:tcPr>
            <w:tcW w:w="543" w:type="pct"/>
            <w:tcBorders>
              <w:top w:val="single" w:sz="4" w:space="0" w:color="auto"/>
              <w:left w:val="single" w:sz="4" w:space="0" w:color="auto"/>
            </w:tcBorders>
          </w:tcPr>
          <w:p w14:paraId="4ED1AA80" w14:textId="77777777" w:rsidR="00580444" w:rsidRPr="000A7AE8" w:rsidRDefault="00580444" w:rsidP="00C02EB7">
            <w:pPr>
              <w:pStyle w:val="BMSTableText"/>
              <w:keepNext/>
              <w:keepLines/>
              <w:spacing w:before="0"/>
            </w:pPr>
          </w:p>
        </w:tc>
        <w:tc>
          <w:tcPr>
            <w:tcW w:w="417" w:type="pct"/>
            <w:tcBorders>
              <w:top w:val="single" w:sz="4" w:space="0" w:color="auto"/>
              <w:right w:val="single" w:sz="4" w:space="0" w:color="auto"/>
            </w:tcBorders>
            <w:vAlign w:val="center"/>
          </w:tcPr>
          <w:p w14:paraId="5C86BF40" w14:textId="77777777" w:rsidR="00580444" w:rsidRPr="000A7AE8" w:rsidRDefault="00580444" w:rsidP="00C02EB7">
            <w:pPr>
              <w:pStyle w:val="BMSTableText"/>
              <w:keepNext/>
              <w:keepLines/>
              <w:spacing w:before="0"/>
            </w:pPr>
          </w:p>
        </w:tc>
        <w:tc>
          <w:tcPr>
            <w:tcW w:w="601" w:type="pct"/>
            <w:tcBorders>
              <w:top w:val="single" w:sz="4" w:space="0" w:color="auto"/>
              <w:left w:val="single" w:sz="4" w:space="0" w:color="auto"/>
            </w:tcBorders>
          </w:tcPr>
          <w:p w14:paraId="3863D06B" w14:textId="77777777" w:rsidR="00580444" w:rsidRPr="000A7AE8" w:rsidRDefault="00580444" w:rsidP="00C02EB7">
            <w:pPr>
              <w:pStyle w:val="BMSTableText"/>
              <w:keepNext/>
              <w:keepLines/>
              <w:spacing w:before="0"/>
            </w:pPr>
          </w:p>
        </w:tc>
        <w:tc>
          <w:tcPr>
            <w:tcW w:w="530" w:type="pct"/>
            <w:tcBorders>
              <w:top w:val="single" w:sz="4" w:space="0" w:color="auto"/>
            </w:tcBorders>
          </w:tcPr>
          <w:p w14:paraId="683F6E5D" w14:textId="77777777" w:rsidR="00580444" w:rsidRPr="000A7AE8" w:rsidRDefault="00580444" w:rsidP="00C02EB7">
            <w:pPr>
              <w:pStyle w:val="BMSTableText"/>
              <w:keepNext/>
              <w:keepLines/>
              <w:spacing w:before="0"/>
            </w:pPr>
          </w:p>
        </w:tc>
      </w:tr>
      <w:tr w:rsidR="000A7AE8" w:rsidRPr="000A7AE8" w14:paraId="79A0E703" w14:textId="77777777" w:rsidTr="00C02EB7">
        <w:tc>
          <w:tcPr>
            <w:tcW w:w="701" w:type="pct"/>
            <w:tcBorders>
              <w:right w:val="single" w:sz="4" w:space="0" w:color="auto"/>
            </w:tcBorders>
            <w:vAlign w:val="center"/>
          </w:tcPr>
          <w:p w14:paraId="2F2BFE1D" w14:textId="77777777" w:rsidR="00580444" w:rsidRPr="000A7AE8" w:rsidRDefault="00580444" w:rsidP="00C02EB7">
            <w:pPr>
              <w:pStyle w:val="BMSTableText"/>
              <w:keepNext/>
              <w:keepLines/>
              <w:tabs>
                <w:tab w:val="clear" w:pos="360"/>
                <w:tab w:val="left" w:pos="115"/>
              </w:tabs>
              <w:spacing w:before="0"/>
              <w:jc w:val="left"/>
            </w:pPr>
            <w:r w:rsidRPr="000A7AE8">
              <w:t>Month 3</w:t>
            </w:r>
          </w:p>
        </w:tc>
        <w:tc>
          <w:tcPr>
            <w:tcW w:w="539" w:type="pct"/>
            <w:tcBorders>
              <w:left w:val="nil"/>
            </w:tcBorders>
            <w:vAlign w:val="center"/>
          </w:tcPr>
          <w:p w14:paraId="45C07D65" w14:textId="77777777" w:rsidR="00580444" w:rsidRPr="000A7AE8" w:rsidRDefault="00580444" w:rsidP="00C02EB7">
            <w:pPr>
              <w:pStyle w:val="BMSTableText"/>
              <w:tabs>
                <w:tab w:val="clear" w:pos="360"/>
                <w:tab w:val="left" w:pos="115"/>
              </w:tabs>
              <w:spacing w:before="0" w:after="0"/>
            </w:pPr>
            <w:r w:rsidRPr="000A7AE8">
              <w:t>13%</w:t>
            </w:r>
            <w:r w:rsidRPr="000A7AE8">
              <w:rPr>
                <w:rStyle w:val="BMSSuperscript"/>
                <w:sz w:val="24"/>
                <w:szCs w:val="24"/>
              </w:rPr>
              <w:t>***</w:t>
            </w:r>
          </w:p>
        </w:tc>
        <w:tc>
          <w:tcPr>
            <w:tcW w:w="526" w:type="pct"/>
            <w:vAlign w:val="center"/>
          </w:tcPr>
          <w:p w14:paraId="049763E3" w14:textId="77777777" w:rsidR="00580444" w:rsidRPr="000A7AE8" w:rsidRDefault="00580444" w:rsidP="00C02EB7">
            <w:pPr>
              <w:pStyle w:val="BMSTableText"/>
              <w:tabs>
                <w:tab w:val="clear" w:pos="360"/>
                <w:tab w:val="left" w:pos="115"/>
              </w:tabs>
              <w:spacing w:before="0" w:after="0"/>
            </w:pPr>
            <w:r w:rsidRPr="000A7AE8">
              <w:t>3%</w:t>
            </w:r>
          </w:p>
        </w:tc>
        <w:tc>
          <w:tcPr>
            <w:tcW w:w="595" w:type="pct"/>
            <w:tcBorders>
              <w:left w:val="single" w:sz="4" w:space="0" w:color="auto"/>
            </w:tcBorders>
            <w:vAlign w:val="center"/>
          </w:tcPr>
          <w:p w14:paraId="3EDFA6EC" w14:textId="77777777" w:rsidR="00580444" w:rsidRPr="000A7AE8" w:rsidRDefault="00580444" w:rsidP="00C02EB7">
            <w:pPr>
              <w:pStyle w:val="BMSTableText"/>
              <w:tabs>
                <w:tab w:val="clear" w:pos="360"/>
                <w:tab w:val="left" w:pos="115"/>
              </w:tabs>
              <w:spacing w:before="0" w:after="0"/>
            </w:pPr>
            <w:r w:rsidRPr="000A7AE8">
              <w:t>6%*</w:t>
            </w:r>
          </w:p>
        </w:tc>
        <w:tc>
          <w:tcPr>
            <w:tcW w:w="549" w:type="pct"/>
            <w:tcBorders>
              <w:right w:val="single" w:sz="4" w:space="0" w:color="auto"/>
            </w:tcBorders>
            <w:vAlign w:val="center"/>
          </w:tcPr>
          <w:p w14:paraId="25139310" w14:textId="77777777" w:rsidR="00580444" w:rsidRPr="000A7AE8" w:rsidRDefault="00580444" w:rsidP="00C02EB7">
            <w:pPr>
              <w:pStyle w:val="BMSTableText"/>
              <w:tabs>
                <w:tab w:val="clear" w:pos="360"/>
                <w:tab w:val="left" w:pos="115"/>
              </w:tabs>
              <w:spacing w:before="0" w:after="0"/>
            </w:pPr>
            <w:r w:rsidRPr="000A7AE8">
              <w:t>1%</w:t>
            </w:r>
          </w:p>
        </w:tc>
        <w:tc>
          <w:tcPr>
            <w:tcW w:w="543" w:type="pct"/>
            <w:tcBorders>
              <w:left w:val="single" w:sz="4" w:space="0" w:color="auto"/>
            </w:tcBorders>
            <w:vAlign w:val="center"/>
          </w:tcPr>
          <w:p w14:paraId="7AFD92CB" w14:textId="77777777" w:rsidR="00580444" w:rsidRPr="000A7AE8" w:rsidRDefault="00580444" w:rsidP="00C02EB7">
            <w:pPr>
              <w:pStyle w:val="BMSTableText"/>
              <w:tabs>
                <w:tab w:val="clear" w:pos="360"/>
                <w:tab w:val="left" w:pos="115"/>
              </w:tabs>
              <w:spacing w:before="0" w:after="0"/>
            </w:pPr>
            <w:r w:rsidRPr="000A7AE8">
              <w:t>19%</w:t>
            </w:r>
            <w:r w:rsidRPr="000A7AE8">
              <w:rPr>
                <w:rStyle w:val="BMSTableNote"/>
                <w:sz w:val="24"/>
                <w:szCs w:val="24"/>
              </w:rPr>
              <w:t>**</w:t>
            </w:r>
          </w:p>
        </w:tc>
        <w:tc>
          <w:tcPr>
            <w:tcW w:w="417" w:type="pct"/>
            <w:tcBorders>
              <w:right w:val="single" w:sz="4" w:space="0" w:color="auto"/>
            </w:tcBorders>
            <w:vAlign w:val="center"/>
          </w:tcPr>
          <w:p w14:paraId="6CF5689C" w14:textId="77777777" w:rsidR="00580444" w:rsidRPr="000A7AE8" w:rsidRDefault="00580444" w:rsidP="00C02EB7">
            <w:pPr>
              <w:pStyle w:val="BMSTableText"/>
              <w:tabs>
                <w:tab w:val="clear" w:pos="360"/>
                <w:tab w:val="left" w:pos="115"/>
              </w:tabs>
              <w:spacing w:before="0" w:after="0"/>
            </w:pPr>
            <w:r w:rsidRPr="000A7AE8">
              <w:t>10%</w:t>
            </w:r>
          </w:p>
        </w:tc>
        <w:tc>
          <w:tcPr>
            <w:tcW w:w="601" w:type="pct"/>
            <w:tcBorders>
              <w:left w:val="single" w:sz="4" w:space="0" w:color="auto"/>
            </w:tcBorders>
            <w:vAlign w:val="center"/>
          </w:tcPr>
          <w:p w14:paraId="1DBB140C" w14:textId="77777777" w:rsidR="00580444" w:rsidRPr="000A7AE8" w:rsidRDefault="00580444" w:rsidP="00C02EB7">
            <w:pPr>
              <w:pStyle w:val="BMSTableText"/>
              <w:tabs>
                <w:tab w:val="clear" w:pos="360"/>
                <w:tab w:val="left" w:pos="115"/>
              </w:tabs>
              <w:spacing w:before="0" w:after="0"/>
            </w:pPr>
            <w:r w:rsidRPr="000A7AE8">
              <w:t>13%</w:t>
            </w:r>
          </w:p>
        </w:tc>
        <w:tc>
          <w:tcPr>
            <w:tcW w:w="530" w:type="pct"/>
            <w:vAlign w:val="center"/>
          </w:tcPr>
          <w:p w14:paraId="2CFCCF13" w14:textId="77777777" w:rsidR="00580444" w:rsidRPr="000A7AE8" w:rsidRDefault="00580444" w:rsidP="00C02EB7">
            <w:pPr>
              <w:pStyle w:val="BMSTableText"/>
              <w:tabs>
                <w:tab w:val="clear" w:pos="360"/>
                <w:tab w:val="left" w:pos="115"/>
              </w:tabs>
              <w:spacing w:before="0" w:after="0"/>
            </w:pPr>
            <w:r w:rsidRPr="000A7AE8">
              <w:t>16%</w:t>
            </w:r>
          </w:p>
        </w:tc>
      </w:tr>
      <w:tr w:rsidR="000A7AE8" w:rsidRPr="000A7AE8" w14:paraId="674AAEAB" w14:textId="77777777" w:rsidTr="00C02EB7">
        <w:tc>
          <w:tcPr>
            <w:tcW w:w="701" w:type="pct"/>
            <w:tcBorders>
              <w:right w:val="single" w:sz="4" w:space="0" w:color="auto"/>
            </w:tcBorders>
            <w:vAlign w:val="center"/>
          </w:tcPr>
          <w:p w14:paraId="2CCB5980" w14:textId="77777777" w:rsidR="00580444" w:rsidRPr="000A7AE8" w:rsidRDefault="00580444" w:rsidP="00C02EB7">
            <w:pPr>
              <w:pStyle w:val="BMSTableText"/>
              <w:keepNext/>
              <w:keepLines/>
              <w:tabs>
                <w:tab w:val="clear" w:pos="360"/>
                <w:tab w:val="left" w:pos="115"/>
              </w:tabs>
              <w:spacing w:before="0"/>
              <w:jc w:val="left"/>
            </w:pPr>
            <w:r w:rsidRPr="000A7AE8">
              <w:t>Month 6</w:t>
            </w:r>
          </w:p>
        </w:tc>
        <w:tc>
          <w:tcPr>
            <w:tcW w:w="539" w:type="pct"/>
            <w:tcBorders>
              <w:left w:val="nil"/>
            </w:tcBorders>
            <w:vAlign w:val="center"/>
          </w:tcPr>
          <w:p w14:paraId="10353D46" w14:textId="77777777" w:rsidR="00580444" w:rsidRPr="000A7AE8" w:rsidRDefault="00580444" w:rsidP="00C02EB7">
            <w:pPr>
              <w:pStyle w:val="BMSTableText"/>
              <w:tabs>
                <w:tab w:val="clear" w:pos="360"/>
                <w:tab w:val="left" w:pos="115"/>
              </w:tabs>
              <w:spacing w:before="0" w:after="0"/>
            </w:pPr>
            <w:r w:rsidRPr="000A7AE8">
              <w:t>20%</w:t>
            </w:r>
            <w:r w:rsidRPr="000A7AE8">
              <w:rPr>
                <w:rStyle w:val="BMSSuperscript"/>
                <w:sz w:val="24"/>
                <w:szCs w:val="24"/>
              </w:rPr>
              <w:t>***</w:t>
            </w:r>
          </w:p>
        </w:tc>
        <w:tc>
          <w:tcPr>
            <w:tcW w:w="526" w:type="pct"/>
            <w:vAlign w:val="center"/>
          </w:tcPr>
          <w:p w14:paraId="657C5BA0" w14:textId="77777777" w:rsidR="00580444" w:rsidRPr="000A7AE8" w:rsidRDefault="00580444" w:rsidP="00C02EB7">
            <w:pPr>
              <w:pStyle w:val="BMSTableText"/>
              <w:tabs>
                <w:tab w:val="clear" w:pos="360"/>
                <w:tab w:val="left" w:pos="115"/>
              </w:tabs>
              <w:spacing w:before="0" w:after="0"/>
            </w:pPr>
            <w:r w:rsidRPr="000A7AE8">
              <w:t>7%</w:t>
            </w:r>
          </w:p>
        </w:tc>
        <w:tc>
          <w:tcPr>
            <w:tcW w:w="595" w:type="pct"/>
            <w:tcBorders>
              <w:left w:val="single" w:sz="4" w:space="0" w:color="auto"/>
            </w:tcBorders>
            <w:vAlign w:val="center"/>
          </w:tcPr>
          <w:p w14:paraId="6ED407FA" w14:textId="77777777" w:rsidR="00580444" w:rsidRPr="000A7AE8" w:rsidRDefault="00580444" w:rsidP="00C02EB7">
            <w:pPr>
              <w:pStyle w:val="BMSTableText"/>
              <w:tabs>
                <w:tab w:val="clear" w:pos="360"/>
                <w:tab w:val="left" w:pos="115"/>
              </w:tabs>
              <w:spacing w:before="0" w:after="0"/>
            </w:pPr>
            <w:r w:rsidRPr="000A7AE8">
              <w:t>10%</w:t>
            </w:r>
            <w:r w:rsidRPr="000A7AE8">
              <w:rPr>
                <w:rStyle w:val="BMSTableNote"/>
                <w:sz w:val="24"/>
                <w:szCs w:val="24"/>
              </w:rPr>
              <w:t>**</w:t>
            </w:r>
          </w:p>
        </w:tc>
        <w:tc>
          <w:tcPr>
            <w:tcW w:w="549" w:type="pct"/>
            <w:tcBorders>
              <w:right w:val="single" w:sz="4" w:space="0" w:color="auto"/>
            </w:tcBorders>
            <w:vAlign w:val="center"/>
          </w:tcPr>
          <w:p w14:paraId="5742EF84" w14:textId="77777777" w:rsidR="00580444" w:rsidRPr="000A7AE8" w:rsidRDefault="00580444" w:rsidP="00C02EB7">
            <w:pPr>
              <w:pStyle w:val="BMSTableText"/>
              <w:tabs>
                <w:tab w:val="clear" w:pos="360"/>
                <w:tab w:val="left" w:pos="115"/>
              </w:tabs>
              <w:spacing w:before="0" w:after="0"/>
            </w:pPr>
            <w:r w:rsidRPr="000A7AE8">
              <w:t>2%</w:t>
            </w:r>
          </w:p>
        </w:tc>
        <w:tc>
          <w:tcPr>
            <w:tcW w:w="543" w:type="pct"/>
            <w:tcBorders>
              <w:left w:val="single" w:sz="4" w:space="0" w:color="auto"/>
            </w:tcBorders>
            <w:vAlign w:val="center"/>
          </w:tcPr>
          <w:p w14:paraId="3DEB71CC" w14:textId="77777777" w:rsidR="00580444" w:rsidRPr="000A7AE8" w:rsidRDefault="00580444" w:rsidP="00C02EB7">
            <w:pPr>
              <w:pStyle w:val="BMSTableText"/>
              <w:tabs>
                <w:tab w:val="clear" w:pos="360"/>
                <w:tab w:val="left" w:pos="115"/>
              </w:tabs>
              <w:spacing w:before="0" w:after="0"/>
            </w:pPr>
            <w:r w:rsidRPr="000A7AE8">
              <w:t>32%</w:t>
            </w:r>
            <w:r w:rsidRPr="000A7AE8">
              <w:rPr>
                <w:rStyle w:val="BMSTableNote"/>
                <w:sz w:val="24"/>
                <w:szCs w:val="24"/>
              </w:rPr>
              <w:t>**</w:t>
            </w:r>
          </w:p>
        </w:tc>
        <w:tc>
          <w:tcPr>
            <w:tcW w:w="417" w:type="pct"/>
            <w:tcBorders>
              <w:right w:val="single" w:sz="4" w:space="0" w:color="auto"/>
            </w:tcBorders>
            <w:vAlign w:val="center"/>
          </w:tcPr>
          <w:p w14:paraId="0C796698" w14:textId="77777777" w:rsidR="00580444" w:rsidRPr="000A7AE8" w:rsidRDefault="00580444" w:rsidP="00C02EB7">
            <w:pPr>
              <w:pStyle w:val="BMSTableText"/>
              <w:tabs>
                <w:tab w:val="clear" w:pos="360"/>
                <w:tab w:val="left" w:pos="115"/>
              </w:tabs>
              <w:spacing w:before="0" w:after="0"/>
            </w:pPr>
            <w:r w:rsidRPr="000A7AE8">
              <w:t>20%</w:t>
            </w:r>
          </w:p>
        </w:tc>
        <w:tc>
          <w:tcPr>
            <w:tcW w:w="601" w:type="pct"/>
            <w:tcBorders>
              <w:left w:val="single" w:sz="4" w:space="0" w:color="auto"/>
            </w:tcBorders>
            <w:vAlign w:val="center"/>
          </w:tcPr>
          <w:p w14:paraId="286193A3" w14:textId="77777777" w:rsidR="00580444" w:rsidRPr="000A7AE8" w:rsidRDefault="00580444" w:rsidP="00C02EB7">
            <w:pPr>
              <w:pStyle w:val="BMSTableText"/>
              <w:tabs>
                <w:tab w:val="clear" w:pos="360"/>
                <w:tab w:val="left" w:pos="115"/>
              </w:tabs>
              <w:spacing w:before="0" w:after="0"/>
            </w:pPr>
            <w:r w:rsidRPr="000A7AE8">
              <w:t>26%</w:t>
            </w:r>
          </w:p>
        </w:tc>
        <w:tc>
          <w:tcPr>
            <w:tcW w:w="530" w:type="pct"/>
            <w:vAlign w:val="center"/>
          </w:tcPr>
          <w:p w14:paraId="42699374" w14:textId="77777777" w:rsidR="00580444" w:rsidRPr="000A7AE8" w:rsidRDefault="00580444" w:rsidP="00C02EB7">
            <w:pPr>
              <w:pStyle w:val="BMSTableText"/>
              <w:tabs>
                <w:tab w:val="clear" w:pos="360"/>
                <w:tab w:val="left" w:pos="115"/>
              </w:tabs>
              <w:spacing w:before="0" w:after="0"/>
            </w:pPr>
            <w:r w:rsidRPr="000A7AE8">
              <w:t>25%</w:t>
            </w:r>
          </w:p>
        </w:tc>
      </w:tr>
      <w:tr w:rsidR="000A7AE8" w:rsidRPr="000A7AE8" w14:paraId="2B92F1F3" w14:textId="77777777" w:rsidTr="00C02EB7">
        <w:tc>
          <w:tcPr>
            <w:tcW w:w="701" w:type="pct"/>
            <w:tcBorders>
              <w:bottom w:val="single" w:sz="4" w:space="0" w:color="auto"/>
              <w:right w:val="single" w:sz="4" w:space="0" w:color="auto"/>
            </w:tcBorders>
            <w:vAlign w:val="center"/>
          </w:tcPr>
          <w:p w14:paraId="371BB4AE" w14:textId="77777777" w:rsidR="00580444" w:rsidRPr="000A7AE8" w:rsidRDefault="00580444" w:rsidP="00C02EB7">
            <w:pPr>
              <w:pStyle w:val="BMSTableText"/>
              <w:keepNext/>
              <w:keepLines/>
              <w:tabs>
                <w:tab w:val="clear" w:pos="360"/>
                <w:tab w:val="left" w:pos="115"/>
              </w:tabs>
              <w:spacing w:before="0"/>
              <w:jc w:val="left"/>
            </w:pPr>
            <w:r w:rsidRPr="000A7AE8">
              <w:t>Month 12</w:t>
            </w:r>
          </w:p>
        </w:tc>
        <w:tc>
          <w:tcPr>
            <w:tcW w:w="539" w:type="pct"/>
            <w:tcBorders>
              <w:left w:val="single" w:sz="4" w:space="0" w:color="auto"/>
              <w:bottom w:val="single" w:sz="4" w:space="0" w:color="auto"/>
            </w:tcBorders>
            <w:vAlign w:val="center"/>
          </w:tcPr>
          <w:p w14:paraId="3CEF59E4" w14:textId="77777777" w:rsidR="00580444" w:rsidRPr="000A7AE8" w:rsidRDefault="00580444" w:rsidP="00C02EB7">
            <w:pPr>
              <w:pStyle w:val="BMSTableText"/>
              <w:tabs>
                <w:tab w:val="clear" w:pos="360"/>
                <w:tab w:val="left" w:pos="115"/>
              </w:tabs>
              <w:spacing w:before="0" w:after="0"/>
            </w:pPr>
            <w:r w:rsidRPr="000A7AE8">
              <w:t>29%</w:t>
            </w:r>
            <w:r w:rsidRPr="000A7AE8">
              <w:rPr>
                <w:rStyle w:val="BMSSuperscript"/>
                <w:sz w:val="24"/>
                <w:szCs w:val="24"/>
              </w:rPr>
              <w:t>***</w:t>
            </w:r>
          </w:p>
        </w:tc>
        <w:tc>
          <w:tcPr>
            <w:tcW w:w="526" w:type="pct"/>
            <w:tcBorders>
              <w:bottom w:val="single" w:sz="4" w:space="0" w:color="auto"/>
              <w:right w:val="single" w:sz="4" w:space="0" w:color="auto"/>
            </w:tcBorders>
            <w:vAlign w:val="center"/>
          </w:tcPr>
          <w:p w14:paraId="45586222" w14:textId="77777777" w:rsidR="00580444" w:rsidRPr="000A7AE8" w:rsidRDefault="00580444" w:rsidP="00C02EB7">
            <w:pPr>
              <w:pStyle w:val="BMSTableText"/>
              <w:tabs>
                <w:tab w:val="clear" w:pos="360"/>
                <w:tab w:val="left" w:pos="115"/>
              </w:tabs>
              <w:spacing w:before="0" w:after="0"/>
            </w:pPr>
            <w:r w:rsidRPr="000A7AE8">
              <w:t>6%</w:t>
            </w:r>
          </w:p>
        </w:tc>
        <w:tc>
          <w:tcPr>
            <w:tcW w:w="595" w:type="pct"/>
            <w:tcBorders>
              <w:left w:val="single" w:sz="4" w:space="0" w:color="auto"/>
              <w:bottom w:val="single" w:sz="4" w:space="0" w:color="auto"/>
            </w:tcBorders>
            <w:vAlign w:val="center"/>
          </w:tcPr>
          <w:p w14:paraId="6AB9982D" w14:textId="77777777" w:rsidR="00580444" w:rsidRPr="000A7AE8" w:rsidRDefault="00580444" w:rsidP="00C02EB7">
            <w:pPr>
              <w:pStyle w:val="BMSTableText"/>
              <w:tabs>
                <w:tab w:val="clear" w:pos="360"/>
                <w:tab w:val="left" w:pos="115"/>
              </w:tabs>
              <w:spacing w:before="0" w:after="0"/>
            </w:pPr>
            <w:r w:rsidRPr="000A7AE8">
              <w:t>NA</w:t>
            </w:r>
          </w:p>
        </w:tc>
        <w:tc>
          <w:tcPr>
            <w:tcW w:w="549" w:type="pct"/>
            <w:tcBorders>
              <w:bottom w:val="single" w:sz="4" w:space="0" w:color="auto"/>
              <w:right w:val="single" w:sz="4" w:space="0" w:color="auto"/>
            </w:tcBorders>
            <w:vAlign w:val="center"/>
          </w:tcPr>
          <w:p w14:paraId="6D0FF0C7" w14:textId="77777777" w:rsidR="00580444" w:rsidRPr="000A7AE8" w:rsidRDefault="00580444" w:rsidP="00C02EB7">
            <w:pPr>
              <w:pStyle w:val="BMSTableText"/>
              <w:tabs>
                <w:tab w:val="clear" w:pos="360"/>
                <w:tab w:val="left" w:pos="115"/>
              </w:tabs>
              <w:spacing w:before="0" w:after="0"/>
            </w:pPr>
            <w:r w:rsidRPr="000A7AE8">
              <w:t>NA</w:t>
            </w:r>
          </w:p>
        </w:tc>
        <w:tc>
          <w:tcPr>
            <w:tcW w:w="543" w:type="pct"/>
            <w:tcBorders>
              <w:left w:val="single" w:sz="4" w:space="0" w:color="auto"/>
              <w:bottom w:val="single" w:sz="4" w:space="0" w:color="auto"/>
            </w:tcBorders>
            <w:vAlign w:val="center"/>
          </w:tcPr>
          <w:p w14:paraId="1794FADB" w14:textId="77777777" w:rsidR="00580444" w:rsidRPr="000A7AE8" w:rsidRDefault="00580444" w:rsidP="00C02EB7">
            <w:pPr>
              <w:pStyle w:val="BMSTableText"/>
              <w:tabs>
                <w:tab w:val="clear" w:pos="360"/>
                <w:tab w:val="left" w:pos="115"/>
              </w:tabs>
              <w:spacing w:before="0" w:after="0"/>
            </w:pPr>
            <w:r w:rsidRPr="000A7AE8">
              <w:t>43%</w:t>
            </w:r>
            <w:r w:rsidRPr="000A7AE8">
              <w:rPr>
                <w:rStyle w:val="BMSSuperscript"/>
                <w:sz w:val="24"/>
                <w:szCs w:val="24"/>
              </w:rPr>
              <w:t>***</w:t>
            </w:r>
          </w:p>
        </w:tc>
        <w:tc>
          <w:tcPr>
            <w:tcW w:w="417" w:type="pct"/>
            <w:tcBorders>
              <w:bottom w:val="single" w:sz="4" w:space="0" w:color="auto"/>
              <w:right w:val="single" w:sz="4" w:space="0" w:color="auto"/>
            </w:tcBorders>
            <w:vAlign w:val="center"/>
          </w:tcPr>
          <w:p w14:paraId="49686113" w14:textId="77777777" w:rsidR="00580444" w:rsidRPr="000A7AE8" w:rsidRDefault="00580444" w:rsidP="00C02EB7">
            <w:pPr>
              <w:pStyle w:val="BMSTableText"/>
              <w:tabs>
                <w:tab w:val="clear" w:pos="360"/>
                <w:tab w:val="left" w:pos="115"/>
              </w:tabs>
              <w:spacing w:before="0" w:after="0"/>
            </w:pPr>
            <w:r w:rsidRPr="000A7AE8">
              <w:t>27%</w:t>
            </w:r>
          </w:p>
        </w:tc>
        <w:tc>
          <w:tcPr>
            <w:tcW w:w="601" w:type="pct"/>
            <w:tcBorders>
              <w:left w:val="single" w:sz="4" w:space="0" w:color="auto"/>
              <w:bottom w:val="single" w:sz="4" w:space="0" w:color="auto"/>
            </w:tcBorders>
            <w:vAlign w:val="center"/>
          </w:tcPr>
          <w:p w14:paraId="4460F49D" w14:textId="77777777" w:rsidR="00580444" w:rsidRPr="000A7AE8" w:rsidRDefault="00580444" w:rsidP="00C02EB7">
            <w:pPr>
              <w:pStyle w:val="BMSTableText"/>
              <w:tabs>
                <w:tab w:val="clear" w:pos="360"/>
                <w:tab w:val="left" w:pos="115"/>
              </w:tabs>
              <w:spacing w:before="0" w:after="0"/>
            </w:pPr>
            <w:r w:rsidRPr="000A7AE8">
              <w:t>NA</w:t>
            </w:r>
          </w:p>
        </w:tc>
        <w:tc>
          <w:tcPr>
            <w:tcW w:w="530" w:type="pct"/>
            <w:tcBorders>
              <w:bottom w:val="single" w:sz="4" w:space="0" w:color="auto"/>
            </w:tcBorders>
            <w:vAlign w:val="center"/>
          </w:tcPr>
          <w:p w14:paraId="5694F54A" w14:textId="77777777" w:rsidR="00580444" w:rsidRPr="000A7AE8" w:rsidRDefault="00580444" w:rsidP="00C02EB7">
            <w:pPr>
              <w:pStyle w:val="BMSTableText"/>
              <w:tabs>
                <w:tab w:val="clear" w:pos="360"/>
                <w:tab w:val="left" w:pos="115"/>
              </w:tabs>
              <w:spacing w:before="0" w:after="0"/>
            </w:pPr>
            <w:r w:rsidRPr="000A7AE8">
              <w:t>NA</w:t>
            </w:r>
          </w:p>
        </w:tc>
      </w:tr>
      <w:tr w:rsidR="000A7AE8" w:rsidRPr="000A7AE8" w14:paraId="0299A70D" w14:textId="77777777" w:rsidTr="00C02EB7">
        <w:tc>
          <w:tcPr>
            <w:tcW w:w="701" w:type="pct"/>
            <w:tcBorders>
              <w:top w:val="single" w:sz="4" w:space="0" w:color="auto"/>
              <w:bottom w:val="single" w:sz="4" w:space="0" w:color="auto"/>
              <w:right w:val="single" w:sz="4" w:space="0" w:color="auto"/>
            </w:tcBorders>
            <w:vAlign w:val="center"/>
          </w:tcPr>
          <w:p w14:paraId="3F58B77E" w14:textId="77777777" w:rsidR="00580444" w:rsidRPr="000A7AE8" w:rsidRDefault="00580444" w:rsidP="00C02EB7">
            <w:pPr>
              <w:pStyle w:val="BMSTableText"/>
              <w:keepNext/>
              <w:keepLines/>
              <w:jc w:val="left"/>
            </w:pPr>
            <w:r w:rsidRPr="000A7AE8">
              <w:rPr>
                <w:b/>
              </w:rPr>
              <w:t xml:space="preserve">Major Clinical </w:t>
            </w:r>
            <w:proofErr w:type="spellStart"/>
            <w:r w:rsidRPr="000A7AE8">
              <w:rPr>
                <w:b/>
              </w:rPr>
              <w:t>Response</w:t>
            </w:r>
            <w:r w:rsidRPr="000A7AE8">
              <w:rPr>
                <w:rStyle w:val="BMSTableNote"/>
                <w:b/>
                <w:sz w:val="22"/>
                <w:szCs w:val="22"/>
              </w:rPr>
              <w:t>c</w:t>
            </w:r>
            <w:proofErr w:type="spellEnd"/>
          </w:p>
        </w:tc>
        <w:tc>
          <w:tcPr>
            <w:tcW w:w="539" w:type="pct"/>
            <w:tcBorders>
              <w:top w:val="single" w:sz="4" w:space="0" w:color="auto"/>
              <w:left w:val="single" w:sz="4" w:space="0" w:color="auto"/>
              <w:bottom w:val="single" w:sz="4" w:space="0" w:color="auto"/>
            </w:tcBorders>
            <w:vAlign w:val="center"/>
          </w:tcPr>
          <w:p w14:paraId="498429CD" w14:textId="77777777" w:rsidR="00580444" w:rsidRPr="000A7AE8" w:rsidRDefault="00580444" w:rsidP="00C02EB7">
            <w:pPr>
              <w:pStyle w:val="BMSTableText"/>
              <w:spacing w:before="0" w:after="0"/>
            </w:pPr>
            <w:r w:rsidRPr="000A7AE8">
              <w:t>14%</w:t>
            </w:r>
            <w:r w:rsidRPr="000A7AE8">
              <w:rPr>
                <w:rStyle w:val="BMSSuperscript"/>
                <w:sz w:val="24"/>
                <w:szCs w:val="24"/>
              </w:rPr>
              <w:t>***</w:t>
            </w:r>
          </w:p>
        </w:tc>
        <w:tc>
          <w:tcPr>
            <w:tcW w:w="526" w:type="pct"/>
            <w:tcBorders>
              <w:top w:val="single" w:sz="4" w:space="0" w:color="auto"/>
              <w:bottom w:val="single" w:sz="4" w:space="0" w:color="auto"/>
              <w:right w:val="single" w:sz="4" w:space="0" w:color="auto"/>
            </w:tcBorders>
            <w:vAlign w:val="center"/>
          </w:tcPr>
          <w:p w14:paraId="6E446CD2" w14:textId="77777777" w:rsidR="00580444" w:rsidRPr="000A7AE8" w:rsidRDefault="00580444" w:rsidP="00C02EB7">
            <w:pPr>
              <w:pStyle w:val="BMSTableText"/>
              <w:spacing w:before="0" w:after="0"/>
            </w:pPr>
            <w:r w:rsidRPr="000A7AE8">
              <w:t>2%</w:t>
            </w:r>
          </w:p>
        </w:tc>
        <w:tc>
          <w:tcPr>
            <w:tcW w:w="595" w:type="pct"/>
            <w:tcBorders>
              <w:top w:val="single" w:sz="4" w:space="0" w:color="auto"/>
              <w:left w:val="single" w:sz="4" w:space="0" w:color="auto"/>
              <w:bottom w:val="single" w:sz="4" w:space="0" w:color="auto"/>
            </w:tcBorders>
            <w:vAlign w:val="center"/>
          </w:tcPr>
          <w:p w14:paraId="520F9BD7" w14:textId="77777777" w:rsidR="00580444" w:rsidRPr="000A7AE8" w:rsidRDefault="00580444" w:rsidP="00C02EB7">
            <w:pPr>
              <w:pStyle w:val="BMSTableText"/>
              <w:spacing w:before="0" w:after="0"/>
            </w:pPr>
            <w:r w:rsidRPr="000A7AE8">
              <w:t>NA</w:t>
            </w:r>
          </w:p>
        </w:tc>
        <w:tc>
          <w:tcPr>
            <w:tcW w:w="549" w:type="pct"/>
            <w:tcBorders>
              <w:top w:val="single" w:sz="4" w:space="0" w:color="auto"/>
              <w:bottom w:val="single" w:sz="4" w:space="0" w:color="auto"/>
              <w:right w:val="single" w:sz="4" w:space="0" w:color="auto"/>
            </w:tcBorders>
            <w:vAlign w:val="center"/>
          </w:tcPr>
          <w:p w14:paraId="3BDA6225" w14:textId="77777777" w:rsidR="00580444" w:rsidRPr="000A7AE8" w:rsidRDefault="00580444" w:rsidP="00C02EB7">
            <w:pPr>
              <w:pStyle w:val="BMSTableText"/>
              <w:spacing w:before="0" w:after="0"/>
            </w:pPr>
            <w:r w:rsidRPr="000A7AE8">
              <w:t>NA</w:t>
            </w:r>
          </w:p>
        </w:tc>
        <w:tc>
          <w:tcPr>
            <w:tcW w:w="543" w:type="pct"/>
            <w:tcBorders>
              <w:top w:val="single" w:sz="4" w:space="0" w:color="auto"/>
              <w:left w:val="single" w:sz="4" w:space="0" w:color="auto"/>
              <w:bottom w:val="single" w:sz="4" w:space="0" w:color="auto"/>
            </w:tcBorders>
            <w:vAlign w:val="center"/>
          </w:tcPr>
          <w:p w14:paraId="43F3F384" w14:textId="77777777" w:rsidR="00580444" w:rsidRPr="000A7AE8" w:rsidRDefault="00580444" w:rsidP="00C02EB7">
            <w:pPr>
              <w:pStyle w:val="BMSTableText"/>
              <w:spacing w:before="0" w:after="0"/>
            </w:pPr>
            <w:r w:rsidRPr="000A7AE8">
              <w:t>27%</w:t>
            </w:r>
            <w:r w:rsidRPr="000A7AE8">
              <w:rPr>
                <w:rStyle w:val="BMSSuperscript"/>
                <w:sz w:val="24"/>
                <w:szCs w:val="24"/>
              </w:rPr>
              <w:t>***</w:t>
            </w:r>
          </w:p>
        </w:tc>
        <w:tc>
          <w:tcPr>
            <w:tcW w:w="417" w:type="pct"/>
            <w:tcBorders>
              <w:top w:val="single" w:sz="4" w:space="0" w:color="auto"/>
              <w:bottom w:val="single" w:sz="4" w:space="0" w:color="auto"/>
              <w:right w:val="single" w:sz="4" w:space="0" w:color="auto"/>
            </w:tcBorders>
            <w:vAlign w:val="center"/>
          </w:tcPr>
          <w:p w14:paraId="00D1F323" w14:textId="77777777" w:rsidR="00580444" w:rsidRPr="000A7AE8" w:rsidRDefault="00580444" w:rsidP="00C02EB7">
            <w:pPr>
              <w:pStyle w:val="BMSTableText"/>
              <w:spacing w:before="0" w:after="0"/>
            </w:pPr>
            <w:r w:rsidRPr="000A7AE8">
              <w:t>12%</w:t>
            </w:r>
          </w:p>
        </w:tc>
        <w:tc>
          <w:tcPr>
            <w:tcW w:w="601" w:type="pct"/>
            <w:tcBorders>
              <w:top w:val="single" w:sz="4" w:space="0" w:color="auto"/>
              <w:left w:val="single" w:sz="4" w:space="0" w:color="auto"/>
              <w:bottom w:val="single" w:sz="4" w:space="0" w:color="auto"/>
            </w:tcBorders>
            <w:vAlign w:val="center"/>
          </w:tcPr>
          <w:p w14:paraId="11693393" w14:textId="77777777" w:rsidR="00580444" w:rsidRPr="000A7AE8" w:rsidRDefault="00580444" w:rsidP="00C02EB7">
            <w:pPr>
              <w:pStyle w:val="BMSTableText"/>
              <w:spacing w:before="0" w:after="0"/>
            </w:pPr>
            <w:r w:rsidRPr="000A7AE8">
              <w:t>NA</w:t>
            </w:r>
          </w:p>
        </w:tc>
        <w:tc>
          <w:tcPr>
            <w:tcW w:w="530" w:type="pct"/>
            <w:tcBorders>
              <w:top w:val="single" w:sz="4" w:space="0" w:color="auto"/>
              <w:bottom w:val="single" w:sz="4" w:space="0" w:color="auto"/>
            </w:tcBorders>
            <w:vAlign w:val="center"/>
          </w:tcPr>
          <w:p w14:paraId="0BEC482D" w14:textId="77777777" w:rsidR="00580444" w:rsidRPr="000A7AE8" w:rsidRDefault="00580444" w:rsidP="00C02EB7">
            <w:pPr>
              <w:pStyle w:val="BMSTableText"/>
              <w:spacing w:before="0" w:after="0"/>
            </w:pPr>
            <w:r w:rsidRPr="000A7AE8">
              <w:t>NA</w:t>
            </w:r>
          </w:p>
        </w:tc>
      </w:tr>
      <w:tr w:rsidR="000A7AE8" w:rsidRPr="000A7AE8" w14:paraId="0A1A11E6" w14:textId="77777777" w:rsidTr="00C02EB7">
        <w:tc>
          <w:tcPr>
            <w:tcW w:w="701" w:type="pct"/>
            <w:tcBorders>
              <w:top w:val="single" w:sz="4" w:space="0" w:color="auto"/>
              <w:right w:val="single" w:sz="4" w:space="0" w:color="auto"/>
            </w:tcBorders>
            <w:vAlign w:val="center"/>
          </w:tcPr>
          <w:p w14:paraId="5BAA5E7F" w14:textId="77777777" w:rsidR="00580444" w:rsidRPr="000A7AE8" w:rsidRDefault="00580444" w:rsidP="00C02EB7">
            <w:pPr>
              <w:pStyle w:val="BMSTableText"/>
              <w:keepNext/>
              <w:keepLines/>
              <w:jc w:val="left"/>
              <w:rPr>
                <w:b/>
                <w:lang w:val="pt-BR"/>
              </w:rPr>
            </w:pPr>
            <w:r w:rsidRPr="000A7AE8">
              <w:rPr>
                <w:b/>
                <w:lang w:val="pt-BR"/>
              </w:rPr>
              <w:t>DAS28-CRP Remission</w:t>
            </w:r>
            <w:r w:rsidRPr="000A7AE8">
              <w:rPr>
                <w:b/>
                <w:lang w:val="pt-BR"/>
              </w:rPr>
              <w:br/>
              <w:t>&lt;2.6</w:t>
            </w:r>
            <w:r w:rsidRPr="000A7AE8">
              <w:rPr>
                <w:rStyle w:val="BMSTableNote"/>
                <w:b/>
                <w:sz w:val="22"/>
                <w:szCs w:val="22"/>
                <w:lang w:val="pt-BR"/>
              </w:rPr>
              <w:t>d</w:t>
            </w:r>
          </w:p>
        </w:tc>
        <w:tc>
          <w:tcPr>
            <w:tcW w:w="539" w:type="pct"/>
            <w:tcBorders>
              <w:top w:val="single" w:sz="4" w:space="0" w:color="auto"/>
              <w:left w:val="single" w:sz="4" w:space="0" w:color="auto"/>
            </w:tcBorders>
            <w:vAlign w:val="center"/>
          </w:tcPr>
          <w:p w14:paraId="31F81C3F" w14:textId="77777777" w:rsidR="00580444" w:rsidRPr="000A7AE8" w:rsidRDefault="00580444" w:rsidP="00C02EB7">
            <w:pPr>
              <w:pStyle w:val="BMSTableText"/>
              <w:spacing w:before="0" w:after="0"/>
              <w:rPr>
                <w:lang w:val="pt-BR"/>
              </w:rPr>
            </w:pPr>
          </w:p>
        </w:tc>
        <w:tc>
          <w:tcPr>
            <w:tcW w:w="526" w:type="pct"/>
            <w:tcBorders>
              <w:top w:val="single" w:sz="4" w:space="0" w:color="auto"/>
              <w:left w:val="nil"/>
              <w:right w:val="single" w:sz="4" w:space="0" w:color="auto"/>
            </w:tcBorders>
            <w:vAlign w:val="center"/>
          </w:tcPr>
          <w:p w14:paraId="1660777A" w14:textId="77777777" w:rsidR="00580444" w:rsidRPr="000A7AE8" w:rsidRDefault="00580444" w:rsidP="00C02EB7">
            <w:pPr>
              <w:pStyle w:val="BMSTableText"/>
              <w:spacing w:before="0" w:after="0"/>
              <w:rPr>
                <w:lang w:val="pt-BR"/>
              </w:rPr>
            </w:pPr>
          </w:p>
        </w:tc>
        <w:tc>
          <w:tcPr>
            <w:tcW w:w="595" w:type="pct"/>
            <w:tcBorders>
              <w:top w:val="single" w:sz="4" w:space="0" w:color="auto"/>
              <w:left w:val="single" w:sz="4" w:space="0" w:color="auto"/>
            </w:tcBorders>
            <w:vAlign w:val="center"/>
          </w:tcPr>
          <w:p w14:paraId="0DD44DF4" w14:textId="77777777" w:rsidR="00580444" w:rsidRPr="000A7AE8" w:rsidRDefault="00580444" w:rsidP="00C02EB7">
            <w:pPr>
              <w:pStyle w:val="BMSTableText"/>
              <w:spacing w:before="0" w:after="0"/>
              <w:rPr>
                <w:lang w:val="pt-BR"/>
              </w:rPr>
            </w:pPr>
          </w:p>
        </w:tc>
        <w:tc>
          <w:tcPr>
            <w:tcW w:w="549" w:type="pct"/>
            <w:tcBorders>
              <w:top w:val="single" w:sz="4" w:space="0" w:color="auto"/>
              <w:left w:val="nil"/>
              <w:right w:val="single" w:sz="4" w:space="0" w:color="auto"/>
            </w:tcBorders>
            <w:vAlign w:val="center"/>
          </w:tcPr>
          <w:p w14:paraId="24BF39D2" w14:textId="77777777" w:rsidR="00580444" w:rsidRPr="000A7AE8" w:rsidRDefault="00580444" w:rsidP="00C02EB7">
            <w:pPr>
              <w:pStyle w:val="BMSTableText"/>
              <w:spacing w:before="0" w:after="0"/>
              <w:rPr>
                <w:lang w:val="pt-BR"/>
              </w:rPr>
            </w:pPr>
          </w:p>
        </w:tc>
        <w:tc>
          <w:tcPr>
            <w:tcW w:w="543" w:type="pct"/>
            <w:tcBorders>
              <w:top w:val="single" w:sz="4" w:space="0" w:color="auto"/>
              <w:left w:val="single" w:sz="4" w:space="0" w:color="auto"/>
            </w:tcBorders>
            <w:vAlign w:val="center"/>
          </w:tcPr>
          <w:p w14:paraId="5719FF42" w14:textId="77777777" w:rsidR="00580444" w:rsidRPr="000A7AE8" w:rsidRDefault="00580444" w:rsidP="00C02EB7">
            <w:pPr>
              <w:pStyle w:val="BMSTableText"/>
              <w:spacing w:before="0" w:after="0"/>
              <w:rPr>
                <w:lang w:val="pt-BR"/>
              </w:rPr>
            </w:pPr>
          </w:p>
        </w:tc>
        <w:tc>
          <w:tcPr>
            <w:tcW w:w="417" w:type="pct"/>
            <w:tcBorders>
              <w:top w:val="single" w:sz="4" w:space="0" w:color="auto"/>
              <w:right w:val="single" w:sz="4" w:space="0" w:color="auto"/>
            </w:tcBorders>
            <w:vAlign w:val="center"/>
          </w:tcPr>
          <w:p w14:paraId="1B627C3E" w14:textId="77777777" w:rsidR="00580444" w:rsidRPr="000A7AE8" w:rsidRDefault="00580444" w:rsidP="00C02EB7">
            <w:pPr>
              <w:pStyle w:val="BMSTableText"/>
              <w:spacing w:before="0" w:after="0"/>
              <w:rPr>
                <w:lang w:val="pt-BR"/>
              </w:rPr>
            </w:pPr>
          </w:p>
        </w:tc>
        <w:tc>
          <w:tcPr>
            <w:tcW w:w="601" w:type="pct"/>
            <w:tcBorders>
              <w:top w:val="single" w:sz="4" w:space="0" w:color="auto"/>
              <w:left w:val="single" w:sz="4" w:space="0" w:color="auto"/>
            </w:tcBorders>
            <w:vAlign w:val="center"/>
          </w:tcPr>
          <w:p w14:paraId="2C451444" w14:textId="77777777" w:rsidR="00580444" w:rsidRPr="000A7AE8" w:rsidRDefault="00580444" w:rsidP="00C02EB7">
            <w:pPr>
              <w:pStyle w:val="BMSTableText"/>
              <w:spacing w:before="0" w:after="0"/>
              <w:rPr>
                <w:lang w:val="pt-BR"/>
              </w:rPr>
            </w:pPr>
          </w:p>
        </w:tc>
        <w:tc>
          <w:tcPr>
            <w:tcW w:w="530" w:type="pct"/>
            <w:tcBorders>
              <w:top w:val="single" w:sz="4" w:space="0" w:color="auto"/>
            </w:tcBorders>
            <w:vAlign w:val="center"/>
          </w:tcPr>
          <w:p w14:paraId="712741F4" w14:textId="77777777" w:rsidR="00580444" w:rsidRPr="000A7AE8" w:rsidRDefault="00580444" w:rsidP="00C02EB7">
            <w:pPr>
              <w:pStyle w:val="BMSTableText"/>
              <w:spacing w:before="0" w:after="0"/>
              <w:rPr>
                <w:lang w:val="pt-BR"/>
              </w:rPr>
            </w:pPr>
          </w:p>
        </w:tc>
      </w:tr>
      <w:tr w:rsidR="000A7AE8" w:rsidRPr="000A7AE8" w14:paraId="637C0686" w14:textId="77777777" w:rsidTr="00C02EB7">
        <w:tc>
          <w:tcPr>
            <w:tcW w:w="701" w:type="pct"/>
            <w:tcBorders>
              <w:bottom w:val="double" w:sz="4" w:space="0" w:color="auto"/>
              <w:right w:val="single" w:sz="4" w:space="0" w:color="auto"/>
            </w:tcBorders>
            <w:vAlign w:val="center"/>
          </w:tcPr>
          <w:p w14:paraId="252D5988" w14:textId="77777777" w:rsidR="00580444" w:rsidRPr="000A7AE8" w:rsidRDefault="00580444" w:rsidP="00C02EB7">
            <w:pPr>
              <w:pStyle w:val="BMSTableText"/>
              <w:keepNext/>
              <w:keepLines/>
              <w:tabs>
                <w:tab w:val="clear" w:pos="360"/>
                <w:tab w:val="left" w:pos="115"/>
              </w:tabs>
              <w:jc w:val="left"/>
              <w:rPr>
                <w:lang w:val="pt-BR"/>
              </w:rPr>
            </w:pPr>
            <w:r w:rsidRPr="000A7AE8">
              <w:rPr>
                <w:lang w:val="pt-BR"/>
              </w:rPr>
              <w:t>Month 12</w:t>
            </w:r>
          </w:p>
        </w:tc>
        <w:tc>
          <w:tcPr>
            <w:tcW w:w="539" w:type="pct"/>
            <w:tcBorders>
              <w:left w:val="single" w:sz="4" w:space="0" w:color="auto"/>
              <w:bottom w:val="double" w:sz="4" w:space="0" w:color="auto"/>
            </w:tcBorders>
            <w:vAlign w:val="center"/>
          </w:tcPr>
          <w:p w14:paraId="57D079FE" w14:textId="77777777" w:rsidR="00580444" w:rsidRPr="000A7AE8" w:rsidRDefault="00580444" w:rsidP="00C02EB7">
            <w:pPr>
              <w:pStyle w:val="BMSTableText"/>
              <w:spacing w:before="0" w:after="0"/>
              <w:rPr>
                <w:lang w:val="pt-BR"/>
              </w:rPr>
            </w:pPr>
            <w:r w:rsidRPr="000A7AE8">
              <w:rPr>
                <w:lang w:val="pt-BR"/>
              </w:rPr>
              <w:t>NA</w:t>
            </w:r>
          </w:p>
        </w:tc>
        <w:tc>
          <w:tcPr>
            <w:tcW w:w="526" w:type="pct"/>
            <w:tcBorders>
              <w:bottom w:val="double" w:sz="4" w:space="0" w:color="auto"/>
              <w:right w:val="single" w:sz="4" w:space="0" w:color="auto"/>
            </w:tcBorders>
            <w:vAlign w:val="center"/>
          </w:tcPr>
          <w:p w14:paraId="73E4D8F7" w14:textId="77777777" w:rsidR="00580444" w:rsidRPr="000A7AE8" w:rsidRDefault="00580444" w:rsidP="00C02EB7">
            <w:pPr>
              <w:pStyle w:val="BMSTableText"/>
              <w:spacing w:before="0" w:after="0"/>
              <w:rPr>
                <w:lang w:val="pt-BR"/>
              </w:rPr>
            </w:pPr>
            <w:r w:rsidRPr="000A7AE8">
              <w:rPr>
                <w:lang w:val="pt-BR"/>
              </w:rPr>
              <w:t>NA</w:t>
            </w:r>
          </w:p>
        </w:tc>
        <w:tc>
          <w:tcPr>
            <w:tcW w:w="595" w:type="pct"/>
            <w:tcBorders>
              <w:left w:val="single" w:sz="4" w:space="0" w:color="auto"/>
              <w:bottom w:val="double" w:sz="4" w:space="0" w:color="auto"/>
            </w:tcBorders>
            <w:vAlign w:val="center"/>
          </w:tcPr>
          <w:p w14:paraId="2D6477D0" w14:textId="77777777" w:rsidR="00580444" w:rsidRPr="000A7AE8" w:rsidRDefault="00580444" w:rsidP="00C02EB7">
            <w:pPr>
              <w:pStyle w:val="BMSTableText"/>
              <w:spacing w:before="0" w:after="0"/>
              <w:rPr>
                <w:lang w:val="pt-BR"/>
              </w:rPr>
            </w:pPr>
            <w:r w:rsidRPr="000A7AE8">
              <w:rPr>
                <w:lang w:val="pt-BR"/>
              </w:rPr>
              <w:t>NA</w:t>
            </w:r>
          </w:p>
        </w:tc>
        <w:tc>
          <w:tcPr>
            <w:tcW w:w="549" w:type="pct"/>
            <w:tcBorders>
              <w:bottom w:val="double" w:sz="4" w:space="0" w:color="auto"/>
              <w:right w:val="single" w:sz="4" w:space="0" w:color="auto"/>
            </w:tcBorders>
            <w:vAlign w:val="center"/>
          </w:tcPr>
          <w:p w14:paraId="0255389D" w14:textId="77777777" w:rsidR="00580444" w:rsidRPr="000A7AE8" w:rsidRDefault="00580444" w:rsidP="00C02EB7">
            <w:pPr>
              <w:pStyle w:val="BMSTableText"/>
              <w:spacing w:before="0" w:after="0"/>
              <w:rPr>
                <w:lang w:val="pt-BR"/>
              </w:rPr>
            </w:pPr>
            <w:r w:rsidRPr="000A7AE8">
              <w:rPr>
                <w:lang w:val="pt-BR"/>
              </w:rPr>
              <w:t>NA</w:t>
            </w:r>
          </w:p>
        </w:tc>
        <w:tc>
          <w:tcPr>
            <w:tcW w:w="543" w:type="pct"/>
            <w:tcBorders>
              <w:left w:val="single" w:sz="4" w:space="0" w:color="auto"/>
              <w:bottom w:val="double" w:sz="4" w:space="0" w:color="auto"/>
            </w:tcBorders>
            <w:vAlign w:val="center"/>
          </w:tcPr>
          <w:p w14:paraId="1A698E8B" w14:textId="77777777" w:rsidR="00580444" w:rsidRPr="000A7AE8" w:rsidRDefault="00580444" w:rsidP="00C02EB7">
            <w:pPr>
              <w:pStyle w:val="BMSTableText"/>
              <w:spacing w:before="0" w:after="0"/>
              <w:rPr>
                <w:lang w:val="pt-BR"/>
              </w:rPr>
            </w:pPr>
            <w:r w:rsidRPr="000A7AE8">
              <w:rPr>
                <w:lang w:val="pt-BR"/>
              </w:rPr>
              <w:t>41%</w:t>
            </w:r>
            <w:r w:rsidRPr="000A7AE8">
              <w:rPr>
                <w:rStyle w:val="BMSSuperscript"/>
                <w:sz w:val="24"/>
                <w:szCs w:val="24"/>
              </w:rPr>
              <w:t>***</w:t>
            </w:r>
          </w:p>
        </w:tc>
        <w:tc>
          <w:tcPr>
            <w:tcW w:w="417" w:type="pct"/>
            <w:tcBorders>
              <w:left w:val="nil"/>
              <w:bottom w:val="double" w:sz="4" w:space="0" w:color="auto"/>
              <w:right w:val="single" w:sz="4" w:space="0" w:color="auto"/>
            </w:tcBorders>
            <w:vAlign w:val="center"/>
          </w:tcPr>
          <w:p w14:paraId="5E8E241E" w14:textId="77777777" w:rsidR="00580444" w:rsidRPr="000A7AE8" w:rsidRDefault="00580444" w:rsidP="00C02EB7">
            <w:pPr>
              <w:pStyle w:val="BMSTableText"/>
              <w:spacing w:before="0" w:after="0"/>
              <w:rPr>
                <w:lang w:val="pt-BR"/>
              </w:rPr>
            </w:pPr>
            <w:r w:rsidRPr="000A7AE8">
              <w:rPr>
                <w:lang w:val="pt-BR"/>
              </w:rPr>
              <w:t>23%</w:t>
            </w:r>
          </w:p>
        </w:tc>
        <w:tc>
          <w:tcPr>
            <w:tcW w:w="601" w:type="pct"/>
            <w:tcBorders>
              <w:left w:val="single" w:sz="4" w:space="0" w:color="auto"/>
              <w:bottom w:val="double" w:sz="4" w:space="0" w:color="auto"/>
            </w:tcBorders>
            <w:vAlign w:val="center"/>
          </w:tcPr>
          <w:p w14:paraId="0E0C7788" w14:textId="77777777" w:rsidR="00580444" w:rsidRPr="000A7AE8" w:rsidRDefault="00580444" w:rsidP="00C02EB7">
            <w:pPr>
              <w:pStyle w:val="BMSTableText"/>
              <w:spacing w:before="0" w:after="0"/>
              <w:rPr>
                <w:lang w:val="pt-BR"/>
              </w:rPr>
            </w:pPr>
            <w:r w:rsidRPr="000A7AE8">
              <w:rPr>
                <w:lang w:val="pt-BR"/>
              </w:rPr>
              <w:t>NA</w:t>
            </w:r>
          </w:p>
        </w:tc>
        <w:tc>
          <w:tcPr>
            <w:tcW w:w="530" w:type="pct"/>
            <w:tcBorders>
              <w:left w:val="nil"/>
              <w:bottom w:val="double" w:sz="4" w:space="0" w:color="auto"/>
            </w:tcBorders>
            <w:vAlign w:val="center"/>
          </w:tcPr>
          <w:p w14:paraId="0F524DB6" w14:textId="77777777" w:rsidR="00580444" w:rsidRPr="000A7AE8" w:rsidRDefault="00580444" w:rsidP="00C02EB7">
            <w:pPr>
              <w:pStyle w:val="BMSTableText"/>
              <w:spacing w:before="0" w:after="0"/>
              <w:rPr>
                <w:lang w:val="pt-BR"/>
              </w:rPr>
            </w:pPr>
            <w:r w:rsidRPr="000A7AE8">
              <w:rPr>
                <w:lang w:val="pt-BR"/>
              </w:rPr>
              <w:t>NA</w:t>
            </w:r>
          </w:p>
        </w:tc>
      </w:tr>
    </w:tbl>
    <w:p w14:paraId="2813207E" w14:textId="33CEE2FA" w:rsidR="00580444" w:rsidRPr="000A7AE8" w:rsidRDefault="00580444" w:rsidP="00580444">
      <w:pPr>
        <w:pStyle w:val="BMSTableNoteInfo"/>
        <w:keepNext/>
        <w:keepLines/>
        <w:tabs>
          <w:tab w:val="clear" w:pos="216"/>
          <w:tab w:val="left" w:pos="360"/>
        </w:tabs>
        <w:spacing w:before="0"/>
        <w:ind w:left="0" w:firstLine="0"/>
        <w:rPr>
          <w:rStyle w:val="BMSTableNote"/>
          <w:sz w:val="18"/>
          <w:szCs w:val="18"/>
        </w:rPr>
      </w:pPr>
      <w:proofErr w:type="gramStart"/>
      <w:r w:rsidRPr="000A7AE8">
        <w:rPr>
          <w:rStyle w:val="BMSTableNote"/>
          <w:sz w:val="18"/>
          <w:szCs w:val="18"/>
        </w:rPr>
        <w:t>*</w:t>
      </w:r>
      <w:r w:rsidRPr="000A7AE8">
        <w:rPr>
          <w:rStyle w:val="BMSTableNote"/>
          <w:sz w:val="18"/>
          <w:szCs w:val="18"/>
        </w:rPr>
        <w:tab/>
      </w:r>
      <w:r w:rsidRPr="000A7AE8">
        <w:rPr>
          <w:color w:val="auto"/>
          <w:sz w:val="18"/>
          <w:szCs w:val="18"/>
        </w:rPr>
        <w:t>p&lt;0.05, ORENCIA vs</w:t>
      </w:r>
      <w:r w:rsidR="003D6965" w:rsidRPr="000A7AE8">
        <w:rPr>
          <w:color w:val="auto"/>
          <w:sz w:val="18"/>
          <w:szCs w:val="18"/>
        </w:rPr>
        <w:t>.</w:t>
      </w:r>
      <w:r w:rsidRPr="000A7AE8">
        <w:rPr>
          <w:color w:val="auto"/>
          <w:sz w:val="18"/>
          <w:szCs w:val="18"/>
        </w:rPr>
        <w:t xml:space="preserve"> placebo or ORENCIA+MTX vs</w:t>
      </w:r>
      <w:r w:rsidR="003D6965" w:rsidRPr="000A7AE8">
        <w:rPr>
          <w:color w:val="auto"/>
          <w:sz w:val="18"/>
          <w:szCs w:val="18"/>
        </w:rPr>
        <w:t>.</w:t>
      </w:r>
      <w:r w:rsidRPr="000A7AE8">
        <w:rPr>
          <w:color w:val="auto"/>
          <w:sz w:val="18"/>
          <w:szCs w:val="18"/>
        </w:rPr>
        <w:t xml:space="preserve"> </w:t>
      </w:r>
      <w:proofErr w:type="spellStart"/>
      <w:r w:rsidRPr="000A7AE8">
        <w:rPr>
          <w:color w:val="auto"/>
          <w:sz w:val="18"/>
          <w:szCs w:val="18"/>
        </w:rPr>
        <w:t>MTX+placebo</w:t>
      </w:r>
      <w:proofErr w:type="spellEnd"/>
      <w:r w:rsidRPr="000A7AE8">
        <w:rPr>
          <w:color w:val="auto"/>
          <w:sz w:val="18"/>
          <w:szCs w:val="18"/>
        </w:rPr>
        <w:t xml:space="preserve"> (Study VI).</w:t>
      </w:r>
      <w:proofErr w:type="gramEnd"/>
    </w:p>
    <w:p w14:paraId="00D24523" w14:textId="095FA91F" w:rsidR="00580444" w:rsidRPr="000A7AE8" w:rsidRDefault="00580444" w:rsidP="00580444">
      <w:pPr>
        <w:pStyle w:val="BMSTableNoteInfo"/>
        <w:keepNext/>
        <w:keepLines/>
        <w:tabs>
          <w:tab w:val="clear" w:pos="216"/>
          <w:tab w:val="left" w:pos="360"/>
        </w:tabs>
        <w:spacing w:before="0"/>
        <w:ind w:left="0" w:firstLine="0"/>
        <w:rPr>
          <w:color w:val="auto"/>
          <w:sz w:val="18"/>
          <w:szCs w:val="18"/>
        </w:rPr>
      </w:pPr>
      <w:proofErr w:type="gramStart"/>
      <w:r w:rsidRPr="000A7AE8">
        <w:rPr>
          <w:rStyle w:val="BMSTableNote"/>
          <w:sz w:val="18"/>
          <w:szCs w:val="18"/>
        </w:rPr>
        <w:t>**</w:t>
      </w:r>
      <w:r w:rsidRPr="000A7AE8">
        <w:rPr>
          <w:rStyle w:val="BMSTableNote"/>
          <w:sz w:val="18"/>
          <w:szCs w:val="18"/>
        </w:rPr>
        <w:tab/>
      </w:r>
      <w:r w:rsidRPr="000A7AE8">
        <w:rPr>
          <w:color w:val="auto"/>
          <w:sz w:val="18"/>
          <w:szCs w:val="18"/>
        </w:rPr>
        <w:t>p&lt;0.01, ORENCIA vs</w:t>
      </w:r>
      <w:r w:rsidR="003D6965" w:rsidRPr="000A7AE8">
        <w:rPr>
          <w:color w:val="auto"/>
          <w:sz w:val="18"/>
          <w:szCs w:val="18"/>
        </w:rPr>
        <w:t>.</w:t>
      </w:r>
      <w:r w:rsidRPr="000A7AE8">
        <w:rPr>
          <w:color w:val="auto"/>
          <w:sz w:val="18"/>
          <w:szCs w:val="18"/>
        </w:rPr>
        <w:t xml:space="preserve"> placebo or ORENCIA+MTX vs</w:t>
      </w:r>
      <w:r w:rsidR="003D6965" w:rsidRPr="000A7AE8">
        <w:rPr>
          <w:color w:val="auto"/>
          <w:sz w:val="18"/>
          <w:szCs w:val="18"/>
        </w:rPr>
        <w:t>.</w:t>
      </w:r>
      <w:r w:rsidRPr="000A7AE8">
        <w:rPr>
          <w:color w:val="auto"/>
          <w:sz w:val="18"/>
          <w:szCs w:val="18"/>
        </w:rPr>
        <w:t xml:space="preserve"> </w:t>
      </w:r>
      <w:proofErr w:type="spellStart"/>
      <w:r w:rsidRPr="000A7AE8">
        <w:rPr>
          <w:color w:val="auto"/>
          <w:sz w:val="18"/>
          <w:szCs w:val="18"/>
        </w:rPr>
        <w:t>MTX+placebo</w:t>
      </w:r>
      <w:proofErr w:type="spellEnd"/>
      <w:r w:rsidRPr="000A7AE8">
        <w:rPr>
          <w:color w:val="auto"/>
          <w:sz w:val="18"/>
          <w:szCs w:val="18"/>
        </w:rPr>
        <w:t xml:space="preserve"> (Study VI).</w:t>
      </w:r>
      <w:proofErr w:type="gramEnd"/>
    </w:p>
    <w:p w14:paraId="1DB30E82" w14:textId="144271CD" w:rsidR="00580444" w:rsidRPr="000A7AE8" w:rsidRDefault="00580444" w:rsidP="00580444">
      <w:pPr>
        <w:pStyle w:val="BMSTableNoteInfo"/>
        <w:keepNext/>
        <w:keepLines/>
        <w:tabs>
          <w:tab w:val="clear" w:pos="216"/>
          <w:tab w:val="left" w:pos="360"/>
        </w:tabs>
        <w:spacing w:before="0"/>
        <w:ind w:left="0" w:firstLine="0"/>
        <w:rPr>
          <w:color w:val="auto"/>
          <w:sz w:val="18"/>
          <w:szCs w:val="18"/>
        </w:rPr>
      </w:pPr>
      <w:proofErr w:type="gramStart"/>
      <w:r w:rsidRPr="000A7AE8">
        <w:rPr>
          <w:rStyle w:val="BMSTableNote"/>
          <w:sz w:val="18"/>
          <w:szCs w:val="18"/>
        </w:rPr>
        <w:t>***</w:t>
      </w:r>
      <w:r w:rsidRPr="000A7AE8">
        <w:rPr>
          <w:rStyle w:val="BMSTableNote"/>
          <w:sz w:val="18"/>
          <w:szCs w:val="18"/>
        </w:rPr>
        <w:tab/>
      </w:r>
      <w:r w:rsidRPr="000A7AE8">
        <w:rPr>
          <w:color w:val="auto"/>
          <w:sz w:val="18"/>
          <w:szCs w:val="18"/>
        </w:rPr>
        <w:t>p&lt;0.001, ORENCIA vs</w:t>
      </w:r>
      <w:r w:rsidR="003D6965" w:rsidRPr="000A7AE8">
        <w:rPr>
          <w:color w:val="auto"/>
          <w:sz w:val="18"/>
          <w:szCs w:val="18"/>
        </w:rPr>
        <w:t>.</w:t>
      </w:r>
      <w:r w:rsidRPr="000A7AE8">
        <w:rPr>
          <w:color w:val="auto"/>
          <w:sz w:val="18"/>
          <w:szCs w:val="18"/>
        </w:rPr>
        <w:t xml:space="preserve"> placebo or ORENCIA+MTX vs</w:t>
      </w:r>
      <w:r w:rsidR="003D6965" w:rsidRPr="000A7AE8">
        <w:rPr>
          <w:color w:val="auto"/>
          <w:sz w:val="18"/>
          <w:szCs w:val="18"/>
        </w:rPr>
        <w:t>.</w:t>
      </w:r>
      <w:r w:rsidRPr="000A7AE8">
        <w:rPr>
          <w:color w:val="auto"/>
          <w:sz w:val="18"/>
          <w:szCs w:val="18"/>
        </w:rPr>
        <w:t xml:space="preserve"> </w:t>
      </w:r>
      <w:proofErr w:type="spellStart"/>
      <w:r w:rsidRPr="000A7AE8">
        <w:rPr>
          <w:color w:val="auto"/>
          <w:sz w:val="18"/>
          <w:szCs w:val="18"/>
        </w:rPr>
        <w:t>MTX+placebo</w:t>
      </w:r>
      <w:proofErr w:type="spellEnd"/>
      <w:r w:rsidRPr="000A7AE8">
        <w:rPr>
          <w:color w:val="auto"/>
          <w:sz w:val="18"/>
          <w:szCs w:val="18"/>
        </w:rPr>
        <w:t xml:space="preserve"> (Study VI).</w:t>
      </w:r>
      <w:proofErr w:type="gramEnd"/>
    </w:p>
    <w:p w14:paraId="79404CF1" w14:textId="5F0E92B7" w:rsidR="00580444" w:rsidRPr="000A7AE8" w:rsidRDefault="00580444" w:rsidP="00580444">
      <w:pPr>
        <w:pStyle w:val="BMSBodyText"/>
        <w:tabs>
          <w:tab w:val="left" w:pos="360"/>
        </w:tabs>
        <w:spacing w:before="0" w:after="0" w:line="240" w:lineRule="auto"/>
        <w:rPr>
          <w:color w:val="auto"/>
          <w:sz w:val="18"/>
          <w:szCs w:val="18"/>
        </w:rPr>
      </w:pPr>
      <w:r w:rsidRPr="000A7AE8">
        <w:rPr>
          <w:rStyle w:val="BMSSuperscript"/>
          <w:color w:val="auto"/>
          <w:sz w:val="18"/>
          <w:szCs w:val="18"/>
        </w:rPr>
        <w:t>§</w:t>
      </w:r>
      <w:r w:rsidRPr="000A7AE8">
        <w:rPr>
          <w:rStyle w:val="BMSSuperscript"/>
          <w:color w:val="auto"/>
          <w:sz w:val="18"/>
          <w:szCs w:val="18"/>
        </w:rPr>
        <w:tab/>
      </w:r>
      <w:r w:rsidRPr="000A7AE8">
        <w:rPr>
          <w:color w:val="auto"/>
          <w:sz w:val="18"/>
          <w:szCs w:val="18"/>
        </w:rPr>
        <w:t xml:space="preserve">95% CI: −4.2, 4.8 (based on </w:t>
      </w:r>
      <w:proofErr w:type="spellStart"/>
      <w:r w:rsidRPr="000A7AE8">
        <w:rPr>
          <w:color w:val="auto"/>
          <w:sz w:val="18"/>
          <w:szCs w:val="18"/>
        </w:rPr>
        <w:t>prespecified</w:t>
      </w:r>
      <w:proofErr w:type="spellEnd"/>
      <w:r w:rsidRPr="000A7AE8">
        <w:rPr>
          <w:color w:val="auto"/>
          <w:sz w:val="18"/>
          <w:szCs w:val="18"/>
        </w:rPr>
        <w:t xml:space="preserve"> margin for non-inferiority of −7.5%)</w:t>
      </w:r>
      <w:r w:rsidR="003D6965" w:rsidRPr="000A7AE8">
        <w:rPr>
          <w:color w:val="auto"/>
          <w:sz w:val="18"/>
          <w:szCs w:val="18"/>
        </w:rPr>
        <w:t>.</w:t>
      </w:r>
    </w:p>
    <w:p w14:paraId="32D4BC57" w14:textId="77777777" w:rsidR="00580444" w:rsidRPr="000A7AE8" w:rsidRDefault="00580444" w:rsidP="00580444">
      <w:pPr>
        <w:pStyle w:val="BMSTableNoteInfo"/>
        <w:tabs>
          <w:tab w:val="clear" w:pos="216"/>
          <w:tab w:val="left" w:pos="360"/>
        </w:tabs>
        <w:spacing w:before="0"/>
        <w:ind w:left="0" w:firstLine="0"/>
        <w:rPr>
          <w:color w:val="auto"/>
          <w:sz w:val="18"/>
          <w:szCs w:val="18"/>
        </w:rPr>
      </w:pPr>
      <w:proofErr w:type="gramStart"/>
      <w:r w:rsidRPr="000A7AE8">
        <w:rPr>
          <w:rStyle w:val="BMSTableNote"/>
          <w:sz w:val="18"/>
          <w:szCs w:val="18"/>
        </w:rPr>
        <w:t>a</w:t>
      </w:r>
      <w:proofErr w:type="gramEnd"/>
      <w:r w:rsidRPr="000A7AE8">
        <w:rPr>
          <w:rStyle w:val="BMSTableNote"/>
          <w:sz w:val="18"/>
          <w:szCs w:val="18"/>
        </w:rPr>
        <w:tab/>
      </w:r>
      <w:r w:rsidRPr="000A7AE8">
        <w:rPr>
          <w:color w:val="auto"/>
          <w:sz w:val="18"/>
          <w:szCs w:val="18"/>
        </w:rPr>
        <w:t>Fixed dose approximating 10 mg/kg.</w:t>
      </w:r>
    </w:p>
    <w:p w14:paraId="264A1E5D" w14:textId="77777777" w:rsidR="00580444" w:rsidRPr="000A7AE8" w:rsidRDefault="00580444" w:rsidP="00580444">
      <w:pPr>
        <w:pStyle w:val="BMSTableNoteInfo"/>
        <w:tabs>
          <w:tab w:val="clear" w:pos="216"/>
          <w:tab w:val="left" w:pos="360"/>
        </w:tabs>
        <w:spacing w:before="0"/>
        <w:ind w:left="360" w:hanging="360"/>
        <w:rPr>
          <w:color w:val="auto"/>
          <w:sz w:val="18"/>
          <w:szCs w:val="18"/>
        </w:rPr>
      </w:pPr>
      <w:proofErr w:type="gramStart"/>
      <w:r w:rsidRPr="000A7AE8">
        <w:rPr>
          <w:rStyle w:val="BMSTableNote"/>
          <w:sz w:val="18"/>
          <w:szCs w:val="18"/>
        </w:rPr>
        <w:t>b</w:t>
      </w:r>
      <w:proofErr w:type="gramEnd"/>
      <w:r w:rsidRPr="000A7AE8">
        <w:rPr>
          <w:rStyle w:val="BMSTableNote"/>
          <w:sz w:val="18"/>
          <w:szCs w:val="18"/>
        </w:rPr>
        <w:tab/>
      </w:r>
      <w:r w:rsidRPr="000A7AE8">
        <w:rPr>
          <w:color w:val="auto"/>
          <w:sz w:val="18"/>
          <w:szCs w:val="18"/>
        </w:rPr>
        <w:t xml:space="preserve">Concurrent DMARDs included one or more of the following: MTX, azathioprine, chloroquine/hydroxychloroquine, gold, </w:t>
      </w:r>
      <w:proofErr w:type="spellStart"/>
      <w:r w:rsidRPr="000A7AE8">
        <w:rPr>
          <w:color w:val="auto"/>
          <w:sz w:val="18"/>
          <w:szCs w:val="18"/>
        </w:rPr>
        <w:t>leflunomide</w:t>
      </w:r>
      <w:proofErr w:type="spellEnd"/>
      <w:r w:rsidRPr="000A7AE8">
        <w:rPr>
          <w:color w:val="auto"/>
          <w:sz w:val="18"/>
          <w:szCs w:val="18"/>
        </w:rPr>
        <w:t xml:space="preserve">, sulfasalazine, and </w:t>
      </w:r>
      <w:proofErr w:type="spellStart"/>
      <w:r w:rsidRPr="000A7AE8">
        <w:rPr>
          <w:color w:val="auto"/>
          <w:sz w:val="18"/>
          <w:szCs w:val="18"/>
        </w:rPr>
        <w:t>anakinra</w:t>
      </w:r>
      <w:proofErr w:type="spellEnd"/>
      <w:r w:rsidRPr="000A7AE8">
        <w:rPr>
          <w:color w:val="auto"/>
          <w:sz w:val="18"/>
          <w:szCs w:val="18"/>
        </w:rPr>
        <w:t>.</w:t>
      </w:r>
    </w:p>
    <w:p w14:paraId="047B9793" w14:textId="65FE08CD" w:rsidR="00580444" w:rsidRPr="000A7AE8" w:rsidRDefault="00580444" w:rsidP="00580444">
      <w:pPr>
        <w:pStyle w:val="BMSTableNoteInfo"/>
        <w:keepNext/>
        <w:keepLines/>
        <w:tabs>
          <w:tab w:val="clear" w:pos="216"/>
          <w:tab w:val="left" w:pos="360"/>
        </w:tabs>
        <w:spacing w:before="0"/>
        <w:ind w:left="0" w:firstLine="0"/>
        <w:rPr>
          <w:color w:val="auto"/>
          <w:sz w:val="18"/>
          <w:szCs w:val="18"/>
        </w:rPr>
      </w:pPr>
      <w:proofErr w:type="gramStart"/>
      <w:r w:rsidRPr="000A7AE8">
        <w:rPr>
          <w:rStyle w:val="BMSTableNote"/>
          <w:sz w:val="18"/>
          <w:szCs w:val="18"/>
        </w:rPr>
        <w:t>c</w:t>
      </w:r>
      <w:proofErr w:type="gramEnd"/>
      <w:r w:rsidRPr="000A7AE8">
        <w:rPr>
          <w:rStyle w:val="BMSTableNote"/>
          <w:sz w:val="18"/>
          <w:szCs w:val="18"/>
        </w:rPr>
        <w:tab/>
      </w:r>
      <w:r w:rsidRPr="000A7AE8">
        <w:rPr>
          <w:color w:val="auto"/>
          <w:sz w:val="18"/>
          <w:szCs w:val="18"/>
        </w:rPr>
        <w:t>Major clinical response is defined as achieving an ACR 70 response for a continuous 6-month period</w:t>
      </w:r>
      <w:r w:rsidR="003D6965" w:rsidRPr="000A7AE8">
        <w:rPr>
          <w:color w:val="auto"/>
          <w:sz w:val="18"/>
          <w:szCs w:val="18"/>
        </w:rPr>
        <w:t>.</w:t>
      </w:r>
    </w:p>
    <w:p w14:paraId="1472A850" w14:textId="24ABE302" w:rsidR="00580444" w:rsidRPr="000A7AE8" w:rsidRDefault="00580444" w:rsidP="00580444">
      <w:pPr>
        <w:pStyle w:val="BMSTableNoteInfo"/>
        <w:keepNext/>
        <w:keepLines/>
        <w:tabs>
          <w:tab w:val="clear" w:pos="216"/>
          <w:tab w:val="left" w:pos="360"/>
        </w:tabs>
        <w:spacing w:before="0"/>
        <w:ind w:left="0" w:firstLine="0"/>
        <w:rPr>
          <w:color w:val="auto"/>
          <w:sz w:val="18"/>
          <w:szCs w:val="18"/>
        </w:rPr>
      </w:pPr>
      <w:proofErr w:type="gramStart"/>
      <w:r w:rsidRPr="000A7AE8">
        <w:rPr>
          <w:color w:val="auto"/>
          <w:sz w:val="18"/>
          <w:szCs w:val="18"/>
          <w:vertAlign w:val="superscript"/>
        </w:rPr>
        <w:t>d</w:t>
      </w:r>
      <w:proofErr w:type="gramEnd"/>
      <w:r w:rsidRPr="000A7AE8">
        <w:rPr>
          <w:color w:val="auto"/>
          <w:sz w:val="18"/>
          <w:szCs w:val="18"/>
        </w:rPr>
        <w:tab/>
        <w:t>DAS28-CRP Remission is defined as a DAS28-CRP score &lt;2.6</w:t>
      </w:r>
      <w:r w:rsidR="003D6965" w:rsidRPr="000A7AE8">
        <w:rPr>
          <w:color w:val="auto"/>
          <w:sz w:val="18"/>
          <w:szCs w:val="18"/>
        </w:rPr>
        <w:t>.</w:t>
      </w:r>
    </w:p>
    <w:p w14:paraId="0DAFCA99" w14:textId="6BFF0FCD" w:rsidR="00580444" w:rsidRPr="000A7AE8" w:rsidRDefault="00580444" w:rsidP="00580444">
      <w:pPr>
        <w:pStyle w:val="BMSBodyText"/>
        <w:tabs>
          <w:tab w:val="left" w:pos="360"/>
        </w:tabs>
        <w:spacing w:before="0" w:after="0" w:line="240" w:lineRule="auto"/>
        <w:rPr>
          <w:color w:val="auto"/>
          <w:sz w:val="18"/>
          <w:szCs w:val="18"/>
        </w:rPr>
      </w:pPr>
      <w:proofErr w:type="gramStart"/>
      <w:r w:rsidRPr="000A7AE8">
        <w:rPr>
          <w:color w:val="auto"/>
          <w:sz w:val="18"/>
          <w:szCs w:val="18"/>
          <w:vertAlign w:val="superscript"/>
        </w:rPr>
        <w:t>e</w:t>
      </w:r>
      <w:proofErr w:type="gramEnd"/>
      <w:r w:rsidRPr="000A7AE8">
        <w:rPr>
          <w:color w:val="auto"/>
          <w:sz w:val="18"/>
          <w:szCs w:val="18"/>
        </w:rPr>
        <w:t xml:space="preserve"> </w:t>
      </w:r>
      <w:r w:rsidRPr="000A7AE8">
        <w:rPr>
          <w:color w:val="auto"/>
          <w:sz w:val="18"/>
          <w:szCs w:val="18"/>
        </w:rPr>
        <w:tab/>
        <w:t>Per protocol data is presented in table. For ITT; n=736, 721 for SC and IV ORENCIA, respectively</w:t>
      </w:r>
      <w:r w:rsidR="003D6965" w:rsidRPr="000A7AE8">
        <w:rPr>
          <w:color w:val="auto"/>
          <w:sz w:val="18"/>
          <w:szCs w:val="18"/>
        </w:rPr>
        <w:t>.</w:t>
      </w:r>
    </w:p>
    <w:p w14:paraId="65A49236" w14:textId="77777777" w:rsidR="004B1B27" w:rsidRPr="000A7AE8" w:rsidRDefault="004B1B27" w:rsidP="00580444">
      <w:pPr>
        <w:pStyle w:val="BMSBodyText"/>
        <w:tabs>
          <w:tab w:val="left" w:pos="360"/>
        </w:tabs>
        <w:spacing w:before="0" w:after="0" w:line="240" w:lineRule="auto"/>
        <w:rPr>
          <w:color w:val="auto"/>
          <w:sz w:val="18"/>
          <w:szCs w:val="18"/>
        </w:rPr>
      </w:pPr>
    </w:p>
    <w:p w14:paraId="2BFC18A3" w14:textId="77777777" w:rsidR="00580444" w:rsidRPr="000A7AE8" w:rsidRDefault="00580444" w:rsidP="00932AF4">
      <w:r w:rsidRPr="000A7AE8">
        <w:t xml:space="preserve">Among ORENCIA-treated patients in Study III, 14% achieved a major clinical response, as compared with 2% in placebo patients. In addition, 6% of ORENCIA-treated patients in this 12-month study achieved an extended major clinical response (continuous ACR 70 response over 9 months), as compared with 0.5% in placebo patients. </w:t>
      </w:r>
      <w:proofErr w:type="gramStart"/>
      <w:r w:rsidRPr="000A7AE8">
        <w:t>In Study III, for patients treated with ORENCIA over two years including double-blind and open-label periods, the percentage of subjects achieving a major clinical response and an extended major clinical response increased to 34.3% and 24.5%, respectively.</w:t>
      </w:r>
      <w:proofErr w:type="gramEnd"/>
    </w:p>
    <w:p w14:paraId="014A02E1" w14:textId="77777777" w:rsidR="00580444" w:rsidRPr="000A7AE8" w:rsidRDefault="00580444" w:rsidP="00932AF4">
      <w:pPr>
        <w:rPr>
          <w:rFonts w:ascii="Times" w:hAnsi="Times"/>
          <w:strike/>
        </w:rPr>
      </w:pPr>
      <w:r w:rsidRPr="000A7AE8">
        <w:lastRenderedPageBreak/>
        <w:t>ORENCIA-treated patients experienced greater improvement than placebo-treated patients in morning stiffness.</w:t>
      </w:r>
    </w:p>
    <w:p w14:paraId="0F5D272A" w14:textId="77777777" w:rsidR="00580444" w:rsidRPr="000A7AE8" w:rsidRDefault="00580444" w:rsidP="00932AF4">
      <w:pPr>
        <w:rPr>
          <w:b/>
          <w:i/>
        </w:rPr>
      </w:pPr>
      <w:bookmarkStart w:id="72" w:name="_Toc96146347"/>
      <w:r w:rsidRPr="000A7AE8">
        <w:rPr>
          <w:b/>
          <w:i/>
        </w:rPr>
        <w:t>DAS28 remission</w:t>
      </w:r>
      <w:bookmarkEnd w:id="72"/>
    </w:p>
    <w:p w14:paraId="2B631F05" w14:textId="77777777" w:rsidR="00C02EB7" w:rsidRPr="000A7AE8" w:rsidRDefault="00580444" w:rsidP="00C02EB7">
      <w:r w:rsidRPr="000A7AE8">
        <w:t xml:space="preserve">Disease activity was also assessed using the Disease Activity Score 28 (DAS28). In Studies III and IV, the </w:t>
      </w:r>
      <w:proofErr w:type="gramStart"/>
      <w:r w:rsidRPr="000A7AE8">
        <w:t>baseline mean</w:t>
      </w:r>
      <w:proofErr w:type="gramEnd"/>
      <w:r w:rsidRPr="000A7AE8">
        <w:t xml:space="preserve"> DAS28 was 6.8 and 6.9 units, respectively, representing a high degree of disease activity. In Study III, the mean improvement in DAS28 at 12 months in </w:t>
      </w:r>
      <w:r w:rsidRPr="000A7AE8">
        <w:rPr>
          <w:caps/>
        </w:rPr>
        <w:t>ORENCIA</w:t>
      </w:r>
      <w:r w:rsidRPr="000A7AE8">
        <w:t xml:space="preserve">-treated patients of 2.9 was significantly greater than the mean improvement of 1.5 observed in placebo-treated patients. DAS28 defined remission was achieved in 17% of </w:t>
      </w:r>
      <w:r w:rsidRPr="000A7AE8">
        <w:rPr>
          <w:caps/>
        </w:rPr>
        <w:t>ORENCIA</w:t>
      </w:r>
      <w:r w:rsidRPr="000A7AE8">
        <w:t>-treated patients compared to 2% of placebo-treated patients at 12 months.</w:t>
      </w:r>
    </w:p>
    <w:p w14:paraId="7FE04F17" w14:textId="075906F9" w:rsidR="00580444" w:rsidRPr="000A7AE8" w:rsidRDefault="00580444" w:rsidP="00C02EB7">
      <w:r w:rsidRPr="000A7AE8">
        <w:t xml:space="preserve">In Study IV, at </w:t>
      </w:r>
      <w:r w:rsidR="009D0166" w:rsidRPr="000A7AE8">
        <w:t>M</w:t>
      </w:r>
      <w:r w:rsidRPr="000A7AE8">
        <w:t xml:space="preserve">onth 6, a significantly greater improvement in DAS28 was observed in the </w:t>
      </w:r>
      <w:r w:rsidRPr="000A7AE8">
        <w:rPr>
          <w:caps/>
        </w:rPr>
        <w:t>ORENCIA</w:t>
      </w:r>
      <w:r w:rsidRPr="000A7AE8">
        <w:t>-treated patients than in placebo-treated patients (reduction of 2.0 vs. 0.7 units</w:t>
      </w:r>
      <w:r w:rsidR="009D0166" w:rsidRPr="000A7AE8">
        <w:t>,</w:t>
      </w:r>
      <w:r w:rsidRPr="000A7AE8">
        <w:t xml:space="preserve"> respectively</w:t>
      </w:r>
      <w:r w:rsidR="009D0166" w:rsidRPr="000A7AE8">
        <w:t>).</w:t>
      </w:r>
      <w:r w:rsidRPr="000A7AE8">
        <w:t xml:space="preserve"> DAS28-defined remission was achieved in 10% of </w:t>
      </w:r>
      <w:r w:rsidRPr="000A7AE8">
        <w:rPr>
          <w:caps/>
        </w:rPr>
        <w:t>ORENCIA</w:t>
      </w:r>
      <w:r w:rsidRPr="000A7AE8">
        <w:t>-treated patients compared to 1% of placebo-treated patients at 6 months.</w:t>
      </w:r>
    </w:p>
    <w:p w14:paraId="5B472F69" w14:textId="7801401F" w:rsidR="00580444" w:rsidRPr="000A7AE8" w:rsidRDefault="00580444" w:rsidP="00C02EB7">
      <w:r w:rsidRPr="000A7AE8">
        <w:t>In Study VI, patients treated with ORENCIA</w:t>
      </w:r>
      <w:r w:rsidR="009D0166" w:rsidRPr="000A7AE8">
        <w:t>+</w:t>
      </w:r>
      <w:r w:rsidRPr="000A7AE8">
        <w:t xml:space="preserve">MTX had a higher DAS28-CRP remission rate at 12 months than those treated with </w:t>
      </w:r>
      <w:proofErr w:type="spellStart"/>
      <w:r w:rsidRPr="000A7AE8">
        <w:t>MTX</w:t>
      </w:r>
      <w:r w:rsidR="009D0166" w:rsidRPr="000A7AE8">
        <w:t>+</w:t>
      </w:r>
      <w:r w:rsidRPr="000A7AE8">
        <w:t>placebo</w:t>
      </w:r>
      <w:proofErr w:type="spellEnd"/>
      <w:r w:rsidRPr="000A7AE8">
        <w:t xml:space="preserve"> (</w:t>
      </w:r>
      <w:r w:rsidR="007F47FD" w:rsidRPr="000A7AE8">
        <w:t>Table 7</w:t>
      </w:r>
      <w:r w:rsidRPr="000A7AE8">
        <w:t>). Of patients treated with ORENCIA</w:t>
      </w:r>
      <w:r w:rsidR="009D0166" w:rsidRPr="000A7AE8">
        <w:t>+</w:t>
      </w:r>
      <w:r w:rsidRPr="000A7AE8">
        <w:t>MTX who achieved DAS28-CRP remission, 54% had no active joints, 17% had one active joint, 7% had two active joints, and 22% had three or more active joints, where an active joint was a joint that was rated as tender or swollen or both.</w:t>
      </w:r>
    </w:p>
    <w:p w14:paraId="54F2AFBA" w14:textId="77777777" w:rsidR="00580444" w:rsidRPr="000A7AE8" w:rsidRDefault="00580444" w:rsidP="00932AF4">
      <w:pPr>
        <w:rPr>
          <w:b/>
          <w:i/>
        </w:rPr>
      </w:pPr>
      <w:bookmarkStart w:id="73" w:name="_Toc96146348"/>
      <w:r w:rsidRPr="000A7AE8">
        <w:rPr>
          <w:b/>
          <w:i/>
        </w:rPr>
        <w:t>Radiographic response</w:t>
      </w:r>
      <w:bookmarkEnd w:id="73"/>
    </w:p>
    <w:p w14:paraId="7D4C5193" w14:textId="752F6D51" w:rsidR="00580444" w:rsidRPr="000A7AE8" w:rsidRDefault="00580444" w:rsidP="00015766">
      <w:r w:rsidRPr="000A7AE8">
        <w:t xml:space="preserve">Structural joint damage was assessed radiographically over a two-year period in Study III in RA patients with inadequate response to MTX. The results were measured using the </w:t>
      </w:r>
      <w:proofErr w:type="spellStart"/>
      <w:r w:rsidRPr="000A7AE8">
        <w:t>Genant</w:t>
      </w:r>
      <w:proofErr w:type="spellEnd"/>
      <w:r w:rsidRPr="000A7AE8">
        <w:t>-modified Total Sharp score (TSS) and its components, the erosion score and Joint Space Narrowing (JSN) score. The baseline median TSS was 31.7 in ORENCIA-treated patients and 33.4 in placebo-treated patients. In the first year, patients received ORENCIA or placebo in double-blind fashion. ORENCIA</w:t>
      </w:r>
      <w:r w:rsidR="009D0166" w:rsidRPr="000A7AE8">
        <w:t>+</w:t>
      </w:r>
      <w:r w:rsidRPr="000A7AE8">
        <w:t xml:space="preserve">MTX inhibited the progression of structural damage compared to </w:t>
      </w:r>
      <w:proofErr w:type="spellStart"/>
      <w:r w:rsidRPr="000A7AE8">
        <w:t>MTX</w:t>
      </w:r>
      <w:r w:rsidR="009D0166" w:rsidRPr="000A7AE8">
        <w:t>+placebo</w:t>
      </w:r>
      <w:proofErr w:type="spellEnd"/>
      <w:r w:rsidRPr="000A7AE8">
        <w:t xml:space="preserve"> after 12 months </w:t>
      </w:r>
      <w:r w:rsidR="007F47FD" w:rsidRPr="000A7AE8">
        <w:t>of treatment as shown in Table 8</w:t>
      </w:r>
      <w:r w:rsidRPr="000A7AE8">
        <w:t>.</w:t>
      </w:r>
    </w:p>
    <w:p w14:paraId="73E280E4" w14:textId="77777777" w:rsidR="00580444" w:rsidRPr="000A7AE8" w:rsidRDefault="00580444" w:rsidP="00203339">
      <w:r w:rsidRPr="000A7AE8">
        <w:t>Inhibition of progression of structural damage with ORENCIA was observed regardless of disease duration (less than 2 years, 2 to 5 years, 5 to 10 years, and greater than 10 years).</w:t>
      </w:r>
    </w:p>
    <w:tbl>
      <w:tblPr>
        <w:tblW w:w="0" w:type="auto"/>
        <w:tblBorders>
          <w:bottom w:val="double" w:sz="6" w:space="0" w:color="auto"/>
        </w:tblBorders>
        <w:tblLayout w:type="fixed"/>
        <w:tblLook w:val="0000" w:firstRow="0" w:lastRow="0" w:firstColumn="0" w:lastColumn="0" w:noHBand="0" w:noVBand="0"/>
      </w:tblPr>
      <w:tblGrid>
        <w:gridCol w:w="2214"/>
        <w:gridCol w:w="2214"/>
        <w:gridCol w:w="2214"/>
        <w:gridCol w:w="2214"/>
      </w:tblGrid>
      <w:tr w:rsidR="000A7AE8" w:rsidRPr="000A7AE8" w14:paraId="2E7C3F97" w14:textId="77777777" w:rsidTr="00C02EB7">
        <w:trPr>
          <w:tblHeader/>
        </w:trPr>
        <w:tc>
          <w:tcPr>
            <w:tcW w:w="8856" w:type="dxa"/>
            <w:gridSpan w:val="4"/>
            <w:tcBorders>
              <w:bottom w:val="double" w:sz="6" w:space="0" w:color="000000"/>
            </w:tcBorders>
          </w:tcPr>
          <w:p w14:paraId="53779AD8" w14:textId="1825E0F7" w:rsidR="00580444" w:rsidRPr="000A7AE8" w:rsidRDefault="007F47FD" w:rsidP="00C02EB7">
            <w:pPr>
              <w:pStyle w:val="BMSTableTitle"/>
            </w:pPr>
            <w:r w:rsidRPr="000A7AE8">
              <w:rPr>
                <w:sz w:val="22"/>
              </w:rPr>
              <w:t>Table 8</w:t>
            </w:r>
            <w:r w:rsidR="00580444" w:rsidRPr="000A7AE8">
              <w:rPr>
                <w:sz w:val="22"/>
              </w:rPr>
              <w:t>:</w:t>
            </w:r>
            <w:r w:rsidR="00580444" w:rsidRPr="000A7AE8">
              <w:rPr>
                <w:sz w:val="22"/>
              </w:rPr>
              <w:tab/>
              <w:t>Mean Radiographic Changes Over 12 Months in Study III</w:t>
            </w:r>
          </w:p>
        </w:tc>
      </w:tr>
      <w:tr w:rsidR="000A7AE8" w:rsidRPr="000A7AE8" w14:paraId="0DAD612C" w14:textId="77777777" w:rsidTr="00C02EB7">
        <w:trPr>
          <w:tblHeader/>
        </w:trPr>
        <w:tc>
          <w:tcPr>
            <w:tcW w:w="2214" w:type="dxa"/>
            <w:tcBorders>
              <w:top w:val="double" w:sz="6" w:space="0" w:color="000000"/>
              <w:bottom w:val="single" w:sz="4" w:space="0" w:color="auto"/>
            </w:tcBorders>
            <w:vAlign w:val="bottom"/>
          </w:tcPr>
          <w:p w14:paraId="6FA045A4" w14:textId="77777777" w:rsidR="00580444" w:rsidRPr="000A7AE8" w:rsidRDefault="00580444" w:rsidP="00C02EB7">
            <w:pPr>
              <w:pStyle w:val="BMSTableHeader"/>
              <w:spacing w:before="0"/>
              <w:jc w:val="left"/>
            </w:pPr>
            <w:r w:rsidRPr="000A7AE8">
              <w:t>Parameter</w:t>
            </w:r>
          </w:p>
        </w:tc>
        <w:tc>
          <w:tcPr>
            <w:tcW w:w="2214" w:type="dxa"/>
            <w:tcBorders>
              <w:top w:val="double" w:sz="6" w:space="0" w:color="000000"/>
              <w:bottom w:val="single" w:sz="4" w:space="0" w:color="auto"/>
            </w:tcBorders>
            <w:vAlign w:val="bottom"/>
          </w:tcPr>
          <w:p w14:paraId="729C90D9" w14:textId="3781A6FA" w:rsidR="00580444" w:rsidRPr="000A7AE8" w:rsidRDefault="00580444" w:rsidP="00C02EB7">
            <w:pPr>
              <w:pStyle w:val="BMSTableHeader"/>
              <w:spacing w:before="0" w:after="0"/>
            </w:pPr>
            <w:r w:rsidRPr="000A7AE8">
              <w:t>ORENCIA</w:t>
            </w:r>
            <w:r w:rsidR="009D0166" w:rsidRPr="000A7AE8">
              <w:t>+</w:t>
            </w:r>
            <w:r w:rsidRPr="000A7AE8">
              <w:t>MTX</w:t>
            </w:r>
          </w:p>
          <w:p w14:paraId="7B6DC0CD" w14:textId="77777777" w:rsidR="00580444" w:rsidRPr="000A7AE8" w:rsidRDefault="00580444" w:rsidP="00C02EB7">
            <w:pPr>
              <w:pStyle w:val="BMSTableHeader"/>
              <w:spacing w:before="0"/>
            </w:pPr>
            <w:r w:rsidRPr="000A7AE8">
              <w:t>n=391</w:t>
            </w:r>
          </w:p>
        </w:tc>
        <w:tc>
          <w:tcPr>
            <w:tcW w:w="2214" w:type="dxa"/>
            <w:tcBorders>
              <w:top w:val="double" w:sz="6" w:space="0" w:color="000000"/>
              <w:bottom w:val="single" w:sz="4" w:space="0" w:color="auto"/>
            </w:tcBorders>
            <w:vAlign w:val="bottom"/>
          </w:tcPr>
          <w:p w14:paraId="3C8A6EEF" w14:textId="03EF83B0" w:rsidR="00580444" w:rsidRPr="000A7AE8" w:rsidRDefault="00580444" w:rsidP="00C02EB7">
            <w:pPr>
              <w:pStyle w:val="BMSTableHeader"/>
              <w:spacing w:before="0" w:after="0"/>
            </w:pPr>
            <w:proofErr w:type="spellStart"/>
            <w:r w:rsidRPr="000A7AE8">
              <w:t>Placebo</w:t>
            </w:r>
            <w:r w:rsidR="009D0166" w:rsidRPr="000A7AE8">
              <w:t>+</w:t>
            </w:r>
            <w:r w:rsidRPr="000A7AE8">
              <w:t>MTX</w:t>
            </w:r>
            <w:proofErr w:type="spellEnd"/>
          </w:p>
          <w:p w14:paraId="25CEA769" w14:textId="77777777" w:rsidR="00580444" w:rsidRPr="000A7AE8" w:rsidRDefault="00580444" w:rsidP="00C02EB7">
            <w:pPr>
              <w:pStyle w:val="BMSTableHeader"/>
              <w:spacing w:before="0"/>
            </w:pPr>
            <w:r w:rsidRPr="000A7AE8">
              <w:t>n=195</w:t>
            </w:r>
          </w:p>
        </w:tc>
        <w:tc>
          <w:tcPr>
            <w:tcW w:w="2214" w:type="dxa"/>
            <w:tcBorders>
              <w:top w:val="double" w:sz="6" w:space="0" w:color="000000"/>
              <w:bottom w:val="single" w:sz="4" w:space="0" w:color="auto"/>
            </w:tcBorders>
          </w:tcPr>
          <w:p w14:paraId="03F91FCB" w14:textId="77777777" w:rsidR="00580444" w:rsidRPr="000A7AE8" w:rsidRDefault="00580444" w:rsidP="00C02EB7">
            <w:pPr>
              <w:pStyle w:val="BMSTableHeader"/>
              <w:spacing w:before="0" w:after="0"/>
            </w:pPr>
          </w:p>
          <w:p w14:paraId="07456E84" w14:textId="77777777" w:rsidR="00580444" w:rsidRPr="000A7AE8" w:rsidRDefault="00580444" w:rsidP="00C02EB7">
            <w:pPr>
              <w:pStyle w:val="BMSTableHeader"/>
              <w:spacing w:before="0"/>
            </w:pPr>
            <w:r w:rsidRPr="000A7AE8">
              <w:t>P-</w:t>
            </w:r>
            <w:proofErr w:type="spellStart"/>
            <w:r w:rsidRPr="000A7AE8">
              <w:t>value</w:t>
            </w:r>
            <w:r w:rsidRPr="000A7AE8">
              <w:rPr>
                <w:rStyle w:val="BMSTableNote"/>
                <w:sz w:val="24"/>
                <w:szCs w:val="24"/>
              </w:rPr>
              <w:t>a</w:t>
            </w:r>
            <w:proofErr w:type="spellEnd"/>
          </w:p>
        </w:tc>
      </w:tr>
      <w:tr w:rsidR="000A7AE8" w:rsidRPr="000A7AE8" w14:paraId="0E52E918" w14:textId="77777777" w:rsidTr="00C02EB7">
        <w:tc>
          <w:tcPr>
            <w:tcW w:w="2214" w:type="dxa"/>
            <w:tcBorders>
              <w:top w:val="single" w:sz="4" w:space="0" w:color="auto"/>
            </w:tcBorders>
          </w:tcPr>
          <w:p w14:paraId="4F7596B2" w14:textId="77777777" w:rsidR="00580444" w:rsidRPr="000A7AE8" w:rsidRDefault="00580444" w:rsidP="00C02EB7">
            <w:pPr>
              <w:pStyle w:val="BMSTableText"/>
              <w:jc w:val="left"/>
            </w:pPr>
            <w:r w:rsidRPr="000A7AE8">
              <w:t>Total Sharp score</w:t>
            </w:r>
          </w:p>
        </w:tc>
        <w:tc>
          <w:tcPr>
            <w:tcW w:w="2214" w:type="dxa"/>
            <w:tcBorders>
              <w:top w:val="single" w:sz="4" w:space="0" w:color="auto"/>
            </w:tcBorders>
          </w:tcPr>
          <w:p w14:paraId="6D230FF7" w14:textId="77777777" w:rsidR="00580444" w:rsidRPr="000A7AE8" w:rsidRDefault="00580444" w:rsidP="00C02EB7">
            <w:pPr>
              <w:pStyle w:val="BMSTableText"/>
            </w:pPr>
            <w:r w:rsidRPr="000A7AE8">
              <w:t>1.21</w:t>
            </w:r>
          </w:p>
        </w:tc>
        <w:tc>
          <w:tcPr>
            <w:tcW w:w="2214" w:type="dxa"/>
            <w:tcBorders>
              <w:top w:val="single" w:sz="4" w:space="0" w:color="auto"/>
            </w:tcBorders>
          </w:tcPr>
          <w:p w14:paraId="752866BF" w14:textId="77777777" w:rsidR="00580444" w:rsidRPr="000A7AE8" w:rsidRDefault="00580444" w:rsidP="00C02EB7">
            <w:pPr>
              <w:pStyle w:val="BMSTableText"/>
            </w:pPr>
            <w:r w:rsidRPr="000A7AE8">
              <w:t>2.32</w:t>
            </w:r>
          </w:p>
        </w:tc>
        <w:tc>
          <w:tcPr>
            <w:tcW w:w="2214" w:type="dxa"/>
            <w:tcBorders>
              <w:top w:val="single" w:sz="4" w:space="0" w:color="auto"/>
            </w:tcBorders>
          </w:tcPr>
          <w:p w14:paraId="29FA9C82" w14:textId="77777777" w:rsidR="00580444" w:rsidRPr="000A7AE8" w:rsidRDefault="00580444" w:rsidP="00C02EB7">
            <w:pPr>
              <w:pStyle w:val="BMSTableText"/>
            </w:pPr>
            <w:r w:rsidRPr="000A7AE8">
              <w:t>0.012</w:t>
            </w:r>
          </w:p>
        </w:tc>
      </w:tr>
      <w:tr w:rsidR="000A7AE8" w:rsidRPr="000A7AE8" w14:paraId="1FB6CBAF" w14:textId="77777777" w:rsidTr="00C02EB7">
        <w:tc>
          <w:tcPr>
            <w:tcW w:w="2214" w:type="dxa"/>
          </w:tcPr>
          <w:p w14:paraId="1DC4E43C" w14:textId="77777777" w:rsidR="00580444" w:rsidRPr="000A7AE8" w:rsidRDefault="00580444" w:rsidP="00C02EB7">
            <w:pPr>
              <w:pStyle w:val="BMSTableText"/>
              <w:jc w:val="left"/>
            </w:pPr>
            <w:r w:rsidRPr="000A7AE8">
              <w:t>Erosion score</w:t>
            </w:r>
          </w:p>
        </w:tc>
        <w:tc>
          <w:tcPr>
            <w:tcW w:w="2214" w:type="dxa"/>
          </w:tcPr>
          <w:p w14:paraId="25749336" w14:textId="77777777" w:rsidR="00580444" w:rsidRPr="000A7AE8" w:rsidRDefault="00580444" w:rsidP="00C02EB7">
            <w:pPr>
              <w:pStyle w:val="BMSTableText"/>
            </w:pPr>
            <w:r w:rsidRPr="000A7AE8">
              <w:t>0.63</w:t>
            </w:r>
          </w:p>
        </w:tc>
        <w:tc>
          <w:tcPr>
            <w:tcW w:w="2214" w:type="dxa"/>
          </w:tcPr>
          <w:p w14:paraId="0440480D" w14:textId="77777777" w:rsidR="00580444" w:rsidRPr="000A7AE8" w:rsidRDefault="00580444" w:rsidP="00C02EB7">
            <w:pPr>
              <w:pStyle w:val="BMSTableText"/>
            </w:pPr>
            <w:r w:rsidRPr="000A7AE8">
              <w:t>1.14</w:t>
            </w:r>
          </w:p>
        </w:tc>
        <w:tc>
          <w:tcPr>
            <w:tcW w:w="2214" w:type="dxa"/>
          </w:tcPr>
          <w:p w14:paraId="3118CE80" w14:textId="77777777" w:rsidR="00580444" w:rsidRPr="000A7AE8" w:rsidRDefault="00580444" w:rsidP="00C02EB7">
            <w:pPr>
              <w:pStyle w:val="BMSTableText"/>
            </w:pPr>
            <w:r w:rsidRPr="000A7AE8">
              <w:t>0.029</w:t>
            </w:r>
          </w:p>
        </w:tc>
      </w:tr>
      <w:tr w:rsidR="000A7AE8" w:rsidRPr="000A7AE8" w14:paraId="4F9A9BFE" w14:textId="77777777" w:rsidTr="00C02EB7">
        <w:tc>
          <w:tcPr>
            <w:tcW w:w="2214" w:type="dxa"/>
            <w:tcBorders>
              <w:bottom w:val="double" w:sz="6" w:space="0" w:color="auto"/>
            </w:tcBorders>
          </w:tcPr>
          <w:p w14:paraId="42B0C17B" w14:textId="77777777" w:rsidR="00580444" w:rsidRPr="000A7AE8" w:rsidRDefault="00580444" w:rsidP="00C02EB7">
            <w:pPr>
              <w:pStyle w:val="BMSTableText"/>
              <w:tabs>
                <w:tab w:val="clear" w:pos="360"/>
                <w:tab w:val="left" w:pos="0"/>
              </w:tabs>
              <w:jc w:val="left"/>
            </w:pPr>
            <w:r w:rsidRPr="000A7AE8">
              <w:t>JSN score</w:t>
            </w:r>
          </w:p>
        </w:tc>
        <w:tc>
          <w:tcPr>
            <w:tcW w:w="2214" w:type="dxa"/>
            <w:tcBorders>
              <w:bottom w:val="double" w:sz="6" w:space="0" w:color="auto"/>
            </w:tcBorders>
          </w:tcPr>
          <w:p w14:paraId="11FB5B69" w14:textId="77777777" w:rsidR="00580444" w:rsidRPr="000A7AE8" w:rsidRDefault="00580444" w:rsidP="00C02EB7">
            <w:pPr>
              <w:pStyle w:val="BMSTableText"/>
            </w:pPr>
            <w:r w:rsidRPr="000A7AE8">
              <w:t>0.58</w:t>
            </w:r>
          </w:p>
        </w:tc>
        <w:tc>
          <w:tcPr>
            <w:tcW w:w="2214" w:type="dxa"/>
            <w:tcBorders>
              <w:bottom w:val="double" w:sz="6" w:space="0" w:color="auto"/>
            </w:tcBorders>
          </w:tcPr>
          <w:p w14:paraId="72EE88CF" w14:textId="77777777" w:rsidR="00580444" w:rsidRPr="000A7AE8" w:rsidRDefault="00580444" w:rsidP="00C02EB7">
            <w:pPr>
              <w:pStyle w:val="BMSTableText"/>
            </w:pPr>
            <w:r w:rsidRPr="000A7AE8">
              <w:t>1.18</w:t>
            </w:r>
          </w:p>
        </w:tc>
        <w:tc>
          <w:tcPr>
            <w:tcW w:w="2214" w:type="dxa"/>
            <w:tcBorders>
              <w:bottom w:val="double" w:sz="6" w:space="0" w:color="auto"/>
            </w:tcBorders>
          </w:tcPr>
          <w:p w14:paraId="440359D8" w14:textId="77777777" w:rsidR="00580444" w:rsidRPr="000A7AE8" w:rsidRDefault="00580444" w:rsidP="00C02EB7">
            <w:pPr>
              <w:pStyle w:val="BMSTableText"/>
            </w:pPr>
            <w:r w:rsidRPr="000A7AE8">
              <w:t>0.009</w:t>
            </w:r>
          </w:p>
        </w:tc>
      </w:tr>
    </w:tbl>
    <w:p w14:paraId="795F4805" w14:textId="150F8630" w:rsidR="00580444" w:rsidRPr="000A7AE8" w:rsidRDefault="00580444" w:rsidP="00580444">
      <w:pPr>
        <w:pStyle w:val="BMSTableNoteInfo"/>
        <w:spacing w:before="0" w:after="120"/>
        <w:rPr>
          <w:color w:val="auto"/>
          <w:sz w:val="18"/>
          <w:szCs w:val="18"/>
        </w:rPr>
      </w:pPr>
      <w:proofErr w:type="gramStart"/>
      <w:r w:rsidRPr="000A7AE8">
        <w:rPr>
          <w:rStyle w:val="BMSTableNote"/>
          <w:sz w:val="18"/>
          <w:szCs w:val="18"/>
        </w:rPr>
        <w:t>a</w:t>
      </w:r>
      <w:proofErr w:type="gramEnd"/>
      <w:r w:rsidR="00C02EB7" w:rsidRPr="000A7AE8">
        <w:rPr>
          <w:rStyle w:val="BMSTableNote"/>
          <w:sz w:val="18"/>
          <w:szCs w:val="18"/>
        </w:rPr>
        <w:t xml:space="preserve"> </w:t>
      </w:r>
      <w:r w:rsidRPr="000A7AE8">
        <w:rPr>
          <w:color w:val="auto"/>
          <w:sz w:val="18"/>
          <w:szCs w:val="18"/>
        </w:rPr>
        <w:t>Based on non-parametric analysis.</w:t>
      </w:r>
    </w:p>
    <w:p w14:paraId="575AE578" w14:textId="591DA47E" w:rsidR="00580444" w:rsidRPr="000A7AE8" w:rsidRDefault="00580444" w:rsidP="00C02EB7">
      <w:r w:rsidRPr="000A7AE8">
        <w:t>In the open-label extension of Study III, 75% (n=324) of patients initially randomized to ORENCIA</w:t>
      </w:r>
      <w:r w:rsidR="009D0166" w:rsidRPr="000A7AE8">
        <w:t>+</w:t>
      </w:r>
      <w:r w:rsidRPr="000A7AE8">
        <w:t>MTX were evaluated radiographically by the TSS. Following 2 years of treatment with ORENCIA</w:t>
      </w:r>
      <w:r w:rsidR="009D0166" w:rsidRPr="000A7AE8">
        <w:t>+</w:t>
      </w:r>
      <w:r w:rsidRPr="000A7AE8">
        <w:t>MTX, inhibition of progression of structural damage was observed. Fifty (50) percent of the patients had no progression of structural damage as defined by a change in the TSS of zero or less at 2 years. Eighty-six (86) percent of patients with no radiographic progression after 1 year of treatment with ORENCIA</w:t>
      </w:r>
      <w:r w:rsidR="009D0166" w:rsidRPr="000A7AE8">
        <w:t>+</w:t>
      </w:r>
      <w:r w:rsidRPr="000A7AE8">
        <w:t>MTX, had no progression at 2 years. For patients treated with ORENCIA</w:t>
      </w:r>
      <w:r w:rsidR="009D0166" w:rsidRPr="000A7AE8">
        <w:t>+</w:t>
      </w:r>
      <w:r w:rsidRPr="000A7AE8">
        <w:t xml:space="preserve">MTX, the mean change in TSS from </w:t>
      </w:r>
      <w:r w:rsidR="009D0166" w:rsidRPr="000A7AE8">
        <w:t>Y</w:t>
      </w:r>
      <w:r w:rsidRPr="000A7AE8">
        <w:t xml:space="preserve">ear 1 to </w:t>
      </w:r>
      <w:r w:rsidR="009D0166" w:rsidRPr="000A7AE8">
        <w:t>Y</w:t>
      </w:r>
      <w:r w:rsidRPr="000A7AE8">
        <w:t xml:space="preserve">ear 2 was 57% lower than the mean change in TSS from baseline to </w:t>
      </w:r>
      <w:r w:rsidR="009D0166" w:rsidRPr="000A7AE8">
        <w:t>Y</w:t>
      </w:r>
      <w:r w:rsidRPr="000A7AE8">
        <w:t xml:space="preserve">ear 1. </w:t>
      </w:r>
    </w:p>
    <w:p w14:paraId="1EB9EA6C" w14:textId="06C2C3A2" w:rsidR="00C02EB7" w:rsidRPr="000A7AE8" w:rsidRDefault="00580444" w:rsidP="00C02EB7">
      <w:r w:rsidRPr="000A7AE8">
        <w:lastRenderedPageBreak/>
        <w:t xml:space="preserve">Based on year-to-year assessment, a decrease in radiographic progression was observed for all 3 scores with the most decrease observed in the first year of the </w:t>
      </w:r>
      <w:proofErr w:type="spellStart"/>
      <w:r w:rsidRPr="000A7AE8">
        <w:t>abatacept</w:t>
      </w:r>
      <w:proofErr w:type="spellEnd"/>
      <w:r w:rsidRPr="000A7AE8">
        <w:t xml:space="preserve"> treatment in the uncontrolled, open-label, long-term (LT) period. At the end of the LT period (4 years, Day 1821), 106/235 (45.1%) subjects in the original </w:t>
      </w:r>
      <w:proofErr w:type="spellStart"/>
      <w:r w:rsidRPr="000A7AE8">
        <w:t>abatacept</w:t>
      </w:r>
      <w:proofErr w:type="spellEnd"/>
      <w:r w:rsidRPr="000A7AE8">
        <w:t xml:space="preserve"> group and 45/115 (39.1%) subjects in the original placebo group showed no radiographic progression based on the Total score.</w:t>
      </w:r>
    </w:p>
    <w:p w14:paraId="067A6EB3" w14:textId="3FE3C93D" w:rsidR="00580444" w:rsidRPr="000A7AE8" w:rsidRDefault="00580444" w:rsidP="00C02EB7">
      <w:r w:rsidRPr="000A7AE8">
        <w:t>In Study VI, the mean change in TSS at 12 months was significantly lower in patients treated with ORENCIA</w:t>
      </w:r>
      <w:r w:rsidR="007D25C9" w:rsidRPr="000A7AE8">
        <w:t>+</w:t>
      </w:r>
      <w:r w:rsidRPr="000A7AE8">
        <w:t xml:space="preserve">MTX compared to those treated with </w:t>
      </w:r>
      <w:proofErr w:type="spellStart"/>
      <w:r w:rsidRPr="000A7AE8">
        <w:t>MTX</w:t>
      </w:r>
      <w:r w:rsidR="007D25C9" w:rsidRPr="000A7AE8">
        <w:t>+</w:t>
      </w:r>
      <w:r w:rsidRPr="000A7AE8">
        <w:t>placebo</w:t>
      </w:r>
      <w:proofErr w:type="spellEnd"/>
      <w:r w:rsidRPr="000A7AE8">
        <w:t xml:space="preserve">. At 12 months 61% (148/242) of the patients treated with </w:t>
      </w:r>
      <w:proofErr w:type="spellStart"/>
      <w:r w:rsidRPr="000A7AE8">
        <w:t>abatacept</w:t>
      </w:r>
      <w:r w:rsidR="007D25C9" w:rsidRPr="000A7AE8">
        <w:t>+MTX</w:t>
      </w:r>
      <w:proofErr w:type="spellEnd"/>
      <w:r w:rsidRPr="000A7AE8">
        <w:t xml:space="preserve"> and 53% (128/242) of the patients treated with </w:t>
      </w:r>
      <w:r w:rsidR="007D25C9" w:rsidRPr="000A7AE8">
        <w:t>MTX+</w:t>
      </w:r>
      <w:r w:rsidRPr="000A7AE8">
        <w:t xml:space="preserve"> placebo had no progression (change from baseline in TSS ≤ 0). Among the patients who entered the open-label 12</w:t>
      </w:r>
      <w:r w:rsidR="007D25C9" w:rsidRPr="000A7AE8">
        <w:t>-</w:t>
      </w:r>
      <w:r w:rsidRPr="000A7AE8">
        <w:t xml:space="preserve">month period, the progression of structural damage was lower in those receiving continuous </w:t>
      </w:r>
      <w:proofErr w:type="spellStart"/>
      <w:r w:rsidRPr="000A7AE8">
        <w:t>abatacept</w:t>
      </w:r>
      <w:r w:rsidR="007D25C9" w:rsidRPr="000A7AE8">
        <w:t>+MTX</w:t>
      </w:r>
      <w:proofErr w:type="spellEnd"/>
      <w:r w:rsidRPr="000A7AE8">
        <w:t xml:space="preserve"> treatment (for 24 months) compared to patients who initially received </w:t>
      </w:r>
      <w:r w:rsidR="007D25C9" w:rsidRPr="000A7AE8">
        <w:t>MTX+</w:t>
      </w:r>
      <w:r w:rsidRPr="000A7AE8">
        <w:t xml:space="preserve"> placebo (for 12 months) and were switched to </w:t>
      </w:r>
      <w:proofErr w:type="spellStart"/>
      <w:r w:rsidRPr="000A7AE8">
        <w:t>abatacept</w:t>
      </w:r>
      <w:r w:rsidR="007D25C9" w:rsidRPr="000A7AE8">
        <w:t>+MTX</w:t>
      </w:r>
      <w:proofErr w:type="spellEnd"/>
      <w:r w:rsidRPr="000A7AE8">
        <w:t xml:space="preserve"> for the next 12 months. Of these patients, 57% (121/213) who received continuous </w:t>
      </w:r>
      <w:proofErr w:type="spellStart"/>
      <w:r w:rsidRPr="000A7AE8">
        <w:t>abatacept</w:t>
      </w:r>
      <w:r w:rsidR="007D25C9" w:rsidRPr="000A7AE8">
        <w:t>+MTX</w:t>
      </w:r>
      <w:proofErr w:type="spellEnd"/>
      <w:r w:rsidRPr="000A7AE8">
        <w:t xml:space="preserve"> treatment and 44% (84/192) of patients who initially received methotrexate and switched to combination with </w:t>
      </w:r>
      <w:proofErr w:type="spellStart"/>
      <w:r w:rsidRPr="000A7AE8">
        <w:t>abatacept</w:t>
      </w:r>
      <w:proofErr w:type="spellEnd"/>
      <w:r w:rsidRPr="000A7AE8">
        <w:t xml:space="preserve"> had no progression.</w:t>
      </w:r>
    </w:p>
    <w:p w14:paraId="605A622F" w14:textId="34D05557" w:rsidR="00580444" w:rsidRPr="000A7AE8" w:rsidRDefault="007F47FD" w:rsidP="00C02EB7">
      <w:pPr>
        <w:pStyle w:val="BMSTableTitle"/>
        <w:rPr>
          <w:u w:val="single"/>
          <w:lang w:eastAsia="ja-JP"/>
        </w:rPr>
      </w:pPr>
      <w:r w:rsidRPr="000A7AE8">
        <w:rPr>
          <w:sz w:val="22"/>
        </w:rPr>
        <w:t>Table 9</w:t>
      </w:r>
      <w:r w:rsidR="00580444" w:rsidRPr="000A7AE8">
        <w:rPr>
          <w:sz w:val="22"/>
        </w:rPr>
        <w:t>:</w:t>
      </w:r>
      <w:r w:rsidR="00580444" w:rsidRPr="000A7AE8">
        <w:rPr>
          <w:sz w:val="22"/>
        </w:rPr>
        <w:tab/>
        <w:t>Mean Radiographic Changes Over 12 and 24 Months in Study VI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75"/>
        <w:gridCol w:w="1560"/>
        <w:gridCol w:w="1134"/>
        <w:gridCol w:w="1275"/>
        <w:gridCol w:w="1088"/>
      </w:tblGrid>
      <w:tr w:rsidR="000A7AE8" w:rsidRPr="000A7AE8" w14:paraId="3D6754C0" w14:textId="77777777" w:rsidTr="00C02EB7">
        <w:trPr>
          <w:trHeight w:val="207"/>
        </w:trPr>
        <w:tc>
          <w:tcPr>
            <w:tcW w:w="2694" w:type="dxa"/>
            <w:tcBorders>
              <w:top w:val="double" w:sz="4" w:space="0" w:color="auto"/>
              <w:left w:val="nil"/>
              <w:bottom w:val="nil"/>
              <w:right w:val="nil"/>
            </w:tcBorders>
          </w:tcPr>
          <w:p w14:paraId="06757E65" w14:textId="77777777" w:rsidR="00580444" w:rsidRPr="000A7AE8" w:rsidRDefault="00580444" w:rsidP="00C02EB7">
            <w:pPr>
              <w:jc w:val="center"/>
              <w:rPr>
                <w:sz w:val="20"/>
                <w:szCs w:val="20"/>
              </w:rPr>
            </w:pPr>
          </w:p>
        </w:tc>
        <w:tc>
          <w:tcPr>
            <w:tcW w:w="3969" w:type="dxa"/>
            <w:gridSpan w:val="3"/>
            <w:tcBorders>
              <w:top w:val="double" w:sz="4" w:space="0" w:color="auto"/>
              <w:left w:val="nil"/>
              <w:bottom w:val="nil"/>
              <w:right w:val="nil"/>
            </w:tcBorders>
          </w:tcPr>
          <w:p w14:paraId="647E8995" w14:textId="77777777" w:rsidR="00580444" w:rsidRPr="000A7AE8" w:rsidRDefault="00580444" w:rsidP="00C02EB7">
            <w:pPr>
              <w:jc w:val="center"/>
              <w:rPr>
                <w:b/>
                <w:sz w:val="20"/>
                <w:szCs w:val="20"/>
              </w:rPr>
            </w:pPr>
            <w:r w:rsidRPr="000A7AE8">
              <w:rPr>
                <w:b/>
                <w:sz w:val="20"/>
                <w:szCs w:val="20"/>
              </w:rPr>
              <w:t>Month 12</w:t>
            </w:r>
          </w:p>
        </w:tc>
        <w:tc>
          <w:tcPr>
            <w:tcW w:w="2363" w:type="dxa"/>
            <w:gridSpan w:val="2"/>
            <w:tcBorders>
              <w:top w:val="double" w:sz="4" w:space="0" w:color="auto"/>
              <w:left w:val="nil"/>
              <w:bottom w:val="nil"/>
              <w:right w:val="nil"/>
            </w:tcBorders>
          </w:tcPr>
          <w:p w14:paraId="65710F5D" w14:textId="77777777" w:rsidR="00580444" w:rsidRPr="000A7AE8" w:rsidRDefault="00580444" w:rsidP="00C02EB7">
            <w:pPr>
              <w:jc w:val="center"/>
              <w:rPr>
                <w:b/>
                <w:sz w:val="20"/>
                <w:szCs w:val="20"/>
              </w:rPr>
            </w:pPr>
            <w:r w:rsidRPr="000A7AE8">
              <w:rPr>
                <w:b/>
                <w:sz w:val="20"/>
                <w:szCs w:val="20"/>
              </w:rPr>
              <w:t>Month 24</w:t>
            </w:r>
          </w:p>
        </w:tc>
      </w:tr>
      <w:tr w:rsidR="000A7AE8" w:rsidRPr="000A7AE8" w14:paraId="5F3B2958" w14:textId="77777777" w:rsidTr="00C02EB7">
        <w:trPr>
          <w:trHeight w:val="618"/>
        </w:trPr>
        <w:tc>
          <w:tcPr>
            <w:tcW w:w="2694" w:type="dxa"/>
            <w:tcBorders>
              <w:top w:val="nil"/>
              <w:left w:val="nil"/>
              <w:bottom w:val="single" w:sz="4" w:space="0" w:color="auto"/>
              <w:right w:val="nil"/>
            </w:tcBorders>
          </w:tcPr>
          <w:p w14:paraId="402B2E27" w14:textId="77777777" w:rsidR="00580444" w:rsidRPr="000A7AE8" w:rsidRDefault="00580444" w:rsidP="00C02EB7">
            <w:pPr>
              <w:rPr>
                <w:b/>
                <w:sz w:val="20"/>
                <w:szCs w:val="20"/>
              </w:rPr>
            </w:pPr>
            <w:r w:rsidRPr="000A7AE8">
              <w:rPr>
                <w:b/>
                <w:sz w:val="20"/>
                <w:szCs w:val="20"/>
              </w:rPr>
              <w:t>Parameter</w:t>
            </w:r>
          </w:p>
        </w:tc>
        <w:tc>
          <w:tcPr>
            <w:tcW w:w="1275" w:type="dxa"/>
            <w:tcBorders>
              <w:top w:val="nil"/>
              <w:left w:val="nil"/>
              <w:bottom w:val="single" w:sz="4" w:space="0" w:color="auto"/>
              <w:right w:val="nil"/>
            </w:tcBorders>
            <w:vAlign w:val="bottom"/>
          </w:tcPr>
          <w:p w14:paraId="5396774B" w14:textId="20ABFD75" w:rsidR="00580444" w:rsidRPr="000A7AE8" w:rsidRDefault="00580444" w:rsidP="00C02EB7">
            <w:pPr>
              <w:pStyle w:val="BMSTableHeader"/>
              <w:spacing w:before="0" w:after="0"/>
            </w:pPr>
            <w:r w:rsidRPr="000A7AE8">
              <w:t>ORENCIA</w:t>
            </w:r>
            <w:r w:rsidR="007D25C9" w:rsidRPr="000A7AE8">
              <w:t>+</w:t>
            </w:r>
          </w:p>
          <w:p w14:paraId="4E6B4C04" w14:textId="77777777" w:rsidR="00580444" w:rsidRPr="000A7AE8" w:rsidRDefault="00580444" w:rsidP="00C02EB7">
            <w:pPr>
              <w:pStyle w:val="BMSTableHeader"/>
              <w:spacing w:before="0" w:after="0"/>
            </w:pPr>
            <w:r w:rsidRPr="000A7AE8">
              <w:t>MTX</w:t>
            </w:r>
          </w:p>
          <w:p w14:paraId="05501225" w14:textId="0127323F" w:rsidR="00580444" w:rsidRPr="000A7AE8" w:rsidRDefault="00580444" w:rsidP="00C02EB7">
            <w:pPr>
              <w:jc w:val="center"/>
              <w:rPr>
                <w:b/>
                <w:sz w:val="20"/>
                <w:szCs w:val="20"/>
              </w:rPr>
            </w:pPr>
            <w:r w:rsidRPr="000A7AE8">
              <w:rPr>
                <w:b/>
                <w:sz w:val="20"/>
                <w:szCs w:val="20"/>
              </w:rPr>
              <w:t>n=242</w:t>
            </w:r>
          </w:p>
        </w:tc>
        <w:tc>
          <w:tcPr>
            <w:tcW w:w="1560" w:type="dxa"/>
            <w:tcBorders>
              <w:top w:val="nil"/>
              <w:left w:val="nil"/>
              <w:bottom w:val="single" w:sz="4" w:space="0" w:color="auto"/>
              <w:right w:val="nil"/>
            </w:tcBorders>
            <w:vAlign w:val="bottom"/>
          </w:tcPr>
          <w:p w14:paraId="6BD4BD00" w14:textId="77777777" w:rsidR="00580444" w:rsidRPr="000A7AE8" w:rsidRDefault="00580444" w:rsidP="00C02EB7">
            <w:pPr>
              <w:pStyle w:val="BMSTableHeader"/>
              <w:spacing w:before="0" w:after="0"/>
            </w:pPr>
            <w:r w:rsidRPr="000A7AE8">
              <w:t>Placebo</w:t>
            </w:r>
          </w:p>
          <w:p w14:paraId="5B63A59B" w14:textId="57BF4BF7" w:rsidR="00580444" w:rsidRPr="000A7AE8" w:rsidRDefault="007D25C9" w:rsidP="00C02EB7">
            <w:pPr>
              <w:pStyle w:val="BMSTableHeader"/>
              <w:spacing w:before="0" w:after="0"/>
            </w:pPr>
            <w:r w:rsidRPr="000A7AE8">
              <w:t>+</w:t>
            </w:r>
            <w:r w:rsidR="00580444" w:rsidRPr="000A7AE8">
              <w:t>MTX</w:t>
            </w:r>
          </w:p>
          <w:p w14:paraId="18D507D9" w14:textId="60D21B98" w:rsidR="00580444" w:rsidRPr="000A7AE8" w:rsidRDefault="00580444" w:rsidP="00C02EB7">
            <w:pPr>
              <w:jc w:val="center"/>
              <w:rPr>
                <w:b/>
                <w:sz w:val="20"/>
                <w:szCs w:val="20"/>
              </w:rPr>
            </w:pPr>
            <w:r w:rsidRPr="000A7AE8">
              <w:rPr>
                <w:b/>
                <w:sz w:val="20"/>
                <w:szCs w:val="20"/>
              </w:rPr>
              <w:t>n=242</w:t>
            </w:r>
          </w:p>
        </w:tc>
        <w:tc>
          <w:tcPr>
            <w:tcW w:w="1134" w:type="dxa"/>
            <w:tcBorders>
              <w:top w:val="nil"/>
              <w:left w:val="nil"/>
              <w:bottom w:val="single" w:sz="4" w:space="0" w:color="auto"/>
              <w:right w:val="nil"/>
            </w:tcBorders>
          </w:tcPr>
          <w:p w14:paraId="3F9ACFD2" w14:textId="77777777" w:rsidR="00580444" w:rsidRPr="000A7AE8" w:rsidRDefault="00580444" w:rsidP="00C02EB7">
            <w:pPr>
              <w:pStyle w:val="BMSTableHeader"/>
              <w:spacing w:before="0" w:after="0"/>
            </w:pPr>
          </w:p>
          <w:p w14:paraId="312389C6" w14:textId="77777777" w:rsidR="00580444" w:rsidRPr="000A7AE8" w:rsidRDefault="00580444" w:rsidP="00C02EB7">
            <w:pPr>
              <w:jc w:val="center"/>
              <w:rPr>
                <w:b/>
                <w:sz w:val="20"/>
                <w:szCs w:val="20"/>
              </w:rPr>
            </w:pPr>
            <w:r w:rsidRPr="000A7AE8">
              <w:rPr>
                <w:b/>
                <w:sz w:val="20"/>
                <w:szCs w:val="20"/>
              </w:rPr>
              <w:t>P-</w:t>
            </w:r>
            <w:proofErr w:type="spellStart"/>
            <w:r w:rsidRPr="000A7AE8">
              <w:rPr>
                <w:b/>
                <w:sz w:val="20"/>
                <w:szCs w:val="20"/>
              </w:rPr>
              <w:t>value</w:t>
            </w:r>
            <w:r w:rsidRPr="000A7AE8">
              <w:rPr>
                <w:rStyle w:val="BMSTableNote"/>
                <w:b/>
                <w:sz w:val="20"/>
                <w:szCs w:val="20"/>
              </w:rPr>
              <w:t>a</w:t>
            </w:r>
            <w:proofErr w:type="spellEnd"/>
          </w:p>
        </w:tc>
        <w:tc>
          <w:tcPr>
            <w:tcW w:w="1275" w:type="dxa"/>
            <w:tcBorders>
              <w:top w:val="nil"/>
              <w:left w:val="nil"/>
              <w:bottom w:val="single" w:sz="4" w:space="0" w:color="auto"/>
              <w:right w:val="nil"/>
            </w:tcBorders>
            <w:vAlign w:val="bottom"/>
          </w:tcPr>
          <w:p w14:paraId="3B694CA4" w14:textId="77798BDA" w:rsidR="00580444" w:rsidRPr="000A7AE8" w:rsidRDefault="00580444" w:rsidP="00C02EB7">
            <w:pPr>
              <w:pStyle w:val="BMSTableHeader"/>
              <w:spacing w:before="0" w:after="0"/>
            </w:pPr>
            <w:r w:rsidRPr="000A7AE8">
              <w:t>ORENCIA</w:t>
            </w:r>
            <w:r w:rsidR="007D25C9" w:rsidRPr="000A7AE8">
              <w:t>+</w:t>
            </w:r>
          </w:p>
          <w:p w14:paraId="51AE1601" w14:textId="77777777" w:rsidR="00580444" w:rsidRPr="000A7AE8" w:rsidRDefault="00580444" w:rsidP="00C02EB7">
            <w:pPr>
              <w:pStyle w:val="BMSTableHeader"/>
              <w:spacing w:before="0" w:after="0"/>
            </w:pPr>
            <w:r w:rsidRPr="000A7AE8">
              <w:t>MTX</w:t>
            </w:r>
          </w:p>
          <w:p w14:paraId="1E8F09D2" w14:textId="0CF73125" w:rsidR="00580444" w:rsidRPr="000A7AE8" w:rsidRDefault="00580444" w:rsidP="00C02EB7">
            <w:pPr>
              <w:jc w:val="center"/>
              <w:rPr>
                <w:b/>
                <w:sz w:val="20"/>
                <w:szCs w:val="20"/>
              </w:rPr>
            </w:pPr>
            <w:r w:rsidRPr="000A7AE8">
              <w:rPr>
                <w:b/>
                <w:sz w:val="20"/>
                <w:szCs w:val="20"/>
              </w:rPr>
              <w:t>n=213</w:t>
            </w:r>
          </w:p>
        </w:tc>
        <w:tc>
          <w:tcPr>
            <w:tcW w:w="1088" w:type="dxa"/>
            <w:tcBorders>
              <w:top w:val="nil"/>
              <w:left w:val="nil"/>
              <w:bottom w:val="single" w:sz="4" w:space="0" w:color="auto"/>
              <w:right w:val="nil"/>
            </w:tcBorders>
            <w:vAlign w:val="bottom"/>
          </w:tcPr>
          <w:p w14:paraId="70786E84" w14:textId="77777777" w:rsidR="00580444" w:rsidRPr="000A7AE8" w:rsidRDefault="00580444" w:rsidP="00C02EB7">
            <w:pPr>
              <w:pStyle w:val="BMSTableHeader"/>
              <w:spacing w:before="0" w:after="0"/>
            </w:pPr>
            <w:r w:rsidRPr="000A7AE8">
              <w:t>Placebo</w:t>
            </w:r>
          </w:p>
          <w:p w14:paraId="5734A4C1" w14:textId="0225112B" w:rsidR="00580444" w:rsidRPr="000A7AE8" w:rsidRDefault="007D25C9" w:rsidP="00C02EB7">
            <w:pPr>
              <w:pStyle w:val="BMSTableHeader"/>
              <w:spacing w:before="0" w:after="0"/>
            </w:pPr>
            <w:r w:rsidRPr="000A7AE8">
              <w:t>+</w:t>
            </w:r>
            <w:r w:rsidR="00580444" w:rsidRPr="000A7AE8">
              <w:t>MTX</w:t>
            </w:r>
          </w:p>
          <w:p w14:paraId="19A1620C" w14:textId="63103EFD" w:rsidR="00580444" w:rsidRPr="000A7AE8" w:rsidRDefault="00580444" w:rsidP="00C02EB7">
            <w:pPr>
              <w:jc w:val="center"/>
              <w:rPr>
                <w:b/>
                <w:sz w:val="20"/>
                <w:szCs w:val="20"/>
              </w:rPr>
            </w:pPr>
            <w:r w:rsidRPr="000A7AE8">
              <w:rPr>
                <w:b/>
                <w:sz w:val="20"/>
                <w:szCs w:val="20"/>
              </w:rPr>
              <w:t>n=192</w:t>
            </w:r>
          </w:p>
        </w:tc>
      </w:tr>
      <w:tr w:rsidR="000A7AE8" w:rsidRPr="000A7AE8" w14:paraId="496F290B" w14:textId="77777777" w:rsidTr="00C02EB7">
        <w:trPr>
          <w:trHeight w:val="340"/>
        </w:trPr>
        <w:tc>
          <w:tcPr>
            <w:tcW w:w="2694" w:type="dxa"/>
            <w:tcBorders>
              <w:top w:val="single" w:sz="4" w:space="0" w:color="auto"/>
              <w:left w:val="nil"/>
              <w:bottom w:val="nil"/>
              <w:right w:val="nil"/>
            </w:tcBorders>
            <w:vAlign w:val="center"/>
          </w:tcPr>
          <w:p w14:paraId="7BADFDA4" w14:textId="77777777" w:rsidR="00580444" w:rsidRPr="000A7AE8" w:rsidRDefault="00580444" w:rsidP="00C02EB7">
            <w:pPr>
              <w:pStyle w:val="BMSTableText"/>
              <w:jc w:val="left"/>
            </w:pPr>
            <w:r w:rsidRPr="000A7AE8">
              <w:t>Total Sharp score</w:t>
            </w:r>
          </w:p>
        </w:tc>
        <w:tc>
          <w:tcPr>
            <w:tcW w:w="1275" w:type="dxa"/>
            <w:tcBorders>
              <w:top w:val="single" w:sz="4" w:space="0" w:color="auto"/>
              <w:left w:val="nil"/>
              <w:bottom w:val="nil"/>
              <w:right w:val="nil"/>
            </w:tcBorders>
          </w:tcPr>
          <w:p w14:paraId="5CE87343" w14:textId="77777777" w:rsidR="00580444" w:rsidRPr="000A7AE8" w:rsidRDefault="00580444" w:rsidP="00C02EB7">
            <w:pPr>
              <w:pStyle w:val="BMSTableText"/>
            </w:pPr>
          </w:p>
        </w:tc>
        <w:tc>
          <w:tcPr>
            <w:tcW w:w="1560" w:type="dxa"/>
            <w:tcBorders>
              <w:top w:val="single" w:sz="4" w:space="0" w:color="auto"/>
              <w:left w:val="nil"/>
              <w:bottom w:val="nil"/>
              <w:right w:val="nil"/>
            </w:tcBorders>
          </w:tcPr>
          <w:p w14:paraId="5C9AC6C0" w14:textId="77777777" w:rsidR="00580444" w:rsidRPr="000A7AE8" w:rsidRDefault="00580444" w:rsidP="00C02EB7">
            <w:pPr>
              <w:pStyle w:val="BMSTableText"/>
            </w:pPr>
          </w:p>
        </w:tc>
        <w:tc>
          <w:tcPr>
            <w:tcW w:w="1134" w:type="dxa"/>
            <w:tcBorders>
              <w:top w:val="single" w:sz="4" w:space="0" w:color="auto"/>
              <w:left w:val="nil"/>
              <w:bottom w:val="nil"/>
              <w:right w:val="nil"/>
            </w:tcBorders>
          </w:tcPr>
          <w:p w14:paraId="38C7A5CB" w14:textId="77777777" w:rsidR="00580444" w:rsidRPr="000A7AE8" w:rsidRDefault="00580444" w:rsidP="00C02EB7">
            <w:pPr>
              <w:pStyle w:val="BMSTableText"/>
            </w:pPr>
          </w:p>
        </w:tc>
        <w:tc>
          <w:tcPr>
            <w:tcW w:w="1275" w:type="dxa"/>
            <w:tcBorders>
              <w:top w:val="single" w:sz="4" w:space="0" w:color="auto"/>
              <w:left w:val="nil"/>
              <w:bottom w:val="nil"/>
              <w:right w:val="nil"/>
            </w:tcBorders>
          </w:tcPr>
          <w:p w14:paraId="5E3021C1" w14:textId="77777777" w:rsidR="00580444" w:rsidRPr="000A7AE8" w:rsidRDefault="00580444" w:rsidP="00C02EB7">
            <w:pPr>
              <w:pStyle w:val="BMSTableText"/>
            </w:pPr>
          </w:p>
        </w:tc>
        <w:tc>
          <w:tcPr>
            <w:tcW w:w="1088" w:type="dxa"/>
            <w:tcBorders>
              <w:top w:val="single" w:sz="4" w:space="0" w:color="auto"/>
              <w:left w:val="nil"/>
              <w:bottom w:val="nil"/>
              <w:right w:val="nil"/>
            </w:tcBorders>
          </w:tcPr>
          <w:p w14:paraId="778BCE1D" w14:textId="77777777" w:rsidR="00580444" w:rsidRPr="000A7AE8" w:rsidRDefault="00580444" w:rsidP="00C02EB7">
            <w:pPr>
              <w:pStyle w:val="BMSTableText"/>
            </w:pPr>
          </w:p>
        </w:tc>
      </w:tr>
      <w:tr w:rsidR="000A7AE8" w:rsidRPr="000A7AE8" w14:paraId="0568BFEA" w14:textId="77777777" w:rsidTr="00C02EB7">
        <w:trPr>
          <w:trHeight w:val="340"/>
        </w:trPr>
        <w:tc>
          <w:tcPr>
            <w:tcW w:w="2694" w:type="dxa"/>
            <w:tcBorders>
              <w:top w:val="nil"/>
              <w:left w:val="nil"/>
              <w:bottom w:val="nil"/>
              <w:right w:val="nil"/>
            </w:tcBorders>
            <w:vAlign w:val="center"/>
          </w:tcPr>
          <w:p w14:paraId="4886643C" w14:textId="77777777" w:rsidR="00580444" w:rsidRPr="000A7AE8" w:rsidRDefault="00580444" w:rsidP="00C02EB7">
            <w:pPr>
              <w:pStyle w:val="BMSTableText"/>
              <w:jc w:val="left"/>
            </w:pPr>
            <w:r w:rsidRPr="000A7AE8">
              <w:t>Baseline (Mean)</w:t>
            </w:r>
          </w:p>
        </w:tc>
        <w:tc>
          <w:tcPr>
            <w:tcW w:w="1275" w:type="dxa"/>
            <w:tcBorders>
              <w:top w:val="nil"/>
              <w:left w:val="nil"/>
              <w:bottom w:val="nil"/>
              <w:right w:val="nil"/>
            </w:tcBorders>
          </w:tcPr>
          <w:p w14:paraId="66C03872" w14:textId="77777777" w:rsidR="00580444" w:rsidRPr="000A7AE8" w:rsidRDefault="00580444" w:rsidP="00C02EB7">
            <w:pPr>
              <w:pStyle w:val="BMSTableText"/>
            </w:pPr>
            <w:r w:rsidRPr="000A7AE8">
              <w:t>7.50</w:t>
            </w:r>
          </w:p>
        </w:tc>
        <w:tc>
          <w:tcPr>
            <w:tcW w:w="1560" w:type="dxa"/>
            <w:tcBorders>
              <w:top w:val="nil"/>
              <w:left w:val="nil"/>
              <w:bottom w:val="nil"/>
              <w:right w:val="nil"/>
            </w:tcBorders>
          </w:tcPr>
          <w:p w14:paraId="774267C5" w14:textId="77777777" w:rsidR="00580444" w:rsidRPr="000A7AE8" w:rsidRDefault="00580444" w:rsidP="00C02EB7">
            <w:pPr>
              <w:pStyle w:val="BMSTableText"/>
            </w:pPr>
            <w:r w:rsidRPr="000A7AE8">
              <w:t>6.67</w:t>
            </w:r>
          </w:p>
        </w:tc>
        <w:tc>
          <w:tcPr>
            <w:tcW w:w="1134" w:type="dxa"/>
            <w:tcBorders>
              <w:top w:val="nil"/>
              <w:left w:val="nil"/>
              <w:bottom w:val="nil"/>
              <w:right w:val="nil"/>
            </w:tcBorders>
          </w:tcPr>
          <w:p w14:paraId="4993E228" w14:textId="77777777" w:rsidR="00580444" w:rsidRPr="000A7AE8" w:rsidRDefault="00580444" w:rsidP="00C02EB7">
            <w:pPr>
              <w:pStyle w:val="BMSTableText"/>
            </w:pPr>
          </w:p>
        </w:tc>
        <w:tc>
          <w:tcPr>
            <w:tcW w:w="1275" w:type="dxa"/>
            <w:tcBorders>
              <w:top w:val="nil"/>
              <w:left w:val="nil"/>
              <w:bottom w:val="nil"/>
              <w:right w:val="nil"/>
            </w:tcBorders>
          </w:tcPr>
          <w:p w14:paraId="49580075" w14:textId="77777777" w:rsidR="00580444" w:rsidRPr="000A7AE8" w:rsidRDefault="00580444" w:rsidP="00C02EB7">
            <w:pPr>
              <w:pStyle w:val="BMSTableText"/>
            </w:pPr>
            <w:r w:rsidRPr="000A7AE8">
              <w:t>7.73</w:t>
            </w:r>
          </w:p>
        </w:tc>
        <w:tc>
          <w:tcPr>
            <w:tcW w:w="1088" w:type="dxa"/>
            <w:tcBorders>
              <w:top w:val="nil"/>
              <w:left w:val="nil"/>
              <w:bottom w:val="nil"/>
              <w:right w:val="nil"/>
            </w:tcBorders>
          </w:tcPr>
          <w:p w14:paraId="50165FDF" w14:textId="77777777" w:rsidR="00580444" w:rsidRPr="000A7AE8" w:rsidRDefault="00580444" w:rsidP="00C02EB7">
            <w:pPr>
              <w:pStyle w:val="BMSTableText"/>
            </w:pPr>
            <w:r w:rsidRPr="000A7AE8">
              <w:t>7.24</w:t>
            </w:r>
          </w:p>
        </w:tc>
      </w:tr>
      <w:tr w:rsidR="000A7AE8" w:rsidRPr="000A7AE8" w14:paraId="63B73E70" w14:textId="77777777" w:rsidTr="00C02EB7">
        <w:trPr>
          <w:trHeight w:val="54"/>
        </w:trPr>
        <w:tc>
          <w:tcPr>
            <w:tcW w:w="2694" w:type="dxa"/>
            <w:tcBorders>
              <w:top w:val="nil"/>
              <w:left w:val="nil"/>
              <w:bottom w:val="single" w:sz="4" w:space="0" w:color="auto"/>
              <w:right w:val="nil"/>
            </w:tcBorders>
            <w:vAlign w:val="center"/>
          </w:tcPr>
          <w:p w14:paraId="1E971594" w14:textId="77777777" w:rsidR="00580444" w:rsidRPr="000A7AE8" w:rsidRDefault="00580444" w:rsidP="00C02EB7">
            <w:pPr>
              <w:pStyle w:val="BMSTableText"/>
              <w:jc w:val="left"/>
            </w:pPr>
            <w:r w:rsidRPr="000A7AE8">
              <w:t>Change from Baseline (Mean)</w:t>
            </w:r>
          </w:p>
        </w:tc>
        <w:tc>
          <w:tcPr>
            <w:tcW w:w="1275" w:type="dxa"/>
            <w:tcBorders>
              <w:top w:val="nil"/>
              <w:left w:val="nil"/>
              <w:bottom w:val="single" w:sz="4" w:space="0" w:color="auto"/>
              <w:right w:val="nil"/>
            </w:tcBorders>
            <w:vAlign w:val="center"/>
          </w:tcPr>
          <w:p w14:paraId="252390A1" w14:textId="77777777" w:rsidR="00580444" w:rsidRPr="000A7AE8" w:rsidRDefault="00580444" w:rsidP="00C02EB7">
            <w:pPr>
              <w:pStyle w:val="BMSTableText"/>
            </w:pPr>
            <w:r w:rsidRPr="000A7AE8">
              <w:t>0.63</w:t>
            </w:r>
          </w:p>
        </w:tc>
        <w:tc>
          <w:tcPr>
            <w:tcW w:w="1560" w:type="dxa"/>
            <w:tcBorders>
              <w:top w:val="nil"/>
              <w:left w:val="nil"/>
              <w:bottom w:val="single" w:sz="4" w:space="0" w:color="auto"/>
              <w:right w:val="nil"/>
            </w:tcBorders>
            <w:vAlign w:val="center"/>
          </w:tcPr>
          <w:p w14:paraId="60703D5D" w14:textId="77777777" w:rsidR="00580444" w:rsidRPr="000A7AE8" w:rsidRDefault="00580444" w:rsidP="00C02EB7">
            <w:pPr>
              <w:pStyle w:val="BMSTableText"/>
            </w:pPr>
            <w:r w:rsidRPr="000A7AE8">
              <w:t>1.06</w:t>
            </w:r>
          </w:p>
        </w:tc>
        <w:tc>
          <w:tcPr>
            <w:tcW w:w="1134" w:type="dxa"/>
            <w:tcBorders>
              <w:top w:val="nil"/>
              <w:left w:val="nil"/>
              <w:bottom w:val="single" w:sz="4" w:space="0" w:color="auto"/>
              <w:right w:val="nil"/>
            </w:tcBorders>
            <w:vAlign w:val="center"/>
          </w:tcPr>
          <w:p w14:paraId="4CEF008F" w14:textId="77777777" w:rsidR="00580444" w:rsidRPr="000A7AE8" w:rsidRDefault="00580444" w:rsidP="00C02EB7">
            <w:pPr>
              <w:pStyle w:val="BMSTableText"/>
            </w:pPr>
            <w:r w:rsidRPr="000A7AE8">
              <w:t>0.040</w:t>
            </w:r>
          </w:p>
        </w:tc>
        <w:tc>
          <w:tcPr>
            <w:tcW w:w="1275" w:type="dxa"/>
            <w:tcBorders>
              <w:top w:val="nil"/>
              <w:left w:val="nil"/>
              <w:bottom w:val="single" w:sz="4" w:space="0" w:color="auto"/>
              <w:right w:val="nil"/>
            </w:tcBorders>
            <w:vAlign w:val="center"/>
          </w:tcPr>
          <w:p w14:paraId="07F55DBF" w14:textId="77777777" w:rsidR="00580444" w:rsidRPr="000A7AE8" w:rsidRDefault="00580444" w:rsidP="00C02EB7">
            <w:pPr>
              <w:pStyle w:val="BMSTableText"/>
            </w:pPr>
            <w:r w:rsidRPr="000A7AE8">
              <w:t>0.84</w:t>
            </w:r>
          </w:p>
        </w:tc>
        <w:tc>
          <w:tcPr>
            <w:tcW w:w="1088" w:type="dxa"/>
            <w:tcBorders>
              <w:top w:val="nil"/>
              <w:left w:val="nil"/>
              <w:bottom w:val="single" w:sz="4" w:space="0" w:color="auto"/>
              <w:right w:val="nil"/>
            </w:tcBorders>
            <w:vAlign w:val="center"/>
          </w:tcPr>
          <w:p w14:paraId="6B1A1C29" w14:textId="77777777" w:rsidR="00580444" w:rsidRPr="000A7AE8" w:rsidRDefault="00580444" w:rsidP="00C02EB7">
            <w:pPr>
              <w:pStyle w:val="BMSTableText"/>
            </w:pPr>
            <w:r w:rsidRPr="000A7AE8">
              <w:t>1.75</w:t>
            </w:r>
          </w:p>
        </w:tc>
      </w:tr>
      <w:tr w:rsidR="000A7AE8" w:rsidRPr="000A7AE8" w14:paraId="1B6AD9EA" w14:textId="77777777" w:rsidTr="00C02EB7">
        <w:trPr>
          <w:trHeight w:val="340"/>
        </w:trPr>
        <w:tc>
          <w:tcPr>
            <w:tcW w:w="2694" w:type="dxa"/>
            <w:tcBorders>
              <w:top w:val="single" w:sz="4" w:space="0" w:color="auto"/>
              <w:left w:val="nil"/>
              <w:bottom w:val="nil"/>
              <w:right w:val="nil"/>
            </w:tcBorders>
            <w:vAlign w:val="center"/>
          </w:tcPr>
          <w:p w14:paraId="07E33E1C" w14:textId="77777777" w:rsidR="00580444" w:rsidRPr="000A7AE8" w:rsidRDefault="00580444" w:rsidP="00C02EB7">
            <w:pPr>
              <w:pStyle w:val="BMSTableText"/>
              <w:jc w:val="left"/>
            </w:pPr>
            <w:r w:rsidRPr="000A7AE8">
              <w:t xml:space="preserve">Erosion score </w:t>
            </w:r>
          </w:p>
        </w:tc>
        <w:tc>
          <w:tcPr>
            <w:tcW w:w="1275" w:type="dxa"/>
            <w:tcBorders>
              <w:top w:val="single" w:sz="4" w:space="0" w:color="auto"/>
              <w:left w:val="nil"/>
              <w:bottom w:val="nil"/>
              <w:right w:val="nil"/>
            </w:tcBorders>
          </w:tcPr>
          <w:p w14:paraId="33D26F78" w14:textId="77777777" w:rsidR="00580444" w:rsidRPr="000A7AE8" w:rsidRDefault="00580444" w:rsidP="00C02EB7">
            <w:pPr>
              <w:pStyle w:val="BMSTableText"/>
            </w:pPr>
          </w:p>
        </w:tc>
        <w:tc>
          <w:tcPr>
            <w:tcW w:w="1560" w:type="dxa"/>
            <w:tcBorders>
              <w:top w:val="single" w:sz="4" w:space="0" w:color="auto"/>
              <w:left w:val="nil"/>
              <w:bottom w:val="nil"/>
              <w:right w:val="nil"/>
            </w:tcBorders>
          </w:tcPr>
          <w:p w14:paraId="2B0B2A62" w14:textId="77777777" w:rsidR="00580444" w:rsidRPr="000A7AE8" w:rsidRDefault="00580444" w:rsidP="00C02EB7">
            <w:pPr>
              <w:pStyle w:val="BMSTableText"/>
            </w:pPr>
          </w:p>
        </w:tc>
        <w:tc>
          <w:tcPr>
            <w:tcW w:w="1134" w:type="dxa"/>
            <w:tcBorders>
              <w:top w:val="single" w:sz="4" w:space="0" w:color="auto"/>
              <w:left w:val="nil"/>
              <w:bottom w:val="nil"/>
              <w:right w:val="nil"/>
            </w:tcBorders>
          </w:tcPr>
          <w:p w14:paraId="6665B8A2" w14:textId="77777777" w:rsidR="00580444" w:rsidRPr="000A7AE8" w:rsidRDefault="00580444" w:rsidP="00C02EB7">
            <w:pPr>
              <w:pStyle w:val="BMSTableText"/>
            </w:pPr>
          </w:p>
        </w:tc>
        <w:tc>
          <w:tcPr>
            <w:tcW w:w="1275" w:type="dxa"/>
            <w:tcBorders>
              <w:top w:val="single" w:sz="4" w:space="0" w:color="auto"/>
              <w:left w:val="nil"/>
              <w:bottom w:val="nil"/>
              <w:right w:val="nil"/>
            </w:tcBorders>
          </w:tcPr>
          <w:p w14:paraId="6769002E" w14:textId="77777777" w:rsidR="00580444" w:rsidRPr="000A7AE8" w:rsidRDefault="00580444" w:rsidP="00C02EB7">
            <w:pPr>
              <w:pStyle w:val="BMSTableText"/>
            </w:pPr>
          </w:p>
        </w:tc>
        <w:tc>
          <w:tcPr>
            <w:tcW w:w="1088" w:type="dxa"/>
            <w:tcBorders>
              <w:top w:val="single" w:sz="4" w:space="0" w:color="auto"/>
              <w:left w:val="nil"/>
              <w:bottom w:val="nil"/>
              <w:right w:val="nil"/>
            </w:tcBorders>
          </w:tcPr>
          <w:p w14:paraId="4238E30A" w14:textId="77777777" w:rsidR="00580444" w:rsidRPr="000A7AE8" w:rsidRDefault="00580444" w:rsidP="00C02EB7">
            <w:pPr>
              <w:pStyle w:val="BMSTableText"/>
            </w:pPr>
          </w:p>
        </w:tc>
      </w:tr>
      <w:tr w:rsidR="000A7AE8" w:rsidRPr="000A7AE8" w14:paraId="026D65CC" w14:textId="77777777" w:rsidTr="00C02EB7">
        <w:trPr>
          <w:trHeight w:val="354"/>
        </w:trPr>
        <w:tc>
          <w:tcPr>
            <w:tcW w:w="2694" w:type="dxa"/>
            <w:tcBorders>
              <w:top w:val="nil"/>
              <w:left w:val="nil"/>
              <w:bottom w:val="nil"/>
              <w:right w:val="nil"/>
            </w:tcBorders>
            <w:vAlign w:val="center"/>
          </w:tcPr>
          <w:p w14:paraId="6D36B355" w14:textId="77777777" w:rsidR="00580444" w:rsidRPr="000A7AE8" w:rsidRDefault="00580444" w:rsidP="00C02EB7">
            <w:pPr>
              <w:pStyle w:val="BMSTableText"/>
              <w:jc w:val="left"/>
            </w:pPr>
            <w:r w:rsidRPr="000A7AE8">
              <w:t>Baseline (Mean)</w:t>
            </w:r>
          </w:p>
        </w:tc>
        <w:tc>
          <w:tcPr>
            <w:tcW w:w="1275" w:type="dxa"/>
            <w:tcBorders>
              <w:top w:val="nil"/>
              <w:left w:val="nil"/>
              <w:bottom w:val="nil"/>
              <w:right w:val="nil"/>
            </w:tcBorders>
            <w:vAlign w:val="center"/>
          </w:tcPr>
          <w:p w14:paraId="668AAF19" w14:textId="77777777" w:rsidR="00580444" w:rsidRPr="000A7AE8" w:rsidRDefault="00580444" w:rsidP="00C02EB7">
            <w:pPr>
              <w:pStyle w:val="BMSTableText"/>
            </w:pPr>
            <w:r w:rsidRPr="000A7AE8">
              <w:t>5.48</w:t>
            </w:r>
          </w:p>
        </w:tc>
        <w:tc>
          <w:tcPr>
            <w:tcW w:w="1560" w:type="dxa"/>
            <w:tcBorders>
              <w:top w:val="nil"/>
              <w:left w:val="nil"/>
              <w:bottom w:val="nil"/>
              <w:right w:val="nil"/>
            </w:tcBorders>
            <w:vAlign w:val="center"/>
          </w:tcPr>
          <w:p w14:paraId="716C4F96" w14:textId="77777777" w:rsidR="00580444" w:rsidRPr="000A7AE8" w:rsidRDefault="00580444" w:rsidP="00C02EB7">
            <w:pPr>
              <w:pStyle w:val="BMSTableText"/>
            </w:pPr>
            <w:r w:rsidRPr="000A7AE8">
              <w:t>4.81</w:t>
            </w:r>
          </w:p>
        </w:tc>
        <w:tc>
          <w:tcPr>
            <w:tcW w:w="1134" w:type="dxa"/>
            <w:tcBorders>
              <w:top w:val="nil"/>
              <w:left w:val="nil"/>
              <w:bottom w:val="nil"/>
              <w:right w:val="nil"/>
            </w:tcBorders>
          </w:tcPr>
          <w:p w14:paraId="633610D8" w14:textId="77777777" w:rsidR="00580444" w:rsidRPr="000A7AE8" w:rsidRDefault="00580444" w:rsidP="00C02EB7">
            <w:pPr>
              <w:pStyle w:val="BMSTableText"/>
            </w:pPr>
          </w:p>
        </w:tc>
        <w:tc>
          <w:tcPr>
            <w:tcW w:w="1275" w:type="dxa"/>
            <w:tcBorders>
              <w:top w:val="nil"/>
              <w:left w:val="nil"/>
              <w:bottom w:val="nil"/>
              <w:right w:val="nil"/>
            </w:tcBorders>
          </w:tcPr>
          <w:p w14:paraId="2C312947" w14:textId="77777777" w:rsidR="00580444" w:rsidRPr="000A7AE8" w:rsidRDefault="00580444" w:rsidP="00C02EB7">
            <w:pPr>
              <w:pStyle w:val="BMSTableText"/>
            </w:pPr>
            <w:r w:rsidRPr="000A7AE8">
              <w:t>5.91</w:t>
            </w:r>
          </w:p>
        </w:tc>
        <w:tc>
          <w:tcPr>
            <w:tcW w:w="1088" w:type="dxa"/>
            <w:tcBorders>
              <w:top w:val="nil"/>
              <w:left w:val="nil"/>
              <w:bottom w:val="nil"/>
              <w:right w:val="nil"/>
            </w:tcBorders>
          </w:tcPr>
          <w:p w14:paraId="75095777" w14:textId="77777777" w:rsidR="00580444" w:rsidRPr="000A7AE8" w:rsidRDefault="00580444" w:rsidP="00C02EB7">
            <w:pPr>
              <w:pStyle w:val="BMSTableText"/>
            </w:pPr>
            <w:r w:rsidRPr="000A7AE8">
              <w:t>5.49</w:t>
            </w:r>
          </w:p>
        </w:tc>
      </w:tr>
      <w:tr w:rsidR="000A7AE8" w:rsidRPr="000A7AE8" w14:paraId="22FA6346" w14:textId="77777777" w:rsidTr="00C02EB7">
        <w:trPr>
          <w:trHeight w:val="576"/>
        </w:trPr>
        <w:tc>
          <w:tcPr>
            <w:tcW w:w="2694" w:type="dxa"/>
            <w:tcBorders>
              <w:top w:val="nil"/>
              <w:left w:val="nil"/>
              <w:bottom w:val="single" w:sz="4" w:space="0" w:color="auto"/>
              <w:right w:val="nil"/>
            </w:tcBorders>
            <w:vAlign w:val="center"/>
          </w:tcPr>
          <w:p w14:paraId="39E6F670" w14:textId="77777777" w:rsidR="00580444" w:rsidRPr="000A7AE8" w:rsidRDefault="00580444" w:rsidP="00C02EB7">
            <w:pPr>
              <w:pStyle w:val="BMSTableText"/>
              <w:jc w:val="left"/>
            </w:pPr>
            <w:r w:rsidRPr="000A7AE8">
              <w:t>Change from Baseline (Mean)</w:t>
            </w:r>
          </w:p>
        </w:tc>
        <w:tc>
          <w:tcPr>
            <w:tcW w:w="1275" w:type="dxa"/>
            <w:tcBorders>
              <w:top w:val="nil"/>
              <w:left w:val="nil"/>
              <w:bottom w:val="single" w:sz="4" w:space="0" w:color="auto"/>
              <w:right w:val="nil"/>
            </w:tcBorders>
            <w:vAlign w:val="center"/>
          </w:tcPr>
          <w:p w14:paraId="6C88EA6C" w14:textId="77777777" w:rsidR="00580444" w:rsidRPr="000A7AE8" w:rsidRDefault="00580444" w:rsidP="00C02EB7">
            <w:pPr>
              <w:pStyle w:val="BMSTableText"/>
            </w:pPr>
            <w:r w:rsidRPr="000A7AE8">
              <w:t>0.50</w:t>
            </w:r>
          </w:p>
        </w:tc>
        <w:tc>
          <w:tcPr>
            <w:tcW w:w="1560" w:type="dxa"/>
            <w:tcBorders>
              <w:top w:val="nil"/>
              <w:left w:val="nil"/>
              <w:bottom w:val="single" w:sz="4" w:space="0" w:color="auto"/>
              <w:right w:val="nil"/>
            </w:tcBorders>
            <w:vAlign w:val="center"/>
          </w:tcPr>
          <w:p w14:paraId="5B9629DE" w14:textId="77777777" w:rsidR="00580444" w:rsidRPr="000A7AE8" w:rsidRDefault="00580444" w:rsidP="00C02EB7">
            <w:pPr>
              <w:pStyle w:val="BMSTableText"/>
            </w:pPr>
            <w:r w:rsidRPr="000A7AE8">
              <w:t>0.89</w:t>
            </w:r>
          </w:p>
        </w:tc>
        <w:tc>
          <w:tcPr>
            <w:tcW w:w="1134" w:type="dxa"/>
            <w:tcBorders>
              <w:top w:val="nil"/>
              <w:left w:val="nil"/>
              <w:bottom w:val="single" w:sz="4" w:space="0" w:color="auto"/>
              <w:right w:val="nil"/>
            </w:tcBorders>
            <w:vAlign w:val="center"/>
          </w:tcPr>
          <w:p w14:paraId="2AD11493" w14:textId="77777777" w:rsidR="00580444" w:rsidRPr="000A7AE8" w:rsidRDefault="00580444" w:rsidP="00C02EB7">
            <w:pPr>
              <w:pStyle w:val="BMSTableText"/>
            </w:pPr>
            <w:r w:rsidRPr="000A7AE8">
              <w:t>0.033</w:t>
            </w:r>
          </w:p>
        </w:tc>
        <w:tc>
          <w:tcPr>
            <w:tcW w:w="1275" w:type="dxa"/>
            <w:tcBorders>
              <w:top w:val="nil"/>
              <w:left w:val="nil"/>
              <w:bottom w:val="single" w:sz="4" w:space="0" w:color="auto"/>
              <w:right w:val="nil"/>
            </w:tcBorders>
            <w:vAlign w:val="center"/>
          </w:tcPr>
          <w:p w14:paraId="320F0699" w14:textId="77777777" w:rsidR="00580444" w:rsidRPr="000A7AE8" w:rsidRDefault="00580444" w:rsidP="00C02EB7">
            <w:pPr>
              <w:pStyle w:val="BMSTableText"/>
            </w:pPr>
            <w:r w:rsidRPr="000A7AE8">
              <w:t>0.59</w:t>
            </w:r>
          </w:p>
        </w:tc>
        <w:tc>
          <w:tcPr>
            <w:tcW w:w="1088" w:type="dxa"/>
            <w:tcBorders>
              <w:top w:val="nil"/>
              <w:left w:val="nil"/>
              <w:bottom w:val="single" w:sz="4" w:space="0" w:color="auto"/>
              <w:right w:val="nil"/>
            </w:tcBorders>
            <w:vAlign w:val="center"/>
          </w:tcPr>
          <w:p w14:paraId="057CE218" w14:textId="77777777" w:rsidR="00580444" w:rsidRPr="000A7AE8" w:rsidRDefault="00580444" w:rsidP="00C02EB7">
            <w:pPr>
              <w:pStyle w:val="BMSTableText"/>
            </w:pPr>
            <w:r w:rsidRPr="000A7AE8">
              <w:t>1.40</w:t>
            </w:r>
          </w:p>
        </w:tc>
      </w:tr>
      <w:tr w:rsidR="000A7AE8" w:rsidRPr="000A7AE8" w14:paraId="36E5341E" w14:textId="77777777" w:rsidTr="00C02EB7">
        <w:trPr>
          <w:trHeight w:val="340"/>
        </w:trPr>
        <w:tc>
          <w:tcPr>
            <w:tcW w:w="2694" w:type="dxa"/>
            <w:tcBorders>
              <w:top w:val="single" w:sz="4" w:space="0" w:color="auto"/>
              <w:left w:val="nil"/>
              <w:bottom w:val="nil"/>
              <w:right w:val="nil"/>
            </w:tcBorders>
          </w:tcPr>
          <w:p w14:paraId="7ABF42E0" w14:textId="77777777" w:rsidR="00580444" w:rsidRPr="000A7AE8" w:rsidRDefault="00580444" w:rsidP="00C02EB7">
            <w:pPr>
              <w:pStyle w:val="BMSTableText"/>
              <w:jc w:val="left"/>
            </w:pPr>
            <w:r w:rsidRPr="000A7AE8">
              <w:t>JSN score</w:t>
            </w:r>
          </w:p>
        </w:tc>
        <w:tc>
          <w:tcPr>
            <w:tcW w:w="1275" w:type="dxa"/>
            <w:tcBorders>
              <w:top w:val="single" w:sz="4" w:space="0" w:color="auto"/>
              <w:left w:val="nil"/>
              <w:bottom w:val="nil"/>
              <w:right w:val="nil"/>
            </w:tcBorders>
          </w:tcPr>
          <w:p w14:paraId="16759266" w14:textId="77777777" w:rsidR="00580444" w:rsidRPr="000A7AE8" w:rsidRDefault="00580444" w:rsidP="00C02EB7">
            <w:pPr>
              <w:pStyle w:val="BMSTableText"/>
            </w:pPr>
          </w:p>
        </w:tc>
        <w:tc>
          <w:tcPr>
            <w:tcW w:w="1560" w:type="dxa"/>
            <w:tcBorders>
              <w:top w:val="single" w:sz="4" w:space="0" w:color="auto"/>
              <w:left w:val="nil"/>
              <w:bottom w:val="nil"/>
              <w:right w:val="nil"/>
            </w:tcBorders>
          </w:tcPr>
          <w:p w14:paraId="377E12D2" w14:textId="77777777" w:rsidR="00580444" w:rsidRPr="000A7AE8" w:rsidRDefault="00580444" w:rsidP="00C02EB7">
            <w:pPr>
              <w:pStyle w:val="BMSTableText"/>
            </w:pPr>
          </w:p>
        </w:tc>
        <w:tc>
          <w:tcPr>
            <w:tcW w:w="1134" w:type="dxa"/>
            <w:tcBorders>
              <w:top w:val="single" w:sz="4" w:space="0" w:color="auto"/>
              <w:left w:val="nil"/>
              <w:bottom w:val="nil"/>
              <w:right w:val="nil"/>
            </w:tcBorders>
          </w:tcPr>
          <w:p w14:paraId="7AA4CBDE" w14:textId="77777777" w:rsidR="00580444" w:rsidRPr="000A7AE8" w:rsidRDefault="00580444" w:rsidP="00C02EB7">
            <w:pPr>
              <w:pStyle w:val="BMSTableText"/>
            </w:pPr>
          </w:p>
        </w:tc>
        <w:tc>
          <w:tcPr>
            <w:tcW w:w="1275" w:type="dxa"/>
            <w:tcBorders>
              <w:top w:val="single" w:sz="4" w:space="0" w:color="auto"/>
              <w:left w:val="nil"/>
              <w:bottom w:val="nil"/>
              <w:right w:val="nil"/>
            </w:tcBorders>
          </w:tcPr>
          <w:p w14:paraId="1F2DEBBA" w14:textId="77777777" w:rsidR="00580444" w:rsidRPr="000A7AE8" w:rsidRDefault="00580444" w:rsidP="00C02EB7">
            <w:pPr>
              <w:pStyle w:val="BMSTableText"/>
            </w:pPr>
          </w:p>
        </w:tc>
        <w:tc>
          <w:tcPr>
            <w:tcW w:w="1088" w:type="dxa"/>
            <w:tcBorders>
              <w:top w:val="single" w:sz="4" w:space="0" w:color="auto"/>
              <w:left w:val="nil"/>
              <w:bottom w:val="nil"/>
              <w:right w:val="nil"/>
            </w:tcBorders>
          </w:tcPr>
          <w:p w14:paraId="3FB8FD96" w14:textId="77777777" w:rsidR="00580444" w:rsidRPr="000A7AE8" w:rsidRDefault="00580444" w:rsidP="00C02EB7">
            <w:pPr>
              <w:pStyle w:val="BMSTableText"/>
            </w:pPr>
          </w:p>
        </w:tc>
      </w:tr>
      <w:tr w:rsidR="000A7AE8" w:rsidRPr="000A7AE8" w14:paraId="4FA35AD6" w14:textId="77777777" w:rsidTr="00C02EB7">
        <w:trPr>
          <w:trHeight w:val="340"/>
        </w:trPr>
        <w:tc>
          <w:tcPr>
            <w:tcW w:w="2694" w:type="dxa"/>
            <w:tcBorders>
              <w:top w:val="nil"/>
              <w:left w:val="nil"/>
              <w:bottom w:val="nil"/>
              <w:right w:val="nil"/>
            </w:tcBorders>
            <w:vAlign w:val="center"/>
          </w:tcPr>
          <w:p w14:paraId="120D2776" w14:textId="77777777" w:rsidR="00580444" w:rsidRPr="000A7AE8" w:rsidRDefault="00580444" w:rsidP="00C02EB7">
            <w:pPr>
              <w:pStyle w:val="BMSTableText"/>
              <w:jc w:val="left"/>
            </w:pPr>
            <w:r w:rsidRPr="000A7AE8">
              <w:t>Baseline (Mean)</w:t>
            </w:r>
          </w:p>
        </w:tc>
        <w:tc>
          <w:tcPr>
            <w:tcW w:w="1275" w:type="dxa"/>
            <w:tcBorders>
              <w:top w:val="nil"/>
              <w:left w:val="nil"/>
              <w:bottom w:val="nil"/>
              <w:right w:val="nil"/>
            </w:tcBorders>
            <w:vAlign w:val="center"/>
          </w:tcPr>
          <w:p w14:paraId="1DAF9510" w14:textId="77777777" w:rsidR="00580444" w:rsidRPr="000A7AE8" w:rsidRDefault="00580444" w:rsidP="00C02EB7">
            <w:pPr>
              <w:pStyle w:val="BMSTableText"/>
            </w:pPr>
            <w:r w:rsidRPr="000A7AE8">
              <w:t>2.03</w:t>
            </w:r>
          </w:p>
        </w:tc>
        <w:tc>
          <w:tcPr>
            <w:tcW w:w="1560" w:type="dxa"/>
            <w:tcBorders>
              <w:top w:val="nil"/>
              <w:left w:val="nil"/>
              <w:bottom w:val="nil"/>
              <w:right w:val="nil"/>
            </w:tcBorders>
            <w:vAlign w:val="center"/>
          </w:tcPr>
          <w:p w14:paraId="73F64D51" w14:textId="77777777" w:rsidR="00580444" w:rsidRPr="000A7AE8" w:rsidRDefault="00580444" w:rsidP="00C02EB7">
            <w:pPr>
              <w:pStyle w:val="BMSTableText"/>
            </w:pPr>
            <w:r w:rsidRPr="000A7AE8">
              <w:t>1.86</w:t>
            </w:r>
          </w:p>
        </w:tc>
        <w:tc>
          <w:tcPr>
            <w:tcW w:w="1134" w:type="dxa"/>
            <w:tcBorders>
              <w:top w:val="nil"/>
              <w:left w:val="nil"/>
              <w:bottom w:val="nil"/>
              <w:right w:val="nil"/>
            </w:tcBorders>
          </w:tcPr>
          <w:p w14:paraId="4B0119B5" w14:textId="77777777" w:rsidR="00580444" w:rsidRPr="000A7AE8" w:rsidRDefault="00580444" w:rsidP="00C02EB7">
            <w:pPr>
              <w:pStyle w:val="BMSTableText"/>
            </w:pPr>
          </w:p>
        </w:tc>
        <w:tc>
          <w:tcPr>
            <w:tcW w:w="1275" w:type="dxa"/>
            <w:tcBorders>
              <w:top w:val="nil"/>
              <w:left w:val="nil"/>
              <w:bottom w:val="nil"/>
              <w:right w:val="nil"/>
            </w:tcBorders>
          </w:tcPr>
          <w:p w14:paraId="04440335" w14:textId="77777777" w:rsidR="00580444" w:rsidRPr="000A7AE8" w:rsidRDefault="00580444" w:rsidP="00C02EB7">
            <w:pPr>
              <w:pStyle w:val="BMSTableText"/>
            </w:pPr>
            <w:r w:rsidRPr="000A7AE8">
              <w:t>1.83</w:t>
            </w:r>
          </w:p>
        </w:tc>
        <w:tc>
          <w:tcPr>
            <w:tcW w:w="1088" w:type="dxa"/>
            <w:tcBorders>
              <w:top w:val="nil"/>
              <w:left w:val="nil"/>
              <w:bottom w:val="nil"/>
              <w:right w:val="nil"/>
            </w:tcBorders>
          </w:tcPr>
          <w:p w14:paraId="403BC28C" w14:textId="77777777" w:rsidR="00580444" w:rsidRPr="000A7AE8" w:rsidRDefault="00580444" w:rsidP="00C02EB7">
            <w:pPr>
              <w:pStyle w:val="BMSTableText"/>
            </w:pPr>
            <w:r w:rsidRPr="000A7AE8">
              <w:t>1.75</w:t>
            </w:r>
          </w:p>
        </w:tc>
      </w:tr>
      <w:tr w:rsidR="000A7AE8" w:rsidRPr="000A7AE8" w14:paraId="52A3040A" w14:textId="77777777" w:rsidTr="00C02EB7">
        <w:trPr>
          <w:trHeight w:val="576"/>
        </w:trPr>
        <w:tc>
          <w:tcPr>
            <w:tcW w:w="2694" w:type="dxa"/>
            <w:tcBorders>
              <w:top w:val="nil"/>
              <w:left w:val="nil"/>
              <w:bottom w:val="double" w:sz="4" w:space="0" w:color="auto"/>
              <w:right w:val="nil"/>
            </w:tcBorders>
            <w:vAlign w:val="center"/>
          </w:tcPr>
          <w:p w14:paraId="48E0A5C0" w14:textId="014D5BBD" w:rsidR="00580444" w:rsidRPr="000A7AE8" w:rsidRDefault="00580444" w:rsidP="00C02EB7">
            <w:pPr>
              <w:pStyle w:val="BMSTableText"/>
              <w:jc w:val="left"/>
            </w:pPr>
            <w:r w:rsidRPr="000A7AE8">
              <w:t>Change from Baseline (</w:t>
            </w:r>
            <w:r w:rsidR="007D25C9" w:rsidRPr="000A7AE8">
              <w:t>M</w:t>
            </w:r>
            <w:r w:rsidRPr="000A7AE8">
              <w:t>ean)</w:t>
            </w:r>
          </w:p>
        </w:tc>
        <w:tc>
          <w:tcPr>
            <w:tcW w:w="1275" w:type="dxa"/>
            <w:tcBorders>
              <w:top w:val="nil"/>
              <w:left w:val="nil"/>
              <w:bottom w:val="double" w:sz="4" w:space="0" w:color="auto"/>
              <w:right w:val="nil"/>
            </w:tcBorders>
            <w:vAlign w:val="center"/>
          </w:tcPr>
          <w:p w14:paraId="6D4380B4" w14:textId="77777777" w:rsidR="00580444" w:rsidRPr="000A7AE8" w:rsidRDefault="00580444" w:rsidP="00C02EB7">
            <w:pPr>
              <w:pStyle w:val="BMSTableText"/>
            </w:pPr>
            <w:r w:rsidRPr="000A7AE8">
              <w:t>0.13</w:t>
            </w:r>
          </w:p>
        </w:tc>
        <w:tc>
          <w:tcPr>
            <w:tcW w:w="1560" w:type="dxa"/>
            <w:tcBorders>
              <w:top w:val="nil"/>
              <w:left w:val="nil"/>
              <w:bottom w:val="double" w:sz="4" w:space="0" w:color="auto"/>
              <w:right w:val="nil"/>
            </w:tcBorders>
            <w:vAlign w:val="center"/>
          </w:tcPr>
          <w:p w14:paraId="51AD5DF2" w14:textId="77777777" w:rsidR="00580444" w:rsidRPr="000A7AE8" w:rsidRDefault="00580444" w:rsidP="00C02EB7">
            <w:pPr>
              <w:pStyle w:val="BMSTableText"/>
            </w:pPr>
            <w:r w:rsidRPr="000A7AE8">
              <w:t>0.17</w:t>
            </w:r>
          </w:p>
        </w:tc>
        <w:tc>
          <w:tcPr>
            <w:tcW w:w="1134" w:type="dxa"/>
            <w:tcBorders>
              <w:top w:val="nil"/>
              <w:left w:val="nil"/>
              <w:bottom w:val="double" w:sz="4" w:space="0" w:color="auto"/>
              <w:right w:val="nil"/>
            </w:tcBorders>
            <w:vAlign w:val="center"/>
          </w:tcPr>
          <w:p w14:paraId="02F9DDC4" w14:textId="77777777" w:rsidR="00580444" w:rsidRPr="000A7AE8" w:rsidRDefault="00580444" w:rsidP="00C02EB7">
            <w:pPr>
              <w:pStyle w:val="BMSTableText"/>
            </w:pPr>
            <w:r w:rsidRPr="000A7AE8">
              <w:t>0.353</w:t>
            </w:r>
          </w:p>
        </w:tc>
        <w:tc>
          <w:tcPr>
            <w:tcW w:w="1275" w:type="dxa"/>
            <w:tcBorders>
              <w:top w:val="nil"/>
              <w:left w:val="nil"/>
              <w:bottom w:val="double" w:sz="4" w:space="0" w:color="auto"/>
              <w:right w:val="nil"/>
            </w:tcBorders>
            <w:vAlign w:val="center"/>
          </w:tcPr>
          <w:p w14:paraId="46BD5B4E" w14:textId="77777777" w:rsidR="00580444" w:rsidRPr="000A7AE8" w:rsidRDefault="00580444" w:rsidP="00C02EB7">
            <w:pPr>
              <w:pStyle w:val="BMSTableText"/>
            </w:pPr>
            <w:r w:rsidRPr="000A7AE8">
              <w:t>0.25</w:t>
            </w:r>
          </w:p>
        </w:tc>
        <w:tc>
          <w:tcPr>
            <w:tcW w:w="1088" w:type="dxa"/>
            <w:tcBorders>
              <w:top w:val="nil"/>
              <w:left w:val="nil"/>
              <w:bottom w:val="double" w:sz="4" w:space="0" w:color="auto"/>
              <w:right w:val="nil"/>
            </w:tcBorders>
            <w:vAlign w:val="center"/>
          </w:tcPr>
          <w:p w14:paraId="69649488" w14:textId="77777777" w:rsidR="00580444" w:rsidRPr="000A7AE8" w:rsidRDefault="00580444" w:rsidP="00C02EB7">
            <w:pPr>
              <w:pStyle w:val="BMSTableText"/>
            </w:pPr>
            <w:r w:rsidRPr="000A7AE8">
              <w:t>0.34</w:t>
            </w:r>
          </w:p>
        </w:tc>
      </w:tr>
    </w:tbl>
    <w:p w14:paraId="52DEDD48" w14:textId="73313C51" w:rsidR="00580444" w:rsidRPr="000A7AE8" w:rsidRDefault="00580444" w:rsidP="00580444">
      <w:pPr>
        <w:pStyle w:val="BMSTableNoteInfo"/>
        <w:spacing w:before="0" w:after="120"/>
        <w:rPr>
          <w:color w:val="auto"/>
          <w:sz w:val="18"/>
          <w:szCs w:val="18"/>
        </w:rPr>
      </w:pPr>
      <w:proofErr w:type="gramStart"/>
      <w:r w:rsidRPr="000A7AE8">
        <w:rPr>
          <w:rStyle w:val="BMSTableNote"/>
          <w:sz w:val="18"/>
          <w:szCs w:val="18"/>
        </w:rPr>
        <w:t>a</w:t>
      </w:r>
      <w:proofErr w:type="gramEnd"/>
      <w:r w:rsidR="00C02EB7" w:rsidRPr="000A7AE8">
        <w:rPr>
          <w:color w:val="auto"/>
          <w:sz w:val="18"/>
          <w:szCs w:val="18"/>
        </w:rPr>
        <w:t xml:space="preserve"> </w:t>
      </w:r>
      <w:r w:rsidRPr="000A7AE8">
        <w:rPr>
          <w:color w:val="auto"/>
          <w:sz w:val="18"/>
          <w:szCs w:val="18"/>
        </w:rPr>
        <w:t>Based on non-parametric analysis.</w:t>
      </w:r>
    </w:p>
    <w:p w14:paraId="4ADBF157" w14:textId="77777777" w:rsidR="00580444" w:rsidRPr="000A7AE8" w:rsidRDefault="00580444" w:rsidP="00580444">
      <w:bookmarkStart w:id="74" w:name="_Toc96146349"/>
      <w:r w:rsidRPr="000A7AE8">
        <w:t>The effect of ORENCIA on structural damage was not studied in RA patients with an inadequate response to TNF blocking agents.</w:t>
      </w:r>
    </w:p>
    <w:p w14:paraId="72C67CCE" w14:textId="77777777" w:rsidR="00580444" w:rsidRPr="000A7AE8" w:rsidRDefault="00580444" w:rsidP="00C02EB7">
      <w:pPr>
        <w:rPr>
          <w:b/>
          <w:i/>
        </w:rPr>
      </w:pPr>
      <w:r w:rsidRPr="000A7AE8">
        <w:rPr>
          <w:b/>
          <w:i/>
        </w:rPr>
        <w:t>Physical function response</w:t>
      </w:r>
      <w:bookmarkEnd w:id="74"/>
    </w:p>
    <w:p w14:paraId="43AEE1BF" w14:textId="5D89E4F3" w:rsidR="00580444" w:rsidRPr="000A7AE8" w:rsidRDefault="00580444" w:rsidP="00C02EB7">
      <w:r w:rsidRPr="000A7AE8">
        <w:t xml:space="preserve">Improvement in physical function was measured by the Health Assessment Questionnaire Disability Index (HAQ-DI) in Studies III, IV, and V, and a modified HAQ-DI in Study II. In Studies II-V, ORENCIA demonstrated significantly greater improvement from baseline than placebo in the HAQ-DI and a significantly greater proportion of patients treated with ORENCIA compared to placebo showed a clinically meaningful improvement (reduction in HAQ-DI of </w:t>
      </w:r>
      <w:r w:rsidRPr="000A7AE8">
        <w:sym w:font="Symbol" w:char="F0B3"/>
      </w:r>
      <w:r w:rsidRPr="000A7AE8">
        <w:t xml:space="preserve">0.3 units from baseline). In Study VI, significantly greater improvement from baseline in the HAQ-DI was observed in ORENCIA+MTX-treated patients compared with </w:t>
      </w:r>
      <w:proofErr w:type="spellStart"/>
      <w:r w:rsidRPr="000A7AE8">
        <w:t>MTX+placebo-treated</w:t>
      </w:r>
      <w:proofErr w:type="spellEnd"/>
      <w:r w:rsidRPr="000A7AE8">
        <w:t xml:space="preserve"> patients, and significantly more patients in the ORENCIA+MTX group compared with the </w:t>
      </w:r>
      <w:proofErr w:type="spellStart"/>
      <w:r w:rsidRPr="000A7AE8">
        <w:t>MTX+placebo</w:t>
      </w:r>
      <w:proofErr w:type="spellEnd"/>
      <w:r w:rsidRPr="000A7AE8">
        <w:t xml:space="preserve"> group achieved a clinically meaningful improvement at 12 months. In Study III, among HAQ responders at </w:t>
      </w:r>
      <w:r w:rsidR="007D25C9" w:rsidRPr="000A7AE8">
        <w:t>M</w:t>
      </w:r>
      <w:r w:rsidRPr="000A7AE8">
        <w:t xml:space="preserve">onth 12, </w:t>
      </w:r>
      <w:r w:rsidRPr="000A7AE8">
        <w:lastRenderedPageBreak/>
        <w:t xml:space="preserve">88% retained the response at </w:t>
      </w:r>
      <w:r w:rsidR="007D25C9" w:rsidRPr="000A7AE8">
        <w:t>M</w:t>
      </w:r>
      <w:r w:rsidRPr="000A7AE8">
        <w:t xml:space="preserve">onth 18, and 85% retained the response at </w:t>
      </w:r>
      <w:r w:rsidR="007D25C9" w:rsidRPr="000A7AE8">
        <w:t>M</w:t>
      </w:r>
      <w:r w:rsidRPr="000A7AE8">
        <w:t xml:space="preserve">onth 24. The results from Studies II-IV are shown in Table </w:t>
      </w:r>
      <w:r w:rsidR="00932AF4" w:rsidRPr="000A7AE8">
        <w:t>10</w:t>
      </w:r>
      <w:r w:rsidRPr="000A7AE8">
        <w:t>. During the open-label periods of Studies II, III, IV, and VI, the improvement in physical function has been maintained through 7 years, 5 years, 5 years, and 2 years, respectively.</w:t>
      </w:r>
    </w:p>
    <w:tbl>
      <w:tblPr>
        <w:tblW w:w="0" w:type="auto"/>
        <w:tblBorders>
          <w:bottom w:val="double" w:sz="6" w:space="0" w:color="auto"/>
        </w:tblBorders>
        <w:tblLayout w:type="fixed"/>
        <w:tblLook w:val="0000" w:firstRow="0" w:lastRow="0" w:firstColumn="0" w:lastColumn="0" w:noHBand="0" w:noVBand="0"/>
      </w:tblPr>
      <w:tblGrid>
        <w:gridCol w:w="1998"/>
        <w:gridCol w:w="1350"/>
        <w:gridCol w:w="1080"/>
        <w:gridCol w:w="1350"/>
        <w:gridCol w:w="1080"/>
        <w:gridCol w:w="1350"/>
        <w:gridCol w:w="1170"/>
      </w:tblGrid>
      <w:tr w:rsidR="000A7AE8" w:rsidRPr="000A7AE8" w14:paraId="56C5338B" w14:textId="77777777" w:rsidTr="00C02EB7">
        <w:trPr>
          <w:cantSplit/>
          <w:tblHeader/>
        </w:trPr>
        <w:tc>
          <w:tcPr>
            <w:tcW w:w="9378" w:type="dxa"/>
            <w:gridSpan w:val="7"/>
            <w:tcBorders>
              <w:bottom w:val="double" w:sz="6" w:space="0" w:color="000000"/>
            </w:tcBorders>
          </w:tcPr>
          <w:p w14:paraId="420F0F27" w14:textId="3E7B5A04" w:rsidR="00580444" w:rsidRPr="000A7AE8" w:rsidRDefault="00932AF4" w:rsidP="00C02EB7">
            <w:pPr>
              <w:pStyle w:val="BMSTableTitle"/>
              <w:pageBreakBefore/>
              <w:spacing w:before="60" w:after="60"/>
            </w:pPr>
            <w:r w:rsidRPr="000A7AE8">
              <w:rPr>
                <w:sz w:val="22"/>
              </w:rPr>
              <w:lastRenderedPageBreak/>
              <w:t>Table 10</w:t>
            </w:r>
            <w:r w:rsidR="00580444" w:rsidRPr="000A7AE8">
              <w:rPr>
                <w:sz w:val="22"/>
              </w:rPr>
              <w:t>:</w:t>
            </w:r>
            <w:r w:rsidR="00580444" w:rsidRPr="000A7AE8">
              <w:rPr>
                <w:sz w:val="22"/>
              </w:rPr>
              <w:tab/>
              <w:t>Mean Improvement from Baseline in Health Assessment Questionnaire Disability Index (HAQ-DI)</w:t>
            </w:r>
          </w:p>
        </w:tc>
      </w:tr>
      <w:tr w:rsidR="000A7AE8" w:rsidRPr="000A7AE8" w14:paraId="6AE8E367" w14:textId="77777777" w:rsidTr="00C02EB7">
        <w:trPr>
          <w:cantSplit/>
          <w:tblHeader/>
        </w:trPr>
        <w:tc>
          <w:tcPr>
            <w:tcW w:w="1998" w:type="dxa"/>
            <w:tcBorders>
              <w:top w:val="double" w:sz="6" w:space="0" w:color="000000"/>
              <w:right w:val="nil"/>
            </w:tcBorders>
          </w:tcPr>
          <w:p w14:paraId="6657364F" w14:textId="77777777" w:rsidR="00580444" w:rsidRPr="000A7AE8" w:rsidRDefault="00580444" w:rsidP="00C02EB7">
            <w:pPr>
              <w:pStyle w:val="BMSTableHeader"/>
              <w:keepNext/>
              <w:keepLines/>
            </w:pPr>
          </w:p>
        </w:tc>
        <w:tc>
          <w:tcPr>
            <w:tcW w:w="4860" w:type="dxa"/>
            <w:gridSpan w:val="4"/>
            <w:tcBorders>
              <w:top w:val="double" w:sz="6" w:space="0" w:color="000000"/>
              <w:left w:val="single" w:sz="4" w:space="0" w:color="auto"/>
              <w:bottom w:val="single" w:sz="4" w:space="0" w:color="auto"/>
              <w:right w:val="nil"/>
            </w:tcBorders>
          </w:tcPr>
          <w:p w14:paraId="3ACB543C" w14:textId="77777777" w:rsidR="00580444" w:rsidRPr="000A7AE8" w:rsidRDefault="00580444" w:rsidP="00C02EB7">
            <w:pPr>
              <w:pStyle w:val="BMSTableHeader"/>
              <w:keepNext/>
              <w:keepLines/>
              <w:spacing w:after="0"/>
            </w:pPr>
            <w:r w:rsidRPr="000A7AE8">
              <w:t>Inadequate Response to</w:t>
            </w:r>
          </w:p>
          <w:p w14:paraId="256B4BFA" w14:textId="77777777" w:rsidR="00580444" w:rsidRPr="000A7AE8" w:rsidRDefault="00580444" w:rsidP="00C02EB7">
            <w:pPr>
              <w:pStyle w:val="BMSTableHeader"/>
              <w:keepNext/>
              <w:keepLines/>
              <w:spacing w:before="0"/>
            </w:pPr>
            <w:r w:rsidRPr="000A7AE8">
              <w:t>Methotrexate (MTX)</w:t>
            </w:r>
          </w:p>
        </w:tc>
        <w:tc>
          <w:tcPr>
            <w:tcW w:w="2520" w:type="dxa"/>
            <w:gridSpan w:val="2"/>
            <w:tcBorders>
              <w:top w:val="double" w:sz="6" w:space="0" w:color="000000"/>
              <w:left w:val="single" w:sz="4" w:space="0" w:color="auto"/>
              <w:bottom w:val="single" w:sz="4" w:space="0" w:color="auto"/>
            </w:tcBorders>
          </w:tcPr>
          <w:p w14:paraId="204E88EB" w14:textId="77777777" w:rsidR="00580444" w:rsidRPr="000A7AE8" w:rsidRDefault="00580444" w:rsidP="00C02EB7">
            <w:pPr>
              <w:pStyle w:val="BMSTableHeader"/>
              <w:keepNext/>
              <w:keepLines/>
              <w:spacing w:after="0"/>
            </w:pPr>
            <w:r w:rsidRPr="000A7AE8">
              <w:t>Inadequate Response to</w:t>
            </w:r>
          </w:p>
          <w:p w14:paraId="7FE763B4" w14:textId="77777777" w:rsidR="00580444" w:rsidRPr="000A7AE8" w:rsidRDefault="00580444" w:rsidP="00C02EB7">
            <w:pPr>
              <w:pStyle w:val="BMSTableHeader"/>
              <w:keepNext/>
              <w:keepLines/>
              <w:spacing w:before="0"/>
            </w:pPr>
            <w:r w:rsidRPr="000A7AE8">
              <w:t>TNF Blocking Agent</w:t>
            </w:r>
          </w:p>
        </w:tc>
      </w:tr>
      <w:tr w:rsidR="000A7AE8" w:rsidRPr="000A7AE8" w14:paraId="4AA179D6" w14:textId="77777777" w:rsidTr="00C02EB7">
        <w:trPr>
          <w:cantSplit/>
        </w:trPr>
        <w:tc>
          <w:tcPr>
            <w:tcW w:w="1998" w:type="dxa"/>
            <w:tcBorders>
              <w:bottom w:val="single" w:sz="4" w:space="0" w:color="auto"/>
              <w:right w:val="nil"/>
            </w:tcBorders>
          </w:tcPr>
          <w:p w14:paraId="0368DFBB" w14:textId="77777777" w:rsidR="00580444" w:rsidRPr="000A7AE8" w:rsidRDefault="00580444" w:rsidP="00C02EB7">
            <w:pPr>
              <w:pStyle w:val="BMSTableText"/>
              <w:keepNext/>
              <w:keepLines/>
              <w:rPr>
                <w:b/>
              </w:rPr>
            </w:pPr>
          </w:p>
        </w:tc>
        <w:tc>
          <w:tcPr>
            <w:tcW w:w="2430" w:type="dxa"/>
            <w:gridSpan w:val="2"/>
            <w:tcBorders>
              <w:left w:val="single" w:sz="4" w:space="0" w:color="auto"/>
              <w:bottom w:val="single" w:sz="4" w:space="0" w:color="auto"/>
              <w:right w:val="nil"/>
            </w:tcBorders>
          </w:tcPr>
          <w:p w14:paraId="695BBF67" w14:textId="77777777" w:rsidR="00580444" w:rsidRPr="000A7AE8" w:rsidRDefault="00580444" w:rsidP="00C02EB7">
            <w:pPr>
              <w:pStyle w:val="BMSTableText"/>
              <w:keepNext/>
              <w:keepLines/>
              <w:rPr>
                <w:rStyle w:val="BMSSuperscript"/>
              </w:rPr>
            </w:pPr>
            <w:r w:rsidRPr="000A7AE8">
              <w:rPr>
                <w:b/>
              </w:rPr>
              <w:t>Study II</w:t>
            </w:r>
          </w:p>
        </w:tc>
        <w:tc>
          <w:tcPr>
            <w:tcW w:w="2430" w:type="dxa"/>
            <w:gridSpan w:val="2"/>
            <w:tcBorders>
              <w:left w:val="single" w:sz="4" w:space="0" w:color="auto"/>
              <w:bottom w:val="single" w:sz="4" w:space="0" w:color="auto"/>
              <w:right w:val="nil"/>
            </w:tcBorders>
          </w:tcPr>
          <w:p w14:paraId="7FCAD4A4" w14:textId="77777777" w:rsidR="00580444" w:rsidRPr="000A7AE8" w:rsidRDefault="00580444" w:rsidP="00C02EB7">
            <w:pPr>
              <w:pStyle w:val="BMSTableText"/>
              <w:keepNext/>
              <w:keepLines/>
              <w:rPr>
                <w:rStyle w:val="BMSSuperscript"/>
              </w:rPr>
            </w:pPr>
            <w:r w:rsidRPr="000A7AE8">
              <w:rPr>
                <w:b/>
              </w:rPr>
              <w:t>Study III</w:t>
            </w:r>
          </w:p>
        </w:tc>
        <w:tc>
          <w:tcPr>
            <w:tcW w:w="2520" w:type="dxa"/>
            <w:gridSpan w:val="2"/>
            <w:tcBorders>
              <w:left w:val="single" w:sz="4" w:space="0" w:color="auto"/>
              <w:bottom w:val="single" w:sz="4" w:space="0" w:color="auto"/>
            </w:tcBorders>
          </w:tcPr>
          <w:p w14:paraId="234C8BF2" w14:textId="77777777" w:rsidR="00580444" w:rsidRPr="000A7AE8" w:rsidRDefault="00580444" w:rsidP="00C02EB7">
            <w:pPr>
              <w:pStyle w:val="BMSTableText"/>
              <w:keepNext/>
              <w:keepLines/>
              <w:rPr>
                <w:b/>
              </w:rPr>
            </w:pPr>
            <w:r w:rsidRPr="000A7AE8">
              <w:rPr>
                <w:b/>
              </w:rPr>
              <w:t>Study IV</w:t>
            </w:r>
          </w:p>
        </w:tc>
      </w:tr>
      <w:tr w:rsidR="000A7AE8" w:rsidRPr="000A7AE8" w14:paraId="20307677" w14:textId="77777777" w:rsidTr="00C02EB7">
        <w:tc>
          <w:tcPr>
            <w:tcW w:w="1998" w:type="dxa"/>
            <w:tcBorders>
              <w:top w:val="single" w:sz="4" w:space="0" w:color="auto"/>
              <w:bottom w:val="single" w:sz="4" w:space="0" w:color="auto"/>
              <w:right w:val="nil"/>
            </w:tcBorders>
            <w:vAlign w:val="bottom"/>
          </w:tcPr>
          <w:p w14:paraId="2FCBE60D" w14:textId="77777777" w:rsidR="00580444" w:rsidRPr="000A7AE8" w:rsidRDefault="00580444" w:rsidP="00C02EB7">
            <w:pPr>
              <w:pStyle w:val="BMSTableText"/>
              <w:keepNext/>
              <w:keepLines/>
              <w:spacing w:after="0"/>
              <w:jc w:val="left"/>
            </w:pPr>
            <w:r w:rsidRPr="000A7AE8">
              <w:t>HAQ Disability</w:t>
            </w:r>
          </w:p>
          <w:p w14:paraId="3C455C5C" w14:textId="77777777" w:rsidR="00580444" w:rsidRPr="000A7AE8" w:rsidRDefault="00580444" w:rsidP="00C02EB7">
            <w:pPr>
              <w:pStyle w:val="BMSTableText"/>
              <w:keepNext/>
              <w:keepLines/>
              <w:spacing w:before="0"/>
              <w:jc w:val="left"/>
            </w:pPr>
            <w:r w:rsidRPr="000A7AE8">
              <w:t>Index</w:t>
            </w:r>
          </w:p>
        </w:tc>
        <w:tc>
          <w:tcPr>
            <w:tcW w:w="1350" w:type="dxa"/>
            <w:tcBorders>
              <w:top w:val="single" w:sz="4" w:space="0" w:color="auto"/>
              <w:left w:val="single" w:sz="4" w:space="0" w:color="auto"/>
              <w:bottom w:val="single" w:sz="4" w:space="0" w:color="auto"/>
            </w:tcBorders>
            <w:vAlign w:val="bottom"/>
          </w:tcPr>
          <w:p w14:paraId="4BF514E1" w14:textId="0E211768" w:rsidR="00580444" w:rsidRPr="000A7AE8" w:rsidRDefault="00580444" w:rsidP="00C02EB7">
            <w:pPr>
              <w:pStyle w:val="BMSTableText"/>
              <w:keepNext/>
              <w:keepLines/>
              <w:spacing w:after="0"/>
            </w:pPr>
            <w:proofErr w:type="spellStart"/>
            <w:r w:rsidRPr="000A7AE8">
              <w:rPr>
                <w:sz w:val="16"/>
                <w:szCs w:val="16"/>
              </w:rPr>
              <w:t>ORENCIA</w:t>
            </w:r>
            <w:r w:rsidRPr="000A7AE8">
              <w:rPr>
                <w:rStyle w:val="BMSTableNote"/>
                <w:sz w:val="24"/>
                <w:szCs w:val="24"/>
              </w:rPr>
              <w:t>a</w:t>
            </w:r>
            <w:proofErr w:type="spellEnd"/>
          </w:p>
          <w:p w14:paraId="142EE551" w14:textId="77777777" w:rsidR="00580444" w:rsidRPr="000A7AE8" w:rsidRDefault="00580444" w:rsidP="00C02EB7">
            <w:pPr>
              <w:pStyle w:val="BMSTableText"/>
              <w:keepNext/>
              <w:keepLines/>
              <w:spacing w:before="0"/>
            </w:pPr>
            <w:r w:rsidRPr="000A7AE8">
              <w:t>+</w:t>
            </w:r>
            <w:r w:rsidRPr="000A7AE8">
              <w:rPr>
                <w:sz w:val="16"/>
                <w:szCs w:val="16"/>
              </w:rPr>
              <w:t>MTX</w:t>
            </w:r>
          </w:p>
        </w:tc>
        <w:tc>
          <w:tcPr>
            <w:tcW w:w="1080" w:type="dxa"/>
            <w:tcBorders>
              <w:top w:val="single" w:sz="4" w:space="0" w:color="auto"/>
              <w:bottom w:val="single" w:sz="4" w:space="0" w:color="auto"/>
              <w:right w:val="nil"/>
            </w:tcBorders>
            <w:vAlign w:val="bottom"/>
          </w:tcPr>
          <w:p w14:paraId="66200547" w14:textId="77777777" w:rsidR="00580444" w:rsidRPr="000A7AE8" w:rsidRDefault="00580444" w:rsidP="00C02EB7">
            <w:pPr>
              <w:pStyle w:val="BMSTableText"/>
              <w:keepNext/>
              <w:keepLines/>
              <w:spacing w:after="0"/>
            </w:pPr>
            <w:r w:rsidRPr="000A7AE8">
              <w:t>Placebo</w:t>
            </w:r>
          </w:p>
          <w:p w14:paraId="75775F1D" w14:textId="77777777" w:rsidR="00580444" w:rsidRPr="000A7AE8" w:rsidRDefault="00580444" w:rsidP="00C02EB7">
            <w:pPr>
              <w:pStyle w:val="BMSTableText"/>
              <w:keepNext/>
              <w:keepLines/>
              <w:spacing w:before="0"/>
            </w:pPr>
            <w:r w:rsidRPr="000A7AE8">
              <w:t>+</w:t>
            </w:r>
            <w:r w:rsidRPr="000A7AE8">
              <w:rPr>
                <w:sz w:val="16"/>
                <w:szCs w:val="16"/>
              </w:rPr>
              <w:t>MTX</w:t>
            </w:r>
          </w:p>
        </w:tc>
        <w:tc>
          <w:tcPr>
            <w:tcW w:w="1350" w:type="dxa"/>
            <w:tcBorders>
              <w:top w:val="single" w:sz="4" w:space="0" w:color="auto"/>
              <w:left w:val="single" w:sz="4" w:space="0" w:color="auto"/>
              <w:bottom w:val="single" w:sz="4" w:space="0" w:color="auto"/>
            </w:tcBorders>
            <w:vAlign w:val="bottom"/>
          </w:tcPr>
          <w:p w14:paraId="7F88D211" w14:textId="268BB9C3" w:rsidR="00580444" w:rsidRPr="000A7AE8" w:rsidRDefault="00580444" w:rsidP="00C02EB7">
            <w:pPr>
              <w:pStyle w:val="BMSTableText"/>
              <w:keepNext/>
              <w:keepLines/>
              <w:spacing w:after="0"/>
            </w:pPr>
            <w:proofErr w:type="spellStart"/>
            <w:r w:rsidRPr="000A7AE8">
              <w:rPr>
                <w:sz w:val="16"/>
                <w:szCs w:val="16"/>
              </w:rPr>
              <w:t>ORENCIA</w:t>
            </w:r>
            <w:r w:rsidRPr="000A7AE8">
              <w:rPr>
                <w:rStyle w:val="BMSTableNote"/>
                <w:sz w:val="24"/>
                <w:szCs w:val="24"/>
              </w:rPr>
              <w:t>b</w:t>
            </w:r>
            <w:proofErr w:type="spellEnd"/>
          </w:p>
          <w:p w14:paraId="3EEFE42A" w14:textId="77777777" w:rsidR="00580444" w:rsidRPr="000A7AE8" w:rsidRDefault="00580444" w:rsidP="00C02EB7">
            <w:pPr>
              <w:pStyle w:val="BMSTableText"/>
              <w:keepNext/>
              <w:keepLines/>
              <w:spacing w:before="0"/>
            </w:pPr>
            <w:r w:rsidRPr="000A7AE8">
              <w:t>+</w:t>
            </w:r>
            <w:r w:rsidRPr="000A7AE8">
              <w:rPr>
                <w:sz w:val="16"/>
                <w:szCs w:val="16"/>
              </w:rPr>
              <w:t>MTX</w:t>
            </w:r>
          </w:p>
        </w:tc>
        <w:tc>
          <w:tcPr>
            <w:tcW w:w="1080" w:type="dxa"/>
            <w:tcBorders>
              <w:top w:val="single" w:sz="4" w:space="0" w:color="auto"/>
              <w:bottom w:val="single" w:sz="4" w:space="0" w:color="auto"/>
              <w:right w:val="nil"/>
            </w:tcBorders>
            <w:vAlign w:val="bottom"/>
          </w:tcPr>
          <w:p w14:paraId="14110131" w14:textId="77777777" w:rsidR="00580444" w:rsidRPr="000A7AE8" w:rsidRDefault="00580444" w:rsidP="00C02EB7">
            <w:pPr>
              <w:pStyle w:val="BMSTableText"/>
              <w:keepNext/>
              <w:keepLines/>
              <w:spacing w:after="0"/>
            </w:pPr>
            <w:r w:rsidRPr="000A7AE8">
              <w:t>Placebo</w:t>
            </w:r>
          </w:p>
          <w:p w14:paraId="6B6777C9" w14:textId="77777777" w:rsidR="00580444" w:rsidRPr="000A7AE8" w:rsidRDefault="00580444" w:rsidP="00C02EB7">
            <w:pPr>
              <w:pStyle w:val="BMSTableText"/>
              <w:keepNext/>
              <w:keepLines/>
              <w:spacing w:before="0"/>
            </w:pPr>
            <w:r w:rsidRPr="000A7AE8">
              <w:t>+</w:t>
            </w:r>
            <w:r w:rsidRPr="000A7AE8">
              <w:rPr>
                <w:sz w:val="16"/>
                <w:szCs w:val="16"/>
              </w:rPr>
              <w:t>MTX</w:t>
            </w:r>
          </w:p>
        </w:tc>
        <w:tc>
          <w:tcPr>
            <w:tcW w:w="1350" w:type="dxa"/>
            <w:tcBorders>
              <w:top w:val="single" w:sz="4" w:space="0" w:color="auto"/>
              <w:left w:val="single" w:sz="4" w:space="0" w:color="auto"/>
              <w:bottom w:val="single" w:sz="4" w:space="0" w:color="auto"/>
            </w:tcBorders>
            <w:vAlign w:val="bottom"/>
          </w:tcPr>
          <w:p w14:paraId="7B6B42B1" w14:textId="59624488" w:rsidR="00580444" w:rsidRPr="000A7AE8" w:rsidRDefault="00580444" w:rsidP="00C02EB7">
            <w:pPr>
              <w:pStyle w:val="BMSTableText"/>
              <w:keepNext/>
              <w:keepLines/>
              <w:spacing w:after="0"/>
            </w:pPr>
            <w:proofErr w:type="spellStart"/>
            <w:r w:rsidRPr="000A7AE8">
              <w:rPr>
                <w:sz w:val="16"/>
                <w:szCs w:val="16"/>
              </w:rPr>
              <w:t>ORENCIA</w:t>
            </w:r>
            <w:r w:rsidRPr="000A7AE8">
              <w:rPr>
                <w:rStyle w:val="BMSTableNote"/>
                <w:sz w:val="24"/>
                <w:szCs w:val="24"/>
              </w:rPr>
              <w:t>b</w:t>
            </w:r>
            <w:proofErr w:type="spellEnd"/>
          </w:p>
          <w:p w14:paraId="5CEA7710" w14:textId="77777777" w:rsidR="00580444" w:rsidRPr="000A7AE8" w:rsidRDefault="00580444" w:rsidP="00C02EB7">
            <w:pPr>
              <w:pStyle w:val="BMSTableText"/>
              <w:keepNext/>
              <w:keepLines/>
              <w:spacing w:before="0"/>
            </w:pPr>
            <w:r w:rsidRPr="000A7AE8">
              <w:t>+</w:t>
            </w:r>
            <w:proofErr w:type="spellStart"/>
            <w:r w:rsidRPr="000A7AE8">
              <w:rPr>
                <w:sz w:val="16"/>
                <w:szCs w:val="16"/>
              </w:rPr>
              <w:t>DMARD</w:t>
            </w:r>
            <w:r w:rsidRPr="000A7AE8">
              <w:t>s</w:t>
            </w:r>
            <w:r w:rsidRPr="000A7AE8">
              <w:rPr>
                <w:rStyle w:val="BMSTableNote"/>
                <w:sz w:val="24"/>
                <w:szCs w:val="24"/>
              </w:rPr>
              <w:t>c</w:t>
            </w:r>
            <w:proofErr w:type="spellEnd"/>
          </w:p>
        </w:tc>
        <w:tc>
          <w:tcPr>
            <w:tcW w:w="1170" w:type="dxa"/>
            <w:tcBorders>
              <w:top w:val="single" w:sz="4" w:space="0" w:color="auto"/>
              <w:bottom w:val="single" w:sz="4" w:space="0" w:color="auto"/>
            </w:tcBorders>
            <w:vAlign w:val="bottom"/>
          </w:tcPr>
          <w:p w14:paraId="29E676E8" w14:textId="77777777" w:rsidR="00580444" w:rsidRPr="000A7AE8" w:rsidRDefault="00580444" w:rsidP="00C02EB7">
            <w:pPr>
              <w:pStyle w:val="BMSTableText"/>
              <w:keepNext/>
              <w:keepLines/>
              <w:spacing w:after="0"/>
            </w:pPr>
            <w:r w:rsidRPr="000A7AE8">
              <w:t>Placebo</w:t>
            </w:r>
          </w:p>
          <w:p w14:paraId="096C70CF" w14:textId="77777777" w:rsidR="00580444" w:rsidRPr="000A7AE8" w:rsidRDefault="00580444" w:rsidP="00C02EB7">
            <w:pPr>
              <w:pStyle w:val="BMSTableText"/>
              <w:keepNext/>
              <w:keepLines/>
              <w:spacing w:before="0"/>
            </w:pPr>
            <w:r w:rsidRPr="000A7AE8">
              <w:t>+</w:t>
            </w:r>
            <w:proofErr w:type="spellStart"/>
            <w:r w:rsidRPr="000A7AE8">
              <w:rPr>
                <w:sz w:val="16"/>
                <w:szCs w:val="16"/>
              </w:rPr>
              <w:t>DMARD</w:t>
            </w:r>
            <w:r w:rsidRPr="000A7AE8">
              <w:t>s</w:t>
            </w:r>
            <w:r w:rsidRPr="000A7AE8">
              <w:rPr>
                <w:rStyle w:val="BMSTableNote"/>
                <w:sz w:val="24"/>
                <w:szCs w:val="24"/>
              </w:rPr>
              <w:t>c</w:t>
            </w:r>
            <w:proofErr w:type="spellEnd"/>
          </w:p>
        </w:tc>
      </w:tr>
      <w:tr w:rsidR="000A7AE8" w:rsidRPr="000A7AE8" w14:paraId="669216C9" w14:textId="77777777" w:rsidTr="00C02EB7">
        <w:tblPrEx>
          <w:tblBorders>
            <w:bottom w:val="none" w:sz="0" w:space="0" w:color="auto"/>
          </w:tblBorders>
        </w:tblPrEx>
        <w:tc>
          <w:tcPr>
            <w:tcW w:w="1998" w:type="dxa"/>
            <w:tcBorders>
              <w:bottom w:val="single" w:sz="4" w:space="0" w:color="auto"/>
              <w:right w:val="single" w:sz="4" w:space="0" w:color="auto"/>
            </w:tcBorders>
          </w:tcPr>
          <w:p w14:paraId="7E3D6EB8" w14:textId="77777777" w:rsidR="00580444" w:rsidRPr="000A7AE8" w:rsidRDefault="00580444" w:rsidP="00C02EB7">
            <w:pPr>
              <w:pStyle w:val="BMSTableText"/>
              <w:keepNext/>
              <w:keepLines/>
              <w:spacing w:after="0"/>
              <w:jc w:val="left"/>
            </w:pPr>
            <w:r w:rsidRPr="000A7AE8">
              <w:t>Baseline (Mean)</w:t>
            </w:r>
          </w:p>
          <w:p w14:paraId="15CD9197" w14:textId="77777777" w:rsidR="00580444" w:rsidRPr="000A7AE8" w:rsidRDefault="00580444" w:rsidP="00C02EB7">
            <w:pPr>
              <w:pStyle w:val="BMSTableText"/>
              <w:keepNext/>
              <w:keepLines/>
              <w:spacing w:before="0"/>
              <w:jc w:val="left"/>
            </w:pPr>
          </w:p>
        </w:tc>
        <w:tc>
          <w:tcPr>
            <w:tcW w:w="1350" w:type="dxa"/>
            <w:tcBorders>
              <w:left w:val="single" w:sz="4" w:space="0" w:color="auto"/>
              <w:bottom w:val="single" w:sz="4" w:space="0" w:color="auto"/>
            </w:tcBorders>
          </w:tcPr>
          <w:p w14:paraId="0A57145E" w14:textId="77777777" w:rsidR="00580444" w:rsidRPr="000A7AE8" w:rsidRDefault="00580444" w:rsidP="00C02EB7">
            <w:pPr>
              <w:pStyle w:val="BMSTableText"/>
              <w:keepNext/>
              <w:keepLines/>
              <w:spacing w:after="0"/>
            </w:pPr>
            <w:r w:rsidRPr="000A7AE8">
              <w:t>0.98</w:t>
            </w:r>
            <w:r w:rsidRPr="000A7AE8">
              <w:rPr>
                <w:rStyle w:val="BMSTableNote"/>
                <w:sz w:val="24"/>
                <w:szCs w:val="24"/>
              </w:rPr>
              <w:t>d</w:t>
            </w:r>
          </w:p>
          <w:p w14:paraId="49B50AB4" w14:textId="77777777" w:rsidR="00580444" w:rsidRPr="000A7AE8" w:rsidRDefault="00580444" w:rsidP="00C02EB7">
            <w:pPr>
              <w:pStyle w:val="BMSTableText"/>
              <w:keepNext/>
              <w:keepLines/>
              <w:spacing w:before="0"/>
            </w:pPr>
            <w:r w:rsidRPr="000A7AE8">
              <w:t>(n=115)</w:t>
            </w:r>
          </w:p>
        </w:tc>
        <w:tc>
          <w:tcPr>
            <w:tcW w:w="1080" w:type="dxa"/>
            <w:tcBorders>
              <w:bottom w:val="single" w:sz="4" w:space="0" w:color="auto"/>
              <w:right w:val="single" w:sz="4" w:space="0" w:color="auto"/>
            </w:tcBorders>
          </w:tcPr>
          <w:p w14:paraId="416869D7" w14:textId="77777777" w:rsidR="00580444" w:rsidRPr="000A7AE8" w:rsidRDefault="00580444" w:rsidP="00C02EB7">
            <w:pPr>
              <w:pStyle w:val="BMSTableText"/>
              <w:keepNext/>
              <w:keepLines/>
              <w:spacing w:after="0"/>
            </w:pPr>
            <w:r w:rsidRPr="000A7AE8">
              <w:t>0.97</w:t>
            </w:r>
            <w:r w:rsidRPr="000A7AE8">
              <w:rPr>
                <w:rStyle w:val="BMSTableNote"/>
                <w:sz w:val="24"/>
                <w:szCs w:val="24"/>
              </w:rPr>
              <w:t>d</w:t>
            </w:r>
          </w:p>
          <w:p w14:paraId="5DB13DC3" w14:textId="77777777" w:rsidR="00580444" w:rsidRPr="000A7AE8" w:rsidRDefault="00580444" w:rsidP="00C02EB7">
            <w:pPr>
              <w:pStyle w:val="BMSTableText"/>
              <w:keepNext/>
              <w:keepLines/>
              <w:spacing w:before="0"/>
            </w:pPr>
            <w:r w:rsidRPr="000A7AE8">
              <w:t>(n=119)</w:t>
            </w:r>
          </w:p>
        </w:tc>
        <w:tc>
          <w:tcPr>
            <w:tcW w:w="1350" w:type="dxa"/>
            <w:tcBorders>
              <w:left w:val="single" w:sz="4" w:space="0" w:color="auto"/>
              <w:bottom w:val="single" w:sz="4" w:space="0" w:color="auto"/>
            </w:tcBorders>
          </w:tcPr>
          <w:p w14:paraId="739B47D0" w14:textId="77777777" w:rsidR="00580444" w:rsidRPr="000A7AE8" w:rsidRDefault="00580444" w:rsidP="00C02EB7">
            <w:pPr>
              <w:pStyle w:val="BMSTableText"/>
              <w:keepNext/>
              <w:keepLines/>
              <w:spacing w:after="0"/>
              <w:rPr>
                <w:rStyle w:val="BMSTableNote"/>
              </w:rPr>
            </w:pPr>
            <w:r w:rsidRPr="000A7AE8">
              <w:t>1.69</w:t>
            </w:r>
            <w:r w:rsidRPr="000A7AE8">
              <w:rPr>
                <w:rStyle w:val="BMSTableNote"/>
                <w:sz w:val="24"/>
                <w:szCs w:val="24"/>
              </w:rPr>
              <w:t>e</w:t>
            </w:r>
          </w:p>
          <w:p w14:paraId="271EFEEF" w14:textId="77777777" w:rsidR="00580444" w:rsidRPr="000A7AE8" w:rsidRDefault="00580444" w:rsidP="00C02EB7">
            <w:pPr>
              <w:pStyle w:val="BMSTableText"/>
              <w:keepNext/>
              <w:keepLines/>
              <w:spacing w:before="0"/>
            </w:pPr>
            <w:r w:rsidRPr="000A7AE8">
              <w:t>(n=422)</w:t>
            </w:r>
          </w:p>
        </w:tc>
        <w:tc>
          <w:tcPr>
            <w:tcW w:w="1080" w:type="dxa"/>
            <w:tcBorders>
              <w:bottom w:val="single" w:sz="4" w:space="0" w:color="auto"/>
              <w:right w:val="single" w:sz="4" w:space="0" w:color="auto"/>
            </w:tcBorders>
          </w:tcPr>
          <w:p w14:paraId="6B26E0C7" w14:textId="77777777" w:rsidR="00580444" w:rsidRPr="000A7AE8" w:rsidRDefault="00580444" w:rsidP="00C02EB7">
            <w:pPr>
              <w:pStyle w:val="BMSTableText"/>
              <w:keepNext/>
              <w:keepLines/>
              <w:spacing w:after="0"/>
            </w:pPr>
            <w:r w:rsidRPr="000A7AE8">
              <w:t>1.69</w:t>
            </w:r>
            <w:r w:rsidRPr="000A7AE8">
              <w:rPr>
                <w:rStyle w:val="BMSTableNote"/>
                <w:sz w:val="24"/>
                <w:szCs w:val="24"/>
              </w:rPr>
              <w:t>e</w:t>
            </w:r>
          </w:p>
          <w:p w14:paraId="4D8A16D9" w14:textId="77777777" w:rsidR="00580444" w:rsidRPr="000A7AE8" w:rsidRDefault="00580444" w:rsidP="00C02EB7">
            <w:pPr>
              <w:pStyle w:val="BMSTableText"/>
              <w:keepNext/>
              <w:keepLines/>
              <w:spacing w:before="0"/>
            </w:pPr>
            <w:r w:rsidRPr="000A7AE8">
              <w:t>(n=212)</w:t>
            </w:r>
          </w:p>
        </w:tc>
        <w:tc>
          <w:tcPr>
            <w:tcW w:w="1350" w:type="dxa"/>
            <w:tcBorders>
              <w:left w:val="single" w:sz="4" w:space="0" w:color="auto"/>
              <w:bottom w:val="single" w:sz="4" w:space="0" w:color="auto"/>
            </w:tcBorders>
          </w:tcPr>
          <w:p w14:paraId="459B53AE" w14:textId="77777777" w:rsidR="00580444" w:rsidRPr="000A7AE8" w:rsidRDefault="00580444" w:rsidP="00C02EB7">
            <w:pPr>
              <w:pStyle w:val="BMSTableText"/>
              <w:keepNext/>
              <w:keepLines/>
              <w:spacing w:after="0"/>
            </w:pPr>
            <w:r w:rsidRPr="000A7AE8">
              <w:t>1.83</w:t>
            </w:r>
            <w:r w:rsidRPr="000A7AE8">
              <w:rPr>
                <w:rStyle w:val="BMSTableNote"/>
                <w:sz w:val="24"/>
                <w:szCs w:val="24"/>
              </w:rPr>
              <w:t>e</w:t>
            </w:r>
          </w:p>
          <w:p w14:paraId="72E613AC" w14:textId="77777777" w:rsidR="00580444" w:rsidRPr="000A7AE8" w:rsidRDefault="00580444" w:rsidP="00C02EB7">
            <w:pPr>
              <w:pStyle w:val="BMSTableText"/>
              <w:keepNext/>
              <w:keepLines/>
              <w:spacing w:before="0"/>
            </w:pPr>
            <w:r w:rsidRPr="000A7AE8">
              <w:t>(n=249)</w:t>
            </w:r>
          </w:p>
        </w:tc>
        <w:tc>
          <w:tcPr>
            <w:tcW w:w="1170" w:type="dxa"/>
            <w:tcBorders>
              <w:bottom w:val="single" w:sz="4" w:space="0" w:color="auto"/>
            </w:tcBorders>
          </w:tcPr>
          <w:p w14:paraId="7F8DA90A" w14:textId="77777777" w:rsidR="00580444" w:rsidRPr="000A7AE8" w:rsidRDefault="00580444" w:rsidP="00C02EB7">
            <w:pPr>
              <w:pStyle w:val="BMSTableText"/>
              <w:keepNext/>
              <w:keepLines/>
              <w:spacing w:after="0"/>
            </w:pPr>
            <w:r w:rsidRPr="000A7AE8">
              <w:t>1.82</w:t>
            </w:r>
            <w:r w:rsidRPr="000A7AE8">
              <w:rPr>
                <w:rStyle w:val="BMSTableNote"/>
                <w:sz w:val="24"/>
                <w:szCs w:val="24"/>
              </w:rPr>
              <w:t>e</w:t>
            </w:r>
          </w:p>
          <w:p w14:paraId="789AD2B3" w14:textId="77777777" w:rsidR="00580444" w:rsidRPr="000A7AE8" w:rsidRDefault="00580444" w:rsidP="00C02EB7">
            <w:pPr>
              <w:pStyle w:val="BMSTableText"/>
              <w:keepNext/>
              <w:keepLines/>
              <w:spacing w:before="0"/>
            </w:pPr>
            <w:r w:rsidRPr="000A7AE8">
              <w:t>(n=130)</w:t>
            </w:r>
          </w:p>
        </w:tc>
      </w:tr>
      <w:tr w:rsidR="000A7AE8" w:rsidRPr="000A7AE8" w14:paraId="6743557D" w14:textId="77777777" w:rsidTr="00C02EB7">
        <w:tblPrEx>
          <w:tblBorders>
            <w:bottom w:val="none" w:sz="0" w:space="0" w:color="auto"/>
          </w:tblBorders>
        </w:tblPrEx>
        <w:tc>
          <w:tcPr>
            <w:tcW w:w="1998" w:type="dxa"/>
            <w:tcBorders>
              <w:top w:val="single" w:sz="4" w:space="0" w:color="auto"/>
              <w:right w:val="single" w:sz="4" w:space="0" w:color="auto"/>
            </w:tcBorders>
          </w:tcPr>
          <w:p w14:paraId="0D80FD4E" w14:textId="77777777" w:rsidR="00580444" w:rsidRPr="000A7AE8" w:rsidRDefault="00580444" w:rsidP="00C02EB7">
            <w:pPr>
              <w:pStyle w:val="BMSTableText"/>
              <w:keepNext/>
              <w:keepLines/>
              <w:spacing w:after="0"/>
              <w:jc w:val="left"/>
            </w:pPr>
            <w:r w:rsidRPr="000A7AE8">
              <w:t>Mean Improvement</w:t>
            </w:r>
          </w:p>
          <w:p w14:paraId="28825C79" w14:textId="77777777" w:rsidR="00580444" w:rsidRPr="000A7AE8" w:rsidRDefault="00580444" w:rsidP="00C02EB7">
            <w:pPr>
              <w:pStyle w:val="BMSTableText"/>
              <w:keepNext/>
              <w:keepLines/>
              <w:spacing w:before="0" w:after="0"/>
              <w:jc w:val="left"/>
            </w:pPr>
            <w:r w:rsidRPr="000A7AE8">
              <w:t>from Baseline</w:t>
            </w:r>
          </w:p>
          <w:p w14:paraId="2C225E35" w14:textId="77777777" w:rsidR="00580444" w:rsidRPr="000A7AE8" w:rsidRDefault="00580444" w:rsidP="00C02EB7">
            <w:pPr>
              <w:pStyle w:val="BMSTableText"/>
              <w:keepNext/>
              <w:keepLines/>
              <w:spacing w:before="0" w:after="0"/>
              <w:jc w:val="left"/>
            </w:pPr>
            <w:r w:rsidRPr="000A7AE8">
              <w:tab/>
              <w:t>Month 6</w:t>
            </w:r>
          </w:p>
        </w:tc>
        <w:tc>
          <w:tcPr>
            <w:tcW w:w="1350" w:type="dxa"/>
            <w:tcBorders>
              <w:top w:val="single" w:sz="4" w:space="0" w:color="auto"/>
              <w:left w:val="nil"/>
            </w:tcBorders>
          </w:tcPr>
          <w:p w14:paraId="3D84DF56" w14:textId="77777777" w:rsidR="00580444" w:rsidRPr="000A7AE8" w:rsidRDefault="00580444" w:rsidP="00C02EB7">
            <w:pPr>
              <w:pStyle w:val="BMSTableText"/>
              <w:keepNext/>
              <w:keepLines/>
              <w:spacing w:after="0"/>
            </w:pPr>
          </w:p>
          <w:p w14:paraId="2D78B60B" w14:textId="77777777" w:rsidR="00580444" w:rsidRPr="000A7AE8" w:rsidRDefault="00580444" w:rsidP="00C02EB7">
            <w:pPr>
              <w:pStyle w:val="BMSTableText"/>
              <w:keepNext/>
              <w:keepLines/>
              <w:spacing w:before="0" w:after="0"/>
            </w:pPr>
          </w:p>
          <w:p w14:paraId="0AEC88A2" w14:textId="77777777" w:rsidR="00580444" w:rsidRPr="000A7AE8" w:rsidRDefault="00580444" w:rsidP="00C02EB7">
            <w:pPr>
              <w:pStyle w:val="BMSTableText"/>
              <w:keepNext/>
              <w:keepLines/>
              <w:spacing w:before="0" w:after="0"/>
            </w:pPr>
            <w:r w:rsidRPr="000A7AE8">
              <w:t>0.40</w:t>
            </w:r>
            <w:r w:rsidRPr="000A7AE8">
              <w:rPr>
                <w:rStyle w:val="BMSSuperscript"/>
                <w:sz w:val="24"/>
                <w:szCs w:val="24"/>
              </w:rPr>
              <w:t>d,***</w:t>
            </w:r>
          </w:p>
          <w:p w14:paraId="2F427104" w14:textId="77777777" w:rsidR="00580444" w:rsidRPr="000A7AE8" w:rsidRDefault="00580444" w:rsidP="00C02EB7">
            <w:pPr>
              <w:pStyle w:val="BMSTableText"/>
              <w:keepNext/>
              <w:keepLines/>
              <w:spacing w:before="0"/>
            </w:pPr>
            <w:r w:rsidRPr="000A7AE8">
              <w:t>(n=113)</w:t>
            </w:r>
          </w:p>
        </w:tc>
        <w:tc>
          <w:tcPr>
            <w:tcW w:w="1080" w:type="dxa"/>
            <w:tcBorders>
              <w:top w:val="single" w:sz="4" w:space="0" w:color="auto"/>
            </w:tcBorders>
          </w:tcPr>
          <w:p w14:paraId="22F668D7" w14:textId="77777777" w:rsidR="00580444" w:rsidRPr="000A7AE8" w:rsidRDefault="00580444" w:rsidP="00C02EB7">
            <w:pPr>
              <w:pStyle w:val="BMSTableText"/>
              <w:keepNext/>
              <w:keepLines/>
              <w:spacing w:after="0"/>
            </w:pPr>
          </w:p>
          <w:p w14:paraId="6220D765" w14:textId="77777777" w:rsidR="00580444" w:rsidRPr="000A7AE8" w:rsidRDefault="00580444" w:rsidP="00C02EB7">
            <w:pPr>
              <w:pStyle w:val="BMSTableText"/>
              <w:keepNext/>
              <w:keepLines/>
              <w:spacing w:before="0" w:after="0"/>
            </w:pPr>
          </w:p>
          <w:p w14:paraId="20F42EFC" w14:textId="77777777" w:rsidR="00580444" w:rsidRPr="000A7AE8" w:rsidRDefault="00580444" w:rsidP="00C02EB7">
            <w:pPr>
              <w:pStyle w:val="BMSTableText"/>
              <w:keepNext/>
              <w:keepLines/>
              <w:spacing w:before="0" w:after="0"/>
            </w:pPr>
            <w:r w:rsidRPr="000A7AE8">
              <w:t>0.19</w:t>
            </w:r>
            <w:r w:rsidRPr="000A7AE8">
              <w:rPr>
                <w:rStyle w:val="BMSTableNote"/>
                <w:sz w:val="24"/>
                <w:szCs w:val="24"/>
              </w:rPr>
              <w:t>d</w:t>
            </w:r>
          </w:p>
          <w:p w14:paraId="52BB4599" w14:textId="77777777" w:rsidR="00580444" w:rsidRPr="000A7AE8" w:rsidRDefault="00580444" w:rsidP="00C02EB7">
            <w:pPr>
              <w:pStyle w:val="BMSTableText"/>
              <w:keepNext/>
              <w:keepLines/>
              <w:spacing w:before="0"/>
            </w:pPr>
            <w:r w:rsidRPr="000A7AE8">
              <w:t>(n=118)</w:t>
            </w:r>
          </w:p>
        </w:tc>
        <w:tc>
          <w:tcPr>
            <w:tcW w:w="1350" w:type="dxa"/>
            <w:tcBorders>
              <w:top w:val="single" w:sz="4" w:space="0" w:color="auto"/>
              <w:left w:val="single" w:sz="4" w:space="0" w:color="auto"/>
            </w:tcBorders>
          </w:tcPr>
          <w:p w14:paraId="7569E66E" w14:textId="77777777" w:rsidR="00580444" w:rsidRPr="000A7AE8" w:rsidRDefault="00580444" w:rsidP="00C02EB7">
            <w:pPr>
              <w:pStyle w:val="BMSTableText"/>
              <w:keepNext/>
              <w:keepLines/>
              <w:spacing w:after="0"/>
            </w:pPr>
          </w:p>
          <w:p w14:paraId="7ABA00B8" w14:textId="77777777" w:rsidR="00580444" w:rsidRPr="000A7AE8" w:rsidRDefault="00580444" w:rsidP="00C02EB7">
            <w:pPr>
              <w:pStyle w:val="BMSTableText"/>
              <w:keepNext/>
              <w:keepLines/>
              <w:spacing w:before="0" w:after="0"/>
            </w:pPr>
          </w:p>
          <w:p w14:paraId="4CBA8F4D" w14:textId="77777777" w:rsidR="00580444" w:rsidRPr="000A7AE8" w:rsidRDefault="00580444" w:rsidP="00C02EB7">
            <w:pPr>
              <w:pStyle w:val="BMSTableText"/>
              <w:keepNext/>
              <w:keepLines/>
              <w:spacing w:before="0" w:after="0"/>
            </w:pPr>
            <w:r w:rsidRPr="000A7AE8">
              <w:t>0.59</w:t>
            </w:r>
            <w:r w:rsidRPr="000A7AE8">
              <w:rPr>
                <w:rStyle w:val="BMSSuperscript"/>
                <w:sz w:val="24"/>
                <w:szCs w:val="24"/>
              </w:rPr>
              <w:t>e,***</w:t>
            </w:r>
          </w:p>
          <w:p w14:paraId="2C184B93" w14:textId="77777777" w:rsidR="00580444" w:rsidRPr="000A7AE8" w:rsidRDefault="00580444" w:rsidP="00C02EB7">
            <w:pPr>
              <w:pStyle w:val="BMSTableText"/>
              <w:keepNext/>
              <w:keepLines/>
              <w:spacing w:before="0"/>
            </w:pPr>
            <w:r w:rsidRPr="000A7AE8">
              <w:t>(n=420)</w:t>
            </w:r>
          </w:p>
        </w:tc>
        <w:tc>
          <w:tcPr>
            <w:tcW w:w="1080" w:type="dxa"/>
            <w:tcBorders>
              <w:top w:val="single" w:sz="4" w:space="0" w:color="auto"/>
            </w:tcBorders>
          </w:tcPr>
          <w:p w14:paraId="3B180EA2" w14:textId="77777777" w:rsidR="00580444" w:rsidRPr="000A7AE8" w:rsidRDefault="00580444" w:rsidP="00C02EB7">
            <w:pPr>
              <w:pStyle w:val="BMSTableText"/>
              <w:keepNext/>
              <w:keepLines/>
              <w:spacing w:after="0"/>
            </w:pPr>
          </w:p>
          <w:p w14:paraId="24F63A97" w14:textId="77777777" w:rsidR="00580444" w:rsidRPr="000A7AE8" w:rsidRDefault="00580444" w:rsidP="00C02EB7">
            <w:pPr>
              <w:pStyle w:val="BMSTableText"/>
              <w:keepNext/>
              <w:keepLines/>
              <w:spacing w:before="0" w:after="0"/>
            </w:pPr>
          </w:p>
          <w:p w14:paraId="15326F40" w14:textId="77777777" w:rsidR="00580444" w:rsidRPr="000A7AE8" w:rsidRDefault="00580444" w:rsidP="00C02EB7">
            <w:pPr>
              <w:pStyle w:val="BMSTableText"/>
              <w:keepNext/>
              <w:keepLines/>
              <w:spacing w:before="0" w:after="0"/>
            </w:pPr>
            <w:r w:rsidRPr="000A7AE8">
              <w:t>0.40</w:t>
            </w:r>
            <w:r w:rsidRPr="000A7AE8">
              <w:rPr>
                <w:rStyle w:val="BMSTableNote"/>
                <w:sz w:val="24"/>
                <w:szCs w:val="24"/>
              </w:rPr>
              <w:t>e</w:t>
            </w:r>
          </w:p>
          <w:p w14:paraId="4AE2AD29" w14:textId="77777777" w:rsidR="00580444" w:rsidRPr="000A7AE8" w:rsidRDefault="00580444" w:rsidP="00C02EB7">
            <w:pPr>
              <w:pStyle w:val="BMSTableText"/>
              <w:keepNext/>
              <w:keepLines/>
              <w:spacing w:before="0"/>
            </w:pPr>
            <w:r w:rsidRPr="000A7AE8">
              <w:t>(n=211)</w:t>
            </w:r>
          </w:p>
        </w:tc>
        <w:tc>
          <w:tcPr>
            <w:tcW w:w="1350" w:type="dxa"/>
            <w:tcBorders>
              <w:top w:val="single" w:sz="4" w:space="0" w:color="auto"/>
              <w:left w:val="single" w:sz="4" w:space="0" w:color="auto"/>
            </w:tcBorders>
          </w:tcPr>
          <w:p w14:paraId="7519DF99" w14:textId="77777777" w:rsidR="00580444" w:rsidRPr="000A7AE8" w:rsidRDefault="00580444" w:rsidP="00C02EB7">
            <w:pPr>
              <w:pStyle w:val="BMSTableText"/>
              <w:keepNext/>
              <w:keepLines/>
              <w:spacing w:after="0"/>
            </w:pPr>
          </w:p>
          <w:p w14:paraId="7CA3EB63" w14:textId="77777777" w:rsidR="00580444" w:rsidRPr="000A7AE8" w:rsidRDefault="00580444" w:rsidP="00C02EB7">
            <w:pPr>
              <w:pStyle w:val="BMSTableText"/>
              <w:keepNext/>
              <w:keepLines/>
              <w:spacing w:before="0" w:after="0"/>
            </w:pPr>
          </w:p>
          <w:p w14:paraId="378A2A14" w14:textId="77777777" w:rsidR="00580444" w:rsidRPr="000A7AE8" w:rsidRDefault="00580444" w:rsidP="00C02EB7">
            <w:pPr>
              <w:pStyle w:val="BMSTableText"/>
              <w:keepNext/>
              <w:keepLines/>
              <w:spacing w:before="0" w:after="0"/>
            </w:pPr>
            <w:r w:rsidRPr="000A7AE8">
              <w:t>0.45</w:t>
            </w:r>
            <w:r w:rsidRPr="000A7AE8">
              <w:rPr>
                <w:rStyle w:val="BMSSuperscript"/>
                <w:sz w:val="24"/>
                <w:szCs w:val="24"/>
              </w:rPr>
              <w:t>e,***</w:t>
            </w:r>
          </w:p>
          <w:p w14:paraId="4A7D1782" w14:textId="77777777" w:rsidR="00580444" w:rsidRPr="000A7AE8" w:rsidRDefault="00580444" w:rsidP="00C02EB7">
            <w:pPr>
              <w:pStyle w:val="BMSTableText"/>
              <w:keepNext/>
              <w:keepLines/>
              <w:spacing w:before="0"/>
            </w:pPr>
            <w:r w:rsidRPr="000A7AE8">
              <w:t>(n=249)</w:t>
            </w:r>
          </w:p>
        </w:tc>
        <w:tc>
          <w:tcPr>
            <w:tcW w:w="1170" w:type="dxa"/>
            <w:tcBorders>
              <w:top w:val="single" w:sz="4" w:space="0" w:color="auto"/>
            </w:tcBorders>
          </w:tcPr>
          <w:p w14:paraId="3BFBB2B0" w14:textId="77777777" w:rsidR="00580444" w:rsidRPr="000A7AE8" w:rsidRDefault="00580444" w:rsidP="00C02EB7">
            <w:pPr>
              <w:pStyle w:val="BMSTableText"/>
              <w:keepNext/>
              <w:keepLines/>
              <w:spacing w:after="0"/>
            </w:pPr>
          </w:p>
          <w:p w14:paraId="4202E952" w14:textId="77777777" w:rsidR="00580444" w:rsidRPr="000A7AE8" w:rsidRDefault="00580444" w:rsidP="00C02EB7">
            <w:pPr>
              <w:pStyle w:val="BMSTableText"/>
              <w:keepNext/>
              <w:keepLines/>
              <w:spacing w:before="0" w:after="0"/>
            </w:pPr>
          </w:p>
          <w:p w14:paraId="04BDD166" w14:textId="77777777" w:rsidR="00580444" w:rsidRPr="000A7AE8" w:rsidRDefault="00580444" w:rsidP="00C02EB7">
            <w:pPr>
              <w:pStyle w:val="BMSTableText"/>
              <w:keepNext/>
              <w:keepLines/>
              <w:spacing w:before="0" w:after="0"/>
            </w:pPr>
            <w:r w:rsidRPr="000A7AE8">
              <w:t>0.11</w:t>
            </w:r>
            <w:r w:rsidRPr="000A7AE8">
              <w:rPr>
                <w:rStyle w:val="BMSTableNote"/>
                <w:sz w:val="24"/>
                <w:szCs w:val="24"/>
              </w:rPr>
              <w:t>e</w:t>
            </w:r>
          </w:p>
          <w:p w14:paraId="0116EB08" w14:textId="77777777" w:rsidR="00580444" w:rsidRPr="000A7AE8" w:rsidRDefault="00580444" w:rsidP="00C02EB7">
            <w:pPr>
              <w:pStyle w:val="BMSTableText"/>
              <w:keepNext/>
              <w:keepLines/>
              <w:spacing w:before="0"/>
            </w:pPr>
            <w:r w:rsidRPr="000A7AE8">
              <w:t>(n=130)</w:t>
            </w:r>
          </w:p>
        </w:tc>
      </w:tr>
      <w:tr w:rsidR="000A7AE8" w:rsidRPr="000A7AE8" w14:paraId="3FB79FE4" w14:textId="77777777" w:rsidTr="00C02EB7">
        <w:tblPrEx>
          <w:tblBorders>
            <w:bottom w:val="none" w:sz="0" w:space="0" w:color="auto"/>
          </w:tblBorders>
        </w:tblPrEx>
        <w:tc>
          <w:tcPr>
            <w:tcW w:w="1998" w:type="dxa"/>
            <w:tcBorders>
              <w:bottom w:val="single" w:sz="4" w:space="0" w:color="auto"/>
              <w:right w:val="single" w:sz="4" w:space="0" w:color="auto"/>
            </w:tcBorders>
          </w:tcPr>
          <w:p w14:paraId="1D339679" w14:textId="77777777" w:rsidR="00580444" w:rsidRPr="000A7AE8" w:rsidRDefault="00580444" w:rsidP="00C02EB7">
            <w:pPr>
              <w:pStyle w:val="BMSTableText"/>
              <w:keepNext/>
              <w:keepLines/>
              <w:spacing w:after="0"/>
              <w:jc w:val="left"/>
            </w:pPr>
            <w:r w:rsidRPr="000A7AE8">
              <w:tab/>
              <w:t>Month 12</w:t>
            </w:r>
          </w:p>
        </w:tc>
        <w:tc>
          <w:tcPr>
            <w:tcW w:w="1350" w:type="dxa"/>
            <w:tcBorders>
              <w:left w:val="single" w:sz="4" w:space="0" w:color="auto"/>
              <w:bottom w:val="single" w:sz="4" w:space="0" w:color="auto"/>
            </w:tcBorders>
          </w:tcPr>
          <w:p w14:paraId="5F205AC6" w14:textId="77777777" w:rsidR="00580444" w:rsidRPr="000A7AE8" w:rsidRDefault="00580444" w:rsidP="00C02EB7">
            <w:pPr>
              <w:pStyle w:val="BMSTableText"/>
              <w:keepNext/>
              <w:keepLines/>
            </w:pPr>
            <w:r w:rsidRPr="000A7AE8">
              <w:t>0.40</w:t>
            </w:r>
            <w:r w:rsidRPr="000A7AE8">
              <w:rPr>
                <w:rStyle w:val="BMSSuperscript"/>
                <w:sz w:val="24"/>
                <w:szCs w:val="24"/>
              </w:rPr>
              <w:t>d,***</w:t>
            </w:r>
          </w:p>
          <w:p w14:paraId="77474E52" w14:textId="77777777" w:rsidR="00580444" w:rsidRPr="000A7AE8" w:rsidRDefault="00580444" w:rsidP="00C02EB7">
            <w:pPr>
              <w:pStyle w:val="BMSTableText"/>
              <w:keepNext/>
              <w:keepLines/>
              <w:spacing w:before="0"/>
            </w:pPr>
            <w:r w:rsidRPr="000A7AE8">
              <w:t>(n=115)</w:t>
            </w:r>
          </w:p>
        </w:tc>
        <w:tc>
          <w:tcPr>
            <w:tcW w:w="1080" w:type="dxa"/>
            <w:tcBorders>
              <w:bottom w:val="single" w:sz="4" w:space="0" w:color="auto"/>
              <w:right w:val="single" w:sz="4" w:space="0" w:color="auto"/>
            </w:tcBorders>
          </w:tcPr>
          <w:p w14:paraId="05948B51" w14:textId="77777777" w:rsidR="00580444" w:rsidRPr="000A7AE8" w:rsidRDefault="00580444" w:rsidP="00C02EB7">
            <w:pPr>
              <w:pStyle w:val="BMSTableText"/>
              <w:keepNext/>
              <w:keepLines/>
            </w:pPr>
            <w:r w:rsidRPr="000A7AE8">
              <w:t>0.15</w:t>
            </w:r>
            <w:r w:rsidRPr="000A7AE8">
              <w:rPr>
                <w:rStyle w:val="BMSTableNote"/>
                <w:sz w:val="24"/>
                <w:szCs w:val="24"/>
              </w:rPr>
              <w:t>d</w:t>
            </w:r>
          </w:p>
          <w:p w14:paraId="2EB148B7" w14:textId="77777777" w:rsidR="00580444" w:rsidRPr="000A7AE8" w:rsidRDefault="00580444" w:rsidP="00C02EB7">
            <w:pPr>
              <w:pStyle w:val="BMSTableText"/>
              <w:keepNext/>
              <w:keepLines/>
              <w:spacing w:before="0"/>
            </w:pPr>
            <w:r w:rsidRPr="000A7AE8">
              <w:t>(n=119)</w:t>
            </w:r>
          </w:p>
        </w:tc>
        <w:tc>
          <w:tcPr>
            <w:tcW w:w="1350" w:type="dxa"/>
            <w:tcBorders>
              <w:left w:val="single" w:sz="4" w:space="0" w:color="auto"/>
              <w:bottom w:val="single" w:sz="4" w:space="0" w:color="auto"/>
            </w:tcBorders>
          </w:tcPr>
          <w:p w14:paraId="623F6759" w14:textId="77777777" w:rsidR="00580444" w:rsidRPr="000A7AE8" w:rsidRDefault="00580444" w:rsidP="00C02EB7">
            <w:pPr>
              <w:pStyle w:val="BMSTableText"/>
              <w:keepNext/>
              <w:keepLines/>
            </w:pPr>
            <w:r w:rsidRPr="000A7AE8">
              <w:t>0.66</w:t>
            </w:r>
            <w:r w:rsidRPr="000A7AE8">
              <w:rPr>
                <w:rStyle w:val="BMSSuperscript"/>
                <w:sz w:val="24"/>
                <w:szCs w:val="24"/>
              </w:rPr>
              <w:t>e,***</w:t>
            </w:r>
          </w:p>
          <w:p w14:paraId="356CBD7D" w14:textId="77777777" w:rsidR="00580444" w:rsidRPr="000A7AE8" w:rsidRDefault="00580444" w:rsidP="00C02EB7">
            <w:pPr>
              <w:pStyle w:val="BMSTableText"/>
              <w:keepNext/>
              <w:keepLines/>
              <w:spacing w:before="0"/>
            </w:pPr>
            <w:r w:rsidRPr="000A7AE8">
              <w:t>(n=422)</w:t>
            </w:r>
          </w:p>
        </w:tc>
        <w:tc>
          <w:tcPr>
            <w:tcW w:w="1080" w:type="dxa"/>
            <w:tcBorders>
              <w:bottom w:val="single" w:sz="4" w:space="0" w:color="auto"/>
              <w:right w:val="single" w:sz="4" w:space="0" w:color="auto"/>
            </w:tcBorders>
          </w:tcPr>
          <w:p w14:paraId="27AE3D6D" w14:textId="77777777" w:rsidR="00580444" w:rsidRPr="000A7AE8" w:rsidRDefault="00580444" w:rsidP="00C02EB7">
            <w:pPr>
              <w:pStyle w:val="BMSTableText"/>
              <w:keepNext/>
              <w:keepLines/>
            </w:pPr>
            <w:r w:rsidRPr="000A7AE8">
              <w:t>0.37</w:t>
            </w:r>
            <w:r w:rsidRPr="000A7AE8">
              <w:rPr>
                <w:rStyle w:val="BMSTableNote"/>
                <w:sz w:val="24"/>
                <w:szCs w:val="24"/>
              </w:rPr>
              <w:t>e</w:t>
            </w:r>
          </w:p>
          <w:p w14:paraId="62775058" w14:textId="77777777" w:rsidR="00580444" w:rsidRPr="000A7AE8" w:rsidRDefault="00580444" w:rsidP="00C02EB7">
            <w:pPr>
              <w:pStyle w:val="BMSTableText"/>
              <w:keepNext/>
              <w:keepLines/>
              <w:spacing w:before="0"/>
            </w:pPr>
            <w:r w:rsidRPr="000A7AE8">
              <w:t>(n=212)</w:t>
            </w:r>
          </w:p>
        </w:tc>
        <w:tc>
          <w:tcPr>
            <w:tcW w:w="1350" w:type="dxa"/>
            <w:tcBorders>
              <w:left w:val="single" w:sz="4" w:space="0" w:color="auto"/>
              <w:bottom w:val="single" w:sz="4" w:space="0" w:color="auto"/>
            </w:tcBorders>
          </w:tcPr>
          <w:p w14:paraId="16522054" w14:textId="77777777" w:rsidR="00580444" w:rsidRPr="000A7AE8" w:rsidRDefault="00580444" w:rsidP="00C02EB7">
            <w:pPr>
              <w:pStyle w:val="BMSTableText"/>
              <w:keepNext/>
              <w:keepLines/>
            </w:pPr>
            <w:r w:rsidRPr="000A7AE8">
              <w:t>NA</w:t>
            </w:r>
          </w:p>
        </w:tc>
        <w:tc>
          <w:tcPr>
            <w:tcW w:w="1170" w:type="dxa"/>
            <w:tcBorders>
              <w:bottom w:val="single" w:sz="4" w:space="0" w:color="auto"/>
            </w:tcBorders>
          </w:tcPr>
          <w:p w14:paraId="67AF009E" w14:textId="77777777" w:rsidR="00580444" w:rsidRPr="000A7AE8" w:rsidRDefault="00580444" w:rsidP="00C02EB7">
            <w:pPr>
              <w:pStyle w:val="BMSTableText"/>
              <w:keepNext/>
              <w:keepLines/>
            </w:pPr>
            <w:r w:rsidRPr="000A7AE8">
              <w:t>NA</w:t>
            </w:r>
          </w:p>
        </w:tc>
      </w:tr>
      <w:tr w:rsidR="000A7AE8" w:rsidRPr="000A7AE8" w14:paraId="63B42F9F" w14:textId="77777777" w:rsidTr="00C02EB7">
        <w:tblPrEx>
          <w:tblBorders>
            <w:bottom w:val="none" w:sz="0" w:space="0" w:color="auto"/>
          </w:tblBorders>
        </w:tblPrEx>
        <w:tc>
          <w:tcPr>
            <w:tcW w:w="1998" w:type="dxa"/>
            <w:tcBorders>
              <w:top w:val="single" w:sz="4" w:space="0" w:color="auto"/>
              <w:right w:val="single" w:sz="4" w:space="0" w:color="auto"/>
            </w:tcBorders>
          </w:tcPr>
          <w:p w14:paraId="027DB64A" w14:textId="77777777" w:rsidR="00580444" w:rsidRPr="000A7AE8" w:rsidRDefault="00580444" w:rsidP="00C02EB7">
            <w:pPr>
              <w:pStyle w:val="BMSTableText"/>
              <w:keepNext/>
              <w:keepLines/>
              <w:spacing w:after="0"/>
              <w:jc w:val="left"/>
            </w:pPr>
            <w:r w:rsidRPr="000A7AE8">
              <w:t xml:space="preserve">Proportion of patients with a clinically meaningful </w:t>
            </w:r>
            <w:proofErr w:type="spellStart"/>
            <w:r w:rsidRPr="000A7AE8">
              <w:t>improvement</w:t>
            </w:r>
            <w:r w:rsidRPr="000A7AE8">
              <w:rPr>
                <w:rStyle w:val="BMSTableNote"/>
                <w:sz w:val="24"/>
                <w:szCs w:val="24"/>
              </w:rPr>
              <w:t>f</w:t>
            </w:r>
            <w:proofErr w:type="spellEnd"/>
          </w:p>
          <w:p w14:paraId="2BC6DACC" w14:textId="77777777" w:rsidR="00580444" w:rsidRPr="000A7AE8" w:rsidRDefault="00580444" w:rsidP="00C02EB7">
            <w:pPr>
              <w:pStyle w:val="BMSTableText"/>
              <w:keepNext/>
              <w:keepLines/>
              <w:spacing w:before="0"/>
              <w:jc w:val="left"/>
            </w:pPr>
            <w:r w:rsidRPr="000A7AE8">
              <w:tab/>
              <w:t>Month 6</w:t>
            </w:r>
          </w:p>
        </w:tc>
        <w:tc>
          <w:tcPr>
            <w:tcW w:w="1350" w:type="dxa"/>
            <w:tcBorders>
              <w:top w:val="single" w:sz="4" w:space="0" w:color="auto"/>
              <w:left w:val="nil"/>
            </w:tcBorders>
          </w:tcPr>
          <w:p w14:paraId="06C49A82" w14:textId="77777777" w:rsidR="00580444" w:rsidRPr="000A7AE8" w:rsidRDefault="00580444" w:rsidP="00C02EB7">
            <w:pPr>
              <w:pStyle w:val="BMSTableText"/>
              <w:keepNext/>
              <w:keepLines/>
              <w:spacing w:after="0"/>
            </w:pPr>
          </w:p>
          <w:p w14:paraId="3F6821E7" w14:textId="77777777" w:rsidR="00580444" w:rsidRPr="000A7AE8" w:rsidRDefault="00580444" w:rsidP="00C02EB7">
            <w:pPr>
              <w:pStyle w:val="BMSTableText"/>
              <w:keepNext/>
              <w:keepLines/>
              <w:spacing w:before="0" w:after="0"/>
            </w:pPr>
          </w:p>
          <w:p w14:paraId="18E968FF" w14:textId="77777777" w:rsidR="00580444" w:rsidRPr="000A7AE8" w:rsidRDefault="00580444" w:rsidP="00C02EB7">
            <w:pPr>
              <w:pStyle w:val="BMSTableText"/>
              <w:keepNext/>
              <w:keepLines/>
              <w:spacing w:before="0" w:after="0"/>
            </w:pPr>
          </w:p>
          <w:p w14:paraId="4D6DBC74" w14:textId="77777777" w:rsidR="00580444" w:rsidRPr="000A7AE8" w:rsidRDefault="00580444" w:rsidP="00C02EB7">
            <w:pPr>
              <w:pStyle w:val="BMSTableText"/>
              <w:keepNext/>
              <w:keepLines/>
              <w:spacing w:before="0" w:after="0"/>
            </w:pPr>
          </w:p>
          <w:p w14:paraId="05E3825D" w14:textId="77777777" w:rsidR="00580444" w:rsidRPr="000A7AE8" w:rsidRDefault="00580444" w:rsidP="00C02EB7">
            <w:pPr>
              <w:pStyle w:val="BMSTableText"/>
              <w:keepNext/>
              <w:keepLines/>
              <w:spacing w:before="0"/>
            </w:pPr>
            <w:r w:rsidRPr="000A7AE8">
              <w:t>47%</w:t>
            </w:r>
            <w:r w:rsidRPr="000A7AE8">
              <w:rPr>
                <w:rStyle w:val="BMSSuperscript"/>
                <w:sz w:val="24"/>
                <w:szCs w:val="24"/>
              </w:rPr>
              <w:t>d,**</w:t>
            </w:r>
          </w:p>
        </w:tc>
        <w:tc>
          <w:tcPr>
            <w:tcW w:w="1080" w:type="dxa"/>
            <w:tcBorders>
              <w:top w:val="single" w:sz="4" w:space="0" w:color="auto"/>
            </w:tcBorders>
          </w:tcPr>
          <w:p w14:paraId="040CE38F" w14:textId="77777777" w:rsidR="00580444" w:rsidRPr="000A7AE8" w:rsidRDefault="00580444" w:rsidP="00C02EB7">
            <w:pPr>
              <w:pStyle w:val="BMSTableText"/>
              <w:keepNext/>
              <w:keepLines/>
              <w:spacing w:after="0"/>
            </w:pPr>
          </w:p>
          <w:p w14:paraId="7D829A25" w14:textId="77777777" w:rsidR="00580444" w:rsidRPr="000A7AE8" w:rsidRDefault="00580444" w:rsidP="00C02EB7">
            <w:pPr>
              <w:pStyle w:val="BMSTableText"/>
              <w:keepNext/>
              <w:keepLines/>
              <w:spacing w:before="0" w:after="0"/>
            </w:pPr>
          </w:p>
          <w:p w14:paraId="16607C4C" w14:textId="77777777" w:rsidR="00580444" w:rsidRPr="000A7AE8" w:rsidRDefault="00580444" w:rsidP="00C02EB7">
            <w:pPr>
              <w:pStyle w:val="BMSTableText"/>
              <w:keepNext/>
              <w:keepLines/>
              <w:spacing w:before="0" w:after="0"/>
            </w:pPr>
          </w:p>
          <w:p w14:paraId="0E8D3705" w14:textId="77777777" w:rsidR="00580444" w:rsidRPr="000A7AE8" w:rsidRDefault="00580444" w:rsidP="00C02EB7">
            <w:pPr>
              <w:pStyle w:val="BMSTableText"/>
              <w:keepNext/>
              <w:keepLines/>
              <w:spacing w:before="0" w:after="0"/>
            </w:pPr>
          </w:p>
          <w:p w14:paraId="5A847243" w14:textId="77777777" w:rsidR="00580444" w:rsidRPr="000A7AE8" w:rsidRDefault="00580444" w:rsidP="00C02EB7">
            <w:pPr>
              <w:pStyle w:val="BMSTableText"/>
              <w:keepNext/>
              <w:keepLines/>
              <w:spacing w:before="0"/>
            </w:pPr>
            <w:r w:rsidRPr="000A7AE8">
              <w:t>28%</w:t>
            </w:r>
            <w:r w:rsidRPr="000A7AE8">
              <w:rPr>
                <w:rStyle w:val="BMSSuperscript"/>
                <w:sz w:val="24"/>
                <w:szCs w:val="24"/>
              </w:rPr>
              <w:t>d</w:t>
            </w:r>
          </w:p>
        </w:tc>
        <w:tc>
          <w:tcPr>
            <w:tcW w:w="1350" w:type="dxa"/>
            <w:tcBorders>
              <w:top w:val="single" w:sz="4" w:space="0" w:color="auto"/>
              <w:left w:val="single" w:sz="4" w:space="0" w:color="auto"/>
            </w:tcBorders>
          </w:tcPr>
          <w:p w14:paraId="26205E11" w14:textId="77777777" w:rsidR="00580444" w:rsidRPr="000A7AE8" w:rsidRDefault="00580444" w:rsidP="00C02EB7">
            <w:pPr>
              <w:pStyle w:val="BMSTableText"/>
              <w:keepNext/>
              <w:keepLines/>
              <w:spacing w:after="0"/>
            </w:pPr>
          </w:p>
          <w:p w14:paraId="42C570F7" w14:textId="77777777" w:rsidR="00580444" w:rsidRPr="000A7AE8" w:rsidRDefault="00580444" w:rsidP="00C02EB7">
            <w:pPr>
              <w:pStyle w:val="BMSTableText"/>
              <w:keepNext/>
              <w:keepLines/>
              <w:spacing w:before="0" w:after="0"/>
            </w:pPr>
          </w:p>
          <w:p w14:paraId="2B8B95D0" w14:textId="77777777" w:rsidR="00580444" w:rsidRPr="000A7AE8" w:rsidRDefault="00580444" w:rsidP="00C02EB7">
            <w:pPr>
              <w:pStyle w:val="BMSTableText"/>
              <w:keepNext/>
              <w:keepLines/>
              <w:spacing w:before="0" w:after="0"/>
            </w:pPr>
          </w:p>
          <w:p w14:paraId="24FF1D7D" w14:textId="77777777" w:rsidR="00580444" w:rsidRPr="000A7AE8" w:rsidRDefault="00580444" w:rsidP="00C02EB7">
            <w:pPr>
              <w:pStyle w:val="BMSTableText"/>
              <w:keepNext/>
              <w:keepLines/>
              <w:spacing w:before="0" w:after="0"/>
            </w:pPr>
          </w:p>
          <w:p w14:paraId="6A1AFE7A" w14:textId="77777777" w:rsidR="00580444" w:rsidRPr="000A7AE8" w:rsidRDefault="00580444" w:rsidP="00C02EB7">
            <w:pPr>
              <w:pStyle w:val="BMSTableText"/>
              <w:keepNext/>
              <w:keepLines/>
              <w:spacing w:before="0"/>
            </w:pPr>
            <w:r w:rsidRPr="000A7AE8">
              <w:t>61%</w:t>
            </w:r>
            <w:r w:rsidRPr="000A7AE8">
              <w:rPr>
                <w:rStyle w:val="BMSSuperscript"/>
                <w:sz w:val="24"/>
                <w:szCs w:val="24"/>
              </w:rPr>
              <w:t>e,***</w:t>
            </w:r>
          </w:p>
        </w:tc>
        <w:tc>
          <w:tcPr>
            <w:tcW w:w="1080" w:type="dxa"/>
            <w:tcBorders>
              <w:top w:val="single" w:sz="4" w:space="0" w:color="auto"/>
            </w:tcBorders>
          </w:tcPr>
          <w:p w14:paraId="28A185C2" w14:textId="77777777" w:rsidR="00580444" w:rsidRPr="000A7AE8" w:rsidRDefault="00580444" w:rsidP="00C02EB7">
            <w:pPr>
              <w:pStyle w:val="BMSTableText"/>
              <w:keepNext/>
              <w:keepLines/>
              <w:spacing w:after="0"/>
            </w:pPr>
          </w:p>
          <w:p w14:paraId="57952B7B" w14:textId="77777777" w:rsidR="00580444" w:rsidRPr="000A7AE8" w:rsidRDefault="00580444" w:rsidP="00C02EB7">
            <w:pPr>
              <w:pStyle w:val="BMSTableText"/>
              <w:keepNext/>
              <w:keepLines/>
              <w:spacing w:before="0" w:after="0"/>
            </w:pPr>
          </w:p>
          <w:p w14:paraId="10B1FCE1" w14:textId="77777777" w:rsidR="00580444" w:rsidRPr="000A7AE8" w:rsidRDefault="00580444" w:rsidP="00C02EB7">
            <w:pPr>
              <w:pStyle w:val="BMSTableText"/>
              <w:keepNext/>
              <w:keepLines/>
              <w:spacing w:before="0" w:after="0"/>
            </w:pPr>
          </w:p>
          <w:p w14:paraId="173F0C7F" w14:textId="77777777" w:rsidR="00580444" w:rsidRPr="000A7AE8" w:rsidRDefault="00580444" w:rsidP="00C02EB7">
            <w:pPr>
              <w:pStyle w:val="BMSTableText"/>
              <w:keepNext/>
              <w:keepLines/>
              <w:spacing w:before="0" w:after="0"/>
            </w:pPr>
          </w:p>
          <w:p w14:paraId="68CF25EC" w14:textId="77777777" w:rsidR="00580444" w:rsidRPr="000A7AE8" w:rsidRDefault="00580444" w:rsidP="00C02EB7">
            <w:pPr>
              <w:pStyle w:val="BMSTableText"/>
              <w:keepNext/>
              <w:keepLines/>
              <w:spacing w:before="0"/>
            </w:pPr>
            <w:r w:rsidRPr="000A7AE8">
              <w:t>45%</w:t>
            </w:r>
            <w:r w:rsidRPr="000A7AE8">
              <w:rPr>
                <w:rStyle w:val="BMSSuperscript"/>
                <w:sz w:val="24"/>
                <w:szCs w:val="24"/>
              </w:rPr>
              <w:t>e</w:t>
            </w:r>
          </w:p>
        </w:tc>
        <w:tc>
          <w:tcPr>
            <w:tcW w:w="1350" w:type="dxa"/>
            <w:tcBorders>
              <w:top w:val="single" w:sz="4" w:space="0" w:color="auto"/>
              <w:left w:val="single" w:sz="4" w:space="0" w:color="auto"/>
            </w:tcBorders>
          </w:tcPr>
          <w:p w14:paraId="6DEEBB01" w14:textId="77777777" w:rsidR="00580444" w:rsidRPr="000A7AE8" w:rsidRDefault="00580444" w:rsidP="00C02EB7">
            <w:pPr>
              <w:pStyle w:val="BMSTableText"/>
              <w:keepNext/>
              <w:keepLines/>
              <w:spacing w:after="0"/>
            </w:pPr>
          </w:p>
          <w:p w14:paraId="7A890142" w14:textId="77777777" w:rsidR="00580444" w:rsidRPr="000A7AE8" w:rsidRDefault="00580444" w:rsidP="00C02EB7">
            <w:pPr>
              <w:pStyle w:val="BMSTableText"/>
              <w:keepNext/>
              <w:keepLines/>
              <w:spacing w:before="0" w:after="0"/>
            </w:pPr>
          </w:p>
          <w:p w14:paraId="75023064" w14:textId="77777777" w:rsidR="00580444" w:rsidRPr="000A7AE8" w:rsidRDefault="00580444" w:rsidP="00C02EB7">
            <w:pPr>
              <w:pStyle w:val="BMSTableText"/>
              <w:keepNext/>
              <w:keepLines/>
              <w:spacing w:before="0" w:after="0"/>
            </w:pPr>
          </w:p>
          <w:p w14:paraId="7007706D" w14:textId="77777777" w:rsidR="00580444" w:rsidRPr="000A7AE8" w:rsidRDefault="00580444" w:rsidP="00C02EB7">
            <w:pPr>
              <w:pStyle w:val="BMSTableText"/>
              <w:keepNext/>
              <w:keepLines/>
              <w:spacing w:before="0" w:after="0"/>
            </w:pPr>
          </w:p>
          <w:p w14:paraId="6870E86D" w14:textId="77777777" w:rsidR="00580444" w:rsidRPr="000A7AE8" w:rsidRDefault="00580444" w:rsidP="00C02EB7">
            <w:pPr>
              <w:pStyle w:val="BMSTableText"/>
              <w:keepNext/>
              <w:keepLines/>
              <w:spacing w:before="0"/>
            </w:pPr>
            <w:r w:rsidRPr="000A7AE8">
              <w:t>47%</w:t>
            </w:r>
            <w:r w:rsidRPr="000A7AE8">
              <w:rPr>
                <w:rStyle w:val="BMSSuperscript"/>
                <w:sz w:val="24"/>
                <w:szCs w:val="24"/>
              </w:rPr>
              <w:t>e,***</w:t>
            </w:r>
          </w:p>
        </w:tc>
        <w:tc>
          <w:tcPr>
            <w:tcW w:w="1170" w:type="dxa"/>
            <w:tcBorders>
              <w:top w:val="single" w:sz="4" w:space="0" w:color="auto"/>
            </w:tcBorders>
          </w:tcPr>
          <w:p w14:paraId="4E918DEA" w14:textId="77777777" w:rsidR="00580444" w:rsidRPr="000A7AE8" w:rsidRDefault="00580444" w:rsidP="00C02EB7">
            <w:pPr>
              <w:pStyle w:val="BMSTableText"/>
              <w:keepNext/>
              <w:keepLines/>
              <w:spacing w:after="0"/>
            </w:pPr>
          </w:p>
          <w:p w14:paraId="40FE2E90" w14:textId="77777777" w:rsidR="00580444" w:rsidRPr="000A7AE8" w:rsidRDefault="00580444" w:rsidP="00C02EB7">
            <w:pPr>
              <w:pStyle w:val="BMSTableText"/>
              <w:keepNext/>
              <w:keepLines/>
              <w:spacing w:before="0" w:after="0"/>
            </w:pPr>
          </w:p>
          <w:p w14:paraId="724D1B02" w14:textId="77777777" w:rsidR="00580444" w:rsidRPr="000A7AE8" w:rsidRDefault="00580444" w:rsidP="00C02EB7">
            <w:pPr>
              <w:pStyle w:val="BMSTableText"/>
              <w:keepNext/>
              <w:keepLines/>
              <w:spacing w:before="0" w:after="0"/>
            </w:pPr>
          </w:p>
          <w:p w14:paraId="13120D9F" w14:textId="77777777" w:rsidR="00580444" w:rsidRPr="000A7AE8" w:rsidRDefault="00580444" w:rsidP="00C02EB7">
            <w:pPr>
              <w:pStyle w:val="BMSTableText"/>
              <w:keepNext/>
              <w:keepLines/>
              <w:spacing w:before="0" w:after="0"/>
            </w:pPr>
          </w:p>
          <w:p w14:paraId="36A143D6" w14:textId="77777777" w:rsidR="00580444" w:rsidRPr="000A7AE8" w:rsidRDefault="00580444" w:rsidP="00C02EB7">
            <w:pPr>
              <w:pStyle w:val="BMSTableText"/>
              <w:keepNext/>
              <w:keepLines/>
              <w:spacing w:before="0"/>
            </w:pPr>
            <w:r w:rsidRPr="000A7AE8">
              <w:t>23%</w:t>
            </w:r>
            <w:r w:rsidRPr="000A7AE8">
              <w:rPr>
                <w:rStyle w:val="BMSSuperscript"/>
                <w:sz w:val="24"/>
                <w:szCs w:val="24"/>
              </w:rPr>
              <w:t>e</w:t>
            </w:r>
          </w:p>
        </w:tc>
      </w:tr>
      <w:tr w:rsidR="000A7AE8" w:rsidRPr="000A7AE8" w14:paraId="57944148" w14:textId="77777777" w:rsidTr="00C02EB7">
        <w:tblPrEx>
          <w:tblBorders>
            <w:bottom w:val="none" w:sz="0" w:space="0" w:color="auto"/>
          </w:tblBorders>
        </w:tblPrEx>
        <w:tc>
          <w:tcPr>
            <w:tcW w:w="1998" w:type="dxa"/>
            <w:tcBorders>
              <w:bottom w:val="double" w:sz="4" w:space="0" w:color="auto"/>
              <w:right w:val="single" w:sz="4" w:space="0" w:color="auto"/>
            </w:tcBorders>
          </w:tcPr>
          <w:p w14:paraId="1293E086" w14:textId="77777777" w:rsidR="00580444" w:rsidRPr="000A7AE8" w:rsidRDefault="00580444" w:rsidP="00C02EB7">
            <w:pPr>
              <w:pStyle w:val="BMSTableText"/>
              <w:keepNext/>
              <w:keepLines/>
              <w:spacing w:after="0"/>
              <w:jc w:val="left"/>
            </w:pPr>
            <w:r w:rsidRPr="000A7AE8">
              <w:tab/>
              <w:t>Month 12</w:t>
            </w:r>
          </w:p>
        </w:tc>
        <w:tc>
          <w:tcPr>
            <w:tcW w:w="1350" w:type="dxa"/>
            <w:tcBorders>
              <w:left w:val="nil"/>
              <w:bottom w:val="double" w:sz="4" w:space="0" w:color="auto"/>
            </w:tcBorders>
          </w:tcPr>
          <w:p w14:paraId="4E192E86" w14:textId="77777777" w:rsidR="00580444" w:rsidRPr="000A7AE8" w:rsidRDefault="00580444" w:rsidP="00C02EB7">
            <w:pPr>
              <w:pStyle w:val="BMSTableText"/>
              <w:keepNext/>
              <w:keepLines/>
            </w:pPr>
            <w:r w:rsidRPr="000A7AE8">
              <w:t>38%</w:t>
            </w:r>
            <w:r w:rsidRPr="000A7AE8">
              <w:rPr>
                <w:rStyle w:val="BMSSuperscript"/>
                <w:sz w:val="24"/>
                <w:szCs w:val="24"/>
              </w:rPr>
              <w:t>d,**</w:t>
            </w:r>
          </w:p>
        </w:tc>
        <w:tc>
          <w:tcPr>
            <w:tcW w:w="1080" w:type="dxa"/>
            <w:tcBorders>
              <w:bottom w:val="double" w:sz="4" w:space="0" w:color="auto"/>
            </w:tcBorders>
          </w:tcPr>
          <w:p w14:paraId="371AAD36" w14:textId="77777777" w:rsidR="00580444" w:rsidRPr="000A7AE8" w:rsidRDefault="00580444" w:rsidP="00C02EB7">
            <w:pPr>
              <w:pStyle w:val="BMSTableText"/>
              <w:keepNext/>
              <w:keepLines/>
            </w:pPr>
            <w:r w:rsidRPr="000A7AE8">
              <w:t>20%</w:t>
            </w:r>
            <w:r w:rsidRPr="000A7AE8">
              <w:rPr>
                <w:rStyle w:val="BMSSuperscript"/>
                <w:sz w:val="24"/>
                <w:szCs w:val="24"/>
              </w:rPr>
              <w:t>d</w:t>
            </w:r>
          </w:p>
        </w:tc>
        <w:tc>
          <w:tcPr>
            <w:tcW w:w="1350" w:type="dxa"/>
            <w:tcBorders>
              <w:left w:val="single" w:sz="4" w:space="0" w:color="auto"/>
              <w:bottom w:val="double" w:sz="4" w:space="0" w:color="auto"/>
            </w:tcBorders>
          </w:tcPr>
          <w:p w14:paraId="1573C4FD" w14:textId="77777777" w:rsidR="00580444" w:rsidRPr="000A7AE8" w:rsidRDefault="00580444" w:rsidP="00C02EB7">
            <w:pPr>
              <w:pStyle w:val="BMSTableText"/>
              <w:keepNext/>
              <w:keepLines/>
            </w:pPr>
            <w:r w:rsidRPr="000A7AE8">
              <w:t>64%</w:t>
            </w:r>
            <w:r w:rsidRPr="000A7AE8">
              <w:rPr>
                <w:rStyle w:val="BMSSuperscript"/>
                <w:sz w:val="24"/>
                <w:szCs w:val="24"/>
              </w:rPr>
              <w:t>e,***</w:t>
            </w:r>
          </w:p>
        </w:tc>
        <w:tc>
          <w:tcPr>
            <w:tcW w:w="1080" w:type="dxa"/>
            <w:tcBorders>
              <w:bottom w:val="double" w:sz="4" w:space="0" w:color="auto"/>
            </w:tcBorders>
          </w:tcPr>
          <w:p w14:paraId="1558E59F" w14:textId="77777777" w:rsidR="00580444" w:rsidRPr="000A7AE8" w:rsidRDefault="00580444" w:rsidP="00C02EB7">
            <w:pPr>
              <w:pStyle w:val="BMSTableText"/>
              <w:keepNext/>
              <w:keepLines/>
            </w:pPr>
            <w:r w:rsidRPr="000A7AE8">
              <w:t>39%</w:t>
            </w:r>
            <w:r w:rsidRPr="000A7AE8">
              <w:rPr>
                <w:rStyle w:val="BMSSuperscript"/>
                <w:sz w:val="24"/>
                <w:szCs w:val="24"/>
              </w:rPr>
              <w:t>e</w:t>
            </w:r>
          </w:p>
        </w:tc>
        <w:tc>
          <w:tcPr>
            <w:tcW w:w="1350" w:type="dxa"/>
            <w:tcBorders>
              <w:left w:val="single" w:sz="4" w:space="0" w:color="auto"/>
              <w:bottom w:val="double" w:sz="4" w:space="0" w:color="auto"/>
            </w:tcBorders>
          </w:tcPr>
          <w:p w14:paraId="0E6DB1B9" w14:textId="77777777" w:rsidR="00580444" w:rsidRPr="000A7AE8" w:rsidRDefault="00580444" w:rsidP="00C02EB7">
            <w:pPr>
              <w:pStyle w:val="BMSTableText"/>
              <w:keepNext/>
              <w:keepLines/>
              <w:rPr>
                <w:highlight w:val="yellow"/>
              </w:rPr>
            </w:pPr>
            <w:r w:rsidRPr="000A7AE8">
              <w:t>NA</w:t>
            </w:r>
          </w:p>
        </w:tc>
        <w:tc>
          <w:tcPr>
            <w:tcW w:w="1170" w:type="dxa"/>
            <w:tcBorders>
              <w:bottom w:val="double" w:sz="4" w:space="0" w:color="auto"/>
            </w:tcBorders>
          </w:tcPr>
          <w:p w14:paraId="2147B916" w14:textId="77777777" w:rsidR="00580444" w:rsidRPr="000A7AE8" w:rsidRDefault="00580444" w:rsidP="00C02EB7">
            <w:pPr>
              <w:pStyle w:val="BMSTableText"/>
              <w:keepNext/>
              <w:keepLines/>
              <w:rPr>
                <w:highlight w:val="yellow"/>
              </w:rPr>
            </w:pPr>
            <w:r w:rsidRPr="000A7AE8">
              <w:t>NA</w:t>
            </w:r>
          </w:p>
        </w:tc>
      </w:tr>
    </w:tbl>
    <w:p w14:paraId="6D993B26" w14:textId="29EBF551" w:rsidR="00580444" w:rsidRPr="000A7AE8" w:rsidRDefault="00580444" w:rsidP="00580444">
      <w:pPr>
        <w:pStyle w:val="BMSTableNoteInfo"/>
        <w:keepNext/>
        <w:keepLines/>
        <w:rPr>
          <w:rStyle w:val="BMSTableNote"/>
          <w:sz w:val="18"/>
          <w:szCs w:val="18"/>
        </w:rPr>
      </w:pPr>
      <w:proofErr w:type="gramStart"/>
      <w:r w:rsidRPr="000A7AE8">
        <w:rPr>
          <w:rStyle w:val="BMSTableNote"/>
          <w:sz w:val="18"/>
          <w:szCs w:val="18"/>
        </w:rPr>
        <w:t xml:space="preserve">** </w:t>
      </w:r>
      <w:r w:rsidRPr="000A7AE8">
        <w:rPr>
          <w:color w:val="auto"/>
          <w:sz w:val="18"/>
          <w:szCs w:val="18"/>
        </w:rPr>
        <w:t xml:space="preserve">  p&lt;0.01, ORENCIA vs. placebo.</w:t>
      </w:r>
      <w:proofErr w:type="gramEnd"/>
    </w:p>
    <w:p w14:paraId="2A7F1266" w14:textId="5C2EEB15" w:rsidR="00580444" w:rsidRPr="000A7AE8" w:rsidRDefault="00580444" w:rsidP="00580444">
      <w:pPr>
        <w:pStyle w:val="BMSTableNoteInfo"/>
        <w:spacing w:before="0"/>
        <w:ind w:left="0" w:firstLine="0"/>
        <w:rPr>
          <w:rStyle w:val="BMSTableNote"/>
          <w:sz w:val="18"/>
          <w:szCs w:val="18"/>
        </w:rPr>
      </w:pPr>
      <w:proofErr w:type="gramStart"/>
      <w:r w:rsidRPr="000A7AE8">
        <w:rPr>
          <w:rStyle w:val="BMSTableNote"/>
          <w:sz w:val="18"/>
          <w:szCs w:val="18"/>
        </w:rPr>
        <w:t>***</w:t>
      </w:r>
      <w:r w:rsidRPr="000A7AE8">
        <w:rPr>
          <w:color w:val="auto"/>
          <w:sz w:val="18"/>
          <w:szCs w:val="18"/>
        </w:rPr>
        <w:t xml:space="preserve"> p&lt;0.001, ORENCIA vs. placebo.</w:t>
      </w:r>
      <w:proofErr w:type="gramEnd"/>
    </w:p>
    <w:p w14:paraId="67F1949D" w14:textId="77777777" w:rsidR="00580444" w:rsidRPr="000A7AE8" w:rsidRDefault="00580444" w:rsidP="00580444">
      <w:pPr>
        <w:pStyle w:val="BMSTableNoteInfo"/>
        <w:spacing w:before="0"/>
        <w:ind w:left="0" w:firstLine="0"/>
        <w:rPr>
          <w:color w:val="auto"/>
          <w:sz w:val="18"/>
          <w:szCs w:val="18"/>
        </w:rPr>
      </w:pPr>
      <w:proofErr w:type="gramStart"/>
      <w:r w:rsidRPr="000A7AE8">
        <w:rPr>
          <w:rStyle w:val="BMSTableNote"/>
          <w:sz w:val="18"/>
          <w:szCs w:val="18"/>
        </w:rPr>
        <w:t>a</w:t>
      </w:r>
      <w:proofErr w:type="gramEnd"/>
      <w:r w:rsidRPr="000A7AE8">
        <w:rPr>
          <w:color w:val="auto"/>
          <w:sz w:val="18"/>
          <w:szCs w:val="18"/>
        </w:rPr>
        <w:tab/>
        <w:t>10 mg/kg.</w:t>
      </w:r>
    </w:p>
    <w:p w14:paraId="39DF48C4" w14:textId="77777777" w:rsidR="00580444" w:rsidRPr="000A7AE8" w:rsidRDefault="00580444" w:rsidP="00580444">
      <w:pPr>
        <w:pStyle w:val="BMSTableNoteInfo"/>
        <w:spacing w:before="0"/>
        <w:ind w:left="0" w:firstLine="0"/>
        <w:rPr>
          <w:rStyle w:val="BMSTableNote"/>
          <w:sz w:val="18"/>
          <w:szCs w:val="18"/>
        </w:rPr>
      </w:pPr>
      <w:proofErr w:type="gramStart"/>
      <w:r w:rsidRPr="000A7AE8">
        <w:rPr>
          <w:rStyle w:val="BMSTableNote"/>
          <w:sz w:val="18"/>
          <w:szCs w:val="18"/>
        </w:rPr>
        <w:t>b</w:t>
      </w:r>
      <w:proofErr w:type="gramEnd"/>
      <w:r w:rsidRPr="000A7AE8">
        <w:rPr>
          <w:color w:val="auto"/>
          <w:sz w:val="18"/>
          <w:szCs w:val="18"/>
        </w:rPr>
        <w:tab/>
        <w:t>Fixed dose approximating 10 mg/kg</w:t>
      </w:r>
      <w:r w:rsidRPr="000A7AE8">
        <w:rPr>
          <w:rStyle w:val="BMSTableNote"/>
          <w:sz w:val="18"/>
          <w:szCs w:val="18"/>
          <w:vertAlign w:val="baseline"/>
        </w:rPr>
        <w:t>.</w:t>
      </w:r>
    </w:p>
    <w:p w14:paraId="45F7591A" w14:textId="77777777" w:rsidR="00580444" w:rsidRPr="000A7AE8" w:rsidRDefault="00580444" w:rsidP="00580444">
      <w:pPr>
        <w:pStyle w:val="BMSTableNoteInfo"/>
        <w:spacing w:before="0"/>
        <w:rPr>
          <w:color w:val="auto"/>
          <w:sz w:val="18"/>
          <w:szCs w:val="18"/>
        </w:rPr>
      </w:pPr>
      <w:proofErr w:type="gramStart"/>
      <w:r w:rsidRPr="000A7AE8">
        <w:rPr>
          <w:rStyle w:val="BMSTableNote"/>
          <w:sz w:val="18"/>
          <w:szCs w:val="18"/>
        </w:rPr>
        <w:t>c</w:t>
      </w:r>
      <w:proofErr w:type="gramEnd"/>
      <w:r w:rsidRPr="000A7AE8">
        <w:rPr>
          <w:color w:val="auto"/>
          <w:sz w:val="18"/>
          <w:szCs w:val="18"/>
        </w:rPr>
        <w:tab/>
        <w:t xml:space="preserve">Concurrent DMARDs included one or more of the following: MTX, azathioprine, chloroquine/hydroxychloroquine, gold, </w:t>
      </w:r>
      <w:proofErr w:type="spellStart"/>
      <w:r w:rsidRPr="000A7AE8">
        <w:rPr>
          <w:color w:val="auto"/>
          <w:sz w:val="18"/>
          <w:szCs w:val="18"/>
        </w:rPr>
        <w:t>leflunomide</w:t>
      </w:r>
      <w:proofErr w:type="spellEnd"/>
      <w:r w:rsidRPr="000A7AE8">
        <w:rPr>
          <w:color w:val="auto"/>
          <w:sz w:val="18"/>
          <w:szCs w:val="18"/>
        </w:rPr>
        <w:t xml:space="preserve">, sulfasalazine, and </w:t>
      </w:r>
      <w:proofErr w:type="spellStart"/>
      <w:r w:rsidRPr="000A7AE8">
        <w:rPr>
          <w:color w:val="auto"/>
          <w:sz w:val="18"/>
          <w:szCs w:val="18"/>
        </w:rPr>
        <w:t>anakinra</w:t>
      </w:r>
      <w:proofErr w:type="spellEnd"/>
      <w:r w:rsidRPr="000A7AE8">
        <w:rPr>
          <w:color w:val="auto"/>
          <w:sz w:val="18"/>
          <w:szCs w:val="18"/>
        </w:rPr>
        <w:t>.</w:t>
      </w:r>
    </w:p>
    <w:p w14:paraId="3D220261" w14:textId="77777777" w:rsidR="00580444" w:rsidRPr="000A7AE8" w:rsidRDefault="00580444" w:rsidP="00580444">
      <w:pPr>
        <w:pStyle w:val="BMSTableNoteInfo"/>
        <w:spacing w:before="0"/>
        <w:rPr>
          <w:color w:val="auto"/>
          <w:sz w:val="18"/>
          <w:szCs w:val="18"/>
        </w:rPr>
      </w:pPr>
      <w:proofErr w:type="gramStart"/>
      <w:r w:rsidRPr="000A7AE8">
        <w:rPr>
          <w:rStyle w:val="BMSTableNote"/>
          <w:sz w:val="18"/>
          <w:szCs w:val="18"/>
        </w:rPr>
        <w:t>d</w:t>
      </w:r>
      <w:proofErr w:type="gramEnd"/>
      <w:r w:rsidRPr="000A7AE8">
        <w:rPr>
          <w:color w:val="auto"/>
          <w:sz w:val="18"/>
          <w:szCs w:val="18"/>
        </w:rPr>
        <w:tab/>
        <w:t>Modified Health Assessment Questionnaire; 0 = best, 3 = worst; 8 questions; 8 categories: dressing and grooming, arising, eating, walking, hygiene, reach, grip, and activities.</w:t>
      </w:r>
    </w:p>
    <w:p w14:paraId="5CC20519" w14:textId="77777777" w:rsidR="00580444" w:rsidRPr="000A7AE8" w:rsidRDefault="00580444" w:rsidP="00580444">
      <w:pPr>
        <w:pStyle w:val="BMSTableNoteInfo"/>
        <w:spacing w:before="0"/>
        <w:rPr>
          <w:rStyle w:val="BMSTableNote"/>
          <w:sz w:val="18"/>
          <w:szCs w:val="18"/>
        </w:rPr>
      </w:pPr>
      <w:proofErr w:type="gramStart"/>
      <w:r w:rsidRPr="000A7AE8">
        <w:rPr>
          <w:rStyle w:val="BMSTableNote"/>
          <w:sz w:val="18"/>
          <w:szCs w:val="18"/>
        </w:rPr>
        <w:t>e</w:t>
      </w:r>
      <w:proofErr w:type="gramEnd"/>
      <w:r w:rsidRPr="000A7AE8">
        <w:rPr>
          <w:color w:val="auto"/>
          <w:sz w:val="18"/>
          <w:szCs w:val="18"/>
        </w:rPr>
        <w:tab/>
        <w:t>Health Assessment Questionnaire; 0 = best, 3 = worst; 20 questions; 8 categories: dressing and grooming, arising, eating, walking, hygiene, reach, grip, and activities.</w:t>
      </w:r>
    </w:p>
    <w:p w14:paraId="1A4A8353" w14:textId="06DD9A84" w:rsidR="00580444" w:rsidRPr="000A7AE8" w:rsidRDefault="00580444" w:rsidP="00580444">
      <w:pPr>
        <w:pStyle w:val="BMSTableNoteInfo"/>
        <w:spacing w:before="0" w:after="120"/>
        <w:rPr>
          <w:color w:val="auto"/>
          <w:sz w:val="18"/>
          <w:szCs w:val="18"/>
        </w:rPr>
      </w:pPr>
      <w:proofErr w:type="gramStart"/>
      <w:r w:rsidRPr="000A7AE8">
        <w:rPr>
          <w:rStyle w:val="BMSTableNote"/>
          <w:sz w:val="18"/>
          <w:szCs w:val="18"/>
        </w:rPr>
        <w:t>f</w:t>
      </w:r>
      <w:proofErr w:type="gramEnd"/>
      <w:r w:rsidRPr="000A7AE8">
        <w:rPr>
          <w:color w:val="auto"/>
          <w:sz w:val="18"/>
          <w:szCs w:val="18"/>
        </w:rPr>
        <w:tab/>
        <w:t xml:space="preserve">Reduction in HAQ-DI of </w:t>
      </w:r>
      <w:r w:rsidRPr="000A7AE8">
        <w:rPr>
          <w:color w:val="auto"/>
          <w:sz w:val="18"/>
          <w:szCs w:val="18"/>
        </w:rPr>
        <w:sym w:font="Symbol" w:char="F0B3"/>
      </w:r>
      <w:r w:rsidRPr="000A7AE8">
        <w:rPr>
          <w:color w:val="auto"/>
          <w:sz w:val="18"/>
          <w:szCs w:val="18"/>
        </w:rPr>
        <w:t>0.3 units from baseline.</w:t>
      </w:r>
    </w:p>
    <w:p w14:paraId="14C72C1C" w14:textId="77777777" w:rsidR="00580444" w:rsidRPr="000A7AE8" w:rsidRDefault="00580444" w:rsidP="001A764A">
      <w:pPr>
        <w:rPr>
          <w:b/>
          <w:i/>
        </w:rPr>
      </w:pPr>
      <w:bookmarkStart w:id="75" w:name="_Toc96146350"/>
      <w:r w:rsidRPr="000A7AE8">
        <w:rPr>
          <w:b/>
          <w:i/>
        </w:rPr>
        <w:t>Health-related outcomes and quality of life</w:t>
      </w:r>
      <w:bookmarkEnd w:id="75"/>
    </w:p>
    <w:p w14:paraId="37F3E1F3" w14:textId="77777777" w:rsidR="00580444" w:rsidRPr="000A7AE8" w:rsidRDefault="00580444" w:rsidP="001A764A">
      <w:pPr>
        <w:rPr>
          <w:u w:val="single"/>
        </w:rPr>
      </w:pPr>
      <w:r w:rsidRPr="000A7AE8">
        <w:t xml:space="preserve">Health-related quality of life was assessed by the SF-36 questionnaire at 6 months in Studies II, III, and IV and at 12 months in Studies II and III. In these studies, clinically and statistically significant improvement was observed in the ORENCIA group as compared with the placebo group in all 8 domains of the SF-36 (4 physical domains: physical function, role physical, bodily pain, general health; and 4 mental domains: vitality, social function, role emotional, mental health), as well as the Physical Component Summary (PCS) and the Mental Component Summary (MCS). In Study VI, improvement was observed at 12 months in the ORENCIA+MTX group as compared with the </w:t>
      </w:r>
      <w:proofErr w:type="spellStart"/>
      <w:r w:rsidRPr="000A7AE8">
        <w:t>MTX+placebo</w:t>
      </w:r>
      <w:proofErr w:type="spellEnd"/>
      <w:r w:rsidRPr="000A7AE8">
        <w:t xml:space="preserve"> group in both PCS and MCS and was maintained through 24 months.</w:t>
      </w:r>
    </w:p>
    <w:p w14:paraId="222FEE76" w14:textId="140DECC5" w:rsidR="000A7AE8" w:rsidRDefault="00580444" w:rsidP="001A764A">
      <w:r w:rsidRPr="000A7AE8">
        <w:t xml:space="preserve">In Studies III and IV, fatigue was measured by a validated Fatigue Visual Analogue Scale, and sleep problems were assessed by the Sleep Problems Index (SPI) of the Medical Outcomes Study Sleep Module. At 12 months and 6 months, in Study III and Study IV, respectively, statistically significant reductions in fatigue and sleep problems were observed in ORENCIA-treated patients as compared to placebo-treated patients. </w:t>
      </w:r>
      <w:r w:rsidRPr="000A7AE8">
        <w:rPr>
          <w:rFonts w:ascii="TimesNewRomanPSMT" w:eastAsia="MS Mincho" w:hAnsi="TimesNewRomanPSMT" w:cs="TimesNewRomanPSMT"/>
          <w:lang w:eastAsia="ja-JP"/>
        </w:rPr>
        <w:t xml:space="preserve">In Study VI, a greater reduction in the fatigue score was observed at 6 and 12 months in ORENCIA+MTX-treated patients than in </w:t>
      </w:r>
      <w:proofErr w:type="spellStart"/>
      <w:r w:rsidRPr="000A7AE8">
        <w:rPr>
          <w:rFonts w:ascii="TimesNewRomanPSMT" w:eastAsia="MS Mincho" w:hAnsi="TimesNewRomanPSMT" w:cs="TimesNewRomanPSMT"/>
          <w:lang w:eastAsia="ja-JP"/>
        </w:rPr>
        <w:t>MTX+placebo-</w:t>
      </w:r>
      <w:r w:rsidRPr="000A7AE8">
        <w:rPr>
          <w:rFonts w:ascii="TimesNewRomanPSMT" w:eastAsia="MS Mincho" w:hAnsi="TimesNewRomanPSMT" w:cs="TimesNewRomanPSMT"/>
          <w:lang w:eastAsia="ja-JP"/>
        </w:rPr>
        <w:lastRenderedPageBreak/>
        <w:t>treated</w:t>
      </w:r>
      <w:proofErr w:type="spellEnd"/>
      <w:r w:rsidRPr="000A7AE8">
        <w:rPr>
          <w:rFonts w:ascii="TimesNewRomanPSMT" w:eastAsia="MS Mincho" w:hAnsi="TimesNewRomanPSMT" w:cs="TimesNewRomanPSMT"/>
          <w:lang w:eastAsia="ja-JP"/>
        </w:rPr>
        <w:t xml:space="preserve"> patients. </w:t>
      </w:r>
      <w:r w:rsidRPr="000A7AE8">
        <w:t>In open-label therapy with ORENCIA, improvements in health-related outcomes and quality of life have been maintained for up to 4 years.</w:t>
      </w:r>
    </w:p>
    <w:p w14:paraId="7540FE41" w14:textId="77777777" w:rsidR="000A7AE8" w:rsidRDefault="000A7AE8">
      <w:pPr>
        <w:spacing w:line="276" w:lineRule="auto"/>
        <w:jc w:val="left"/>
      </w:pPr>
      <w:r>
        <w:br w:type="page"/>
      </w:r>
    </w:p>
    <w:p w14:paraId="23DBEDC6" w14:textId="0EFD697C" w:rsidR="00580444" w:rsidRPr="000A7AE8" w:rsidRDefault="00580444" w:rsidP="00580444">
      <w:pPr>
        <w:rPr>
          <w:b/>
        </w:rPr>
      </w:pPr>
      <w:r w:rsidRPr="000A7AE8">
        <w:rPr>
          <w:b/>
        </w:rPr>
        <w:lastRenderedPageBreak/>
        <w:t>Additional clinical trials in adult rheumatoid arthritis</w:t>
      </w:r>
    </w:p>
    <w:p w14:paraId="207CAEB3" w14:textId="77777777" w:rsidR="00580444" w:rsidRPr="000A7AE8" w:rsidRDefault="00580444" w:rsidP="00580444">
      <w:pPr>
        <w:rPr>
          <w:b/>
        </w:rPr>
      </w:pPr>
      <w:r w:rsidRPr="000A7AE8">
        <w:rPr>
          <w:b/>
        </w:rPr>
        <w:t xml:space="preserve">Study VII: </w:t>
      </w:r>
      <w:proofErr w:type="spellStart"/>
      <w:r w:rsidRPr="000A7AE8">
        <w:rPr>
          <w:b/>
        </w:rPr>
        <w:t>abatacept</w:t>
      </w:r>
      <w:proofErr w:type="spellEnd"/>
      <w:r w:rsidRPr="000A7AE8">
        <w:rPr>
          <w:b/>
        </w:rPr>
        <w:t xml:space="preserve"> or infliximab versus placebo </w:t>
      </w:r>
    </w:p>
    <w:p w14:paraId="398BF213" w14:textId="678C61E8" w:rsidR="00580444" w:rsidRPr="000A7AE8" w:rsidRDefault="00580444" w:rsidP="001A764A">
      <w:r w:rsidRPr="000A7AE8">
        <w:t>A randomized, double</w:t>
      </w:r>
      <w:r w:rsidR="00FC6ECD" w:rsidRPr="000A7AE8">
        <w:t>-</w:t>
      </w:r>
      <w:r w:rsidRPr="000A7AE8">
        <w:t xml:space="preserve">blind study was conducted to assess the safety and efficacy of </w:t>
      </w:r>
      <w:proofErr w:type="spellStart"/>
      <w:r w:rsidRPr="000A7AE8">
        <w:t>abatacept</w:t>
      </w:r>
      <w:proofErr w:type="spellEnd"/>
      <w:r w:rsidRPr="000A7AE8">
        <w:t xml:space="preserve"> or infliximab versus placebo in patients with an inadequate response to methotrexate (Study VII, Study IM101043). Study VII patients received the same fixed dose of </w:t>
      </w:r>
      <w:proofErr w:type="spellStart"/>
      <w:r w:rsidRPr="000A7AE8">
        <w:t>abatacept</w:t>
      </w:r>
      <w:proofErr w:type="spellEnd"/>
      <w:r w:rsidRPr="000A7AE8">
        <w:t xml:space="preserve"> as that in Studies III-VI or 3 mg/kg infliximab or placebo for 6 months. Study VII continued for an additional 6 months with the </w:t>
      </w:r>
      <w:proofErr w:type="spellStart"/>
      <w:r w:rsidRPr="000A7AE8">
        <w:t>abatacept</w:t>
      </w:r>
      <w:proofErr w:type="spellEnd"/>
      <w:r w:rsidRPr="000A7AE8">
        <w:t xml:space="preserve"> and infliximab groups only. The primary outcome was the mean change in disease activity in </w:t>
      </w:r>
      <w:proofErr w:type="spellStart"/>
      <w:r w:rsidRPr="000A7AE8">
        <w:t>abatacept</w:t>
      </w:r>
      <w:proofErr w:type="spellEnd"/>
      <w:r w:rsidRPr="000A7AE8">
        <w:t xml:space="preserve">-treated patients compared to placebo-treated patients at 6 months with a subsequent double-blind assessment of safety and efficacy of </w:t>
      </w:r>
      <w:proofErr w:type="spellStart"/>
      <w:r w:rsidRPr="000A7AE8">
        <w:t>abatacept</w:t>
      </w:r>
      <w:proofErr w:type="spellEnd"/>
      <w:r w:rsidRPr="000A7AE8">
        <w:t xml:space="preserve"> and infliximab at 12 months. The number of patients randomized was 156 to </w:t>
      </w:r>
      <w:proofErr w:type="spellStart"/>
      <w:r w:rsidRPr="000A7AE8">
        <w:t>abatacept</w:t>
      </w:r>
      <w:proofErr w:type="spellEnd"/>
      <w:r w:rsidRPr="000A7AE8">
        <w:t xml:space="preserve">, 165 to infliximab, and 110 to placebo. In Study VII, the DAS28 mean changes from baseline at months 6 and 12 are shown in Table </w:t>
      </w:r>
      <w:r w:rsidR="00932AF4" w:rsidRPr="000A7AE8">
        <w:t>11</w:t>
      </w:r>
      <w:r w:rsidRPr="000A7AE8">
        <w:t xml:space="preserve">, as are the percentages of patients achieving DAS28-defined low disease activity and remission. Greater improvement (p&lt;0.001) in DAS28 was observed with </w:t>
      </w:r>
      <w:proofErr w:type="spellStart"/>
      <w:r w:rsidRPr="000A7AE8">
        <w:t>abatacept</w:t>
      </w:r>
      <w:proofErr w:type="spellEnd"/>
      <w:r w:rsidRPr="000A7AE8">
        <w:t xml:space="preserve"> and with infliximab compared to placebo at </w:t>
      </w:r>
      <w:r w:rsidR="00FC6ECD" w:rsidRPr="000A7AE8">
        <w:t>6</w:t>
      </w:r>
      <w:r w:rsidRPr="000A7AE8">
        <w:t xml:space="preserve"> months in the placebo-controlled portion of the trial; the results between the </w:t>
      </w:r>
      <w:proofErr w:type="spellStart"/>
      <w:r w:rsidRPr="000A7AE8">
        <w:t>abatacept</w:t>
      </w:r>
      <w:proofErr w:type="spellEnd"/>
      <w:r w:rsidRPr="000A7AE8">
        <w:t xml:space="preserve"> and infliximab groups were similar. Further improvement was observed at 12 months with </w:t>
      </w:r>
      <w:proofErr w:type="spellStart"/>
      <w:r w:rsidRPr="000A7AE8">
        <w:t>abatacept</w:t>
      </w:r>
      <w:proofErr w:type="spellEnd"/>
      <w:r w:rsidRPr="000A7AE8">
        <w:t>. The ACR responses in Study VII were consistent with the DAS28 score.</w:t>
      </w:r>
    </w:p>
    <w:p w14:paraId="52F95503" w14:textId="358CCDE5" w:rsidR="00580444" w:rsidRPr="000A7AE8" w:rsidRDefault="00580444" w:rsidP="001A764A">
      <w:r w:rsidRPr="000A7AE8">
        <w:t>The open</w:t>
      </w:r>
      <w:r w:rsidR="00FC6ECD" w:rsidRPr="000A7AE8">
        <w:t>-</w:t>
      </w:r>
      <w:r w:rsidRPr="000A7AE8">
        <w:t xml:space="preserve">label period of Study VII provided an assessment of the ability of </w:t>
      </w:r>
      <w:proofErr w:type="spellStart"/>
      <w:r w:rsidRPr="000A7AE8">
        <w:t>abatacept</w:t>
      </w:r>
      <w:proofErr w:type="spellEnd"/>
      <w:r w:rsidRPr="000A7AE8">
        <w:t xml:space="preserve"> to maintain efficacy for subjects originally randomized to </w:t>
      </w:r>
      <w:proofErr w:type="spellStart"/>
      <w:r w:rsidRPr="000A7AE8">
        <w:t>abatacept</w:t>
      </w:r>
      <w:proofErr w:type="spellEnd"/>
      <w:r w:rsidRPr="000A7AE8">
        <w:t xml:space="preserve"> and the efficacy response of those subjects who were switched to </w:t>
      </w:r>
      <w:proofErr w:type="spellStart"/>
      <w:r w:rsidRPr="000A7AE8">
        <w:t>abatacept</w:t>
      </w:r>
      <w:proofErr w:type="spellEnd"/>
      <w:r w:rsidRPr="000A7AE8">
        <w:t xml:space="preserve"> following treatment with infliximab. The reduction from baseline in mean DAS28 score at </w:t>
      </w:r>
      <w:r w:rsidR="00FC6ECD" w:rsidRPr="000A7AE8">
        <w:t>D</w:t>
      </w:r>
      <w:r w:rsidRPr="000A7AE8">
        <w:t xml:space="preserve">ay 365 (3.06) was maintained through </w:t>
      </w:r>
      <w:r w:rsidR="00FC6ECD" w:rsidRPr="000A7AE8">
        <w:t>D</w:t>
      </w:r>
      <w:r w:rsidRPr="000A7AE8">
        <w:t xml:space="preserve">ay 729 (3.34) in those patients who continued with </w:t>
      </w:r>
      <w:proofErr w:type="spellStart"/>
      <w:r w:rsidRPr="000A7AE8">
        <w:t>abatacept</w:t>
      </w:r>
      <w:proofErr w:type="spellEnd"/>
      <w:r w:rsidRPr="000A7AE8">
        <w:t xml:space="preserve">. In those patients who initially received infliximab and then switched to </w:t>
      </w:r>
      <w:proofErr w:type="spellStart"/>
      <w:r w:rsidRPr="000A7AE8">
        <w:t>abatacept</w:t>
      </w:r>
      <w:proofErr w:type="spellEnd"/>
      <w:r w:rsidRPr="000A7AE8">
        <w:t xml:space="preserve">, there was improvement in the mean DAS28 score at </w:t>
      </w:r>
      <w:r w:rsidR="00FC6ECD" w:rsidRPr="000A7AE8">
        <w:t>D</w:t>
      </w:r>
      <w:r w:rsidRPr="000A7AE8">
        <w:t xml:space="preserve">ay 729 (3.07) relative to </w:t>
      </w:r>
      <w:r w:rsidR="00FC6ECD" w:rsidRPr="000A7AE8">
        <w:t>D</w:t>
      </w:r>
      <w:r w:rsidRPr="000A7AE8">
        <w:t xml:space="preserve">ay 365 (3.88). </w:t>
      </w:r>
      <w:r w:rsidRPr="000A7AE8">
        <w:rPr>
          <w:position w:val="13"/>
          <w:vertAlign w:val="superscript"/>
        </w:rPr>
        <w:t xml:space="preserve"> </w:t>
      </w:r>
    </w:p>
    <w:p w14:paraId="1038CDF3" w14:textId="77777777" w:rsidR="00580444" w:rsidRPr="000A7AE8" w:rsidRDefault="00580444" w:rsidP="001A764A">
      <w:pPr>
        <w:rPr>
          <w:u w:val="single"/>
        </w:rPr>
      </w:pPr>
      <w:r w:rsidRPr="000A7AE8">
        <w:t xml:space="preserve">At 6 months, the overall serious adverse </w:t>
      </w:r>
      <w:proofErr w:type="gramStart"/>
      <w:r w:rsidRPr="000A7AE8">
        <w:t>events considered to be related to treatment was</w:t>
      </w:r>
      <w:proofErr w:type="gramEnd"/>
      <w:r w:rsidRPr="000A7AE8">
        <w:t xml:space="preserve"> 1.9% (3 patients) in the </w:t>
      </w:r>
      <w:proofErr w:type="spellStart"/>
      <w:r w:rsidRPr="000A7AE8">
        <w:t>abatacept</w:t>
      </w:r>
      <w:proofErr w:type="spellEnd"/>
      <w:r w:rsidRPr="000A7AE8">
        <w:t xml:space="preserve"> group, 4.8% (8) in the infliximab group, and 2.7% (3) in the placebo group. The frequency of serious infections was 1.3% (2) in the </w:t>
      </w:r>
      <w:proofErr w:type="spellStart"/>
      <w:r w:rsidRPr="000A7AE8">
        <w:t>abatacept</w:t>
      </w:r>
      <w:proofErr w:type="spellEnd"/>
      <w:r w:rsidRPr="000A7AE8">
        <w:t xml:space="preserve"> group, 2.4% (4) in the infliximab group, and 0.9% (1) in the placebo group. The frequency of acute </w:t>
      </w:r>
      <w:proofErr w:type="spellStart"/>
      <w:r w:rsidRPr="000A7AE8">
        <w:t>infusional</w:t>
      </w:r>
      <w:proofErr w:type="spellEnd"/>
      <w:r w:rsidRPr="000A7AE8">
        <w:t xml:space="preserve"> adverse events was 5.1% (8) in the </w:t>
      </w:r>
      <w:proofErr w:type="spellStart"/>
      <w:r w:rsidRPr="000A7AE8">
        <w:t>abatacept</w:t>
      </w:r>
      <w:proofErr w:type="spellEnd"/>
      <w:r w:rsidRPr="000A7AE8">
        <w:t xml:space="preserve"> group, 18.2% (30) in the infliximab group, and 10.0% (11) in the placebo group. At 12 months, the overall serious adverse </w:t>
      </w:r>
      <w:proofErr w:type="gramStart"/>
      <w:r w:rsidRPr="000A7AE8">
        <w:t>events considered to be related to treatment was</w:t>
      </w:r>
      <w:proofErr w:type="gramEnd"/>
      <w:r w:rsidRPr="000A7AE8">
        <w:t xml:space="preserve"> 3.2% (5) in the </w:t>
      </w:r>
      <w:proofErr w:type="spellStart"/>
      <w:r w:rsidRPr="000A7AE8">
        <w:t>abatacept</w:t>
      </w:r>
      <w:proofErr w:type="spellEnd"/>
      <w:r w:rsidRPr="000A7AE8">
        <w:t xml:space="preserve"> group and 8.5% (14) in the infliximab group. The frequency of serious infections was 1.3% (2) in the </w:t>
      </w:r>
      <w:proofErr w:type="spellStart"/>
      <w:r w:rsidRPr="000A7AE8">
        <w:t>abatacept</w:t>
      </w:r>
      <w:proofErr w:type="spellEnd"/>
      <w:r w:rsidRPr="000A7AE8">
        <w:t xml:space="preserve"> group and 6.1% (10) in the infliximab group, with a total of 5 serious opportunistic infections in the infliximab group and none in the </w:t>
      </w:r>
      <w:proofErr w:type="spellStart"/>
      <w:r w:rsidRPr="000A7AE8">
        <w:t>abatacept</w:t>
      </w:r>
      <w:proofErr w:type="spellEnd"/>
      <w:r w:rsidRPr="000A7AE8">
        <w:t xml:space="preserve"> group. With regard to abnormal laboratory values at 6 months, antinuclear antibodies developed in 1.7% (2) of the </w:t>
      </w:r>
      <w:proofErr w:type="spellStart"/>
      <w:r w:rsidRPr="000A7AE8">
        <w:t>abatacept</w:t>
      </w:r>
      <w:proofErr w:type="spellEnd"/>
      <w:r w:rsidRPr="000A7AE8">
        <w:t xml:space="preserve"> group, 32.2% (38) of the infliximab group, and 4.9% (4) of the placebo group.</w:t>
      </w:r>
    </w:p>
    <w:p w14:paraId="67C7FEAF" w14:textId="596708C2" w:rsidR="00580444" w:rsidRPr="000A7AE8" w:rsidRDefault="00580444" w:rsidP="001515F1">
      <w:r w:rsidRPr="000A7AE8">
        <w:rPr>
          <w:position w:val="13"/>
          <w:u w:val="single"/>
          <w:vertAlign w:val="superscript"/>
        </w:rPr>
        <w:t xml:space="preserve"> </w:t>
      </w:r>
      <w:r w:rsidR="00932AF4" w:rsidRPr="000A7AE8">
        <w:rPr>
          <w:b/>
        </w:rPr>
        <w:t>Table 11</w:t>
      </w:r>
      <w:r w:rsidRPr="000A7AE8">
        <w:rPr>
          <w:b/>
        </w:rPr>
        <w:t xml:space="preserve">: </w:t>
      </w:r>
      <w:r w:rsidRPr="000A7AE8">
        <w:rPr>
          <w:b/>
        </w:rPr>
        <w:tab/>
        <w:t xml:space="preserve">Disease Activity Score 28 (DAS28 ESR) Results in Study VII </w:t>
      </w:r>
    </w:p>
    <w:tbl>
      <w:tblPr>
        <w:tblW w:w="9072" w:type="dxa"/>
        <w:tblLook w:val="0000" w:firstRow="0" w:lastRow="0" w:firstColumn="0" w:lastColumn="0" w:noHBand="0" w:noVBand="0"/>
      </w:tblPr>
      <w:tblGrid>
        <w:gridCol w:w="2835"/>
        <w:gridCol w:w="2268"/>
        <w:gridCol w:w="2127"/>
        <w:gridCol w:w="1842"/>
      </w:tblGrid>
      <w:tr w:rsidR="000A7AE8" w:rsidRPr="000A7AE8" w14:paraId="605E49FC" w14:textId="77777777" w:rsidTr="00C35502">
        <w:trPr>
          <w:trHeight w:val="539"/>
        </w:trPr>
        <w:tc>
          <w:tcPr>
            <w:tcW w:w="2835" w:type="dxa"/>
            <w:tcBorders>
              <w:top w:val="double" w:sz="6" w:space="0" w:color="000000"/>
              <w:bottom w:val="single" w:sz="4" w:space="0" w:color="000000"/>
              <w:right w:val="single" w:sz="4" w:space="0" w:color="000000"/>
            </w:tcBorders>
            <w:vAlign w:val="bottom"/>
          </w:tcPr>
          <w:p w14:paraId="7E8278E1" w14:textId="77777777" w:rsidR="00580444" w:rsidRPr="000A7AE8" w:rsidRDefault="00580444" w:rsidP="001515F1">
            <w:pPr>
              <w:pStyle w:val="BMSTableHeader"/>
            </w:pPr>
            <w:r w:rsidRPr="000A7AE8">
              <w:t xml:space="preserve">DAS28 Response </w:t>
            </w:r>
          </w:p>
        </w:tc>
        <w:tc>
          <w:tcPr>
            <w:tcW w:w="2268" w:type="dxa"/>
            <w:tcBorders>
              <w:top w:val="double" w:sz="6" w:space="0" w:color="000000"/>
              <w:left w:val="single" w:sz="4" w:space="0" w:color="000000"/>
              <w:bottom w:val="single" w:sz="4" w:space="0" w:color="000000"/>
              <w:right w:val="single" w:sz="4" w:space="0" w:color="000000"/>
            </w:tcBorders>
          </w:tcPr>
          <w:p w14:paraId="6E6452DC" w14:textId="77777777" w:rsidR="00580444" w:rsidRPr="000A7AE8" w:rsidRDefault="00580444" w:rsidP="001515F1">
            <w:pPr>
              <w:pStyle w:val="BMSTableHeader"/>
            </w:pPr>
            <w:proofErr w:type="spellStart"/>
            <w:r w:rsidRPr="000A7AE8">
              <w:t>Abatacept</w:t>
            </w:r>
            <w:proofErr w:type="spellEnd"/>
            <w:r w:rsidRPr="000A7AE8">
              <w:t xml:space="preserve"> +MTX</w:t>
            </w:r>
          </w:p>
          <w:p w14:paraId="19CBBD55" w14:textId="6B08D4A4" w:rsidR="00580444" w:rsidRPr="000A7AE8" w:rsidRDefault="00580444" w:rsidP="001515F1">
            <w:pPr>
              <w:pStyle w:val="BMSTableHeader"/>
            </w:pPr>
            <w:r w:rsidRPr="000A7AE8">
              <w:t xml:space="preserve"> n=150 </w:t>
            </w:r>
          </w:p>
        </w:tc>
        <w:tc>
          <w:tcPr>
            <w:tcW w:w="2127" w:type="dxa"/>
            <w:tcBorders>
              <w:top w:val="double" w:sz="6" w:space="0" w:color="000000"/>
              <w:left w:val="single" w:sz="4" w:space="0" w:color="000000"/>
              <w:bottom w:val="single" w:sz="4" w:space="0" w:color="000000"/>
              <w:right w:val="single" w:sz="4" w:space="0" w:color="000000"/>
            </w:tcBorders>
          </w:tcPr>
          <w:p w14:paraId="382B1FA6" w14:textId="77777777" w:rsidR="00580444" w:rsidRPr="000A7AE8" w:rsidRDefault="00580444" w:rsidP="001515F1">
            <w:pPr>
              <w:pStyle w:val="BMSTableHeader"/>
            </w:pPr>
            <w:r w:rsidRPr="000A7AE8">
              <w:t xml:space="preserve">Infliximab +MTX </w:t>
            </w:r>
          </w:p>
          <w:p w14:paraId="6969FEDD" w14:textId="421093B4" w:rsidR="00580444" w:rsidRPr="000A7AE8" w:rsidRDefault="00580444" w:rsidP="001515F1">
            <w:pPr>
              <w:pStyle w:val="BMSTableHeader"/>
            </w:pPr>
            <w:r w:rsidRPr="000A7AE8">
              <w:t xml:space="preserve">n=156 </w:t>
            </w:r>
          </w:p>
        </w:tc>
        <w:tc>
          <w:tcPr>
            <w:tcW w:w="1842" w:type="dxa"/>
            <w:tcBorders>
              <w:top w:val="double" w:sz="6" w:space="0" w:color="000000"/>
              <w:left w:val="single" w:sz="4" w:space="0" w:color="000000"/>
              <w:bottom w:val="single" w:sz="4" w:space="0" w:color="000000"/>
            </w:tcBorders>
          </w:tcPr>
          <w:p w14:paraId="22636324" w14:textId="77777777" w:rsidR="00580444" w:rsidRPr="000A7AE8" w:rsidRDefault="00580444" w:rsidP="001515F1">
            <w:pPr>
              <w:pStyle w:val="BMSTableHeader"/>
            </w:pPr>
            <w:r w:rsidRPr="000A7AE8">
              <w:t xml:space="preserve">Placebo +MTX </w:t>
            </w:r>
          </w:p>
          <w:p w14:paraId="59DF2369" w14:textId="2844B3CF" w:rsidR="00580444" w:rsidRPr="000A7AE8" w:rsidRDefault="00580444" w:rsidP="001515F1">
            <w:pPr>
              <w:pStyle w:val="BMSTableHeader"/>
            </w:pPr>
            <w:r w:rsidRPr="000A7AE8">
              <w:t xml:space="preserve">n=102 </w:t>
            </w:r>
          </w:p>
        </w:tc>
      </w:tr>
      <w:tr w:rsidR="000A7AE8" w:rsidRPr="000A7AE8" w14:paraId="547FD60B" w14:textId="77777777" w:rsidTr="00C35502">
        <w:trPr>
          <w:trHeight w:val="347"/>
        </w:trPr>
        <w:tc>
          <w:tcPr>
            <w:tcW w:w="2835" w:type="dxa"/>
            <w:tcBorders>
              <w:top w:val="single" w:sz="4" w:space="0" w:color="000000"/>
              <w:right w:val="single" w:sz="4" w:space="0" w:color="000000"/>
            </w:tcBorders>
            <w:vAlign w:val="center"/>
          </w:tcPr>
          <w:p w14:paraId="1C493665" w14:textId="77777777" w:rsidR="00580444" w:rsidRPr="000A7AE8" w:rsidRDefault="00580444" w:rsidP="001515F1">
            <w:pPr>
              <w:pStyle w:val="BMSTableText"/>
              <w:jc w:val="left"/>
              <w:rPr>
                <w:b/>
              </w:rPr>
            </w:pPr>
            <w:r w:rsidRPr="000A7AE8">
              <w:rPr>
                <w:b/>
              </w:rPr>
              <w:t xml:space="preserve">Mean Decrease </w:t>
            </w:r>
          </w:p>
        </w:tc>
        <w:tc>
          <w:tcPr>
            <w:tcW w:w="2268" w:type="dxa"/>
            <w:tcBorders>
              <w:top w:val="single" w:sz="4" w:space="0" w:color="000000"/>
              <w:left w:val="single" w:sz="4" w:space="0" w:color="000000"/>
              <w:right w:val="single" w:sz="4" w:space="0" w:color="000000"/>
            </w:tcBorders>
          </w:tcPr>
          <w:p w14:paraId="3FB87F1B" w14:textId="77777777" w:rsidR="00580444" w:rsidRPr="000A7AE8" w:rsidRDefault="00580444" w:rsidP="001515F1">
            <w:pPr>
              <w:pStyle w:val="BMSTableText"/>
            </w:pPr>
          </w:p>
        </w:tc>
        <w:tc>
          <w:tcPr>
            <w:tcW w:w="2127" w:type="dxa"/>
            <w:tcBorders>
              <w:top w:val="single" w:sz="4" w:space="0" w:color="000000"/>
              <w:left w:val="single" w:sz="4" w:space="0" w:color="000000"/>
              <w:right w:val="single" w:sz="4" w:space="0" w:color="000000"/>
            </w:tcBorders>
          </w:tcPr>
          <w:p w14:paraId="23F1146A" w14:textId="77777777" w:rsidR="00580444" w:rsidRPr="000A7AE8" w:rsidRDefault="00580444" w:rsidP="001515F1">
            <w:pPr>
              <w:pStyle w:val="BMSTableText"/>
            </w:pPr>
          </w:p>
        </w:tc>
        <w:tc>
          <w:tcPr>
            <w:tcW w:w="1842" w:type="dxa"/>
            <w:tcBorders>
              <w:top w:val="single" w:sz="4" w:space="0" w:color="000000"/>
              <w:left w:val="single" w:sz="4" w:space="0" w:color="000000"/>
            </w:tcBorders>
          </w:tcPr>
          <w:p w14:paraId="72A8E5AB" w14:textId="77777777" w:rsidR="00580444" w:rsidRPr="000A7AE8" w:rsidRDefault="00580444" w:rsidP="001515F1">
            <w:pPr>
              <w:pStyle w:val="BMSTableText"/>
            </w:pPr>
          </w:p>
        </w:tc>
      </w:tr>
      <w:tr w:rsidR="000A7AE8" w:rsidRPr="000A7AE8" w14:paraId="2D42B8A3" w14:textId="77777777" w:rsidTr="00C35502">
        <w:trPr>
          <w:trHeight w:val="349"/>
        </w:trPr>
        <w:tc>
          <w:tcPr>
            <w:tcW w:w="2835" w:type="dxa"/>
            <w:tcBorders>
              <w:right w:val="single" w:sz="4" w:space="0" w:color="000000"/>
            </w:tcBorders>
            <w:vAlign w:val="center"/>
          </w:tcPr>
          <w:p w14:paraId="474346D4" w14:textId="6EFE05D8" w:rsidR="00580444" w:rsidRPr="000A7AE8" w:rsidRDefault="008F6C8D" w:rsidP="001515F1">
            <w:pPr>
              <w:pStyle w:val="BMSTableText"/>
              <w:jc w:val="left"/>
            </w:pPr>
            <w:r w:rsidRPr="000A7AE8">
              <w:t xml:space="preserve"> </w:t>
            </w:r>
            <w:r w:rsidR="00580444" w:rsidRPr="000A7AE8">
              <w:t xml:space="preserve">Month 6 </w:t>
            </w:r>
          </w:p>
        </w:tc>
        <w:tc>
          <w:tcPr>
            <w:tcW w:w="2268" w:type="dxa"/>
            <w:tcBorders>
              <w:left w:val="single" w:sz="4" w:space="0" w:color="000000"/>
              <w:right w:val="single" w:sz="4" w:space="0" w:color="000000"/>
            </w:tcBorders>
            <w:vAlign w:val="center"/>
          </w:tcPr>
          <w:p w14:paraId="7B00FCE4" w14:textId="77777777" w:rsidR="00580444" w:rsidRPr="000A7AE8" w:rsidRDefault="00580444" w:rsidP="001515F1">
            <w:pPr>
              <w:pStyle w:val="BMSTableText"/>
            </w:pPr>
            <w:r w:rsidRPr="000A7AE8">
              <w:t xml:space="preserve">2.5 *** </w:t>
            </w:r>
          </w:p>
        </w:tc>
        <w:tc>
          <w:tcPr>
            <w:tcW w:w="2127" w:type="dxa"/>
            <w:tcBorders>
              <w:left w:val="single" w:sz="4" w:space="0" w:color="000000"/>
              <w:right w:val="single" w:sz="4" w:space="0" w:color="000000"/>
            </w:tcBorders>
            <w:vAlign w:val="center"/>
          </w:tcPr>
          <w:p w14:paraId="6FF2BAC6" w14:textId="77777777" w:rsidR="00580444" w:rsidRPr="000A7AE8" w:rsidRDefault="00580444" w:rsidP="001515F1">
            <w:pPr>
              <w:pStyle w:val="BMSTableText"/>
            </w:pPr>
            <w:r w:rsidRPr="000A7AE8">
              <w:t xml:space="preserve">2.3 *** </w:t>
            </w:r>
          </w:p>
        </w:tc>
        <w:tc>
          <w:tcPr>
            <w:tcW w:w="1842" w:type="dxa"/>
            <w:tcBorders>
              <w:left w:val="single" w:sz="4" w:space="0" w:color="000000"/>
            </w:tcBorders>
            <w:vAlign w:val="center"/>
          </w:tcPr>
          <w:p w14:paraId="4DF43930" w14:textId="77777777" w:rsidR="00580444" w:rsidRPr="000A7AE8" w:rsidRDefault="00580444" w:rsidP="001515F1">
            <w:pPr>
              <w:pStyle w:val="BMSTableText"/>
            </w:pPr>
            <w:r w:rsidRPr="000A7AE8">
              <w:t xml:space="preserve">1.5 </w:t>
            </w:r>
          </w:p>
        </w:tc>
      </w:tr>
      <w:tr w:rsidR="000A7AE8" w:rsidRPr="000A7AE8" w14:paraId="1625DC2C" w14:textId="77777777" w:rsidTr="00C35502">
        <w:trPr>
          <w:trHeight w:val="422"/>
        </w:trPr>
        <w:tc>
          <w:tcPr>
            <w:tcW w:w="2835" w:type="dxa"/>
            <w:tcBorders>
              <w:bottom w:val="single" w:sz="4" w:space="0" w:color="000000"/>
              <w:right w:val="single" w:sz="4" w:space="0" w:color="000000"/>
            </w:tcBorders>
            <w:vAlign w:val="center"/>
          </w:tcPr>
          <w:p w14:paraId="73B202A7" w14:textId="77777777" w:rsidR="00580444" w:rsidRPr="000A7AE8" w:rsidRDefault="00580444" w:rsidP="001515F1">
            <w:pPr>
              <w:pStyle w:val="BMSTableText"/>
              <w:jc w:val="left"/>
            </w:pPr>
            <w:r w:rsidRPr="000A7AE8">
              <w:t xml:space="preserve"> Month 12 </w:t>
            </w:r>
          </w:p>
        </w:tc>
        <w:tc>
          <w:tcPr>
            <w:tcW w:w="2268" w:type="dxa"/>
            <w:tcBorders>
              <w:left w:val="single" w:sz="4" w:space="0" w:color="000000"/>
              <w:bottom w:val="single" w:sz="4" w:space="0" w:color="000000"/>
              <w:right w:val="single" w:sz="4" w:space="0" w:color="000000"/>
            </w:tcBorders>
            <w:vAlign w:val="center"/>
          </w:tcPr>
          <w:p w14:paraId="0F1CBEC7" w14:textId="77777777" w:rsidR="00580444" w:rsidRPr="000A7AE8" w:rsidRDefault="00580444" w:rsidP="001515F1">
            <w:pPr>
              <w:pStyle w:val="BMSTableText"/>
            </w:pPr>
            <w:r w:rsidRPr="000A7AE8">
              <w:t xml:space="preserve">2.9 </w:t>
            </w:r>
          </w:p>
        </w:tc>
        <w:tc>
          <w:tcPr>
            <w:tcW w:w="2127" w:type="dxa"/>
            <w:tcBorders>
              <w:left w:val="single" w:sz="4" w:space="0" w:color="000000"/>
              <w:bottom w:val="single" w:sz="4" w:space="0" w:color="000000"/>
              <w:right w:val="single" w:sz="4" w:space="0" w:color="000000"/>
            </w:tcBorders>
            <w:vAlign w:val="center"/>
          </w:tcPr>
          <w:p w14:paraId="5CCF8061" w14:textId="77777777" w:rsidR="00580444" w:rsidRPr="000A7AE8" w:rsidRDefault="00580444" w:rsidP="001515F1">
            <w:pPr>
              <w:pStyle w:val="BMSTableText"/>
            </w:pPr>
            <w:r w:rsidRPr="000A7AE8">
              <w:t xml:space="preserve">2.3 </w:t>
            </w:r>
          </w:p>
        </w:tc>
        <w:tc>
          <w:tcPr>
            <w:tcW w:w="1842" w:type="dxa"/>
            <w:tcBorders>
              <w:left w:val="single" w:sz="4" w:space="0" w:color="000000"/>
              <w:bottom w:val="single" w:sz="4" w:space="0" w:color="000000"/>
            </w:tcBorders>
            <w:vAlign w:val="center"/>
          </w:tcPr>
          <w:p w14:paraId="1F7CE9E6" w14:textId="77777777" w:rsidR="00580444" w:rsidRPr="000A7AE8" w:rsidRDefault="00580444" w:rsidP="001515F1">
            <w:pPr>
              <w:pStyle w:val="BMSTableText"/>
              <w:rPr>
                <w:sz w:val="16"/>
                <w:szCs w:val="16"/>
              </w:rPr>
            </w:pPr>
            <w:proofErr w:type="spellStart"/>
            <w:r w:rsidRPr="000A7AE8">
              <w:t>NA</w:t>
            </w:r>
            <w:r w:rsidRPr="000A7AE8">
              <w:rPr>
                <w:sz w:val="22"/>
                <w:szCs w:val="22"/>
                <w:vertAlign w:val="superscript"/>
              </w:rPr>
              <w:t>a</w:t>
            </w:r>
            <w:proofErr w:type="spellEnd"/>
            <w:r w:rsidRPr="000A7AE8">
              <w:rPr>
                <w:sz w:val="16"/>
                <w:szCs w:val="16"/>
              </w:rPr>
              <w:t xml:space="preserve"> </w:t>
            </w:r>
          </w:p>
        </w:tc>
      </w:tr>
      <w:tr w:rsidR="000A7AE8" w:rsidRPr="000A7AE8" w14:paraId="6149C341" w14:textId="77777777" w:rsidTr="00C35502">
        <w:trPr>
          <w:trHeight w:val="362"/>
        </w:trPr>
        <w:tc>
          <w:tcPr>
            <w:tcW w:w="2835" w:type="dxa"/>
            <w:tcBorders>
              <w:top w:val="single" w:sz="4" w:space="0" w:color="000000"/>
              <w:right w:val="single" w:sz="4" w:space="0" w:color="000000"/>
            </w:tcBorders>
            <w:vAlign w:val="center"/>
          </w:tcPr>
          <w:p w14:paraId="457C3FA1" w14:textId="77777777" w:rsidR="00580444" w:rsidRPr="000A7AE8" w:rsidRDefault="00580444" w:rsidP="001515F1">
            <w:pPr>
              <w:pStyle w:val="BMSTableText"/>
              <w:jc w:val="left"/>
              <w:rPr>
                <w:b/>
              </w:rPr>
            </w:pPr>
            <w:r w:rsidRPr="000A7AE8">
              <w:rPr>
                <w:b/>
              </w:rPr>
              <w:t xml:space="preserve">Low Disease Activity </w:t>
            </w:r>
          </w:p>
        </w:tc>
        <w:tc>
          <w:tcPr>
            <w:tcW w:w="2268" w:type="dxa"/>
            <w:tcBorders>
              <w:top w:val="single" w:sz="4" w:space="0" w:color="000000"/>
              <w:left w:val="single" w:sz="4" w:space="0" w:color="000000"/>
              <w:right w:val="single" w:sz="4" w:space="0" w:color="000000"/>
            </w:tcBorders>
          </w:tcPr>
          <w:p w14:paraId="4AA1CD71" w14:textId="77777777" w:rsidR="00580444" w:rsidRPr="000A7AE8" w:rsidRDefault="00580444" w:rsidP="001515F1">
            <w:pPr>
              <w:pStyle w:val="BMSTableText"/>
            </w:pPr>
          </w:p>
        </w:tc>
        <w:tc>
          <w:tcPr>
            <w:tcW w:w="2127" w:type="dxa"/>
            <w:tcBorders>
              <w:top w:val="single" w:sz="4" w:space="0" w:color="000000"/>
              <w:left w:val="single" w:sz="4" w:space="0" w:color="000000"/>
              <w:right w:val="single" w:sz="4" w:space="0" w:color="000000"/>
            </w:tcBorders>
          </w:tcPr>
          <w:p w14:paraId="3C534C9B" w14:textId="77777777" w:rsidR="00580444" w:rsidRPr="000A7AE8" w:rsidRDefault="00580444" w:rsidP="001515F1">
            <w:pPr>
              <w:pStyle w:val="BMSTableText"/>
            </w:pPr>
          </w:p>
        </w:tc>
        <w:tc>
          <w:tcPr>
            <w:tcW w:w="1842" w:type="dxa"/>
            <w:tcBorders>
              <w:top w:val="single" w:sz="4" w:space="0" w:color="000000"/>
              <w:left w:val="single" w:sz="4" w:space="0" w:color="000000"/>
            </w:tcBorders>
          </w:tcPr>
          <w:p w14:paraId="62AEA701" w14:textId="77777777" w:rsidR="00580444" w:rsidRPr="000A7AE8" w:rsidRDefault="00580444" w:rsidP="001515F1">
            <w:pPr>
              <w:pStyle w:val="BMSTableText"/>
            </w:pPr>
          </w:p>
        </w:tc>
      </w:tr>
      <w:tr w:rsidR="000A7AE8" w:rsidRPr="000A7AE8" w14:paraId="61DB891C" w14:textId="77777777" w:rsidTr="00C35502">
        <w:trPr>
          <w:trHeight w:val="334"/>
        </w:trPr>
        <w:tc>
          <w:tcPr>
            <w:tcW w:w="2835" w:type="dxa"/>
            <w:tcBorders>
              <w:right w:val="single" w:sz="4" w:space="0" w:color="000000"/>
            </w:tcBorders>
          </w:tcPr>
          <w:p w14:paraId="65D4720C" w14:textId="77777777" w:rsidR="00580444" w:rsidRPr="000A7AE8" w:rsidRDefault="00580444" w:rsidP="001515F1">
            <w:pPr>
              <w:pStyle w:val="BMSTableText"/>
              <w:jc w:val="left"/>
            </w:pPr>
            <w:r w:rsidRPr="000A7AE8">
              <w:t xml:space="preserve"> Month 6 </w:t>
            </w:r>
          </w:p>
        </w:tc>
        <w:tc>
          <w:tcPr>
            <w:tcW w:w="2268" w:type="dxa"/>
            <w:tcBorders>
              <w:left w:val="single" w:sz="4" w:space="0" w:color="000000"/>
              <w:right w:val="single" w:sz="4" w:space="0" w:color="000000"/>
            </w:tcBorders>
            <w:vAlign w:val="center"/>
          </w:tcPr>
          <w:p w14:paraId="2228239B" w14:textId="77777777" w:rsidR="00580444" w:rsidRPr="000A7AE8" w:rsidRDefault="00580444" w:rsidP="001515F1">
            <w:pPr>
              <w:pStyle w:val="BMSTableText"/>
            </w:pPr>
            <w:r w:rsidRPr="000A7AE8">
              <w:t xml:space="preserve">21% </w:t>
            </w:r>
          </w:p>
        </w:tc>
        <w:tc>
          <w:tcPr>
            <w:tcW w:w="2127" w:type="dxa"/>
            <w:tcBorders>
              <w:left w:val="single" w:sz="4" w:space="0" w:color="000000"/>
              <w:right w:val="single" w:sz="4" w:space="0" w:color="000000"/>
            </w:tcBorders>
            <w:vAlign w:val="center"/>
          </w:tcPr>
          <w:p w14:paraId="78EAC4B3" w14:textId="77777777" w:rsidR="00580444" w:rsidRPr="000A7AE8" w:rsidRDefault="00580444" w:rsidP="001515F1">
            <w:pPr>
              <w:pStyle w:val="BMSTableText"/>
            </w:pPr>
            <w:r w:rsidRPr="000A7AE8">
              <w:t xml:space="preserve">26% </w:t>
            </w:r>
          </w:p>
        </w:tc>
        <w:tc>
          <w:tcPr>
            <w:tcW w:w="1842" w:type="dxa"/>
            <w:tcBorders>
              <w:left w:val="single" w:sz="4" w:space="0" w:color="000000"/>
            </w:tcBorders>
            <w:vAlign w:val="center"/>
          </w:tcPr>
          <w:p w14:paraId="61890D99" w14:textId="77777777" w:rsidR="00580444" w:rsidRPr="000A7AE8" w:rsidRDefault="00580444" w:rsidP="001515F1">
            <w:pPr>
              <w:pStyle w:val="BMSTableText"/>
            </w:pPr>
            <w:r w:rsidRPr="000A7AE8">
              <w:t xml:space="preserve">11% </w:t>
            </w:r>
          </w:p>
        </w:tc>
      </w:tr>
      <w:tr w:rsidR="000A7AE8" w:rsidRPr="000A7AE8" w14:paraId="2B9F7A23" w14:textId="77777777" w:rsidTr="00C35502">
        <w:trPr>
          <w:trHeight w:val="422"/>
        </w:trPr>
        <w:tc>
          <w:tcPr>
            <w:tcW w:w="2835" w:type="dxa"/>
            <w:tcBorders>
              <w:bottom w:val="single" w:sz="4" w:space="0" w:color="000000"/>
              <w:right w:val="single" w:sz="4" w:space="0" w:color="000000"/>
            </w:tcBorders>
            <w:vAlign w:val="center"/>
          </w:tcPr>
          <w:p w14:paraId="3E27F1E8" w14:textId="77777777" w:rsidR="00580444" w:rsidRPr="000A7AE8" w:rsidRDefault="00580444" w:rsidP="001515F1">
            <w:pPr>
              <w:pStyle w:val="BMSTableText"/>
              <w:jc w:val="left"/>
            </w:pPr>
            <w:r w:rsidRPr="000A7AE8">
              <w:t xml:space="preserve"> Month 12 </w:t>
            </w:r>
          </w:p>
        </w:tc>
        <w:tc>
          <w:tcPr>
            <w:tcW w:w="2268" w:type="dxa"/>
            <w:tcBorders>
              <w:left w:val="single" w:sz="4" w:space="0" w:color="000000"/>
              <w:bottom w:val="single" w:sz="4" w:space="0" w:color="000000"/>
              <w:right w:val="single" w:sz="4" w:space="0" w:color="000000"/>
            </w:tcBorders>
            <w:vAlign w:val="center"/>
          </w:tcPr>
          <w:p w14:paraId="1D7818FD" w14:textId="77777777" w:rsidR="00580444" w:rsidRPr="000A7AE8" w:rsidRDefault="00580444" w:rsidP="001515F1">
            <w:pPr>
              <w:pStyle w:val="BMSTableText"/>
            </w:pPr>
            <w:r w:rsidRPr="000A7AE8">
              <w:t xml:space="preserve">35% </w:t>
            </w:r>
          </w:p>
        </w:tc>
        <w:tc>
          <w:tcPr>
            <w:tcW w:w="2127" w:type="dxa"/>
            <w:tcBorders>
              <w:left w:val="single" w:sz="4" w:space="0" w:color="000000"/>
              <w:bottom w:val="single" w:sz="4" w:space="0" w:color="000000"/>
              <w:right w:val="single" w:sz="4" w:space="0" w:color="000000"/>
            </w:tcBorders>
            <w:vAlign w:val="center"/>
          </w:tcPr>
          <w:p w14:paraId="2363753C" w14:textId="77777777" w:rsidR="00580444" w:rsidRPr="000A7AE8" w:rsidRDefault="00580444" w:rsidP="001515F1">
            <w:pPr>
              <w:pStyle w:val="BMSTableText"/>
            </w:pPr>
            <w:r w:rsidRPr="000A7AE8">
              <w:t xml:space="preserve">22% </w:t>
            </w:r>
          </w:p>
        </w:tc>
        <w:tc>
          <w:tcPr>
            <w:tcW w:w="1842" w:type="dxa"/>
            <w:tcBorders>
              <w:left w:val="single" w:sz="4" w:space="0" w:color="000000"/>
              <w:bottom w:val="single" w:sz="4" w:space="0" w:color="000000"/>
            </w:tcBorders>
            <w:vAlign w:val="center"/>
          </w:tcPr>
          <w:p w14:paraId="399531AD" w14:textId="77777777" w:rsidR="00580444" w:rsidRPr="000A7AE8" w:rsidRDefault="00580444" w:rsidP="001515F1">
            <w:pPr>
              <w:pStyle w:val="BMSTableText"/>
              <w:rPr>
                <w:sz w:val="16"/>
                <w:szCs w:val="16"/>
              </w:rPr>
            </w:pPr>
            <w:proofErr w:type="spellStart"/>
            <w:r w:rsidRPr="000A7AE8">
              <w:t>NA</w:t>
            </w:r>
            <w:r w:rsidRPr="000A7AE8">
              <w:rPr>
                <w:sz w:val="22"/>
                <w:szCs w:val="22"/>
                <w:vertAlign w:val="superscript"/>
              </w:rPr>
              <w:t>a</w:t>
            </w:r>
            <w:proofErr w:type="spellEnd"/>
            <w:r w:rsidRPr="000A7AE8">
              <w:rPr>
                <w:sz w:val="16"/>
                <w:szCs w:val="16"/>
              </w:rPr>
              <w:t xml:space="preserve"> </w:t>
            </w:r>
          </w:p>
        </w:tc>
      </w:tr>
      <w:tr w:rsidR="000A7AE8" w:rsidRPr="000A7AE8" w14:paraId="11F5D000" w14:textId="77777777" w:rsidTr="00C35502">
        <w:trPr>
          <w:trHeight w:val="301"/>
        </w:trPr>
        <w:tc>
          <w:tcPr>
            <w:tcW w:w="2835" w:type="dxa"/>
            <w:tcBorders>
              <w:top w:val="single" w:sz="4" w:space="0" w:color="000000"/>
              <w:right w:val="single" w:sz="4" w:space="0" w:color="000000"/>
            </w:tcBorders>
          </w:tcPr>
          <w:p w14:paraId="201D64B6" w14:textId="77777777" w:rsidR="00580444" w:rsidRPr="000A7AE8" w:rsidRDefault="00580444" w:rsidP="001515F1">
            <w:pPr>
              <w:pStyle w:val="BMSTableText"/>
              <w:jc w:val="left"/>
              <w:rPr>
                <w:b/>
              </w:rPr>
            </w:pPr>
            <w:r w:rsidRPr="000A7AE8">
              <w:rPr>
                <w:b/>
              </w:rPr>
              <w:t xml:space="preserve">Remission </w:t>
            </w:r>
          </w:p>
        </w:tc>
        <w:tc>
          <w:tcPr>
            <w:tcW w:w="2268" w:type="dxa"/>
            <w:tcBorders>
              <w:top w:val="single" w:sz="4" w:space="0" w:color="000000"/>
              <w:left w:val="single" w:sz="4" w:space="0" w:color="000000"/>
              <w:right w:val="single" w:sz="4" w:space="0" w:color="000000"/>
            </w:tcBorders>
          </w:tcPr>
          <w:p w14:paraId="22AD6559" w14:textId="77777777" w:rsidR="00580444" w:rsidRPr="000A7AE8" w:rsidRDefault="00580444" w:rsidP="001515F1">
            <w:pPr>
              <w:pStyle w:val="BMSTableText"/>
            </w:pPr>
          </w:p>
        </w:tc>
        <w:tc>
          <w:tcPr>
            <w:tcW w:w="2127" w:type="dxa"/>
            <w:tcBorders>
              <w:top w:val="single" w:sz="4" w:space="0" w:color="000000"/>
              <w:left w:val="single" w:sz="4" w:space="0" w:color="000000"/>
              <w:right w:val="single" w:sz="4" w:space="0" w:color="000000"/>
            </w:tcBorders>
          </w:tcPr>
          <w:p w14:paraId="7115C8E4" w14:textId="77777777" w:rsidR="00580444" w:rsidRPr="000A7AE8" w:rsidRDefault="00580444" w:rsidP="001515F1">
            <w:pPr>
              <w:pStyle w:val="BMSTableText"/>
            </w:pPr>
          </w:p>
        </w:tc>
        <w:tc>
          <w:tcPr>
            <w:tcW w:w="1842" w:type="dxa"/>
            <w:tcBorders>
              <w:top w:val="single" w:sz="4" w:space="0" w:color="000000"/>
              <w:left w:val="single" w:sz="4" w:space="0" w:color="000000"/>
            </w:tcBorders>
          </w:tcPr>
          <w:p w14:paraId="6BC8D08E" w14:textId="77777777" w:rsidR="00580444" w:rsidRPr="000A7AE8" w:rsidRDefault="00580444" w:rsidP="001515F1">
            <w:pPr>
              <w:pStyle w:val="BMSTableText"/>
            </w:pPr>
          </w:p>
        </w:tc>
      </w:tr>
      <w:tr w:rsidR="000A7AE8" w:rsidRPr="000A7AE8" w14:paraId="1ACEBC1D" w14:textId="77777777" w:rsidTr="00C35502">
        <w:trPr>
          <w:trHeight w:val="397"/>
        </w:trPr>
        <w:tc>
          <w:tcPr>
            <w:tcW w:w="2835" w:type="dxa"/>
            <w:tcBorders>
              <w:right w:val="single" w:sz="4" w:space="0" w:color="000000"/>
            </w:tcBorders>
            <w:vAlign w:val="center"/>
          </w:tcPr>
          <w:p w14:paraId="1E393F95" w14:textId="77777777" w:rsidR="00580444" w:rsidRPr="000A7AE8" w:rsidRDefault="00580444" w:rsidP="001515F1">
            <w:pPr>
              <w:pStyle w:val="BMSTableText"/>
              <w:jc w:val="left"/>
            </w:pPr>
            <w:r w:rsidRPr="000A7AE8">
              <w:lastRenderedPageBreak/>
              <w:t xml:space="preserve"> Month 6 </w:t>
            </w:r>
          </w:p>
        </w:tc>
        <w:tc>
          <w:tcPr>
            <w:tcW w:w="2268" w:type="dxa"/>
            <w:tcBorders>
              <w:left w:val="single" w:sz="4" w:space="0" w:color="000000"/>
              <w:right w:val="single" w:sz="4" w:space="0" w:color="000000"/>
            </w:tcBorders>
            <w:vAlign w:val="center"/>
          </w:tcPr>
          <w:p w14:paraId="1548F7B8" w14:textId="77777777" w:rsidR="00580444" w:rsidRPr="000A7AE8" w:rsidRDefault="00580444" w:rsidP="001515F1">
            <w:pPr>
              <w:pStyle w:val="BMSTableText"/>
            </w:pPr>
            <w:r w:rsidRPr="000A7AE8">
              <w:t xml:space="preserve">11% </w:t>
            </w:r>
          </w:p>
        </w:tc>
        <w:tc>
          <w:tcPr>
            <w:tcW w:w="2127" w:type="dxa"/>
            <w:tcBorders>
              <w:left w:val="single" w:sz="4" w:space="0" w:color="000000"/>
              <w:right w:val="single" w:sz="4" w:space="0" w:color="000000"/>
            </w:tcBorders>
            <w:vAlign w:val="center"/>
          </w:tcPr>
          <w:p w14:paraId="2B54175A" w14:textId="77777777" w:rsidR="00580444" w:rsidRPr="000A7AE8" w:rsidRDefault="00580444" w:rsidP="001515F1">
            <w:pPr>
              <w:pStyle w:val="BMSTableText"/>
            </w:pPr>
            <w:r w:rsidRPr="000A7AE8">
              <w:t xml:space="preserve">13% </w:t>
            </w:r>
          </w:p>
        </w:tc>
        <w:tc>
          <w:tcPr>
            <w:tcW w:w="1842" w:type="dxa"/>
            <w:tcBorders>
              <w:left w:val="single" w:sz="4" w:space="0" w:color="000000"/>
            </w:tcBorders>
            <w:vAlign w:val="center"/>
          </w:tcPr>
          <w:p w14:paraId="54109270" w14:textId="77777777" w:rsidR="00580444" w:rsidRPr="000A7AE8" w:rsidRDefault="00580444" w:rsidP="001515F1">
            <w:pPr>
              <w:pStyle w:val="BMSTableText"/>
            </w:pPr>
            <w:r w:rsidRPr="000A7AE8">
              <w:t xml:space="preserve">3% </w:t>
            </w:r>
          </w:p>
        </w:tc>
      </w:tr>
      <w:tr w:rsidR="000A7AE8" w:rsidRPr="000A7AE8" w14:paraId="533D2E86" w14:textId="77777777" w:rsidTr="00C35502">
        <w:trPr>
          <w:trHeight w:val="409"/>
        </w:trPr>
        <w:tc>
          <w:tcPr>
            <w:tcW w:w="2835" w:type="dxa"/>
            <w:tcBorders>
              <w:bottom w:val="double" w:sz="6" w:space="0" w:color="000000"/>
              <w:right w:val="single" w:sz="4" w:space="0" w:color="000000"/>
            </w:tcBorders>
            <w:vAlign w:val="center"/>
          </w:tcPr>
          <w:p w14:paraId="08136DD2" w14:textId="77777777" w:rsidR="00580444" w:rsidRPr="000A7AE8" w:rsidRDefault="00580444" w:rsidP="001515F1">
            <w:pPr>
              <w:pStyle w:val="BMSTableText"/>
              <w:jc w:val="left"/>
            </w:pPr>
            <w:r w:rsidRPr="000A7AE8">
              <w:t xml:space="preserve"> Month 12 </w:t>
            </w:r>
          </w:p>
        </w:tc>
        <w:tc>
          <w:tcPr>
            <w:tcW w:w="2268" w:type="dxa"/>
            <w:tcBorders>
              <w:left w:val="single" w:sz="4" w:space="0" w:color="000000"/>
              <w:bottom w:val="double" w:sz="6" w:space="0" w:color="000000"/>
              <w:right w:val="single" w:sz="4" w:space="0" w:color="000000"/>
            </w:tcBorders>
            <w:vAlign w:val="center"/>
          </w:tcPr>
          <w:p w14:paraId="6C68B720" w14:textId="77777777" w:rsidR="00580444" w:rsidRPr="000A7AE8" w:rsidRDefault="00580444" w:rsidP="001515F1">
            <w:pPr>
              <w:pStyle w:val="BMSTableText"/>
            </w:pPr>
            <w:r w:rsidRPr="000A7AE8">
              <w:t xml:space="preserve">19% </w:t>
            </w:r>
          </w:p>
        </w:tc>
        <w:tc>
          <w:tcPr>
            <w:tcW w:w="2127" w:type="dxa"/>
            <w:tcBorders>
              <w:left w:val="single" w:sz="4" w:space="0" w:color="000000"/>
              <w:bottom w:val="double" w:sz="6" w:space="0" w:color="000000"/>
              <w:right w:val="single" w:sz="4" w:space="0" w:color="000000"/>
            </w:tcBorders>
            <w:vAlign w:val="center"/>
          </w:tcPr>
          <w:p w14:paraId="08463C6A" w14:textId="77777777" w:rsidR="00580444" w:rsidRPr="000A7AE8" w:rsidRDefault="00580444" w:rsidP="001515F1">
            <w:pPr>
              <w:pStyle w:val="BMSTableText"/>
            </w:pPr>
            <w:r w:rsidRPr="000A7AE8">
              <w:t xml:space="preserve">12% </w:t>
            </w:r>
          </w:p>
        </w:tc>
        <w:tc>
          <w:tcPr>
            <w:tcW w:w="1842" w:type="dxa"/>
            <w:tcBorders>
              <w:left w:val="single" w:sz="4" w:space="0" w:color="000000"/>
              <w:bottom w:val="double" w:sz="6" w:space="0" w:color="000000"/>
            </w:tcBorders>
            <w:vAlign w:val="center"/>
          </w:tcPr>
          <w:p w14:paraId="098876AB" w14:textId="77777777" w:rsidR="00580444" w:rsidRPr="000A7AE8" w:rsidRDefault="00580444" w:rsidP="001515F1">
            <w:pPr>
              <w:pStyle w:val="BMSTableText"/>
              <w:rPr>
                <w:sz w:val="16"/>
                <w:szCs w:val="16"/>
              </w:rPr>
            </w:pPr>
            <w:proofErr w:type="spellStart"/>
            <w:r w:rsidRPr="000A7AE8">
              <w:t>NA</w:t>
            </w:r>
            <w:r w:rsidRPr="000A7AE8">
              <w:rPr>
                <w:sz w:val="22"/>
                <w:szCs w:val="22"/>
                <w:vertAlign w:val="superscript"/>
              </w:rPr>
              <w:t>a</w:t>
            </w:r>
            <w:proofErr w:type="spellEnd"/>
            <w:r w:rsidRPr="000A7AE8">
              <w:rPr>
                <w:sz w:val="16"/>
                <w:szCs w:val="16"/>
              </w:rPr>
              <w:t xml:space="preserve"> </w:t>
            </w:r>
          </w:p>
        </w:tc>
      </w:tr>
    </w:tbl>
    <w:p w14:paraId="335E7D7D" w14:textId="5D58A006" w:rsidR="00580444" w:rsidRPr="000A7AE8" w:rsidRDefault="00580444" w:rsidP="001515F1">
      <w:pPr>
        <w:rPr>
          <w:sz w:val="18"/>
        </w:rPr>
      </w:pPr>
      <w:r w:rsidRPr="000A7AE8">
        <w:rPr>
          <w:sz w:val="18"/>
        </w:rPr>
        <w:t xml:space="preserve">Note: Hypothesis tests performed only on the primary endpoint of DAS28 mean change at </w:t>
      </w:r>
      <w:r w:rsidR="008F6C8D" w:rsidRPr="000A7AE8">
        <w:rPr>
          <w:sz w:val="18"/>
        </w:rPr>
        <w:t>M</w:t>
      </w:r>
      <w:r w:rsidRPr="000A7AE8">
        <w:rPr>
          <w:sz w:val="18"/>
        </w:rPr>
        <w:t>onth 6</w:t>
      </w:r>
      <w:r w:rsidRPr="000A7AE8">
        <w:rPr>
          <w:rFonts w:cs="Arial"/>
          <w:sz w:val="18"/>
        </w:rPr>
        <w:t xml:space="preserve">. </w:t>
      </w:r>
      <w:r w:rsidRPr="000A7AE8">
        <w:rPr>
          <w:rFonts w:cs="Arial"/>
          <w:sz w:val="18"/>
        </w:rPr>
        <w:br/>
      </w:r>
      <w:r w:rsidR="001515F1" w:rsidRPr="000A7AE8">
        <w:rPr>
          <w:sz w:val="18"/>
        </w:rPr>
        <w:t xml:space="preserve">***p&lt;0.001 </w:t>
      </w:r>
      <w:r w:rsidRPr="000A7AE8">
        <w:rPr>
          <w:sz w:val="18"/>
        </w:rPr>
        <w:t>compared to placebo</w:t>
      </w:r>
      <w:r w:rsidRPr="000A7AE8">
        <w:rPr>
          <w:rFonts w:cs="Arial"/>
          <w:sz w:val="18"/>
        </w:rPr>
        <w:t xml:space="preserve">. </w:t>
      </w:r>
      <w:r w:rsidRPr="000A7AE8">
        <w:rPr>
          <w:rFonts w:cs="Arial"/>
          <w:sz w:val="18"/>
        </w:rPr>
        <w:br/>
      </w:r>
      <w:proofErr w:type="gramStart"/>
      <w:r w:rsidRPr="000A7AE8">
        <w:rPr>
          <w:sz w:val="18"/>
          <w:vertAlign w:val="superscript"/>
        </w:rPr>
        <w:t>a</w:t>
      </w:r>
      <w:proofErr w:type="gramEnd"/>
      <w:r w:rsidRPr="000A7AE8">
        <w:rPr>
          <w:position w:val="11"/>
          <w:sz w:val="18"/>
          <w:vertAlign w:val="superscript"/>
        </w:rPr>
        <w:t xml:space="preserve"> </w:t>
      </w:r>
      <w:r w:rsidRPr="000A7AE8">
        <w:rPr>
          <w:sz w:val="18"/>
        </w:rPr>
        <w:t xml:space="preserve">Placebo administered for only </w:t>
      </w:r>
      <w:r w:rsidR="008F6C8D" w:rsidRPr="000A7AE8">
        <w:rPr>
          <w:sz w:val="18"/>
        </w:rPr>
        <w:t>6</w:t>
      </w:r>
      <w:r w:rsidRPr="000A7AE8">
        <w:rPr>
          <w:sz w:val="18"/>
        </w:rPr>
        <w:t xml:space="preserve"> months.</w:t>
      </w:r>
    </w:p>
    <w:p w14:paraId="7C1BDD7A" w14:textId="77777777" w:rsidR="00580444" w:rsidRPr="000A7AE8" w:rsidRDefault="00580444" w:rsidP="00580444">
      <w:pPr>
        <w:rPr>
          <w:b/>
        </w:rPr>
      </w:pPr>
      <w:r w:rsidRPr="000A7AE8">
        <w:rPr>
          <w:b/>
        </w:rPr>
        <w:t xml:space="preserve">Study VIII: Safety of </w:t>
      </w:r>
      <w:proofErr w:type="spellStart"/>
      <w:r w:rsidRPr="000A7AE8">
        <w:rPr>
          <w:b/>
        </w:rPr>
        <w:t>abatacept</w:t>
      </w:r>
      <w:proofErr w:type="spellEnd"/>
      <w:r w:rsidRPr="000A7AE8">
        <w:rPr>
          <w:b/>
        </w:rPr>
        <w:t xml:space="preserve"> in patients with or without washout of previous TNF blocking agent therapy </w:t>
      </w:r>
    </w:p>
    <w:p w14:paraId="3E3709CD" w14:textId="77777777" w:rsidR="001515F1" w:rsidRPr="000A7AE8" w:rsidRDefault="00580444" w:rsidP="00203339">
      <w:r w:rsidRPr="000A7AE8">
        <w:t xml:space="preserve">A study of open-label </w:t>
      </w:r>
      <w:proofErr w:type="spellStart"/>
      <w:r w:rsidRPr="000A7AE8">
        <w:t>abatacept</w:t>
      </w:r>
      <w:proofErr w:type="spellEnd"/>
      <w:r w:rsidRPr="000A7AE8">
        <w:t xml:space="preserve"> on a background of non-biologic DMARDs was conducted in patients with active RA who had an inadequate response to previous (washout for at least 2 months; n=449) or current (no washout period; n=597) TNF-antagonist therapy (Study VIII, Study IM101064). The primary outcome, incidence of adverse events, serious adverse events, and discontinuations due to adverse events during 6 months of treatment, was similar between those who were previous and current TNF-antagonist users at </w:t>
      </w:r>
      <w:proofErr w:type="spellStart"/>
      <w:r w:rsidRPr="000A7AE8">
        <w:t>enrollment</w:t>
      </w:r>
      <w:proofErr w:type="spellEnd"/>
      <w:r w:rsidRPr="000A7AE8">
        <w:t xml:space="preserve">, as was the frequency of serious infections. Results from Study VIII support the transition from TNF blocking agent therapy to ORENCIA therapy at the next scheduled dose of </w:t>
      </w:r>
      <w:r w:rsidR="001515F1" w:rsidRPr="000A7AE8">
        <w:t>the TNF blocking agent therapy.</w:t>
      </w:r>
    </w:p>
    <w:p w14:paraId="35F6A9D4" w14:textId="4750286F" w:rsidR="00580444" w:rsidRPr="000A7AE8" w:rsidRDefault="00580444" w:rsidP="001515F1">
      <w:pPr>
        <w:rPr>
          <w:b/>
        </w:rPr>
      </w:pPr>
      <w:r w:rsidRPr="000A7AE8">
        <w:rPr>
          <w:b/>
        </w:rPr>
        <w:t>Adult Rheumatoid Arthritis in Patients treated with subcutaneous ORENCIA</w:t>
      </w:r>
    </w:p>
    <w:p w14:paraId="52DDF518" w14:textId="77777777" w:rsidR="00580444" w:rsidRPr="000A7AE8" w:rsidRDefault="00580444" w:rsidP="001515F1">
      <w:pPr>
        <w:rPr>
          <w:b/>
        </w:rPr>
      </w:pPr>
      <w:r w:rsidRPr="000A7AE8">
        <w:rPr>
          <w:b/>
        </w:rPr>
        <w:t>Clinical trials</w:t>
      </w:r>
    </w:p>
    <w:p w14:paraId="281073B6" w14:textId="34848F84" w:rsidR="00580444" w:rsidRPr="000A7AE8" w:rsidRDefault="00580444" w:rsidP="001515F1">
      <w:r w:rsidRPr="000A7AE8">
        <w:t xml:space="preserve">Study SC-I (IM101174) was a randomized, double-blind, double-dummy non-inferiority study that compared the efficacy and safety of </w:t>
      </w:r>
      <w:proofErr w:type="spellStart"/>
      <w:r w:rsidRPr="000A7AE8">
        <w:t>abatacept</w:t>
      </w:r>
      <w:proofErr w:type="spellEnd"/>
      <w:r w:rsidRPr="000A7AE8">
        <w:t xml:space="preserve"> administered subcutaneously (with IV loading dose) to </w:t>
      </w:r>
      <w:proofErr w:type="spellStart"/>
      <w:r w:rsidRPr="000A7AE8">
        <w:t>abatacept</w:t>
      </w:r>
      <w:proofErr w:type="spellEnd"/>
      <w:r w:rsidRPr="000A7AE8">
        <w:t xml:space="preserve"> administered intravenously in subjects with rheumatoid arthritis (RA), receiving background methotrexate (MTX) as the only DMARD, and experiencing an inadequate response to MTX (MTX-IR).  The primary endpoint was ACR 20 at 6 months. The pre-specified non-inferiority margin of </w:t>
      </w:r>
      <w:r w:rsidR="008F6C8D" w:rsidRPr="000A7AE8">
        <w:rPr>
          <w:rFonts w:cs="Times New Roman"/>
        </w:rPr>
        <w:t>−</w:t>
      </w:r>
      <w:r w:rsidRPr="000A7AE8">
        <w:t>7.5% allows for a maximum d</w:t>
      </w:r>
      <w:r w:rsidR="008F6C8D" w:rsidRPr="000A7AE8">
        <w:t xml:space="preserve">ifference in point estimate of </w:t>
      </w:r>
      <w:r w:rsidR="008F6C8D" w:rsidRPr="000A7AE8">
        <w:rPr>
          <w:rFonts w:cs="Times New Roman"/>
        </w:rPr>
        <w:t>−</w:t>
      </w:r>
      <w:r w:rsidRPr="000A7AE8">
        <w:t>2.1% in the ACR</w:t>
      </w:r>
      <w:r w:rsidR="008F6C8D" w:rsidRPr="000A7AE8">
        <w:t xml:space="preserve"> </w:t>
      </w:r>
      <w:r w:rsidRPr="000A7AE8">
        <w:t xml:space="preserve">20 response of the SC </w:t>
      </w:r>
      <w:proofErr w:type="gramStart"/>
      <w:r w:rsidRPr="000A7AE8">
        <w:t>ORENCIA  compared</w:t>
      </w:r>
      <w:proofErr w:type="gramEnd"/>
      <w:r w:rsidRPr="000A7AE8">
        <w:t xml:space="preserve"> with IV ORENCIA  at </w:t>
      </w:r>
      <w:r w:rsidR="008F6C8D" w:rsidRPr="000A7AE8">
        <w:t>M</w:t>
      </w:r>
      <w:r w:rsidRPr="000A7AE8">
        <w:t>onth 6, which is not considered a clinically significant difference. As shown in Table 2, the study demonstrated non-inferiority of ORENCIA administered subcutaneously vs</w:t>
      </w:r>
      <w:r w:rsidR="008F6C8D" w:rsidRPr="000A7AE8">
        <w:t>.</w:t>
      </w:r>
      <w:r w:rsidRPr="000A7AE8">
        <w:t xml:space="preserve"> intravenously with respect to ACR</w:t>
      </w:r>
      <w:r w:rsidR="008F6C8D" w:rsidRPr="000A7AE8">
        <w:t xml:space="preserve"> </w:t>
      </w:r>
      <w:r w:rsidRPr="000A7AE8">
        <w:t>20 responses up to 6 months of treatment.  The estimated difference between the 2 treatment groups (SC-IV) in the proportion of ACR 20 responder</w:t>
      </w:r>
      <w:r w:rsidR="008F6C8D" w:rsidRPr="000A7AE8">
        <w:t xml:space="preserve">s at Day 169 was 0.3% (95% CI: </w:t>
      </w:r>
      <w:r w:rsidR="008F6C8D" w:rsidRPr="000A7AE8">
        <w:rPr>
          <w:rFonts w:cs="Times New Roman"/>
        </w:rPr>
        <w:t>−</w:t>
      </w:r>
      <w:r w:rsidRPr="000A7AE8">
        <w:t xml:space="preserve">4.2%, 4.8%). The proportion of subjects with an ACR 20 response at Day 169 was 76.0% in the SC </w:t>
      </w:r>
      <w:proofErr w:type="spellStart"/>
      <w:r w:rsidRPr="000A7AE8">
        <w:t>abatacept</w:t>
      </w:r>
      <w:proofErr w:type="spellEnd"/>
      <w:r w:rsidRPr="000A7AE8">
        <w:t xml:space="preserve"> group and 75.8% in the IV </w:t>
      </w:r>
      <w:proofErr w:type="spellStart"/>
      <w:r w:rsidRPr="000A7AE8">
        <w:t>abatacept</w:t>
      </w:r>
      <w:proofErr w:type="spellEnd"/>
      <w:r w:rsidRPr="000A7AE8">
        <w:t xml:space="preserve"> group (PP analysis).</w:t>
      </w:r>
    </w:p>
    <w:p w14:paraId="4F4DAEEF" w14:textId="5C827F96" w:rsidR="00580444" w:rsidRPr="000A7AE8" w:rsidRDefault="00580444" w:rsidP="001515F1">
      <w:r w:rsidRPr="000A7AE8">
        <w:t>In Study SC-1, patients were randomized with stratification by body weight (&lt;60 kg, 60 to 100 kg, &gt;100 kg) to receive ORENCIA 125</w:t>
      </w:r>
      <w:r w:rsidR="008F6C8D" w:rsidRPr="000A7AE8">
        <w:t xml:space="preserve"> </w:t>
      </w:r>
      <w:r w:rsidRPr="000A7AE8">
        <w:t xml:space="preserve">mg subcutaneous injections weekly, after a single loading dose of ORENCIA  based on body weight or ORENCIA intravenously on Days 1, 15, 29 and every four weeks thereafter. A total of 2472 subjects were enrolled in Study SC-I; 1457 were treated, 736 of subjects with SC </w:t>
      </w:r>
      <w:proofErr w:type="spellStart"/>
      <w:r w:rsidRPr="000A7AE8">
        <w:t>abatacept</w:t>
      </w:r>
      <w:proofErr w:type="spellEnd"/>
      <w:r w:rsidRPr="000A7AE8">
        <w:t xml:space="preserve"> and 721 were with IV </w:t>
      </w:r>
      <w:proofErr w:type="spellStart"/>
      <w:r w:rsidRPr="000A7AE8">
        <w:t>abatacept</w:t>
      </w:r>
      <w:proofErr w:type="spellEnd"/>
      <w:r w:rsidRPr="000A7AE8">
        <w:t xml:space="preserve">. Subjects continued taking their current dose of MTX from the day of randomization. </w:t>
      </w:r>
    </w:p>
    <w:p w14:paraId="22E2DE2F" w14:textId="72D33033" w:rsidR="00580444" w:rsidRPr="000A7AE8" w:rsidRDefault="00580444" w:rsidP="001515F1">
      <w:r w:rsidRPr="000A7AE8">
        <w:t>Study SC</w:t>
      </w:r>
      <w:r w:rsidRPr="000A7AE8">
        <w:noBreakHyphen/>
        <w:t>IV (IM101235) was a randomi</w:t>
      </w:r>
      <w:r w:rsidR="00015766" w:rsidRPr="000A7AE8">
        <w:t>s</w:t>
      </w:r>
      <w:r w:rsidRPr="000A7AE8">
        <w:t>ed, investigator</w:t>
      </w:r>
      <w:r w:rsidRPr="000A7AE8">
        <w:noBreakHyphen/>
        <w:t xml:space="preserve">blinded, non-inferiority study that compared the efficacy and safety of </w:t>
      </w:r>
      <w:proofErr w:type="spellStart"/>
      <w:r w:rsidRPr="000A7AE8">
        <w:t>abatacept</w:t>
      </w:r>
      <w:proofErr w:type="spellEnd"/>
      <w:r w:rsidRPr="000A7AE8">
        <w:t xml:space="preserve"> administered subcutaneously (without IV loading dose) to adalimumab administered subcutaneously in subjects with RA, receiving background MTX, and experiencing an inadequate response to MTX (MTX</w:t>
      </w:r>
      <w:r w:rsidRPr="000A7AE8">
        <w:noBreakHyphen/>
        <w:t>IR).</w:t>
      </w:r>
    </w:p>
    <w:p w14:paraId="66C9E163" w14:textId="77777777" w:rsidR="00580444" w:rsidRPr="000A7AE8" w:rsidRDefault="00580444" w:rsidP="001515F1">
      <w:r w:rsidRPr="000A7AE8">
        <w:t>The objective of Study SC</w:t>
      </w:r>
      <w:r w:rsidRPr="000A7AE8">
        <w:noBreakHyphen/>
        <w:t>IV was to demonstrate non</w:t>
      </w:r>
      <w:r w:rsidRPr="000A7AE8">
        <w:noBreakHyphen/>
        <w:t>inferiority of the efficacy and comparability of safety of subcutaneous ORENCIA relative to subcutaneous adalimumab in subjects with moderate to severely active RA and experiencing inadequate response to MTX.</w:t>
      </w:r>
    </w:p>
    <w:p w14:paraId="33A13528" w14:textId="2AED122F" w:rsidR="00580444" w:rsidRPr="000A7AE8" w:rsidRDefault="00580444" w:rsidP="001515F1">
      <w:r w:rsidRPr="000A7AE8">
        <w:lastRenderedPageBreak/>
        <w:t>In Study SC</w:t>
      </w:r>
      <w:r w:rsidRPr="000A7AE8">
        <w:noBreakHyphen/>
        <w:t>IV, patients were randomized and stratified by disease severity (DAS28</w:t>
      </w:r>
      <w:r w:rsidRPr="000A7AE8">
        <w:noBreakHyphen/>
        <w:t xml:space="preserve">CRP </w:t>
      </w:r>
      <w:r w:rsidRPr="000A7AE8">
        <w:sym w:font="Symbol" w:char="F0B3"/>
      </w:r>
      <w:r w:rsidRPr="000A7AE8">
        <w:t xml:space="preserve">3.2 and </w:t>
      </w:r>
      <w:r w:rsidRPr="000A7AE8">
        <w:sym w:font="Symbol" w:char="F0A3"/>
      </w:r>
      <w:r w:rsidRPr="000A7AE8">
        <w:t>5.1 and DAS28-CRP &gt;5.1) to receive ORENCIA subcutaneous injections weekly or adalimumab 40 mg subcutaneous injections every-other-week, both given in combination with MTX. Subjects continued taking their current dose of MTX from the day of randomi</w:t>
      </w:r>
      <w:r w:rsidR="00015766" w:rsidRPr="000A7AE8">
        <w:t>s</w:t>
      </w:r>
      <w:r w:rsidRPr="000A7AE8">
        <w:t>ation.</w:t>
      </w:r>
    </w:p>
    <w:p w14:paraId="55C86268" w14:textId="77777777" w:rsidR="00580444" w:rsidRPr="000A7AE8" w:rsidRDefault="00580444" w:rsidP="00580444">
      <w:pPr>
        <w:pStyle w:val="BMSBodyText"/>
        <w:spacing w:line="240" w:lineRule="auto"/>
        <w:rPr>
          <w:b/>
          <w:color w:val="auto"/>
          <w:sz w:val="22"/>
          <w:szCs w:val="22"/>
        </w:rPr>
      </w:pPr>
      <w:r w:rsidRPr="000A7AE8">
        <w:rPr>
          <w:b/>
          <w:color w:val="auto"/>
          <w:sz w:val="22"/>
          <w:szCs w:val="22"/>
        </w:rPr>
        <w:t>Clinical response</w:t>
      </w:r>
    </w:p>
    <w:p w14:paraId="037416D0" w14:textId="77777777" w:rsidR="00580444" w:rsidRPr="000A7AE8" w:rsidRDefault="00580444" w:rsidP="00580444">
      <w:pPr>
        <w:autoSpaceDE w:val="0"/>
        <w:autoSpaceDN w:val="0"/>
        <w:adjustRightInd w:val="0"/>
        <w:rPr>
          <w:b/>
          <w:i/>
        </w:rPr>
      </w:pPr>
      <w:r w:rsidRPr="000A7AE8">
        <w:rPr>
          <w:b/>
          <w:i/>
        </w:rPr>
        <w:t>ACR response</w:t>
      </w:r>
    </w:p>
    <w:p w14:paraId="50144A78" w14:textId="77777777" w:rsidR="00580444" w:rsidRPr="000A7AE8" w:rsidRDefault="00580444" w:rsidP="001515F1">
      <w:r w:rsidRPr="000A7AE8">
        <w:t>In Study SC-I, ORENCIA</w:t>
      </w:r>
      <w:r w:rsidRPr="000A7AE8">
        <w:rPr>
          <w:vertAlign w:val="superscript"/>
        </w:rPr>
        <w:t xml:space="preserve"> </w:t>
      </w:r>
      <w:r w:rsidRPr="000A7AE8">
        <w:t>administered subcutaneously (SC) was non-inferior relative to intravenous (IV) infusions of ORENCIA</w:t>
      </w:r>
      <w:r w:rsidRPr="000A7AE8">
        <w:rPr>
          <w:vertAlign w:val="superscript"/>
        </w:rPr>
        <w:t xml:space="preserve"> </w:t>
      </w:r>
      <w:r w:rsidRPr="000A7AE8">
        <w:t>with respect to ACR 20 responses up to 6 months of treatment</w:t>
      </w:r>
      <w:bookmarkStart w:id="76" w:name="_Ref267574522"/>
      <w:r w:rsidRPr="000A7AE8">
        <w:t>.</w:t>
      </w:r>
      <w:bookmarkEnd w:id="76"/>
      <w:r w:rsidRPr="000A7AE8">
        <w:t xml:space="preserve"> Patients treated with ORENCIA</w:t>
      </w:r>
      <w:r w:rsidRPr="000A7AE8">
        <w:rPr>
          <w:vertAlign w:val="superscript"/>
        </w:rPr>
        <w:t xml:space="preserve"> </w:t>
      </w:r>
      <w:r w:rsidRPr="000A7AE8">
        <w:t>subcutaneously also achieved similar ACR 50 and 70 responses as those patients receiving ORENCIA</w:t>
      </w:r>
      <w:r w:rsidRPr="000A7AE8">
        <w:rPr>
          <w:vertAlign w:val="superscript"/>
        </w:rPr>
        <w:t xml:space="preserve"> </w:t>
      </w:r>
      <w:r w:rsidRPr="000A7AE8">
        <w:t>intravenously at 6 months. No major differences in ACR responses were observed between intravenous and subcutaneous treatment groups in subgroups based on weight categories (less than 60 kg, 60 to 100 kg, and more than 100 kg; data not shown). The percent of ORENCIA-treated patients achieving ACR 20, 50, and 70 responses and major clinical response (defined as achieving an ACR 70 response for a continuous 6-month period) in Study SC-I are shown in Table 2.</w:t>
      </w:r>
    </w:p>
    <w:p w14:paraId="1BE33374" w14:textId="72F3780A" w:rsidR="00580444" w:rsidRPr="000A7AE8" w:rsidRDefault="00580444" w:rsidP="001515F1">
      <w:r w:rsidRPr="000A7AE8">
        <w:t>In Study SC-IV the primary endpoint showed non</w:t>
      </w:r>
      <w:r w:rsidRPr="000A7AE8">
        <w:noBreakHyphen/>
        <w:t xml:space="preserve">inferiority of ACR 20 response after 12 months of treatment, 64.8% (206/318) for the </w:t>
      </w:r>
      <w:proofErr w:type="spellStart"/>
      <w:r w:rsidRPr="000A7AE8">
        <w:t>abatacept</w:t>
      </w:r>
      <w:proofErr w:type="spellEnd"/>
      <w:r w:rsidRPr="000A7AE8">
        <w:t xml:space="preserve"> SC group and 63.4% (208/328) for the adalimumab SC group; treatment difference was 1.8% [95% confidence interval (CI):</w:t>
      </w:r>
      <w:r w:rsidR="008F6C8D" w:rsidRPr="000A7AE8">
        <w:rPr>
          <w:rFonts w:cs="Times New Roman"/>
        </w:rPr>
        <w:t>−</w:t>
      </w:r>
      <w:r w:rsidRPr="000A7AE8">
        <w:t xml:space="preserve">5.6, 9.2] with comparable responses throughout the 24-month period. The respective </w:t>
      </w:r>
      <w:proofErr w:type="gramStart"/>
      <w:r w:rsidRPr="000A7AE8">
        <w:t>values for ACR 20 at 24 months was</w:t>
      </w:r>
      <w:proofErr w:type="gramEnd"/>
      <w:r w:rsidRPr="000A7AE8">
        <w:t xml:space="preserve"> 59.7% (190/318) for the </w:t>
      </w:r>
      <w:proofErr w:type="spellStart"/>
      <w:r w:rsidRPr="000A7AE8">
        <w:t>abatacept</w:t>
      </w:r>
      <w:proofErr w:type="spellEnd"/>
      <w:r w:rsidRPr="000A7AE8">
        <w:t xml:space="preserve"> SC group and 60.1% (197/328) for the adalimumab SC group. The respective values for ACR 50 and ACR 70 at 12 months and 24 months were consistent and similar for </w:t>
      </w:r>
      <w:proofErr w:type="spellStart"/>
      <w:r w:rsidRPr="000A7AE8">
        <w:t>abatacept</w:t>
      </w:r>
      <w:proofErr w:type="spellEnd"/>
      <w:r w:rsidRPr="000A7AE8">
        <w:t xml:space="preserve"> and adalimumab as shown in Figure 1.</w:t>
      </w:r>
    </w:p>
    <w:p w14:paraId="1BD843F6" w14:textId="4DB417BD" w:rsidR="00580444" w:rsidRPr="000A7AE8" w:rsidRDefault="00580444" w:rsidP="001515F1">
      <w:pPr>
        <w:pStyle w:val="BMSTableTitle"/>
        <w:rPr>
          <w:rFonts w:eastAsia="MS Mincho"/>
          <w:sz w:val="22"/>
          <w:lang w:eastAsia="ja-JP"/>
        </w:rPr>
      </w:pPr>
      <w:r w:rsidRPr="000A7AE8">
        <w:rPr>
          <w:rFonts w:eastAsia="MS Mincho"/>
          <w:sz w:val="22"/>
          <w:lang w:eastAsia="ja-JP"/>
        </w:rPr>
        <w:t xml:space="preserve">Figure </w:t>
      </w:r>
      <w:r w:rsidRPr="000A7AE8">
        <w:rPr>
          <w:rFonts w:eastAsia="MS Mincho"/>
          <w:sz w:val="22"/>
          <w:lang w:eastAsia="ja-JP"/>
        </w:rPr>
        <w:fldChar w:fldCharType="begin"/>
      </w:r>
      <w:r w:rsidRPr="000A7AE8">
        <w:rPr>
          <w:rFonts w:eastAsia="MS Mincho"/>
          <w:sz w:val="22"/>
          <w:lang w:eastAsia="ja-JP"/>
        </w:rPr>
        <w:instrText xml:space="preserve"> SEQ Figure \* ARABIC </w:instrText>
      </w:r>
      <w:r w:rsidRPr="000A7AE8">
        <w:rPr>
          <w:rFonts w:eastAsia="MS Mincho"/>
          <w:sz w:val="22"/>
          <w:lang w:eastAsia="ja-JP"/>
        </w:rPr>
        <w:fldChar w:fldCharType="separate"/>
      </w:r>
      <w:r w:rsidR="00601929">
        <w:rPr>
          <w:rFonts w:eastAsia="MS Mincho"/>
          <w:noProof/>
          <w:sz w:val="22"/>
          <w:lang w:eastAsia="ja-JP"/>
        </w:rPr>
        <w:t>1</w:t>
      </w:r>
      <w:r w:rsidRPr="000A7AE8">
        <w:rPr>
          <w:rFonts w:eastAsia="MS Mincho"/>
          <w:sz w:val="22"/>
          <w:lang w:eastAsia="ja-JP"/>
        </w:rPr>
        <w:fldChar w:fldCharType="end"/>
      </w:r>
      <w:r w:rsidR="001515F1" w:rsidRPr="000A7AE8">
        <w:rPr>
          <w:rFonts w:eastAsia="MS Mincho"/>
          <w:sz w:val="22"/>
          <w:lang w:eastAsia="ja-JP"/>
        </w:rPr>
        <w:t xml:space="preserve"> </w:t>
      </w:r>
      <w:r w:rsidR="001515F1" w:rsidRPr="000A7AE8">
        <w:rPr>
          <w:rFonts w:eastAsia="MS Mincho"/>
          <w:sz w:val="22"/>
          <w:lang w:eastAsia="ja-JP"/>
        </w:rPr>
        <w:tab/>
      </w:r>
      <w:r w:rsidRPr="000A7AE8">
        <w:rPr>
          <w:rFonts w:eastAsia="MS Mincho"/>
          <w:sz w:val="22"/>
          <w:lang w:eastAsia="ja-JP"/>
        </w:rPr>
        <w:t xml:space="preserve">ACR 20, ACR 50, and ACR 70 </w:t>
      </w:r>
      <w:proofErr w:type="gramStart"/>
      <w:r w:rsidRPr="000A7AE8">
        <w:rPr>
          <w:rFonts w:eastAsia="MS Mincho"/>
          <w:sz w:val="22"/>
          <w:lang w:eastAsia="ja-JP"/>
        </w:rPr>
        <w:t>Response</w:t>
      </w:r>
      <w:proofErr w:type="gramEnd"/>
      <w:r w:rsidRPr="000A7AE8">
        <w:rPr>
          <w:rFonts w:eastAsia="MS Mincho"/>
          <w:sz w:val="22"/>
          <w:lang w:eastAsia="ja-JP"/>
        </w:rPr>
        <w:t xml:space="preserve"> Over Time During 24 Month</w:t>
      </w:r>
      <w:r w:rsidR="008F6C8D" w:rsidRPr="000A7AE8">
        <w:rPr>
          <w:rFonts w:eastAsia="MS Mincho"/>
          <w:sz w:val="22"/>
          <w:lang w:eastAsia="ja-JP"/>
        </w:rPr>
        <w:t>-</w:t>
      </w:r>
      <w:r w:rsidRPr="000A7AE8">
        <w:rPr>
          <w:rFonts w:eastAsia="MS Mincho"/>
          <w:sz w:val="22"/>
          <w:lang w:eastAsia="ja-JP"/>
        </w:rPr>
        <w:t>Period in Study SC-IV</w:t>
      </w:r>
      <w:r w:rsidR="008F6C8D" w:rsidRPr="000A7AE8">
        <w:rPr>
          <w:rFonts w:eastAsia="MS Mincho"/>
          <w:sz w:val="22"/>
          <w:lang w:eastAsia="ja-JP"/>
        </w:rPr>
        <w:t xml:space="preserve"> -</w:t>
      </w:r>
      <w:r w:rsidRPr="000A7AE8">
        <w:rPr>
          <w:rFonts w:eastAsia="MS Mincho"/>
          <w:sz w:val="22"/>
          <w:lang w:eastAsia="ja-JP"/>
        </w:rPr>
        <w:t xml:space="preserve"> All Randomized and Treated Subjects in 24 Month</w:t>
      </w:r>
      <w:r w:rsidR="008F6C8D" w:rsidRPr="000A7AE8">
        <w:rPr>
          <w:rFonts w:eastAsia="MS Mincho"/>
          <w:sz w:val="22"/>
          <w:lang w:eastAsia="ja-JP"/>
        </w:rPr>
        <w:t>-</w:t>
      </w:r>
      <w:r w:rsidRPr="000A7AE8">
        <w:rPr>
          <w:rFonts w:eastAsia="MS Mincho"/>
          <w:sz w:val="22"/>
          <w:lang w:eastAsia="ja-JP"/>
        </w:rPr>
        <w:t>Period</w:t>
      </w:r>
    </w:p>
    <w:p w14:paraId="4C082519" w14:textId="77777777" w:rsidR="001515F1" w:rsidRPr="000A7AE8" w:rsidRDefault="00580444" w:rsidP="001515F1">
      <w:r w:rsidRPr="000A7AE8">
        <w:rPr>
          <w:noProof/>
          <w:lang w:eastAsia="en-AU"/>
        </w:rPr>
        <w:drawing>
          <wp:anchor distT="0" distB="0" distL="114300" distR="114300" simplePos="0" relativeHeight="251659264" behindDoc="1" locked="0" layoutInCell="1" allowOverlap="1" wp14:anchorId="2AAED19F" wp14:editId="0FAC7DD5">
            <wp:simplePos x="0" y="0"/>
            <wp:positionH relativeFrom="column">
              <wp:posOffset>335280</wp:posOffset>
            </wp:positionH>
            <wp:positionV relativeFrom="paragraph">
              <wp:posOffset>27305</wp:posOffset>
            </wp:positionV>
            <wp:extent cx="5486400" cy="4243705"/>
            <wp:effectExtent l="19050" t="19050" r="0" b="4445"/>
            <wp:wrapTight wrapText="bothSides">
              <wp:wrapPolygon edited="0">
                <wp:start x="-75" y="-97"/>
                <wp:lineTo x="-75" y="21623"/>
                <wp:lineTo x="21600" y="21623"/>
                <wp:lineTo x="21600" y="-97"/>
                <wp:lineTo x="-75" y="-97"/>
              </wp:wrapPolygon>
            </wp:wrapTight>
            <wp:docPr id="2" name="Picture 2" descr="rf-a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f-ac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4243705"/>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B17571F" w14:textId="75F4D123" w:rsidR="00580444" w:rsidRPr="000A7AE8" w:rsidRDefault="00580444" w:rsidP="001515F1">
      <w:pPr>
        <w:rPr>
          <w:b/>
          <w:i/>
        </w:rPr>
      </w:pPr>
      <w:r w:rsidRPr="000A7AE8">
        <w:rPr>
          <w:b/>
          <w:i/>
        </w:rPr>
        <w:lastRenderedPageBreak/>
        <w:t>DAS28 response</w:t>
      </w:r>
    </w:p>
    <w:p w14:paraId="5896C6C6" w14:textId="7DE73D60" w:rsidR="00580444" w:rsidRPr="000A7AE8" w:rsidRDefault="00580444" w:rsidP="001515F1">
      <w:r w:rsidRPr="000A7AE8">
        <w:t>In Study SC</w:t>
      </w:r>
      <w:r w:rsidRPr="000A7AE8">
        <w:noBreakHyphen/>
        <w:t>IV, the adjusted mean changes (standard error; SE) from baseline in DAS28</w:t>
      </w:r>
      <w:r w:rsidRPr="000A7AE8">
        <w:noBreakHyphen/>
        <w:t xml:space="preserve">CRP were </w:t>
      </w:r>
      <w:r w:rsidR="008F6C8D" w:rsidRPr="000A7AE8">
        <w:rPr>
          <w:rFonts w:cs="Times New Roman"/>
        </w:rPr>
        <w:t>−</w:t>
      </w:r>
      <w:r w:rsidR="008F6C8D" w:rsidRPr="000A7AE8">
        <w:t xml:space="preserve">2.35 (SE 0.08) [95% CI: </w:t>
      </w:r>
      <w:r w:rsidR="008F6C8D" w:rsidRPr="000A7AE8">
        <w:rPr>
          <w:rFonts w:cs="Times New Roman"/>
        </w:rPr>
        <w:t>−</w:t>
      </w:r>
      <w:r w:rsidR="008F6C8D" w:rsidRPr="000A7AE8">
        <w:t xml:space="preserve">2.51, </w:t>
      </w:r>
      <w:r w:rsidR="008F6C8D" w:rsidRPr="000A7AE8">
        <w:rPr>
          <w:rFonts w:cs="Times New Roman"/>
        </w:rPr>
        <w:t>−</w:t>
      </w:r>
      <w:r w:rsidR="008F6C8D" w:rsidRPr="000A7AE8">
        <w:t xml:space="preserve">2.19] and </w:t>
      </w:r>
      <w:r w:rsidR="008F6C8D" w:rsidRPr="000A7AE8">
        <w:rPr>
          <w:rFonts w:cs="Times New Roman"/>
        </w:rPr>
        <w:t>−</w:t>
      </w:r>
      <w:r w:rsidR="008F6C8D" w:rsidRPr="000A7AE8">
        <w:t xml:space="preserve">2.33 (SE 0.08) [95% CI: </w:t>
      </w:r>
      <w:r w:rsidR="008F6C8D" w:rsidRPr="000A7AE8">
        <w:rPr>
          <w:rFonts w:cs="Times New Roman"/>
        </w:rPr>
        <w:t>−</w:t>
      </w:r>
      <w:r w:rsidR="008F6C8D" w:rsidRPr="000A7AE8">
        <w:t xml:space="preserve">2.50, </w:t>
      </w:r>
      <w:r w:rsidR="008F6C8D" w:rsidRPr="000A7AE8">
        <w:rPr>
          <w:rFonts w:cs="Times New Roman"/>
        </w:rPr>
        <w:t>−</w:t>
      </w:r>
      <w:r w:rsidRPr="000A7AE8">
        <w:t xml:space="preserve">2.17] in the SC </w:t>
      </w:r>
      <w:proofErr w:type="spellStart"/>
      <w:r w:rsidRPr="000A7AE8">
        <w:t>abatacept</w:t>
      </w:r>
      <w:proofErr w:type="spellEnd"/>
      <w:r w:rsidRPr="000A7AE8">
        <w:t xml:space="preserve"> group and the adalimumab group, respectively, at 24 months, with similar changes over time. The proportion of subjects achieving remission defined as a DAS28-CRP score of &lt;2.6 was 50.6% (127/251) [95% CI: 44.4, 56.8] in the SC </w:t>
      </w:r>
      <w:proofErr w:type="spellStart"/>
      <w:r w:rsidRPr="000A7AE8">
        <w:t>abatacept</w:t>
      </w:r>
      <w:proofErr w:type="spellEnd"/>
      <w:r w:rsidRPr="000A7AE8">
        <w:t xml:space="preserve"> group and 53.3% (130/244) [95% CI: 47.0, 59.5] in the adalimumab group at 24 months. </w:t>
      </w:r>
    </w:p>
    <w:p w14:paraId="613AC620" w14:textId="77777777" w:rsidR="00580444" w:rsidRPr="000A7AE8" w:rsidRDefault="00580444" w:rsidP="001515F1">
      <w:pPr>
        <w:rPr>
          <w:b/>
          <w:i/>
        </w:rPr>
      </w:pPr>
      <w:r w:rsidRPr="000A7AE8">
        <w:rPr>
          <w:b/>
          <w:i/>
        </w:rPr>
        <w:t>Radiographic response</w:t>
      </w:r>
    </w:p>
    <w:p w14:paraId="26CFA839" w14:textId="31376EAD" w:rsidR="00580444" w:rsidRPr="000A7AE8" w:rsidRDefault="00580444" w:rsidP="001515F1">
      <w:r w:rsidRPr="000A7AE8">
        <w:t>In Study SC</w:t>
      </w:r>
      <w:r w:rsidRPr="000A7AE8">
        <w:noBreakHyphen/>
        <w:t xml:space="preserve">IV structural joint damage was assessed radiographically and expressed as a change from baseline using the van der </w:t>
      </w:r>
      <w:proofErr w:type="spellStart"/>
      <w:r w:rsidRPr="000A7AE8">
        <w:t>Heijde</w:t>
      </w:r>
      <w:proofErr w:type="spellEnd"/>
      <w:r w:rsidRPr="000A7AE8">
        <w:noBreakHyphen/>
        <w:t>modified TSS and its components; the Erosion Score a</w:t>
      </w:r>
      <w:r w:rsidR="000A1F7C" w:rsidRPr="000A7AE8">
        <w:t>nd JSN score as shown in Table 13</w:t>
      </w:r>
      <w:r w:rsidRPr="000A7AE8">
        <w:t xml:space="preserve">. The proportion of subjects without radiographic progression in Total Score defined as a change from baseline </w:t>
      </w:r>
      <w:r w:rsidR="00C85BCE" w:rsidRPr="000A7AE8">
        <w:rPr>
          <w:rFonts w:cs="Times New Roman"/>
        </w:rPr>
        <w:t>≤</w:t>
      </w:r>
      <w:r w:rsidRPr="000A7AE8">
        <w:t xml:space="preserve"> smallest detectable change (SDC) (2.2) in the SC </w:t>
      </w:r>
      <w:proofErr w:type="spellStart"/>
      <w:r w:rsidRPr="000A7AE8">
        <w:t>abatacept</w:t>
      </w:r>
      <w:proofErr w:type="spellEnd"/>
      <w:r w:rsidRPr="000A7AE8">
        <w:t xml:space="preserve"> and adalimumab groups, respectively, at </w:t>
      </w:r>
      <w:r w:rsidR="00C85BCE" w:rsidRPr="000A7AE8">
        <w:t>M</w:t>
      </w:r>
      <w:r w:rsidRPr="000A7AE8">
        <w:t xml:space="preserve">onth 12 was 87.8% (259/295) [95% CI: 84.1, 91.5] and 88.6% (263/297) [95% CI: 84.9, 92.2] and at </w:t>
      </w:r>
      <w:r w:rsidR="00C85BCE" w:rsidRPr="000A7AE8">
        <w:t>M</w:t>
      </w:r>
      <w:r w:rsidRPr="000A7AE8">
        <w:t xml:space="preserve">onth 24 was 84.8% (218/257) [95% CI: 80.4, 89.2] and 83.8% (218/260) [95% CI: 79.4, 88.3]. Similar inhibition of radiographic damage was observed in both treatment groups up to 24 months. </w:t>
      </w:r>
    </w:p>
    <w:tbl>
      <w:tblPr>
        <w:tblW w:w="9457" w:type="dxa"/>
        <w:tblBorders>
          <w:bottom w:val="double" w:sz="6" w:space="0" w:color="auto"/>
        </w:tblBorders>
        <w:tblLayout w:type="fixed"/>
        <w:tblLook w:val="0000" w:firstRow="0" w:lastRow="0" w:firstColumn="0" w:lastColumn="0" w:noHBand="0" w:noVBand="0"/>
      </w:tblPr>
      <w:tblGrid>
        <w:gridCol w:w="2364"/>
        <w:gridCol w:w="2364"/>
        <w:gridCol w:w="2364"/>
        <w:gridCol w:w="2365"/>
      </w:tblGrid>
      <w:tr w:rsidR="000A7AE8" w:rsidRPr="000A7AE8" w14:paraId="7417DD16" w14:textId="77777777" w:rsidTr="001515F1">
        <w:trPr>
          <w:trHeight w:val="589"/>
          <w:tblHeader/>
        </w:trPr>
        <w:tc>
          <w:tcPr>
            <w:tcW w:w="9457" w:type="dxa"/>
            <w:gridSpan w:val="4"/>
            <w:tcBorders>
              <w:bottom w:val="double" w:sz="6" w:space="0" w:color="000000"/>
            </w:tcBorders>
            <w:shd w:val="clear" w:color="auto" w:fill="auto"/>
          </w:tcPr>
          <w:p w14:paraId="39A7C406" w14:textId="2B2B05AE" w:rsidR="00580444" w:rsidRPr="000A7AE8" w:rsidRDefault="00580444" w:rsidP="000A1F7C">
            <w:pPr>
              <w:pStyle w:val="BMSTableTitle"/>
            </w:pPr>
            <w:r w:rsidRPr="000A7AE8">
              <w:rPr>
                <w:sz w:val="22"/>
              </w:rPr>
              <w:t xml:space="preserve">Table </w:t>
            </w:r>
            <w:r w:rsidR="000A1F7C" w:rsidRPr="000A7AE8">
              <w:rPr>
                <w:sz w:val="22"/>
              </w:rPr>
              <w:t>13</w:t>
            </w:r>
            <w:r w:rsidRPr="000A7AE8">
              <w:rPr>
                <w:sz w:val="22"/>
              </w:rPr>
              <w:t>:</w:t>
            </w:r>
            <w:r w:rsidRPr="000A7AE8">
              <w:rPr>
                <w:sz w:val="22"/>
              </w:rPr>
              <w:tab/>
              <w:t>Mean Radiographic Change from Baseline (SD)</w:t>
            </w:r>
            <w:proofErr w:type="spellStart"/>
            <w:r w:rsidRPr="000A7AE8">
              <w:rPr>
                <w:rStyle w:val="BMSSuperscript"/>
                <w:sz w:val="22"/>
                <w:vertAlign w:val="baseline"/>
              </w:rPr>
              <w:t>a</w:t>
            </w:r>
            <w:proofErr w:type="spellEnd"/>
            <w:r w:rsidRPr="000A7AE8">
              <w:rPr>
                <w:sz w:val="22"/>
              </w:rPr>
              <w:t xml:space="preserve"> Over 12 and 24 Months in Study SC</w:t>
            </w:r>
            <w:r w:rsidRPr="000A7AE8">
              <w:rPr>
                <w:sz w:val="22"/>
              </w:rPr>
              <w:noBreakHyphen/>
              <w:t>IV</w:t>
            </w:r>
          </w:p>
        </w:tc>
      </w:tr>
      <w:tr w:rsidR="000A7AE8" w:rsidRPr="000A7AE8" w14:paraId="5AF80A58" w14:textId="77777777" w:rsidTr="001515F1">
        <w:trPr>
          <w:trHeight w:val="469"/>
          <w:tblHeader/>
        </w:trPr>
        <w:tc>
          <w:tcPr>
            <w:tcW w:w="2364" w:type="dxa"/>
            <w:tcBorders>
              <w:top w:val="double" w:sz="6" w:space="0" w:color="000000"/>
              <w:bottom w:val="single" w:sz="4" w:space="0" w:color="auto"/>
            </w:tcBorders>
            <w:shd w:val="clear" w:color="auto" w:fill="auto"/>
            <w:vAlign w:val="bottom"/>
          </w:tcPr>
          <w:p w14:paraId="52899D10" w14:textId="77777777" w:rsidR="00580444" w:rsidRPr="000A7AE8" w:rsidRDefault="00580444" w:rsidP="00C02EB7">
            <w:pPr>
              <w:pStyle w:val="BMSTableHeader"/>
              <w:spacing w:before="0" w:after="0"/>
              <w:jc w:val="left"/>
            </w:pPr>
            <w:r w:rsidRPr="000A7AE8">
              <w:t>Parameter</w:t>
            </w:r>
          </w:p>
        </w:tc>
        <w:tc>
          <w:tcPr>
            <w:tcW w:w="2364" w:type="dxa"/>
            <w:tcBorders>
              <w:top w:val="double" w:sz="6" w:space="0" w:color="000000"/>
              <w:bottom w:val="single" w:sz="4" w:space="0" w:color="auto"/>
            </w:tcBorders>
            <w:shd w:val="clear" w:color="auto" w:fill="auto"/>
            <w:vAlign w:val="bottom"/>
          </w:tcPr>
          <w:p w14:paraId="045B4343" w14:textId="77777777" w:rsidR="00580444" w:rsidRPr="000A7AE8" w:rsidRDefault="00580444" w:rsidP="00C02EB7">
            <w:pPr>
              <w:pStyle w:val="BMSTableHeader"/>
              <w:spacing w:before="0" w:after="0"/>
            </w:pPr>
            <w:r w:rsidRPr="000A7AE8">
              <w:t>ORENCIA</w:t>
            </w:r>
          </w:p>
          <w:p w14:paraId="3C3009A7" w14:textId="77777777" w:rsidR="00580444" w:rsidRPr="000A7AE8" w:rsidRDefault="00580444" w:rsidP="00C02EB7">
            <w:pPr>
              <w:pStyle w:val="BMSTableHeader"/>
              <w:spacing w:before="0" w:after="0"/>
            </w:pPr>
            <w:r w:rsidRPr="000A7AE8">
              <w:t>n=318</w:t>
            </w:r>
          </w:p>
        </w:tc>
        <w:tc>
          <w:tcPr>
            <w:tcW w:w="2364" w:type="dxa"/>
            <w:tcBorders>
              <w:top w:val="double" w:sz="6" w:space="0" w:color="000000"/>
              <w:bottom w:val="single" w:sz="4" w:space="0" w:color="auto"/>
            </w:tcBorders>
            <w:shd w:val="clear" w:color="auto" w:fill="auto"/>
            <w:vAlign w:val="bottom"/>
          </w:tcPr>
          <w:p w14:paraId="19EF1ADF" w14:textId="77777777" w:rsidR="00580444" w:rsidRPr="000A7AE8" w:rsidRDefault="00580444" w:rsidP="00C02EB7">
            <w:pPr>
              <w:pStyle w:val="BMSTableHeader"/>
              <w:spacing w:before="0" w:after="0"/>
            </w:pPr>
            <w:r w:rsidRPr="000A7AE8">
              <w:t>adalimumab</w:t>
            </w:r>
          </w:p>
          <w:p w14:paraId="04E69044" w14:textId="77777777" w:rsidR="00580444" w:rsidRPr="000A7AE8" w:rsidRDefault="00580444" w:rsidP="00C02EB7">
            <w:pPr>
              <w:pStyle w:val="BMSTableHeader"/>
              <w:spacing w:before="0" w:after="0"/>
            </w:pPr>
            <w:r w:rsidRPr="000A7AE8">
              <w:t>n=328</w:t>
            </w:r>
          </w:p>
        </w:tc>
        <w:tc>
          <w:tcPr>
            <w:tcW w:w="2365" w:type="dxa"/>
            <w:tcBorders>
              <w:top w:val="double" w:sz="6" w:space="0" w:color="000000"/>
              <w:bottom w:val="single" w:sz="4" w:space="0" w:color="auto"/>
            </w:tcBorders>
            <w:shd w:val="clear" w:color="auto" w:fill="auto"/>
          </w:tcPr>
          <w:p w14:paraId="1C393D79" w14:textId="77777777" w:rsidR="00580444" w:rsidRPr="000A7AE8" w:rsidRDefault="00580444" w:rsidP="00C02EB7">
            <w:pPr>
              <w:pStyle w:val="BMSTableHeader"/>
              <w:spacing w:before="0" w:after="0"/>
            </w:pPr>
            <w:r w:rsidRPr="000A7AE8">
              <w:t>Difference (CI)</w:t>
            </w:r>
            <w:r w:rsidRPr="000A7AE8">
              <w:rPr>
                <w:rFonts w:ascii="Times New Roman Bold" w:hAnsi="Times New Roman Bold"/>
                <w:vertAlign w:val="superscript"/>
              </w:rPr>
              <w:t>b</w:t>
            </w:r>
          </w:p>
        </w:tc>
      </w:tr>
      <w:tr w:rsidR="000A7AE8" w:rsidRPr="000A7AE8" w14:paraId="441C393F" w14:textId="77777777" w:rsidTr="001515F1">
        <w:trPr>
          <w:trHeight w:val="922"/>
        </w:trPr>
        <w:tc>
          <w:tcPr>
            <w:tcW w:w="2364" w:type="dxa"/>
            <w:tcBorders>
              <w:top w:val="single" w:sz="4" w:space="0" w:color="auto"/>
              <w:bottom w:val="single" w:sz="4" w:space="0" w:color="auto"/>
            </w:tcBorders>
            <w:shd w:val="clear" w:color="auto" w:fill="auto"/>
          </w:tcPr>
          <w:p w14:paraId="78B1C56E" w14:textId="77777777" w:rsidR="00580444" w:rsidRPr="000A7AE8" w:rsidRDefault="00580444" w:rsidP="00C02EB7">
            <w:pPr>
              <w:pStyle w:val="BMSTableText"/>
              <w:jc w:val="left"/>
            </w:pPr>
            <w:r w:rsidRPr="000A7AE8">
              <w:t>Total Sharp Score</w:t>
            </w:r>
          </w:p>
          <w:p w14:paraId="56F009A4" w14:textId="77777777" w:rsidR="00580444" w:rsidRPr="000A7AE8" w:rsidRDefault="00580444" w:rsidP="00C02EB7">
            <w:pPr>
              <w:pStyle w:val="BMSTableText"/>
              <w:ind w:left="360"/>
              <w:jc w:val="left"/>
            </w:pPr>
            <w:r w:rsidRPr="000A7AE8">
              <w:t>12 months</w:t>
            </w:r>
          </w:p>
          <w:p w14:paraId="51AEBC02" w14:textId="77777777" w:rsidR="00580444" w:rsidRPr="000A7AE8" w:rsidRDefault="00580444" w:rsidP="00C02EB7">
            <w:pPr>
              <w:pStyle w:val="BMSTableText"/>
              <w:ind w:left="360"/>
              <w:jc w:val="left"/>
            </w:pPr>
            <w:r w:rsidRPr="000A7AE8">
              <w:t>24 months</w:t>
            </w:r>
          </w:p>
        </w:tc>
        <w:tc>
          <w:tcPr>
            <w:tcW w:w="2364" w:type="dxa"/>
            <w:tcBorders>
              <w:top w:val="single" w:sz="4" w:space="0" w:color="auto"/>
              <w:bottom w:val="single" w:sz="4" w:space="0" w:color="auto"/>
            </w:tcBorders>
            <w:shd w:val="clear" w:color="auto" w:fill="auto"/>
          </w:tcPr>
          <w:p w14:paraId="376F73FD" w14:textId="77777777" w:rsidR="00580444" w:rsidRPr="000A7AE8" w:rsidRDefault="00580444" w:rsidP="00C02EB7">
            <w:pPr>
              <w:pStyle w:val="BMSTableText"/>
            </w:pPr>
          </w:p>
          <w:p w14:paraId="49C193E4" w14:textId="77777777" w:rsidR="00580444" w:rsidRPr="000A7AE8" w:rsidRDefault="00580444" w:rsidP="00C02EB7">
            <w:pPr>
              <w:pStyle w:val="BMSTableText"/>
            </w:pPr>
            <w:r w:rsidRPr="000A7AE8">
              <w:t>0.56 (2.62)</w:t>
            </w:r>
          </w:p>
          <w:p w14:paraId="225369A5" w14:textId="77777777" w:rsidR="00580444" w:rsidRPr="000A7AE8" w:rsidRDefault="00580444" w:rsidP="00C02EB7">
            <w:pPr>
              <w:pStyle w:val="BMSTableText"/>
            </w:pPr>
            <w:r w:rsidRPr="000A7AE8">
              <w:t>0.89 (4.13)</w:t>
            </w:r>
          </w:p>
        </w:tc>
        <w:tc>
          <w:tcPr>
            <w:tcW w:w="2364" w:type="dxa"/>
            <w:tcBorders>
              <w:top w:val="single" w:sz="4" w:space="0" w:color="auto"/>
              <w:bottom w:val="single" w:sz="4" w:space="0" w:color="auto"/>
            </w:tcBorders>
            <w:shd w:val="clear" w:color="auto" w:fill="auto"/>
          </w:tcPr>
          <w:p w14:paraId="7508B448" w14:textId="77777777" w:rsidR="00580444" w:rsidRPr="000A7AE8" w:rsidRDefault="00580444" w:rsidP="00C02EB7">
            <w:pPr>
              <w:pStyle w:val="BMSTableText"/>
            </w:pPr>
          </w:p>
          <w:p w14:paraId="69F92A16" w14:textId="77777777" w:rsidR="00580444" w:rsidRPr="000A7AE8" w:rsidRDefault="00580444" w:rsidP="00C02EB7">
            <w:pPr>
              <w:pStyle w:val="BMSTableText"/>
            </w:pPr>
            <w:r w:rsidRPr="000A7AE8">
              <w:t>0.74 (6.57)</w:t>
            </w:r>
          </w:p>
          <w:p w14:paraId="16D0789E" w14:textId="77777777" w:rsidR="00580444" w:rsidRPr="000A7AE8" w:rsidRDefault="00580444" w:rsidP="00C02EB7">
            <w:pPr>
              <w:pStyle w:val="BMSTableText"/>
            </w:pPr>
            <w:r w:rsidRPr="000A7AE8">
              <w:t>1.13 (8.66)</w:t>
            </w:r>
          </w:p>
        </w:tc>
        <w:tc>
          <w:tcPr>
            <w:tcW w:w="2365" w:type="dxa"/>
            <w:tcBorders>
              <w:top w:val="single" w:sz="4" w:space="0" w:color="auto"/>
              <w:bottom w:val="single" w:sz="4" w:space="0" w:color="auto"/>
            </w:tcBorders>
            <w:shd w:val="clear" w:color="auto" w:fill="auto"/>
          </w:tcPr>
          <w:p w14:paraId="56B00B15" w14:textId="77777777" w:rsidR="00580444" w:rsidRPr="000A7AE8" w:rsidRDefault="00580444" w:rsidP="00C02EB7">
            <w:pPr>
              <w:pStyle w:val="BMSTableText"/>
            </w:pPr>
          </w:p>
          <w:p w14:paraId="3AA5FB9F" w14:textId="60C54D6E" w:rsidR="00580444" w:rsidRPr="000A7AE8" w:rsidRDefault="00C85BCE" w:rsidP="00C02EB7">
            <w:pPr>
              <w:pStyle w:val="BMSTableText"/>
            </w:pPr>
            <w:r w:rsidRPr="000A7AE8">
              <w:t>−</w:t>
            </w:r>
            <w:r w:rsidR="00580444" w:rsidRPr="000A7AE8">
              <w:t>0.19 (</w:t>
            </w:r>
            <w:r w:rsidRPr="000A7AE8">
              <w:t>−</w:t>
            </w:r>
            <w:r w:rsidR="00580444" w:rsidRPr="000A7AE8">
              <w:t>0.99, 0.62)</w:t>
            </w:r>
          </w:p>
          <w:p w14:paraId="0CB2D82F" w14:textId="50E679FF" w:rsidR="00580444" w:rsidRPr="000A7AE8" w:rsidRDefault="00C85BCE" w:rsidP="00C85BCE">
            <w:pPr>
              <w:pStyle w:val="BMSTableText"/>
            </w:pPr>
            <w:r w:rsidRPr="000A7AE8">
              <w:t>−</w:t>
            </w:r>
            <w:r w:rsidR="00580444" w:rsidRPr="000A7AE8">
              <w:t>0.24 (</w:t>
            </w:r>
            <w:r w:rsidRPr="000A7AE8">
              <w:t>−</w:t>
            </w:r>
            <w:r w:rsidR="00580444" w:rsidRPr="000A7AE8">
              <w:t>1.41, 0.93)</w:t>
            </w:r>
          </w:p>
        </w:tc>
      </w:tr>
      <w:tr w:rsidR="000A7AE8" w:rsidRPr="000A7AE8" w14:paraId="72660705" w14:textId="77777777" w:rsidTr="001515F1">
        <w:trPr>
          <w:trHeight w:val="937"/>
        </w:trPr>
        <w:tc>
          <w:tcPr>
            <w:tcW w:w="2364" w:type="dxa"/>
            <w:tcBorders>
              <w:top w:val="single" w:sz="4" w:space="0" w:color="auto"/>
              <w:bottom w:val="single" w:sz="4" w:space="0" w:color="auto"/>
            </w:tcBorders>
            <w:shd w:val="clear" w:color="auto" w:fill="auto"/>
          </w:tcPr>
          <w:p w14:paraId="09CD0C3E" w14:textId="77777777" w:rsidR="00580444" w:rsidRPr="000A7AE8" w:rsidRDefault="00580444" w:rsidP="00C02EB7">
            <w:pPr>
              <w:pStyle w:val="BMSTableText"/>
              <w:jc w:val="left"/>
            </w:pPr>
            <w:r w:rsidRPr="000A7AE8">
              <w:t>Erosion score</w:t>
            </w:r>
          </w:p>
          <w:p w14:paraId="1A5B5EA6" w14:textId="77777777" w:rsidR="00580444" w:rsidRPr="000A7AE8" w:rsidRDefault="00580444" w:rsidP="00C02EB7">
            <w:pPr>
              <w:pStyle w:val="BMSTableText"/>
              <w:ind w:left="360"/>
              <w:jc w:val="left"/>
            </w:pPr>
            <w:r w:rsidRPr="000A7AE8">
              <w:t>12 months</w:t>
            </w:r>
          </w:p>
          <w:p w14:paraId="3E4ABBA7" w14:textId="77777777" w:rsidR="00580444" w:rsidRPr="000A7AE8" w:rsidRDefault="00580444" w:rsidP="00C02EB7">
            <w:pPr>
              <w:pStyle w:val="BMSTableText"/>
              <w:ind w:left="360"/>
              <w:jc w:val="left"/>
            </w:pPr>
            <w:r w:rsidRPr="000A7AE8">
              <w:t>24 months</w:t>
            </w:r>
          </w:p>
        </w:tc>
        <w:tc>
          <w:tcPr>
            <w:tcW w:w="2364" w:type="dxa"/>
            <w:tcBorders>
              <w:top w:val="single" w:sz="4" w:space="0" w:color="auto"/>
              <w:bottom w:val="single" w:sz="4" w:space="0" w:color="auto"/>
            </w:tcBorders>
            <w:shd w:val="clear" w:color="auto" w:fill="auto"/>
          </w:tcPr>
          <w:p w14:paraId="540DDC18" w14:textId="77777777" w:rsidR="00580444" w:rsidRPr="000A7AE8" w:rsidRDefault="00580444" w:rsidP="00C02EB7">
            <w:pPr>
              <w:pStyle w:val="BMSTableText"/>
            </w:pPr>
          </w:p>
          <w:p w14:paraId="32C16A2C" w14:textId="77777777" w:rsidR="00580444" w:rsidRPr="000A7AE8" w:rsidRDefault="00580444" w:rsidP="00C02EB7">
            <w:pPr>
              <w:pStyle w:val="BMSTableText"/>
            </w:pPr>
            <w:r w:rsidRPr="000A7AE8">
              <w:t>0.21 (1.81)</w:t>
            </w:r>
          </w:p>
          <w:p w14:paraId="4112F193" w14:textId="77777777" w:rsidR="00580444" w:rsidRPr="000A7AE8" w:rsidRDefault="00580444" w:rsidP="00C02EB7">
            <w:pPr>
              <w:pStyle w:val="BMSTableText"/>
            </w:pPr>
            <w:r w:rsidRPr="000A7AE8">
              <w:t>0.41 (2.57)</w:t>
            </w:r>
          </w:p>
        </w:tc>
        <w:tc>
          <w:tcPr>
            <w:tcW w:w="2364" w:type="dxa"/>
            <w:tcBorders>
              <w:top w:val="single" w:sz="4" w:space="0" w:color="auto"/>
              <w:bottom w:val="single" w:sz="4" w:space="0" w:color="auto"/>
            </w:tcBorders>
            <w:shd w:val="clear" w:color="auto" w:fill="auto"/>
          </w:tcPr>
          <w:p w14:paraId="0ECA7B35" w14:textId="77777777" w:rsidR="00580444" w:rsidRPr="000A7AE8" w:rsidRDefault="00580444" w:rsidP="00C02EB7">
            <w:pPr>
              <w:pStyle w:val="BMSTableText"/>
            </w:pPr>
          </w:p>
          <w:p w14:paraId="08E55BD3" w14:textId="77777777" w:rsidR="00580444" w:rsidRPr="000A7AE8" w:rsidRDefault="00580444" w:rsidP="00C02EB7">
            <w:pPr>
              <w:pStyle w:val="BMSTableText"/>
            </w:pPr>
            <w:r w:rsidRPr="000A7AE8">
              <w:t>0.25 (3.80)</w:t>
            </w:r>
          </w:p>
          <w:p w14:paraId="620070A3" w14:textId="77777777" w:rsidR="00580444" w:rsidRPr="000A7AE8" w:rsidRDefault="00580444" w:rsidP="00C02EB7">
            <w:pPr>
              <w:pStyle w:val="BMSTableText"/>
            </w:pPr>
            <w:r w:rsidRPr="000A7AE8">
              <w:t>0.41 (5.04)</w:t>
            </w:r>
          </w:p>
        </w:tc>
        <w:tc>
          <w:tcPr>
            <w:tcW w:w="2365" w:type="dxa"/>
            <w:tcBorders>
              <w:top w:val="single" w:sz="4" w:space="0" w:color="auto"/>
              <w:bottom w:val="single" w:sz="4" w:space="0" w:color="auto"/>
            </w:tcBorders>
            <w:shd w:val="clear" w:color="auto" w:fill="auto"/>
          </w:tcPr>
          <w:p w14:paraId="45EE05E4" w14:textId="77777777" w:rsidR="00580444" w:rsidRPr="000A7AE8" w:rsidRDefault="00580444" w:rsidP="00C02EB7">
            <w:pPr>
              <w:pStyle w:val="BMSTableText"/>
            </w:pPr>
          </w:p>
          <w:p w14:paraId="5764CC26" w14:textId="56C59F7A" w:rsidR="00580444" w:rsidRPr="000A7AE8" w:rsidRDefault="00C85BCE" w:rsidP="00C02EB7">
            <w:pPr>
              <w:pStyle w:val="BMSTableText"/>
            </w:pPr>
            <w:r w:rsidRPr="000A7AE8">
              <w:t>−</w:t>
            </w:r>
            <w:r w:rsidR="00580444" w:rsidRPr="000A7AE8">
              <w:t>0.04 (</w:t>
            </w:r>
            <w:r w:rsidRPr="000A7AE8">
              <w:t>−</w:t>
            </w:r>
            <w:r w:rsidR="00580444" w:rsidRPr="000A7AE8">
              <w:t>0.52, 0.44)</w:t>
            </w:r>
          </w:p>
          <w:p w14:paraId="50F8C337" w14:textId="2648C35C" w:rsidR="00580444" w:rsidRPr="000A7AE8" w:rsidRDefault="00C85BCE" w:rsidP="00C02EB7">
            <w:pPr>
              <w:pStyle w:val="BMSTableText"/>
            </w:pPr>
            <w:r w:rsidRPr="000A7AE8">
              <w:t>0.00 (−</w:t>
            </w:r>
            <w:r w:rsidR="00580444" w:rsidRPr="000A7AE8">
              <w:t>0.69, 0.69)</w:t>
            </w:r>
          </w:p>
        </w:tc>
      </w:tr>
      <w:tr w:rsidR="000A7AE8" w:rsidRPr="000A7AE8" w14:paraId="3F9F5C35" w14:textId="77777777" w:rsidTr="001515F1">
        <w:trPr>
          <w:trHeight w:val="922"/>
        </w:trPr>
        <w:tc>
          <w:tcPr>
            <w:tcW w:w="2364" w:type="dxa"/>
            <w:tcBorders>
              <w:top w:val="single" w:sz="4" w:space="0" w:color="auto"/>
              <w:bottom w:val="double" w:sz="4" w:space="0" w:color="auto"/>
            </w:tcBorders>
            <w:shd w:val="clear" w:color="auto" w:fill="auto"/>
          </w:tcPr>
          <w:p w14:paraId="4F283630" w14:textId="77777777" w:rsidR="00580444" w:rsidRPr="000A7AE8" w:rsidRDefault="00580444" w:rsidP="00C02EB7">
            <w:pPr>
              <w:pStyle w:val="BMSTableText"/>
              <w:tabs>
                <w:tab w:val="clear" w:pos="360"/>
                <w:tab w:val="left" w:pos="0"/>
              </w:tabs>
              <w:jc w:val="left"/>
            </w:pPr>
            <w:r w:rsidRPr="000A7AE8">
              <w:t>JSN score</w:t>
            </w:r>
          </w:p>
          <w:p w14:paraId="54B3B484" w14:textId="77777777" w:rsidR="00580444" w:rsidRPr="000A7AE8" w:rsidRDefault="00580444" w:rsidP="00C02EB7">
            <w:pPr>
              <w:pStyle w:val="BMSTableText"/>
              <w:tabs>
                <w:tab w:val="left" w:pos="0"/>
              </w:tabs>
              <w:ind w:left="360"/>
              <w:jc w:val="left"/>
            </w:pPr>
            <w:r w:rsidRPr="000A7AE8">
              <w:t xml:space="preserve">12 months </w:t>
            </w:r>
          </w:p>
          <w:p w14:paraId="0D210712" w14:textId="77777777" w:rsidR="00580444" w:rsidRPr="000A7AE8" w:rsidRDefault="00580444" w:rsidP="00C02EB7">
            <w:pPr>
              <w:pStyle w:val="BMSTableText"/>
              <w:tabs>
                <w:tab w:val="left" w:pos="0"/>
              </w:tabs>
              <w:ind w:left="360"/>
              <w:jc w:val="left"/>
            </w:pPr>
            <w:r w:rsidRPr="000A7AE8">
              <w:t>24 months</w:t>
            </w:r>
          </w:p>
        </w:tc>
        <w:tc>
          <w:tcPr>
            <w:tcW w:w="2364" w:type="dxa"/>
            <w:tcBorders>
              <w:top w:val="single" w:sz="4" w:space="0" w:color="auto"/>
              <w:bottom w:val="double" w:sz="4" w:space="0" w:color="auto"/>
            </w:tcBorders>
            <w:shd w:val="clear" w:color="auto" w:fill="auto"/>
          </w:tcPr>
          <w:p w14:paraId="4718EC38" w14:textId="77777777" w:rsidR="00580444" w:rsidRPr="000A7AE8" w:rsidRDefault="00580444" w:rsidP="00C02EB7">
            <w:pPr>
              <w:pStyle w:val="BMSTableText"/>
            </w:pPr>
          </w:p>
          <w:p w14:paraId="222B0067" w14:textId="77777777" w:rsidR="00580444" w:rsidRPr="000A7AE8" w:rsidRDefault="00580444" w:rsidP="00C02EB7">
            <w:pPr>
              <w:pStyle w:val="BMSTableText"/>
            </w:pPr>
            <w:r w:rsidRPr="000A7AE8">
              <w:t>0.35 (1.67)</w:t>
            </w:r>
          </w:p>
          <w:p w14:paraId="66BB4403" w14:textId="77777777" w:rsidR="00580444" w:rsidRPr="000A7AE8" w:rsidRDefault="00580444" w:rsidP="00C02EB7">
            <w:pPr>
              <w:pStyle w:val="BMSTableText"/>
            </w:pPr>
            <w:r w:rsidRPr="000A7AE8">
              <w:t>0.48 (2.18)</w:t>
            </w:r>
          </w:p>
        </w:tc>
        <w:tc>
          <w:tcPr>
            <w:tcW w:w="2364" w:type="dxa"/>
            <w:tcBorders>
              <w:top w:val="single" w:sz="4" w:space="0" w:color="auto"/>
              <w:bottom w:val="double" w:sz="4" w:space="0" w:color="auto"/>
            </w:tcBorders>
            <w:shd w:val="clear" w:color="auto" w:fill="auto"/>
          </w:tcPr>
          <w:p w14:paraId="392D03B4" w14:textId="77777777" w:rsidR="00580444" w:rsidRPr="000A7AE8" w:rsidRDefault="00580444" w:rsidP="00C02EB7">
            <w:pPr>
              <w:pStyle w:val="BMSTableText"/>
            </w:pPr>
          </w:p>
          <w:p w14:paraId="0EF3D75A" w14:textId="77777777" w:rsidR="00580444" w:rsidRPr="000A7AE8" w:rsidRDefault="00580444" w:rsidP="00C02EB7">
            <w:pPr>
              <w:pStyle w:val="BMSTableText"/>
            </w:pPr>
            <w:r w:rsidRPr="000A7AE8">
              <w:t>0.50 (3.03)</w:t>
            </w:r>
          </w:p>
          <w:p w14:paraId="3B994BB2" w14:textId="77777777" w:rsidR="00580444" w:rsidRPr="000A7AE8" w:rsidRDefault="00580444" w:rsidP="00C02EB7">
            <w:pPr>
              <w:pStyle w:val="BMSTableText"/>
            </w:pPr>
            <w:r w:rsidRPr="000A7AE8">
              <w:t>0.72 (3.81)</w:t>
            </w:r>
          </w:p>
        </w:tc>
        <w:tc>
          <w:tcPr>
            <w:tcW w:w="2365" w:type="dxa"/>
            <w:tcBorders>
              <w:top w:val="single" w:sz="4" w:space="0" w:color="auto"/>
              <w:bottom w:val="double" w:sz="4" w:space="0" w:color="auto"/>
            </w:tcBorders>
            <w:shd w:val="clear" w:color="auto" w:fill="auto"/>
          </w:tcPr>
          <w:p w14:paraId="02F9C7C1" w14:textId="77777777" w:rsidR="00580444" w:rsidRPr="000A7AE8" w:rsidRDefault="00580444" w:rsidP="00C02EB7">
            <w:pPr>
              <w:pStyle w:val="BMSTableText"/>
            </w:pPr>
          </w:p>
          <w:p w14:paraId="4370F3A8" w14:textId="039306C5" w:rsidR="00580444" w:rsidRPr="000A7AE8" w:rsidRDefault="00C85BCE" w:rsidP="00C02EB7">
            <w:pPr>
              <w:pStyle w:val="BMSTableText"/>
            </w:pPr>
            <w:r w:rsidRPr="000A7AE8">
              <w:t>−</w:t>
            </w:r>
            <w:r w:rsidR="00580444" w:rsidRPr="000A7AE8">
              <w:t>0.14 (</w:t>
            </w:r>
            <w:r w:rsidRPr="000A7AE8">
              <w:t>−</w:t>
            </w:r>
            <w:r w:rsidR="00580444" w:rsidRPr="000A7AE8">
              <w:t>0.54, 0.25)</w:t>
            </w:r>
          </w:p>
          <w:p w14:paraId="5F4044E1" w14:textId="12312830" w:rsidR="00580444" w:rsidRPr="000A7AE8" w:rsidRDefault="00C85BCE" w:rsidP="00C02EB7">
            <w:pPr>
              <w:spacing w:before="60" w:after="60"/>
              <w:jc w:val="center"/>
              <w:rPr>
                <w:sz w:val="20"/>
                <w:szCs w:val="20"/>
              </w:rPr>
            </w:pPr>
            <w:r w:rsidRPr="000A7AE8">
              <w:rPr>
                <w:rFonts w:cs="Times New Roman"/>
              </w:rPr>
              <w:t>−</w:t>
            </w:r>
            <w:r w:rsidRPr="000A7AE8">
              <w:rPr>
                <w:sz w:val="20"/>
                <w:szCs w:val="20"/>
              </w:rPr>
              <w:t>0.24 (</w:t>
            </w:r>
            <w:r w:rsidRPr="000A7AE8">
              <w:rPr>
                <w:rFonts w:cs="Times New Roman"/>
              </w:rPr>
              <w:t>−</w:t>
            </w:r>
            <w:r w:rsidR="00580444" w:rsidRPr="000A7AE8">
              <w:rPr>
                <w:sz w:val="20"/>
                <w:szCs w:val="20"/>
              </w:rPr>
              <w:t>0.77, 0.30)</w:t>
            </w:r>
          </w:p>
        </w:tc>
      </w:tr>
    </w:tbl>
    <w:p w14:paraId="5FA12961" w14:textId="3C007B5C" w:rsidR="00580444" w:rsidRPr="000A7AE8" w:rsidRDefault="00580444" w:rsidP="00580444">
      <w:pPr>
        <w:pStyle w:val="BMSBodyText"/>
        <w:spacing w:before="0" w:after="0" w:line="240" w:lineRule="auto"/>
        <w:rPr>
          <w:color w:val="auto"/>
          <w:sz w:val="18"/>
          <w:szCs w:val="18"/>
          <w:vertAlign w:val="superscript"/>
        </w:rPr>
      </w:pPr>
      <w:proofErr w:type="gramStart"/>
      <w:r w:rsidRPr="000A7AE8">
        <w:rPr>
          <w:color w:val="auto"/>
          <w:sz w:val="18"/>
          <w:szCs w:val="18"/>
          <w:vertAlign w:val="superscript"/>
        </w:rPr>
        <w:t>a</w:t>
      </w:r>
      <w:proofErr w:type="gramEnd"/>
      <w:r w:rsidR="001515F1" w:rsidRPr="000A7AE8">
        <w:rPr>
          <w:color w:val="auto"/>
          <w:sz w:val="18"/>
          <w:szCs w:val="18"/>
          <w:vertAlign w:val="superscript"/>
        </w:rPr>
        <w:t xml:space="preserve"> </w:t>
      </w:r>
      <w:r w:rsidRPr="000A7AE8">
        <w:rPr>
          <w:color w:val="auto"/>
          <w:sz w:val="18"/>
          <w:szCs w:val="18"/>
        </w:rPr>
        <w:t>SD = standard deviation</w:t>
      </w:r>
    </w:p>
    <w:p w14:paraId="44BD5D0F" w14:textId="194FBBA1" w:rsidR="00580444" w:rsidRPr="000A7AE8" w:rsidRDefault="00580444" w:rsidP="00580444">
      <w:pPr>
        <w:pStyle w:val="BMSBodyText"/>
        <w:spacing w:before="0" w:after="0" w:line="240" w:lineRule="auto"/>
        <w:rPr>
          <w:color w:val="auto"/>
          <w:sz w:val="18"/>
          <w:szCs w:val="18"/>
          <w:vertAlign w:val="superscript"/>
        </w:rPr>
      </w:pPr>
      <w:proofErr w:type="gramStart"/>
      <w:r w:rsidRPr="000A7AE8">
        <w:rPr>
          <w:color w:val="auto"/>
          <w:sz w:val="18"/>
          <w:szCs w:val="18"/>
          <w:vertAlign w:val="superscript"/>
        </w:rPr>
        <w:t>b</w:t>
      </w:r>
      <w:proofErr w:type="gramEnd"/>
      <w:r w:rsidR="001515F1" w:rsidRPr="000A7AE8">
        <w:rPr>
          <w:color w:val="auto"/>
          <w:sz w:val="18"/>
          <w:szCs w:val="18"/>
          <w:vertAlign w:val="superscript"/>
        </w:rPr>
        <w:t xml:space="preserve"> </w:t>
      </w:r>
      <w:r w:rsidRPr="000A7AE8">
        <w:rPr>
          <w:color w:val="auto"/>
          <w:sz w:val="18"/>
          <w:szCs w:val="18"/>
        </w:rPr>
        <w:t>Estimated treatment difference and 95% CI</w:t>
      </w:r>
    </w:p>
    <w:p w14:paraId="2FA7D4BA" w14:textId="77777777" w:rsidR="00580444" w:rsidRPr="000A7AE8" w:rsidRDefault="00580444" w:rsidP="00580444">
      <w:pPr>
        <w:pStyle w:val="BMSBodyText"/>
        <w:spacing w:before="0" w:after="0" w:line="240" w:lineRule="auto"/>
        <w:rPr>
          <w:color w:val="auto"/>
          <w:u w:val="double"/>
        </w:rPr>
      </w:pPr>
    </w:p>
    <w:p w14:paraId="5498B9F6" w14:textId="77777777" w:rsidR="00580444" w:rsidRPr="000A7AE8" w:rsidRDefault="00580444" w:rsidP="001515F1">
      <w:pPr>
        <w:rPr>
          <w:b/>
          <w:i/>
        </w:rPr>
      </w:pPr>
      <w:r w:rsidRPr="000A7AE8">
        <w:rPr>
          <w:b/>
          <w:i/>
        </w:rPr>
        <w:t>Physical function response</w:t>
      </w:r>
    </w:p>
    <w:p w14:paraId="0222FCC5" w14:textId="77777777" w:rsidR="00580444" w:rsidRPr="000A7AE8" w:rsidRDefault="00580444" w:rsidP="001515F1">
      <w:pPr>
        <w:rPr>
          <w:lang w:eastAsia="ja-JP"/>
        </w:rPr>
      </w:pPr>
      <w:r w:rsidRPr="000A7AE8">
        <w:rPr>
          <w:lang w:eastAsia="ja-JP"/>
        </w:rPr>
        <w:t>In Study SC</w:t>
      </w:r>
      <w:r w:rsidRPr="000A7AE8">
        <w:rPr>
          <w:lang w:eastAsia="ja-JP"/>
        </w:rPr>
        <w:noBreakHyphen/>
        <w:t>IV, improvement from baseline as measured by HAQ</w:t>
      </w:r>
      <w:r w:rsidRPr="000A7AE8">
        <w:rPr>
          <w:lang w:eastAsia="ja-JP"/>
        </w:rPr>
        <w:noBreakHyphen/>
        <w:t>DI at 24 months and over time was similar between SC ORENCIA and adalimumab.</w:t>
      </w:r>
    </w:p>
    <w:p w14:paraId="42F78D53" w14:textId="77777777" w:rsidR="00580444" w:rsidRPr="000A7AE8" w:rsidRDefault="00580444" w:rsidP="001515F1">
      <w:pPr>
        <w:rPr>
          <w:b/>
          <w:i/>
        </w:rPr>
      </w:pPr>
      <w:r w:rsidRPr="000A7AE8">
        <w:rPr>
          <w:b/>
          <w:i/>
        </w:rPr>
        <w:t>Health-related outcomes and quality of life</w:t>
      </w:r>
    </w:p>
    <w:p w14:paraId="2DF59473" w14:textId="77777777" w:rsidR="00580444" w:rsidRPr="000A7AE8" w:rsidRDefault="00580444" w:rsidP="001515F1">
      <w:r w:rsidRPr="000A7AE8">
        <w:t>In Study SC-I, improvement from baseline as measured by HAQ-DI at 6 months and over time was similar between subcutaneous and intravenous administration.</w:t>
      </w:r>
    </w:p>
    <w:p w14:paraId="3CE64CD4" w14:textId="11B511A7" w:rsidR="00580444" w:rsidRPr="000A7AE8" w:rsidRDefault="00580444" w:rsidP="00580444">
      <w:pPr>
        <w:pStyle w:val="BMSBodyText"/>
        <w:rPr>
          <w:b/>
          <w:bCs/>
          <w:color w:val="auto"/>
          <w:sz w:val="22"/>
          <w:szCs w:val="22"/>
        </w:rPr>
      </w:pPr>
      <w:r w:rsidRPr="000A7AE8">
        <w:rPr>
          <w:b/>
          <w:bCs/>
          <w:color w:val="auto"/>
          <w:sz w:val="22"/>
          <w:szCs w:val="22"/>
        </w:rPr>
        <w:t>Clinical trial experience in adult Psoriatic Arthritis (</w:t>
      </w:r>
      <w:proofErr w:type="spellStart"/>
      <w:r w:rsidRPr="000A7AE8">
        <w:rPr>
          <w:b/>
          <w:bCs/>
          <w:color w:val="auto"/>
          <w:sz w:val="22"/>
          <w:szCs w:val="22"/>
        </w:rPr>
        <w:t>PsA</w:t>
      </w:r>
      <w:proofErr w:type="spellEnd"/>
      <w:r w:rsidRPr="000A7AE8">
        <w:rPr>
          <w:b/>
          <w:bCs/>
          <w:color w:val="auto"/>
          <w:sz w:val="22"/>
          <w:szCs w:val="22"/>
        </w:rPr>
        <w:t>) patients treated with ORENCIA</w:t>
      </w:r>
    </w:p>
    <w:p w14:paraId="6A1E39CE" w14:textId="6DE6C467" w:rsidR="00580444" w:rsidRPr="000A7AE8" w:rsidRDefault="00580444" w:rsidP="00203339">
      <w:r w:rsidRPr="000A7AE8">
        <w:t xml:space="preserve">The efficacy and safety of </w:t>
      </w:r>
      <w:r w:rsidRPr="000A7AE8">
        <w:rPr>
          <w:lang w:eastAsia="en-AU"/>
        </w:rPr>
        <w:t>ORENCIA</w:t>
      </w:r>
      <w:r w:rsidRPr="000A7AE8">
        <w:rPr>
          <w:vertAlign w:val="superscript"/>
          <w:lang w:eastAsia="en-AU"/>
        </w:rPr>
        <w:t xml:space="preserve"> </w:t>
      </w:r>
      <w:r w:rsidRPr="000A7AE8">
        <w:t xml:space="preserve">were assessed in two randomized, double-blind, placebo-controlled trials (Studies </w:t>
      </w:r>
      <w:proofErr w:type="spellStart"/>
      <w:r w:rsidRPr="000A7AE8">
        <w:t>PsA</w:t>
      </w:r>
      <w:proofErr w:type="spellEnd"/>
      <w:r w:rsidRPr="000A7AE8">
        <w:t xml:space="preserve">-I and </w:t>
      </w:r>
      <w:proofErr w:type="spellStart"/>
      <w:r w:rsidRPr="000A7AE8">
        <w:t>PsA</w:t>
      </w:r>
      <w:proofErr w:type="spellEnd"/>
      <w:r w:rsidRPr="000A7AE8">
        <w:t xml:space="preserve">-II) in adult patients, age 18 years and older. Patients had </w:t>
      </w:r>
      <w:r w:rsidRPr="000A7AE8">
        <w:lastRenderedPageBreak/>
        <w:t xml:space="preserve">active </w:t>
      </w:r>
      <w:proofErr w:type="spellStart"/>
      <w:r w:rsidRPr="000A7AE8">
        <w:t>PsA</w:t>
      </w:r>
      <w:proofErr w:type="spellEnd"/>
      <w:r w:rsidRPr="000A7AE8">
        <w:t xml:space="preserve"> (≥ 3 swollen joints and ≥ 3 tender joints) despite prior treatment with DMARD therapy and had one qualifying psoriatic skin lesion of at least 2 cm in diameter. </w:t>
      </w:r>
    </w:p>
    <w:p w14:paraId="249C770B" w14:textId="2284779A" w:rsidR="00580444" w:rsidRPr="000A7AE8" w:rsidRDefault="00580444" w:rsidP="00203339">
      <w:r w:rsidRPr="000A7AE8">
        <w:t xml:space="preserve">In </w:t>
      </w:r>
      <w:r w:rsidR="00C85BCE" w:rsidRPr="000A7AE8">
        <w:t>S</w:t>
      </w:r>
      <w:r w:rsidRPr="000A7AE8">
        <w:t xml:space="preserve">tudy </w:t>
      </w:r>
      <w:proofErr w:type="spellStart"/>
      <w:r w:rsidRPr="000A7AE8">
        <w:t>PsA</w:t>
      </w:r>
      <w:proofErr w:type="spellEnd"/>
      <w:r w:rsidRPr="000A7AE8">
        <w:t xml:space="preserve">-I, 170 patients received placebo or </w:t>
      </w:r>
      <w:r w:rsidRPr="000A7AE8">
        <w:rPr>
          <w:lang w:eastAsia="en-AU"/>
        </w:rPr>
        <w:t>ORENCIA</w:t>
      </w:r>
      <w:r w:rsidRPr="000A7AE8">
        <w:rPr>
          <w:vertAlign w:val="superscript"/>
          <w:lang w:eastAsia="en-AU"/>
        </w:rPr>
        <w:t xml:space="preserve"> </w:t>
      </w:r>
      <w:r w:rsidRPr="000A7AE8">
        <w:t>intravenously (IV) on Day 1, 15, 29, and then every 28 days thereafter in a double</w:t>
      </w:r>
      <w:r w:rsidR="00C85BCE" w:rsidRPr="000A7AE8">
        <w:t>-</w:t>
      </w:r>
      <w:r w:rsidRPr="000A7AE8">
        <w:t xml:space="preserve">blind manner for 24 weeks, followed by open-label </w:t>
      </w:r>
      <w:r w:rsidRPr="000A7AE8">
        <w:rPr>
          <w:lang w:eastAsia="en-AU"/>
        </w:rPr>
        <w:t>ORENCIA</w:t>
      </w:r>
      <w:r w:rsidRPr="000A7AE8">
        <w:rPr>
          <w:vertAlign w:val="superscript"/>
          <w:lang w:eastAsia="en-AU"/>
        </w:rPr>
        <w:t xml:space="preserve"> </w:t>
      </w:r>
      <w:r w:rsidRPr="000A7AE8">
        <w:t xml:space="preserve">10 mg/kg IV every 28 days. Patients were randomized to receive placebo or </w:t>
      </w:r>
      <w:r w:rsidRPr="000A7AE8">
        <w:rPr>
          <w:lang w:eastAsia="en-AU"/>
        </w:rPr>
        <w:t>ORENCIA</w:t>
      </w:r>
      <w:r w:rsidRPr="000A7AE8">
        <w:rPr>
          <w:vertAlign w:val="superscript"/>
          <w:lang w:eastAsia="en-AU"/>
        </w:rPr>
        <w:t xml:space="preserve"> </w:t>
      </w:r>
      <w:r w:rsidRPr="000A7AE8">
        <w:t xml:space="preserve">3 mg/kg, 10 mg/kg, or two doses of 30 mg/kg followed by 10 mg/kg, without escape for 24 weeks, followed by open label </w:t>
      </w:r>
      <w:proofErr w:type="spellStart"/>
      <w:r w:rsidRPr="000A7AE8">
        <w:t>abatacept</w:t>
      </w:r>
      <w:proofErr w:type="spellEnd"/>
      <w:r w:rsidRPr="000A7AE8">
        <w:t xml:space="preserve"> 10 mg/kg monthly IV every month. Patients were allowed to receive stable doses of concomitant methotrexate, low dose corticosteroids (equivalent to ≤ 10 mg of prednisone) and/or NSAIDs during the trial.  </w:t>
      </w:r>
    </w:p>
    <w:p w14:paraId="218FA75B" w14:textId="37F538C9" w:rsidR="00580444" w:rsidRPr="000A7AE8" w:rsidRDefault="00580444" w:rsidP="00203339">
      <w:r w:rsidRPr="000A7AE8">
        <w:t xml:space="preserve">In </w:t>
      </w:r>
      <w:r w:rsidR="00C85BCE" w:rsidRPr="000A7AE8">
        <w:t>S</w:t>
      </w:r>
      <w:r w:rsidRPr="000A7AE8">
        <w:t xml:space="preserve">tudy </w:t>
      </w:r>
      <w:proofErr w:type="spellStart"/>
      <w:r w:rsidRPr="000A7AE8">
        <w:t>PsA</w:t>
      </w:r>
      <w:proofErr w:type="spellEnd"/>
      <w:r w:rsidRPr="000A7AE8">
        <w:t xml:space="preserve">-II, 424 patients were randomized 1:1 to receive </w:t>
      </w:r>
      <w:proofErr w:type="gramStart"/>
      <w:r w:rsidRPr="000A7AE8">
        <w:t>in a double-blind manner weekly doses</w:t>
      </w:r>
      <w:proofErr w:type="gramEnd"/>
      <w:r w:rsidRPr="000A7AE8">
        <w:t xml:space="preserve"> of subcutaneous (SC) placebo or </w:t>
      </w:r>
      <w:r w:rsidRPr="000A7AE8">
        <w:rPr>
          <w:lang w:eastAsia="en-AU"/>
        </w:rPr>
        <w:t>ORENCIA</w:t>
      </w:r>
      <w:r w:rsidRPr="000A7AE8">
        <w:rPr>
          <w:vertAlign w:val="superscript"/>
          <w:lang w:eastAsia="en-AU"/>
        </w:rPr>
        <w:t xml:space="preserve"> </w:t>
      </w:r>
      <w:r w:rsidRPr="000A7AE8">
        <w:t xml:space="preserve">125 mg without a loading dose for 24 weeks, followed by open-label </w:t>
      </w:r>
      <w:r w:rsidRPr="000A7AE8">
        <w:rPr>
          <w:lang w:eastAsia="en-AU"/>
        </w:rPr>
        <w:t>ORENCIA</w:t>
      </w:r>
      <w:r w:rsidRPr="000A7AE8">
        <w:t xml:space="preserve"> 125 mg SC weekly. Patients were allowed to receive stable doses of concomitant methotrexate, sulfasalazine, </w:t>
      </w:r>
      <w:proofErr w:type="spellStart"/>
      <w:r w:rsidRPr="000A7AE8">
        <w:t>leflunomide</w:t>
      </w:r>
      <w:proofErr w:type="spellEnd"/>
      <w:r w:rsidRPr="000A7AE8">
        <w:t xml:space="preserve">, hydroxychloroquine, low dose corticosteroids (equivalent to </w:t>
      </w:r>
      <w:r w:rsidRPr="000A7AE8">
        <w:sym w:font="Symbol" w:char="F0A3"/>
      </w:r>
      <w:r w:rsidRPr="000A7AE8">
        <w:t xml:space="preserve"> 10 mg of prednisone) and/or NSAIDs during the trial. Patients who had not achieved at least a 20% improvement from baseline in their swollen and tender joint counts by Week 16 escaped to open-label </w:t>
      </w:r>
      <w:proofErr w:type="spellStart"/>
      <w:r w:rsidRPr="000A7AE8">
        <w:t>abatacept</w:t>
      </w:r>
      <w:proofErr w:type="spellEnd"/>
      <w:r w:rsidRPr="000A7AE8">
        <w:t xml:space="preserve"> 125 mg SC weekly.</w:t>
      </w:r>
    </w:p>
    <w:p w14:paraId="1F14170B" w14:textId="77777777" w:rsidR="00580444" w:rsidRPr="000A7AE8" w:rsidRDefault="00580444" w:rsidP="00203339">
      <w:r w:rsidRPr="000A7AE8">
        <w:t xml:space="preserve">The primary endpoint for both </w:t>
      </w:r>
      <w:proofErr w:type="spellStart"/>
      <w:r w:rsidRPr="000A7AE8">
        <w:t>PsA</w:t>
      </w:r>
      <w:proofErr w:type="spellEnd"/>
      <w:r w:rsidRPr="000A7AE8">
        <w:t xml:space="preserve">-I and </w:t>
      </w:r>
      <w:proofErr w:type="spellStart"/>
      <w:r w:rsidRPr="000A7AE8">
        <w:t>PsA</w:t>
      </w:r>
      <w:proofErr w:type="spellEnd"/>
      <w:r w:rsidRPr="000A7AE8">
        <w:t>-II was the proportion of patients achieving ACR 20 response at Week 24 (Day 169).</w:t>
      </w:r>
    </w:p>
    <w:p w14:paraId="60C4B153" w14:textId="77777777" w:rsidR="00580444" w:rsidRPr="000A7AE8" w:rsidRDefault="00580444" w:rsidP="00580444">
      <w:pPr>
        <w:pStyle w:val="BMSBodyText"/>
        <w:spacing w:line="240" w:lineRule="auto"/>
        <w:rPr>
          <w:b/>
          <w:color w:val="auto"/>
          <w:sz w:val="22"/>
          <w:szCs w:val="22"/>
        </w:rPr>
      </w:pPr>
      <w:r w:rsidRPr="000A7AE8">
        <w:rPr>
          <w:b/>
          <w:color w:val="auto"/>
          <w:sz w:val="22"/>
          <w:szCs w:val="22"/>
        </w:rPr>
        <w:t>Clinical Response</w:t>
      </w:r>
    </w:p>
    <w:p w14:paraId="74D39D0F" w14:textId="77777777" w:rsidR="00580444" w:rsidRPr="000A7AE8" w:rsidRDefault="00580444" w:rsidP="00580444">
      <w:pPr>
        <w:pStyle w:val="BMSBodyText"/>
        <w:spacing w:line="240" w:lineRule="auto"/>
        <w:rPr>
          <w:b/>
          <w:i/>
          <w:color w:val="auto"/>
          <w:sz w:val="22"/>
          <w:szCs w:val="22"/>
        </w:rPr>
      </w:pPr>
      <w:r w:rsidRPr="000A7AE8">
        <w:rPr>
          <w:b/>
          <w:i/>
          <w:color w:val="auto"/>
          <w:sz w:val="22"/>
          <w:szCs w:val="22"/>
        </w:rPr>
        <w:t>Signs and symptoms</w:t>
      </w:r>
    </w:p>
    <w:p w14:paraId="753D3578" w14:textId="76F5D8C8" w:rsidR="00580444" w:rsidRPr="000A7AE8" w:rsidRDefault="00580444" w:rsidP="00203339">
      <w:r w:rsidRPr="000A7AE8">
        <w:t xml:space="preserve">The percent of patients achieving ACR 20, 50, or 70 responses at the recommended </w:t>
      </w:r>
      <w:r w:rsidRPr="000A7AE8">
        <w:rPr>
          <w:lang w:eastAsia="en-AU"/>
        </w:rPr>
        <w:t>ORENCIA</w:t>
      </w:r>
      <w:r w:rsidRPr="000A7AE8">
        <w:rPr>
          <w:vertAlign w:val="superscript"/>
          <w:lang w:eastAsia="en-AU"/>
        </w:rPr>
        <w:t xml:space="preserve"> </w:t>
      </w:r>
      <w:r w:rsidRPr="000A7AE8">
        <w:t xml:space="preserve">dose in Studies </w:t>
      </w:r>
      <w:proofErr w:type="spellStart"/>
      <w:r w:rsidRPr="000A7AE8">
        <w:t>PsA</w:t>
      </w:r>
      <w:proofErr w:type="spellEnd"/>
      <w:r w:rsidRPr="000A7AE8">
        <w:t xml:space="preserve">-I (10 mg/kg IV) and </w:t>
      </w:r>
      <w:proofErr w:type="spellStart"/>
      <w:r w:rsidRPr="000A7AE8">
        <w:t>PsA</w:t>
      </w:r>
      <w:proofErr w:type="spellEnd"/>
      <w:r w:rsidRPr="000A7AE8">
        <w:t>-II (125</w:t>
      </w:r>
      <w:r w:rsidR="000A1F7C" w:rsidRPr="000A7AE8">
        <w:t xml:space="preserve"> mg SC) are presented in Table 14</w:t>
      </w:r>
      <w:r w:rsidRPr="000A7AE8">
        <w:t xml:space="preserve">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
        <w:gridCol w:w="1410"/>
        <w:gridCol w:w="1161"/>
        <w:gridCol w:w="1597"/>
        <w:gridCol w:w="1307"/>
        <w:gridCol w:w="1017"/>
        <w:gridCol w:w="1693"/>
      </w:tblGrid>
      <w:tr w:rsidR="000A7AE8" w:rsidRPr="000A7AE8" w14:paraId="58C034B7" w14:textId="77777777" w:rsidTr="00C02EB7">
        <w:trPr>
          <w:tblHeader/>
        </w:trPr>
        <w:tc>
          <w:tcPr>
            <w:tcW w:w="5000" w:type="pct"/>
            <w:gridSpan w:val="7"/>
            <w:tcBorders>
              <w:top w:val="double" w:sz="4" w:space="0" w:color="auto"/>
              <w:left w:val="nil"/>
              <w:right w:val="nil"/>
            </w:tcBorders>
          </w:tcPr>
          <w:p w14:paraId="52C7DEEE" w14:textId="18BFD03F" w:rsidR="00580444" w:rsidRPr="000A7AE8" w:rsidRDefault="00580444" w:rsidP="000A1F7C">
            <w:pPr>
              <w:pStyle w:val="BMSTableTitle"/>
              <w:spacing w:before="0" w:after="0"/>
            </w:pPr>
            <w:r w:rsidRPr="000A7AE8">
              <w:rPr>
                <w:sz w:val="22"/>
              </w:rPr>
              <w:t xml:space="preserve">Table </w:t>
            </w:r>
            <w:r w:rsidR="000A1F7C" w:rsidRPr="000A7AE8">
              <w:rPr>
                <w:sz w:val="22"/>
              </w:rPr>
              <w:t>14</w:t>
            </w:r>
            <w:r w:rsidRPr="000A7AE8">
              <w:rPr>
                <w:sz w:val="22"/>
              </w:rPr>
              <w:t>:</w:t>
            </w:r>
            <w:r w:rsidRPr="000A7AE8">
              <w:rPr>
                <w:sz w:val="22"/>
              </w:rPr>
              <w:tab/>
              <w:t xml:space="preserve">Proportion of Patients With ACR Responses at Week 24 in Studies </w:t>
            </w:r>
            <w:proofErr w:type="spellStart"/>
            <w:r w:rsidRPr="000A7AE8">
              <w:rPr>
                <w:sz w:val="22"/>
              </w:rPr>
              <w:t>PsA</w:t>
            </w:r>
            <w:proofErr w:type="spellEnd"/>
            <w:r w:rsidRPr="000A7AE8">
              <w:rPr>
                <w:sz w:val="22"/>
              </w:rPr>
              <w:t xml:space="preserve">-I and </w:t>
            </w:r>
            <w:proofErr w:type="spellStart"/>
            <w:r w:rsidRPr="000A7AE8">
              <w:rPr>
                <w:sz w:val="22"/>
              </w:rPr>
              <w:t>PsA</w:t>
            </w:r>
            <w:proofErr w:type="spellEnd"/>
            <w:r w:rsidRPr="000A7AE8">
              <w:rPr>
                <w:sz w:val="22"/>
              </w:rPr>
              <w:t>-II</w:t>
            </w:r>
          </w:p>
        </w:tc>
      </w:tr>
      <w:tr w:rsidR="000A7AE8" w:rsidRPr="000A7AE8" w14:paraId="27B0C2DA" w14:textId="77777777" w:rsidTr="001515F1">
        <w:trPr>
          <w:tblHeader/>
        </w:trPr>
        <w:tc>
          <w:tcPr>
            <w:tcW w:w="572" w:type="pct"/>
            <w:shd w:val="clear" w:color="auto" w:fill="auto"/>
          </w:tcPr>
          <w:p w14:paraId="60B32BAB" w14:textId="77777777" w:rsidR="00580444" w:rsidRPr="000A7AE8" w:rsidRDefault="00580444" w:rsidP="00C02EB7">
            <w:pPr>
              <w:pStyle w:val="BMSTableHeader"/>
              <w:rPr>
                <w:u w:val="double"/>
              </w:rPr>
            </w:pPr>
          </w:p>
        </w:tc>
        <w:tc>
          <w:tcPr>
            <w:tcW w:w="2255" w:type="pct"/>
            <w:gridSpan w:val="3"/>
            <w:shd w:val="clear" w:color="auto" w:fill="auto"/>
          </w:tcPr>
          <w:p w14:paraId="549F1B22" w14:textId="77777777" w:rsidR="00580444" w:rsidRPr="000A7AE8" w:rsidRDefault="00580444" w:rsidP="00C02EB7">
            <w:pPr>
              <w:pStyle w:val="BMSTableHeader"/>
              <w:keepNext/>
              <w:keepLines/>
              <w:spacing w:before="0"/>
              <w:rPr>
                <w:lang w:val="en-GB"/>
              </w:rPr>
            </w:pPr>
            <w:proofErr w:type="spellStart"/>
            <w:r w:rsidRPr="000A7AE8">
              <w:rPr>
                <w:lang w:val="en-GB"/>
              </w:rPr>
              <w:t>PsA-I</w:t>
            </w:r>
            <w:r w:rsidRPr="000A7AE8">
              <w:rPr>
                <w:rStyle w:val="EMEASuperscript"/>
                <w:sz w:val="20"/>
                <w:lang w:val="en-GB"/>
              </w:rPr>
              <w:t>a</w:t>
            </w:r>
            <w:proofErr w:type="spellEnd"/>
          </w:p>
        </w:tc>
        <w:tc>
          <w:tcPr>
            <w:tcW w:w="2173" w:type="pct"/>
            <w:gridSpan w:val="3"/>
            <w:shd w:val="clear" w:color="auto" w:fill="auto"/>
          </w:tcPr>
          <w:p w14:paraId="76E0C349" w14:textId="77777777" w:rsidR="00580444" w:rsidRPr="000A7AE8" w:rsidRDefault="00580444" w:rsidP="00C02EB7">
            <w:pPr>
              <w:pStyle w:val="BMSTableHeader"/>
              <w:keepNext/>
              <w:keepLines/>
              <w:spacing w:before="0"/>
              <w:rPr>
                <w:u w:val="double"/>
              </w:rPr>
            </w:pPr>
            <w:proofErr w:type="spellStart"/>
            <w:r w:rsidRPr="000A7AE8">
              <w:rPr>
                <w:lang w:val="en-GB"/>
              </w:rPr>
              <w:t>PsA-II</w:t>
            </w:r>
            <w:r w:rsidRPr="000A7AE8">
              <w:rPr>
                <w:rStyle w:val="EMEASuperscript"/>
                <w:sz w:val="20"/>
                <w:lang w:val="en-GB"/>
              </w:rPr>
              <w:t>b,c</w:t>
            </w:r>
            <w:proofErr w:type="spellEnd"/>
          </w:p>
        </w:tc>
      </w:tr>
      <w:tr w:rsidR="000A7AE8" w:rsidRPr="000A7AE8" w14:paraId="48BD401D" w14:textId="77777777" w:rsidTr="001515F1">
        <w:tc>
          <w:tcPr>
            <w:tcW w:w="572" w:type="pct"/>
            <w:shd w:val="clear" w:color="auto" w:fill="auto"/>
          </w:tcPr>
          <w:p w14:paraId="432FFE6F" w14:textId="77777777" w:rsidR="00580444" w:rsidRPr="000A7AE8" w:rsidRDefault="00580444" w:rsidP="00C02EB7">
            <w:pPr>
              <w:pStyle w:val="BMSTableText"/>
              <w:jc w:val="left"/>
              <w:rPr>
                <w:u w:val="double"/>
              </w:rPr>
            </w:pPr>
          </w:p>
        </w:tc>
        <w:tc>
          <w:tcPr>
            <w:tcW w:w="763" w:type="pct"/>
            <w:shd w:val="clear" w:color="auto" w:fill="auto"/>
          </w:tcPr>
          <w:p w14:paraId="2340CEFA" w14:textId="77777777" w:rsidR="00580444" w:rsidRPr="000A7AE8" w:rsidRDefault="00580444" w:rsidP="00C02EB7">
            <w:pPr>
              <w:pStyle w:val="BMSTableHeader"/>
              <w:keepNext/>
              <w:keepLines/>
              <w:spacing w:before="0"/>
              <w:rPr>
                <w:lang w:val="fr-BE"/>
              </w:rPr>
            </w:pPr>
            <w:proofErr w:type="spellStart"/>
            <w:r w:rsidRPr="000A7AE8">
              <w:rPr>
                <w:lang w:val="fr-BE"/>
              </w:rPr>
              <w:t>Abatacept</w:t>
            </w:r>
            <w:proofErr w:type="spellEnd"/>
            <w:r w:rsidRPr="000A7AE8">
              <w:rPr>
                <w:lang w:val="fr-BE"/>
              </w:rPr>
              <w:t xml:space="preserve"> 10 mg/kg IV</w:t>
            </w:r>
          </w:p>
          <w:p w14:paraId="085120D2" w14:textId="77777777" w:rsidR="00580444" w:rsidRPr="000A7AE8" w:rsidRDefault="00580444" w:rsidP="00C02EB7">
            <w:pPr>
              <w:pStyle w:val="BMSTableText"/>
              <w:keepNext/>
              <w:keepLines/>
              <w:spacing w:before="0"/>
              <w:rPr>
                <w:b/>
                <w:lang w:val="fr-BE"/>
              </w:rPr>
            </w:pPr>
            <w:r w:rsidRPr="000A7AE8">
              <w:rPr>
                <w:b/>
                <w:lang w:val="fr-BE"/>
              </w:rPr>
              <w:t>N=40</w:t>
            </w:r>
          </w:p>
        </w:tc>
        <w:tc>
          <w:tcPr>
            <w:tcW w:w="628" w:type="pct"/>
            <w:shd w:val="clear" w:color="auto" w:fill="auto"/>
          </w:tcPr>
          <w:p w14:paraId="2B64BD28" w14:textId="77777777" w:rsidR="00580444" w:rsidRPr="000A7AE8" w:rsidRDefault="00580444" w:rsidP="00C02EB7">
            <w:pPr>
              <w:pStyle w:val="BMSTableHeader"/>
              <w:keepNext/>
              <w:keepLines/>
              <w:spacing w:before="0"/>
              <w:rPr>
                <w:lang w:val="en-GB"/>
              </w:rPr>
            </w:pPr>
            <w:r w:rsidRPr="000A7AE8">
              <w:rPr>
                <w:lang w:val="en-GB"/>
              </w:rPr>
              <w:t>Placebo</w:t>
            </w:r>
          </w:p>
          <w:p w14:paraId="52B96918" w14:textId="77777777" w:rsidR="00580444" w:rsidRPr="000A7AE8" w:rsidRDefault="00580444" w:rsidP="00C02EB7">
            <w:pPr>
              <w:pStyle w:val="BMSTableText"/>
              <w:keepNext/>
              <w:keepLines/>
              <w:spacing w:before="0"/>
              <w:rPr>
                <w:b/>
                <w:lang w:val="en-GB"/>
              </w:rPr>
            </w:pPr>
            <w:r w:rsidRPr="000A7AE8">
              <w:rPr>
                <w:b/>
                <w:lang w:val="en-GB"/>
              </w:rPr>
              <w:t>N=42</w:t>
            </w:r>
          </w:p>
        </w:tc>
        <w:tc>
          <w:tcPr>
            <w:tcW w:w="864" w:type="pct"/>
          </w:tcPr>
          <w:p w14:paraId="2E019516" w14:textId="77777777" w:rsidR="00580444" w:rsidRPr="000A7AE8" w:rsidRDefault="00580444" w:rsidP="00C02EB7">
            <w:pPr>
              <w:pStyle w:val="BMSTableHeader"/>
              <w:keepNext/>
              <w:keepLines/>
              <w:spacing w:before="0"/>
              <w:rPr>
                <w:lang w:val="en-GB"/>
              </w:rPr>
            </w:pPr>
            <w:r w:rsidRPr="000A7AE8">
              <w:rPr>
                <w:lang w:val="en-GB"/>
              </w:rPr>
              <w:t>Estimate of difference (95% CI)</w:t>
            </w:r>
          </w:p>
        </w:tc>
        <w:tc>
          <w:tcPr>
            <w:tcW w:w="707" w:type="pct"/>
            <w:shd w:val="clear" w:color="auto" w:fill="auto"/>
          </w:tcPr>
          <w:p w14:paraId="0DC13EE4" w14:textId="77777777" w:rsidR="00580444" w:rsidRPr="000A7AE8" w:rsidRDefault="00580444" w:rsidP="00C02EB7">
            <w:pPr>
              <w:pStyle w:val="BMSTableHeader"/>
              <w:keepNext/>
              <w:keepLines/>
              <w:spacing w:before="0"/>
              <w:rPr>
                <w:lang w:val="en-GB"/>
              </w:rPr>
            </w:pPr>
            <w:proofErr w:type="spellStart"/>
            <w:r w:rsidRPr="000A7AE8">
              <w:rPr>
                <w:lang w:val="en-GB"/>
              </w:rPr>
              <w:t>Abatacept</w:t>
            </w:r>
            <w:proofErr w:type="spellEnd"/>
            <w:r w:rsidRPr="000A7AE8">
              <w:rPr>
                <w:lang w:val="en-GB"/>
              </w:rPr>
              <w:t xml:space="preserve"> 125 mg SC</w:t>
            </w:r>
          </w:p>
          <w:p w14:paraId="499678C2" w14:textId="77777777" w:rsidR="00580444" w:rsidRPr="000A7AE8" w:rsidRDefault="00580444" w:rsidP="00C02EB7">
            <w:pPr>
              <w:pStyle w:val="BMSTableText"/>
              <w:keepNext/>
              <w:keepLines/>
              <w:spacing w:before="0"/>
              <w:rPr>
                <w:b/>
                <w:lang w:val="en-GB"/>
              </w:rPr>
            </w:pPr>
            <w:r w:rsidRPr="000A7AE8">
              <w:rPr>
                <w:b/>
                <w:lang w:val="en-GB"/>
              </w:rPr>
              <w:t>N=213</w:t>
            </w:r>
          </w:p>
        </w:tc>
        <w:tc>
          <w:tcPr>
            <w:tcW w:w="550" w:type="pct"/>
            <w:shd w:val="clear" w:color="auto" w:fill="auto"/>
          </w:tcPr>
          <w:p w14:paraId="2CA392B4" w14:textId="77777777" w:rsidR="00580444" w:rsidRPr="000A7AE8" w:rsidRDefault="00580444" w:rsidP="00C02EB7">
            <w:pPr>
              <w:pStyle w:val="BMSTableHeader"/>
              <w:keepNext/>
              <w:keepLines/>
              <w:spacing w:before="0"/>
              <w:rPr>
                <w:lang w:val="en-GB"/>
              </w:rPr>
            </w:pPr>
            <w:r w:rsidRPr="000A7AE8">
              <w:rPr>
                <w:lang w:val="en-GB"/>
              </w:rPr>
              <w:t>Placebo</w:t>
            </w:r>
          </w:p>
          <w:p w14:paraId="1A3FD045" w14:textId="77777777" w:rsidR="00580444" w:rsidRPr="000A7AE8" w:rsidRDefault="00580444" w:rsidP="00C02EB7">
            <w:pPr>
              <w:pStyle w:val="BMSTableText"/>
              <w:keepNext/>
              <w:keepLines/>
              <w:spacing w:before="0"/>
              <w:rPr>
                <w:b/>
                <w:lang w:val="en-GB"/>
              </w:rPr>
            </w:pPr>
            <w:r w:rsidRPr="000A7AE8">
              <w:rPr>
                <w:b/>
                <w:lang w:val="en-GB"/>
              </w:rPr>
              <w:t>N=211</w:t>
            </w:r>
          </w:p>
        </w:tc>
        <w:tc>
          <w:tcPr>
            <w:tcW w:w="916" w:type="pct"/>
          </w:tcPr>
          <w:p w14:paraId="1D25A87B" w14:textId="77777777" w:rsidR="00580444" w:rsidRPr="000A7AE8" w:rsidRDefault="00580444" w:rsidP="00C02EB7">
            <w:pPr>
              <w:pStyle w:val="BMSTableHeader"/>
              <w:keepNext/>
              <w:keepLines/>
              <w:spacing w:before="0"/>
              <w:rPr>
                <w:lang w:val="en-GB"/>
              </w:rPr>
            </w:pPr>
            <w:r w:rsidRPr="000A7AE8">
              <w:rPr>
                <w:lang w:val="en-GB"/>
              </w:rPr>
              <w:t>Estimate of difference (95% CI)</w:t>
            </w:r>
          </w:p>
        </w:tc>
      </w:tr>
      <w:tr w:rsidR="000A7AE8" w:rsidRPr="000A7AE8" w14:paraId="4A28E2F9" w14:textId="77777777" w:rsidTr="001515F1">
        <w:tc>
          <w:tcPr>
            <w:tcW w:w="572" w:type="pct"/>
            <w:shd w:val="clear" w:color="auto" w:fill="auto"/>
          </w:tcPr>
          <w:p w14:paraId="1F5172AD" w14:textId="77777777" w:rsidR="00580444" w:rsidRPr="000A7AE8" w:rsidRDefault="00580444" w:rsidP="00C02EB7">
            <w:pPr>
              <w:pStyle w:val="BMSTableHeader"/>
              <w:keepNext/>
              <w:keepLines/>
              <w:spacing w:before="0"/>
              <w:rPr>
                <w:u w:val="double"/>
              </w:rPr>
            </w:pPr>
            <w:r w:rsidRPr="000A7AE8">
              <w:rPr>
                <w:lang w:val="en-GB"/>
              </w:rPr>
              <w:t>ACR 20</w:t>
            </w:r>
          </w:p>
        </w:tc>
        <w:tc>
          <w:tcPr>
            <w:tcW w:w="763" w:type="pct"/>
            <w:shd w:val="clear" w:color="auto" w:fill="auto"/>
          </w:tcPr>
          <w:p w14:paraId="12A91E08" w14:textId="77777777" w:rsidR="00580444" w:rsidRPr="000A7AE8" w:rsidRDefault="00580444" w:rsidP="00C02EB7">
            <w:pPr>
              <w:pStyle w:val="BMSTableText"/>
              <w:keepNext/>
              <w:keepLines/>
              <w:spacing w:after="0"/>
              <w:rPr>
                <w:lang w:val="en-GB"/>
              </w:rPr>
            </w:pPr>
            <w:r w:rsidRPr="000A7AE8">
              <w:rPr>
                <w:lang w:val="en-GB"/>
              </w:rPr>
              <w:t>47.5%*</w:t>
            </w:r>
          </w:p>
        </w:tc>
        <w:tc>
          <w:tcPr>
            <w:tcW w:w="628" w:type="pct"/>
            <w:shd w:val="clear" w:color="auto" w:fill="auto"/>
          </w:tcPr>
          <w:p w14:paraId="7CF1E1CF" w14:textId="77777777" w:rsidR="00580444" w:rsidRPr="000A7AE8" w:rsidRDefault="00580444" w:rsidP="00C02EB7">
            <w:pPr>
              <w:pStyle w:val="BMSTableText"/>
              <w:keepNext/>
              <w:keepLines/>
              <w:spacing w:after="0"/>
              <w:rPr>
                <w:lang w:val="en-GB"/>
              </w:rPr>
            </w:pPr>
            <w:r w:rsidRPr="000A7AE8">
              <w:rPr>
                <w:lang w:val="en-GB"/>
              </w:rPr>
              <w:t>19.0%</w:t>
            </w:r>
          </w:p>
        </w:tc>
        <w:tc>
          <w:tcPr>
            <w:tcW w:w="864" w:type="pct"/>
          </w:tcPr>
          <w:p w14:paraId="6670B849" w14:textId="77777777" w:rsidR="00580444" w:rsidRPr="000A7AE8" w:rsidRDefault="00580444" w:rsidP="00C02EB7">
            <w:pPr>
              <w:pStyle w:val="BMSTableText"/>
              <w:keepNext/>
              <w:keepLines/>
              <w:spacing w:after="0"/>
              <w:rPr>
                <w:lang w:val="en-GB"/>
              </w:rPr>
            </w:pPr>
            <w:r w:rsidRPr="000A7AE8">
              <w:rPr>
                <w:lang w:val="en-GB"/>
              </w:rPr>
              <w:t>28.7 (9.4, 48.0)</w:t>
            </w:r>
          </w:p>
        </w:tc>
        <w:tc>
          <w:tcPr>
            <w:tcW w:w="707" w:type="pct"/>
            <w:shd w:val="clear" w:color="auto" w:fill="auto"/>
          </w:tcPr>
          <w:p w14:paraId="0D5AAC8D" w14:textId="77777777" w:rsidR="00580444" w:rsidRPr="000A7AE8" w:rsidRDefault="00580444" w:rsidP="00C02EB7">
            <w:pPr>
              <w:pStyle w:val="BMSTableText"/>
              <w:keepNext/>
              <w:keepLines/>
              <w:spacing w:after="0"/>
              <w:rPr>
                <w:lang w:val="en-GB"/>
              </w:rPr>
            </w:pPr>
            <w:r w:rsidRPr="000A7AE8">
              <w:rPr>
                <w:lang w:val="en-GB"/>
              </w:rPr>
              <w:t>39.4%*</w:t>
            </w:r>
          </w:p>
        </w:tc>
        <w:tc>
          <w:tcPr>
            <w:tcW w:w="550" w:type="pct"/>
            <w:shd w:val="clear" w:color="auto" w:fill="auto"/>
          </w:tcPr>
          <w:p w14:paraId="6A9A6381" w14:textId="77777777" w:rsidR="00580444" w:rsidRPr="000A7AE8" w:rsidRDefault="00580444" w:rsidP="00C02EB7">
            <w:pPr>
              <w:pStyle w:val="BMSTableText"/>
              <w:keepNext/>
              <w:keepLines/>
              <w:spacing w:after="0"/>
              <w:rPr>
                <w:lang w:val="en-GB"/>
              </w:rPr>
            </w:pPr>
            <w:r w:rsidRPr="000A7AE8">
              <w:rPr>
                <w:lang w:val="en-GB"/>
              </w:rPr>
              <w:t>22.3%</w:t>
            </w:r>
          </w:p>
        </w:tc>
        <w:tc>
          <w:tcPr>
            <w:tcW w:w="916" w:type="pct"/>
          </w:tcPr>
          <w:p w14:paraId="3FE8343D" w14:textId="77777777" w:rsidR="00580444" w:rsidRPr="000A7AE8" w:rsidRDefault="00580444" w:rsidP="00C02EB7">
            <w:pPr>
              <w:pStyle w:val="BMSTableText"/>
              <w:keepNext/>
              <w:keepLines/>
              <w:spacing w:after="0"/>
              <w:rPr>
                <w:lang w:val="en-GB"/>
              </w:rPr>
            </w:pPr>
            <w:r w:rsidRPr="000A7AE8">
              <w:rPr>
                <w:lang w:val="en-GB"/>
              </w:rPr>
              <w:t>17.2 (8.7, 25.6)</w:t>
            </w:r>
          </w:p>
        </w:tc>
      </w:tr>
      <w:tr w:rsidR="000A7AE8" w:rsidRPr="000A7AE8" w14:paraId="65C9692A" w14:textId="77777777" w:rsidTr="001515F1">
        <w:tc>
          <w:tcPr>
            <w:tcW w:w="572" w:type="pct"/>
            <w:shd w:val="clear" w:color="auto" w:fill="auto"/>
          </w:tcPr>
          <w:p w14:paraId="1D9849FE" w14:textId="77777777" w:rsidR="00580444" w:rsidRPr="000A7AE8" w:rsidRDefault="00580444" w:rsidP="00C02EB7">
            <w:pPr>
              <w:pStyle w:val="BMSTableHeader"/>
              <w:keepNext/>
              <w:keepLines/>
              <w:spacing w:before="0"/>
              <w:rPr>
                <w:u w:val="double"/>
              </w:rPr>
            </w:pPr>
            <w:r w:rsidRPr="000A7AE8">
              <w:rPr>
                <w:lang w:val="en-GB"/>
              </w:rPr>
              <w:t>ACR 50</w:t>
            </w:r>
          </w:p>
        </w:tc>
        <w:tc>
          <w:tcPr>
            <w:tcW w:w="763" w:type="pct"/>
            <w:shd w:val="clear" w:color="auto" w:fill="auto"/>
          </w:tcPr>
          <w:p w14:paraId="765B5F73" w14:textId="77777777" w:rsidR="00580444" w:rsidRPr="000A7AE8" w:rsidRDefault="00580444" w:rsidP="00C02EB7">
            <w:pPr>
              <w:pStyle w:val="BMSTableText"/>
              <w:keepNext/>
              <w:keepLines/>
              <w:spacing w:after="0"/>
              <w:rPr>
                <w:lang w:val="en-GB"/>
              </w:rPr>
            </w:pPr>
            <w:r w:rsidRPr="000A7AE8">
              <w:rPr>
                <w:lang w:val="en-GB"/>
              </w:rPr>
              <w:t>25.0%</w:t>
            </w:r>
          </w:p>
        </w:tc>
        <w:tc>
          <w:tcPr>
            <w:tcW w:w="628" w:type="pct"/>
            <w:shd w:val="clear" w:color="auto" w:fill="auto"/>
          </w:tcPr>
          <w:p w14:paraId="2A69B83D" w14:textId="77777777" w:rsidR="00580444" w:rsidRPr="000A7AE8" w:rsidRDefault="00580444" w:rsidP="00C02EB7">
            <w:pPr>
              <w:pStyle w:val="BMSTableText"/>
              <w:keepNext/>
              <w:keepLines/>
              <w:spacing w:after="0"/>
              <w:rPr>
                <w:lang w:val="en-GB"/>
              </w:rPr>
            </w:pPr>
            <w:r w:rsidRPr="000A7AE8">
              <w:rPr>
                <w:lang w:val="en-GB"/>
              </w:rPr>
              <w:t>2.4%</w:t>
            </w:r>
          </w:p>
        </w:tc>
        <w:tc>
          <w:tcPr>
            <w:tcW w:w="864" w:type="pct"/>
          </w:tcPr>
          <w:p w14:paraId="34CDC092" w14:textId="77777777" w:rsidR="00580444" w:rsidRPr="000A7AE8" w:rsidRDefault="00580444" w:rsidP="00C02EB7">
            <w:pPr>
              <w:pStyle w:val="BMSTableText"/>
              <w:keepNext/>
              <w:keepLines/>
              <w:spacing w:after="0"/>
              <w:rPr>
                <w:lang w:val="en-GB"/>
              </w:rPr>
            </w:pPr>
            <w:r w:rsidRPr="000A7AE8">
              <w:rPr>
                <w:lang w:val="en-GB"/>
              </w:rPr>
              <w:t>22.7 (8.6, 36.9)</w:t>
            </w:r>
          </w:p>
        </w:tc>
        <w:tc>
          <w:tcPr>
            <w:tcW w:w="707" w:type="pct"/>
            <w:shd w:val="clear" w:color="auto" w:fill="auto"/>
          </w:tcPr>
          <w:p w14:paraId="546174A8" w14:textId="77777777" w:rsidR="00580444" w:rsidRPr="000A7AE8" w:rsidRDefault="00580444" w:rsidP="00C02EB7">
            <w:pPr>
              <w:pStyle w:val="BMSTableText"/>
              <w:keepNext/>
              <w:keepLines/>
              <w:spacing w:after="0"/>
              <w:rPr>
                <w:lang w:val="en-GB"/>
              </w:rPr>
            </w:pPr>
            <w:r w:rsidRPr="000A7AE8">
              <w:rPr>
                <w:lang w:val="en-GB"/>
              </w:rPr>
              <w:t>19.2%</w:t>
            </w:r>
          </w:p>
        </w:tc>
        <w:tc>
          <w:tcPr>
            <w:tcW w:w="550" w:type="pct"/>
            <w:shd w:val="clear" w:color="auto" w:fill="auto"/>
          </w:tcPr>
          <w:p w14:paraId="39C54625" w14:textId="77777777" w:rsidR="00580444" w:rsidRPr="000A7AE8" w:rsidRDefault="00580444" w:rsidP="00C02EB7">
            <w:pPr>
              <w:pStyle w:val="BMSTableText"/>
              <w:keepNext/>
              <w:keepLines/>
              <w:spacing w:after="0"/>
              <w:rPr>
                <w:lang w:val="en-GB"/>
              </w:rPr>
            </w:pPr>
            <w:r w:rsidRPr="000A7AE8">
              <w:rPr>
                <w:lang w:val="en-GB"/>
              </w:rPr>
              <w:t>12.3%</w:t>
            </w:r>
          </w:p>
        </w:tc>
        <w:tc>
          <w:tcPr>
            <w:tcW w:w="916" w:type="pct"/>
          </w:tcPr>
          <w:p w14:paraId="6020CF9B" w14:textId="77777777" w:rsidR="00580444" w:rsidRPr="000A7AE8" w:rsidRDefault="00580444" w:rsidP="00C02EB7">
            <w:pPr>
              <w:pStyle w:val="BMSTableText"/>
              <w:keepNext/>
              <w:keepLines/>
              <w:spacing w:after="0"/>
              <w:rPr>
                <w:lang w:val="en-GB"/>
              </w:rPr>
            </w:pPr>
            <w:r w:rsidRPr="000A7AE8">
              <w:rPr>
                <w:lang w:val="en-GB"/>
              </w:rPr>
              <w:t>6.9 (0.1, 13.7)</w:t>
            </w:r>
          </w:p>
        </w:tc>
      </w:tr>
      <w:tr w:rsidR="000A7AE8" w:rsidRPr="000A7AE8" w14:paraId="074AC856" w14:textId="77777777" w:rsidTr="001515F1">
        <w:tc>
          <w:tcPr>
            <w:tcW w:w="572" w:type="pct"/>
            <w:tcBorders>
              <w:bottom w:val="double" w:sz="4" w:space="0" w:color="auto"/>
            </w:tcBorders>
            <w:shd w:val="clear" w:color="auto" w:fill="auto"/>
          </w:tcPr>
          <w:p w14:paraId="7AD453C2" w14:textId="77777777" w:rsidR="00580444" w:rsidRPr="000A7AE8" w:rsidRDefault="00580444" w:rsidP="00C02EB7">
            <w:pPr>
              <w:pStyle w:val="BMSTableHeader"/>
              <w:keepNext/>
              <w:keepLines/>
              <w:spacing w:before="0"/>
              <w:rPr>
                <w:u w:val="double"/>
              </w:rPr>
            </w:pPr>
            <w:r w:rsidRPr="000A7AE8">
              <w:rPr>
                <w:lang w:val="en-GB"/>
              </w:rPr>
              <w:t>ACR 70</w:t>
            </w:r>
          </w:p>
        </w:tc>
        <w:tc>
          <w:tcPr>
            <w:tcW w:w="763" w:type="pct"/>
            <w:tcBorders>
              <w:bottom w:val="double" w:sz="4" w:space="0" w:color="auto"/>
            </w:tcBorders>
            <w:shd w:val="clear" w:color="auto" w:fill="auto"/>
          </w:tcPr>
          <w:p w14:paraId="3E9E4212" w14:textId="77777777" w:rsidR="00580444" w:rsidRPr="000A7AE8" w:rsidRDefault="00580444" w:rsidP="00C02EB7">
            <w:pPr>
              <w:pStyle w:val="BMSTableText"/>
              <w:keepNext/>
              <w:keepLines/>
              <w:spacing w:after="0"/>
              <w:rPr>
                <w:lang w:val="en-GB"/>
              </w:rPr>
            </w:pPr>
            <w:r w:rsidRPr="000A7AE8">
              <w:rPr>
                <w:lang w:val="en-GB"/>
              </w:rPr>
              <w:t>12.5%</w:t>
            </w:r>
          </w:p>
        </w:tc>
        <w:tc>
          <w:tcPr>
            <w:tcW w:w="628" w:type="pct"/>
            <w:tcBorders>
              <w:bottom w:val="double" w:sz="4" w:space="0" w:color="auto"/>
            </w:tcBorders>
            <w:shd w:val="clear" w:color="auto" w:fill="auto"/>
          </w:tcPr>
          <w:p w14:paraId="58598B79" w14:textId="77777777" w:rsidR="00580444" w:rsidRPr="000A7AE8" w:rsidRDefault="00580444" w:rsidP="00C02EB7">
            <w:pPr>
              <w:pStyle w:val="BMSTableText"/>
              <w:keepNext/>
              <w:keepLines/>
              <w:spacing w:after="0"/>
              <w:rPr>
                <w:lang w:val="en-GB"/>
              </w:rPr>
            </w:pPr>
            <w:r w:rsidRPr="000A7AE8">
              <w:rPr>
                <w:lang w:val="en-GB"/>
              </w:rPr>
              <w:t>0%</w:t>
            </w:r>
          </w:p>
        </w:tc>
        <w:tc>
          <w:tcPr>
            <w:tcW w:w="864" w:type="pct"/>
            <w:tcBorders>
              <w:bottom w:val="double" w:sz="4" w:space="0" w:color="auto"/>
            </w:tcBorders>
          </w:tcPr>
          <w:p w14:paraId="7E48801D" w14:textId="77777777" w:rsidR="00580444" w:rsidRPr="000A7AE8" w:rsidRDefault="00580444" w:rsidP="00C02EB7">
            <w:pPr>
              <w:pStyle w:val="BMSTableText"/>
              <w:keepNext/>
              <w:keepLines/>
              <w:spacing w:after="0"/>
              <w:rPr>
                <w:lang w:val="en-GB"/>
              </w:rPr>
            </w:pPr>
            <w:r w:rsidRPr="000A7AE8">
              <w:rPr>
                <w:lang w:val="en-GB"/>
              </w:rPr>
              <w:t>12.5 (2.3, 22.7)</w:t>
            </w:r>
          </w:p>
        </w:tc>
        <w:tc>
          <w:tcPr>
            <w:tcW w:w="707" w:type="pct"/>
            <w:tcBorders>
              <w:bottom w:val="double" w:sz="4" w:space="0" w:color="auto"/>
            </w:tcBorders>
            <w:shd w:val="clear" w:color="auto" w:fill="auto"/>
          </w:tcPr>
          <w:p w14:paraId="3E67CC99" w14:textId="77777777" w:rsidR="00580444" w:rsidRPr="000A7AE8" w:rsidRDefault="00580444" w:rsidP="00C02EB7">
            <w:pPr>
              <w:pStyle w:val="BMSTableText"/>
              <w:keepNext/>
              <w:keepLines/>
              <w:spacing w:after="0"/>
              <w:rPr>
                <w:lang w:val="en-GB"/>
              </w:rPr>
            </w:pPr>
            <w:r w:rsidRPr="000A7AE8">
              <w:rPr>
                <w:lang w:val="en-GB"/>
              </w:rPr>
              <w:t>10.3%</w:t>
            </w:r>
          </w:p>
        </w:tc>
        <w:tc>
          <w:tcPr>
            <w:tcW w:w="550" w:type="pct"/>
            <w:tcBorders>
              <w:bottom w:val="double" w:sz="4" w:space="0" w:color="auto"/>
            </w:tcBorders>
            <w:shd w:val="clear" w:color="auto" w:fill="auto"/>
          </w:tcPr>
          <w:p w14:paraId="2F20F15C" w14:textId="77777777" w:rsidR="00580444" w:rsidRPr="000A7AE8" w:rsidRDefault="00580444" w:rsidP="00C02EB7">
            <w:pPr>
              <w:pStyle w:val="BMSTableText"/>
              <w:keepNext/>
              <w:keepLines/>
              <w:spacing w:after="0"/>
              <w:rPr>
                <w:lang w:val="en-GB"/>
              </w:rPr>
            </w:pPr>
            <w:r w:rsidRPr="000A7AE8">
              <w:rPr>
                <w:lang w:val="en-GB"/>
              </w:rPr>
              <w:t>6.6%</w:t>
            </w:r>
          </w:p>
        </w:tc>
        <w:tc>
          <w:tcPr>
            <w:tcW w:w="916" w:type="pct"/>
            <w:tcBorders>
              <w:bottom w:val="double" w:sz="4" w:space="0" w:color="auto"/>
            </w:tcBorders>
          </w:tcPr>
          <w:p w14:paraId="1DD81FDB" w14:textId="77777777" w:rsidR="00580444" w:rsidRPr="000A7AE8" w:rsidRDefault="00580444" w:rsidP="00C02EB7">
            <w:pPr>
              <w:pStyle w:val="BMSTableText"/>
              <w:keepNext/>
              <w:keepLines/>
              <w:spacing w:after="0"/>
              <w:rPr>
                <w:lang w:val="en-GB"/>
              </w:rPr>
            </w:pPr>
            <w:r w:rsidRPr="000A7AE8">
              <w:rPr>
                <w:lang w:val="en-GB"/>
              </w:rPr>
              <w:t>3.7 (-1.5, 8.9)</w:t>
            </w:r>
          </w:p>
        </w:tc>
      </w:tr>
    </w:tbl>
    <w:p w14:paraId="5AF4526C" w14:textId="5FA5682E" w:rsidR="00580444" w:rsidRPr="000A7AE8" w:rsidRDefault="00580444" w:rsidP="00580444">
      <w:pPr>
        <w:pStyle w:val="EMEABodyText"/>
        <w:rPr>
          <w:sz w:val="18"/>
          <w:szCs w:val="18"/>
        </w:rPr>
      </w:pPr>
      <w:r w:rsidRPr="000A7AE8">
        <w:rPr>
          <w:rStyle w:val="EMEASuperscript"/>
          <w:sz w:val="18"/>
          <w:szCs w:val="18"/>
        </w:rPr>
        <w:t>*</w:t>
      </w:r>
      <w:r w:rsidRPr="000A7AE8">
        <w:rPr>
          <w:sz w:val="18"/>
          <w:szCs w:val="18"/>
        </w:rPr>
        <w:t xml:space="preserve"> </w:t>
      </w:r>
      <w:proofErr w:type="gramStart"/>
      <w:r w:rsidRPr="000A7AE8">
        <w:rPr>
          <w:sz w:val="18"/>
          <w:szCs w:val="18"/>
        </w:rPr>
        <w:t>p</w:t>
      </w:r>
      <w:proofErr w:type="gramEnd"/>
      <w:r w:rsidRPr="000A7AE8">
        <w:rPr>
          <w:sz w:val="18"/>
          <w:szCs w:val="18"/>
        </w:rPr>
        <w:t xml:space="preserve"> &lt; 0.05 vs placebo, p values  not assessed for ACR 50 and ACR 70</w:t>
      </w:r>
      <w:r w:rsidR="00C85BCE" w:rsidRPr="000A7AE8">
        <w:rPr>
          <w:sz w:val="18"/>
          <w:szCs w:val="18"/>
        </w:rPr>
        <w:t>.</w:t>
      </w:r>
    </w:p>
    <w:p w14:paraId="6A0AE880" w14:textId="66CC866D" w:rsidR="00580444" w:rsidRPr="000A7AE8" w:rsidRDefault="00580444" w:rsidP="00580444">
      <w:pPr>
        <w:pStyle w:val="EMEABodyText"/>
        <w:rPr>
          <w:sz w:val="18"/>
          <w:szCs w:val="18"/>
        </w:rPr>
      </w:pPr>
      <w:proofErr w:type="gramStart"/>
      <w:r w:rsidRPr="000A7AE8">
        <w:rPr>
          <w:rStyle w:val="EMEASuperscript"/>
          <w:sz w:val="18"/>
          <w:szCs w:val="18"/>
        </w:rPr>
        <w:t>a</w:t>
      </w:r>
      <w:proofErr w:type="gramEnd"/>
      <w:r w:rsidRPr="000A7AE8">
        <w:rPr>
          <w:sz w:val="18"/>
          <w:szCs w:val="18"/>
        </w:rPr>
        <w:t xml:space="preserve"> 37% of patients were previously treated with TNF inhibitor</w:t>
      </w:r>
      <w:r w:rsidR="00C85BCE" w:rsidRPr="000A7AE8">
        <w:rPr>
          <w:sz w:val="18"/>
          <w:szCs w:val="18"/>
        </w:rPr>
        <w:t>.</w:t>
      </w:r>
      <w:r w:rsidRPr="000A7AE8">
        <w:rPr>
          <w:sz w:val="18"/>
          <w:szCs w:val="18"/>
        </w:rPr>
        <w:t xml:space="preserve"> </w:t>
      </w:r>
    </w:p>
    <w:p w14:paraId="3F866C96" w14:textId="622BFC52" w:rsidR="00580444" w:rsidRPr="000A7AE8" w:rsidRDefault="00580444" w:rsidP="00580444">
      <w:pPr>
        <w:pStyle w:val="EMEABodyText"/>
        <w:rPr>
          <w:sz w:val="18"/>
          <w:szCs w:val="18"/>
        </w:rPr>
      </w:pPr>
      <w:proofErr w:type="gramStart"/>
      <w:r w:rsidRPr="000A7AE8">
        <w:rPr>
          <w:rStyle w:val="EMEASuperscript"/>
          <w:sz w:val="18"/>
          <w:szCs w:val="18"/>
        </w:rPr>
        <w:t>b</w:t>
      </w:r>
      <w:proofErr w:type="gramEnd"/>
      <w:r w:rsidRPr="000A7AE8">
        <w:rPr>
          <w:sz w:val="18"/>
          <w:szCs w:val="18"/>
        </w:rPr>
        <w:t xml:space="preserve"> 61% of patients were previously treated with TNF inhibitor</w:t>
      </w:r>
      <w:r w:rsidR="00C85BCE" w:rsidRPr="000A7AE8">
        <w:rPr>
          <w:sz w:val="18"/>
          <w:szCs w:val="18"/>
        </w:rPr>
        <w:t>.</w:t>
      </w:r>
    </w:p>
    <w:p w14:paraId="23009A86" w14:textId="77777777" w:rsidR="00580444" w:rsidRPr="000A7AE8" w:rsidRDefault="00580444" w:rsidP="00580444">
      <w:pPr>
        <w:pStyle w:val="EMEABodyText"/>
        <w:rPr>
          <w:sz w:val="18"/>
          <w:szCs w:val="18"/>
        </w:rPr>
      </w:pPr>
      <w:proofErr w:type="gramStart"/>
      <w:r w:rsidRPr="000A7AE8">
        <w:rPr>
          <w:rStyle w:val="EMEASuperscript"/>
          <w:sz w:val="18"/>
          <w:szCs w:val="18"/>
        </w:rPr>
        <w:t>c</w:t>
      </w:r>
      <w:proofErr w:type="gramEnd"/>
      <w:r w:rsidRPr="000A7AE8">
        <w:rPr>
          <w:rStyle w:val="EMEASuperscript"/>
          <w:sz w:val="18"/>
          <w:szCs w:val="18"/>
        </w:rPr>
        <w:t xml:space="preserve"> </w:t>
      </w:r>
      <w:r w:rsidRPr="000A7AE8">
        <w:rPr>
          <w:sz w:val="18"/>
          <w:szCs w:val="18"/>
        </w:rPr>
        <w:t>Patients who had less than 20% improvement in tender or swollen joint counts at Week 16 met escape criteria and were considered non-responders.</w:t>
      </w:r>
    </w:p>
    <w:p w14:paraId="29A7E1BE" w14:textId="3C33B433" w:rsidR="00580444" w:rsidRPr="000A7AE8" w:rsidRDefault="00580444" w:rsidP="00580444">
      <w:pPr>
        <w:pStyle w:val="BMSBodyText"/>
        <w:spacing w:line="240" w:lineRule="auto"/>
        <w:rPr>
          <w:color w:val="auto"/>
          <w:sz w:val="22"/>
          <w:szCs w:val="22"/>
        </w:rPr>
      </w:pPr>
      <w:r w:rsidRPr="000A7AE8">
        <w:rPr>
          <w:color w:val="auto"/>
          <w:sz w:val="22"/>
          <w:szCs w:val="22"/>
        </w:rPr>
        <w:t xml:space="preserve">A significantly higher proportion of patients achieved an ACR 20 response after treatment with </w:t>
      </w:r>
      <w:r w:rsidRPr="000A7AE8">
        <w:rPr>
          <w:color w:val="auto"/>
          <w:sz w:val="22"/>
          <w:szCs w:val="22"/>
          <w:lang w:val="en-AU" w:eastAsia="en-AU"/>
        </w:rPr>
        <w:t>ORENCIA</w:t>
      </w:r>
      <w:r w:rsidRPr="000A7AE8">
        <w:rPr>
          <w:color w:val="auto"/>
          <w:sz w:val="22"/>
          <w:szCs w:val="22"/>
          <w:vertAlign w:val="superscript"/>
          <w:lang w:val="en-AU" w:eastAsia="en-AU"/>
        </w:rPr>
        <w:t xml:space="preserve"> </w:t>
      </w:r>
      <w:r w:rsidRPr="000A7AE8">
        <w:rPr>
          <w:color w:val="auto"/>
          <w:sz w:val="22"/>
          <w:szCs w:val="22"/>
        </w:rPr>
        <w:t xml:space="preserve">10 mg/kg IV or 125 mg SC compared to placebo at Week 24, regardless of prior TNF-inhibitor treatment. In </w:t>
      </w:r>
      <w:r w:rsidR="00C85BCE" w:rsidRPr="000A7AE8">
        <w:rPr>
          <w:color w:val="auto"/>
          <w:sz w:val="22"/>
          <w:szCs w:val="22"/>
        </w:rPr>
        <w:t>S</w:t>
      </w:r>
      <w:r w:rsidRPr="000A7AE8">
        <w:rPr>
          <w:color w:val="auto"/>
          <w:sz w:val="22"/>
          <w:szCs w:val="22"/>
        </w:rPr>
        <w:t xml:space="preserve">tudy </w:t>
      </w:r>
      <w:proofErr w:type="spellStart"/>
      <w:r w:rsidRPr="000A7AE8">
        <w:rPr>
          <w:color w:val="auto"/>
          <w:sz w:val="22"/>
          <w:szCs w:val="22"/>
        </w:rPr>
        <w:t>PsA</w:t>
      </w:r>
      <w:proofErr w:type="spellEnd"/>
      <w:r w:rsidRPr="000A7AE8">
        <w:rPr>
          <w:color w:val="auto"/>
          <w:sz w:val="22"/>
          <w:szCs w:val="22"/>
        </w:rPr>
        <w:t xml:space="preserve">-I, the ACR 20 responses with </w:t>
      </w:r>
      <w:r w:rsidRPr="000A7AE8">
        <w:rPr>
          <w:color w:val="auto"/>
          <w:sz w:val="22"/>
          <w:szCs w:val="22"/>
          <w:lang w:val="en-AU" w:eastAsia="en-AU"/>
        </w:rPr>
        <w:t>ORENCIA</w:t>
      </w:r>
      <w:r w:rsidRPr="000A7AE8">
        <w:rPr>
          <w:color w:val="auto"/>
          <w:sz w:val="22"/>
          <w:szCs w:val="22"/>
          <w:vertAlign w:val="superscript"/>
          <w:lang w:val="en-AU" w:eastAsia="en-AU"/>
        </w:rPr>
        <w:t xml:space="preserve"> </w:t>
      </w:r>
      <w:r w:rsidRPr="000A7AE8">
        <w:rPr>
          <w:color w:val="auto"/>
          <w:sz w:val="22"/>
          <w:szCs w:val="22"/>
        </w:rPr>
        <w:t xml:space="preserve">10 mg/kg IV vs placebo in patients who were TNF inhibitor-naive were 55.6% vs 20.0%, respectively, and in patients who were TNF inhibitor-experienced were 30.8% vs 16.7%, respectively. In </w:t>
      </w:r>
      <w:r w:rsidR="00C85BCE" w:rsidRPr="000A7AE8">
        <w:rPr>
          <w:color w:val="auto"/>
          <w:sz w:val="22"/>
          <w:szCs w:val="22"/>
        </w:rPr>
        <w:t>S</w:t>
      </w:r>
      <w:r w:rsidRPr="000A7AE8">
        <w:rPr>
          <w:color w:val="auto"/>
          <w:sz w:val="22"/>
          <w:szCs w:val="22"/>
        </w:rPr>
        <w:t xml:space="preserve">tudy </w:t>
      </w:r>
      <w:proofErr w:type="spellStart"/>
      <w:r w:rsidRPr="000A7AE8">
        <w:rPr>
          <w:color w:val="auto"/>
          <w:sz w:val="22"/>
          <w:szCs w:val="22"/>
        </w:rPr>
        <w:t>PsA</w:t>
      </w:r>
      <w:proofErr w:type="spellEnd"/>
      <w:r w:rsidRPr="000A7AE8">
        <w:rPr>
          <w:color w:val="auto"/>
          <w:sz w:val="22"/>
          <w:szCs w:val="22"/>
        </w:rPr>
        <w:t xml:space="preserve">-II, the ACR 20 responses with </w:t>
      </w:r>
      <w:r w:rsidRPr="000A7AE8">
        <w:rPr>
          <w:color w:val="auto"/>
          <w:sz w:val="22"/>
          <w:szCs w:val="22"/>
          <w:lang w:val="en-AU" w:eastAsia="en-AU"/>
        </w:rPr>
        <w:t>ORENCIA</w:t>
      </w:r>
      <w:r w:rsidRPr="000A7AE8">
        <w:rPr>
          <w:color w:val="auto"/>
          <w:sz w:val="22"/>
          <w:szCs w:val="22"/>
          <w:vertAlign w:val="superscript"/>
          <w:lang w:val="en-AU" w:eastAsia="en-AU"/>
        </w:rPr>
        <w:t xml:space="preserve"> </w:t>
      </w:r>
      <w:r w:rsidRPr="000A7AE8">
        <w:rPr>
          <w:color w:val="auto"/>
          <w:sz w:val="22"/>
          <w:szCs w:val="22"/>
        </w:rPr>
        <w:t>125 mg SC vs placebo in patients who were TNF inhibitor-naive were 44.0% vs 22.2%, respectively (21.9 [8.3, 35.6], estimate of difference [95% CI]), and in patients who were TNF inhibitor-experienced were 36.4% vs 22.3%, respectively, (14.0 [3.3, 24.8], estimate of difference [95% CI])</w:t>
      </w:r>
      <w:r w:rsidR="00D0171C">
        <w:rPr>
          <w:color w:val="auto"/>
          <w:sz w:val="22"/>
          <w:szCs w:val="22"/>
        </w:rPr>
        <w:t>.</w:t>
      </w:r>
    </w:p>
    <w:p w14:paraId="288C10D7" w14:textId="70BBF82B" w:rsidR="00580444" w:rsidRPr="000A7AE8" w:rsidRDefault="00580444" w:rsidP="00580444">
      <w:pPr>
        <w:pStyle w:val="BMSBodyText"/>
        <w:spacing w:line="240" w:lineRule="auto"/>
        <w:rPr>
          <w:color w:val="auto"/>
          <w:sz w:val="22"/>
          <w:szCs w:val="22"/>
        </w:rPr>
      </w:pPr>
      <w:r w:rsidRPr="000A7AE8">
        <w:rPr>
          <w:color w:val="auto"/>
          <w:sz w:val="22"/>
          <w:szCs w:val="22"/>
        </w:rPr>
        <w:lastRenderedPageBreak/>
        <w:t xml:space="preserve">Higher ACR 20 responses in </w:t>
      </w:r>
      <w:r w:rsidR="00C85BCE" w:rsidRPr="000A7AE8">
        <w:rPr>
          <w:color w:val="auto"/>
          <w:sz w:val="22"/>
          <w:szCs w:val="22"/>
        </w:rPr>
        <w:t>S</w:t>
      </w:r>
      <w:r w:rsidRPr="000A7AE8">
        <w:rPr>
          <w:color w:val="auto"/>
          <w:sz w:val="22"/>
          <w:szCs w:val="22"/>
        </w:rPr>
        <w:t xml:space="preserve">tudy </w:t>
      </w:r>
      <w:proofErr w:type="spellStart"/>
      <w:r w:rsidRPr="000A7AE8">
        <w:rPr>
          <w:color w:val="auto"/>
          <w:sz w:val="22"/>
          <w:szCs w:val="22"/>
        </w:rPr>
        <w:t>PsA</w:t>
      </w:r>
      <w:proofErr w:type="spellEnd"/>
      <w:r w:rsidRPr="000A7AE8">
        <w:rPr>
          <w:color w:val="auto"/>
          <w:sz w:val="22"/>
          <w:szCs w:val="22"/>
        </w:rPr>
        <w:t xml:space="preserve">-II were seen with </w:t>
      </w:r>
      <w:r w:rsidRPr="000A7AE8">
        <w:rPr>
          <w:color w:val="auto"/>
          <w:sz w:val="22"/>
          <w:szCs w:val="22"/>
          <w:lang w:val="en-AU" w:eastAsia="en-AU"/>
        </w:rPr>
        <w:t>ORENCIA</w:t>
      </w:r>
      <w:r w:rsidRPr="000A7AE8">
        <w:rPr>
          <w:color w:val="auto"/>
          <w:sz w:val="22"/>
          <w:szCs w:val="22"/>
          <w:vertAlign w:val="superscript"/>
          <w:lang w:val="en-AU" w:eastAsia="en-AU"/>
        </w:rPr>
        <w:t xml:space="preserve"> </w:t>
      </w:r>
      <w:r w:rsidRPr="000A7AE8">
        <w:rPr>
          <w:color w:val="auto"/>
          <w:sz w:val="22"/>
          <w:szCs w:val="22"/>
        </w:rPr>
        <w:t xml:space="preserve">125 mg SC vs. placebo irrespective of concomitant non-biologic DMARD treatment. The ACR 20 responses with </w:t>
      </w:r>
      <w:r w:rsidRPr="000A7AE8">
        <w:rPr>
          <w:color w:val="auto"/>
          <w:sz w:val="22"/>
          <w:szCs w:val="22"/>
          <w:lang w:val="en-AU" w:eastAsia="en-AU"/>
        </w:rPr>
        <w:t>ORENCIA</w:t>
      </w:r>
      <w:r w:rsidRPr="000A7AE8">
        <w:rPr>
          <w:color w:val="auto"/>
          <w:sz w:val="22"/>
          <w:szCs w:val="22"/>
          <w:vertAlign w:val="superscript"/>
          <w:lang w:val="en-AU" w:eastAsia="en-AU"/>
        </w:rPr>
        <w:t xml:space="preserve"> </w:t>
      </w:r>
      <w:r w:rsidRPr="000A7AE8">
        <w:rPr>
          <w:color w:val="auto"/>
          <w:sz w:val="22"/>
          <w:szCs w:val="22"/>
        </w:rPr>
        <w:t>125 mg SC vs placebo in patients who did not use non-biologic DMARDs were 27.3% vs 12.1%, respectively, (15.15 [1.83, 28.47], estimate of difference [95% CI]), and in patients who did use non-biologic DMARDs were 44.9% vs 26.9%, respectively, 18.00 [7.20, 28.81], estimate of difference [95% CI]).</w:t>
      </w:r>
    </w:p>
    <w:p w14:paraId="206EC147" w14:textId="1468346E" w:rsidR="00580444" w:rsidRPr="000A7AE8" w:rsidRDefault="00580444" w:rsidP="00580444">
      <w:pPr>
        <w:pStyle w:val="BMSBodyText"/>
        <w:spacing w:line="240" w:lineRule="auto"/>
        <w:rPr>
          <w:color w:val="auto"/>
          <w:sz w:val="22"/>
          <w:szCs w:val="22"/>
        </w:rPr>
      </w:pPr>
      <w:r w:rsidRPr="000A7AE8">
        <w:rPr>
          <w:color w:val="auto"/>
          <w:sz w:val="22"/>
          <w:szCs w:val="22"/>
        </w:rPr>
        <w:t xml:space="preserve">Consistent improvement was observed for each ACR component with </w:t>
      </w:r>
      <w:proofErr w:type="spellStart"/>
      <w:r w:rsidRPr="000A7AE8">
        <w:rPr>
          <w:color w:val="auto"/>
          <w:sz w:val="22"/>
          <w:szCs w:val="22"/>
        </w:rPr>
        <w:t>abatacept</w:t>
      </w:r>
      <w:proofErr w:type="spellEnd"/>
      <w:r w:rsidRPr="000A7AE8">
        <w:rPr>
          <w:color w:val="auto"/>
          <w:sz w:val="22"/>
          <w:szCs w:val="22"/>
        </w:rPr>
        <w:t xml:space="preserve"> treatment compared to placebo at Week 24 in </w:t>
      </w:r>
      <w:r w:rsidR="00C85BCE" w:rsidRPr="000A7AE8">
        <w:rPr>
          <w:color w:val="auto"/>
          <w:sz w:val="22"/>
          <w:szCs w:val="22"/>
        </w:rPr>
        <w:t>S</w:t>
      </w:r>
      <w:r w:rsidRPr="000A7AE8">
        <w:rPr>
          <w:color w:val="auto"/>
          <w:sz w:val="22"/>
          <w:szCs w:val="22"/>
        </w:rPr>
        <w:t xml:space="preserve">tudies </w:t>
      </w:r>
      <w:proofErr w:type="spellStart"/>
      <w:r w:rsidRPr="000A7AE8">
        <w:rPr>
          <w:color w:val="auto"/>
          <w:sz w:val="22"/>
          <w:szCs w:val="22"/>
        </w:rPr>
        <w:t>PsA</w:t>
      </w:r>
      <w:proofErr w:type="spellEnd"/>
      <w:r w:rsidRPr="000A7AE8">
        <w:rPr>
          <w:color w:val="auto"/>
          <w:sz w:val="22"/>
          <w:szCs w:val="22"/>
        </w:rPr>
        <w:t xml:space="preserve">-I and </w:t>
      </w:r>
      <w:proofErr w:type="spellStart"/>
      <w:r w:rsidRPr="000A7AE8">
        <w:rPr>
          <w:color w:val="auto"/>
          <w:sz w:val="22"/>
          <w:szCs w:val="22"/>
        </w:rPr>
        <w:t>PsA</w:t>
      </w:r>
      <w:proofErr w:type="spellEnd"/>
      <w:r w:rsidRPr="000A7AE8">
        <w:rPr>
          <w:color w:val="auto"/>
          <w:sz w:val="22"/>
          <w:szCs w:val="22"/>
        </w:rPr>
        <w:t xml:space="preserve">-II. </w:t>
      </w:r>
    </w:p>
    <w:p w14:paraId="53F98AF9" w14:textId="14DA9AAD" w:rsidR="00580444" w:rsidRPr="000A7AE8" w:rsidRDefault="00580444" w:rsidP="00580444">
      <w:pPr>
        <w:pStyle w:val="BMSBodyText"/>
        <w:spacing w:line="240" w:lineRule="auto"/>
        <w:rPr>
          <w:color w:val="auto"/>
          <w:sz w:val="22"/>
          <w:szCs w:val="22"/>
        </w:rPr>
      </w:pPr>
      <w:r w:rsidRPr="000A7AE8">
        <w:rPr>
          <w:color w:val="auto"/>
          <w:sz w:val="22"/>
          <w:szCs w:val="22"/>
        </w:rPr>
        <w:t xml:space="preserve">Improvement in </w:t>
      </w:r>
      <w:proofErr w:type="spellStart"/>
      <w:r w:rsidRPr="000A7AE8">
        <w:rPr>
          <w:color w:val="auto"/>
          <w:sz w:val="22"/>
          <w:szCs w:val="22"/>
        </w:rPr>
        <w:t>enthesitis</w:t>
      </w:r>
      <w:proofErr w:type="spellEnd"/>
      <w:r w:rsidRPr="000A7AE8">
        <w:rPr>
          <w:color w:val="auto"/>
          <w:sz w:val="22"/>
          <w:szCs w:val="22"/>
        </w:rPr>
        <w:t xml:space="preserve"> and </w:t>
      </w:r>
      <w:proofErr w:type="spellStart"/>
      <w:r w:rsidRPr="000A7AE8">
        <w:rPr>
          <w:color w:val="auto"/>
          <w:sz w:val="22"/>
          <w:szCs w:val="22"/>
        </w:rPr>
        <w:t>dactylitis</w:t>
      </w:r>
      <w:proofErr w:type="spellEnd"/>
      <w:r w:rsidRPr="000A7AE8">
        <w:rPr>
          <w:color w:val="auto"/>
          <w:sz w:val="22"/>
          <w:szCs w:val="22"/>
        </w:rPr>
        <w:t xml:space="preserve"> were seen with </w:t>
      </w:r>
      <w:r w:rsidRPr="000A7AE8">
        <w:rPr>
          <w:color w:val="auto"/>
          <w:sz w:val="22"/>
          <w:szCs w:val="22"/>
          <w:lang w:val="en-AU" w:eastAsia="en-AU"/>
        </w:rPr>
        <w:t>ORENCIA</w:t>
      </w:r>
      <w:r w:rsidRPr="000A7AE8">
        <w:rPr>
          <w:color w:val="auto"/>
          <w:sz w:val="22"/>
          <w:szCs w:val="22"/>
          <w:vertAlign w:val="superscript"/>
          <w:lang w:val="en-AU" w:eastAsia="en-AU"/>
        </w:rPr>
        <w:t xml:space="preserve"> </w:t>
      </w:r>
      <w:r w:rsidRPr="000A7AE8">
        <w:rPr>
          <w:color w:val="auto"/>
          <w:sz w:val="22"/>
          <w:szCs w:val="22"/>
        </w:rPr>
        <w:t xml:space="preserve">treatment at Week 24 in both </w:t>
      </w:r>
      <w:proofErr w:type="spellStart"/>
      <w:r w:rsidRPr="000A7AE8">
        <w:rPr>
          <w:color w:val="auto"/>
          <w:sz w:val="22"/>
          <w:szCs w:val="22"/>
        </w:rPr>
        <w:t>PsA</w:t>
      </w:r>
      <w:proofErr w:type="spellEnd"/>
      <w:r w:rsidRPr="000A7AE8">
        <w:rPr>
          <w:color w:val="auto"/>
          <w:sz w:val="22"/>
          <w:szCs w:val="22"/>
        </w:rPr>
        <w:t xml:space="preserve">-I and </w:t>
      </w:r>
      <w:proofErr w:type="spellStart"/>
      <w:r w:rsidRPr="000A7AE8">
        <w:rPr>
          <w:color w:val="auto"/>
          <w:sz w:val="22"/>
          <w:szCs w:val="22"/>
        </w:rPr>
        <w:t>PsA</w:t>
      </w:r>
      <w:proofErr w:type="spellEnd"/>
      <w:r w:rsidRPr="000A7AE8">
        <w:rPr>
          <w:color w:val="auto"/>
          <w:sz w:val="22"/>
          <w:szCs w:val="22"/>
        </w:rPr>
        <w:t>-II studies.</w:t>
      </w:r>
    </w:p>
    <w:p w14:paraId="2755458E" w14:textId="7CB01D40" w:rsidR="00580444" w:rsidRPr="000A7AE8" w:rsidRDefault="00580444" w:rsidP="00580444">
      <w:pPr>
        <w:pStyle w:val="BMSBodyText"/>
        <w:spacing w:line="240" w:lineRule="auto"/>
        <w:rPr>
          <w:color w:val="auto"/>
          <w:sz w:val="22"/>
          <w:szCs w:val="22"/>
        </w:rPr>
      </w:pPr>
      <w:r w:rsidRPr="000A7AE8">
        <w:rPr>
          <w:color w:val="auto"/>
          <w:sz w:val="22"/>
          <w:szCs w:val="22"/>
        </w:rPr>
        <w:t xml:space="preserve">Clinical responses were maintained or continued to improve up to one year in </w:t>
      </w:r>
      <w:r w:rsidR="00C85BCE" w:rsidRPr="000A7AE8">
        <w:rPr>
          <w:color w:val="auto"/>
          <w:sz w:val="22"/>
          <w:szCs w:val="22"/>
        </w:rPr>
        <w:t>S</w:t>
      </w:r>
      <w:r w:rsidRPr="000A7AE8">
        <w:rPr>
          <w:color w:val="auto"/>
          <w:sz w:val="22"/>
          <w:szCs w:val="22"/>
        </w:rPr>
        <w:t xml:space="preserve">tudies </w:t>
      </w:r>
      <w:proofErr w:type="spellStart"/>
      <w:r w:rsidRPr="000A7AE8">
        <w:rPr>
          <w:color w:val="auto"/>
          <w:sz w:val="22"/>
          <w:szCs w:val="22"/>
        </w:rPr>
        <w:t>PsA</w:t>
      </w:r>
      <w:proofErr w:type="spellEnd"/>
      <w:r w:rsidRPr="000A7AE8">
        <w:rPr>
          <w:color w:val="auto"/>
          <w:sz w:val="22"/>
          <w:szCs w:val="22"/>
        </w:rPr>
        <w:t xml:space="preserve">-I and </w:t>
      </w:r>
      <w:proofErr w:type="spellStart"/>
      <w:r w:rsidRPr="000A7AE8">
        <w:rPr>
          <w:color w:val="auto"/>
          <w:sz w:val="22"/>
          <w:szCs w:val="22"/>
        </w:rPr>
        <w:t>PsA</w:t>
      </w:r>
      <w:proofErr w:type="spellEnd"/>
      <w:r w:rsidRPr="000A7AE8">
        <w:rPr>
          <w:color w:val="auto"/>
          <w:sz w:val="22"/>
          <w:szCs w:val="22"/>
        </w:rPr>
        <w:t xml:space="preserve">-II. </w:t>
      </w:r>
    </w:p>
    <w:p w14:paraId="0D5A1CED" w14:textId="77777777" w:rsidR="00580444" w:rsidRPr="000A7AE8" w:rsidRDefault="00580444" w:rsidP="00580444">
      <w:pPr>
        <w:pStyle w:val="BMSBodyText"/>
        <w:spacing w:line="240" w:lineRule="auto"/>
        <w:rPr>
          <w:b/>
          <w:i/>
          <w:color w:val="auto"/>
          <w:sz w:val="22"/>
          <w:szCs w:val="22"/>
        </w:rPr>
      </w:pPr>
      <w:r w:rsidRPr="000A7AE8">
        <w:rPr>
          <w:b/>
          <w:i/>
          <w:color w:val="auto"/>
          <w:sz w:val="22"/>
          <w:szCs w:val="22"/>
        </w:rPr>
        <w:t xml:space="preserve">Structural response </w:t>
      </w:r>
    </w:p>
    <w:p w14:paraId="55145663" w14:textId="363017C8" w:rsidR="00580444" w:rsidRPr="000A7AE8" w:rsidRDefault="00580444" w:rsidP="00580444">
      <w:pPr>
        <w:pStyle w:val="BMSBodyText"/>
        <w:spacing w:line="240" w:lineRule="auto"/>
        <w:rPr>
          <w:color w:val="auto"/>
          <w:sz w:val="22"/>
          <w:szCs w:val="22"/>
        </w:rPr>
      </w:pPr>
      <w:r w:rsidRPr="000A7AE8">
        <w:rPr>
          <w:color w:val="auto"/>
          <w:sz w:val="22"/>
          <w:szCs w:val="22"/>
        </w:rPr>
        <w:t xml:space="preserve">In </w:t>
      </w:r>
      <w:proofErr w:type="spellStart"/>
      <w:r w:rsidRPr="000A7AE8">
        <w:rPr>
          <w:color w:val="auto"/>
          <w:sz w:val="22"/>
          <w:szCs w:val="22"/>
        </w:rPr>
        <w:t>PsA</w:t>
      </w:r>
      <w:proofErr w:type="spellEnd"/>
      <w:r w:rsidRPr="000A7AE8">
        <w:rPr>
          <w:color w:val="auto"/>
          <w:sz w:val="22"/>
          <w:szCs w:val="22"/>
        </w:rPr>
        <w:t xml:space="preserve">-I, structural changes </w:t>
      </w:r>
      <w:r w:rsidR="00D0171C">
        <w:rPr>
          <w:color w:val="auto"/>
          <w:sz w:val="22"/>
          <w:szCs w:val="22"/>
        </w:rPr>
        <w:t>a</w:t>
      </w:r>
      <w:r w:rsidRPr="000A7AE8">
        <w:rPr>
          <w:color w:val="auto"/>
          <w:sz w:val="22"/>
          <w:szCs w:val="22"/>
        </w:rPr>
        <w:t xml:space="preserve">nd musculoskeletal manifestations were evaluated by MRI. Mean improvements from baseline [SD] at Week 24 were numerically greater with </w:t>
      </w:r>
      <w:r w:rsidRPr="000A7AE8">
        <w:rPr>
          <w:color w:val="auto"/>
          <w:sz w:val="22"/>
          <w:szCs w:val="22"/>
          <w:lang w:val="en-AU" w:eastAsia="en-AU"/>
        </w:rPr>
        <w:t>ORENCIA</w:t>
      </w:r>
      <w:r w:rsidRPr="000A7AE8">
        <w:rPr>
          <w:color w:val="auto"/>
          <w:sz w:val="22"/>
          <w:szCs w:val="22"/>
          <w:vertAlign w:val="superscript"/>
          <w:lang w:val="en-AU" w:eastAsia="en-AU"/>
        </w:rPr>
        <w:t xml:space="preserve"> </w:t>
      </w:r>
      <w:r w:rsidRPr="000A7AE8">
        <w:rPr>
          <w:color w:val="auto"/>
          <w:sz w:val="22"/>
          <w:szCs w:val="22"/>
        </w:rPr>
        <w:t xml:space="preserve">10 mg/kg IV vs placebo in erosions (-0.60 [4.23] vs 1.48 [7.37]), bone </w:t>
      </w:r>
      <w:proofErr w:type="spellStart"/>
      <w:r w:rsidRPr="000A7AE8">
        <w:rPr>
          <w:color w:val="auto"/>
          <w:sz w:val="22"/>
          <w:szCs w:val="22"/>
        </w:rPr>
        <w:t>oedema</w:t>
      </w:r>
      <w:proofErr w:type="spellEnd"/>
      <w:r w:rsidRPr="000A7AE8">
        <w:rPr>
          <w:color w:val="auto"/>
          <w:sz w:val="22"/>
          <w:szCs w:val="22"/>
        </w:rPr>
        <w:t xml:space="preserve"> (-1.12 [2.55] vs 0.44 [3.33]); synovitis (-1.40 [2.99] vs 0.81 [4.33]); </w:t>
      </w:r>
      <w:proofErr w:type="spellStart"/>
      <w:r w:rsidRPr="000A7AE8">
        <w:rPr>
          <w:color w:val="auto"/>
          <w:sz w:val="22"/>
          <w:szCs w:val="22"/>
        </w:rPr>
        <w:t>dactylitis</w:t>
      </w:r>
      <w:proofErr w:type="spellEnd"/>
      <w:r w:rsidRPr="000A7AE8">
        <w:rPr>
          <w:color w:val="auto"/>
          <w:sz w:val="22"/>
          <w:szCs w:val="22"/>
        </w:rPr>
        <w:t xml:space="preserve"> (-0.27 [0.70] vs -0.10 [0.51]), and </w:t>
      </w:r>
      <w:proofErr w:type="spellStart"/>
      <w:r w:rsidRPr="000A7AE8">
        <w:rPr>
          <w:color w:val="auto"/>
          <w:sz w:val="22"/>
          <w:szCs w:val="22"/>
        </w:rPr>
        <w:t>enthesitis</w:t>
      </w:r>
      <w:proofErr w:type="spellEnd"/>
      <w:r w:rsidRPr="000A7AE8">
        <w:rPr>
          <w:color w:val="auto"/>
          <w:sz w:val="22"/>
          <w:szCs w:val="22"/>
        </w:rPr>
        <w:t xml:space="preserve"> (-1.04 [1.51</w:t>
      </w:r>
      <w:r w:rsidR="00C35502" w:rsidRPr="000A7AE8">
        <w:rPr>
          <w:color w:val="auto"/>
          <w:sz w:val="22"/>
          <w:szCs w:val="22"/>
        </w:rPr>
        <w:t>]</w:t>
      </w:r>
      <w:r w:rsidRPr="000A7AE8">
        <w:rPr>
          <w:color w:val="auto"/>
          <w:sz w:val="22"/>
          <w:szCs w:val="22"/>
        </w:rPr>
        <w:t xml:space="preserve"> vs 0.04 [1.29]), respectively.</w:t>
      </w:r>
    </w:p>
    <w:p w14:paraId="0842E6D7" w14:textId="3DA7E44D" w:rsidR="00580444" w:rsidRPr="000A7AE8" w:rsidRDefault="00580444" w:rsidP="00580444">
      <w:pPr>
        <w:pStyle w:val="Default"/>
        <w:rPr>
          <w:rFonts w:ascii="Times New Roman" w:eastAsia="Times New Roman" w:hAnsi="Times New Roman" w:cs="Times New Roman"/>
          <w:color w:val="auto"/>
          <w:sz w:val="22"/>
          <w:szCs w:val="22"/>
          <w:lang w:eastAsia="en-AU"/>
        </w:rPr>
      </w:pPr>
      <w:r w:rsidRPr="000A7AE8">
        <w:rPr>
          <w:rFonts w:ascii="Times New Roman" w:hAnsi="Times New Roman" w:cs="Times New Roman"/>
          <w:color w:val="auto"/>
          <w:sz w:val="22"/>
          <w:szCs w:val="22"/>
        </w:rPr>
        <w:t xml:space="preserve">In </w:t>
      </w:r>
      <w:r w:rsidR="00C85BCE" w:rsidRPr="000A7AE8">
        <w:rPr>
          <w:rFonts w:ascii="Times New Roman" w:hAnsi="Times New Roman" w:cs="Times New Roman"/>
          <w:color w:val="auto"/>
          <w:sz w:val="22"/>
          <w:szCs w:val="22"/>
        </w:rPr>
        <w:t>S</w:t>
      </w:r>
      <w:r w:rsidRPr="000A7AE8">
        <w:rPr>
          <w:rFonts w:ascii="Times New Roman" w:hAnsi="Times New Roman" w:cs="Times New Roman"/>
          <w:color w:val="auto"/>
          <w:sz w:val="22"/>
          <w:szCs w:val="22"/>
        </w:rPr>
        <w:t xml:space="preserve">tudy </w:t>
      </w:r>
      <w:proofErr w:type="spellStart"/>
      <w:r w:rsidRPr="000A7AE8">
        <w:rPr>
          <w:rFonts w:ascii="Times New Roman" w:hAnsi="Times New Roman" w:cs="Times New Roman"/>
          <w:color w:val="auto"/>
          <w:sz w:val="22"/>
          <w:szCs w:val="22"/>
        </w:rPr>
        <w:t>PsA</w:t>
      </w:r>
      <w:proofErr w:type="spellEnd"/>
      <w:r w:rsidRPr="000A7AE8">
        <w:rPr>
          <w:rFonts w:ascii="Times New Roman" w:hAnsi="Times New Roman" w:cs="Times New Roman"/>
          <w:color w:val="auto"/>
          <w:sz w:val="22"/>
          <w:szCs w:val="22"/>
        </w:rPr>
        <w:t>-II, the proportion of radiographic non-</w:t>
      </w:r>
      <w:proofErr w:type="spellStart"/>
      <w:r w:rsidRPr="000A7AE8">
        <w:rPr>
          <w:rFonts w:ascii="Times New Roman" w:hAnsi="Times New Roman" w:cs="Times New Roman"/>
          <w:color w:val="auto"/>
          <w:sz w:val="22"/>
          <w:szCs w:val="22"/>
        </w:rPr>
        <w:t>progressors</w:t>
      </w:r>
      <w:proofErr w:type="spellEnd"/>
      <w:r w:rsidRPr="000A7AE8">
        <w:rPr>
          <w:rFonts w:ascii="Times New Roman" w:hAnsi="Times New Roman" w:cs="Times New Roman"/>
          <w:color w:val="auto"/>
          <w:sz w:val="22"/>
          <w:szCs w:val="22"/>
        </w:rPr>
        <w:t xml:space="preserve"> (</w:t>
      </w:r>
      <w:r w:rsidRPr="000A7AE8">
        <w:rPr>
          <w:rFonts w:ascii="Times New Roman" w:hAnsi="Times New Roman" w:cs="Times New Roman"/>
          <w:color w:val="auto"/>
          <w:sz w:val="22"/>
          <w:szCs w:val="22"/>
        </w:rPr>
        <w:sym w:font="Symbol" w:char="F0A3"/>
      </w:r>
      <w:r w:rsidRPr="000A7AE8">
        <w:rPr>
          <w:rFonts w:ascii="Times New Roman" w:hAnsi="Times New Roman" w:cs="Times New Roman"/>
          <w:color w:val="auto"/>
          <w:sz w:val="22"/>
          <w:szCs w:val="22"/>
        </w:rPr>
        <w:t xml:space="preserve"> 0 change from baseline) in total </w:t>
      </w:r>
      <w:proofErr w:type="spellStart"/>
      <w:r w:rsidRPr="000A7AE8">
        <w:rPr>
          <w:rFonts w:ascii="Times New Roman" w:hAnsi="Times New Roman" w:cs="Times New Roman"/>
          <w:color w:val="auto"/>
          <w:sz w:val="22"/>
          <w:szCs w:val="22"/>
        </w:rPr>
        <w:t>PsA</w:t>
      </w:r>
      <w:proofErr w:type="spellEnd"/>
      <w:r w:rsidRPr="000A7AE8">
        <w:rPr>
          <w:rFonts w:ascii="Times New Roman" w:hAnsi="Times New Roman" w:cs="Times New Roman"/>
          <w:color w:val="auto"/>
          <w:sz w:val="22"/>
          <w:szCs w:val="22"/>
        </w:rPr>
        <w:t xml:space="preserve">-modified SHS on x-rays at Week 24 was greater with </w:t>
      </w:r>
      <w:r w:rsidRPr="000A7AE8">
        <w:rPr>
          <w:rFonts w:ascii="Times New Roman" w:hAnsi="Times New Roman" w:cs="Times New Roman"/>
          <w:color w:val="auto"/>
          <w:sz w:val="22"/>
          <w:szCs w:val="22"/>
          <w:lang w:eastAsia="en-AU"/>
        </w:rPr>
        <w:t>ORENCIA</w:t>
      </w:r>
      <w:r w:rsidRPr="000A7AE8">
        <w:rPr>
          <w:rFonts w:ascii="Times New Roman" w:hAnsi="Times New Roman" w:cs="Times New Roman"/>
          <w:color w:val="auto"/>
          <w:sz w:val="22"/>
          <w:szCs w:val="22"/>
          <w:vertAlign w:val="superscript"/>
          <w:lang w:eastAsia="en-AU"/>
        </w:rPr>
        <w:t xml:space="preserve"> </w:t>
      </w:r>
      <w:r w:rsidRPr="000A7AE8">
        <w:rPr>
          <w:rFonts w:ascii="Times New Roman" w:hAnsi="Times New Roman" w:cs="Times New Roman"/>
          <w:color w:val="auto"/>
          <w:sz w:val="22"/>
          <w:szCs w:val="22"/>
        </w:rPr>
        <w:t xml:space="preserve">125 </w:t>
      </w:r>
      <w:r w:rsidR="00D52F37">
        <w:rPr>
          <w:rFonts w:ascii="Times New Roman" w:hAnsi="Times New Roman" w:cs="Times New Roman"/>
          <w:color w:val="auto"/>
          <w:sz w:val="22"/>
          <w:szCs w:val="22"/>
        </w:rPr>
        <w:t>mg SC (42.7%) than placebo (32.</w:t>
      </w:r>
      <w:r w:rsidRPr="000A7AE8">
        <w:rPr>
          <w:rFonts w:ascii="Times New Roman" w:hAnsi="Times New Roman" w:cs="Times New Roman"/>
          <w:color w:val="auto"/>
          <w:sz w:val="22"/>
          <w:szCs w:val="22"/>
        </w:rPr>
        <w:t xml:space="preserve">7%), (10.0 [1.0, 19.1], estimate of difference [95% CI]). The progression of structural damage as assessed by mean change from baseline (95% CI) in </w:t>
      </w:r>
      <w:proofErr w:type="spellStart"/>
      <w:r w:rsidRPr="000A7AE8">
        <w:rPr>
          <w:rFonts w:ascii="Times New Roman" w:hAnsi="Times New Roman" w:cs="Times New Roman"/>
          <w:color w:val="auto"/>
          <w:sz w:val="22"/>
          <w:szCs w:val="22"/>
        </w:rPr>
        <w:t>PsA</w:t>
      </w:r>
      <w:proofErr w:type="spellEnd"/>
      <w:r w:rsidRPr="000A7AE8">
        <w:rPr>
          <w:rFonts w:ascii="Times New Roman" w:hAnsi="Times New Roman" w:cs="Times New Roman"/>
          <w:color w:val="auto"/>
          <w:sz w:val="22"/>
          <w:szCs w:val="22"/>
        </w:rPr>
        <w:t>-modified SHS at Week 24 for ORENCIA versus placebo was 0.30 (0.06, 0.54) versus 0.35 (0.09, 0.60), and at Week 52 for ORENCIA versus placebo (which was followed by open-label ORENCIA) was 0.18 (-0.06, 0.42) versus 0.30 (0.06, 0.55), respectively.</w:t>
      </w:r>
    </w:p>
    <w:p w14:paraId="099E758A" w14:textId="77777777" w:rsidR="00580444" w:rsidRPr="000A7AE8" w:rsidRDefault="00580444" w:rsidP="00580444">
      <w:pPr>
        <w:pStyle w:val="BMSBodyText"/>
        <w:spacing w:line="240" w:lineRule="auto"/>
        <w:rPr>
          <w:b/>
          <w:i/>
          <w:color w:val="auto"/>
          <w:sz w:val="22"/>
          <w:szCs w:val="22"/>
        </w:rPr>
      </w:pPr>
      <w:r w:rsidRPr="000A7AE8">
        <w:rPr>
          <w:b/>
          <w:i/>
          <w:color w:val="auto"/>
          <w:sz w:val="22"/>
          <w:szCs w:val="22"/>
        </w:rPr>
        <w:t xml:space="preserve">Physical Function Response </w:t>
      </w:r>
    </w:p>
    <w:p w14:paraId="1F0FE1C9" w14:textId="4D7E8EAE" w:rsidR="00580444" w:rsidRPr="000A7AE8" w:rsidRDefault="00580444" w:rsidP="00580444">
      <w:pPr>
        <w:pStyle w:val="BMSBodyText"/>
        <w:spacing w:line="240" w:lineRule="auto"/>
        <w:rPr>
          <w:color w:val="auto"/>
          <w:sz w:val="22"/>
          <w:szCs w:val="22"/>
        </w:rPr>
      </w:pPr>
      <w:r w:rsidRPr="000A7AE8">
        <w:rPr>
          <w:color w:val="auto"/>
          <w:sz w:val="22"/>
          <w:szCs w:val="22"/>
        </w:rPr>
        <w:t xml:space="preserve">In </w:t>
      </w:r>
      <w:r w:rsidR="00C85BCE" w:rsidRPr="000A7AE8">
        <w:rPr>
          <w:color w:val="auto"/>
          <w:sz w:val="22"/>
          <w:szCs w:val="22"/>
        </w:rPr>
        <w:t>S</w:t>
      </w:r>
      <w:r w:rsidRPr="000A7AE8">
        <w:rPr>
          <w:color w:val="auto"/>
          <w:sz w:val="22"/>
          <w:szCs w:val="22"/>
        </w:rPr>
        <w:t xml:space="preserve">tudy </w:t>
      </w:r>
      <w:proofErr w:type="spellStart"/>
      <w:r w:rsidRPr="000A7AE8">
        <w:rPr>
          <w:color w:val="auto"/>
          <w:sz w:val="22"/>
          <w:szCs w:val="22"/>
        </w:rPr>
        <w:t>PsA</w:t>
      </w:r>
      <w:proofErr w:type="spellEnd"/>
      <w:r w:rsidRPr="000A7AE8">
        <w:rPr>
          <w:color w:val="auto"/>
          <w:sz w:val="22"/>
          <w:szCs w:val="22"/>
        </w:rPr>
        <w:t xml:space="preserve">-I, improvement in physical function with </w:t>
      </w:r>
      <w:r w:rsidRPr="000A7AE8">
        <w:rPr>
          <w:color w:val="auto"/>
          <w:sz w:val="22"/>
          <w:szCs w:val="22"/>
          <w:lang w:val="en-AU" w:eastAsia="en-AU"/>
        </w:rPr>
        <w:t>ORENCIA</w:t>
      </w:r>
      <w:r w:rsidRPr="000A7AE8">
        <w:rPr>
          <w:color w:val="auto"/>
          <w:sz w:val="22"/>
          <w:szCs w:val="22"/>
          <w:vertAlign w:val="superscript"/>
          <w:lang w:val="en-AU" w:eastAsia="en-AU"/>
        </w:rPr>
        <w:t xml:space="preserve"> </w:t>
      </w:r>
      <w:r w:rsidRPr="000A7AE8">
        <w:rPr>
          <w:color w:val="auto"/>
          <w:sz w:val="22"/>
          <w:szCs w:val="22"/>
        </w:rPr>
        <w:t xml:space="preserve">was seen in the proportion of patients with at least </w:t>
      </w:r>
      <w:r w:rsidRPr="000A7AE8">
        <w:rPr>
          <w:color w:val="auto"/>
          <w:sz w:val="22"/>
          <w:szCs w:val="22"/>
        </w:rPr>
        <w:sym w:font="Symbol" w:char="F0B3"/>
      </w:r>
      <w:r w:rsidRPr="000A7AE8">
        <w:rPr>
          <w:color w:val="auto"/>
          <w:sz w:val="22"/>
          <w:szCs w:val="22"/>
        </w:rPr>
        <w:t xml:space="preserve"> 0.30 decrease from baseline in HAQ-DI score, 45.0% with IV </w:t>
      </w:r>
      <w:r w:rsidRPr="000A7AE8">
        <w:rPr>
          <w:color w:val="auto"/>
          <w:sz w:val="22"/>
          <w:szCs w:val="22"/>
          <w:lang w:val="en-AU" w:eastAsia="en-AU"/>
        </w:rPr>
        <w:t>ORENCIA</w:t>
      </w:r>
      <w:r w:rsidRPr="000A7AE8">
        <w:rPr>
          <w:color w:val="auto"/>
          <w:sz w:val="22"/>
          <w:szCs w:val="22"/>
          <w:vertAlign w:val="superscript"/>
          <w:lang w:val="en-AU" w:eastAsia="en-AU"/>
        </w:rPr>
        <w:t xml:space="preserve"> </w:t>
      </w:r>
      <w:r w:rsidRPr="000A7AE8">
        <w:rPr>
          <w:color w:val="auto"/>
          <w:sz w:val="22"/>
          <w:szCs w:val="22"/>
        </w:rPr>
        <w:t xml:space="preserve">vs 19.0% with placebo (26.1 [6.8, 45.5], estimate of difference [95% CI]) at Week 24. In </w:t>
      </w:r>
      <w:r w:rsidR="00C85BCE" w:rsidRPr="000A7AE8">
        <w:rPr>
          <w:color w:val="auto"/>
          <w:sz w:val="22"/>
          <w:szCs w:val="22"/>
        </w:rPr>
        <w:t>S</w:t>
      </w:r>
      <w:r w:rsidRPr="000A7AE8">
        <w:rPr>
          <w:color w:val="auto"/>
          <w:sz w:val="22"/>
          <w:szCs w:val="22"/>
        </w:rPr>
        <w:t xml:space="preserve">tudy </w:t>
      </w:r>
      <w:proofErr w:type="spellStart"/>
      <w:r w:rsidRPr="000A7AE8">
        <w:rPr>
          <w:color w:val="auto"/>
          <w:sz w:val="22"/>
          <w:szCs w:val="22"/>
        </w:rPr>
        <w:t>PsA</w:t>
      </w:r>
      <w:proofErr w:type="spellEnd"/>
      <w:r w:rsidRPr="000A7AE8">
        <w:rPr>
          <w:color w:val="auto"/>
          <w:sz w:val="22"/>
          <w:szCs w:val="22"/>
        </w:rPr>
        <w:t xml:space="preserve">-II, the proportion of patients with at least </w:t>
      </w:r>
      <w:r w:rsidRPr="000A7AE8">
        <w:rPr>
          <w:color w:val="auto"/>
          <w:sz w:val="22"/>
          <w:szCs w:val="22"/>
        </w:rPr>
        <w:sym w:font="Symbol" w:char="F0B3"/>
      </w:r>
      <w:r w:rsidRPr="000A7AE8">
        <w:rPr>
          <w:color w:val="auto"/>
          <w:sz w:val="22"/>
          <w:szCs w:val="22"/>
        </w:rPr>
        <w:t xml:space="preserve"> 0.35 decrease from baseline in HAQ-DI was 31.0% with </w:t>
      </w:r>
      <w:r w:rsidRPr="000A7AE8">
        <w:rPr>
          <w:color w:val="auto"/>
          <w:sz w:val="22"/>
          <w:szCs w:val="22"/>
          <w:lang w:val="en-AU" w:eastAsia="en-AU"/>
        </w:rPr>
        <w:t>ORENCIA</w:t>
      </w:r>
      <w:r w:rsidRPr="000A7AE8">
        <w:rPr>
          <w:color w:val="auto"/>
          <w:sz w:val="22"/>
          <w:szCs w:val="22"/>
          <w:vertAlign w:val="superscript"/>
          <w:lang w:val="en-AU" w:eastAsia="en-AU"/>
        </w:rPr>
        <w:t xml:space="preserve"> </w:t>
      </w:r>
      <w:r w:rsidRPr="000A7AE8">
        <w:rPr>
          <w:color w:val="auto"/>
          <w:sz w:val="22"/>
          <w:szCs w:val="22"/>
        </w:rPr>
        <w:t xml:space="preserve">vs. 23.7% with placebo (7.2 [-1.1, 15.6], estimate of difference [95% CI]), with a higher adjusted mean change from baseline in HAQ-DI with </w:t>
      </w:r>
      <w:r w:rsidRPr="000A7AE8">
        <w:rPr>
          <w:color w:val="auto"/>
          <w:sz w:val="22"/>
          <w:szCs w:val="22"/>
          <w:lang w:val="en-AU" w:eastAsia="en-AU"/>
        </w:rPr>
        <w:t>ORENCIA</w:t>
      </w:r>
      <w:r w:rsidRPr="000A7AE8">
        <w:rPr>
          <w:color w:val="auto"/>
          <w:sz w:val="22"/>
          <w:szCs w:val="22"/>
        </w:rPr>
        <w:t xml:space="preserve"> (-0.33) vs. placebo (-0.20) (-0.13 [-0.25, -0.01], estimate of difference [95% CI]) at Week 24. Improvement in HAQ-DI scores was maintained or improved for up to 1 year with continuing </w:t>
      </w:r>
      <w:proofErr w:type="spellStart"/>
      <w:r w:rsidRPr="000A7AE8">
        <w:rPr>
          <w:color w:val="auto"/>
          <w:sz w:val="22"/>
          <w:szCs w:val="22"/>
        </w:rPr>
        <w:t>abatacept</w:t>
      </w:r>
      <w:proofErr w:type="spellEnd"/>
      <w:r w:rsidRPr="000A7AE8">
        <w:rPr>
          <w:color w:val="auto"/>
          <w:sz w:val="22"/>
          <w:szCs w:val="22"/>
        </w:rPr>
        <w:t xml:space="preserve"> treatment in both </w:t>
      </w:r>
      <w:proofErr w:type="spellStart"/>
      <w:r w:rsidRPr="000A7AE8">
        <w:rPr>
          <w:color w:val="auto"/>
          <w:sz w:val="22"/>
          <w:szCs w:val="22"/>
        </w:rPr>
        <w:t>PsA</w:t>
      </w:r>
      <w:proofErr w:type="spellEnd"/>
      <w:r w:rsidRPr="000A7AE8">
        <w:rPr>
          <w:color w:val="auto"/>
          <w:sz w:val="22"/>
          <w:szCs w:val="22"/>
        </w:rPr>
        <w:t xml:space="preserve">-I and </w:t>
      </w:r>
      <w:proofErr w:type="spellStart"/>
      <w:r w:rsidRPr="000A7AE8">
        <w:rPr>
          <w:color w:val="auto"/>
          <w:sz w:val="22"/>
          <w:szCs w:val="22"/>
        </w:rPr>
        <w:t>PsA</w:t>
      </w:r>
      <w:proofErr w:type="spellEnd"/>
      <w:r w:rsidRPr="000A7AE8">
        <w:rPr>
          <w:color w:val="auto"/>
          <w:sz w:val="22"/>
          <w:szCs w:val="22"/>
        </w:rPr>
        <w:t>-II studies.</w:t>
      </w:r>
    </w:p>
    <w:p w14:paraId="54F8188F" w14:textId="77777777" w:rsidR="00580444" w:rsidRPr="000A7AE8" w:rsidRDefault="00580444" w:rsidP="00580444">
      <w:pPr>
        <w:pStyle w:val="BMSBodyText"/>
        <w:spacing w:line="240" w:lineRule="auto"/>
        <w:rPr>
          <w:b/>
          <w:bCs/>
          <w:color w:val="auto"/>
          <w:sz w:val="22"/>
          <w:szCs w:val="22"/>
        </w:rPr>
      </w:pPr>
      <w:proofErr w:type="spellStart"/>
      <w:r w:rsidRPr="000A7AE8">
        <w:rPr>
          <w:b/>
          <w:bCs/>
          <w:color w:val="auto"/>
          <w:sz w:val="22"/>
          <w:szCs w:val="22"/>
        </w:rPr>
        <w:t>Paediatric</w:t>
      </w:r>
      <w:proofErr w:type="spellEnd"/>
      <w:r w:rsidRPr="000A7AE8">
        <w:rPr>
          <w:b/>
          <w:bCs/>
          <w:color w:val="auto"/>
          <w:sz w:val="22"/>
          <w:szCs w:val="22"/>
        </w:rPr>
        <w:t xml:space="preserve"> and Adolescent (J</w:t>
      </w:r>
      <w:r w:rsidRPr="000A7AE8">
        <w:rPr>
          <w:b/>
          <w:color w:val="auto"/>
          <w:sz w:val="22"/>
          <w:szCs w:val="22"/>
        </w:rPr>
        <w:t>uvenile Idiopathic Arthritis)</w:t>
      </w:r>
    </w:p>
    <w:p w14:paraId="4CD3166B" w14:textId="77777777" w:rsidR="00580444" w:rsidRPr="000A7AE8" w:rsidRDefault="00580444" w:rsidP="00327291">
      <w:r w:rsidRPr="000A7AE8">
        <w:t xml:space="preserve">The safety and efficacy of ORENCIA were assessed in a three-part study (IM101033, AWAKEN) including an open-label extension in children with </w:t>
      </w:r>
      <w:proofErr w:type="spellStart"/>
      <w:r w:rsidRPr="000A7AE8">
        <w:t>polyarticular</w:t>
      </w:r>
      <w:proofErr w:type="spellEnd"/>
      <w:r w:rsidRPr="000A7AE8">
        <w:t xml:space="preserve"> juvenile idiopathic arthritis (JIA). The study enrolled patients 6 to 17 years of age with moderately to severely active </w:t>
      </w:r>
      <w:proofErr w:type="spellStart"/>
      <w:r w:rsidRPr="000A7AE8">
        <w:t>polyarticular</w:t>
      </w:r>
      <w:proofErr w:type="spellEnd"/>
      <w:r w:rsidRPr="000A7AE8">
        <w:t xml:space="preserve"> JIA who had an inadequate response or intolerance to one or more DMARDs, such as MTX or TNF antagonists.  Patients had a disease duration of approximately 4 years with active disease at study entry, as determined by baseline counts of active joints (mean, 16) and joints with loss of motion (mean, 16); patients had elevated C-reactive protein (CRP) levels (mean, 3.2 mg/</w:t>
      </w:r>
      <w:proofErr w:type="spellStart"/>
      <w:r w:rsidRPr="000A7AE8">
        <w:t>dL</w:t>
      </w:r>
      <w:proofErr w:type="spellEnd"/>
      <w:r w:rsidRPr="000A7AE8">
        <w:t xml:space="preserve">) and ESR (mean, 32 mm/h). The patients enrolled had subtypes of JIA that at disease onset included </w:t>
      </w:r>
      <w:proofErr w:type="spellStart"/>
      <w:r w:rsidRPr="000A7AE8">
        <w:t>Oligoarticular</w:t>
      </w:r>
      <w:proofErr w:type="spellEnd"/>
      <w:r w:rsidRPr="000A7AE8">
        <w:t xml:space="preserve"> (16%), </w:t>
      </w:r>
      <w:proofErr w:type="spellStart"/>
      <w:r w:rsidRPr="000A7AE8">
        <w:t>Polyarticular</w:t>
      </w:r>
      <w:proofErr w:type="spellEnd"/>
      <w:r w:rsidRPr="000A7AE8">
        <w:t xml:space="preserve"> (64%; 20% were rheumatoid factor positive), and Systemic (20%). Patients with systemic JIA who had intermittent fever, rheumatoid rash, </w:t>
      </w:r>
      <w:proofErr w:type="gramStart"/>
      <w:r w:rsidRPr="000A7AE8">
        <w:t>hepatosplenomegaly</w:t>
      </w:r>
      <w:proofErr w:type="gramEnd"/>
      <w:r w:rsidRPr="000A7AE8">
        <w:t xml:space="preserve">, </w:t>
      </w:r>
      <w:proofErr w:type="spellStart"/>
      <w:r w:rsidRPr="000A7AE8">
        <w:t>pleuritis</w:t>
      </w:r>
      <w:proofErr w:type="spellEnd"/>
      <w:r w:rsidRPr="000A7AE8">
        <w:t xml:space="preserve">, pericarditis or macrophage activation syndrome within the prior 6 months were excluded.  At study entry, 74% of </w:t>
      </w:r>
      <w:r w:rsidRPr="000A7AE8">
        <w:lastRenderedPageBreak/>
        <w:t>patients were receiving MTX (mean dose, 13.2 mg/m</w:t>
      </w:r>
      <w:r w:rsidRPr="000A7AE8">
        <w:rPr>
          <w:vertAlign w:val="superscript"/>
        </w:rPr>
        <w:t>2</w:t>
      </w:r>
      <w:r w:rsidRPr="000A7AE8">
        <w:t xml:space="preserve"> per week) and remained on a stable dose of MTX (those not receiving MTX did not initiate MTX treatment during the study as this was not mandated as part of the protocol).</w:t>
      </w:r>
    </w:p>
    <w:p w14:paraId="590FD2FF" w14:textId="443F19C9" w:rsidR="00580444" w:rsidRPr="000A7AE8" w:rsidRDefault="00580444" w:rsidP="00327291">
      <w:r w:rsidRPr="000A7AE8">
        <w:t xml:space="preserve">In Period A (open-label, lead-in), 190 patients (33% of </w:t>
      </w:r>
      <w:r w:rsidR="00C85BCE" w:rsidRPr="000A7AE8">
        <w:t xml:space="preserve">whom </w:t>
      </w:r>
      <w:r w:rsidRPr="000A7AE8">
        <w:t xml:space="preserve">were under 12 years of age), were treated with ORENCIA; patients received 10 mg/kg (maximum 1000 mg per dose) intravenously on </w:t>
      </w:r>
      <w:r w:rsidR="00C85BCE" w:rsidRPr="000A7AE8">
        <w:t>D</w:t>
      </w:r>
      <w:r w:rsidRPr="000A7AE8">
        <w:t>ays 1, 15, 29, and monthly thereafter. Response was assessed utilizing the ACR Paediatric</w:t>
      </w:r>
      <w:r w:rsidR="00C85BCE" w:rsidRPr="000A7AE8">
        <w:t xml:space="preserve"> </w:t>
      </w:r>
      <w:r w:rsidRPr="000A7AE8">
        <w:t>30 definition of improvement, defined as ≥30% improvement in at least 3 of the 6 JIA core set variables and ≥30% worsening in not more than 1 of the 6 JIA core set variables. Patients demonstrating an ACR Pedi 30 response at the end of Period A were randomized into the double-blind phase (Period B) and received either ORENCIA or placebo for 6 months or until disease flare. Disease flare was defined as a ≥30% worsening in at least 3 of the 6 JIA core set variables with ≥30% improvement in not more than 1 of the 6 JIA core set variables; ≥2 cm of worsening of the Physician or Parent Global Assessment was necessary if either was used as 1 of the 3 JIA core set variables used to define flare, and worsening in ≥2 joints was necessary if the number of active joints or joints with limitation of motion was used as 1 of the 3 JIA core set variables used to define flare.</w:t>
      </w:r>
    </w:p>
    <w:p w14:paraId="4F1E6F74" w14:textId="7094A759" w:rsidR="00580444" w:rsidRPr="000A7AE8" w:rsidRDefault="00580444" w:rsidP="00327291">
      <w:r w:rsidRPr="000A7AE8">
        <w:t xml:space="preserve">At the conclusion of Period </w:t>
      </w:r>
      <w:proofErr w:type="gramStart"/>
      <w:r w:rsidRPr="000A7AE8">
        <w:t>A</w:t>
      </w:r>
      <w:proofErr w:type="gramEnd"/>
      <w:r w:rsidRPr="000A7AE8">
        <w:t>, paediatric</w:t>
      </w:r>
      <w:r w:rsidR="00C85BCE" w:rsidRPr="000A7AE8">
        <w:t xml:space="preserve"> </w:t>
      </w:r>
      <w:r w:rsidRPr="000A7AE8">
        <w:t>ACR 30/50/70 responses were 65%, 50%, and 28%, respectively. Paediatric</w:t>
      </w:r>
      <w:r w:rsidR="00C85BCE" w:rsidRPr="000A7AE8">
        <w:t xml:space="preserve"> </w:t>
      </w:r>
      <w:r w:rsidRPr="000A7AE8">
        <w:t>ACR 30 responses were similar in all subtypes of JIA studied.</w:t>
      </w:r>
    </w:p>
    <w:p w14:paraId="5DA6A7C8" w14:textId="273B6875" w:rsidR="00580444" w:rsidRPr="000A7AE8" w:rsidRDefault="00580444" w:rsidP="00327291">
      <w:r w:rsidRPr="000A7AE8">
        <w:t>During the double-blind randomized withdrawal phase (Period B), ORENCIA-treated patients experienced significantly fewer disease flares compared to placebo-treated patients (20% vs</w:t>
      </w:r>
      <w:r w:rsidR="00C85BCE" w:rsidRPr="000A7AE8">
        <w:t>.</w:t>
      </w:r>
      <w:r w:rsidRPr="000A7AE8">
        <w:t xml:space="preserve"> 53%); 95% CI of the difference (15%, 52%). The risk of disease flare among patients continuing on ORENCIA was less than one third that for patients withdrawn from ORENCIA treatment (hazard ratio=0.31, 95% CI [0.16, 0.59]). Among patients who received ORENCIA throughout the study (Period A, Period B, and the open-label extension Period C), the proportion of paediatric ACR 30/50/70 responders has remained consistent for 31 months.</w:t>
      </w:r>
    </w:p>
    <w:p w14:paraId="5D7F7A0C" w14:textId="77777777" w:rsidR="00580444" w:rsidRPr="000A7AE8" w:rsidRDefault="00580444" w:rsidP="00327291">
      <w:r w:rsidRPr="000A7AE8">
        <w:t>There is no clinical trial data for the use of ORENCIA subcutaneous formulation in children, therefore its use in children cannot be recommended.</w:t>
      </w:r>
    </w:p>
    <w:p w14:paraId="0D21F59E" w14:textId="1D287C72" w:rsidR="00580444" w:rsidRPr="000A7AE8" w:rsidRDefault="00580444" w:rsidP="00327291">
      <w:pPr>
        <w:rPr>
          <w:bCs/>
        </w:rPr>
      </w:pPr>
      <w:r w:rsidRPr="000A7AE8">
        <w:t xml:space="preserve">ORENCIA </w:t>
      </w:r>
      <w:r w:rsidRPr="000A7AE8">
        <w:rPr>
          <w:bCs/>
        </w:rPr>
        <w:t xml:space="preserve">has not been studied in children less than 6 years of age. The long-term effects of </w:t>
      </w:r>
      <w:r w:rsidRPr="000A7AE8">
        <w:t>ORENCIA therapy on skeletal, behavioural, cognitive, sexual, and immune maturation and development in children are unknown.</w:t>
      </w:r>
    </w:p>
    <w:p w14:paraId="678F2BB0" w14:textId="4FC4ACB6" w:rsidR="001A3992" w:rsidRPr="000A7AE8" w:rsidRDefault="00E61227" w:rsidP="003144B2">
      <w:pPr>
        <w:pStyle w:val="Heading2"/>
      </w:pPr>
      <w:r w:rsidRPr="000A7AE8">
        <w:t>Pharmacokinetic properties</w:t>
      </w:r>
    </w:p>
    <w:p w14:paraId="1C44BDB2" w14:textId="77777777" w:rsidR="00BB36B3" w:rsidRPr="000A7AE8" w:rsidRDefault="00BB36B3" w:rsidP="00DF074F">
      <w:pPr>
        <w:pStyle w:val="Heading3"/>
      </w:pPr>
      <w:r w:rsidRPr="000A7AE8">
        <w:t>Healthy adults and adult RA – Intravenous Infusion</w:t>
      </w:r>
    </w:p>
    <w:p w14:paraId="7A8BF47F" w14:textId="3DC93469" w:rsidR="001A3992" w:rsidRPr="000A7AE8" w:rsidRDefault="001A3992" w:rsidP="00C02EB7">
      <w:pPr>
        <w:pStyle w:val="Heading4"/>
      </w:pPr>
      <w:r w:rsidRPr="000A7AE8">
        <w:t>Absorption</w:t>
      </w:r>
    </w:p>
    <w:p w14:paraId="4BFF6B71" w14:textId="77777777" w:rsidR="00BB36B3" w:rsidRPr="000A7AE8" w:rsidRDefault="00BB36B3" w:rsidP="00BB36B3">
      <w:proofErr w:type="spellStart"/>
      <w:r w:rsidRPr="000A7AE8">
        <w:t>Abatacept</w:t>
      </w:r>
      <w:proofErr w:type="spellEnd"/>
      <w:r w:rsidRPr="000A7AE8">
        <w:t xml:space="preserve"> is administered intravenously.</w:t>
      </w:r>
    </w:p>
    <w:p w14:paraId="662FAC1D" w14:textId="19B27CD3" w:rsidR="001A3992" w:rsidRPr="000A7AE8" w:rsidRDefault="001A3992" w:rsidP="00C02EB7">
      <w:pPr>
        <w:pStyle w:val="Heading4"/>
      </w:pPr>
      <w:r w:rsidRPr="000A7AE8">
        <w:t>Distribution</w:t>
      </w:r>
    </w:p>
    <w:p w14:paraId="39969448" w14:textId="302B2BA0" w:rsidR="00BB36B3" w:rsidRPr="000A7AE8" w:rsidRDefault="00BB36B3" w:rsidP="00BB36B3">
      <w:r w:rsidRPr="000A7AE8">
        <w:t xml:space="preserve">The pharmacokinetics of </w:t>
      </w:r>
      <w:proofErr w:type="spellStart"/>
      <w:r w:rsidRPr="000A7AE8">
        <w:t>abatacept</w:t>
      </w:r>
      <w:proofErr w:type="spellEnd"/>
      <w:r w:rsidRPr="000A7AE8">
        <w:t xml:space="preserve"> </w:t>
      </w:r>
      <w:proofErr w:type="gramStart"/>
      <w:r w:rsidRPr="000A7AE8">
        <w:t>were</w:t>
      </w:r>
      <w:proofErr w:type="gramEnd"/>
      <w:r w:rsidRPr="000A7AE8">
        <w:t xml:space="preserve"> studied in healthy adult subjects after a single 10 mg/kg intravenous infusion and in RA patients after multiple 10 mg/kg intravenous infusions (see Table 1</w:t>
      </w:r>
      <w:r w:rsidR="000A1F7C" w:rsidRPr="000A7AE8">
        <w:t>5</w:t>
      </w:r>
      <w:r w:rsidRPr="000A7AE8">
        <w:t>).</w:t>
      </w:r>
    </w:p>
    <w:tbl>
      <w:tblPr>
        <w:tblW w:w="0" w:type="auto"/>
        <w:tblBorders>
          <w:bottom w:val="double" w:sz="6" w:space="0" w:color="auto"/>
        </w:tblBorders>
        <w:tblLayout w:type="fixed"/>
        <w:tblCellMar>
          <w:left w:w="58" w:type="dxa"/>
          <w:right w:w="58" w:type="dxa"/>
        </w:tblCellMar>
        <w:tblLook w:val="0000" w:firstRow="0" w:lastRow="0" w:firstColumn="0" w:lastColumn="0" w:noHBand="0" w:noVBand="0"/>
      </w:tblPr>
      <w:tblGrid>
        <w:gridCol w:w="3258"/>
        <w:gridCol w:w="2610"/>
        <w:gridCol w:w="2988"/>
      </w:tblGrid>
      <w:tr w:rsidR="000A7AE8" w:rsidRPr="000A7AE8" w14:paraId="267C0AAB" w14:textId="77777777" w:rsidTr="00C02EB7">
        <w:trPr>
          <w:tblHeader/>
        </w:trPr>
        <w:tc>
          <w:tcPr>
            <w:tcW w:w="8856" w:type="dxa"/>
            <w:gridSpan w:val="3"/>
            <w:tcBorders>
              <w:bottom w:val="double" w:sz="6" w:space="0" w:color="000000"/>
            </w:tcBorders>
          </w:tcPr>
          <w:p w14:paraId="737339C4" w14:textId="503778FD" w:rsidR="00DF074F" w:rsidRPr="000A7AE8" w:rsidRDefault="00DF074F" w:rsidP="00C02EB7">
            <w:pPr>
              <w:pStyle w:val="BMSTableTitle"/>
              <w:tabs>
                <w:tab w:val="clear" w:pos="2160"/>
                <w:tab w:val="left" w:pos="1728"/>
              </w:tabs>
              <w:ind w:left="1728" w:hanging="1728"/>
            </w:pPr>
            <w:r w:rsidRPr="000A7AE8">
              <w:rPr>
                <w:sz w:val="22"/>
              </w:rPr>
              <w:t>Table 1</w:t>
            </w:r>
            <w:r w:rsidR="000A1F7C" w:rsidRPr="000A7AE8">
              <w:rPr>
                <w:sz w:val="22"/>
              </w:rPr>
              <w:t>5</w:t>
            </w:r>
            <w:r w:rsidRPr="000A7AE8">
              <w:rPr>
                <w:sz w:val="22"/>
              </w:rPr>
              <w:t>:</w:t>
            </w:r>
            <w:r w:rsidRPr="000A7AE8">
              <w:rPr>
                <w:sz w:val="22"/>
              </w:rPr>
              <w:tab/>
              <w:t>Pharmacokinetic Parameters (Mean, Range) in Healthy Subjects and RA Patients After 10 mg/kg Intravenous Infusion(s)</w:t>
            </w:r>
          </w:p>
        </w:tc>
      </w:tr>
      <w:tr w:rsidR="000A7AE8" w:rsidRPr="000A7AE8" w14:paraId="1E75C1D7" w14:textId="77777777" w:rsidTr="00C02EB7">
        <w:trPr>
          <w:trHeight w:val="306"/>
          <w:tblHeader/>
        </w:trPr>
        <w:tc>
          <w:tcPr>
            <w:tcW w:w="3258" w:type="dxa"/>
            <w:tcBorders>
              <w:top w:val="nil"/>
              <w:bottom w:val="single" w:sz="4" w:space="0" w:color="auto"/>
              <w:right w:val="single" w:sz="4" w:space="0" w:color="auto"/>
            </w:tcBorders>
          </w:tcPr>
          <w:p w14:paraId="7FB1FC56" w14:textId="77777777" w:rsidR="00DF074F" w:rsidRPr="000A7AE8" w:rsidRDefault="00DF074F" w:rsidP="00C02EB7">
            <w:pPr>
              <w:pStyle w:val="BMSTableHeader"/>
              <w:jc w:val="left"/>
            </w:pPr>
            <w:r w:rsidRPr="000A7AE8">
              <w:br/>
            </w:r>
            <w:r w:rsidRPr="000A7AE8">
              <w:br/>
              <w:t>PK Parameter</w:t>
            </w:r>
          </w:p>
        </w:tc>
        <w:tc>
          <w:tcPr>
            <w:tcW w:w="2610" w:type="dxa"/>
            <w:tcBorders>
              <w:top w:val="single" w:sz="4" w:space="0" w:color="auto"/>
              <w:left w:val="single" w:sz="4" w:space="0" w:color="auto"/>
              <w:bottom w:val="single" w:sz="4" w:space="0" w:color="auto"/>
              <w:right w:val="single" w:sz="4" w:space="0" w:color="auto"/>
            </w:tcBorders>
          </w:tcPr>
          <w:p w14:paraId="6A2A749D" w14:textId="77777777" w:rsidR="00DF074F" w:rsidRPr="000A7AE8" w:rsidRDefault="00DF074F" w:rsidP="00C02EB7">
            <w:pPr>
              <w:pStyle w:val="BMSTableHeader"/>
            </w:pPr>
            <w:r w:rsidRPr="000A7AE8">
              <w:t>Healthy Subjects</w:t>
            </w:r>
            <w:r w:rsidRPr="000A7AE8">
              <w:br/>
              <w:t>(After 10 mg/kg Single Dose)</w:t>
            </w:r>
            <w:r w:rsidRPr="000A7AE8">
              <w:br/>
              <w:t>n=13</w:t>
            </w:r>
          </w:p>
        </w:tc>
        <w:tc>
          <w:tcPr>
            <w:tcW w:w="2988" w:type="dxa"/>
            <w:tcBorders>
              <w:top w:val="single" w:sz="4" w:space="0" w:color="auto"/>
              <w:left w:val="single" w:sz="4" w:space="0" w:color="auto"/>
              <w:bottom w:val="single" w:sz="4" w:space="0" w:color="auto"/>
              <w:right w:val="nil"/>
            </w:tcBorders>
          </w:tcPr>
          <w:p w14:paraId="79C89129" w14:textId="77777777" w:rsidR="00DF074F" w:rsidRPr="000A7AE8" w:rsidRDefault="00DF074F" w:rsidP="00C02EB7">
            <w:pPr>
              <w:pStyle w:val="BMSTableHeader"/>
            </w:pPr>
            <w:r w:rsidRPr="000A7AE8">
              <w:t>RA Patients</w:t>
            </w:r>
            <w:r w:rsidRPr="000A7AE8">
              <w:br/>
              <w:t xml:space="preserve">(After 10 mg/kg Multiple </w:t>
            </w:r>
            <w:proofErr w:type="spellStart"/>
            <w:r w:rsidRPr="000A7AE8">
              <w:t>Doses</w:t>
            </w:r>
            <w:r w:rsidRPr="000A7AE8">
              <w:rPr>
                <w:vertAlign w:val="superscript"/>
              </w:rPr>
              <w:t>a</w:t>
            </w:r>
            <w:proofErr w:type="spellEnd"/>
            <w:r w:rsidRPr="000A7AE8">
              <w:t>)</w:t>
            </w:r>
            <w:r w:rsidRPr="000A7AE8">
              <w:br/>
              <w:t>n=14</w:t>
            </w:r>
          </w:p>
        </w:tc>
      </w:tr>
      <w:tr w:rsidR="000A7AE8" w:rsidRPr="000A7AE8" w14:paraId="75EEF571" w14:textId="77777777" w:rsidTr="00C02EB7">
        <w:trPr>
          <w:trHeight w:val="215"/>
        </w:trPr>
        <w:tc>
          <w:tcPr>
            <w:tcW w:w="3258" w:type="dxa"/>
            <w:tcBorders>
              <w:top w:val="single" w:sz="4" w:space="0" w:color="auto"/>
              <w:left w:val="nil"/>
              <w:bottom w:val="single" w:sz="4" w:space="0" w:color="auto"/>
              <w:right w:val="single" w:sz="4" w:space="0" w:color="auto"/>
            </w:tcBorders>
          </w:tcPr>
          <w:p w14:paraId="269A16F8" w14:textId="77777777" w:rsidR="00DF074F" w:rsidRPr="000A7AE8" w:rsidRDefault="00DF074F" w:rsidP="00C02EB7">
            <w:pPr>
              <w:pStyle w:val="BMSTableText"/>
              <w:jc w:val="left"/>
            </w:pPr>
            <w:r w:rsidRPr="000A7AE8">
              <w:t>Peak Concentration (</w:t>
            </w:r>
            <w:proofErr w:type="spellStart"/>
            <w:r w:rsidRPr="000A7AE8">
              <w:t>C</w:t>
            </w:r>
            <w:r w:rsidRPr="000A7AE8">
              <w:rPr>
                <w:rStyle w:val="BMSSubscript"/>
              </w:rPr>
              <w:t>max</w:t>
            </w:r>
            <w:proofErr w:type="spellEnd"/>
            <w:r w:rsidRPr="000A7AE8">
              <w:rPr>
                <w:rStyle w:val="BMSSubscript"/>
              </w:rPr>
              <w:t>)</w:t>
            </w:r>
            <w:r w:rsidRPr="000A7AE8">
              <w:t xml:space="preserve"> [mcg/mL]</w:t>
            </w:r>
          </w:p>
        </w:tc>
        <w:tc>
          <w:tcPr>
            <w:tcW w:w="2610" w:type="dxa"/>
            <w:tcBorders>
              <w:top w:val="single" w:sz="4" w:space="0" w:color="auto"/>
              <w:left w:val="single" w:sz="4" w:space="0" w:color="auto"/>
              <w:bottom w:val="single" w:sz="4" w:space="0" w:color="auto"/>
              <w:right w:val="single" w:sz="4" w:space="0" w:color="auto"/>
            </w:tcBorders>
          </w:tcPr>
          <w:p w14:paraId="006FF4F9" w14:textId="77777777" w:rsidR="00DF074F" w:rsidRPr="000A7AE8" w:rsidRDefault="00DF074F" w:rsidP="00C02EB7">
            <w:pPr>
              <w:pStyle w:val="BMSTableText"/>
            </w:pPr>
            <w:r w:rsidRPr="000A7AE8">
              <w:t>292 (175-427)</w:t>
            </w:r>
          </w:p>
        </w:tc>
        <w:tc>
          <w:tcPr>
            <w:tcW w:w="2988" w:type="dxa"/>
            <w:tcBorders>
              <w:top w:val="single" w:sz="4" w:space="0" w:color="auto"/>
              <w:left w:val="single" w:sz="4" w:space="0" w:color="auto"/>
              <w:bottom w:val="single" w:sz="4" w:space="0" w:color="auto"/>
              <w:right w:val="nil"/>
            </w:tcBorders>
          </w:tcPr>
          <w:p w14:paraId="6215B5DE" w14:textId="77777777" w:rsidR="00DF074F" w:rsidRPr="000A7AE8" w:rsidRDefault="00DF074F" w:rsidP="00C02EB7">
            <w:pPr>
              <w:pStyle w:val="BMSTableText"/>
            </w:pPr>
            <w:r w:rsidRPr="000A7AE8">
              <w:t>295 (171-398)</w:t>
            </w:r>
          </w:p>
        </w:tc>
      </w:tr>
      <w:tr w:rsidR="000A7AE8" w:rsidRPr="000A7AE8" w14:paraId="79195CC1" w14:textId="77777777" w:rsidTr="00C02EB7">
        <w:tc>
          <w:tcPr>
            <w:tcW w:w="3258" w:type="dxa"/>
            <w:tcBorders>
              <w:top w:val="single" w:sz="4" w:space="0" w:color="auto"/>
              <w:left w:val="nil"/>
              <w:bottom w:val="single" w:sz="4" w:space="0" w:color="auto"/>
              <w:right w:val="single" w:sz="4" w:space="0" w:color="auto"/>
            </w:tcBorders>
          </w:tcPr>
          <w:p w14:paraId="6B4AD5A7" w14:textId="77777777" w:rsidR="00DF074F" w:rsidRPr="000A7AE8" w:rsidRDefault="00DF074F" w:rsidP="00C02EB7">
            <w:pPr>
              <w:pStyle w:val="BMSTableText"/>
              <w:jc w:val="left"/>
            </w:pPr>
            <w:r w:rsidRPr="000A7AE8">
              <w:lastRenderedPageBreak/>
              <w:t>Terminal half-life (t</w:t>
            </w:r>
            <w:r w:rsidRPr="000A7AE8">
              <w:rPr>
                <w:rStyle w:val="BMSSubscript"/>
              </w:rPr>
              <w:t>1/2)</w:t>
            </w:r>
            <w:r w:rsidRPr="000A7AE8">
              <w:t xml:space="preserve"> [days]</w:t>
            </w:r>
          </w:p>
        </w:tc>
        <w:tc>
          <w:tcPr>
            <w:tcW w:w="2610" w:type="dxa"/>
            <w:tcBorders>
              <w:top w:val="single" w:sz="4" w:space="0" w:color="auto"/>
              <w:left w:val="single" w:sz="4" w:space="0" w:color="auto"/>
              <w:bottom w:val="single" w:sz="4" w:space="0" w:color="auto"/>
              <w:right w:val="single" w:sz="4" w:space="0" w:color="auto"/>
            </w:tcBorders>
          </w:tcPr>
          <w:p w14:paraId="30F34D32" w14:textId="77777777" w:rsidR="00DF074F" w:rsidRPr="000A7AE8" w:rsidRDefault="00DF074F" w:rsidP="00C02EB7">
            <w:pPr>
              <w:pStyle w:val="BMSTableText"/>
            </w:pPr>
            <w:r w:rsidRPr="000A7AE8">
              <w:t>16.7 (12-23)</w:t>
            </w:r>
          </w:p>
        </w:tc>
        <w:tc>
          <w:tcPr>
            <w:tcW w:w="2988" w:type="dxa"/>
            <w:tcBorders>
              <w:top w:val="single" w:sz="4" w:space="0" w:color="auto"/>
              <w:left w:val="single" w:sz="4" w:space="0" w:color="auto"/>
              <w:bottom w:val="single" w:sz="4" w:space="0" w:color="auto"/>
              <w:right w:val="nil"/>
            </w:tcBorders>
          </w:tcPr>
          <w:p w14:paraId="00E555CD" w14:textId="77777777" w:rsidR="00DF074F" w:rsidRPr="000A7AE8" w:rsidRDefault="00DF074F" w:rsidP="00C02EB7">
            <w:pPr>
              <w:pStyle w:val="BMSTableText"/>
            </w:pPr>
            <w:r w:rsidRPr="000A7AE8">
              <w:t>13.1 (8-25)</w:t>
            </w:r>
          </w:p>
        </w:tc>
      </w:tr>
      <w:tr w:rsidR="000A7AE8" w:rsidRPr="000A7AE8" w14:paraId="470585FF" w14:textId="77777777" w:rsidTr="00C02EB7">
        <w:tc>
          <w:tcPr>
            <w:tcW w:w="3258" w:type="dxa"/>
            <w:tcBorders>
              <w:top w:val="single" w:sz="4" w:space="0" w:color="auto"/>
              <w:left w:val="nil"/>
              <w:bottom w:val="single" w:sz="4" w:space="0" w:color="auto"/>
              <w:right w:val="single" w:sz="4" w:space="0" w:color="auto"/>
            </w:tcBorders>
          </w:tcPr>
          <w:p w14:paraId="5D085CA9" w14:textId="77777777" w:rsidR="00DF074F" w:rsidRPr="000A7AE8" w:rsidRDefault="00DF074F" w:rsidP="00C02EB7">
            <w:pPr>
              <w:pStyle w:val="BMSTableText"/>
              <w:jc w:val="left"/>
            </w:pPr>
            <w:r w:rsidRPr="000A7AE8">
              <w:t>Systemic clearance (CL) [mL/h/kg]</w:t>
            </w:r>
          </w:p>
        </w:tc>
        <w:tc>
          <w:tcPr>
            <w:tcW w:w="2610" w:type="dxa"/>
            <w:tcBorders>
              <w:top w:val="single" w:sz="4" w:space="0" w:color="auto"/>
              <w:left w:val="single" w:sz="4" w:space="0" w:color="auto"/>
              <w:bottom w:val="single" w:sz="4" w:space="0" w:color="auto"/>
              <w:right w:val="single" w:sz="4" w:space="0" w:color="auto"/>
            </w:tcBorders>
          </w:tcPr>
          <w:p w14:paraId="24D7B136" w14:textId="77777777" w:rsidR="00DF074F" w:rsidRPr="000A7AE8" w:rsidRDefault="00DF074F" w:rsidP="00C02EB7">
            <w:pPr>
              <w:pStyle w:val="BMSTableText"/>
              <w:rPr>
                <w:lang w:val="de-DE"/>
              </w:rPr>
            </w:pPr>
            <w:r w:rsidRPr="000A7AE8">
              <w:rPr>
                <w:lang w:val="de-DE"/>
              </w:rPr>
              <w:t>0.23 (0.16-0.30)</w:t>
            </w:r>
          </w:p>
        </w:tc>
        <w:tc>
          <w:tcPr>
            <w:tcW w:w="2988" w:type="dxa"/>
            <w:tcBorders>
              <w:top w:val="single" w:sz="4" w:space="0" w:color="auto"/>
              <w:left w:val="single" w:sz="4" w:space="0" w:color="auto"/>
              <w:bottom w:val="single" w:sz="4" w:space="0" w:color="auto"/>
              <w:right w:val="nil"/>
            </w:tcBorders>
          </w:tcPr>
          <w:p w14:paraId="01B63B17" w14:textId="77777777" w:rsidR="00DF074F" w:rsidRPr="000A7AE8" w:rsidRDefault="00DF074F" w:rsidP="00C02EB7">
            <w:pPr>
              <w:pStyle w:val="BMSTableText"/>
              <w:rPr>
                <w:lang w:val="de-DE"/>
              </w:rPr>
            </w:pPr>
            <w:r w:rsidRPr="000A7AE8">
              <w:rPr>
                <w:lang w:val="de-DE"/>
              </w:rPr>
              <w:t>0.22 (0.13-0.47)</w:t>
            </w:r>
          </w:p>
        </w:tc>
      </w:tr>
      <w:tr w:rsidR="000A7AE8" w:rsidRPr="000A7AE8" w14:paraId="75EEECF6" w14:textId="77777777" w:rsidTr="00C02EB7">
        <w:tc>
          <w:tcPr>
            <w:tcW w:w="3258" w:type="dxa"/>
            <w:tcBorders>
              <w:top w:val="single" w:sz="4" w:space="0" w:color="auto"/>
              <w:left w:val="nil"/>
              <w:bottom w:val="double" w:sz="6" w:space="0" w:color="auto"/>
              <w:right w:val="single" w:sz="4" w:space="0" w:color="auto"/>
            </w:tcBorders>
          </w:tcPr>
          <w:p w14:paraId="39F25AA9" w14:textId="77777777" w:rsidR="00DF074F" w:rsidRPr="000A7AE8" w:rsidRDefault="00DF074F" w:rsidP="00C02EB7">
            <w:pPr>
              <w:pStyle w:val="BMSTableText"/>
              <w:jc w:val="left"/>
            </w:pPr>
            <w:r w:rsidRPr="000A7AE8">
              <w:t>Volume of distribution (</w:t>
            </w:r>
            <w:proofErr w:type="spellStart"/>
            <w:r w:rsidRPr="000A7AE8">
              <w:t>Vss</w:t>
            </w:r>
            <w:proofErr w:type="spellEnd"/>
            <w:r w:rsidRPr="000A7AE8">
              <w:t>) [L/kg]</w:t>
            </w:r>
          </w:p>
        </w:tc>
        <w:tc>
          <w:tcPr>
            <w:tcW w:w="2610" w:type="dxa"/>
            <w:tcBorders>
              <w:top w:val="single" w:sz="4" w:space="0" w:color="auto"/>
              <w:left w:val="single" w:sz="4" w:space="0" w:color="auto"/>
              <w:bottom w:val="double" w:sz="6" w:space="0" w:color="auto"/>
              <w:right w:val="single" w:sz="4" w:space="0" w:color="auto"/>
            </w:tcBorders>
          </w:tcPr>
          <w:p w14:paraId="218CD9C4" w14:textId="77777777" w:rsidR="00DF074F" w:rsidRPr="000A7AE8" w:rsidRDefault="00DF074F" w:rsidP="00C02EB7">
            <w:pPr>
              <w:pStyle w:val="BMSTableText"/>
            </w:pPr>
            <w:r w:rsidRPr="000A7AE8">
              <w:t>0.09 (0.06-0.13)</w:t>
            </w:r>
          </w:p>
        </w:tc>
        <w:tc>
          <w:tcPr>
            <w:tcW w:w="2988" w:type="dxa"/>
            <w:tcBorders>
              <w:top w:val="single" w:sz="4" w:space="0" w:color="auto"/>
              <w:left w:val="single" w:sz="4" w:space="0" w:color="auto"/>
              <w:bottom w:val="double" w:sz="6" w:space="0" w:color="auto"/>
              <w:right w:val="nil"/>
            </w:tcBorders>
          </w:tcPr>
          <w:p w14:paraId="338AFBE9" w14:textId="77777777" w:rsidR="00DF074F" w:rsidRPr="000A7AE8" w:rsidRDefault="00DF074F" w:rsidP="00C02EB7">
            <w:pPr>
              <w:pStyle w:val="BMSTableText"/>
            </w:pPr>
            <w:r w:rsidRPr="000A7AE8">
              <w:t>0.07 (0.02-0.13)</w:t>
            </w:r>
          </w:p>
        </w:tc>
      </w:tr>
      <w:tr w:rsidR="000A7AE8" w:rsidRPr="000A7AE8" w14:paraId="73CA48D1" w14:textId="77777777" w:rsidTr="00C02EB7">
        <w:trPr>
          <w:trHeight w:val="73"/>
        </w:trPr>
        <w:tc>
          <w:tcPr>
            <w:tcW w:w="8856" w:type="dxa"/>
            <w:gridSpan w:val="3"/>
            <w:tcBorders>
              <w:top w:val="nil"/>
              <w:left w:val="nil"/>
              <w:bottom w:val="nil"/>
              <w:right w:val="nil"/>
            </w:tcBorders>
          </w:tcPr>
          <w:p w14:paraId="6A0598F8" w14:textId="43CD156D" w:rsidR="00DF074F" w:rsidRPr="000A7AE8" w:rsidRDefault="00DF074F" w:rsidP="000A7AE8">
            <w:pPr>
              <w:pStyle w:val="BMSTableNoteInfo"/>
              <w:spacing w:before="0" w:after="240"/>
              <w:rPr>
                <w:color w:val="auto"/>
                <w:vertAlign w:val="superscript"/>
              </w:rPr>
            </w:pPr>
            <w:proofErr w:type="gramStart"/>
            <w:r w:rsidRPr="000A7AE8">
              <w:rPr>
                <w:color w:val="auto"/>
                <w:vertAlign w:val="superscript"/>
              </w:rPr>
              <w:t>a</w:t>
            </w:r>
            <w:proofErr w:type="gramEnd"/>
            <w:r w:rsidRPr="000A7AE8">
              <w:rPr>
                <w:color w:val="auto"/>
                <w:vertAlign w:val="superscript"/>
              </w:rPr>
              <w:t xml:space="preserve"> </w:t>
            </w:r>
            <w:r w:rsidRPr="000A7AE8">
              <w:rPr>
                <w:color w:val="auto"/>
                <w:sz w:val="18"/>
              </w:rPr>
              <w:t xml:space="preserve">Multiple intravenous infusions were administered at </w:t>
            </w:r>
            <w:r w:rsidR="009B6B37" w:rsidRPr="000A7AE8">
              <w:rPr>
                <w:color w:val="auto"/>
                <w:sz w:val="18"/>
              </w:rPr>
              <w:t>D</w:t>
            </w:r>
            <w:r w:rsidRPr="000A7AE8">
              <w:rPr>
                <w:color w:val="auto"/>
                <w:sz w:val="18"/>
              </w:rPr>
              <w:t xml:space="preserve">ays 1, 15, 30, and monthly thereafter. </w:t>
            </w:r>
          </w:p>
        </w:tc>
      </w:tr>
    </w:tbl>
    <w:p w14:paraId="077D33E0" w14:textId="2DBBD589" w:rsidR="00DF074F" w:rsidRPr="000A7AE8" w:rsidRDefault="00DF074F" w:rsidP="00DF074F">
      <w:r w:rsidRPr="000A7AE8">
        <w:t xml:space="preserve">The pharmacokinetics of </w:t>
      </w:r>
      <w:proofErr w:type="spellStart"/>
      <w:r w:rsidRPr="000A7AE8">
        <w:t>abatacept</w:t>
      </w:r>
      <w:proofErr w:type="spellEnd"/>
      <w:r w:rsidRPr="000A7AE8">
        <w:t xml:space="preserve"> in RA patients and healthy subjects appeared to be comparable. In RA patients, after multiple intravenous infusions, the pharmacokinetics of </w:t>
      </w:r>
      <w:proofErr w:type="spellStart"/>
      <w:r w:rsidRPr="000A7AE8">
        <w:t>abatacept</w:t>
      </w:r>
      <w:proofErr w:type="spellEnd"/>
      <w:r w:rsidRPr="000A7AE8">
        <w:t xml:space="preserve"> showed proportional increases of </w:t>
      </w:r>
      <w:proofErr w:type="spellStart"/>
      <w:r w:rsidRPr="000A7AE8">
        <w:t>C</w:t>
      </w:r>
      <w:r w:rsidRPr="000A7AE8">
        <w:rPr>
          <w:rStyle w:val="BMSSubscript"/>
        </w:rPr>
        <w:t>max</w:t>
      </w:r>
      <w:proofErr w:type="spellEnd"/>
      <w:r w:rsidRPr="000A7AE8">
        <w:t xml:space="preserve"> and AUC over the dose range of 2 mg/kg to 10 mg/kg. At 10 mg/kg, serum concentration appeared to reach a steady-state by </w:t>
      </w:r>
      <w:r w:rsidR="009B6B37" w:rsidRPr="000A7AE8">
        <w:t>D</w:t>
      </w:r>
      <w:r w:rsidRPr="000A7AE8">
        <w:t>ay 60 with a mean (range) trough concentration of 24 (1-66) mcg/</w:t>
      </w:r>
      <w:proofErr w:type="spellStart"/>
      <w:r w:rsidRPr="000A7AE8">
        <w:t>mL.</w:t>
      </w:r>
      <w:proofErr w:type="spellEnd"/>
      <w:r w:rsidRPr="000A7AE8">
        <w:t xml:space="preserve"> No systemic accumulation of </w:t>
      </w:r>
      <w:proofErr w:type="spellStart"/>
      <w:r w:rsidRPr="000A7AE8">
        <w:t>abatacept</w:t>
      </w:r>
      <w:proofErr w:type="spellEnd"/>
      <w:r w:rsidRPr="000A7AE8">
        <w:t xml:space="preserve"> occurred upon continued repeated treatment with 10 mg/kg at monthly intervals in RA patients. </w:t>
      </w:r>
    </w:p>
    <w:p w14:paraId="693BC1E2" w14:textId="77777777" w:rsidR="00DF074F" w:rsidRPr="000A7AE8" w:rsidRDefault="00DF074F" w:rsidP="00DF074F">
      <w:r w:rsidRPr="000A7AE8">
        <w:t xml:space="preserve">Population pharmacokinetic analyses in RA patients revealed that there was a trend toward higher clearance of </w:t>
      </w:r>
      <w:proofErr w:type="spellStart"/>
      <w:r w:rsidRPr="000A7AE8">
        <w:t>abatacept</w:t>
      </w:r>
      <w:proofErr w:type="spellEnd"/>
      <w:r w:rsidRPr="000A7AE8">
        <w:t xml:space="preserve"> with increasing body weight. Age and gender (when corrected for body weight) did not affect clearance. Concomitant MTX, NSAIDs, corticosteroids, and TNF blocking agents did not influence </w:t>
      </w:r>
      <w:proofErr w:type="spellStart"/>
      <w:r w:rsidRPr="000A7AE8">
        <w:t>abatacept</w:t>
      </w:r>
      <w:proofErr w:type="spellEnd"/>
      <w:r w:rsidRPr="000A7AE8">
        <w:t xml:space="preserve"> clearance. </w:t>
      </w:r>
    </w:p>
    <w:p w14:paraId="5FA28715" w14:textId="77777777" w:rsidR="00DF074F" w:rsidRPr="000A7AE8" w:rsidRDefault="00DF074F" w:rsidP="00DF074F">
      <w:pPr>
        <w:pStyle w:val="Heading3"/>
      </w:pPr>
      <w:r w:rsidRPr="000A7AE8">
        <w:t>Adult RA - Subcutaneous Administration</w:t>
      </w:r>
    </w:p>
    <w:p w14:paraId="162ADE05" w14:textId="77777777" w:rsidR="00873CA1" w:rsidRPr="000A7AE8" w:rsidRDefault="00873CA1" w:rsidP="00C02EB7">
      <w:pPr>
        <w:pStyle w:val="Heading4"/>
      </w:pPr>
      <w:r w:rsidRPr="000A7AE8">
        <w:t>Absorption</w:t>
      </w:r>
    </w:p>
    <w:p w14:paraId="1569288F" w14:textId="77777777" w:rsidR="00BD0822" w:rsidRPr="000A7AE8" w:rsidRDefault="00BD0822" w:rsidP="00BD0822">
      <w:proofErr w:type="spellStart"/>
      <w:r w:rsidRPr="000A7AE8">
        <w:t>Abatacept</w:t>
      </w:r>
      <w:proofErr w:type="spellEnd"/>
      <w:r w:rsidRPr="000A7AE8">
        <w:t xml:space="preserve"> is administered subcutaneously.</w:t>
      </w:r>
    </w:p>
    <w:p w14:paraId="20F0DD83" w14:textId="77777777" w:rsidR="00873CA1" w:rsidRPr="000A7AE8" w:rsidRDefault="00873CA1" w:rsidP="00C02EB7">
      <w:pPr>
        <w:pStyle w:val="Heading4"/>
      </w:pPr>
      <w:r w:rsidRPr="000A7AE8">
        <w:t>Distribution</w:t>
      </w:r>
    </w:p>
    <w:p w14:paraId="792524E1" w14:textId="77777777" w:rsidR="00DF074F" w:rsidRPr="000A7AE8" w:rsidRDefault="00DF074F" w:rsidP="00873CA1">
      <w:proofErr w:type="spellStart"/>
      <w:r w:rsidRPr="000A7AE8">
        <w:t>Abatacept</w:t>
      </w:r>
      <w:proofErr w:type="spellEnd"/>
      <w:r w:rsidRPr="000A7AE8">
        <w:t xml:space="preserve"> exhibited linear pharmacokinetics following subcutaneous administration. The mean (range) for </w:t>
      </w:r>
      <w:proofErr w:type="spellStart"/>
      <w:r w:rsidRPr="000A7AE8">
        <w:t>C</w:t>
      </w:r>
      <w:r w:rsidRPr="000A7AE8">
        <w:rPr>
          <w:rStyle w:val="BMSSubscript"/>
        </w:rPr>
        <w:t>min</w:t>
      </w:r>
      <w:proofErr w:type="spellEnd"/>
      <w:r w:rsidRPr="000A7AE8">
        <w:t xml:space="preserve"> and </w:t>
      </w:r>
      <w:proofErr w:type="spellStart"/>
      <w:r w:rsidRPr="000A7AE8">
        <w:t>C</w:t>
      </w:r>
      <w:r w:rsidRPr="000A7AE8">
        <w:rPr>
          <w:rStyle w:val="BMSSubscript"/>
        </w:rPr>
        <w:t>max</w:t>
      </w:r>
      <w:proofErr w:type="spellEnd"/>
      <w:r w:rsidRPr="000A7AE8">
        <w:t xml:space="preserve"> at steady state observed after 85 days of treatment was 32.5 mcg/mL (6.6 to 113.8 mcg/mL) and 48.1 mcg/mL (9.8 to 132.4 mcg/mL), respectively. The bioavailability of </w:t>
      </w:r>
      <w:proofErr w:type="spellStart"/>
      <w:r w:rsidRPr="000A7AE8">
        <w:t>abatacept</w:t>
      </w:r>
      <w:proofErr w:type="spellEnd"/>
      <w:r w:rsidRPr="000A7AE8">
        <w:t xml:space="preserve"> following subcutaneous administration relative to intravenous administration is 78.6%. Mean estimates for systemic clearance (0.28 mL/h/kg), volume of distribution (0.11 L/kg), and terminal half-life (14.3 days) were comparable between SC and IV administration. </w:t>
      </w:r>
    </w:p>
    <w:p w14:paraId="2104B1A5" w14:textId="77777777" w:rsidR="00DF074F" w:rsidRPr="000A7AE8" w:rsidRDefault="00DF074F" w:rsidP="00873CA1">
      <w:r w:rsidRPr="000A7AE8">
        <w:t xml:space="preserve">A single study was conducted to determine the effect of monotherapy use of </w:t>
      </w:r>
      <w:proofErr w:type="spellStart"/>
      <w:r w:rsidRPr="000A7AE8">
        <w:t>abatacept</w:t>
      </w:r>
      <w:proofErr w:type="spellEnd"/>
      <w:r w:rsidRPr="000A7AE8">
        <w:t xml:space="preserve"> on immunogenicity following subcutaneous administration without an IV load. When the IV loading dose was not administered, a mean trough concentration </w:t>
      </w:r>
      <w:proofErr w:type="gramStart"/>
      <w:r w:rsidRPr="000A7AE8">
        <w:t>of 12.6 mcg/mL</w:t>
      </w:r>
      <w:proofErr w:type="gramEnd"/>
      <w:r w:rsidRPr="000A7AE8">
        <w:t xml:space="preserve"> was achieved after 2 weeks of dosing.  The efficacy response over time in this study appeared consistent with studies that included an IV loading dose, however, the effect of no IV load on the onset of efficacy has not been formally studied.  </w:t>
      </w:r>
    </w:p>
    <w:p w14:paraId="4C1FBB9E" w14:textId="77777777" w:rsidR="00DF074F" w:rsidRPr="000A7AE8" w:rsidRDefault="00DF074F" w:rsidP="00873CA1">
      <w:r w:rsidRPr="000A7AE8">
        <w:t xml:space="preserve">Consistent with the IV data, population pharmacokinetic analyses for SC </w:t>
      </w:r>
      <w:proofErr w:type="spellStart"/>
      <w:r w:rsidRPr="000A7AE8">
        <w:t>abatacept</w:t>
      </w:r>
      <w:proofErr w:type="spellEnd"/>
      <w:r w:rsidRPr="000A7AE8">
        <w:t xml:space="preserve"> in RA patients revealed that there was a trend toward higher clearance of </w:t>
      </w:r>
      <w:proofErr w:type="spellStart"/>
      <w:r w:rsidRPr="000A7AE8">
        <w:t>abatacept</w:t>
      </w:r>
      <w:proofErr w:type="spellEnd"/>
      <w:r w:rsidRPr="000A7AE8">
        <w:t xml:space="preserve"> with increasing body weight. Age and gender (when corrected for body weight) did not affect apparent clearance. Concomitant MTX, NSAIDs, corticosteroids, and TNF blocking agents did not influence </w:t>
      </w:r>
      <w:proofErr w:type="spellStart"/>
      <w:r w:rsidRPr="000A7AE8">
        <w:t>abatacept</w:t>
      </w:r>
      <w:proofErr w:type="spellEnd"/>
      <w:r w:rsidRPr="000A7AE8">
        <w:t xml:space="preserve"> apparent clearance.</w:t>
      </w:r>
    </w:p>
    <w:p w14:paraId="7806B674" w14:textId="77777777" w:rsidR="00DF074F" w:rsidRPr="000A7AE8" w:rsidRDefault="00DF074F" w:rsidP="00873CA1">
      <w:pPr>
        <w:pStyle w:val="Heading3"/>
      </w:pPr>
      <w:r w:rsidRPr="000A7AE8">
        <w:lastRenderedPageBreak/>
        <w:t>Adult psoriatic arthritis</w:t>
      </w:r>
    </w:p>
    <w:p w14:paraId="34927F72" w14:textId="77777777" w:rsidR="00DF074F" w:rsidRPr="000A7AE8" w:rsidRDefault="00DF074F" w:rsidP="00873CA1">
      <w:pPr>
        <w:rPr>
          <w:lang w:val="en-US"/>
        </w:rPr>
      </w:pPr>
      <w:r w:rsidRPr="000A7AE8">
        <w:rPr>
          <w:lang w:val="en-US"/>
        </w:rPr>
        <w:t xml:space="preserve">In </w:t>
      </w:r>
      <w:proofErr w:type="spellStart"/>
      <w:r w:rsidRPr="000A7AE8">
        <w:rPr>
          <w:lang w:val="en-US"/>
        </w:rPr>
        <w:t>PsA</w:t>
      </w:r>
      <w:proofErr w:type="spellEnd"/>
      <w:r w:rsidRPr="000A7AE8">
        <w:rPr>
          <w:lang w:val="en-US"/>
        </w:rPr>
        <w:t xml:space="preserve">-I, patients were randomized to receive IV placebo or </w:t>
      </w:r>
      <w:proofErr w:type="spellStart"/>
      <w:r w:rsidRPr="000A7AE8">
        <w:rPr>
          <w:lang w:val="en-US"/>
        </w:rPr>
        <w:t>abatacept</w:t>
      </w:r>
      <w:proofErr w:type="spellEnd"/>
      <w:r w:rsidRPr="000A7AE8">
        <w:rPr>
          <w:lang w:val="en-US"/>
        </w:rPr>
        <w:t xml:space="preserve"> 3 mg/kg (3/3 mg/kg), 10 mg/kg (10/10 mg/kg), or two doses of 30 mg/kg followed by 10 mg/kg (30/10 mg/kg), on Day 1, 15, 29, and then every 28 days thereafter. In this study, the steady-state concentrations of </w:t>
      </w:r>
      <w:proofErr w:type="spellStart"/>
      <w:r w:rsidRPr="000A7AE8">
        <w:rPr>
          <w:lang w:val="en-US"/>
        </w:rPr>
        <w:t>abatacept</w:t>
      </w:r>
      <w:proofErr w:type="spellEnd"/>
      <w:r w:rsidRPr="000A7AE8">
        <w:rPr>
          <w:lang w:val="en-US"/>
        </w:rPr>
        <w:t xml:space="preserve"> were dose-related. The geometric mean (</w:t>
      </w:r>
      <w:proofErr w:type="gramStart"/>
      <w:r w:rsidRPr="000A7AE8">
        <w:rPr>
          <w:lang w:val="en-US"/>
        </w:rPr>
        <w:t>CV%</w:t>
      </w:r>
      <w:proofErr w:type="gramEnd"/>
      <w:r w:rsidRPr="000A7AE8">
        <w:rPr>
          <w:lang w:val="en-US"/>
        </w:rPr>
        <w:t xml:space="preserve">) </w:t>
      </w:r>
      <w:proofErr w:type="spellStart"/>
      <w:r w:rsidRPr="000A7AE8">
        <w:rPr>
          <w:lang w:val="en-US"/>
        </w:rPr>
        <w:t>Cmin</w:t>
      </w:r>
      <w:proofErr w:type="spellEnd"/>
      <w:r w:rsidRPr="000A7AE8">
        <w:rPr>
          <w:lang w:val="en-US"/>
        </w:rPr>
        <w:t xml:space="preserve"> at Day 169 were </w:t>
      </w:r>
      <w:proofErr w:type="gramStart"/>
      <w:r w:rsidRPr="000A7AE8">
        <w:rPr>
          <w:lang w:val="en-US"/>
        </w:rPr>
        <w:t>7.8 µg/mL (56.3%) for the 3/3 mg/kg</w:t>
      </w:r>
      <w:proofErr w:type="gramEnd"/>
      <w:r w:rsidRPr="000A7AE8">
        <w:rPr>
          <w:lang w:val="en-US"/>
        </w:rPr>
        <w:t>, 24.3 µg/mL (40.8%) for 10/10 mg/kg, and 26.6 µg/mL (39.0%) for the 30/10 mg/kg regimens.</w:t>
      </w:r>
    </w:p>
    <w:p w14:paraId="73300344" w14:textId="19FBA191" w:rsidR="00DF074F" w:rsidRPr="000A7AE8" w:rsidRDefault="00DF074F" w:rsidP="00873CA1">
      <w:pPr>
        <w:rPr>
          <w:lang w:val="en-US"/>
        </w:rPr>
      </w:pPr>
      <w:r w:rsidRPr="000A7AE8">
        <w:rPr>
          <w:lang w:val="en-US"/>
        </w:rPr>
        <w:t xml:space="preserve">In </w:t>
      </w:r>
      <w:r w:rsidR="00155B80" w:rsidRPr="000A7AE8">
        <w:rPr>
          <w:lang w:val="en-US"/>
        </w:rPr>
        <w:t>S</w:t>
      </w:r>
      <w:r w:rsidRPr="000A7AE8">
        <w:rPr>
          <w:lang w:val="en-US"/>
        </w:rPr>
        <w:t xml:space="preserve">tudy </w:t>
      </w:r>
      <w:proofErr w:type="spellStart"/>
      <w:r w:rsidRPr="000A7AE8">
        <w:rPr>
          <w:lang w:val="en-US"/>
        </w:rPr>
        <w:t>PsA</w:t>
      </w:r>
      <w:proofErr w:type="spellEnd"/>
      <w:r w:rsidRPr="000A7AE8">
        <w:rPr>
          <w:lang w:val="en-US"/>
        </w:rPr>
        <w:t xml:space="preserve">-II following weekly SC administration of </w:t>
      </w:r>
      <w:proofErr w:type="spellStart"/>
      <w:r w:rsidRPr="000A7AE8">
        <w:rPr>
          <w:lang w:val="en-US"/>
        </w:rPr>
        <w:t>abatacept</w:t>
      </w:r>
      <w:proofErr w:type="spellEnd"/>
      <w:r w:rsidRPr="000A7AE8">
        <w:rPr>
          <w:lang w:val="en-US"/>
        </w:rPr>
        <w:t xml:space="preserve"> at 125 mg, steady-state of </w:t>
      </w:r>
      <w:proofErr w:type="spellStart"/>
      <w:r w:rsidRPr="000A7AE8">
        <w:rPr>
          <w:lang w:val="en-US"/>
        </w:rPr>
        <w:t>abatacept</w:t>
      </w:r>
      <w:proofErr w:type="spellEnd"/>
      <w:r w:rsidRPr="000A7AE8">
        <w:rPr>
          <w:lang w:val="en-US"/>
        </w:rPr>
        <w:t xml:space="preserve"> was reached at Day 57 with the geometric mean (CV%) </w:t>
      </w:r>
      <w:proofErr w:type="spellStart"/>
      <w:proofErr w:type="gramStart"/>
      <w:r w:rsidRPr="000A7AE8">
        <w:rPr>
          <w:lang w:val="en-US"/>
        </w:rPr>
        <w:t>Cmin</w:t>
      </w:r>
      <w:proofErr w:type="spellEnd"/>
      <w:r w:rsidRPr="000A7AE8">
        <w:rPr>
          <w:lang w:val="en-US"/>
        </w:rPr>
        <w:t xml:space="preserve"> ranging from 22.3 (54.2%) to 25.6 (47.7%) µg/mL on Days 57 to 169, respectively.</w:t>
      </w:r>
      <w:proofErr w:type="gramEnd"/>
      <w:r w:rsidRPr="000A7AE8">
        <w:rPr>
          <w:lang w:val="en-US"/>
        </w:rPr>
        <w:t xml:space="preserve"> </w:t>
      </w:r>
    </w:p>
    <w:p w14:paraId="13FA3327" w14:textId="77777777" w:rsidR="00DF074F" w:rsidRPr="000A7AE8" w:rsidRDefault="00DF074F" w:rsidP="00873CA1">
      <w:r w:rsidRPr="000A7AE8">
        <w:t xml:space="preserve">Consistent with the results observed earlier in RA patients, population pharmacokinetic analyses for </w:t>
      </w:r>
      <w:proofErr w:type="spellStart"/>
      <w:r w:rsidRPr="000A7AE8">
        <w:t>abatacept</w:t>
      </w:r>
      <w:proofErr w:type="spellEnd"/>
      <w:r w:rsidRPr="000A7AE8">
        <w:t xml:space="preserve"> in </w:t>
      </w:r>
      <w:proofErr w:type="spellStart"/>
      <w:r w:rsidRPr="000A7AE8">
        <w:t>PsA</w:t>
      </w:r>
      <w:proofErr w:type="spellEnd"/>
      <w:r w:rsidRPr="000A7AE8">
        <w:t xml:space="preserve"> patients revealed that there was a trend toward higher clearance (L/h) of </w:t>
      </w:r>
      <w:proofErr w:type="spellStart"/>
      <w:r w:rsidRPr="000A7AE8">
        <w:t>abatacept</w:t>
      </w:r>
      <w:proofErr w:type="spellEnd"/>
      <w:r w:rsidRPr="000A7AE8">
        <w:t xml:space="preserve"> with increasing body weight. In addition, relative to the RA patients with the same body weight, </w:t>
      </w:r>
      <w:proofErr w:type="spellStart"/>
      <w:r w:rsidRPr="000A7AE8">
        <w:t>abatacept</w:t>
      </w:r>
      <w:proofErr w:type="spellEnd"/>
      <w:r w:rsidRPr="000A7AE8">
        <w:t xml:space="preserve"> clearance in </w:t>
      </w:r>
      <w:proofErr w:type="spellStart"/>
      <w:r w:rsidRPr="000A7AE8">
        <w:t>PsA</w:t>
      </w:r>
      <w:proofErr w:type="spellEnd"/>
      <w:r w:rsidRPr="000A7AE8">
        <w:t xml:space="preserve"> patients was approximately 8% lower, resulting in higher </w:t>
      </w:r>
      <w:proofErr w:type="spellStart"/>
      <w:r w:rsidRPr="000A7AE8">
        <w:t>abatacept</w:t>
      </w:r>
      <w:proofErr w:type="spellEnd"/>
      <w:r w:rsidRPr="000A7AE8">
        <w:t xml:space="preserve"> exposures in patients with </w:t>
      </w:r>
      <w:proofErr w:type="spellStart"/>
      <w:r w:rsidRPr="000A7AE8">
        <w:t>PsA.</w:t>
      </w:r>
      <w:proofErr w:type="spellEnd"/>
      <w:r w:rsidRPr="000A7AE8">
        <w:t xml:space="preserve"> This slight difference in exposures between the two diseases, however, is not considered to be clinically meaningful.</w:t>
      </w:r>
    </w:p>
    <w:p w14:paraId="008924EE" w14:textId="1126D460" w:rsidR="00DF074F" w:rsidRPr="000A7AE8" w:rsidRDefault="00DF074F" w:rsidP="00DF074F">
      <w:pPr>
        <w:pStyle w:val="BMSBodyText"/>
        <w:spacing w:line="240" w:lineRule="auto"/>
        <w:rPr>
          <w:rFonts w:ascii="Times New Roman Bold" w:hAnsi="Times New Roman Bold"/>
          <w:b/>
          <w:color w:val="auto"/>
        </w:rPr>
      </w:pPr>
      <w:bookmarkStart w:id="77" w:name="_Toc132615526"/>
      <w:r w:rsidRPr="000A7AE8">
        <w:rPr>
          <w:rFonts w:ascii="Times New Roman Bold" w:hAnsi="Times New Roman Bold"/>
          <w:b/>
          <w:color w:val="auto"/>
        </w:rPr>
        <w:t>Metabolism</w:t>
      </w:r>
      <w:bookmarkEnd w:id="77"/>
      <w:r w:rsidRPr="000A7AE8">
        <w:rPr>
          <w:rFonts w:ascii="Times New Roman Bold" w:hAnsi="Times New Roman Bold"/>
          <w:b/>
          <w:color w:val="auto"/>
        </w:rPr>
        <w:t xml:space="preserve"> </w:t>
      </w:r>
    </w:p>
    <w:p w14:paraId="791087C7" w14:textId="77777777" w:rsidR="00BD0822" w:rsidRPr="000A7AE8" w:rsidRDefault="00BD0822" w:rsidP="00BD0822">
      <w:r w:rsidRPr="000A7AE8">
        <w:t xml:space="preserve">Studies were not carried out to evaluate the metabolism of </w:t>
      </w:r>
      <w:proofErr w:type="spellStart"/>
      <w:r w:rsidRPr="000A7AE8">
        <w:t>abatacept</w:t>
      </w:r>
      <w:proofErr w:type="spellEnd"/>
      <w:r w:rsidRPr="000A7AE8">
        <w:t xml:space="preserve"> in humans. Owing to steric and hydrophilic considerations, </w:t>
      </w:r>
      <w:proofErr w:type="spellStart"/>
      <w:r w:rsidRPr="000A7AE8">
        <w:t>abatacept</w:t>
      </w:r>
      <w:proofErr w:type="spellEnd"/>
      <w:r w:rsidRPr="000A7AE8">
        <w:t xml:space="preserve"> would not be metabolized by liver cytochrome P450 enzymes. </w:t>
      </w:r>
    </w:p>
    <w:p w14:paraId="7E9E578E" w14:textId="661160F7" w:rsidR="00A35C16" w:rsidRPr="000A7AE8" w:rsidRDefault="00A35C16" w:rsidP="00DF074F">
      <w:pPr>
        <w:rPr>
          <w:rFonts w:ascii="Times New Roman Bold" w:hAnsi="Times New Roman Bold"/>
          <w:b/>
        </w:rPr>
      </w:pPr>
      <w:r w:rsidRPr="000A7AE8">
        <w:rPr>
          <w:rFonts w:ascii="Times New Roman Bold" w:hAnsi="Times New Roman Bold"/>
          <w:b/>
        </w:rPr>
        <w:t>Excretion</w:t>
      </w:r>
    </w:p>
    <w:p w14:paraId="0E349430" w14:textId="77777777" w:rsidR="00BD0822" w:rsidRPr="000A7AE8" w:rsidRDefault="00BD0822" w:rsidP="00BD0822">
      <w:bookmarkStart w:id="78" w:name="_Toc96146342"/>
      <w:bookmarkStart w:id="79" w:name="_Toc522071764"/>
      <w:bookmarkStart w:id="80" w:name="_Toc1971396"/>
      <w:bookmarkStart w:id="81" w:name="_Toc2059784"/>
      <w:bookmarkStart w:id="82" w:name="_Toc2060993"/>
      <w:bookmarkStart w:id="83" w:name="_Toc2061100"/>
      <w:bookmarkStart w:id="84" w:name="_Toc2061611"/>
      <w:bookmarkStart w:id="85" w:name="_Toc2061675"/>
      <w:bookmarkStart w:id="86" w:name="_Toc2061740"/>
      <w:bookmarkStart w:id="87" w:name="_Toc2062056"/>
      <w:r w:rsidRPr="000A7AE8">
        <w:t xml:space="preserve">Studies were not carried out to evaluate the elimination of </w:t>
      </w:r>
      <w:proofErr w:type="spellStart"/>
      <w:r w:rsidRPr="000A7AE8">
        <w:t>abatacept</w:t>
      </w:r>
      <w:proofErr w:type="spellEnd"/>
      <w:r w:rsidRPr="000A7AE8">
        <w:t xml:space="preserve"> in humans. Because of its large molecular weight </w:t>
      </w:r>
      <w:proofErr w:type="spellStart"/>
      <w:r w:rsidRPr="000A7AE8">
        <w:t>abatacept</w:t>
      </w:r>
      <w:proofErr w:type="spellEnd"/>
      <w:r w:rsidRPr="000A7AE8">
        <w:t xml:space="preserve"> is not expected to undergo renal elimination.</w:t>
      </w:r>
    </w:p>
    <w:p w14:paraId="316FEEC0" w14:textId="77777777" w:rsidR="00DF074F" w:rsidRPr="000A7AE8" w:rsidRDefault="00DF074F" w:rsidP="00DF074F">
      <w:pPr>
        <w:pStyle w:val="BMSBodyText"/>
        <w:spacing w:line="240" w:lineRule="auto"/>
        <w:rPr>
          <w:rFonts w:ascii="Times New Roman Bold" w:hAnsi="Times New Roman Bold"/>
          <w:b/>
          <w:i/>
          <w:color w:val="auto"/>
        </w:rPr>
      </w:pPr>
      <w:r w:rsidRPr="000A7AE8">
        <w:rPr>
          <w:rFonts w:ascii="Times New Roman Bold" w:hAnsi="Times New Roman Bold"/>
          <w:b/>
          <w:i/>
          <w:color w:val="auto"/>
        </w:rPr>
        <w:t>Special populations</w:t>
      </w:r>
      <w:bookmarkEnd w:id="78"/>
    </w:p>
    <w:p w14:paraId="265A2A18" w14:textId="77777777" w:rsidR="00DF074F" w:rsidRPr="000A7AE8" w:rsidRDefault="00DF074F" w:rsidP="00DF074F">
      <w:pPr>
        <w:rPr>
          <w:i/>
        </w:rPr>
      </w:pPr>
      <w:r w:rsidRPr="000A7AE8">
        <w:rPr>
          <w:bCs/>
          <w:i/>
        </w:rPr>
        <w:t>Paediatric and Adolescent</w:t>
      </w:r>
      <w:r w:rsidRPr="000A7AE8">
        <w:rPr>
          <w:i/>
        </w:rPr>
        <w:t xml:space="preserve"> Patients</w:t>
      </w:r>
    </w:p>
    <w:p w14:paraId="2E26FDCD" w14:textId="62451B93" w:rsidR="00DF074F" w:rsidRPr="000A7AE8" w:rsidRDefault="00DF074F" w:rsidP="00DF074F">
      <w:r w:rsidRPr="000A7AE8">
        <w:t xml:space="preserve">Population pharmacokinetic analysis of </w:t>
      </w:r>
      <w:proofErr w:type="spellStart"/>
      <w:r w:rsidRPr="000A7AE8">
        <w:t>abatacept</w:t>
      </w:r>
      <w:proofErr w:type="spellEnd"/>
      <w:r w:rsidRPr="000A7AE8">
        <w:t xml:space="preserve"> serum concentration data from patients with juvenile idiopathic arthritis (JIA) aged 6 to 17 years following administration of </w:t>
      </w:r>
      <w:proofErr w:type="spellStart"/>
      <w:r w:rsidRPr="000A7AE8">
        <w:t>abatacept</w:t>
      </w:r>
      <w:proofErr w:type="spellEnd"/>
      <w:r w:rsidRPr="000A7AE8">
        <w:t xml:space="preserve"> 10 mg/kg revealed that the estimated clearance of </w:t>
      </w:r>
      <w:proofErr w:type="spellStart"/>
      <w:r w:rsidRPr="000A7AE8">
        <w:t>abatacept</w:t>
      </w:r>
      <w:proofErr w:type="spellEnd"/>
      <w:r w:rsidRPr="000A7AE8">
        <w:t>, when normalized for baseline body weight, was higher in JIA patients (0.44 m</w:t>
      </w:r>
      <w:r w:rsidR="009B6B37" w:rsidRPr="000A7AE8">
        <w:t>L</w:t>
      </w:r>
      <w:r w:rsidRPr="000A7AE8">
        <w:t xml:space="preserve">/h/kg) versus adult RA patients. After accounting for the effect of body weight, the clearance of </w:t>
      </w:r>
      <w:proofErr w:type="spellStart"/>
      <w:r w:rsidRPr="000A7AE8">
        <w:t>abatacept</w:t>
      </w:r>
      <w:proofErr w:type="spellEnd"/>
      <w:r w:rsidRPr="000A7AE8">
        <w:t xml:space="preserve"> was not related to age or gender. Mean estimates for distribution volume and elimination half-life were 0.12 </w:t>
      </w:r>
      <w:r w:rsidR="009B6B37" w:rsidRPr="000A7AE8">
        <w:t>L</w:t>
      </w:r>
      <w:r w:rsidRPr="000A7AE8">
        <w:t xml:space="preserve">/kg and 11.2 days, respectively. As a result of the higher body-weight normalized clearance in JIA patients, the predicted systemic exposure of </w:t>
      </w:r>
      <w:proofErr w:type="spellStart"/>
      <w:r w:rsidRPr="000A7AE8">
        <w:t>abatacept</w:t>
      </w:r>
      <w:proofErr w:type="spellEnd"/>
      <w:r w:rsidRPr="000A7AE8">
        <w:t xml:space="preserve"> was lower than that observed in adults, such that the observed mean (range) peak and trough concentrations were 217 (57 to 700) and 11.9 (0.15 to 44.6) mcg/mL, respectively. Administration of other concomitant medications such as methotrexate, corticosteroids, and NSAIDs did not influence the clearance of </w:t>
      </w:r>
      <w:proofErr w:type="spellStart"/>
      <w:r w:rsidRPr="000A7AE8">
        <w:t>abatacept</w:t>
      </w:r>
      <w:proofErr w:type="spellEnd"/>
      <w:r w:rsidRPr="000A7AE8">
        <w:t xml:space="preserve"> in JIA patients. </w:t>
      </w:r>
    </w:p>
    <w:p w14:paraId="28E36C97" w14:textId="4463F06D" w:rsidR="00DF074F" w:rsidRPr="000A7AE8" w:rsidRDefault="00DF074F" w:rsidP="00DF074F">
      <w:pPr>
        <w:rPr>
          <w:u w:val="single"/>
        </w:rPr>
      </w:pPr>
      <w:r w:rsidRPr="000A7AE8">
        <w:t xml:space="preserve">No formal studies were conducted to examine the effects of either renal or hepatic impairment on the pharmacokinetics of </w:t>
      </w:r>
      <w:proofErr w:type="spellStart"/>
      <w:r w:rsidRPr="000A7AE8">
        <w:t>abatacept</w:t>
      </w:r>
      <w:proofErr w:type="spellEnd"/>
      <w:r w:rsidRPr="000A7AE8">
        <w:t>. Thus</w:t>
      </w:r>
      <w:r w:rsidR="009B6B37" w:rsidRPr="000A7AE8">
        <w:t>,</w:t>
      </w:r>
      <w:r w:rsidRPr="000A7AE8">
        <w:t xml:space="preserve"> both the long-term safety and effectiveness of </w:t>
      </w:r>
      <w:proofErr w:type="spellStart"/>
      <w:r w:rsidRPr="000A7AE8">
        <w:t>abatacept</w:t>
      </w:r>
      <w:proofErr w:type="spellEnd"/>
      <w:r w:rsidRPr="000A7AE8">
        <w:t xml:space="preserve"> in children with renal or hepatic impairment are also unknown. The use of </w:t>
      </w:r>
      <w:proofErr w:type="spellStart"/>
      <w:r w:rsidRPr="000A7AE8">
        <w:t>abatacep</w:t>
      </w:r>
      <w:r w:rsidR="00BB51C2" w:rsidRPr="000A7AE8">
        <w:t>t</w:t>
      </w:r>
      <w:proofErr w:type="spellEnd"/>
      <w:r w:rsidR="00BB51C2" w:rsidRPr="000A7AE8">
        <w:t xml:space="preserve"> in this special population is </w:t>
      </w:r>
      <w:r w:rsidRPr="000A7AE8">
        <w:t>not recommended.</w:t>
      </w:r>
    </w:p>
    <w:bookmarkEnd w:id="79"/>
    <w:bookmarkEnd w:id="80"/>
    <w:bookmarkEnd w:id="81"/>
    <w:bookmarkEnd w:id="82"/>
    <w:bookmarkEnd w:id="83"/>
    <w:bookmarkEnd w:id="84"/>
    <w:bookmarkEnd w:id="85"/>
    <w:bookmarkEnd w:id="86"/>
    <w:bookmarkEnd w:id="87"/>
    <w:p w14:paraId="298FA0B1" w14:textId="69C5C482" w:rsidR="001A3992" w:rsidRPr="000A7AE8" w:rsidRDefault="001A3992" w:rsidP="003144B2">
      <w:pPr>
        <w:pStyle w:val="Heading2"/>
      </w:pPr>
      <w:r w:rsidRPr="000A7AE8">
        <w:t>Preclinical safety data</w:t>
      </w:r>
    </w:p>
    <w:p w14:paraId="6310A41D" w14:textId="74B862C8" w:rsidR="008058B9" w:rsidRPr="000A7AE8" w:rsidRDefault="008058B9" w:rsidP="00327291">
      <w:proofErr w:type="spellStart"/>
      <w:r w:rsidRPr="000A7AE8">
        <w:t>Embryofetal</w:t>
      </w:r>
      <w:proofErr w:type="spellEnd"/>
      <w:r w:rsidRPr="000A7AE8">
        <w:t xml:space="preserve"> development was unaffected by doses of up to 300 mg/kg/day in mice, 200 mg/kg/day in rats, and 200 mg/kg every 3 days in rabbits (approximately 29-fold the human drug exposure based on AUC). </w:t>
      </w:r>
      <w:proofErr w:type="spellStart"/>
      <w:r w:rsidRPr="000A7AE8">
        <w:t>Abatacept</w:t>
      </w:r>
      <w:proofErr w:type="spellEnd"/>
      <w:r w:rsidRPr="000A7AE8">
        <w:t xml:space="preserve"> was shown substantially to cross the placenta in rats, and minimally in rabbits. Offspring were unaffected by </w:t>
      </w:r>
      <w:proofErr w:type="spellStart"/>
      <w:r w:rsidRPr="000A7AE8">
        <w:t>abatacept</w:t>
      </w:r>
      <w:proofErr w:type="spellEnd"/>
      <w:r w:rsidRPr="000A7AE8">
        <w:t xml:space="preserve"> doses of up to 45 mg/kg given every 3 days to rats from early </w:t>
      </w:r>
      <w:r w:rsidRPr="000A7AE8">
        <w:lastRenderedPageBreak/>
        <w:t xml:space="preserve">gestation through to the end of lactation (3-fold the human drug exposure based on AUC). With a dose of 200 mg/kg every 3 days (approximately 11-fold the human drug exposure based on AUC) female pups showed enhanced T cell dependent antibody responses and a single case (out of 20 pups) of thyroid chronic inflammation. Whether these findings indicate a potential for the development of autoimmune diseases in humans exposed </w:t>
      </w:r>
      <w:r w:rsidRPr="000A7AE8">
        <w:rPr>
          <w:i/>
        </w:rPr>
        <w:t>in utero</w:t>
      </w:r>
      <w:r w:rsidRPr="000A7AE8">
        <w:t xml:space="preserve"> is uncertain.</w:t>
      </w:r>
    </w:p>
    <w:p w14:paraId="06147C9F" w14:textId="0FFE4319" w:rsidR="001A3992" w:rsidRPr="000A7AE8" w:rsidRDefault="001A3992" w:rsidP="00EA1A82">
      <w:pPr>
        <w:pStyle w:val="Heading3"/>
      </w:pPr>
      <w:r w:rsidRPr="000A7AE8">
        <w:t>Genotoxicity</w:t>
      </w:r>
    </w:p>
    <w:p w14:paraId="3835EED6" w14:textId="77777777" w:rsidR="007615DB" w:rsidRPr="000A7AE8" w:rsidRDefault="007615DB" w:rsidP="00327291">
      <w:proofErr w:type="spellStart"/>
      <w:r w:rsidRPr="000A7AE8">
        <w:t>Abatacept</w:t>
      </w:r>
      <w:proofErr w:type="spellEnd"/>
      <w:r w:rsidRPr="000A7AE8">
        <w:t xml:space="preserve"> was not genotoxic in </w:t>
      </w:r>
      <w:r w:rsidRPr="000A7AE8">
        <w:rPr>
          <w:i/>
        </w:rPr>
        <w:t>in vitro</w:t>
      </w:r>
      <w:r w:rsidRPr="000A7AE8">
        <w:t xml:space="preserve"> tests for reverse gene mutation in bacteria, forward gene mutation in mammalian cells, and </w:t>
      </w:r>
      <w:proofErr w:type="spellStart"/>
      <w:r w:rsidRPr="000A7AE8">
        <w:t>clastogenicity</w:t>
      </w:r>
      <w:proofErr w:type="spellEnd"/>
      <w:r w:rsidRPr="000A7AE8">
        <w:t xml:space="preserve"> in human lymphocytes.</w:t>
      </w:r>
    </w:p>
    <w:p w14:paraId="5AFD9CD4" w14:textId="7E2F5C8F" w:rsidR="001A3992" w:rsidRPr="000A7AE8" w:rsidRDefault="001A3992" w:rsidP="00EA1A82">
      <w:pPr>
        <w:pStyle w:val="Heading3"/>
      </w:pPr>
      <w:r w:rsidRPr="000A7AE8">
        <w:t>Carcinogenicity</w:t>
      </w:r>
    </w:p>
    <w:p w14:paraId="79FED115" w14:textId="34113574" w:rsidR="007615DB" w:rsidRPr="000A7AE8" w:rsidRDefault="007615DB" w:rsidP="00327291">
      <w:r w:rsidRPr="000A7AE8">
        <w:t>In a long</w:t>
      </w:r>
      <w:r w:rsidR="00C85BCE" w:rsidRPr="000A7AE8">
        <w:t>-</w:t>
      </w:r>
      <w:r w:rsidRPr="000A7AE8">
        <w:t xml:space="preserve">term carcinogenicity study in mice, weekly subcutaneous </w:t>
      </w:r>
      <w:proofErr w:type="spellStart"/>
      <w:r w:rsidRPr="000A7AE8">
        <w:t>abatacept</w:t>
      </w:r>
      <w:proofErr w:type="spellEnd"/>
      <w:r w:rsidRPr="000A7AE8">
        <w:t xml:space="preserve"> treatment for up to 84-88 weeks resulted in increased incidences of malignant lymphomas at all doses (0.8 to 3-fold the human drug exposure based on AUC). Increased incidences of female mammary gland tumours were also observed at drug exposures (AUC) 2 to 3-fold the human exposure. While these tumours may be related to activation of murine leukaemia virus and mouse mammary tumour virus, respectively, by prolonged </w:t>
      </w:r>
      <w:proofErr w:type="spellStart"/>
      <w:r w:rsidRPr="000A7AE8">
        <w:t>immumosuppression</w:t>
      </w:r>
      <w:proofErr w:type="spellEnd"/>
      <w:r w:rsidRPr="000A7AE8">
        <w:t>, there is no conclusive evidence to support this hypothesis.</w:t>
      </w:r>
    </w:p>
    <w:p w14:paraId="4E764C47" w14:textId="77777777" w:rsidR="001A3992" w:rsidRPr="000A7AE8" w:rsidRDefault="001A3992" w:rsidP="00C27979">
      <w:pPr>
        <w:pStyle w:val="Heading1"/>
      </w:pPr>
      <w:r w:rsidRPr="000A7AE8">
        <w:t>Pharmaceutical particulars</w:t>
      </w:r>
    </w:p>
    <w:p w14:paraId="2B5922C6" w14:textId="3CFB51BF" w:rsidR="001A3992" w:rsidRPr="000A7AE8" w:rsidRDefault="00F01F58" w:rsidP="003144B2">
      <w:pPr>
        <w:pStyle w:val="Heading2"/>
        <w:rPr>
          <w:lang w:val="en-US"/>
        </w:rPr>
      </w:pPr>
      <w:r w:rsidRPr="000A7AE8">
        <w:rPr>
          <w:lang w:val="en-US"/>
        </w:rPr>
        <w:t>List of excipients</w:t>
      </w:r>
    </w:p>
    <w:p w14:paraId="4D6F111A" w14:textId="77777777" w:rsidR="00580399" w:rsidRPr="000A7AE8" w:rsidRDefault="00580399" w:rsidP="00580399">
      <w:pPr>
        <w:pStyle w:val="Heading3"/>
      </w:pPr>
      <w:r w:rsidRPr="000A7AE8">
        <w:t>Lyophilized powder for IV infusion</w:t>
      </w:r>
    </w:p>
    <w:p w14:paraId="1BCEE542" w14:textId="77777777" w:rsidR="00580399" w:rsidRPr="000A7AE8" w:rsidRDefault="00580399" w:rsidP="00580399">
      <w:pPr>
        <w:spacing w:after="0"/>
      </w:pPr>
      <w:r w:rsidRPr="000A7AE8">
        <w:t>Maltose</w:t>
      </w:r>
    </w:p>
    <w:p w14:paraId="6B3DDA35" w14:textId="77777777" w:rsidR="00580399" w:rsidRPr="000A7AE8" w:rsidRDefault="00580399" w:rsidP="00580399">
      <w:pPr>
        <w:spacing w:after="0"/>
      </w:pPr>
      <w:r w:rsidRPr="000A7AE8">
        <w:t>Monobasic sodium phosphate</w:t>
      </w:r>
    </w:p>
    <w:p w14:paraId="2EBACA33" w14:textId="77777777" w:rsidR="00580399" w:rsidRPr="000A7AE8" w:rsidRDefault="00580399" w:rsidP="00580399">
      <w:r w:rsidRPr="000A7AE8">
        <w:t>Sodium chloride</w:t>
      </w:r>
    </w:p>
    <w:p w14:paraId="0A48B071" w14:textId="76E44869" w:rsidR="00580399" w:rsidRPr="000A7AE8" w:rsidRDefault="00580399" w:rsidP="00580399">
      <w:pPr>
        <w:pStyle w:val="Heading3"/>
      </w:pPr>
      <w:r w:rsidRPr="000A7AE8">
        <w:t>Solution for subcutaneous administration</w:t>
      </w:r>
    </w:p>
    <w:p w14:paraId="52208FCB" w14:textId="77777777" w:rsidR="00580399" w:rsidRPr="000A7AE8" w:rsidRDefault="00580399" w:rsidP="00580399">
      <w:pPr>
        <w:spacing w:after="0"/>
      </w:pPr>
      <w:r w:rsidRPr="000A7AE8">
        <w:t>Sucrose</w:t>
      </w:r>
    </w:p>
    <w:p w14:paraId="46393C2E" w14:textId="77777777" w:rsidR="00580399" w:rsidRPr="000A7AE8" w:rsidRDefault="00580399" w:rsidP="00580399">
      <w:pPr>
        <w:spacing w:after="0"/>
      </w:pPr>
      <w:proofErr w:type="spellStart"/>
      <w:r w:rsidRPr="000A7AE8">
        <w:t>Poloxamer</w:t>
      </w:r>
      <w:proofErr w:type="spellEnd"/>
    </w:p>
    <w:p w14:paraId="1CC69DF5" w14:textId="77777777" w:rsidR="00580399" w:rsidRPr="000A7AE8" w:rsidRDefault="00580399" w:rsidP="00580399">
      <w:pPr>
        <w:spacing w:after="0"/>
      </w:pPr>
      <w:r w:rsidRPr="000A7AE8">
        <w:t>Monobasic sodium phosphate</w:t>
      </w:r>
    </w:p>
    <w:p w14:paraId="0AA69367" w14:textId="77777777" w:rsidR="00580399" w:rsidRPr="000A7AE8" w:rsidRDefault="00580399" w:rsidP="00580399">
      <w:pPr>
        <w:spacing w:after="0"/>
      </w:pPr>
      <w:r w:rsidRPr="000A7AE8">
        <w:t>Dibasic sodium phosphate</w:t>
      </w:r>
    </w:p>
    <w:p w14:paraId="33719044" w14:textId="77777777" w:rsidR="00580399" w:rsidRPr="000A7AE8" w:rsidRDefault="00580399" w:rsidP="00580399">
      <w:r w:rsidRPr="000A7AE8">
        <w:t>Water for injections</w:t>
      </w:r>
    </w:p>
    <w:p w14:paraId="33B3C074" w14:textId="77777777" w:rsidR="00580399" w:rsidRPr="000A7AE8" w:rsidRDefault="00580399" w:rsidP="00580399">
      <w:r w:rsidRPr="000A7AE8">
        <w:t>ORENCIA solution for subcutaneous administration contains no maltose.</w:t>
      </w:r>
    </w:p>
    <w:p w14:paraId="1597DDC0" w14:textId="0608399F" w:rsidR="001A3992" w:rsidRPr="000A7AE8" w:rsidRDefault="00F01F58" w:rsidP="003144B2">
      <w:pPr>
        <w:pStyle w:val="Heading2"/>
        <w:rPr>
          <w:lang w:val="en-US"/>
        </w:rPr>
      </w:pPr>
      <w:r w:rsidRPr="000A7AE8">
        <w:rPr>
          <w:lang w:val="en-US"/>
        </w:rPr>
        <w:t>Incompatibilities</w:t>
      </w:r>
    </w:p>
    <w:p w14:paraId="6FFCA67F" w14:textId="613DB471" w:rsidR="00F01F58" w:rsidRPr="000A7AE8" w:rsidRDefault="00F01F58" w:rsidP="00816D10">
      <w:pPr>
        <w:rPr>
          <w:rFonts w:cs="Times New Roman"/>
        </w:rPr>
      </w:pPr>
      <w:r w:rsidRPr="000A7AE8">
        <w:rPr>
          <w:rFonts w:cs="Times New Roman"/>
        </w:rPr>
        <w:t>Incompatibilities were either not assessed or not identified as part of the registration of this medicine</w:t>
      </w:r>
      <w:r w:rsidR="00816D10" w:rsidRPr="000A7AE8">
        <w:rPr>
          <w:rFonts w:cs="Times New Roman"/>
        </w:rPr>
        <w:t>.</w:t>
      </w:r>
    </w:p>
    <w:p w14:paraId="7E22BDBA" w14:textId="55EA094E" w:rsidR="001A3992" w:rsidRPr="000A7AE8" w:rsidRDefault="00F01F58" w:rsidP="003144B2">
      <w:pPr>
        <w:pStyle w:val="Heading2"/>
        <w:rPr>
          <w:lang w:val="en-US"/>
        </w:rPr>
      </w:pPr>
      <w:r w:rsidRPr="000A7AE8">
        <w:rPr>
          <w:lang w:val="en-US"/>
        </w:rPr>
        <w:t>Shelf life</w:t>
      </w:r>
    </w:p>
    <w:p w14:paraId="36780BD0" w14:textId="073C1025" w:rsidR="000A7AE8" w:rsidRDefault="00F01F58" w:rsidP="00F01F58">
      <w:pPr>
        <w:rPr>
          <w:rFonts w:cs="Times New Roman"/>
        </w:rPr>
      </w:pPr>
      <w:r w:rsidRPr="000A7AE8">
        <w:rPr>
          <w:rFonts w:cs="Times New Roman"/>
        </w:rPr>
        <w:t>In Australia, information on the shelf life can be found on the public summary of the ARTG. The expiry date can be found on the packaging</w:t>
      </w:r>
      <w:r w:rsidR="00C01ADD" w:rsidRPr="000A7AE8">
        <w:rPr>
          <w:rFonts w:cs="Times New Roman"/>
        </w:rPr>
        <w:t>.</w:t>
      </w:r>
    </w:p>
    <w:p w14:paraId="15D58481" w14:textId="71640D57" w:rsidR="001A3992" w:rsidRPr="000A7AE8" w:rsidRDefault="00F01F58" w:rsidP="003144B2">
      <w:pPr>
        <w:pStyle w:val="Heading2"/>
        <w:rPr>
          <w:lang w:val="en-US"/>
        </w:rPr>
      </w:pPr>
      <w:r w:rsidRPr="000A7AE8">
        <w:rPr>
          <w:lang w:val="en-US"/>
        </w:rPr>
        <w:t>Special precautions for storage</w:t>
      </w:r>
    </w:p>
    <w:p w14:paraId="2A84C0FB" w14:textId="3EC18946" w:rsidR="00F56933" w:rsidRPr="000A7AE8" w:rsidRDefault="00F56933" w:rsidP="00F56933">
      <w:r w:rsidRPr="000A7AE8">
        <w:t>ORENCIA lyophilized powder must be refrigerated at 2</w:t>
      </w:r>
      <w:r w:rsidRPr="000A7AE8">
        <w:sym w:font="Symbol" w:char="F0B0"/>
      </w:r>
      <w:r w:rsidRPr="000A7AE8">
        <w:t>C to 8</w:t>
      </w:r>
      <w:r w:rsidRPr="000A7AE8">
        <w:sym w:font="Symbol" w:char="F0B0"/>
      </w:r>
      <w:r w:rsidRPr="000A7AE8">
        <w:t xml:space="preserve">C. For storage of the fully diluted ORENCIA solution, see </w:t>
      </w:r>
      <w:r w:rsidR="00D575DC" w:rsidRPr="000A7AE8">
        <w:t>Section 4.2 Dose and method of administration</w:t>
      </w:r>
      <w:r w:rsidRPr="000A7AE8">
        <w:t xml:space="preserve">. </w:t>
      </w:r>
    </w:p>
    <w:p w14:paraId="41EC28CA" w14:textId="21BC1BE5" w:rsidR="00F56933" w:rsidRPr="000A7AE8" w:rsidRDefault="00F56933" w:rsidP="00F56933">
      <w:r w:rsidRPr="000A7AE8">
        <w:t>ORENCIA injection solution for subcutaneous administration must be refrigerated at 2</w:t>
      </w:r>
      <w:r w:rsidRPr="000A7AE8">
        <w:sym w:font="Symbol" w:char="F0B0"/>
      </w:r>
      <w:r w:rsidRPr="000A7AE8">
        <w:t>C to 8</w:t>
      </w:r>
      <w:r w:rsidRPr="000A7AE8">
        <w:sym w:font="Symbol" w:char="F0B0"/>
      </w:r>
      <w:r w:rsidRPr="000A7AE8">
        <w:t>C.  DO NOT FREEZE.</w:t>
      </w:r>
    </w:p>
    <w:p w14:paraId="1BE5A26E" w14:textId="77777777" w:rsidR="00F56933" w:rsidRPr="000A7AE8" w:rsidRDefault="00F56933" w:rsidP="00F56933">
      <w:proofErr w:type="gramStart"/>
      <w:r w:rsidRPr="000A7AE8">
        <w:t>Do not use</w:t>
      </w:r>
      <w:proofErr w:type="gramEnd"/>
      <w:r w:rsidRPr="000A7AE8">
        <w:t xml:space="preserve"> beyond the expiration date. </w:t>
      </w:r>
    </w:p>
    <w:p w14:paraId="53950FA8" w14:textId="4680721C" w:rsidR="00F56933" w:rsidRDefault="00F56933" w:rsidP="00F56933">
      <w:r w:rsidRPr="000A7AE8">
        <w:lastRenderedPageBreak/>
        <w:t xml:space="preserve">Protect the vials, prefilled syringes, and </w:t>
      </w:r>
      <w:proofErr w:type="spellStart"/>
      <w:r w:rsidRPr="000A7AE8">
        <w:t>autoinjectors</w:t>
      </w:r>
      <w:proofErr w:type="spellEnd"/>
      <w:r w:rsidRPr="000A7AE8">
        <w:t xml:space="preserve"> from light by storing in the original package until time of use.</w:t>
      </w:r>
    </w:p>
    <w:p w14:paraId="48A66FB8" w14:textId="77777777" w:rsidR="00601929" w:rsidRPr="000A7AE8" w:rsidRDefault="00601929" w:rsidP="00F56933"/>
    <w:p w14:paraId="3B490D20" w14:textId="1D5F4E69" w:rsidR="001A3992" w:rsidRPr="000A7AE8" w:rsidRDefault="001A3992" w:rsidP="003144B2">
      <w:pPr>
        <w:pStyle w:val="Heading2"/>
        <w:rPr>
          <w:lang w:val="en-US"/>
        </w:rPr>
      </w:pPr>
      <w:r w:rsidRPr="000A7AE8">
        <w:rPr>
          <w:lang w:val="en-US"/>
        </w:rPr>
        <w:t>N</w:t>
      </w:r>
      <w:r w:rsidR="005A7542" w:rsidRPr="000A7AE8">
        <w:rPr>
          <w:lang w:val="en-US"/>
        </w:rPr>
        <w:t>ature and contents of container</w:t>
      </w:r>
    </w:p>
    <w:p w14:paraId="19749418" w14:textId="77777777" w:rsidR="00F56933" w:rsidRPr="000A7AE8" w:rsidRDefault="00F56933" w:rsidP="00F56933">
      <w:pPr>
        <w:rPr>
          <w:b/>
        </w:rPr>
      </w:pPr>
      <w:r w:rsidRPr="000A7AE8">
        <w:rPr>
          <w:b/>
        </w:rPr>
        <w:t>For Intravenous Infusion</w:t>
      </w:r>
    </w:p>
    <w:p w14:paraId="28620C3A" w14:textId="77777777" w:rsidR="00F56933" w:rsidRPr="000A7AE8" w:rsidRDefault="00F56933" w:rsidP="00F56933">
      <w:r w:rsidRPr="000A7AE8">
        <w:t>ORENCIA</w:t>
      </w:r>
      <w:r w:rsidRPr="000A7AE8">
        <w:rPr>
          <w:vertAlign w:val="superscript"/>
        </w:rPr>
        <w:t xml:space="preserve"> </w:t>
      </w:r>
      <w:r w:rsidRPr="000A7AE8">
        <w:t xml:space="preserve">is a lyophilized powder for intravenous infusion; it is supplied as an individually packaged, single-use vial with a silicone-free disposable syringe. All components of the syringe are latex-free. The product is available in the strength of 250 mg of </w:t>
      </w:r>
      <w:proofErr w:type="spellStart"/>
      <w:r w:rsidRPr="000A7AE8">
        <w:t>abatacept</w:t>
      </w:r>
      <w:proofErr w:type="spellEnd"/>
      <w:r w:rsidRPr="000A7AE8">
        <w:t xml:space="preserve"> in a 15-mL vial.</w:t>
      </w:r>
    </w:p>
    <w:p w14:paraId="547BC6B0" w14:textId="77777777" w:rsidR="00F56933" w:rsidRPr="000A7AE8" w:rsidRDefault="00F56933" w:rsidP="00F56933">
      <w:pPr>
        <w:rPr>
          <w:b/>
        </w:rPr>
      </w:pPr>
      <w:r w:rsidRPr="000A7AE8">
        <w:rPr>
          <w:b/>
        </w:rPr>
        <w:t>For Subcutaneous Injection</w:t>
      </w:r>
    </w:p>
    <w:p w14:paraId="2B8241EE" w14:textId="2EDA1C82" w:rsidR="00F56933" w:rsidRPr="000A7AE8" w:rsidRDefault="00F56933" w:rsidP="00F56933">
      <w:pPr>
        <w:rPr>
          <w:bCs/>
        </w:rPr>
      </w:pPr>
      <w:r w:rsidRPr="000A7AE8">
        <w:t>ORENCIA (</w:t>
      </w:r>
      <w:proofErr w:type="spellStart"/>
      <w:r w:rsidRPr="000A7AE8">
        <w:t>abatacept</w:t>
      </w:r>
      <w:proofErr w:type="spellEnd"/>
      <w:r w:rsidRPr="000A7AE8">
        <w:t xml:space="preserve">) injection solution for subcutaneous administration is </w:t>
      </w:r>
      <w:r w:rsidRPr="000A7AE8">
        <w:rPr>
          <w:bCs/>
        </w:rPr>
        <w:t>supplied either in a 1</w:t>
      </w:r>
      <w:r w:rsidR="00383CBC" w:rsidRPr="000A7AE8">
        <w:rPr>
          <w:bCs/>
        </w:rPr>
        <w:t xml:space="preserve"> </w:t>
      </w:r>
      <w:r w:rsidRPr="000A7AE8">
        <w:rPr>
          <w:bCs/>
        </w:rPr>
        <w:t>mL single-dose disposable prefilled glass syringe with a passive needle safety guard, a 1</w:t>
      </w:r>
      <w:r w:rsidR="00383CBC" w:rsidRPr="000A7AE8">
        <w:rPr>
          <w:bCs/>
        </w:rPr>
        <w:t xml:space="preserve"> </w:t>
      </w:r>
      <w:r w:rsidRPr="000A7AE8">
        <w:rPr>
          <w:bCs/>
        </w:rPr>
        <w:t>mL single-dose disposable prefilled glass syringe with flange extender, a 1</w:t>
      </w:r>
      <w:r w:rsidR="00383CBC" w:rsidRPr="000A7AE8">
        <w:rPr>
          <w:bCs/>
        </w:rPr>
        <w:t xml:space="preserve"> </w:t>
      </w:r>
      <w:r w:rsidRPr="000A7AE8">
        <w:rPr>
          <w:bCs/>
        </w:rPr>
        <w:t>mL single-dose disposable prefilled glass syringe with a passive needle guard and flange extenders (</w:t>
      </w:r>
      <w:proofErr w:type="spellStart"/>
      <w:r w:rsidRPr="000A7AE8">
        <w:rPr>
          <w:bCs/>
        </w:rPr>
        <w:t>pfs-ssi-fe</w:t>
      </w:r>
      <w:proofErr w:type="spellEnd"/>
      <w:r w:rsidRPr="000A7AE8">
        <w:rPr>
          <w:bCs/>
        </w:rPr>
        <w:t>), or a 1</w:t>
      </w:r>
      <w:r w:rsidR="00383CBC" w:rsidRPr="000A7AE8">
        <w:rPr>
          <w:bCs/>
        </w:rPr>
        <w:t xml:space="preserve"> </w:t>
      </w:r>
      <w:r w:rsidRPr="000A7AE8">
        <w:rPr>
          <w:bCs/>
        </w:rPr>
        <w:t xml:space="preserve">mL single-dose disposable </w:t>
      </w:r>
      <w:proofErr w:type="spellStart"/>
      <w:r w:rsidRPr="000A7AE8">
        <w:rPr>
          <w:bCs/>
        </w:rPr>
        <w:t>ClickJect</w:t>
      </w:r>
      <w:proofErr w:type="spellEnd"/>
      <w:r w:rsidRPr="000A7AE8">
        <w:rPr>
          <w:bCs/>
          <w:vertAlign w:val="superscript"/>
        </w:rPr>
        <w:t>®</w:t>
      </w:r>
      <w:r w:rsidRPr="000A7AE8">
        <w:rPr>
          <w:bCs/>
        </w:rPr>
        <w:t xml:space="preserve"> Prefilled </w:t>
      </w:r>
      <w:proofErr w:type="spellStart"/>
      <w:r w:rsidRPr="000A7AE8">
        <w:rPr>
          <w:bCs/>
        </w:rPr>
        <w:t>Autoinjector</w:t>
      </w:r>
      <w:proofErr w:type="spellEnd"/>
      <w:r w:rsidRPr="000A7AE8">
        <w:rPr>
          <w:bCs/>
        </w:rPr>
        <w:t xml:space="preserve">. The product is available in the strength of 125 mg of </w:t>
      </w:r>
      <w:proofErr w:type="spellStart"/>
      <w:r w:rsidRPr="000A7AE8">
        <w:rPr>
          <w:bCs/>
        </w:rPr>
        <w:t>abatacept</w:t>
      </w:r>
      <w:proofErr w:type="spellEnd"/>
      <w:r w:rsidRPr="000A7AE8">
        <w:rPr>
          <w:bCs/>
        </w:rPr>
        <w:t xml:space="preserve"> and is provided in a pack of 4 1</w:t>
      </w:r>
      <w:r w:rsidR="00383CBC" w:rsidRPr="000A7AE8">
        <w:rPr>
          <w:bCs/>
        </w:rPr>
        <w:t xml:space="preserve"> </w:t>
      </w:r>
      <w:r w:rsidRPr="000A7AE8">
        <w:rPr>
          <w:bCs/>
        </w:rPr>
        <w:t xml:space="preserve">mL prefilled syringes or </w:t>
      </w:r>
      <w:proofErr w:type="spellStart"/>
      <w:r w:rsidRPr="000A7AE8">
        <w:rPr>
          <w:bCs/>
        </w:rPr>
        <w:t>autoinjectors</w:t>
      </w:r>
      <w:proofErr w:type="spellEnd"/>
      <w:r w:rsidRPr="000A7AE8">
        <w:rPr>
          <w:bCs/>
        </w:rPr>
        <w:t>.</w:t>
      </w:r>
    </w:p>
    <w:p w14:paraId="3F2801D5" w14:textId="77777777" w:rsidR="00F56933" w:rsidRPr="000A7AE8" w:rsidRDefault="00F56933" w:rsidP="00F56933">
      <w:r w:rsidRPr="000A7AE8">
        <w:rPr>
          <w:bCs/>
          <w:szCs w:val="20"/>
        </w:rPr>
        <w:t>Not all presentations may be available.</w:t>
      </w:r>
    </w:p>
    <w:p w14:paraId="7C894A4E" w14:textId="249B8E5F" w:rsidR="001A3992" w:rsidRPr="000A7AE8" w:rsidRDefault="001A3992" w:rsidP="003144B2">
      <w:pPr>
        <w:pStyle w:val="Heading2"/>
        <w:rPr>
          <w:lang w:val="en-US"/>
        </w:rPr>
      </w:pPr>
      <w:r w:rsidRPr="000A7AE8">
        <w:rPr>
          <w:lang w:val="en-US"/>
        </w:rPr>
        <w:t>S</w:t>
      </w:r>
      <w:r w:rsidR="004F767B" w:rsidRPr="000A7AE8">
        <w:rPr>
          <w:lang w:val="en-US"/>
        </w:rPr>
        <w:t>pecial precautions for disposal</w:t>
      </w:r>
    </w:p>
    <w:p w14:paraId="0F982408" w14:textId="245A26EB" w:rsidR="00D76919" w:rsidRPr="000A7AE8" w:rsidRDefault="00D76919" w:rsidP="00D76919">
      <w:r w:rsidRPr="000A7AE8">
        <w:t xml:space="preserve">In </w:t>
      </w:r>
      <w:r w:rsidRPr="000A7AE8">
        <w:rPr>
          <w:lang w:val="en"/>
        </w:rPr>
        <w:t>Australia, any unused medicine or waste material should be disposed of by taking to your local pharmacy</w:t>
      </w:r>
    </w:p>
    <w:p w14:paraId="39F48FB1" w14:textId="7C809E98" w:rsidR="001A3992" w:rsidRPr="000A7AE8" w:rsidRDefault="001A3992" w:rsidP="003144B2">
      <w:pPr>
        <w:pStyle w:val="Heading2"/>
        <w:rPr>
          <w:lang w:val="en-US"/>
        </w:rPr>
      </w:pPr>
      <w:r w:rsidRPr="000A7AE8">
        <w:rPr>
          <w:lang w:val="en-US"/>
        </w:rPr>
        <w:t>Physicochemical properties</w:t>
      </w:r>
    </w:p>
    <w:p w14:paraId="76394ECA" w14:textId="18EA7E83" w:rsidR="001A3992" w:rsidRPr="000A7AE8" w:rsidRDefault="001A3992" w:rsidP="00EA1A82">
      <w:pPr>
        <w:pStyle w:val="Heading3"/>
      </w:pPr>
      <w:r w:rsidRPr="000A7AE8">
        <w:t>Chemical structure</w:t>
      </w:r>
    </w:p>
    <w:p w14:paraId="1767AA0E" w14:textId="77777777" w:rsidR="00277D46" w:rsidRPr="000A7AE8" w:rsidRDefault="00277D46" w:rsidP="00277D46">
      <w:pPr>
        <w:pStyle w:val="BMSBodyText"/>
        <w:spacing w:line="240" w:lineRule="auto"/>
        <w:rPr>
          <w:color w:val="auto"/>
          <w:sz w:val="22"/>
        </w:rPr>
      </w:pPr>
      <w:proofErr w:type="spellStart"/>
      <w:r w:rsidRPr="000A7AE8">
        <w:rPr>
          <w:color w:val="auto"/>
          <w:sz w:val="22"/>
        </w:rPr>
        <w:t>Abatacept</w:t>
      </w:r>
      <w:proofErr w:type="spellEnd"/>
      <w:r w:rsidRPr="000A7AE8">
        <w:rPr>
          <w:color w:val="auto"/>
          <w:sz w:val="22"/>
        </w:rPr>
        <w:t xml:space="preserve"> structure:</w:t>
      </w:r>
    </w:p>
    <w:p w14:paraId="1785F803" w14:textId="78C13E7F" w:rsidR="00277D46" w:rsidRPr="000A7AE8" w:rsidRDefault="00277D46" w:rsidP="00277D46">
      <w:pPr>
        <w:pStyle w:val="Heading3"/>
        <w:jc w:val="center"/>
      </w:pPr>
      <w:r w:rsidRPr="000A7AE8">
        <w:rPr>
          <w:noProof/>
          <w:lang w:eastAsia="en-AU"/>
        </w:rPr>
        <w:drawing>
          <wp:inline distT="0" distB="0" distL="0" distR="0" wp14:anchorId="288783A1" wp14:editId="71D16F4F">
            <wp:extent cx="280035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0350" cy="1943100"/>
                    </a:xfrm>
                    <a:prstGeom prst="rect">
                      <a:avLst/>
                    </a:prstGeom>
                    <a:noFill/>
                    <a:ln>
                      <a:noFill/>
                    </a:ln>
                  </pic:spPr>
                </pic:pic>
              </a:graphicData>
            </a:graphic>
          </wp:inline>
        </w:drawing>
      </w:r>
    </w:p>
    <w:p w14:paraId="0F90A541" w14:textId="31A6303D" w:rsidR="001A3992" w:rsidRPr="000A7AE8" w:rsidRDefault="001A3992" w:rsidP="00EA1A82">
      <w:pPr>
        <w:pStyle w:val="Heading3"/>
      </w:pPr>
      <w:r w:rsidRPr="000A7AE8">
        <w:t>CAS number</w:t>
      </w:r>
    </w:p>
    <w:p w14:paraId="4F955DD0" w14:textId="75325736" w:rsidR="00277D46" w:rsidRPr="000A7AE8" w:rsidRDefault="00277D46" w:rsidP="00277D46">
      <w:r w:rsidRPr="000A7AE8">
        <w:t>332348-12-6</w:t>
      </w:r>
    </w:p>
    <w:p w14:paraId="3B206A7B" w14:textId="77777777" w:rsidR="001A3992" w:rsidRPr="000A7AE8" w:rsidRDefault="001A3992" w:rsidP="00C27979">
      <w:pPr>
        <w:pStyle w:val="Heading1"/>
      </w:pPr>
      <w:r w:rsidRPr="000A7AE8">
        <w:t>Medicine schedule (Poisons Standard)</w:t>
      </w:r>
    </w:p>
    <w:p w14:paraId="3B8B424C" w14:textId="07D30E60" w:rsidR="00207448" w:rsidRPr="000A7AE8" w:rsidRDefault="00277D46" w:rsidP="00207448">
      <w:pPr>
        <w:rPr>
          <w:rFonts w:cs="Times New Roman"/>
          <w:lang w:val="en-US"/>
        </w:rPr>
      </w:pPr>
      <w:r w:rsidRPr="000A7AE8">
        <w:rPr>
          <w:rFonts w:cs="Times New Roman"/>
          <w:lang w:val="en-US"/>
        </w:rPr>
        <w:t xml:space="preserve">S4 - </w:t>
      </w:r>
      <w:r w:rsidR="00207448" w:rsidRPr="000A7AE8">
        <w:rPr>
          <w:rFonts w:cs="Times New Roman"/>
          <w:lang w:val="en-US"/>
        </w:rPr>
        <w:t>Prescription Only Medicine</w:t>
      </w:r>
      <w:r w:rsidR="00C300B1" w:rsidRPr="000A7AE8">
        <w:rPr>
          <w:rFonts w:cs="Times New Roman"/>
          <w:lang w:val="en-US"/>
        </w:rPr>
        <w:t>.</w:t>
      </w:r>
    </w:p>
    <w:p w14:paraId="65A1CF8A" w14:textId="77777777" w:rsidR="001A3992" w:rsidRPr="000A7AE8" w:rsidRDefault="001A3992" w:rsidP="00C27979">
      <w:pPr>
        <w:pStyle w:val="Heading1"/>
      </w:pPr>
      <w:r w:rsidRPr="000A7AE8">
        <w:lastRenderedPageBreak/>
        <w:t>Sponsor</w:t>
      </w:r>
    </w:p>
    <w:p w14:paraId="3BDC93D9" w14:textId="77777777" w:rsidR="00C300B1" w:rsidRPr="000A7AE8" w:rsidRDefault="00A20060" w:rsidP="00C300B1">
      <w:pPr>
        <w:spacing w:after="0"/>
        <w:rPr>
          <w:rFonts w:cs="Times New Roman"/>
        </w:rPr>
      </w:pPr>
      <w:r w:rsidRPr="000A7AE8">
        <w:rPr>
          <w:rFonts w:cs="Times New Roman"/>
        </w:rPr>
        <w:t>Bristol-Myers Squibb Australia Pty Ltd</w:t>
      </w:r>
    </w:p>
    <w:p w14:paraId="1D4FA472" w14:textId="77777777" w:rsidR="00C300B1" w:rsidRPr="000A7AE8" w:rsidRDefault="00A20060" w:rsidP="00C300B1">
      <w:pPr>
        <w:spacing w:after="0"/>
        <w:rPr>
          <w:rFonts w:cs="Times New Roman"/>
        </w:rPr>
      </w:pPr>
      <w:r w:rsidRPr="000A7AE8">
        <w:rPr>
          <w:rFonts w:cs="Times New Roman"/>
        </w:rPr>
        <w:t>4 Nexus Court, Mulgrave,</w:t>
      </w:r>
    </w:p>
    <w:p w14:paraId="6CF9DC6B" w14:textId="13646A3B" w:rsidR="00A20060" w:rsidRPr="000A7AE8" w:rsidRDefault="00A20060" w:rsidP="00C300B1">
      <w:pPr>
        <w:spacing w:after="0"/>
        <w:rPr>
          <w:rFonts w:cs="Times New Roman"/>
        </w:rPr>
      </w:pPr>
      <w:r w:rsidRPr="000A7AE8">
        <w:rPr>
          <w:rFonts w:cs="Times New Roman"/>
        </w:rPr>
        <w:t>Victoria 3170, Australia.</w:t>
      </w:r>
    </w:p>
    <w:p w14:paraId="0F2BF442" w14:textId="36101B0E" w:rsidR="004E0E70" w:rsidRPr="000A7AE8" w:rsidRDefault="004E0E70" w:rsidP="00C300B1">
      <w:pPr>
        <w:spacing w:after="0"/>
        <w:rPr>
          <w:rFonts w:cs="Times New Roman"/>
        </w:rPr>
      </w:pPr>
      <w:r w:rsidRPr="000A7AE8">
        <w:rPr>
          <w:rFonts w:cs="Times New Roman"/>
        </w:rPr>
        <w:t>Toll free number: 1800 067 567</w:t>
      </w:r>
    </w:p>
    <w:p w14:paraId="24463FF3" w14:textId="4D26F770" w:rsidR="004E0E70" w:rsidRPr="000A7AE8" w:rsidRDefault="004E0E70" w:rsidP="00C300B1">
      <w:pPr>
        <w:rPr>
          <w:rFonts w:cs="Times New Roman"/>
        </w:rPr>
      </w:pPr>
      <w:r w:rsidRPr="000A7AE8">
        <w:rPr>
          <w:rFonts w:cs="Times New Roman"/>
        </w:rPr>
        <w:t xml:space="preserve">Email: </w:t>
      </w:r>
      <w:hyperlink r:id="rId11" w:history="1">
        <w:r w:rsidRPr="000A7AE8">
          <w:rPr>
            <w:rFonts w:cs="Times New Roman"/>
          </w:rPr>
          <w:t>MedInfo.Australia@bms.com</w:t>
        </w:r>
      </w:hyperlink>
      <w:r w:rsidR="00277D46" w:rsidRPr="000A7AE8">
        <w:rPr>
          <w:rFonts w:cs="Times New Roman"/>
        </w:rPr>
        <w:t xml:space="preserve"> </w:t>
      </w:r>
    </w:p>
    <w:p w14:paraId="0BA3DFB1" w14:textId="4EBC4DBA" w:rsidR="001A3992" w:rsidRPr="000A7AE8" w:rsidRDefault="001A3992" w:rsidP="00C27979">
      <w:pPr>
        <w:pStyle w:val="Heading1"/>
      </w:pPr>
      <w:r w:rsidRPr="000A7AE8">
        <w:t>Date</w:t>
      </w:r>
      <w:r w:rsidR="007C4044" w:rsidRPr="000A7AE8">
        <w:t xml:space="preserve"> of first approval (ARTG entry)</w:t>
      </w:r>
    </w:p>
    <w:p w14:paraId="516EA795" w14:textId="2E4A5814" w:rsidR="00207448" w:rsidRPr="000A7AE8" w:rsidRDefault="00277D46" w:rsidP="00277D46">
      <w:pPr>
        <w:spacing w:after="0"/>
        <w:rPr>
          <w:rFonts w:cs="Times New Roman"/>
        </w:rPr>
      </w:pPr>
      <w:r w:rsidRPr="000A7AE8">
        <w:rPr>
          <w:rFonts w:cs="Times New Roman"/>
        </w:rPr>
        <w:t>27 September 2007</w:t>
      </w:r>
    </w:p>
    <w:p w14:paraId="28C934C3" w14:textId="77777777" w:rsidR="001A3992" w:rsidRPr="000A7AE8" w:rsidRDefault="001A3992" w:rsidP="00CB5929">
      <w:pPr>
        <w:pStyle w:val="Heading1"/>
      </w:pPr>
      <w:r w:rsidRPr="000A7AE8">
        <w:t>Date of revision of the text</w:t>
      </w:r>
    </w:p>
    <w:p w14:paraId="6CBD3527" w14:textId="2CF3C6A7" w:rsidR="007C4044" w:rsidRPr="000A7AE8" w:rsidRDefault="00601929" w:rsidP="00277D46">
      <w:pPr>
        <w:rPr>
          <w:rFonts w:cs="Times New Roman"/>
        </w:rPr>
      </w:pPr>
      <w:r>
        <w:rPr>
          <w:rFonts w:cs="Times New Roman"/>
        </w:rPr>
        <w:t>12 January 2018</w:t>
      </w:r>
    </w:p>
    <w:p w14:paraId="49F9DDCD" w14:textId="77777777" w:rsidR="001A3992" w:rsidRPr="000A7AE8" w:rsidRDefault="001A3992" w:rsidP="003144B2">
      <w:pPr>
        <w:pStyle w:val="Heading2"/>
        <w:numPr>
          <w:ilvl w:val="0"/>
          <w:numId w:val="0"/>
        </w:numPr>
        <w:rPr>
          <w:lang w:val="en-US"/>
        </w:rPr>
      </w:pPr>
      <w:r w:rsidRPr="000A7AE8">
        <w:rPr>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68"/>
        <w:gridCol w:w="1265"/>
        <w:gridCol w:w="6373"/>
      </w:tblGrid>
      <w:tr w:rsidR="000A7AE8" w:rsidRPr="000A7AE8" w14:paraId="7BCF663E" w14:textId="77777777" w:rsidTr="00AB77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2F2F2" w:themeFill="background1" w:themeFillShade="F2"/>
            <w:vAlign w:val="center"/>
          </w:tcPr>
          <w:p w14:paraId="11BEEDD2" w14:textId="77777777" w:rsidR="001A3992" w:rsidRPr="000A7AE8" w:rsidRDefault="001A3992" w:rsidP="001A3992">
            <w:pPr>
              <w:rPr>
                <w:rFonts w:cs="Times New Roman"/>
                <w:sz w:val="20"/>
                <w:lang w:val="en-US"/>
              </w:rPr>
            </w:pPr>
            <w:r w:rsidRPr="000A7AE8">
              <w:rPr>
                <w:rFonts w:cs="Times New Roman"/>
                <w:sz w:val="20"/>
                <w:lang w:val="en-US"/>
              </w:rPr>
              <w:t>Section Changed</w:t>
            </w:r>
          </w:p>
        </w:tc>
        <w:tc>
          <w:tcPr>
            <w:tcW w:w="1265" w:type="dxa"/>
            <w:shd w:val="clear" w:color="auto" w:fill="F2F2F2" w:themeFill="background1" w:themeFillShade="F2"/>
            <w:vAlign w:val="center"/>
          </w:tcPr>
          <w:p w14:paraId="64B65DCA" w14:textId="6D511FEE" w:rsidR="001A3992" w:rsidRPr="000A7AE8" w:rsidRDefault="001A3992" w:rsidP="001A3992">
            <w:pPr>
              <w:cnfStyle w:val="100000000000" w:firstRow="1" w:lastRow="0" w:firstColumn="0" w:lastColumn="0" w:oddVBand="0" w:evenVBand="0" w:oddHBand="0" w:evenHBand="0" w:firstRowFirstColumn="0" w:firstRowLastColumn="0" w:lastRowFirstColumn="0" w:lastRowLastColumn="0"/>
              <w:rPr>
                <w:rFonts w:cs="Times New Roman"/>
                <w:sz w:val="20"/>
                <w:lang w:val="en-US"/>
              </w:rPr>
            </w:pPr>
          </w:p>
        </w:tc>
        <w:tc>
          <w:tcPr>
            <w:tcW w:w="6373" w:type="dxa"/>
            <w:shd w:val="clear" w:color="auto" w:fill="F2F2F2" w:themeFill="background1" w:themeFillShade="F2"/>
            <w:vAlign w:val="center"/>
          </w:tcPr>
          <w:p w14:paraId="4338F9AE" w14:textId="77777777" w:rsidR="001A3992" w:rsidRPr="000A7AE8" w:rsidRDefault="001A3992" w:rsidP="001A3992">
            <w:pPr>
              <w:cnfStyle w:val="100000000000" w:firstRow="1" w:lastRow="0" w:firstColumn="0" w:lastColumn="0" w:oddVBand="0" w:evenVBand="0" w:oddHBand="0" w:evenHBand="0" w:firstRowFirstColumn="0" w:firstRowLastColumn="0" w:lastRowFirstColumn="0" w:lastRowLastColumn="0"/>
              <w:rPr>
                <w:rFonts w:cs="Times New Roman"/>
                <w:sz w:val="20"/>
                <w:lang w:val="en-US"/>
              </w:rPr>
            </w:pPr>
            <w:r w:rsidRPr="000A7AE8">
              <w:rPr>
                <w:rFonts w:cs="Times New Roman"/>
                <w:sz w:val="20"/>
                <w:lang w:val="en-US"/>
              </w:rPr>
              <w:t>Summary of new information</w:t>
            </w:r>
          </w:p>
        </w:tc>
      </w:tr>
      <w:tr w:rsidR="000A7AE8" w:rsidRPr="000A7AE8" w14:paraId="74F286C1" w14:textId="77777777" w:rsidTr="00AB778A">
        <w:tc>
          <w:tcPr>
            <w:cnfStyle w:val="001000000000" w:firstRow="0" w:lastRow="0" w:firstColumn="1" w:lastColumn="0" w:oddVBand="0" w:evenVBand="0" w:oddHBand="0" w:evenHBand="0" w:firstRowFirstColumn="0" w:firstRowLastColumn="0" w:lastRowFirstColumn="0" w:lastRowLastColumn="0"/>
            <w:tcW w:w="1368" w:type="dxa"/>
            <w:vAlign w:val="center"/>
          </w:tcPr>
          <w:p w14:paraId="5E925727" w14:textId="47EA850B" w:rsidR="00277D46" w:rsidRPr="000A7AE8" w:rsidRDefault="00277D46" w:rsidP="00277D46">
            <w:pPr>
              <w:rPr>
                <w:rFonts w:cs="Times New Roman"/>
                <w:lang w:val="en-US"/>
              </w:rPr>
            </w:pPr>
            <w:r w:rsidRPr="000A7AE8">
              <w:rPr>
                <w:rFonts w:cs="Times New Roman"/>
                <w:lang w:val="en-US"/>
              </w:rPr>
              <w:t>All</w:t>
            </w:r>
          </w:p>
        </w:tc>
        <w:tc>
          <w:tcPr>
            <w:tcW w:w="1265" w:type="dxa"/>
            <w:vAlign w:val="center"/>
          </w:tcPr>
          <w:p w14:paraId="2F264C1C" w14:textId="77777777" w:rsidR="00277D46" w:rsidRPr="000A7AE8" w:rsidRDefault="00277D46" w:rsidP="00277D46">
            <w:pPr>
              <w:cnfStyle w:val="000000000000" w:firstRow="0" w:lastRow="0" w:firstColumn="0" w:lastColumn="0" w:oddVBand="0" w:evenVBand="0" w:oddHBand="0" w:evenHBand="0" w:firstRowFirstColumn="0" w:firstRowLastColumn="0" w:lastRowFirstColumn="0" w:lastRowLastColumn="0"/>
              <w:rPr>
                <w:rFonts w:cs="Times New Roman"/>
                <w:lang w:val="en-US"/>
              </w:rPr>
            </w:pPr>
          </w:p>
        </w:tc>
        <w:tc>
          <w:tcPr>
            <w:tcW w:w="6373" w:type="dxa"/>
            <w:vAlign w:val="center"/>
          </w:tcPr>
          <w:p w14:paraId="6B4298F3" w14:textId="3ADD2F49" w:rsidR="00277D46" w:rsidRPr="000A7AE8" w:rsidRDefault="00277D46" w:rsidP="00277D46">
            <w:pPr>
              <w:cnfStyle w:val="000000000000" w:firstRow="0" w:lastRow="0" w:firstColumn="0" w:lastColumn="0" w:oddVBand="0" w:evenVBand="0" w:oddHBand="0" w:evenHBand="0" w:firstRowFirstColumn="0" w:firstRowLastColumn="0" w:lastRowFirstColumn="0" w:lastRowLastColumn="0"/>
              <w:rPr>
                <w:rFonts w:cs="Times New Roman"/>
                <w:lang w:val="en-US"/>
              </w:rPr>
            </w:pPr>
            <w:r w:rsidRPr="000A7AE8">
              <w:rPr>
                <w:rFonts w:cs="Times New Roman"/>
                <w:lang w:val="en-US"/>
              </w:rPr>
              <w:t>TGA Approved ORENCIA PI V13.0 (12 April 2017) converted to new TGA format</w:t>
            </w:r>
          </w:p>
        </w:tc>
      </w:tr>
      <w:tr w:rsidR="000A7AE8" w:rsidRPr="000A7AE8" w14:paraId="60C10206" w14:textId="77777777" w:rsidTr="00AB778A">
        <w:tc>
          <w:tcPr>
            <w:cnfStyle w:val="001000000000" w:firstRow="0" w:lastRow="0" w:firstColumn="1" w:lastColumn="0" w:oddVBand="0" w:evenVBand="0" w:oddHBand="0" w:evenHBand="0" w:firstRowFirstColumn="0" w:firstRowLastColumn="0" w:lastRowFirstColumn="0" w:lastRowLastColumn="0"/>
            <w:tcW w:w="1368" w:type="dxa"/>
            <w:vAlign w:val="center"/>
          </w:tcPr>
          <w:p w14:paraId="70F60D8D" w14:textId="13CE5D50" w:rsidR="00C61ECC" w:rsidRPr="000A7AE8" w:rsidRDefault="00906F72" w:rsidP="00906F72">
            <w:pPr>
              <w:rPr>
                <w:rFonts w:cs="Times New Roman"/>
                <w:lang w:val="en-US"/>
              </w:rPr>
            </w:pPr>
            <w:r w:rsidRPr="000A7AE8">
              <w:rPr>
                <w:rFonts w:cs="Times New Roman"/>
                <w:lang w:val="en-US"/>
              </w:rPr>
              <w:t>4.1</w:t>
            </w:r>
          </w:p>
        </w:tc>
        <w:tc>
          <w:tcPr>
            <w:tcW w:w="1265" w:type="dxa"/>
            <w:vAlign w:val="center"/>
          </w:tcPr>
          <w:p w14:paraId="2A72C838" w14:textId="77777777" w:rsidR="00C61ECC" w:rsidRPr="000A7AE8" w:rsidRDefault="00C61ECC" w:rsidP="00277D46">
            <w:pPr>
              <w:cnfStyle w:val="000000000000" w:firstRow="0" w:lastRow="0" w:firstColumn="0" w:lastColumn="0" w:oddVBand="0" w:evenVBand="0" w:oddHBand="0" w:evenHBand="0" w:firstRowFirstColumn="0" w:firstRowLastColumn="0" w:lastRowFirstColumn="0" w:lastRowLastColumn="0"/>
              <w:rPr>
                <w:rFonts w:cs="Times New Roman"/>
                <w:lang w:val="en-US"/>
              </w:rPr>
            </w:pPr>
          </w:p>
        </w:tc>
        <w:tc>
          <w:tcPr>
            <w:tcW w:w="6373" w:type="dxa"/>
            <w:vAlign w:val="center"/>
          </w:tcPr>
          <w:p w14:paraId="1077D8B3" w14:textId="51F9E46A" w:rsidR="00C61ECC" w:rsidRPr="000A7AE8" w:rsidRDefault="00906F72" w:rsidP="00277D46">
            <w:pPr>
              <w:cnfStyle w:val="000000000000" w:firstRow="0" w:lastRow="0" w:firstColumn="0" w:lastColumn="0" w:oddVBand="0" w:evenVBand="0" w:oddHBand="0" w:evenHBand="0" w:firstRowFirstColumn="0" w:firstRowLastColumn="0" w:lastRowFirstColumn="0" w:lastRowLastColumn="0"/>
              <w:rPr>
                <w:rFonts w:cs="Times New Roman"/>
                <w:lang w:val="en-US"/>
              </w:rPr>
            </w:pPr>
            <w:r w:rsidRPr="000A7AE8">
              <w:rPr>
                <w:rFonts w:cs="Times New Roman"/>
                <w:lang w:val="en-US"/>
              </w:rPr>
              <w:t>New indication added for active psoriatic arthritis in adults</w:t>
            </w:r>
          </w:p>
        </w:tc>
      </w:tr>
      <w:tr w:rsidR="000A7AE8" w:rsidRPr="000A7AE8" w14:paraId="20F4E620" w14:textId="77777777" w:rsidTr="00AB778A">
        <w:tc>
          <w:tcPr>
            <w:cnfStyle w:val="001000000000" w:firstRow="0" w:lastRow="0" w:firstColumn="1" w:lastColumn="0" w:oddVBand="0" w:evenVBand="0" w:oddHBand="0" w:evenHBand="0" w:firstRowFirstColumn="0" w:firstRowLastColumn="0" w:lastRowFirstColumn="0" w:lastRowLastColumn="0"/>
            <w:tcW w:w="1368" w:type="dxa"/>
            <w:vAlign w:val="center"/>
          </w:tcPr>
          <w:p w14:paraId="791FD151" w14:textId="4E9A9BAB" w:rsidR="00906F72" w:rsidRPr="000A7AE8" w:rsidRDefault="00906F72" w:rsidP="00906F72">
            <w:pPr>
              <w:rPr>
                <w:rFonts w:cs="Times New Roman"/>
                <w:lang w:val="en-US"/>
              </w:rPr>
            </w:pPr>
            <w:r w:rsidRPr="000A7AE8">
              <w:rPr>
                <w:rFonts w:cs="Times New Roman"/>
                <w:lang w:val="en-US"/>
              </w:rPr>
              <w:t>4.2, 4.4, 4.8, 5.1, 5.2</w:t>
            </w:r>
          </w:p>
        </w:tc>
        <w:tc>
          <w:tcPr>
            <w:tcW w:w="1265" w:type="dxa"/>
            <w:vAlign w:val="center"/>
          </w:tcPr>
          <w:p w14:paraId="54AE0F47" w14:textId="77777777" w:rsidR="00906F72" w:rsidRPr="000A7AE8" w:rsidRDefault="00906F72" w:rsidP="00277D46">
            <w:pPr>
              <w:cnfStyle w:val="000000000000" w:firstRow="0" w:lastRow="0" w:firstColumn="0" w:lastColumn="0" w:oddVBand="0" w:evenVBand="0" w:oddHBand="0" w:evenHBand="0" w:firstRowFirstColumn="0" w:firstRowLastColumn="0" w:lastRowFirstColumn="0" w:lastRowLastColumn="0"/>
              <w:rPr>
                <w:rFonts w:cs="Times New Roman"/>
                <w:lang w:val="en-US"/>
              </w:rPr>
            </w:pPr>
          </w:p>
        </w:tc>
        <w:tc>
          <w:tcPr>
            <w:tcW w:w="6373" w:type="dxa"/>
            <w:vAlign w:val="center"/>
          </w:tcPr>
          <w:p w14:paraId="348D0490" w14:textId="1581B67A" w:rsidR="00906F72" w:rsidRPr="000A7AE8" w:rsidRDefault="00906F72" w:rsidP="00277D46">
            <w:pPr>
              <w:cnfStyle w:val="000000000000" w:firstRow="0" w:lastRow="0" w:firstColumn="0" w:lastColumn="0" w:oddVBand="0" w:evenVBand="0" w:oddHBand="0" w:evenHBand="0" w:firstRowFirstColumn="0" w:firstRowLastColumn="0" w:lastRowFirstColumn="0" w:lastRowLastColumn="0"/>
              <w:rPr>
                <w:rFonts w:cs="Times New Roman"/>
                <w:lang w:val="en-US"/>
              </w:rPr>
            </w:pPr>
            <w:r w:rsidRPr="000A7AE8">
              <w:rPr>
                <w:rFonts w:cs="Times New Roman"/>
                <w:lang w:val="en-US"/>
              </w:rPr>
              <w:t>New information related to dosing, precautions, adverse effects, clinical trials and pharmacokinetics for the new indication added</w:t>
            </w:r>
          </w:p>
        </w:tc>
      </w:tr>
    </w:tbl>
    <w:p w14:paraId="1D9719AA" w14:textId="2594C0F7" w:rsidR="00BD0822" w:rsidRPr="000A7AE8" w:rsidRDefault="00277D46" w:rsidP="000A7AE8">
      <w:pPr>
        <w:spacing w:before="240"/>
      </w:pPr>
      <w:r w:rsidRPr="000A7AE8">
        <w:t>ORENCIA</w:t>
      </w:r>
      <w:r w:rsidRPr="000A7AE8">
        <w:rPr>
          <w:bCs/>
          <w:vertAlign w:val="superscript"/>
        </w:rPr>
        <w:t>®</w:t>
      </w:r>
      <w:r w:rsidRPr="000A7AE8">
        <w:t xml:space="preserve"> and </w:t>
      </w:r>
      <w:proofErr w:type="spellStart"/>
      <w:r w:rsidRPr="000A7AE8">
        <w:t>ClickJect</w:t>
      </w:r>
      <w:proofErr w:type="spellEnd"/>
      <w:r w:rsidRPr="000A7AE8">
        <w:rPr>
          <w:bCs/>
          <w:vertAlign w:val="superscript"/>
        </w:rPr>
        <w:t>®</w:t>
      </w:r>
      <w:r w:rsidRPr="000A7AE8">
        <w:t xml:space="preserve"> are registered trademarks of Bristol-Myers Squibb Company.</w:t>
      </w:r>
    </w:p>
    <w:sectPr w:rsidR="00BD0822" w:rsidRPr="000A7AE8" w:rsidSect="0051298D">
      <w:headerReference w:type="even" r:id="rId12"/>
      <w:headerReference w:type="default" r:id="rId13"/>
      <w:footerReference w:type="even" r:id="rId14"/>
      <w:footerReference w:type="default" r:id="rId15"/>
      <w:headerReference w:type="first" r:id="rId16"/>
      <w:footerReference w:type="first" r:id="rId17"/>
      <w:pgSz w:w="11906" w:h="16838"/>
      <w:pgMar w:top="72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E710F" w14:textId="77777777" w:rsidR="00D711A0" w:rsidRDefault="00D711A0" w:rsidP="001A3992">
      <w:pPr>
        <w:spacing w:after="0"/>
      </w:pPr>
      <w:r>
        <w:separator/>
      </w:r>
    </w:p>
  </w:endnote>
  <w:endnote w:type="continuationSeparator" w:id="0">
    <w:p w14:paraId="63433C21" w14:textId="77777777" w:rsidR="00D711A0" w:rsidRDefault="00D711A0" w:rsidP="001A39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MS Minch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98366" w14:textId="77777777" w:rsidR="00D711A0" w:rsidRDefault="00D711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593163430"/>
      <w:docPartObj>
        <w:docPartGallery w:val="Page Numbers (Bottom of Page)"/>
        <w:docPartUnique/>
      </w:docPartObj>
    </w:sdtPr>
    <w:sdtEndPr>
      <w:rPr>
        <w:noProof/>
        <w:sz w:val="20"/>
      </w:rPr>
    </w:sdtEndPr>
    <w:sdtContent>
      <w:p w14:paraId="13ED8EB3" w14:textId="1DBC563C" w:rsidR="00D711A0" w:rsidRPr="003109D8" w:rsidRDefault="00D711A0" w:rsidP="003109D8">
        <w:pPr>
          <w:pStyle w:val="Footer"/>
          <w:tabs>
            <w:tab w:val="clear" w:pos="4513"/>
          </w:tabs>
          <w:rPr>
            <w:rFonts w:ascii="Times New Roman" w:hAnsi="Times New Roman" w:cs="Times New Roman"/>
            <w:sz w:val="20"/>
          </w:rPr>
        </w:pPr>
        <w:r w:rsidRPr="003109D8">
          <w:rPr>
            <w:rFonts w:ascii="Times New Roman" w:hAnsi="Times New Roman" w:cs="Times New Roman"/>
            <w:sz w:val="20"/>
            <w:szCs w:val="20"/>
          </w:rPr>
          <w:t>AU_PI_</w:t>
        </w:r>
        <w:r>
          <w:rPr>
            <w:rFonts w:ascii="Times New Roman" w:hAnsi="Times New Roman" w:cs="Times New Roman"/>
            <w:sz w:val="20"/>
            <w:szCs w:val="20"/>
          </w:rPr>
          <w:t>Orencia_V14.0</w:t>
        </w:r>
        <w:r>
          <w:rPr>
            <w:rFonts w:ascii="Times New Roman" w:hAnsi="Times New Roman" w:cs="Times New Roman"/>
            <w:sz w:val="20"/>
            <w:szCs w:val="20"/>
          </w:rPr>
          <w:tab/>
        </w:r>
        <w:r w:rsidRPr="003109D8">
          <w:rPr>
            <w:rFonts w:ascii="Times New Roman" w:hAnsi="Times New Roman" w:cs="Times New Roman"/>
            <w:sz w:val="20"/>
          </w:rPr>
          <w:fldChar w:fldCharType="begin"/>
        </w:r>
        <w:r w:rsidRPr="003109D8">
          <w:rPr>
            <w:rFonts w:ascii="Times New Roman" w:hAnsi="Times New Roman" w:cs="Times New Roman"/>
            <w:sz w:val="20"/>
          </w:rPr>
          <w:instrText xml:space="preserve"> PAGE   \* MERGEFORMAT </w:instrText>
        </w:r>
        <w:r w:rsidRPr="003109D8">
          <w:rPr>
            <w:rFonts w:ascii="Times New Roman" w:hAnsi="Times New Roman" w:cs="Times New Roman"/>
            <w:sz w:val="20"/>
          </w:rPr>
          <w:fldChar w:fldCharType="separate"/>
        </w:r>
        <w:r w:rsidR="006918A5">
          <w:rPr>
            <w:rFonts w:ascii="Times New Roman" w:hAnsi="Times New Roman" w:cs="Times New Roman"/>
            <w:noProof/>
            <w:sz w:val="20"/>
          </w:rPr>
          <w:t>1</w:t>
        </w:r>
        <w:r w:rsidRPr="003109D8">
          <w:rPr>
            <w:rFonts w:ascii="Times New Roman" w:hAnsi="Times New Roman" w:cs="Times New Roman"/>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B6E4F" w14:textId="77777777" w:rsidR="00D711A0" w:rsidRDefault="00D711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9CB35" w14:textId="77777777" w:rsidR="00D711A0" w:rsidRDefault="00D711A0" w:rsidP="001A3992">
      <w:pPr>
        <w:spacing w:after="0"/>
      </w:pPr>
      <w:r>
        <w:separator/>
      </w:r>
    </w:p>
  </w:footnote>
  <w:footnote w:type="continuationSeparator" w:id="0">
    <w:p w14:paraId="10CD8A53" w14:textId="77777777" w:rsidR="00D711A0" w:rsidRDefault="00D711A0" w:rsidP="001A399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6D9BC" w14:textId="77777777" w:rsidR="00D711A0" w:rsidRDefault="00D711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4108C4" w:rsidRPr="002E7F61" w14:paraId="56D93663" w14:textId="77777777" w:rsidTr="00752532">
      <w:trPr>
        <w:trHeight w:val="590"/>
      </w:trPr>
      <w:tc>
        <w:tcPr>
          <w:tcW w:w="8720" w:type="dxa"/>
          <w:shd w:val="clear" w:color="auto" w:fill="E4F2E0"/>
        </w:tcPr>
        <w:p w14:paraId="1BCFC524" w14:textId="0EA156EF" w:rsidR="006918A5" w:rsidRDefault="004108C4" w:rsidP="006918A5">
          <w:r w:rsidRPr="002E7F61">
            <w:rPr>
              <w:b/>
              <w:sz w:val="18"/>
              <w:szCs w:val="18"/>
            </w:rPr>
            <w:t xml:space="preserve">Attachment 1: Product information </w:t>
          </w:r>
          <w:r w:rsidRPr="004A3E90">
            <w:rPr>
              <w:b/>
              <w:sz w:val="18"/>
              <w:szCs w:val="18"/>
            </w:rPr>
            <w:t xml:space="preserve">AusPAR </w:t>
          </w:r>
          <w:proofErr w:type="spellStart"/>
          <w:r w:rsidRPr="004A3E90">
            <w:rPr>
              <w:b/>
              <w:sz w:val="18"/>
              <w:szCs w:val="18"/>
            </w:rPr>
            <w:t>Orencia</w:t>
          </w:r>
          <w:proofErr w:type="spellEnd"/>
          <w:r w:rsidRPr="004A3E90">
            <w:rPr>
              <w:b/>
              <w:sz w:val="18"/>
              <w:szCs w:val="18"/>
            </w:rPr>
            <w:t xml:space="preserve"> </w:t>
          </w:r>
          <w:proofErr w:type="spellStart"/>
          <w:r w:rsidRPr="004A3E90">
            <w:rPr>
              <w:b/>
              <w:sz w:val="18"/>
              <w:szCs w:val="18"/>
            </w:rPr>
            <w:t>Abatacept</w:t>
          </w:r>
          <w:proofErr w:type="spellEnd"/>
          <w:r w:rsidRPr="004A3E90">
            <w:rPr>
              <w:b/>
              <w:sz w:val="18"/>
              <w:szCs w:val="18"/>
            </w:rPr>
            <w:t xml:space="preserve"> Bristol Myers Squibb Australia Ltd - PM-2016-03491-1-3 Final 4 February 2019</w:t>
          </w:r>
          <w:r>
            <w:rPr>
              <w:b/>
              <w:sz w:val="18"/>
              <w:szCs w:val="18"/>
            </w:rPr>
            <w:t xml:space="preserve"> </w:t>
          </w:r>
          <w:r w:rsidR="006918A5" w:rsidRPr="006918A5">
            <w:rPr>
              <w:b/>
              <w:sz w:val="18"/>
              <w:szCs w:val="18"/>
            </w:rPr>
            <w:t>This is the Product Information that was approved with the submission described in this AusPAR. It may have been superseded. For the most recent PI, please refer to the TGA website at</w:t>
          </w:r>
          <w:r w:rsidR="006918A5">
            <w:rPr>
              <w:b/>
              <w:sz w:val="18"/>
              <w:szCs w:val="18"/>
            </w:rPr>
            <w:t xml:space="preserve"> &lt;</w:t>
          </w:r>
          <w:hyperlink r:id="rId1" w:history="1">
            <w:r w:rsidR="006918A5" w:rsidRPr="006918A5">
              <w:rPr>
                <w:rStyle w:val="Hyperlink"/>
                <w:sz w:val="18"/>
                <w:szCs w:val="18"/>
              </w:rPr>
              <w:t>https://www.tga.gov.au/product-informa</w:t>
            </w:r>
            <w:bookmarkStart w:id="88" w:name="_GoBack"/>
            <w:bookmarkEnd w:id="88"/>
            <w:r w:rsidR="006918A5" w:rsidRPr="006918A5">
              <w:rPr>
                <w:rStyle w:val="Hyperlink"/>
                <w:sz w:val="18"/>
                <w:szCs w:val="18"/>
              </w:rPr>
              <w:t>tion-pi</w:t>
            </w:r>
          </w:hyperlink>
          <w:r w:rsidR="006918A5">
            <w:rPr>
              <w:rStyle w:val="Hyperlink"/>
              <w:sz w:val="18"/>
              <w:szCs w:val="18"/>
            </w:rPr>
            <w:t>&gt;</w:t>
          </w:r>
        </w:p>
        <w:p w14:paraId="6F597B39" w14:textId="61237F60" w:rsidR="004108C4" w:rsidRPr="002E7F61" w:rsidRDefault="004108C4" w:rsidP="00752532">
          <w:pPr>
            <w:pStyle w:val="Footer"/>
            <w:rPr>
              <w:b/>
              <w:sz w:val="18"/>
              <w:szCs w:val="18"/>
            </w:rPr>
          </w:pPr>
        </w:p>
      </w:tc>
    </w:tr>
  </w:tbl>
  <w:p w14:paraId="56EBA267" w14:textId="77777777" w:rsidR="004108C4" w:rsidRDefault="004108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724FF" w14:textId="77777777" w:rsidR="00D711A0" w:rsidRDefault="00D711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4F02"/>
    <w:multiLevelType w:val="hybridMultilevel"/>
    <w:tmpl w:val="7D48C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3F1EE4"/>
    <w:multiLevelType w:val="hybridMultilevel"/>
    <w:tmpl w:val="80301114"/>
    <w:lvl w:ilvl="0" w:tplc="E7C630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1E017A"/>
    <w:multiLevelType w:val="hybridMultilevel"/>
    <w:tmpl w:val="A1D4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3744EF"/>
    <w:multiLevelType w:val="hybridMultilevel"/>
    <w:tmpl w:val="562C4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145350"/>
    <w:multiLevelType w:val="hybridMultilevel"/>
    <w:tmpl w:val="E306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722408"/>
    <w:multiLevelType w:val="hybridMultilevel"/>
    <w:tmpl w:val="18B2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F0085B"/>
    <w:multiLevelType w:val="hybridMultilevel"/>
    <w:tmpl w:val="7C6A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CB13908"/>
    <w:multiLevelType w:val="hybridMultilevel"/>
    <w:tmpl w:val="35EAA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150DFA"/>
    <w:multiLevelType w:val="hybridMultilevel"/>
    <w:tmpl w:val="A7DA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F55404"/>
    <w:multiLevelType w:val="hybridMultilevel"/>
    <w:tmpl w:val="C1988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3AF6C4D"/>
    <w:multiLevelType w:val="hybridMultilevel"/>
    <w:tmpl w:val="03AE8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F166C50"/>
    <w:multiLevelType w:val="multilevel"/>
    <w:tmpl w:val="44CCD998"/>
    <w:lvl w:ilvl="0">
      <w:start w:val="1"/>
      <w:numFmt w:val="decimal"/>
      <w:pStyle w:val="BMSOutlineNumbering"/>
      <w:lvlText w:val="%1)"/>
      <w:lvlJc w:val="left"/>
      <w:pPr>
        <w:tabs>
          <w:tab w:val="num" w:pos="600"/>
        </w:tabs>
        <w:ind w:left="60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6FC7661F"/>
    <w:multiLevelType w:val="hybridMultilevel"/>
    <w:tmpl w:val="22B4C2BC"/>
    <w:lvl w:ilvl="0" w:tplc="AF12DDAE">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332797"/>
    <w:multiLevelType w:val="multilevel"/>
    <w:tmpl w:val="F902728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63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1"/>
  </w:num>
  <w:num w:numId="4">
    <w:abstractNumId w:val="13"/>
  </w:num>
  <w:num w:numId="5">
    <w:abstractNumId w:val="22"/>
  </w:num>
  <w:num w:numId="6">
    <w:abstractNumId w:val="20"/>
  </w:num>
  <w:num w:numId="7">
    <w:abstractNumId w:val="16"/>
  </w:num>
  <w:num w:numId="8">
    <w:abstractNumId w:val="21"/>
  </w:num>
  <w:num w:numId="9">
    <w:abstractNumId w:val="9"/>
  </w:num>
  <w:num w:numId="10">
    <w:abstractNumId w:val="15"/>
  </w:num>
  <w:num w:numId="11">
    <w:abstractNumId w:val="19"/>
  </w:num>
  <w:num w:numId="12">
    <w:abstractNumId w:val="19"/>
  </w:num>
  <w:num w:numId="13">
    <w:abstractNumId w:val="19"/>
  </w:num>
  <w:num w:numId="14">
    <w:abstractNumId w:val="19"/>
  </w:num>
  <w:num w:numId="15">
    <w:abstractNumId w:val="19"/>
  </w:num>
  <w:num w:numId="16">
    <w:abstractNumId w:val="19"/>
  </w:num>
  <w:num w:numId="17">
    <w:abstractNumId w:val="19"/>
  </w:num>
  <w:num w:numId="18">
    <w:abstractNumId w:val="8"/>
  </w:num>
  <w:num w:numId="19">
    <w:abstractNumId w:val="10"/>
  </w:num>
  <w:num w:numId="20">
    <w:abstractNumId w:val="14"/>
  </w:num>
  <w:num w:numId="21">
    <w:abstractNumId w:val="7"/>
  </w:num>
  <w:num w:numId="22">
    <w:abstractNumId w:val="18"/>
  </w:num>
  <w:num w:numId="23">
    <w:abstractNumId w:val="6"/>
  </w:num>
  <w:num w:numId="24">
    <w:abstractNumId w:val="4"/>
  </w:num>
  <w:num w:numId="25">
    <w:abstractNumId w:val="12"/>
  </w:num>
  <w:num w:numId="26">
    <w:abstractNumId w:val="0"/>
  </w:num>
  <w:num w:numId="27">
    <w:abstractNumId w:val="2"/>
  </w:num>
  <w:num w:numId="28">
    <w:abstractNumId w:val="5"/>
  </w:num>
  <w:num w:numId="29">
    <w:abstractNumId w:val="11"/>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CoreTemplateVersion" w:val="4.01"/>
    <w:docVar w:name="InitialCoreTemplateVersion" w:val="4.01"/>
  </w:docVars>
  <w:rsids>
    <w:rsidRoot w:val="001829B1"/>
    <w:rsid w:val="00015766"/>
    <w:rsid w:val="00027F68"/>
    <w:rsid w:val="00040299"/>
    <w:rsid w:val="00073FB1"/>
    <w:rsid w:val="0007651D"/>
    <w:rsid w:val="000A1F7C"/>
    <w:rsid w:val="000A4651"/>
    <w:rsid w:val="000A7AE8"/>
    <w:rsid w:val="000E0AFD"/>
    <w:rsid w:val="000E7BE9"/>
    <w:rsid w:val="000E7E5C"/>
    <w:rsid w:val="000F03E1"/>
    <w:rsid w:val="001143BC"/>
    <w:rsid w:val="00121782"/>
    <w:rsid w:val="00122899"/>
    <w:rsid w:val="001338C2"/>
    <w:rsid w:val="001364AF"/>
    <w:rsid w:val="0014298C"/>
    <w:rsid w:val="001515F1"/>
    <w:rsid w:val="00155B80"/>
    <w:rsid w:val="00167658"/>
    <w:rsid w:val="001829B1"/>
    <w:rsid w:val="001A2060"/>
    <w:rsid w:val="001A3992"/>
    <w:rsid w:val="001A5A2A"/>
    <w:rsid w:val="001A764A"/>
    <w:rsid w:val="001B7A6D"/>
    <w:rsid w:val="001D5C14"/>
    <w:rsid w:val="001F4CEC"/>
    <w:rsid w:val="001F57B8"/>
    <w:rsid w:val="0020264B"/>
    <w:rsid w:val="00203339"/>
    <w:rsid w:val="00203D05"/>
    <w:rsid w:val="00205F10"/>
    <w:rsid w:val="00207448"/>
    <w:rsid w:val="00213922"/>
    <w:rsid w:val="0022005D"/>
    <w:rsid w:val="00225F71"/>
    <w:rsid w:val="00257C8F"/>
    <w:rsid w:val="00260A0D"/>
    <w:rsid w:val="00260EDC"/>
    <w:rsid w:val="00277D46"/>
    <w:rsid w:val="00297AAE"/>
    <w:rsid w:val="002A0B9A"/>
    <w:rsid w:val="002E277D"/>
    <w:rsid w:val="002E3927"/>
    <w:rsid w:val="002F045D"/>
    <w:rsid w:val="002F0C39"/>
    <w:rsid w:val="002F6422"/>
    <w:rsid w:val="0030249B"/>
    <w:rsid w:val="003109D8"/>
    <w:rsid w:val="00313A4A"/>
    <w:rsid w:val="003144B2"/>
    <w:rsid w:val="00322E59"/>
    <w:rsid w:val="00327291"/>
    <w:rsid w:val="003612A6"/>
    <w:rsid w:val="00383CBC"/>
    <w:rsid w:val="00394724"/>
    <w:rsid w:val="00396C59"/>
    <w:rsid w:val="003B14A8"/>
    <w:rsid w:val="003C5E1F"/>
    <w:rsid w:val="003C741E"/>
    <w:rsid w:val="003D202A"/>
    <w:rsid w:val="003D6965"/>
    <w:rsid w:val="004032BD"/>
    <w:rsid w:val="00405DA5"/>
    <w:rsid w:val="004108C4"/>
    <w:rsid w:val="00413966"/>
    <w:rsid w:val="00414873"/>
    <w:rsid w:val="004314AA"/>
    <w:rsid w:val="00431ACD"/>
    <w:rsid w:val="00445259"/>
    <w:rsid w:val="0045690B"/>
    <w:rsid w:val="0046343A"/>
    <w:rsid w:val="004704A9"/>
    <w:rsid w:val="004901FA"/>
    <w:rsid w:val="004B1B27"/>
    <w:rsid w:val="004B4E23"/>
    <w:rsid w:val="004B4FA7"/>
    <w:rsid w:val="004D18C7"/>
    <w:rsid w:val="004E0E70"/>
    <w:rsid w:val="004E2896"/>
    <w:rsid w:val="004F767B"/>
    <w:rsid w:val="005001F3"/>
    <w:rsid w:val="005042B4"/>
    <w:rsid w:val="00511B40"/>
    <w:rsid w:val="0051298D"/>
    <w:rsid w:val="00512BA0"/>
    <w:rsid w:val="00516BE7"/>
    <w:rsid w:val="00544A7F"/>
    <w:rsid w:val="00570F78"/>
    <w:rsid w:val="00580399"/>
    <w:rsid w:val="00580444"/>
    <w:rsid w:val="0059564D"/>
    <w:rsid w:val="005A7542"/>
    <w:rsid w:val="005C0AB3"/>
    <w:rsid w:val="00601929"/>
    <w:rsid w:val="0064433C"/>
    <w:rsid w:val="00644643"/>
    <w:rsid w:val="00666714"/>
    <w:rsid w:val="00690C07"/>
    <w:rsid w:val="006918A5"/>
    <w:rsid w:val="006B3C30"/>
    <w:rsid w:val="006B4211"/>
    <w:rsid w:val="006D3F06"/>
    <w:rsid w:val="0071785C"/>
    <w:rsid w:val="00720A58"/>
    <w:rsid w:val="00727FF8"/>
    <w:rsid w:val="00730D4E"/>
    <w:rsid w:val="007326B7"/>
    <w:rsid w:val="00743189"/>
    <w:rsid w:val="007533E2"/>
    <w:rsid w:val="007615DB"/>
    <w:rsid w:val="007A0D60"/>
    <w:rsid w:val="007C1EDB"/>
    <w:rsid w:val="007C4044"/>
    <w:rsid w:val="007D25C9"/>
    <w:rsid w:val="007D33DA"/>
    <w:rsid w:val="007D3E15"/>
    <w:rsid w:val="007F47FD"/>
    <w:rsid w:val="008058B9"/>
    <w:rsid w:val="00816D10"/>
    <w:rsid w:val="00833BB2"/>
    <w:rsid w:val="008341C4"/>
    <w:rsid w:val="00861104"/>
    <w:rsid w:val="00867DFF"/>
    <w:rsid w:val="00873CA1"/>
    <w:rsid w:val="00877957"/>
    <w:rsid w:val="008C35B2"/>
    <w:rsid w:val="008C724E"/>
    <w:rsid w:val="008D3610"/>
    <w:rsid w:val="008F61FE"/>
    <w:rsid w:val="008F6C8D"/>
    <w:rsid w:val="00906F72"/>
    <w:rsid w:val="00932AF4"/>
    <w:rsid w:val="00960CD5"/>
    <w:rsid w:val="00981025"/>
    <w:rsid w:val="009B59BA"/>
    <w:rsid w:val="009B6B37"/>
    <w:rsid w:val="009C5D6F"/>
    <w:rsid w:val="009D0166"/>
    <w:rsid w:val="009D5058"/>
    <w:rsid w:val="00A0441D"/>
    <w:rsid w:val="00A04894"/>
    <w:rsid w:val="00A20060"/>
    <w:rsid w:val="00A20412"/>
    <w:rsid w:val="00A35C16"/>
    <w:rsid w:val="00A66ED8"/>
    <w:rsid w:val="00A744E6"/>
    <w:rsid w:val="00AA0420"/>
    <w:rsid w:val="00AA595B"/>
    <w:rsid w:val="00AB3B14"/>
    <w:rsid w:val="00AB5D6F"/>
    <w:rsid w:val="00AB778A"/>
    <w:rsid w:val="00AC7CAB"/>
    <w:rsid w:val="00AD383D"/>
    <w:rsid w:val="00B06CC2"/>
    <w:rsid w:val="00B07278"/>
    <w:rsid w:val="00B57C92"/>
    <w:rsid w:val="00B76AC9"/>
    <w:rsid w:val="00B830E2"/>
    <w:rsid w:val="00BB36B3"/>
    <w:rsid w:val="00BB51C2"/>
    <w:rsid w:val="00BC2B99"/>
    <w:rsid w:val="00BD0822"/>
    <w:rsid w:val="00BD6F06"/>
    <w:rsid w:val="00BE355A"/>
    <w:rsid w:val="00C01ADD"/>
    <w:rsid w:val="00C02EB7"/>
    <w:rsid w:val="00C046F7"/>
    <w:rsid w:val="00C13A8C"/>
    <w:rsid w:val="00C22181"/>
    <w:rsid w:val="00C243BB"/>
    <w:rsid w:val="00C276B1"/>
    <w:rsid w:val="00C27979"/>
    <w:rsid w:val="00C300B1"/>
    <w:rsid w:val="00C350D6"/>
    <w:rsid w:val="00C35502"/>
    <w:rsid w:val="00C61ECC"/>
    <w:rsid w:val="00C62D3A"/>
    <w:rsid w:val="00C65823"/>
    <w:rsid w:val="00C84D8B"/>
    <w:rsid w:val="00C85BCE"/>
    <w:rsid w:val="00CA6CCF"/>
    <w:rsid w:val="00CB5929"/>
    <w:rsid w:val="00CC3F40"/>
    <w:rsid w:val="00CC4044"/>
    <w:rsid w:val="00CC55B8"/>
    <w:rsid w:val="00CE3009"/>
    <w:rsid w:val="00CE511A"/>
    <w:rsid w:val="00CF3B37"/>
    <w:rsid w:val="00D0171C"/>
    <w:rsid w:val="00D04AD8"/>
    <w:rsid w:val="00D51CFB"/>
    <w:rsid w:val="00D52F37"/>
    <w:rsid w:val="00D53178"/>
    <w:rsid w:val="00D575DC"/>
    <w:rsid w:val="00D711A0"/>
    <w:rsid w:val="00D76919"/>
    <w:rsid w:val="00D81F3A"/>
    <w:rsid w:val="00DA5DA4"/>
    <w:rsid w:val="00DA663A"/>
    <w:rsid w:val="00DB2EF0"/>
    <w:rsid w:val="00DE587B"/>
    <w:rsid w:val="00DF074F"/>
    <w:rsid w:val="00E124B6"/>
    <w:rsid w:val="00E1787C"/>
    <w:rsid w:val="00E376B1"/>
    <w:rsid w:val="00E61227"/>
    <w:rsid w:val="00E74A56"/>
    <w:rsid w:val="00E96BF2"/>
    <w:rsid w:val="00EA1A82"/>
    <w:rsid w:val="00EA48C0"/>
    <w:rsid w:val="00EA53CB"/>
    <w:rsid w:val="00EB6EF9"/>
    <w:rsid w:val="00EB7822"/>
    <w:rsid w:val="00EE3059"/>
    <w:rsid w:val="00F01F58"/>
    <w:rsid w:val="00F52BCF"/>
    <w:rsid w:val="00F56933"/>
    <w:rsid w:val="00F64294"/>
    <w:rsid w:val="00F702E1"/>
    <w:rsid w:val="00F834A1"/>
    <w:rsid w:val="00FB27DB"/>
    <w:rsid w:val="00FC400B"/>
    <w:rsid w:val="00FC6ECD"/>
    <w:rsid w:val="00FD1FC8"/>
    <w:rsid w:val="00FE4022"/>
    <w:rsid w:val="00FF50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B2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endnote reference"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00B1"/>
    <w:pPr>
      <w:spacing w:line="240" w:lineRule="auto"/>
      <w:jc w:val="both"/>
    </w:pPr>
    <w:rPr>
      <w:rFonts w:ascii="Times New Roman" w:hAnsi="Times New Roman"/>
    </w:rPr>
  </w:style>
  <w:style w:type="paragraph" w:styleId="Heading1">
    <w:name w:val="heading 1"/>
    <w:basedOn w:val="Normal"/>
    <w:next w:val="Normal"/>
    <w:link w:val="Heading1Char"/>
    <w:autoRedefine/>
    <w:uiPriority w:val="9"/>
    <w:qFormat/>
    <w:rsid w:val="00E376B1"/>
    <w:pPr>
      <w:keepNext/>
      <w:keepLines/>
      <w:numPr>
        <w:numId w:val="1"/>
      </w:numPr>
      <w:spacing w:before="200" w:after="120"/>
      <w:outlineLvl w:val="0"/>
    </w:pPr>
    <w:rPr>
      <w:rFonts w:eastAsiaTheme="majorEastAsia" w:cs="Times New Roman"/>
      <w:b/>
      <w:bCs/>
      <w:caps/>
      <w:sz w:val="28"/>
      <w:szCs w:val="28"/>
      <w:lang w:val="en-US"/>
    </w:rPr>
  </w:style>
  <w:style w:type="paragraph" w:styleId="Heading2">
    <w:name w:val="heading 2"/>
    <w:basedOn w:val="Normal"/>
    <w:next w:val="Normal"/>
    <w:link w:val="Heading2Char"/>
    <w:autoRedefine/>
    <w:uiPriority w:val="9"/>
    <w:unhideWhenUsed/>
    <w:qFormat/>
    <w:rsid w:val="008341C4"/>
    <w:pPr>
      <w:numPr>
        <w:ilvl w:val="1"/>
        <w:numId w:val="1"/>
      </w:numPr>
      <w:spacing w:before="120" w:after="120"/>
      <w:ind w:left="810" w:hanging="810"/>
      <w:jc w:val="left"/>
      <w:outlineLvl w:val="1"/>
    </w:pPr>
    <w:rPr>
      <w:rFonts w:cs="Times New Roman"/>
      <w:b/>
      <w:smallCaps/>
      <w:sz w:val="26"/>
      <w:szCs w:val="26"/>
    </w:rPr>
  </w:style>
  <w:style w:type="paragraph" w:styleId="Heading3">
    <w:name w:val="heading 3"/>
    <w:basedOn w:val="Normal"/>
    <w:next w:val="Normal"/>
    <w:link w:val="Heading3Char"/>
    <w:autoRedefine/>
    <w:uiPriority w:val="9"/>
    <w:unhideWhenUsed/>
    <w:qFormat/>
    <w:rsid w:val="00073FB1"/>
    <w:pPr>
      <w:keepNext/>
      <w:keepLines/>
      <w:spacing w:before="120" w:after="120"/>
      <w:outlineLvl w:val="2"/>
    </w:pPr>
    <w:rPr>
      <w:rFonts w:ascii="Times New Roman Bold" w:eastAsiaTheme="majorEastAsia" w:hAnsi="Times New Roman Bold" w:cs="Times New Roman"/>
      <w:b/>
      <w:bCs/>
      <w:sz w:val="24"/>
      <w:szCs w:val="28"/>
    </w:rPr>
  </w:style>
  <w:style w:type="paragraph" w:styleId="Heading4">
    <w:name w:val="heading 4"/>
    <w:basedOn w:val="Normal"/>
    <w:next w:val="Normal"/>
    <w:link w:val="Heading4Char"/>
    <w:autoRedefine/>
    <w:uiPriority w:val="9"/>
    <w:unhideWhenUsed/>
    <w:qFormat/>
    <w:rsid w:val="0046343A"/>
    <w:pPr>
      <w:keepNext/>
      <w:keepLines/>
      <w:spacing w:before="120" w:after="120"/>
      <w:jc w:val="left"/>
      <w:outlineLvl w:val="3"/>
    </w:pPr>
    <w:rPr>
      <w:rFonts w:ascii="Times New Roman Bold" w:eastAsia="SimSun" w:hAnsi="Times New Roman Bold" w:cs="Times New Roman"/>
      <w:b/>
      <w:bCs/>
      <w:i/>
      <w:iCs/>
      <w:snapToGrid w:val="0"/>
      <w:lang w:val="en-US"/>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6B1"/>
    <w:rPr>
      <w:rFonts w:ascii="Times New Roman" w:eastAsiaTheme="majorEastAsia" w:hAnsi="Times New Roman" w:cs="Times New Roman"/>
      <w:b/>
      <w:bCs/>
      <w:caps/>
      <w:sz w:val="28"/>
      <w:szCs w:val="28"/>
      <w:lang w:val="en-US"/>
    </w:rPr>
  </w:style>
  <w:style w:type="character" w:customStyle="1" w:styleId="Heading2Char">
    <w:name w:val="Heading 2 Char"/>
    <w:basedOn w:val="DefaultParagraphFont"/>
    <w:link w:val="Heading2"/>
    <w:uiPriority w:val="9"/>
    <w:rsid w:val="008341C4"/>
    <w:rPr>
      <w:rFonts w:ascii="Times New Roman" w:hAnsi="Times New Roman" w:cs="Times New Roman"/>
      <w:b/>
      <w:smallCaps/>
      <w:sz w:val="26"/>
      <w:szCs w:val="26"/>
    </w:rPr>
  </w:style>
  <w:style w:type="character" w:customStyle="1" w:styleId="Heading3Char">
    <w:name w:val="Heading 3 Char"/>
    <w:basedOn w:val="DefaultParagraphFont"/>
    <w:link w:val="Heading3"/>
    <w:uiPriority w:val="9"/>
    <w:rsid w:val="00073FB1"/>
    <w:rPr>
      <w:rFonts w:ascii="Times New Roman Bold" w:eastAsiaTheme="majorEastAsia" w:hAnsi="Times New Roman Bold" w:cs="Times New Roman"/>
      <w:b/>
      <w:bCs/>
      <w:sz w:val="24"/>
      <w:szCs w:val="28"/>
    </w:rPr>
  </w:style>
  <w:style w:type="character" w:customStyle="1" w:styleId="Heading4Char">
    <w:name w:val="Heading 4 Char"/>
    <w:basedOn w:val="DefaultParagraphFont"/>
    <w:link w:val="Heading4"/>
    <w:uiPriority w:val="9"/>
    <w:rsid w:val="0046343A"/>
    <w:rPr>
      <w:rFonts w:ascii="Times New Roman Bold" w:eastAsia="SimSun" w:hAnsi="Times New Roman Bold" w:cs="Times New Roman"/>
      <w:b/>
      <w:bCs/>
      <w:i/>
      <w:iCs/>
      <w:snapToGrid w:val="0"/>
      <w:lang w:val="en-US"/>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basedOn w:val="Normal"/>
    <w:link w:val="CommentTextChar"/>
    <w:unhideWhenUsed/>
    <w:rsid w:val="001A3992"/>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pPr>
  </w:style>
  <w:style w:type="character" w:customStyle="1" w:styleId="HeaderChar">
    <w:name w:val="Header Char"/>
    <w:basedOn w:val="DefaultParagraphFont"/>
    <w:link w:val="Header"/>
    <w:uiPriority w:val="99"/>
    <w:rsid w:val="00CA6CCF"/>
  </w:style>
  <w:style w:type="paragraph" w:styleId="CommentSubject">
    <w:name w:val="annotation subject"/>
    <w:basedOn w:val="CommentText"/>
    <w:next w:val="CommentText"/>
    <w:link w:val="CommentSubjectChar"/>
    <w:uiPriority w:val="99"/>
    <w:semiHidden/>
    <w:unhideWhenUsed/>
    <w:rsid w:val="00C046F7"/>
    <w:rPr>
      <w:rFonts w:asciiTheme="minorHAnsi" w:hAnsiTheme="minorHAnsi"/>
      <w:b/>
      <w:bCs/>
    </w:rPr>
  </w:style>
  <w:style w:type="character" w:customStyle="1" w:styleId="CommentSubjectChar">
    <w:name w:val="Comment Subject Char"/>
    <w:basedOn w:val="CommentTextChar"/>
    <w:link w:val="CommentSubject"/>
    <w:uiPriority w:val="99"/>
    <w:semiHidden/>
    <w:rsid w:val="00C046F7"/>
    <w:rPr>
      <w:rFonts w:ascii="Cambria" w:hAnsi="Cambria"/>
      <w:b/>
      <w:bCs/>
      <w:sz w:val="20"/>
      <w:szCs w:val="20"/>
    </w:rPr>
  </w:style>
  <w:style w:type="paragraph" w:customStyle="1" w:styleId="Default">
    <w:name w:val="Default"/>
    <w:rsid w:val="00C046F7"/>
    <w:pPr>
      <w:autoSpaceDE w:val="0"/>
      <w:autoSpaceDN w:val="0"/>
      <w:adjustRightInd w:val="0"/>
      <w:spacing w:after="0" w:line="240" w:lineRule="auto"/>
    </w:pPr>
    <w:rPr>
      <w:rFonts w:ascii="Cambria" w:hAnsi="Cambria" w:cs="Cambria"/>
      <w:color w:val="000000"/>
      <w:sz w:val="24"/>
      <w:szCs w:val="24"/>
      <w:lang w:val="en-US"/>
    </w:rPr>
  </w:style>
  <w:style w:type="paragraph" w:styleId="Title">
    <w:name w:val="Title"/>
    <w:basedOn w:val="Normal"/>
    <w:next w:val="Normal"/>
    <w:link w:val="TitleChar"/>
    <w:autoRedefine/>
    <w:uiPriority w:val="10"/>
    <w:qFormat/>
    <w:rsid w:val="001A2060"/>
    <w:pPr>
      <w:spacing w:before="240" w:after="240"/>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A2060"/>
    <w:rPr>
      <w:rFonts w:ascii="Times New Roman" w:eastAsiaTheme="majorEastAsia" w:hAnsi="Times New Roman" w:cstheme="majorBidi"/>
      <w:b/>
      <w:caps/>
      <w:spacing w:val="-10"/>
      <w:kern w:val="28"/>
      <w:sz w:val="32"/>
      <w:szCs w:val="56"/>
    </w:rPr>
  </w:style>
  <w:style w:type="paragraph" w:styleId="NoSpacing">
    <w:name w:val="No Spacing"/>
    <w:aliases w:val="Bullet"/>
    <w:autoRedefine/>
    <w:uiPriority w:val="1"/>
    <w:qFormat/>
    <w:rsid w:val="005001F3"/>
    <w:pPr>
      <w:numPr>
        <w:numId w:val="22"/>
      </w:numPr>
      <w:spacing w:after="120" w:line="240" w:lineRule="auto"/>
      <w:ind w:left="648"/>
    </w:pPr>
    <w:rPr>
      <w:rFonts w:ascii="Times New Roman" w:hAnsi="Times New Roman"/>
    </w:rPr>
  </w:style>
  <w:style w:type="character" w:styleId="IntenseReference">
    <w:name w:val="Intense Reference"/>
    <w:basedOn w:val="DefaultParagraphFont"/>
    <w:uiPriority w:val="32"/>
    <w:rsid w:val="00570F78"/>
    <w:rPr>
      <w:b/>
      <w:bCs/>
      <w:smallCaps/>
      <w:color w:val="4F81BD" w:themeColor="accent1"/>
      <w:spacing w:val="5"/>
    </w:rPr>
  </w:style>
  <w:style w:type="character" w:styleId="Strong">
    <w:name w:val="Strong"/>
    <w:basedOn w:val="DefaultParagraphFont"/>
    <w:uiPriority w:val="22"/>
    <w:rsid w:val="007D33DA"/>
    <w:rPr>
      <w:b/>
      <w:bCs/>
    </w:rPr>
  </w:style>
  <w:style w:type="table" w:styleId="TableGrid">
    <w:name w:val="Table Grid"/>
    <w:basedOn w:val="TableNormal"/>
    <w:uiPriority w:val="59"/>
    <w:rsid w:val="007D3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SBodyText">
    <w:name w:val="BMS Body Text"/>
    <w:link w:val="BMSBodyTextChar"/>
    <w:qFormat/>
    <w:rsid w:val="00EA1A82"/>
    <w:pPr>
      <w:spacing w:before="120" w:after="120" w:line="300" w:lineRule="auto"/>
      <w:jc w:val="both"/>
    </w:pPr>
    <w:rPr>
      <w:rFonts w:ascii="Times New Roman" w:eastAsia="Times New Roman" w:hAnsi="Times New Roman" w:cs="Times New Roman"/>
      <w:color w:val="000000"/>
      <w:sz w:val="24"/>
      <w:szCs w:val="24"/>
      <w:lang w:val="en-US"/>
    </w:rPr>
  </w:style>
  <w:style w:type="character" w:customStyle="1" w:styleId="BMSBodyTextChar">
    <w:name w:val="BMS Body Text Char"/>
    <w:link w:val="BMSBodyText"/>
    <w:locked/>
    <w:rsid w:val="00EA1A82"/>
    <w:rPr>
      <w:rFonts w:ascii="Times New Roman" w:eastAsia="Times New Roman" w:hAnsi="Times New Roman" w:cs="Times New Roman"/>
      <w:color w:val="000000"/>
      <w:sz w:val="24"/>
      <w:szCs w:val="24"/>
      <w:lang w:val="en-US"/>
    </w:rPr>
  </w:style>
  <w:style w:type="paragraph" w:customStyle="1" w:styleId="BMSTableTitle">
    <w:name w:val="BMS Table Title"/>
    <w:link w:val="BMSTableTitleChar"/>
    <w:rsid w:val="006B4211"/>
    <w:pPr>
      <w:keepNext/>
      <w:keepLines/>
      <w:tabs>
        <w:tab w:val="left" w:pos="2160"/>
      </w:tabs>
      <w:spacing w:before="120" w:after="120" w:line="240" w:lineRule="auto"/>
      <w:ind w:left="2160" w:hanging="2160"/>
    </w:pPr>
    <w:rPr>
      <w:rFonts w:ascii="Times New Roman" w:eastAsia="Times New Roman" w:hAnsi="Times New Roman" w:cs="Times New Roman"/>
      <w:b/>
      <w:sz w:val="24"/>
      <w:szCs w:val="20"/>
      <w:lang w:val="en-US"/>
    </w:rPr>
  </w:style>
  <w:style w:type="character" w:customStyle="1" w:styleId="BMSTableNote">
    <w:name w:val="BMS Table Note"/>
    <w:uiPriority w:val="99"/>
    <w:rsid w:val="006B4211"/>
    <w:rPr>
      <w:rFonts w:ascii="Times New Roman" w:hAnsi="Times New Roman" w:cs="Times New Roman"/>
      <w:color w:val="auto"/>
      <w:sz w:val="28"/>
      <w:vertAlign w:val="superscript"/>
    </w:rPr>
  </w:style>
  <w:style w:type="paragraph" w:customStyle="1" w:styleId="BMSTableNoteInfo">
    <w:name w:val="BMS Table Note Info"/>
    <w:basedOn w:val="BMSBodyText"/>
    <w:next w:val="BMSBodyText"/>
    <w:uiPriority w:val="99"/>
    <w:rsid w:val="006B4211"/>
    <w:pPr>
      <w:tabs>
        <w:tab w:val="left" w:pos="216"/>
      </w:tabs>
      <w:spacing w:before="40" w:after="0" w:line="240" w:lineRule="auto"/>
      <w:ind w:left="216" w:hanging="216"/>
    </w:pPr>
    <w:rPr>
      <w:sz w:val="20"/>
      <w:szCs w:val="20"/>
    </w:rPr>
  </w:style>
  <w:style w:type="paragraph" w:customStyle="1" w:styleId="BMSTableHeader">
    <w:name w:val="BMS Table Header"/>
    <w:basedOn w:val="BMSTableText"/>
    <w:link w:val="BMSTableHeaderChar"/>
    <w:rsid w:val="006B4211"/>
    <w:rPr>
      <w:b/>
    </w:rPr>
  </w:style>
  <w:style w:type="paragraph" w:customStyle="1" w:styleId="BMSTableText">
    <w:name w:val="BMS Table Text"/>
    <w:link w:val="BMSTableTextChar"/>
    <w:rsid w:val="006B4211"/>
    <w:pPr>
      <w:tabs>
        <w:tab w:val="left" w:pos="360"/>
      </w:tabs>
      <w:spacing w:before="60" w:after="60" w:line="240" w:lineRule="auto"/>
      <w:jc w:val="center"/>
    </w:pPr>
    <w:rPr>
      <w:rFonts w:ascii="Times New Roman" w:eastAsia="Times New Roman" w:hAnsi="Times New Roman" w:cs="Times New Roman"/>
      <w:sz w:val="20"/>
      <w:szCs w:val="20"/>
      <w:lang w:val="en-US"/>
    </w:rPr>
  </w:style>
  <w:style w:type="paragraph" w:customStyle="1" w:styleId="BMSOutlineNumbering">
    <w:name w:val="BMS Outline Numbering"/>
    <w:basedOn w:val="BMSBodyText"/>
    <w:uiPriority w:val="99"/>
    <w:rsid w:val="006B4211"/>
    <w:pPr>
      <w:numPr>
        <w:numId w:val="31"/>
      </w:numPr>
      <w:spacing w:before="0" w:after="60" w:line="240" w:lineRule="auto"/>
    </w:pPr>
    <w:rPr>
      <w:szCs w:val="20"/>
    </w:rPr>
  </w:style>
  <w:style w:type="character" w:customStyle="1" w:styleId="BMSTableTextChar">
    <w:name w:val="BMS Table Text Char"/>
    <w:link w:val="BMSTableText"/>
    <w:rsid w:val="006B4211"/>
    <w:rPr>
      <w:rFonts w:ascii="Times New Roman" w:eastAsia="Times New Roman" w:hAnsi="Times New Roman" w:cs="Times New Roman"/>
      <w:sz w:val="20"/>
      <w:szCs w:val="20"/>
      <w:lang w:val="en-US"/>
    </w:rPr>
  </w:style>
  <w:style w:type="character" w:customStyle="1" w:styleId="BMSTableHeaderChar">
    <w:name w:val="BMS Table Header Char"/>
    <w:link w:val="BMSTableHeader"/>
    <w:rsid w:val="006B4211"/>
    <w:rPr>
      <w:rFonts w:ascii="Times New Roman" w:eastAsia="Times New Roman" w:hAnsi="Times New Roman" w:cs="Times New Roman"/>
      <w:b/>
      <w:sz w:val="20"/>
      <w:szCs w:val="20"/>
      <w:lang w:val="en-US"/>
    </w:rPr>
  </w:style>
  <w:style w:type="character" w:customStyle="1" w:styleId="BMSTableTitleChar">
    <w:name w:val="BMS Table Title Char"/>
    <w:link w:val="BMSTableTitle"/>
    <w:rsid w:val="006B4211"/>
    <w:rPr>
      <w:rFonts w:ascii="Times New Roman" w:eastAsia="Times New Roman" w:hAnsi="Times New Roman" w:cs="Times New Roman"/>
      <w:b/>
      <w:sz w:val="24"/>
      <w:szCs w:val="20"/>
      <w:lang w:val="en-US"/>
    </w:rPr>
  </w:style>
  <w:style w:type="paragraph" w:customStyle="1" w:styleId="EMEABodyText">
    <w:name w:val="EMEA Body Text"/>
    <w:basedOn w:val="Normal"/>
    <w:link w:val="EMEABodyTextChar"/>
    <w:rsid w:val="00297AAE"/>
    <w:pPr>
      <w:spacing w:after="0"/>
      <w:jc w:val="left"/>
    </w:pPr>
    <w:rPr>
      <w:rFonts w:eastAsia="Times New Roman" w:cs="Times New Roman"/>
      <w:szCs w:val="24"/>
      <w:lang w:val="en-GB"/>
    </w:rPr>
  </w:style>
  <w:style w:type="character" w:customStyle="1" w:styleId="EMEABodyTextChar">
    <w:name w:val="EMEA Body Text Char"/>
    <w:link w:val="EMEABodyText"/>
    <w:locked/>
    <w:rsid w:val="00297AAE"/>
    <w:rPr>
      <w:rFonts w:ascii="Times New Roman" w:eastAsia="Times New Roman" w:hAnsi="Times New Roman" w:cs="Times New Roman"/>
      <w:szCs w:val="24"/>
      <w:lang w:val="en-GB"/>
    </w:rPr>
  </w:style>
  <w:style w:type="character" w:styleId="EndnoteReference">
    <w:name w:val="endnote reference"/>
    <w:semiHidden/>
    <w:rsid w:val="004E2896"/>
    <w:rPr>
      <w:rFonts w:cs="Times New Roman"/>
      <w:sz w:val="28"/>
      <w:vertAlign w:val="superscript"/>
    </w:rPr>
  </w:style>
  <w:style w:type="paragraph" w:customStyle="1" w:styleId="CM36">
    <w:name w:val="CM36"/>
    <w:basedOn w:val="Normal"/>
    <w:next w:val="Normal"/>
    <w:uiPriority w:val="99"/>
    <w:rsid w:val="004E2896"/>
    <w:pPr>
      <w:widowControl w:val="0"/>
      <w:autoSpaceDE w:val="0"/>
      <w:autoSpaceDN w:val="0"/>
      <w:adjustRightInd w:val="0"/>
      <w:spacing w:after="273"/>
      <w:jc w:val="left"/>
    </w:pPr>
    <w:rPr>
      <w:rFonts w:eastAsia="MS Mincho" w:cs="Times New Roman"/>
      <w:sz w:val="24"/>
      <w:szCs w:val="24"/>
      <w:lang w:eastAsia="ja-JP"/>
    </w:rPr>
  </w:style>
  <w:style w:type="paragraph" w:customStyle="1" w:styleId="CM40">
    <w:name w:val="CM40"/>
    <w:basedOn w:val="Normal"/>
    <w:next w:val="Normal"/>
    <w:uiPriority w:val="99"/>
    <w:rsid w:val="004E2896"/>
    <w:pPr>
      <w:widowControl w:val="0"/>
      <w:autoSpaceDE w:val="0"/>
      <w:autoSpaceDN w:val="0"/>
      <w:adjustRightInd w:val="0"/>
      <w:spacing w:after="295"/>
      <w:jc w:val="left"/>
    </w:pPr>
    <w:rPr>
      <w:rFonts w:ascii="Arial" w:eastAsia="MS Mincho" w:hAnsi="Arial" w:cs="Times New Roman"/>
      <w:sz w:val="24"/>
      <w:szCs w:val="24"/>
      <w:lang w:eastAsia="ja-JP"/>
    </w:rPr>
  </w:style>
  <w:style w:type="paragraph" w:customStyle="1" w:styleId="CM45">
    <w:name w:val="CM45"/>
    <w:basedOn w:val="Default"/>
    <w:next w:val="Default"/>
    <w:uiPriority w:val="99"/>
    <w:rsid w:val="004E2896"/>
    <w:pPr>
      <w:widowControl w:val="0"/>
    </w:pPr>
    <w:rPr>
      <w:rFonts w:ascii="Times New Roman" w:eastAsia="Times New Roman" w:hAnsi="Times New Roman" w:cs="Times New Roman"/>
      <w:color w:val="auto"/>
      <w:lang w:val="en-AU" w:eastAsia="en-AU"/>
    </w:rPr>
  </w:style>
  <w:style w:type="character" w:customStyle="1" w:styleId="BMSSubscript">
    <w:name w:val="BMS Subscript"/>
    <w:uiPriority w:val="99"/>
    <w:rsid w:val="00DF074F"/>
    <w:rPr>
      <w:sz w:val="28"/>
      <w:vertAlign w:val="subscript"/>
    </w:rPr>
  </w:style>
  <w:style w:type="paragraph" w:customStyle="1" w:styleId="EMEAHiddenTitlePIL">
    <w:name w:val="EMEA Hidden Title PIL"/>
    <w:basedOn w:val="EMEABodyText"/>
    <w:next w:val="EMEABodyText"/>
    <w:rsid w:val="00DF074F"/>
    <w:pPr>
      <w:keepNext/>
      <w:keepLines/>
    </w:pPr>
    <w:rPr>
      <w:i/>
      <w:szCs w:val="20"/>
    </w:rPr>
  </w:style>
  <w:style w:type="character" w:customStyle="1" w:styleId="BMSSuperscript">
    <w:name w:val="BMS Superscript"/>
    <w:rsid w:val="00580444"/>
    <w:rPr>
      <w:sz w:val="28"/>
      <w:vertAlign w:val="superscript"/>
    </w:rPr>
  </w:style>
  <w:style w:type="paragraph" w:customStyle="1" w:styleId="CM13">
    <w:name w:val="CM13"/>
    <w:basedOn w:val="Normal"/>
    <w:next w:val="Normal"/>
    <w:uiPriority w:val="99"/>
    <w:rsid w:val="00580444"/>
    <w:pPr>
      <w:widowControl w:val="0"/>
      <w:autoSpaceDE w:val="0"/>
      <w:autoSpaceDN w:val="0"/>
      <w:adjustRightInd w:val="0"/>
      <w:spacing w:after="0" w:line="360" w:lineRule="atLeast"/>
      <w:jc w:val="left"/>
    </w:pPr>
    <w:rPr>
      <w:rFonts w:ascii="Arial" w:eastAsia="MS Mincho" w:hAnsi="Arial" w:cs="Times New Roman"/>
      <w:sz w:val="24"/>
      <w:szCs w:val="24"/>
      <w:lang w:eastAsia="ja-JP"/>
    </w:rPr>
  </w:style>
  <w:style w:type="paragraph" w:customStyle="1" w:styleId="CM41">
    <w:name w:val="CM41"/>
    <w:basedOn w:val="Normal"/>
    <w:next w:val="Normal"/>
    <w:uiPriority w:val="99"/>
    <w:rsid w:val="00580444"/>
    <w:pPr>
      <w:widowControl w:val="0"/>
      <w:autoSpaceDE w:val="0"/>
      <w:autoSpaceDN w:val="0"/>
      <w:adjustRightInd w:val="0"/>
      <w:spacing w:after="233"/>
      <w:jc w:val="left"/>
    </w:pPr>
    <w:rPr>
      <w:rFonts w:ascii="Arial" w:eastAsia="MS Mincho" w:hAnsi="Arial" w:cs="Times New Roman"/>
      <w:sz w:val="24"/>
      <w:szCs w:val="24"/>
      <w:lang w:eastAsia="ja-JP"/>
    </w:rPr>
  </w:style>
  <w:style w:type="paragraph" w:customStyle="1" w:styleId="CM42">
    <w:name w:val="CM42"/>
    <w:basedOn w:val="Normal"/>
    <w:next w:val="Normal"/>
    <w:uiPriority w:val="99"/>
    <w:rsid w:val="00580444"/>
    <w:pPr>
      <w:widowControl w:val="0"/>
      <w:autoSpaceDE w:val="0"/>
      <w:autoSpaceDN w:val="0"/>
      <w:adjustRightInd w:val="0"/>
      <w:spacing w:after="105"/>
      <w:jc w:val="left"/>
    </w:pPr>
    <w:rPr>
      <w:rFonts w:ascii="Arial" w:eastAsia="MS Mincho" w:hAnsi="Arial" w:cs="Times New Roman"/>
      <w:sz w:val="24"/>
      <w:szCs w:val="24"/>
      <w:lang w:eastAsia="ja-JP"/>
    </w:rPr>
  </w:style>
  <w:style w:type="paragraph" w:styleId="Caption">
    <w:name w:val="caption"/>
    <w:basedOn w:val="Normal"/>
    <w:next w:val="Normal"/>
    <w:qFormat/>
    <w:rsid w:val="00580444"/>
    <w:pPr>
      <w:spacing w:before="120" w:after="120"/>
      <w:jc w:val="left"/>
    </w:pPr>
    <w:rPr>
      <w:rFonts w:eastAsia="Times New Roman" w:cs="Times New Roman"/>
      <w:b/>
      <w:szCs w:val="20"/>
      <w:lang w:val="en-GB"/>
    </w:rPr>
  </w:style>
  <w:style w:type="character" w:customStyle="1" w:styleId="EMEASuperscript">
    <w:name w:val="EMEA Superscript"/>
    <w:rsid w:val="00580444"/>
    <w:rPr>
      <w:sz w:val="2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endnote reference"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00B1"/>
    <w:pPr>
      <w:spacing w:line="240" w:lineRule="auto"/>
      <w:jc w:val="both"/>
    </w:pPr>
    <w:rPr>
      <w:rFonts w:ascii="Times New Roman" w:hAnsi="Times New Roman"/>
    </w:rPr>
  </w:style>
  <w:style w:type="paragraph" w:styleId="Heading1">
    <w:name w:val="heading 1"/>
    <w:basedOn w:val="Normal"/>
    <w:next w:val="Normal"/>
    <w:link w:val="Heading1Char"/>
    <w:autoRedefine/>
    <w:uiPriority w:val="9"/>
    <w:qFormat/>
    <w:rsid w:val="00E376B1"/>
    <w:pPr>
      <w:keepNext/>
      <w:keepLines/>
      <w:numPr>
        <w:numId w:val="1"/>
      </w:numPr>
      <w:spacing w:before="200" w:after="120"/>
      <w:outlineLvl w:val="0"/>
    </w:pPr>
    <w:rPr>
      <w:rFonts w:eastAsiaTheme="majorEastAsia" w:cs="Times New Roman"/>
      <w:b/>
      <w:bCs/>
      <w:caps/>
      <w:sz w:val="28"/>
      <w:szCs w:val="28"/>
      <w:lang w:val="en-US"/>
    </w:rPr>
  </w:style>
  <w:style w:type="paragraph" w:styleId="Heading2">
    <w:name w:val="heading 2"/>
    <w:basedOn w:val="Normal"/>
    <w:next w:val="Normal"/>
    <w:link w:val="Heading2Char"/>
    <w:autoRedefine/>
    <w:uiPriority w:val="9"/>
    <w:unhideWhenUsed/>
    <w:qFormat/>
    <w:rsid w:val="008341C4"/>
    <w:pPr>
      <w:numPr>
        <w:ilvl w:val="1"/>
        <w:numId w:val="1"/>
      </w:numPr>
      <w:spacing w:before="120" w:after="120"/>
      <w:ind w:left="810" w:hanging="810"/>
      <w:jc w:val="left"/>
      <w:outlineLvl w:val="1"/>
    </w:pPr>
    <w:rPr>
      <w:rFonts w:cs="Times New Roman"/>
      <w:b/>
      <w:smallCaps/>
      <w:sz w:val="26"/>
      <w:szCs w:val="26"/>
    </w:rPr>
  </w:style>
  <w:style w:type="paragraph" w:styleId="Heading3">
    <w:name w:val="heading 3"/>
    <w:basedOn w:val="Normal"/>
    <w:next w:val="Normal"/>
    <w:link w:val="Heading3Char"/>
    <w:autoRedefine/>
    <w:uiPriority w:val="9"/>
    <w:unhideWhenUsed/>
    <w:qFormat/>
    <w:rsid w:val="00073FB1"/>
    <w:pPr>
      <w:keepNext/>
      <w:keepLines/>
      <w:spacing w:before="120" w:after="120"/>
      <w:outlineLvl w:val="2"/>
    </w:pPr>
    <w:rPr>
      <w:rFonts w:ascii="Times New Roman Bold" w:eastAsiaTheme="majorEastAsia" w:hAnsi="Times New Roman Bold" w:cs="Times New Roman"/>
      <w:b/>
      <w:bCs/>
      <w:sz w:val="24"/>
      <w:szCs w:val="28"/>
    </w:rPr>
  </w:style>
  <w:style w:type="paragraph" w:styleId="Heading4">
    <w:name w:val="heading 4"/>
    <w:basedOn w:val="Normal"/>
    <w:next w:val="Normal"/>
    <w:link w:val="Heading4Char"/>
    <w:autoRedefine/>
    <w:uiPriority w:val="9"/>
    <w:unhideWhenUsed/>
    <w:qFormat/>
    <w:rsid w:val="0046343A"/>
    <w:pPr>
      <w:keepNext/>
      <w:keepLines/>
      <w:spacing w:before="120" w:after="120"/>
      <w:jc w:val="left"/>
      <w:outlineLvl w:val="3"/>
    </w:pPr>
    <w:rPr>
      <w:rFonts w:ascii="Times New Roman Bold" w:eastAsia="SimSun" w:hAnsi="Times New Roman Bold" w:cs="Times New Roman"/>
      <w:b/>
      <w:bCs/>
      <w:i/>
      <w:iCs/>
      <w:snapToGrid w:val="0"/>
      <w:lang w:val="en-US"/>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6B1"/>
    <w:rPr>
      <w:rFonts w:ascii="Times New Roman" w:eastAsiaTheme="majorEastAsia" w:hAnsi="Times New Roman" w:cs="Times New Roman"/>
      <w:b/>
      <w:bCs/>
      <w:caps/>
      <w:sz w:val="28"/>
      <w:szCs w:val="28"/>
      <w:lang w:val="en-US"/>
    </w:rPr>
  </w:style>
  <w:style w:type="character" w:customStyle="1" w:styleId="Heading2Char">
    <w:name w:val="Heading 2 Char"/>
    <w:basedOn w:val="DefaultParagraphFont"/>
    <w:link w:val="Heading2"/>
    <w:uiPriority w:val="9"/>
    <w:rsid w:val="008341C4"/>
    <w:rPr>
      <w:rFonts w:ascii="Times New Roman" w:hAnsi="Times New Roman" w:cs="Times New Roman"/>
      <w:b/>
      <w:smallCaps/>
      <w:sz w:val="26"/>
      <w:szCs w:val="26"/>
    </w:rPr>
  </w:style>
  <w:style w:type="character" w:customStyle="1" w:styleId="Heading3Char">
    <w:name w:val="Heading 3 Char"/>
    <w:basedOn w:val="DefaultParagraphFont"/>
    <w:link w:val="Heading3"/>
    <w:uiPriority w:val="9"/>
    <w:rsid w:val="00073FB1"/>
    <w:rPr>
      <w:rFonts w:ascii="Times New Roman Bold" w:eastAsiaTheme="majorEastAsia" w:hAnsi="Times New Roman Bold" w:cs="Times New Roman"/>
      <w:b/>
      <w:bCs/>
      <w:sz w:val="24"/>
      <w:szCs w:val="28"/>
    </w:rPr>
  </w:style>
  <w:style w:type="character" w:customStyle="1" w:styleId="Heading4Char">
    <w:name w:val="Heading 4 Char"/>
    <w:basedOn w:val="DefaultParagraphFont"/>
    <w:link w:val="Heading4"/>
    <w:uiPriority w:val="9"/>
    <w:rsid w:val="0046343A"/>
    <w:rPr>
      <w:rFonts w:ascii="Times New Roman Bold" w:eastAsia="SimSun" w:hAnsi="Times New Roman Bold" w:cs="Times New Roman"/>
      <w:b/>
      <w:bCs/>
      <w:i/>
      <w:iCs/>
      <w:snapToGrid w:val="0"/>
      <w:lang w:val="en-US"/>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basedOn w:val="Normal"/>
    <w:link w:val="CommentTextChar"/>
    <w:unhideWhenUsed/>
    <w:rsid w:val="001A3992"/>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pPr>
  </w:style>
  <w:style w:type="character" w:customStyle="1" w:styleId="HeaderChar">
    <w:name w:val="Header Char"/>
    <w:basedOn w:val="DefaultParagraphFont"/>
    <w:link w:val="Header"/>
    <w:uiPriority w:val="99"/>
    <w:rsid w:val="00CA6CCF"/>
  </w:style>
  <w:style w:type="paragraph" w:styleId="CommentSubject">
    <w:name w:val="annotation subject"/>
    <w:basedOn w:val="CommentText"/>
    <w:next w:val="CommentText"/>
    <w:link w:val="CommentSubjectChar"/>
    <w:uiPriority w:val="99"/>
    <w:semiHidden/>
    <w:unhideWhenUsed/>
    <w:rsid w:val="00C046F7"/>
    <w:rPr>
      <w:rFonts w:asciiTheme="minorHAnsi" w:hAnsiTheme="minorHAnsi"/>
      <w:b/>
      <w:bCs/>
    </w:rPr>
  </w:style>
  <w:style w:type="character" w:customStyle="1" w:styleId="CommentSubjectChar">
    <w:name w:val="Comment Subject Char"/>
    <w:basedOn w:val="CommentTextChar"/>
    <w:link w:val="CommentSubject"/>
    <w:uiPriority w:val="99"/>
    <w:semiHidden/>
    <w:rsid w:val="00C046F7"/>
    <w:rPr>
      <w:rFonts w:ascii="Cambria" w:hAnsi="Cambria"/>
      <w:b/>
      <w:bCs/>
      <w:sz w:val="20"/>
      <w:szCs w:val="20"/>
    </w:rPr>
  </w:style>
  <w:style w:type="paragraph" w:customStyle="1" w:styleId="Default">
    <w:name w:val="Default"/>
    <w:rsid w:val="00C046F7"/>
    <w:pPr>
      <w:autoSpaceDE w:val="0"/>
      <w:autoSpaceDN w:val="0"/>
      <w:adjustRightInd w:val="0"/>
      <w:spacing w:after="0" w:line="240" w:lineRule="auto"/>
    </w:pPr>
    <w:rPr>
      <w:rFonts w:ascii="Cambria" w:hAnsi="Cambria" w:cs="Cambria"/>
      <w:color w:val="000000"/>
      <w:sz w:val="24"/>
      <w:szCs w:val="24"/>
      <w:lang w:val="en-US"/>
    </w:rPr>
  </w:style>
  <w:style w:type="paragraph" w:styleId="Title">
    <w:name w:val="Title"/>
    <w:basedOn w:val="Normal"/>
    <w:next w:val="Normal"/>
    <w:link w:val="TitleChar"/>
    <w:autoRedefine/>
    <w:uiPriority w:val="10"/>
    <w:qFormat/>
    <w:rsid w:val="001A2060"/>
    <w:pPr>
      <w:spacing w:before="240" w:after="240"/>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A2060"/>
    <w:rPr>
      <w:rFonts w:ascii="Times New Roman" w:eastAsiaTheme="majorEastAsia" w:hAnsi="Times New Roman" w:cstheme="majorBidi"/>
      <w:b/>
      <w:caps/>
      <w:spacing w:val="-10"/>
      <w:kern w:val="28"/>
      <w:sz w:val="32"/>
      <w:szCs w:val="56"/>
    </w:rPr>
  </w:style>
  <w:style w:type="paragraph" w:styleId="NoSpacing">
    <w:name w:val="No Spacing"/>
    <w:aliases w:val="Bullet"/>
    <w:autoRedefine/>
    <w:uiPriority w:val="1"/>
    <w:qFormat/>
    <w:rsid w:val="005001F3"/>
    <w:pPr>
      <w:numPr>
        <w:numId w:val="22"/>
      </w:numPr>
      <w:spacing w:after="120" w:line="240" w:lineRule="auto"/>
      <w:ind w:left="648"/>
    </w:pPr>
    <w:rPr>
      <w:rFonts w:ascii="Times New Roman" w:hAnsi="Times New Roman"/>
    </w:rPr>
  </w:style>
  <w:style w:type="character" w:styleId="IntenseReference">
    <w:name w:val="Intense Reference"/>
    <w:basedOn w:val="DefaultParagraphFont"/>
    <w:uiPriority w:val="32"/>
    <w:rsid w:val="00570F78"/>
    <w:rPr>
      <w:b/>
      <w:bCs/>
      <w:smallCaps/>
      <w:color w:val="4F81BD" w:themeColor="accent1"/>
      <w:spacing w:val="5"/>
    </w:rPr>
  </w:style>
  <w:style w:type="character" w:styleId="Strong">
    <w:name w:val="Strong"/>
    <w:basedOn w:val="DefaultParagraphFont"/>
    <w:uiPriority w:val="22"/>
    <w:rsid w:val="007D33DA"/>
    <w:rPr>
      <w:b/>
      <w:bCs/>
    </w:rPr>
  </w:style>
  <w:style w:type="table" w:styleId="TableGrid">
    <w:name w:val="Table Grid"/>
    <w:basedOn w:val="TableNormal"/>
    <w:uiPriority w:val="59"/>
    <w:rsid w:val="007D3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SBodyText">
    <w:name w:val="BMS Body Text"/>
    <w:link w:val="BMSBodyTextChar"/>
    <w:qFormat/>
    <w:rsid w:val="00EA1A82"/>
    <w:pPr>
      <w:spacing w:before="120" w:after="120" w:line="300" w:lineRule="auto"/>
      <w:jc w:val="both"/>
    </w:pPr>
    <w:rPr>
      <w:rFonts w:ascii="Times New Roman" w:eastAsia="Times New Roman" w:hAnsi="Times New Roman" w:cs="Times New Roman"/>
      <w:color w:val="000000"/>
      <w:sz w:val="24"/>
      <w:szCs w:val="24"/>
      <w:lang w:val="en-US"/>
    </w:rPr>
  </w:style>
  <w:style w:type="character" w:customStyle="1" w:styleId="BMSBodyTextChar">
    <w:name w:val="BMS Body Text Char"/>
    <w:link w:val="BMSBodyText"/>
    <w:locked/>
    <w:rsid w:val="00EA1A82"/>
    <w:rPr>
      <w:rFonts w:ascii="Times New Roman" w:eastAsia="Times New Roman" w:hAnsi="Times New Roman" w:cs="Times New Roman"/>
      <w:color w:val="000000"/>
      <w:sz w:val="24"/>
      <w:szCs w:val="24"/>
      <w:lang w:val="en-US"/>
    </w:rPr>
  </w:style>
  <w:style w:type="paragraph" w:customStyle="1" w:styleId="BMSTableTitle">
    <w:name w:val="BMS Table Title"/>
    <w:link w:val="BMSTableTitleChar"/>
    <w:rsid w:val="006B4211"/>
    <w:pPr>
      <w:keepNext/>
      <w:keepLines/>
      <w:tabs>
        <w:tab w:val="left" w:pos="2160"/>
      </w:tabs>
      <w:spacing w:before="120" w:after="120" w:line="240" w:lineRule="auto"/>
      <w:ind w:left="2160" w:hanging="2160"/>
    </w:pPr>
    <w:rPr>
      <w:rFonts w:ascii="Times New Roman" w:eastAsia="Times New Roman" w:hAnsi="Times New Roman" w:cs="Times New Roman"/>
      <w:b/>
      <w:sz w:val="24"/>
      <w:szCs w:val="20"/>
      <w:lang w:val="en-US"/>
    </w:rPr>
  </w:style>
  <w:style w:type="character" w:customStyle="1" w:styleId="BMSTableNote">
    <w:name w:val="BMS Table Note"/>
    <w:uiPriority w:val="99"/>
    <w:rsid w:val="006B4211"/>
    <w:rPr>
      <w:rFonts w:ascii="Times New Roman" w:hAnsi="Times New Roman" w:cs="Times New Roman"/>
      <w:color w:val="auto"/>
      <w:sz w:val="28"/>
      <w:vertAlign w:val="superscript"/>
    </w:rPr>
  </w:style>
  <w:style w:type="paragraph" w:customStyle="1" w:styleId="BMSTableNoteInfo">
    <w:name w:val="BMS Table Note Info"/>
    <w:basedOn w:val="BMSBodyText"/>
    <w:next w:val="BMSBodyText"/>
    <w:uiPriority w:val="99"/>
    <w:rsid w:val="006B4211"/>
    <w:pPr>
      <w:tabs>
        <w:tab w:val="left" w:pos="216"/>
      </w:tabs>
      <w:spacing w:before="40" w:after="0" w:line="240" w:lineRule="auto"/>
      <w:ind w:left="216" w:hanging="216"/>
    </w:pPr>
    <w:rPr>
      <w:sz w:val="20"/>
      <w:szCs w:val="20"/>
    </w:rPr>
  </w:style>
  <w:style w:type="paragraph" w:customStyle="1" w:styleId="BMSTableHeader">
    <w:name w:val="BMS Table Header"/>
    <w:basedOn w:val="BMSTableText"/>
    <w:link w:val="BMSTableHeaderChar"/>
    <w:rsid w:val="006B4211"/>
    <w:rPr>
      <w:b/>
    </w:rPr>
  </w:style>
  <w:style w:type="paragraph" w:customStyle="1" w:styleId="BMSTableText">
    <w:name w:val="BMS Table Text"/>
    <w:link w:val="BMSTableTextChar"/>
    <w:rsid w:val="006B4211"/>
    <w:pPr>
      <w:tabs>
        <w:tab w:val="left" w:pos="360"/>
      </w:tabs>
      <w:spacing w:before="60" w:after="60" w:line="240" w:lineRule="auto"/>
      <w:jc w:val="center"/>
    </w:pPr>
    <w:rPr>
      <w:rFonts w:ascii="Times New Roman" w:eastAsia="Times New Roman" w:hAnsi="Times New Roman" w:cs="Times New Roman"/>
      <w:sz w:val="20"/>
      <w:szCs w:val="20"/>
      <w:lang w:val="en-US"/>
    </w:rPr>
  </w:style>
  <w:style w:type="paragraph" w:customStyle="1" w:styleId="BMSOutlineNumbering">
    <w:name w:val="BMS Outline Numbering"/>
    <w:basedOn w:val="BMSBodyText"/>
    <w:uiPriority w:val="99"/>
    <w:rsid w:val="006B4211"/>
    <w:pPr>
      <w:numPr>
        <w:numId w:val="31"/>
      </w:numPr>
      <w:spacing w:before="0" w:after="60" w:line="240" w:lineRule="auto"/>
    </w:pPr>
    <w:rPr>
      <w:szCs w:val="20"/>
    </w:rPr>
  </w:style>
  <w:style w:type="character" w:customStyle="1" w:styleId="BMSTableTextChar">
    <w:name w:val="BMS Table Text Char"/>
    <w:link w:val="BMSTableText"/>
    <w:rsid w:val="006B4211"/>
    <w:rPr>
      <w:rFonts w:ascii="Times New Roman" w:eastAsia="Times New Roman" w:hAnsi="Times New Roman" w:cs="Times New Roman"/>
      <w:sz w:val="20"/>
      <w:szCs w:val="20"/>
      <w:lang w:val="en-US"/>
    </w:rPr>
  </w:style>
  <w:style w:type="character" w:customStyle="1" w:styleId="BMSTableHeaderChar">
    <w:name w:val="BMS Table Header Char"/>
    <w:link w:val="BMSTableHeader"/>
    <w:rsid w:val="006B4211"/>
    <w:rPr>
      <w:rFonts w:ascii="Times New Roman" w:eastAsia="Times New Roman" w:hAnsi="Times New Roman" w:cs="Times New Roman"/>
      <w:b/>
      <w:sz w:val="20"/>
      <w:szCs w:val="20"/>
      <w:lang w:val="en-US"/>
    </w:rPr>
  </w:style>
  <w:style w:type="character" w:customStyle="1" w:styleId="BMSTableTitleChar">
    <w:name w:val="BMS Table Title Char"/>
    <w:link w:val="BMSTableTitle"/>
    <w:rsid w:val="006B4211"/>
    <w:rPr>
      <w:rFonts w:ascii="Times New Roman" w:eastAsia="Times New Roman" w:hAnsi="Times New Roman" w:cs="Times New Roman"/>
      <w:b/>
      <w:sz w:val="24"/>
      <w:szCs w:val="20"/>
      <w:lang w:val="en-US"/>
    </w:rPr>
  </w:style>
  <w:style w:type="paragraph" w:customStyle="1" w:styleId="EMEABodyText">
    <w:name w:val="EMEA Body Text"/>
    <w:basedOn w:val="Normal"/>
    <w:link w:val="EMEABodyTextChar"/>
    <w:rsid w:val="00297AAE"/>
    <w:pPr>
      <w:spacing w:after="0"/>
      <w:jc w:val="left"/>
    </w:pPr>
    <w:rPr>
      <w:rFonts w:eastAsia="Times New Roman" w:cs="Times New Roman"/>
      <w:szCs w:val="24"/>
      <w:lang w:val="en-GB"/>
    </w:rPr>
  </w:style>
  <w:style w:type="character" w:customStyle="1" w:styleId="EMEABodyTextChar">
    <w:name w:val="EMEA Body Text Char"/>
    <w:link w:val="EMEABodyText"/>
    <w:locked/>
    <w:rsid w:val="00297AAE"/>
    <w:rPr>
      <w:rFonts w:ascii="Times New Roman" w:eastAsia="Times New Roman" w:hAnsi="Times New Roman" w:cs="Times New Roman"/>
      <w:szCs w:val="24"/>
      <w:lang w:val="en-GB"/>
    </w:rPr>
  </w:style>
  <w:style w:type="character" w:styleId="EndnoteReference">
    <w:name w:val="endnote reference"/>
    <w:semiHidden/>
    <w:rsid w:val="004E2896"/>
    <w:rPr>
      <w:rFonts w:cs="Times New Roman"/>
      <w:sz w:val="28"/>
      <w:vertAlign w:val="superscript"/>
    </w:rPr>
  </w:style>
  <w:style w:type="paragraph" w:customStyle="1" w:styleId="CM36">
    <w:name w:val="CM36"/>
    <w:basedOn w:val="Normal"/>
    <w:next w:val="Normal"/>
    <w:uiPriority w:val="99"/>
    <w:rsid w:val="004E2896"/>
    <w:pPr>
      <w:widowControl w:val="0"/>
      <w:autoSpaceDE w:val="0"/>
      <w:autoSpaceDN w:val="0"/>
      <w:adjustRightInd w:val="0"/>
      <w:spacing w:after="273"/>
      <w:jc w:val="left"/>
    </w:pPr>
    <w:rPr>
      <w:rFonts w:eastAsia="MS Mincho" w:cs="Times New Roman"/>
      <w:sz w:val="24"/>
      <w:szCs w:val="24"/>
      <w:lang w:eastAsia="ja-JP"/>
    </w:rPr>
  </w:style>
  <w:style w:type="paragraph" w:customStyle="1" w:styleId="CM40">
    <w:name w:val="CM40"/>
    <w:basedOn w:val="Normal"/>
    <w:next w:val="Normal"/>
    <w:uiPriority w:val="99"/>
    <w:rsid w:val="004E2896"/>
    <w:pPr>
      <w:widowControl w:val="0"/>
      <w:autoSpaceDE w:val="0"/>
      <w:autoSpaceDN w:val="0"/>
      <w:adjustRightInd w:val="0"/>
      <w:spacing w:after="295"/>
      <w:jc w:val="left"/>
    </w:pPr>
    <w:rPr>
      <w:rFonts w:ascii="Arial" w:eastAsia="MS Mincho" w:hAnsi="Arial" w:cs="Times New Roman"/>
      <w:sz w:val="24"/>
      <w:szCs w:val="24"/>
      <w:lang w:eastAsia="ja-JP"/>
    </w:rPr>
  </w:style>
  <w:style w:type="paragraph" w:customStyle="1" w:styleId="CM45">
    <w:name w:val="CM45"/>
    <w:basedOn w:val="Default"/>
    <w:next w:val="Default"/>
    <w:uiPriority w:val="99"/>
    <w:rsid w:val="004E2896"/>
    <w:pPr>
      <w:widowControl w:val="0"/>
    </w:pPr>
    <w:rPr>
      <w:rFonts w:ascii="Times New Roman" w:eastAsia="Times New Roman" w:hAnsi="Times New Roman" w:cs="Times New Roman"/>
      <w:color w:val="auto"/>
      <w:lang w:val="en-AU" w:eastAsia="en-AU"/>
    </w:rPr>
  </w:style>
  <w:style w:type="character" w:customStyle="1" w:styleId="BMSSubscript">
    <w:name w:val="BMS Subscript"/>
    <w:uiPriority w:val="99"/>
    <w:rsid w:val="00DF074F"/>
    <w:rPr>
      <w:sz w:val="28"/>
      <w:vertAlign w:val="subscript"/>
    </w:rPr>
  </w:style>
  <w:style w:type="paragraph" w:customStyle="1" w:styleId="EMEAHiddenTitlePIL">
    <w:name w:val="EMEA Hidden Title PIL"/>
    <w:basedOn w:val="EMEABodyText"/>
    <w:next w:val="EMEABodyText"/>
    <w:rsid w:val="00DF074F"/>
    <w:pPr>
      <w:keepNext/>
      <w:keepLines/>
    </w:pPr>
    <w:rPr>
      <w:i/>
      <w:szCs w:val="20"/>
    </w:rPr>
  </w:style>
  <w:style w:type="character" w:customStyle="1" w:styleId="BMSSuperscript">
    <w:name w:val="BMS Superscript"/>
    <w:rsid w:val="00580444"/>
    <w:rPr>
      <w:sz w:val="28"/>
      <w:vertAlign w:val="superscript"/>
    </w:rPr>
  </w:style>
  <w:style w:type="paragraph" w:customStyle="1" w:styleId="CM13">
    <w:name w:val="CM13"/>
    <w:basedOn w:val="Normal"/>
    <w:next w:val="Normal"/>
    <w:uiPriority w:val="99"/>
    <w:rsid w:val="00580444"/>
    <w:pPr>
      <w:widowControl w:val="0"/>
      <w:autoSpaceDE w:val="0"/>
      <w:autoSpaceDN w:val="0"/>
      <w:adjustRightInd w:val="0"/>
      <w:spacing w:after="0" w:line="360" w:lineRule="atLeast"/>
      <w:jc w:val="left"/>
    </w:pPr>
    <w:rPr>
      <w:rFonts w:ascii="Arial" w:eastAsia="MS Mincho" w:hAnsi="Arial" w:cs="Times New Roman"/>
      <w:sz w:val="24"/>
      <w:szCs w:val="24"/>
      <w:lang w:eastAsia="ja-JP"/>
    </w:rPr>
  </w:style>
  <w:style w:type="paragraph" w:customStyle="1" w:styleId="CM41">
    <w:name w:val="CM41"/>
    <w:basedOn w:val="Normal"/>
    <w:next w:val="Normal"/>
    <w:uiPriority w:val="99"/>
    <w:rsid w:val="00580444"/>
    <w:pPr>
      <w:widowControl w:val="0"/>
      <w:autoSpaceDE w:val="0"/>
      <w:autoSpaceDN w:val="0"/>
      <w:adjustRightInd w:val="0"/>
      <w:spacing w:after="233"/>
      <w:jc w:val="left"/>
    </w:pPr>
    <w:rPr>
      <w:rFonts w:ascii="Arial" w:eastAsia="MS Mincho" w:hAnsi="Arial" w:cs="Times New Roman"/>
      <w:sz w:val="24"/>
      <w:szCs w:val="24"/>
      <w:lang w:eastAsia="ja-JP"/>
    </w:rPr>
  </w:style>
  <w:style w:type="paragraph" w:customStyle="1" w:styleId="CM42">
    <w:name w:val="CM42"/>
    <w:basedOn w:val="Normal"/>
    <w:next w:val="Normal"/>
    <w:uiPriority w:val="99"/>
    <w:rsid w:val="00580444"/>
    <w:pPr>
      <w:widowControl w:val="0"/>
      <w:autoSpaceDE w:val="0"/>
      <w:autoSpaceDN w:val="0"/>
      <w:adjustRightInd w:val="0"/>
      <w:spacing w:after="105"/>
      <w:jc w:val="left"/>
    </w:pPr>
    <w:rPr>
      <w:rFonts w:ascii="Arial" w:eastAsia="MS Mincho" w:hAnsi="Arial" w:cs="Times New Roman"/>
      <w:sz w:val="24"/>
      <w:szCs w:val="24"/>
      <w:lang w:eastAsia="ja-JP"/>
    </w:rPr>
  </w:style>
  <w:style w:type="paragraph" w:styleId="Caption">
    <w:name w:val="caption"/>
    <w:basedOn w:val="Normal"/>
    <w:next w:val="Normal"/>
    <w:qFormat/>
    <w:rsid w:val="00580444"/>
    <w:pPr>
      <w:spacing w:before="120" w:after="120"/>
      <w:jc w:val="left"/>
    </w:pPr>
    <w:rPr>
      <w:rFonts w:eastAsia="Times New Roman" w:cs="Times New Roman"/>
      <w:b/>
      <w:szCs w:val="20"/>
      <w:lang w:val="en-GB"/>
    </w:rPr>
  </w:style>
  <w:style w:type="character" w:customStyle="1" w:styleId="EMEASuperscript">
    <w:name w:val="EMEA Superscript"/>
    <w:rsid w:val="00580444"/>
    <w:rPr>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798397">
      <w:bodyDiv w:val="1"/>
      <w:marLeft w:val="0"/>
      <w:marRight w:val="0"/>
      <w:marTop w:val="0"/>
      <w:marBottom w:val="0"/>
      <w:divBdr>
        <w:top w:val="none" w:sz="0" w:space="0" w:color="auto"/>
        <w:left w:val="none" w:sz="0" w:space="0" w:color="auto"/>
        <w:bottom w:val="none" w:sz="0" w:space="0" w:color="auto"/>
        <w:right w:val="none" w:sz="0" w:space="0" w:color="auto"/>
      </w:divBdr>
    </w:div>
    <w:div w:id="152420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dInfo.Australia@bms.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81721-61FD-4F81-92FE-CADDDA503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17178</Words>
  <Characters>97915</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Attachment: Product Information: Abatacept</vt:lpstr>
    </vt:vector>
  </TitlesOfParts>
  <LinksUpToDate>false</LinksUpToDate>
  <CharactersWithSpaces>114864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Abatacept</dc:title>
  <dc:subject>prescription medicines</dc:subject>
  <dc:creator/>
  <cp:lastModifiedBy/>
  <cp:revision>1</cp:revision>
  <dcterms:created xsi:type="dcterms:W3CDTF">2019-03-07T07:30:00Z</dcterms:created>
  <dcterms:modified xsi:type="dcterms:W3CDTF">2019-03-07T07:36:00Z</dcterms:modified>
</cp:coreProperties>
</file>