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9E3" w:rsidRPr="004C25E6" w:rsidRDefault="006C4CEB" w:rsidP="00D55098">
      <w:pPr>
        <w:pStyle w:val="PIMAINHEADING"/>
        <w:pBdr>
          <w:top w:val="single" w:sz="4" w:space="1" w:color="auto"/>
          <w:bottom w:val="none" w:sz="0" w:space="0" w:color="auto"/>
        </w:pBdr>
        <w:jc w:val="center"/>
        <w:rPr>
          <w:rFonts w:ascii="Verdana" w:hAnsi="Verdana"/>
          <w:szCs w:val="56"/>
        </w:rPr>
      </w:pPr>
      <w:bookmarkStart w:id="0" w:name="_GoBack"/>
      <w:bookmarkEnd w:id="0"/>
      <w:r>
        <w:rPr>
          <w:rFonts w:ascii="Verdana" w:hAnsi="Verdana"/>
          <w:szCs w:val="56"/>
        </w:rPr>
        <w:t>ZYTIGA</w:t>
      </w:r>
      <w:r w:rsidR="00C73F68" w:rsidRPr="00C73F68">
        <w:rPr>
          <w:rFonts w:ascii="Verdana" w:hAnsi="Verdana"/>
          <w:szCs w:val="56"/>
          <w:vertAlign w:val="superscript"/>
        </w:rPr>
        <w:t>®</w:t>
      </w:r>
    </w:p>
    <w:p w:rsidR="00041DB3" w:rsidRPr="004C25E6" w:rsidRDefault="00D7454C" w:rsidP="00D55098">
      <w:pPr>
        <w:pStyle w:val="PIProductInfo"/>
        <w:keepLines/>
        <w:pBdr>
          <w:bottom w:val="none" w:sz="0" w:space="0" w:color="auto"/>
        </w:pBdr>
        <w:rPr>
          <w:rFonts w:ascii="Verdana" w:hAnsi="Verdana"/>
          <w:szCs w:val="36"/>
        </w:rPr>
      </w:pPr>
      <w:r>
        <w:rPr>
          <w:rFonts w:ascii="Verdana" w:hAnsi="Verdana"/>
          <w:szCs w:val="36"/>
        </w:rPr>
        <w:t>abiraterone acetate</w:t>
      </w:r>
    </w:p>
    <w:p w:rsidR="004C25E6" w:rsidRPr="004C25E6" w:rsidRDefault="003A72D8" w:rsidP="00D55098">
      <w:pPr>
        <w:pStyle w:val="PIProductInfo"/>
        <w:keepLines/>
        <w:pBdr>
          <w:bottom w:val="single" w:sz="4" w:space="1" w:color="auto"/>
        </w:pBdr>
        <w:rPr>
          <w:rFonts w:ascii="Verdana" w:hAnsi="Verdana"/>
          <w:szCs w:val="36"/>
        </w:rPr>
      </w:pPr>
      <w:r w:rsidRPr="004C25E6">
        <w:rPr>
          <w:rFonts w:ascii="Verdana" w:hAnsi="Verdana"/>
          <w:szCs w:val="36"/>
        </w:rPr>
        <w:t>PRODUCT INFORMATION</w:t>
      </w:r>
    </w:p>
    <w:p w:rsidR="003B09E3" w:rsidRDefault="003A72D8" w:rsidP="009F3479">
      <w:pPr>
        <w:pStyle w:val="PIHEADTOP"/>
      </w:pPr>
      <w:r>
        <w:t>name of the MEDICINE</w:t>
      </w:r>
    </w:p>
    <w:p w:rsidR="00041DB3" w:rsidRDefault="00912666" w:rsidP="009F3479">
      <w:pPr>
        <w:keepLines w:val="0"/>
        <w:autoSpaceDE w:val="0"/>
        <w:autoSpaceDN w:val="0"/>
        <w:adjustRightInd w:val="0"/>
        <w:jc w:val="left"/>
      </w:pPr>
      <w:r>
        <w:t xml:space="preserve">The </w:t>
      </w:r>
      <w:r w:rsidR="009B4BDE">
        <w:t xml:space="preserve">chemical name </w:t>
      </w:r>
      <w:r>
        <w:t xml:space="preserve">of abiraterone acetate is </w:t>
      </w:r>
      <w:r w:rsidR="009B4BDE" w:rsidRPr="009B4BDE">
        <w:t>3β-Acetoxy-17-(3-pyridyl)-androsta-5,16-diene</w:t>
      </w:r>
      <w:r w:rsidR="009B4BDE">
        <w:t xml:space="preserve">.  </w:t>
      </w:r>
    </w:p>
    <w:p w:rsidR="009E24EF" w:rsidRDefault="009E24EF" w:rsidP="009F3479">
      <w:pPr>
        <w:keepLines w:val="0"/>
        <w:autoSpaceDE w:val="0"/>
        <w:autoSpaceDN w:val="0"/>
        <w:adjustRightInd w:val="0"/>
        <w:jc w:val="left"/>
        <w:rPr>
          <w:rFonts w:cs="Arial"/>
          <w:szCs w:val="24"/>
          <w:lang w:val="en-US"/>
        </w:rPr>
      </w:pPr>
    </w:p>
    <w:p w:rsidR="003B09E3" w:rsidRDefault="0029336B" w:rsidP="009F3479">
      <w:pPr>
        <w:keepLines w:val="0"/>
        <w:autoSpaceDE w:val="0"/>
        <w:autoSpaceDN w:val="0"/>
        <w:adjustRightInd w:val="0"/>
        <w:jc w:val="left"/>
        <w:rPr>
          <w:rFonts w:cs="Arial"/>
          <w:szCs w:val="24"/>
          <w:lang w:val="en-US"/>
        </w:rPr>
      </w:pPr>
      <w:r>
        <w:rPr>
          <w:rFonts w:cs="Arial"/>
          <w:szCs w:val="24"/>
          <w:lang w:val="en-US"/>
        </w:rPr>
        <w:t>Abiraterone acetate</w:t>
      </w:r>
      <w:r w:rsidR="003A72D8">
        <w:rPr>
          <w:rFonts w:cs="Arial"/>
          <w:szCs w:val="24"/>
          <w:lang w:val="en-US"/>
        </w:rPr>
        <w:t xml:space="preserve"> has the following chemical structure:</w:t>
      </w:r>
    </w:p>
    <w:p w:rsidR="003B09E3" w:rsidRDefault="003B09E3" w:rsidP="009F3479">
      <w:pPr>
        <w:pStyle w:val="PIEXPLAIN"/>
        <w:keepLines/>
        <w:jc w:val="left"/>
      </w:pPr>
    </w:p>
    <w:p w:rsidR="003B09E3" w:rsidRDefault="00D7454C" w:rsidP="009F3479">
      <w:pPr>
        <w:pStyle w:val="PIEXPLAIN"/>
        <w:keepLines/>
        <w:jc w:val="center"/>
      </w:pPr>
      <w:r w:rsidRPr="00CA49D1">
        <w:object w:dxaOrig="5487" w:dyaOrig="3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mical structure of abiraterone" style="width:333pt;height:219.75pt" o:ole="">
            <v:imagedata r:id="rId9" o:title=""/>
          </v:shape>
          <o:OLEObject Type="Embed" ProgID="ChemDraw.Document.6.0" ShapeID="_x0000_i1025" DrawAspect="Content" ObjectID="_1456744699" r:id="rId10"/>
        </w:object>
      </w:r>
    </w:p>
    <w:p w:rsidR="00340C05" w:rsidRDefault="00340C05" w:rsidP="009F3479">
      <w:pPr>
        <w:pStyle w:val="PIEXPLAIN"/>
        <w:keepLines/>
        <w:jc w:val="left"/>
      </w:pPr>
    </w:p>
    <w:p w:rsidR="008B6465" w:rsidRDefault="008B6465" w:rsidP="009F3479">
      <w:pPr>
        <w:pStyle w:val="PIEXPLAIN"/>
        <w:keepLines/>
        <w:jc w:val="left"/>
      </w:pPr>
    </w:p>
    <w:p w:rsidR="00B25B6F" w:rsidRDefault="00B25B6F" w:rsidP="009F3479">
      <w:pPr>
        <w:pStyle w:val="PIEXPLAIN"/>
        <w:jc w:val="left"/>
      </w:pPr>
      <w:r w:rsidRPr="007B0836">
        <w:t>Molecular formula:</w:t>
      </w:r>
      <w:r w:rsidRPr="007B0836">
        <w:tab/>
      </w:r>
      <w:r w:rsidR="007B0836" w:rsidRPr="007B0836">
        <w:t>C</w:t>
      </w:r>
      <w:r w:rsidR="007B0836" w:rsidRPr="007B0836">
        <w:rPr>
          <w:vertAlign w:val="subscript"/>
        </w:rPr>
        <w:t>26</w:t>
      </w:r>
      <w:r w:rsidR="007B0836" w:rsidRPr="007B0836">
        <w:t>H</w:t>
      </w:r>
      <w:r w:rsidR="007B0836" w:rsidRPr="007B0836">
        <w:rPr>
          <w:vertAlign w:val="subscript"/>
        </w:rPr>
        <w:t>33</w:t>
      </w:r>
      <w:r w:rsidR="007B0836" w:rsidRPr="007B0836">
        <w:t>NO</w:t>
      </w:r>
      <w:r w:rsidR="007B0836" w:rsidRPr="007B0836">
        <w:rPr>
          <w:vertAlign w:val="subscript"/>
        </w:rPr>
        <w:t>2</w:t>
      </w:r>
      <w:r w:rsidRPr="007B0836">
        <w:tab/>
      </w:r>
      <w:r w:rsidRPr="007B0836">
        <w:tab/>
      </w:r>
      <w:r w:rsidRPr="007B0836">
        <w:tab/>
        <w:t>Molecular weight:</w:t>
      </w:r>
      <w:r>
        <w:t xml:space="preserve"> </w:t>
      </w:r>
      <w:r>
        <w:tab/>
      </w:r>
      <w:r w:rsidR="007B0836" w:rsidRPr="00DD4999">
        <w:t>391.55</w:t>
      </w:r>
    </w:p>
    <w:p w:rsidR="00B25B6F" w:rsidRDefault="00F4410E" w:rsidP="009F3479">
      <w:pPr>
        <w:pStyle w:val="PIEXPLAIN"/>
        <w:jc w:val="left"/>
      </w:pPr>
      <w:r w:rsidRPr="00F4410E">
        <w:t>CAS</w:t>
      </w:r>
      <w:r>
        <w:t xml:space="preserve"> Registry Number: </w:t>
      </w:r>
      <w:r w:rsidRPr="00F4410E">
        <w:t xml:space="preserve"> </w:t>
      </w:r>
      <w:r w:rsidR="006629DB" w:rsidRPr="006629DB">
        <w:t>154229-18-2</w:t>
      </w:r>
    </w:p>
    <w:p w:rsidR="004C12B2" w:rsidRDefault="004C12B2" w:rsidP="009F3479">
      <w:pPr>
        <w:pStyle w:val="PIEXPLAIN"/>
        <w:jc w:val="left"/>
      </w:pPr>
    </w:p>
    <w:p w:rsidR="003B09E3" w:rsidRDefault="003A72D8" w:rsidP="009F3479">
      <w:pPr>
        <w:pStyle w:val="PIHEADING1"/>
        <w:jc w:val="left"/>
      </w:pPr>
      <w:r>
        <w:t>DESCRIPTION</w:t>
      </w:r>
    </w:p>
    <w:p w:rsidR="00B9306F" w:rsidRDefault="00A01349" w:rsidP="00303BF4">
      <w:pPr>
        <w:keepLines w:val="0"/>
        <w:autoSpaceDE w:val="0"/>
        <w:autoSpaceDN w:val="0"/>
        <w:adjustRightInd w:val="0"/>
        <w:jc w:val="left"/>
        <w:rPr>
          <w:rFonts w:cs="Arial"/>
          <w:szCs w:val="24"/>
          <w:lang w:val="en-US"/>
        </w:rPr>
      </w:pPr>
      <w:r>
        <w:rPr>
          <w:rFonts w:cs="Arial"/>
          <w:szCs w:val="24"/>
          <w:lang w:val="en-US"/>
        </w:rPr>
        <w:t>ZYTIGA</w:t>
      </w:r>
      <w:r w:rsidR="00B9306F" w:rsidRPr="00B9306F">
        <w:rPr>
          <w:rFonts w:cs="Arial"/>
          <w:szCs w:val="24"/>
          <w:lang w:val="en-US"/>
        </w:rPr>
        <w:t xml:space="preserve"> tablets contain 250 mg of </w:t>
      </w:r>
      <w:r w:rsidR="008D53F1">
        <w:rPr>
          <w:rFonts w:cs="Arial"/>
          <w:szCs w:val="24"/>
          <w:lang w:val="en-US"/>
        </w:rPr>
        <w:t xml:space="preserve">the active ingredient </w:t>
      </w:r>
      <w:r w:rsidR="00B9306F" w:rsidRPr="00B9306F">
        <w:rPr>
          <w:rFonts w:cs="Arial"/>
          <w:szCs w:val="24"/>
          <w:lang w:val="en-US"/>
        </w:rPr>
        <w:t>abiraterone acetate</w:t>
      </w:r>
      <w:r w:rsidR="008D53F1">
        <w:rPr>
          <w:rFonts w:cs="Arial"/>
          <w:szCs w:val="24"/>
          <w:lang w:val="en-US"/>
        </w:rPr>
        <w:t>.  The tablets also contain</w:t>
      </w:r>
      <w:r w:rsidR="008C07B6">
        <w:rPr>
          <w:rFonts w:cs="Arial"/>
          <w:szCs w:val="24"/>
          <w:lang w:val="en-US"/>
        </w:rPr>
        <w:t xml:space="preserve"> the inactive ingredients:</w:t>
      </w:r>
      <w:r w:rsidR="008D53F1">
        <w:rPr>
          <w:rFonts w:cs="Arial"/>
          <w:szCs w:val="24"/>
          <w:lang w:val="en-US"/>
        </w:rPr>
        <w:t xml:space="preserve"> </w:t>
      </w:r>
      <w:r w:rsidR="008D53F1" w:rsidRPr="008D53F1">
        <w:rPr>
          <w:rFonts w:cs="Arial"/>
          <w:szCs w:val="24"/>
          <w:lang w:val="en-US"/>
        </w:rPr>
        <w:t>lactose monohydrate</w:t>
      </w:r>
      <w:r w:rsidR="008D53F1">
        <w:rPr>
          <w:rFonts w:cs="Arial"/>
          <w:szCs w:val="24"/>
          <w:lang w:val="en-US"/>
        </w:rPr>
        <w:t xml:space="preserve">; microcrystalline cellulose; </w:t>
      </w:r>
      <w:r w:rsidR="008D53F1" w:rsidRPr="008D53F1">
        <w:rPr>
          <w:rFonts w:cs="Arial"/>
          <w:szCs w:val="24"/>
          <w:lang w:val="en-US"/>
        </w:rPr>
        <w:t>croscarmellose sodium</w:t>
      </w:r>
      <w:r w:rsidR="008D53F1">
        <w:rPr>
          <w:rFonts w:cs="Arial"/>
          <w:szCs w:val="24"/>
          <w:lang w:val="en-US"/>
        </w:rPr>
        <w:t xml:space="preserve">; </w:t>
      </w:r>
      <w:r w:rsidR="008D53F1" w:rsidRPr="008D53F1">
        <w:rPr>
          <w:rFonts w:cs="Arial"/>
          <w:szCs w:val="24"/>
          <w:lang w:val="en-US"/>
        </w:rPr>
        <w:t>povidone</w:t>
      </w:r>
      <w:r w:rsidR="008D53F1">
        <w:rPr>
          <w:rFonts w:cs="Arial"/>
          <w:szCs w:val="24"/>
          <w:lang w:val="en-US"/>
        </w:rPr>
        <w:t xml:space="preserve">; sodium lauryl sulfate; </w:t>
      </w:r>
      <w:r w:rsidR="008D53F1" w:rsidRPr="008D53F1">
        <w:rPr>
          <w:rFonts w:cs="Arial"/>
          <w:szCs w:val="24"/>
          <w:lang w:val="en-US"/>
        </w:rPr>
        <w:t>magnesium stearate</w:t>
      </w:r>
      <w:r w:rsidR="008D53F1">
        <w:rPr>
          <w:rFonts w:cs="Arial"/>
          <w:szCs w:val="24"/>
          <w:lang w:val="en-US"/>
        </w:rPr>
        <w:t xml:space="preserve"> and </w:t>
      </w:r>
      <w:r w:rsidR="008D53F1" w:rsidRPr="008D53F1">
        <w:rPr>
          <w:rFonts w:cs="Arial"/>
          <w:szCs w:val="24"/>
          <w:lang w:val="en-US"/>
        </w:rPr>
        <w:t>colloidal silicon dioxide</w:t>
      </w:r>
      <w:r w:rsidR="008D53F1">
        <w:rPr>
          <w:rFonts w:cs="Arial"/>
          <w:szCs w:val="24"/>
          <w:lang w:val="en-US"/>
        </w:rPr>
        <w:t xml:space="preserve">.  </w:t>
      </w:r>
    </w:p>
    <w:p w:rsidR="004C12B2" w:rsidRDefault="004C12B2" w:rsidP="00303BF4">
      <w:pPr>
        <w:keepLines w:val="0"/>
        <w:autoSpaceDE w:val="0"/>
        <w:autoSpaceDN w:val="0"/>
        <w:adjustRightInd w:val="0"/>
        <w:jc w:val="left"/>
        <w:rPr>
          <w:rFonts w:cs="Arial"/>
          <w:szCs w:val="24"/>
          <w:lang w:val="en-US"/>
        </w:rPr>
      </w:pPr>
      <w:r>
        <w:rPr>
          <w:rFonts w:cs="Arial"/>
          <w:szCs w:val="24"/>
          <w:lang w:val="en-US"/>
        </w:rPr>
        <w:br w:type="page"/>
      </w:r>
    </w:p>
    <w:p w:rsidR="003B09E3" w:rsidRDefault="003A72D8" w:rsidP="009F3479">
      <w:pPr>
        <w:pStyle w:val="PIHEADING1"/>
        <w:jc w:val="left"/>
      </w:pPr>
      <w:r>
        <w:t>Pharmacology</w:t>
      </w:r>
    </w:p>
    <w:p w:rsidR="003B09E3" w:rsidRDefault="003A72D8" w:rsidP="009F3479">
      <w:pPr>
        <w:pStyle w:val="PIHEADING2"/>
        <w:jc w:val="left"/>
      </w:pPr>
      <w:r>
        <w:t>Pharmacodynamics</w:t>
      </w:r>
    </w:p>
    <w:p w:rsidR="009F3479" w:rsidRPr="009F3479" w:rsidRDefault="009F3479" w:rsidP="004810F0">
      <w:pPr>
        <w:spacing w:after="120"/>
        <w:jc w:val="left"/>
        <w:rPr>
          <w:color w:val="000000"/>
          <w:u w:val="single"/>
        </w:rPr>
      </w:pPr>
      <w:r w:rsidRPr="009F3479">
        <w:rPr>
          <w:color w:val="000000"/>
          <w:u w:val="single"/>
        </w:rPr>
        <w:t>Mechanism of action</w:t>
      </w:r>
    </w:p>
    <w:p w:rsidR="009F3479" w:rsidRPr="009F3479" w:rsidRDefault="00BE4B15" w:rsidP="009F3479">
      <w:pPr>
        <w:jc w:val="left"/>
        <w:rPr>
          <w:color w:val="000000"/>
        </w:rPr>
      </w:pPr>
      <w:r w:rsidRPr="00BE4B15">
        <w:rPr>
          <w:color w:val="000000"/>
        </w:rPr>
        <w:t>Abiraterone acetate (</w:t>
      </w:r>
      <w:r w:rsidR="00A01349">
        <w:rPr>
          <w:color w:val="000000"/>
        </w:rPr>
        <w:t>ZYTIGA</w:t>
      </w:r>
      <w:r w:rsidRPr="00BE4B15">
        <w:rPr>
          <w:color w:val="000000"/>
        </w:rPr>
        <w:t xml:space="preserve">) is converted </w:t>
      </w:r>
      <w:r w:rsidRPr="00CF32C2">
        <w:rPr>
          <w:i/>
          <w:color w:val="000000"/>
        </w:rPr>
        <w:t>in</w:t>
      </w:r>
      <w:r w:rsidRPr="00BE4B15">
        <w:rPr>
          <w:color w:val="000000"/>
        </w:rPr>
        <w:t xml:space="preserve"> </w:t>
      </w:r>
      <w:r w:rsidRPr="00CF32C2">
        <w:rPr>
          <w:i/>
          <w:color w:val="000000"/>
        </w:rPr>
        <w:t>vivo</w:t>
      </w:r>
      <w:r w:rsidRPr="00BE4B15">
        <w:rPr>
          <w:color w:val="000000"/>
        </w:rPr>
        <w:t xml:space="preserve"> to abiraterone, an androgen biosynthesis inhibitor. </w:t>
      </w:r>
      <w:r>
        <w:rPr>
          <w:color w:val="000000"/>
        </w:rPr>
        <w:t xml:space="preserve"> </w:t>
      </w:r>
      <w:r w:rsidRPr="00BE4B15">
        <w:rPr>
          <w:color w:val="000000"/>
        </w:rPr>
        <w:t>Specifically abiraterone selectively inhibits the enzyme 17α</w:t>
      </w:r>
      <w:r>
        <w:rPr>
          <w:color w:val="000000"/>
        </w:rPr>
        <w:noBreakHyphen/>
      </w:r>
      <w:r w:rsidRPr="00BE4B15">
        <w:rPr>
          <w:color w:val="000000"/>
        </w:rPr>
        <w:t>hydroxylase/C17,20</w:t>
      </w:r>
      <w:r>
        <w:rPr>
          <w:color w:val="000000"/>
        </w:rPr>
        <w:noBreakHyphen/>
      </w:r>
      <w:r w:rsidRPr="00BE4B15">
        <w:rPr>
          <w:color w:val="000000"/>
        </w:rPr>
        <w:t>lyase (CYP17).  This enzyme is expressed in and is required for androgen biosynthesis in testicular, adrenal and in prostatic tumo</w:t>
      </w:r>
      <w:r w:rsidR="00E200CD">
        <w:rPr>
          <w:color w:val="000000"/>
        </w:rPr>
        <w:t>u</w:t>
      </w:r>
      <w:r w:rsidRPr="00BE4B15">
        <w:rPr>
          <w:color w:val="000000"/>
        </w:rPr>
        <w:t xml:space="preserve">r tissues. </w:t>
      </w:r>
      <w:r>
        <w:rPr>
          <w:color w:val="000000"/>
        </w:rPr>
        <w:t xml:space="preserve"> </w:t>
      </w:r>
      <w:r w:rsidRPr="00BE4B15">
        <w:rPr>
          <w:color w:val="000000"/>
        </w:rPr>
        <w:t xml:space="preserve">It </w:t>
      </w:r>
      <w:r w:rsidR="00E200CD" w:rsidRPr="00BE4B15">
        <w:rPr>
          <w:color w:val="000000"/>
        </w:rPr>
        <w:t>catalyses</w:t>
      </w:r>
      <w:r w:rsidRPr="00BE4B15">
        <w:rPr>
          <w:color w:val="000000"/>
        </w:rPr>
        <w:t xml:space="preserve"> the conversion of pregnenolone and progesterone into testosterone precursors, DHEA and androstenedione, respectively, by 17α hydroxylation and cleavage of the C17,20 bond.  CYP17 inhibition also results in increased mineralocorticoid production by the adrenals</w:t>
      </w:r>
      <w:r>
        <w:rPr>
          <w:color w:val="000000"/>
        </w:rPr>
        <w:t xml:space="preserve"> (see PRECAUTIONS).  </w:t>
      </w:r>
    </w:p>
    <w:p w:rsidR="009F3479" w:rsidRPr="009F3479" w:rsidRDefault="009F3479" w:rsidP="009F3479">
      <w:pPr>
        <w:jc w:val="left"/>
        <w:rPr>
          <w:color w:val="000000"/>
        </w:rPr>
      </w:pPr>
    </w:p>
    <w:p w:rsidR="009F3479" w:rsidRPr="009F3479" w:rsidRDefault="00BE4B15" w:rsidP="009F3479">
      <w:pPr>
        <w:jc w:val="left"/>
        <w:rPr>
          <w:color w:val="000000"/>
        </w:rPr>
      </w:pPr>
      <w:r w:rsidRPr="00BE4B15">
        <w:rPr>
          <w:color w:val="000000"/>
        </w:rPr>
        <w:t>Androgen-sensitive prostatic carcinoma responds to treatment that decreases androgen levels.  Androgen deprivation therapies, such as treatment with luteinizing hormone-releasing hormone (LHRH) agonists or orchiectomy, decrease androgen production in the testes but do not affect androgen production by t</w:t>
      </w:r>
      <w:r>
        <w:rPr>
          <w:color w:val="000000"/>
        </w:rPr>
        <w:t xml:space="preserve">he adrenals or in the </w:t>
      </w:r>
      <w:r w:rsidR="00E200CD">
        <w:rPr>
          <w:color w:val="000000"/>
        </w:rPr>
        <w:t>tumour</w:t>
      </w:r>
      <w:r>
        <w:rPr>
          <w:color w:val="000000"/>
        </w:rPr>
        <w:t xml:space="preserve">.  </w:t>
      </w:r>
      <w:r w:rsidRPr="00BE4B15">
        <w:rPr>
          <w:color w:val="000000"/>
        </w:rPr>
        <w:t xml:space="preserve">Treatment with </w:t>
      </w:r>
      <w:r w:rsidR="004810F0">
        <w:rPr>
          <w:color w:val="000000"/>
        </w:rPr>
        <w:t>abiraterone</w:t>
      </w:r>
      <w:r w:rsidRPr="00BE4B15">
        <w:rPr>
          <w:color w:val="000000"/>
        </w:rPr>
        <w:t xml:space="preserve"> decreases serum testosterone to undetectable levels (using commercial assays) when given with LHRH agonists (or orchiectomy).</w:t>
      </w:r>
      <w:r>
        <w:rPr>
          <w:color w:val="000000"/>
        </w:rPr>
        <w:t xml:space="preserve">  </w:t>
      </w:r>
    </w:p>
    <w:p w:rsidR="003B09E3" w:rsidRDefault="003B09E3" w:rsidP="009F3479">
      <w:pPr>
        <w:jc w:val="left"/>
      </w:pPr>
    </w:p>
    <w:p w:rsidR="00E200CD" w:rsidRPr="00E200CD" w:rsidRDefault="00E200CD" w:rsidP="00894153">
      <w:pPr>
        <w:spacing w:after="120"/>
        <w:jc w:val="left"/>
        <w:rPr>
          <w:u w:val="single"/>
        </w:rPr>
      </w:pPr>
      <w:r w:rsidRPr="00E200CD">
        <w:rPr>
          <w:u w:val="single"/>
        </w:rPr>
        <w:t>Pharmacodynamic effects</w:t>
      </w:r>
    </w:p>
    <w:p w:rsidR="00E200CD" w:rsidRDefault="004810F0" w:rsidP="009F3479">
      <w:pPr>
        <w:jc w:val="left"/>
      </w:pPr>
      <w:r w:rsidRPr="00B37438">
        <w:rPr>
          <w:color w:val="000000"/>
        </w:rPr>
        <w:t xml:space="preserve">Abiraterone </w:t>
      </w:r>
      <w:r w:rsidR="00E200CD" w:rsidRPr="00B37438">
        <w:t xml:space="preserve">decreases serum testosterone and other androgens to levels lower than those achieved by the use of LHRH agonists alone or by orchiectomy.  Prostate specific antigen (PSA) serves as a biomarker in patients with prostate cancer.  In a phase 3 clinical study of patients who failed prior chemotherapy with taxanes, </w:t>
      </w:r>
      <w:r w:rsidR="00FF0D72">
        <w:t>29</w:t>
      </w:r>
      <w:r w:rsidR="00E200CD" w:rsidRPr="00B37438">
        <w:t xml:space="preserve">% of patients treated with </w:t>
      </w:r>
      <w:r w:rsidRPr="00B37438">
        <w:rPr>
          <w:color w:val="000000"/>
        </w:rPr>
        <w:t>abiraterone</w:t>
      </w:r>
      <w:r w:rsidR="00E200CD" w:rsidRPr="00B37438">
        <w:t xml:space="preserve">, versus </w:t>
      </w:r>
      <w:r w:rsidR="00FF0D72">
        <w:t>6</w:t>
      </w:r>
      <w:r w:rsidR="00E200CD" w:rsidRPr="00B37438">
        <w:t>% of patients treated with placebo, had at least a 50% decline from baseline in PSA levels.</w:t>
      </w:r>
      <w:r w:rsidR="00E200CD">
        <w:t xml:space="preserve">  </w:t>
      </w:r>
    </w:p>
    <w:p w:rsidR="00E200CD" w:rsidRDefault="00E200CD" w:rsidP="009F3479">
      <w:pPr>
        <w:jc w:val="left"/>
      </w:pPr>
    </w:p>
    <w:p w:rsidR="00454ADD" w:rsidRPr="00BF7FBF" w:rsidRDefault="00454ADD" w:rsidP="00454ADD">
      <w:pPr>
        <w:spacing w:after="120"/>
        <w:jc w:val="left"/>
        <w:rPr>
          <w:i/>
        </w:rPr>
      </w:pPr>
      <w:r w:rsidRPr="00BF7FBF">
        <w:rPr>
          <w:i/>
        </w:rPr>
        <w:t>Effects on the QT interval</w:t>
      </w:r>
    </w:p>
    <w:p w:rsidR="00454ADD" w:rsidRPr="00E252FA" w:rsidRDefault="00454ADD" w:rsidP="00454ADD">
      <w:pPr>
        <w:jc w:val="left"/>
      </w:pPr>
      <w:r>
        <w:t xml:space="preserve">In a cardiovascular safety study in patients with metastatic advanced prostate cancer there were no significant effects of abiraterone acetate on the cardiac QT/QTc interval.  </w:t>
      </w:r>
    </w:p>
    <w:p w:rsidR="00454ADD" w:rsidRDefault="00454ADD" w:rsidP="009F3479">
      <w:pPr>
        <w:jc w:val="left"/>
      </w:pPr>
    </w:p>
    <w:p w:rsidR="003B09E3" w:rsidRDefault="003A72D8" w:rsidP="009F3479">
      <w:pPr>
        <w:pStyle w:val="PIHEADING2"/>
        <w:jc w:val="left"/>
      </w:pPr>
      <w:r>
        <w:t xml:space="preserve">Pharmacokinetics </w:t>
      </w:r>
    </w:p>
    <w:p w:rsidR="00505167" w:rsidRDefault="00CF32C2" w:rsidP="009F3479">
      <w:pPr>
        <w:jc w:val="left"/>
      </w:pPr>
      <w:r w:rsidRPr="00CF32C2">
        <w:t xml:space="preserve">Following administration of abiraterone acetate, the pharmacokinetics of abiraterone </w:t>
      </w:r>
      <w:r w:rsidR="00EF69B3">
        <w:t>and abiraterone acetate have</w:t>
      </w:r>
      <w:r w:rsidRPr="00CF32C2">
        <w:t xml:space="preserve"> been studied in healthy subjects, patients with metastatic advanced prostate cancer and </w:t>
      </w:r>
      <w:r w:rsidR="00EF69B3">
        <w:t>subjects</w:t>
      </w:r>
      <w:r w:rsidRPr="00CF32C2">
        <w:t xml:space="preserve"> without cancer with hepatic or renal impairment.  Abiraterone acetate is rapidly converted </w:t>
      </w:r>
      <w:r w:rsidRPr="00CF32C2">
        <w:rPr>
          <w:i/>
        </w:rPr>
        <w:t>in</w:t>
      </w:r>
      <w:r w:rsidRPr="00CF32C2">
        <w:t xml:space="preserve"> </w:t>
      </w:r>
      <w:r w:rsidRPr="00CF32C2">
        <w:rPr>
          <w:i/>
        </w:rPr>
        <w:t>vivo</w:t>
      </w:r>
      <w:r w:rsidRPr="00CF32C2">
        <w:t xml:space="preserve"> to abiraterone</w:t>
      </w:r>
      <w:r>
        <w:t xml:space="preserve"> (see Pharmacodynamics).  </w:t>
      </w:r>
    </w:p>
    <w:p w:rsidR="00505167" w:rsidRDefault="00505167" w:rsidP="009F3479">
      <w:pPr>
        <w:jc w:val="left"/>
      </w:pPr>
    </w:p>
    <w:p w:rsidR="003B09E3" w:rsidRDefault="003A72D8" w:rsidP="009F3479">
      <w:pPr>
        <w:spacing w:after="120"/>
        <w:jc w:val="left"/>
        <w:rPr>
          <w:u w:val="single"/>
        </w:rPr>
      </w:pPr>
      <w:r>
        <w:rPr>
          <w:u w:val="single"/>
        </w:rPr>
        <w:t>Absorption</w:t>
      </w:r>
    </w:p>
    <w:p w:rsidR="00A7656D" w:rsidRDefault="003F20E1" w:rsidP="00A7656D">
      <w:pPr>
        <w:jc w:val="left"/>
      </w:pPr>
      <w:r w:rsidRPr="003F20E1">
        <w:t xml:space="preserve">Following oral administration of abiraterone acetate in the fasting state, the </w:t>
      </w:r>
      <w:r w:rsidR="00FF0D72">
        <w:t xml:space="preserve">median </w:t>
      </w:r>
      <w:r w:rsidRPr="003F20E1">
        <w:t>time to reach maximum plasma abiraterone concentration is approximately 2 hours.</w:t>
      </w:r>
      <w:r>
        <w:t xml:space="preserve">  </w:t>
      </w:r>
    </w:p>
    <w:p w:rsidR="00155E93" w:rsidRDefault="007C54A8" w:rsidP="009F3479">
      <w:pPr>
        <w:jc w:val="left"/>
      </w:pPr>
      <w:r>
        <w:br w:type="page"/>
      </w:r>
    </w:p>
    <w:p w:rsidR="00505167" w:rsidRPr="00EE7072" w:rsidRDefault="00505167" w:rsidP="004710DA">
      <w:pPr>
        <w:spacing w:after="120"/>
        <w:jc w:val="left"/>
        <w:rPr>
          <w:i/>
        </w:rPr>
      </w:pPr>
      <w:r w:rsidRPr="00EE7072">
        <w:rPr>
          <w:i/>
        </w:rPr>
        <w:t>Effect of food on absorption</w:t>
      </w:r>
    </w:p>
    <w:p w:rsidR="00505167" w:rsidRDefault="00A7656D" w:rsidP="009F3479">
      <w:pPr>
        <w:jc w:val="left"/>
      </w:pPr>
      <w:r w:rsidRPr="00A7656D">
        <w:t xml:space="preserve">Administration of </w:t>
      </w:r>
      <w:r w:rsidR="00A01349">
        <w:t>ZYTIGA</w:t>
      </w:r>
      <w:r w:rsidRPr="00A7656D">
        <w:t xml:space="preserve"> with food, compared </w:t>
      </w:r>
      <w:r w:rsidR="001D2F43">
        <w:t>with</w:t>
      </w:r>
      <w:r w:rsidRPr="00A7656D">
        <w:t xml:space="preserve"> administration in a fasted state, results in up to a 17-fold increase in mean systemic exposure of abiraterone depending on the fat content of the meal.  </w:t>
      </w:r>
      <w:r w:rsidR="00975AB8">
        <w:t>Given the normal</w:t>
      </w:r>
      <w:r w:rsidRPr="00A7656D">
        <w:t xml:space="preserve"> variation </w:t>
      </w:r>
      <w:r w:rsidR="00975AB8" w:rsidRPr="00975AB8">
        <w:t>in the content and composition of meals</w:t>
      </w:r>
      <w:r w:rsidR="00975AB8">
        <w:t>,</w:t>
      </w:r>
      <w:r w:rsidR="00975AB8" w:rsidRPr="00975AB8">
        <w:t xml:space="preserve"> taking </w:t>
      </w:r>
      <w:r w:rsidR="00A01349">
        <w:t>ZYTIGA</w:t>
      </w:r>
      <w:r w:rsidR="00975AB8" w:rsidRPr="00975AB8">
        <w:t xml:space="preserve"> with meals has the potential to result in highly variable exposures.  </w:t>
      </w:r>
      <w:r w:rsidR="00975AB8">
        <w:t xml:space="preserve">Therefore, </w:t>
      </w:r>
      <w:r w:rsidR="00A01349">
        <w:rPr>
          <w:b/>
        </w:rPr>
        <w:t>ZYTIGA</w:t>
      </w:r>
      <w:r w:rsidRPr="00DE20D3">
        <w:rPr>
          <w:b/>
        </w:rPr>
        <w:t xml:space="preserve"> must not be taken with food</w:t>
      </w:r>
      <w:r w:rsidRPr="00A7656D">
        <w:t xml:space="preserve">.  </w:t>
      </w:r>
      <w:r w:rsidR="00A01349">
        <w:t>ZYTIGA</w:t>
      </w:r>
      <w:r w:rsidRPr="00A7656D">
        <w:t xml:space="preserve"> should be taken at least two hours after eating and no food should be eaten for at least one hour after taking </w:t>
      </w:r>
      <w:r w:rsidR="00A01349">
        <w:t>ZYTIGA</w:t>
      </w:r>
      <w:r w:rsidRPr="00A7656D">
        <w:t xml:space="preserve">.  The tablets should be swallowed whole with water (see DOSAGE AND ADMINISTRATION).  </w:t>
      </w:r>
    </w:p>
    <w:p w:rsidR="007C54A8" w:rsidRDefault="007C54A8" w:rsidP="004710DA">
      <w:pPr>
        <w:spacing w:after="120"/>
        <w:jc w:val="left"/>
        <w:rPr>
          <w:u w:val="single"/>
        </w:rPr>
      </w:pPr>
    </w:p>
    <w:p w:rsidR="003B09E3" w:rsidRDefault="003A72D8" w:rsidP="004710DA">
      <w:pPr>
        <w:spacing w:after="120"/>
        <w:jc w:val="left"/>
        <w:rPr>
          <w:u w:val="single"/>
        </w:rPr>
      </w:pPr>
      <w:r>
        <w:rPr>
          <w:u w:val="single"/>
        </w:rPr>
        <w:t>Distribution</w:t>
      </w:r>
    </w:p>
    <w:p w:rsidR="003B09E3" w:rsidRDefault="004710DA" w:rsidP="009F3479">
      <w:pPr>
        <w:jc w:val="left"/>
      </w:pPr>
      <w:r w:rsidRPr="004710DA">
        <w:t xml:space="preserve">The plasma protein binding of </w:t>
      </w:r>
      <w:r w:rsidRPr="004710DA">
        <w:rPr>
          <w:vertAlign w:val="superscript"/>
        </w:rPr>
        <w:t>14</w:t>
      </w:r>
      <w:r w:rsidRPr="004710DA">
        <w:t>C</w:t>
      </w:r>
      <w:r>
        <w:noBreakHyphen/>
      </w:r>
      <w:r w:rsidRPr="004710DA">
        <w:t xml:space="preserve">abiraterone in human plasma is 99.8%. </w:t>
      </w:r>
      <w:r>
        <w:t xml:space="preserve"> </w:t>
      </w:r>
      <w:r w:rsidRPr="004710DA">
        <w:t>The apparent volume of distribution is approximately 5630 L, suggesting that abiraterone extensively distributes to peripheral tissues.</w:t>
      </w:r>
      <w:r>
        <w:t xml:space="preserve">  </w:t>
      </w:r>
    </w:p>
    <w:p w:rsidR="003A211C" w:rsidRPr="00191BD5" w:rsidRDefault="003A211C" w:rsidP="009F3479">
      <w:pPr>
        <w:jc w:val="left"/>
      </w:pPr>
    </w:p>
    <w:p w:rsidR="003B09E3" w:rsidRDefault="003A72D8" w:rsidP="004710DA">
      <w:pPr>
        <w:pStyle w:val="Heading2"/>
        <w:spacing w:after="120"/>
        <w:jc w:val="left"/>
      </w:pPr>
      <w:r>
        <w:t>Metabolism</w:t>
      </w:r>
    </w:p>
    <w:p w:rsidR="003B09E3" w:rsidRDefault="004710DA" w:rsidP="009F3479">
      <w:pPr>
        <w:jc w:val="left"/>
        <w:rPr>
          <w:lang w:val="en-US"/>
        </w:rPr>
      </w:pPr>
      <w:r w:rsidRPr="004710DA">
        <w:rPr>
          <w:lang w:val="en-US"/>
        </w:rPr>
        <w:t xml:space="preserve">Following oral administration of </w:t>
      </w:r>
      <w:r w:rsidRPr="004710DA">
        <w:rPr>
          <w:vertAlign w:val="superscript"/>
          <w:lang w:val="en-US"/>
        </w:rPr>
        <w:t>14</w:t>
      </w:r>
      <w:r w:rsidRPr="004710DA">
        <w:rPr>
          <w:lang w:val="en-US"/>
        </w:rPr>
        <w:t xml:space="preserve">C-abiraterone acetate as capsules, abiraterone acetate is hydrolyzed to abiraterone, which then undergoes metabolism including </w:t>
      </w:r>
      <w:r w:rsidR="00D62307">
        <w:rPr>
          <w:lang w:val="en-US"/>
        </w:rPr>
        <w:t>sulphation</w:t>
      </w:r>
      <w:r w:rsidRPr="004710DA">
        <w:rPr>
          <w:lang w:val="en-US"/>
        </w:rPr>
        <w:t xml:space="preserve">, hydroxylation and oxidation primarily in the liver. </w:t>
      </w:r>
      <w:r>
        <w:rPr>
          <w:lang w:val="en-US"/>
        </w:rPr>
        <w:t xml:space="preserve"> </w:t>
      </w:r>
      <w:r w:rsidRPr="004710DA">
        <w:rPr>
          <w:lang w:val="en-US"/>
        </w:rPr>
        <w:t xml:space="preserve">The majority of circulating </w:t>
      </w:r>
      <w:r w:rsidR="009A3344">
        <w:rPr>
          <w:lang w:val="en-US"/>
        </w:rPr>
        <w:t xml:space="preserve">radioactivity </w:t>
      </w:r>
      <w:r w:rsidR="009A3344" w:rsidRPr="001D54AA">
        <w:t>(approximately 92%</w:t>
      </w:r>
      <w:r w:rsidR="009A3344">
        <w:t>)</w:t>
      </w:r>
      <w:r w:rsidR="009A3344" w:rsidRPr="001D54AA">
        <w:t xml:space="preserve"> is found </w:t>
      </w:r>
      <w:r w:rsidR="009A3344">
        <w:t>in the form of</w:t>
      </w:r>
      <w:r w:rsidR="009A3344" w:rsidRPr="001D54AA">
        <w:t xml:space="preserve"> metabolites</w:t>
      </w:r>
      <w:r w:rsidR="009A3344">
        <w:t xml:space="preserve"> of abiraterone</w:t>
      </w:r>
      <w:r w:rsidRPr="004710DA">
        <w:rPr>
          <w:lang w:val="en-US"/>
        </w:rPr>
        <w:t xml:space="preserve">.  </w:t>
      </w:r>
      <w:r w:rsidR="009A3344" w:rsidRPr="009A3344">
        <w:rPr>
          <w:lang w:val="en-US"/>
        </w:rPr>
        <w:t>Of 15 detectable metabolites, 2 main metabolites, abiraterone sulphate and N-oxide abiraterone sulphate, each represent approximately 43% of total radioactivity.</w:t>
      </w:r>
      <w:r w:rsidR="009A3344">
        <w:rPr>
          <w:lang w:val="en-US"/>
        </w:rPr>
        <w:t xml:space="preserve">  </w:t>
      </w:r>
    </w:p>
    <w:p w:rsidR="003B09E3" w:rsidRDefault="003B09E3" w:rsidP="009F3479">
      <w:pPr>
        <w:jc w:val="left"/>
        <w:rPr>
          <w:u w:val="single"/>
        </w:rPr>
      </w:pPr>
    </w:p>
    <w:p w:rsidR="00233E43" w:rsidRDefault="00233E43" w:rsidP="00233E43">
      <w:pPr>
        <w:jc w:val="left"/>
        <w:rPr>
          <w:lang w:val="en-US"/>
        </w:rPr>
      </w:pPr>
      <w:r w:rsidRPr="00233E43">
        <w:rPr>
          <w:lang w:val="en-US"/>
        </w:rPr>
        <w:t>The major enzymes involved in the metabolism of abiraterone are CYP3A4 for phase I</w:t>
      </w:r>
      <w:r>
        <w:rPr>
          <w:lang w:val="en-US"/>
        </w:rPr>
        <w:t xml:space="preserve"> </w:t>
      </w:r>
      <w:r w:rsidRPr="00233E43">
        <w:rPr>
          <w:lang w:val="en-US"/>
        </w:rPr>
        <w:t>(oxidative) metabolites, the sulfotransferase (SULT) isozyme SULT2A1, and UDP</w:t>
      </w:r>
      <w:r>
        <w:rPr>
          <w:lang w:val="en-US"/>
        </w:rPr>
        <w:t>-</w:t>
      </w:r>
      <w:r w:rsidRPr="00233E43">
        <w:rPr>
          <w:lang w:val="en-US"/>
        </w:rPr>
        <w:t>glucuronosyl</w:t>
      </w:r>
      <w:r>
        <w:rPr>
          <w:lang w:val="en-US"/>
        </w:rPr>
        <w:t xml:space="preserve"> </w:t>
      </w:r>
      <w:r w:rsidRPr="00233E43">
        <w:rPr>
          <w:lang w:val="en-US"/>
        </w:rPr>
        <w:t xml:space="preserve">transferase (UGT) UGT1A4. </w:t>
      </w:r>
      <w:r>
        <w:rPr>
          <w:lang w:val="en-US"/>
        </w:rPr>
        <w:t xml:space="preserve"> </w:t>
      </w:r>
      <w:r w:rsidRPr="00233E43">
        <w:rPr>
          <w:lang w:val="en-US"/>
        </w:rPr>
        <w:t>No studies have been conducted to determine if</w:t>
      </w:r>
      <w:r>
        <w:rPr>
          <w:lang w:val="en-US"/>
        </w:rPr>
        <w:t xml:space="preserve"> </w:t>
      </w:r>
      <w:r w:rsidRPr="00233E43">
        <w:rPr>
          <w:lang w:val="en-US"/>
        </w:rPr>
        <w:t>drugs that induce or inhibit these enzymes affect the metabolism of abiraterone.</w:t>
      </w:r>
      <w:r>
        <w:rPr>
          <w:lang w:val="en-US"/>
        </w:rPr>
        <w:t xml:space="preserve">  </w:t>
      </w:r>
    </w:p>
    <w:p w:rsidR="00233E43" w:rsidRDefault="00233E43" w:rsidP="00233E43">
      <w:pPr>
        <w:jc w:val="left"/>
        <w:rPr>
          <w:u w:val="single"/>
        </w:rPr>
      </w:pPr>
    </w:p>
    <w:p w:rsidR="003B09E3" w:rsidRDefault="003A72D8" w:rsidP="009F3479">
      <w:pPr>
        <w:pStyle w:val="Heading4"/>
        <w:spacing w:after="120"/>
        <w:jc w:val="left"/>
      </w:pPr>
      <w:r>
        <w:t>Elimination</w:t>
      </w:r>
    </w:p>
    <w:p w:rsidR="003B09E3" w:rsidRDefault="004710DA" w:rsidP="009F3479">
      <w:pPr>
        <w:jc w:val="left"/>
      </w:pPr>
      <w:r w:rsidRPr="004710DA">
        <w:t xml:space="preserve">The mean half-life of abiraterone in plasma is approximately 15 hours based on data from healthy subjects. </w:t>
      </w:r>
      <w:r>
        <w:t xml:space="preserve"> </w:t>
      </w:r>
      <w:r w:rsidRPr="004710DA">
        <w:t xml:space="preserve">Following oral administration of </w:t>
      </w:r>
      <w:r w:rsidRPr="004710DA">
        <w:rPr>
          <w:vertAlign w:val="superscript"/>
        </w:rPr>
        <w:t>14</w:t>
      </w:r>
      <w:r w:rsidRPr="004710DA">
        <w:t>C</w:t>
      </w:r>
      <w:r>
        <w:noBreakHyphen/>
      </w:r>
      <w:r w:rsidRPr="004710DA">
        <w:t>abiraterone acetate, approximately 88% of the radioactive dose is recovered in f</w:t>
      </w:r>
      <w:r>
        <w:t>a</w:t>
      </w:r>
      <w:r w:rsidRPr="004710DA">
        <w:t>eces and approximately 5% in urine.  The major compounds present in f</w:t>
      </w:r>
      <w:r>
        <w:t>a</w:t>
      </w:r>
      <w:r w:rsidRPr="004710DA">
        <w:t>eces are unchanged abiraterone acetate and abiraterone (approximately 55% and 22 % of the administered dose, respectively).</w:t>
      </w:r>
      <w:r>
        <w:t xml:space="preserve">  </w:t>
      </w:r>
    </w:p>
    <w:p w:rsidR="003B09E3" w:rsidRDefault="003B09E3" w:rsidP="009F3479">
      <w:pPr>
        <w:jc w:val="left"/>
        <w:rPr>
          <w:u w:val="single"/>
        </w:rPr>
      </w:pPr>
    </w:p>
    <w:p w:rsidR="00E252FA" w:rsidRPr="00B61CEB" w:rsidRDefault="00E252FA" w:rsidP="00B61CEB">
      <w:pPr>
        <w:spacing w:after="120"/>
        <w:jc w:val="left"/>
        <w:rPr>
          <w:u w:val="single"/>
        </w:rPr>
      </w:pPr>
      <w:r w:rsidRPr="00B61CEB">
        <w:rPr>
          <w:u w:val="single"/>
        </w:rPr>
        <w:t>Additional information on special populations</w:t>
      </w:r>
    </w:p>
    <w:p w:rsidR="00E252FA" w:rsidRPr="001F5359" w:rsidRDefault="00E252FA" w:rsidP="001F5359">
      <w:pPr>
        <w:spacing w:after="120"/>
        <w:jc w:val="left"/>
        <w:rPr>
          <w:i/>
        </w:rPr>
      </w:pPr>
      <w:r w:rsidRPr="001F5359">
        <w:rPr>
          <w:i/>
        </w:rPr>
        <w:t>Hepatic impairment</w:t>
      </w:r>
    </w:p>
    <w:p w:rsidR="001F5359" w:rsidRPr="001F5359" w:rsidRDefault="001F5359" w:rsidP="001F5359">
      <w:pPr>
        <w:jc w:val="left"/>
      </w:pPr>
      <w:r w:rsidRPr="001F5359">
        <w:t xml:space="preserve">The pharmacokinetics of abiraterone was examined in subjects with pre-existing mild or moderate hepatic impairment (Child-Pugh class A and B, respectively) and in healthy control subjects.  Systemic exposure to abiraterone after a single oral 1 g dose increased by approximately 11% and 260% in subjects with mild and moderate pre-existing hepatic impairment, respectively. </w:t>
      </w:r>
      <w:r>
        <w:t xml:space="preserve"> </w:t>
      </w:r>
      <w:r w:rsidRPr="001F5359">
        <w:t>The mean half-life of abiraterone is</w:t>
      </w:r>
      <w:r w:rsidR="00252494">
        <w:t xml:space="preserve"> prolonged to approximately 18</w:t>
      </w:r>
      <w:r>
        <w:t> </w:t>
      </w:r>
      <w:r w:rsidRPr="001F5359">
        <w:t>hours in subjects with mild hepatic impa</w:t>
      </w:r>
      <w:r w:rsidR="00254BC6">
        <w:t>irment and to approximately 19</w:t>
      </w:r>
      <w:r w:rsidRPr="001F5359">
        <w:t xml:space="preserve"> hours in subjects with moderate hepatic impairment. </w:t>
      </w:r>
      <w:r>
        <w:t xml:space="preserve"> </w:t>
      </w:r>
      <w:r w:rsidRPr="001F5359">
        <w:t xml:space="preserve">No dosage adjustment is necessary for patients with pre-existing mild hepatic impairment. </w:t>
      </w:r>
      <w:r>
        <w:t xml:space="preserve"> </w:t>
      </w:r>
      <w:r w:rsidR="002D608D" w:rsidRPr="002D608D">
        <w:t xml:space="preserve">There are no data on the clinical safety and efficacy of multiple doses of abiraterone acetate when administered to patients with moderate or severe hepatic impairment (Child Pugh Class B or C). No dose adjustment can be predicted. ZYTIGA should be used with caution in patients with moderate hepatic impairment, only if the benefit clearly outweighs the possible risk.  </w:t>
      </w:r>
      <w:r w:rsidR="00480F07" w:rsidRPr="002D608D">
        <w:t>ZYTIGA</w:t>
      </w:r>
      <w:r w:rsidR="00480F07" w:rsidDel="00480F07">
        <w:t xml:space="preserve"> </w:t>
      </w:r>
      <w:r w:rsidRPr="001F5359">
        <w:t>should not be used in patients with pre-existing severe hepatic impairment</w:t>
      </w:r>
      <w:r w:rsidR="00CB2078">
        <w:t xml:space="preserve"> </w:t>
      </w:r>
      <w:r w:rsidR="002D608D" w:rsidRPr="002D608D">
        <w:t>(see CONTRAINDICATIONS, PRECAUTIONS and DOSAGE AND ADMINISTRATION)</w:t>
      </w:r>
      <w:r w:rsidRPr="001F5359">
        <w:t>.</w:t>
      </w:r>
      <w:r>
        <w:t xml:space="preserve">  </w:t>
      </w:r>
    </w:p>
    <w:p w:rsidR="001F5359" w:rsidRPr="001F5359" w:rsidRDefault="001F5359" w:rsidP="001F5359">
      <w:pPr>
        <w:jc w:val="left"/>
      </w:pPr>
    </w:p>
    <w:p w:rsidR="00E252FA" w:rsidRPr="004026A4" w:rsidRDefault="001F5359" w:rsidP="001F5359">
      <w:pPr>
        <w:jc w:val="left"/>
        <w:rPr>
          <w:i/>
          <w:highlight w:val="yellow"/>
        </w:rPr>
      </w:pPr>
      <w:r w:rsidRPr="001F5359">
        <w:lastRenderedPageBreak/>
        <w:t xml:space="preserve">For patients who develop hepatotoxicity during treatment with </w:t>
      </w:r>
      <w:r>
        <w:t>abiraterone</w:t>
      </w:r>
      <w:r w:rsidRPr="001F5359">
        <w:t xml:space="preserve"> suspension of treatment and dosage adjustment may be required (see </w:t>
      </w:r>
      <w:r>
        <w:t>PRECAUTIONS and DOSAGE AND ADMINISTRATION</w:t>
      </w:r>
      <w:r w:rsidRPr="001F5359">
        <w:t>).</w:t>
      </w:r>
      <w:r>
        <w:t xml:space="preserve">  </w:t>
      </w:r>
    </w:p>
    <w:p w:rsidR="00E252FA" w:rsidRPr="004026A4" w:rsidRDefault="00E252FA" w:rsidP="009F3479">
      <w:pPr>
        <w:jc w:val="left"/>
        <w:rPr>
          <w:highlight w:val="yellow"/>
        </w:rPr>
      </w:pPr>
    </w:p>
    <w:p w:rsidR="00E252FA" w:rsidRPr="00E252FA" w:rsidRDefault="00E252FA" w:rsidP="007565E8">
      <w:pPr>
        <w:spacing w:after="120"/>
        <w:jc w:val="left"/>
        <w:rPr>
          <w:i/>
        </w:rPr>
      </w:pPr>
      <w:r w:rsidRPr="007565E8">
        <w:rPr>
          <w:i/>
        </w:rPr>
        <w:t>Renal impairment</w:t>
      </w:r>
    </w:p>
    <w:p w:rsidR="007565E8" w:rsidRDefault="007565E8" w:rsidP="007565E8">
      <w:pPr>
        <w:jc w:val="left"/>
      </w:pPr>
      <w:r>
        <w:t xml:space="preserve">The pharmacokinetics of abiraterone was compared in patients with end-stage renal disease on a stable hemodialysis schedule versus matched control subjects with normal renal function.  Systemic exposure to abiraterone after a single oral 1 g dose did not increase in patients with end-stage renal disease on dialysis.  </w:t>
      </w:r>
    </w:p>
    <w:p w:rsidR="007565E8" w:rsidRDefault="007565E8" w:rsidP="007565E8">
      <w:pPr>
        <w:jc w:val="left"/>
      </w:pPr>
    </w:p>
    <w:p w:rsidR="004026A4" w:rsidRDefault="007565E8" w:rsidP="009F3479">
      <w:pPr>
        <w:jc w:val="left"/>
      </w:pPr>
      <w:r>
        <w:t>Administration of abiraterone in patients with renal impairment including severe renal impairment does not require dose reduction (see</w:t>
      </w:r>
      <w:r w:rsidRPr="007565E8">
        <w:t xml:space="preserve"> </w:t>
      </w:r>
      <w:r>
        <w:t xml:space="preserve">DOSAGE AND ADMINISTRATION).  </w:t>
      </w:r>
    </w:p>
    <w:p w:rsidR="003B09E3" w:rsidRDefault="003A72D8" w:rsidP="009F3479">
      <w:pPr>
        <w:pStyle w:val="PIHEADING1"/>
        <w:jc w:val="left"/>
      </w:pPr>
      <w:r>
        <w:t>Clinical trials</w:t>
      </w:r>
    </w:p>
    <w:p w:rsidR="002D130F" w:rsidRDefault="00CD5591" w:rsidP="00CD5591">
      <w:pPr>
        <w:jc w:val="left"/>
        <w:rPr>
          <w:rFonts w:cs="Arial"/>
          <w:noProof/>
          <w:szCs w:val="22"/>
        </w:rPr>
      </w:pPr>
      <w:r w:rsidRPr="00CD5591">
        <w:rPr>
          <w:rFonts w:cs="Arial"/>
          <w:noProof/>
          <w:szCs w:val="22"/>
        </w:rPr>
        <w:t xml:space="preserve">The efficacy </w:t>
      </w:r>
      <w:r w:rsidR="00E32CC3">
        <w:rPr>
          <w:rFonts w:cs="Arial"/>
          <w:noProof/>
          <w:szCs w:val="22"/>
        </w:rPr>
        <w:t xml:space="preserve">of </w:t>
      </w:r>
      <w:r>
        <w:rPr>
          <w:rFonts w:cs="Arial"/>
          <w:noProof/>
          <w:szCs w:val="22"/>
        </w:rPr>
        <w:t>abiraterone</w:t>
      </w:r>
      <w:r w:rsidRPr="00CD5591">
        <w:rPr>
          <w:rFonts w:cs="Arial"/>
          <w:noProof/>
          <w:szCs w:val="22"/>
        </w:rPr>
        <w:t xml:space="preserve"> was established in </w:t>
      </w:r>
      <w:r w:rsidR="002D130F">
        <w:rPr>
          <w:rFonts w:cs="Arial"/>
          <w:noProof/>
          <w:szCs w:val="22"/>
        </w:rPr>
        <w:t xml:space="preserve">two </w:t>
      </w:r>
      <w:r w:rsidRPr="00CD5591">
        <w:rPr>
          <w:rFonts w:cs="Arial"/>
          <w:noProof/>
          <w:szCs w:val="22"/>
        </w:rPr>
        <w:t>randomized placebo controlled multicenter phase</w:t>
      </w:r>
      <w:r>
        <w:rPr>
          <w:rFonts w:cs="Arial"/>
          <w:noProof/>
          <w:szCs w:val="22"/>
        </w:rPr>
        <w:t> </w:t>
      </w:r>
      <w:r w:rsidRPr="00CD5591">
        <w:rPr>
          <w:rFonts w:cs="Arial"/>
          <w:noProof/>
          <w:szCs w:val="22"/>
        </w:rPr>
        <w:t xml:space="preserve">3 clinical </w:t>
      </w:r>
      <w:r w:rsidR="002D130F" w:rsidRPr="00CD5591">
        <w:rPr>
          <w:rFonts w:cs="Arial"/>
          <w:noProof/>
          <w:szCs w:val="22"/>
        </w:rPr>
        <w:t>stud</w:t>
      </w:r>
      <w:r w:rsidR="002D130F">
        <w:rPr>
          <w:rFonts w:cs="Arial"/>
          <w:noProof/>
          <w:szCs w:val="22"/>
        </w:rPr>
        <w:t>ies (studies 301 and 302)</w:t>
      </w:r>
      <w:r w:rsidR="002D130F" w:rsidRPr="00CD5591">
        <w:rPr>
          <w:rFonts w:cs="Arial"/>
          <w:noProof/>
          <w:szCs w:val="22"/>
        </w:rPr>
        <w:t xml:space="preserve"> </w:t>
      </w:r>
      <w:r w:rsidRPr="00CD5591">
        <w:rPr>
          <w:rFonts w:cs="Arial"/>
          <w:noProof/>
          <w:szCs w:val="22"/>
        </w:rPr>
        <w:t xml:space="preserve">of patients with metastatic castration resistant prostate cancer.  </w:t>
      </w:r>
    </w:p>
    <w:p w:rsidR="002D130F" w:rsidRDefault="002D130F" w:rsidP="00CD5591">
      <w:pPr>
        <w:jc w:val="left"/>
        <w:rPr>
          <w:rFonts w:cs="Arial"/>
          <w:noProof/>
          <w:szCs w:val="22"/>
        </w:rPr>
      </w:pPr>
    </w:p>
    <w:p w:rsidR="002607CA" w:rsidRDefault="002D130F" w:rsidP="00CD5591">
      <w:pPr>
        <w:jc w:val="left"/>
        <w:rPr>
          <w:rFonts w:cs="Arial"/>
          <w:noProof/>
          <w:szCs w:val="22"/>
        </w:rPr>
      </w:pPr>
      <w:r w:rsidRPr="002D130F">
        <w:rPr>
          <w:rFonts w:cs="Arial"/>
          <w:noProof/>
          <w:szCs w:val="22"/>
        </w:rPr>
        <w:t>Study 302 enrolled patients who were asymptomatic or mildly symptomatic and had not received prior chemotherapy, whereas study 301 enrolled patients who received prior chemotherapy containing a taxane.</w:t>
      </w:r>
      <w:r>
        <w:rPr>
          <w:rFonts w:cs="Arial"/>
          <w:noProof/>
          <w:szCs w:val="22"/>
        </w:rPr>
        <w:t xml:space="preserve"> </w:t>
      </w:r>
      <w:r w:rsidRPr="002D130F">
        <w:rPr>
          <w:rFonts w:cs="Arial"/>
          <w:noProof/>
          <w:szCs w:val="22"/>
        </w:rPr>
        <w:t xml:space="preserve"> In both studies p</w:t>
      </w:r>
      <w:r w:rsidR="00CD5591" w:rsidRPr="00CD5591">
        <w:rPr>
          <w:rFonts w:cs="Arial"/>
          <w:noProof/>
          <w:szCs w:val="22"/>
        </w:rPr>
        <w:t xml:space="preserve">atients were using a </w:t>
      </w:r>
      <w:r w:rsidR="00820315">
        <w:rPr>
          <w:rFonts w:cs="Arial"/>
          <w:noProof/>
          <w:szCs w:val="22"/>
        </w:rPr>
        <w:t>LHRH</w:t>
      </w:r>
      <w:r w:rsidR="00CD5591" w:rsidRPr="00CD5591">
        <w:rPr>
          <w:rFonts w:cs="Arial"/>
          <w:noProof/>
          <w:szCs w:val="22"/>
        </w:rPr>
        <w:t xml:space="preserve"> agonist or were previously treated with orchiectomy. </w:t>
      </w:r>
      <w:r w:rsidR="00CD5591">
        <w:rPr>
          <w:rFonts w:cs="Arial"/>
          <w:noProof/>
          <w:szCs w:val="22"/>
        </w:rPr>
        <w:t xml:space="preserve"> </w:t>
      </w:r>
      <w:r w:rsidR="00CD5591" w:rsidRPr="00CD5591">
        <w:rPr>
          <w:rFonts w:cs="Arial"/>
          <w:noProof/>
          <w:szCs w:val="22"/>
        </w:rPr>
        <w:t>In the active treatment arm</w:t>
      </w:r>
      <w:r>
        <w:rPr>
          <w:rFonts w:cs="Arial"/>
          <w:noProof/>
          <w:szCs w:val="22"/>
        </w:rPr>
        <w:t>s</w:t>
      </w:r>
      <w:r w:rsidR="00CD5591" w:rsidRPr="00CD5591">
        <w:rPr>
          <w:rFonts w:cs="Arial"/>
          <w:noProof/>
          <w:szCs w:val="22"/>
        </w:rPr>
        <w:t xml:space="preserve">, </w:t>
      </w:r>
      <w:r w:rsidR="00CD5591">
        <w:rPr>
          <w:rFonts w:cs="Arial"/>
          <w:noProof/>
          <w:szCs w:val="22"/>
        </w:rPr>
        <w:t>abiraterone</w:t>
      </w:r>
      <w:r w:rsidR="00CD5591" w:rsidRPr="00CD5591">
        <w:rPr>
          <w:rFonts w:cs="Arial"/>
          <w:noProof/>
          <w:szCs w:val="22"/>
        </w:rPr>
        <w:t xml:space="preserve"> was administered at a dose of 1</w:t>
      </w:r>
      <w:r w:rsidR="00CD5591">
        <w:rPr>
          <w:rFonts w:cs="Arial"/>
          <w:noProof/>
          <w:szCs w:val="22"/>
        </w:rPr>
        <w:t> </w:t>
      </w:r>
      <w:r w:rsidR="00CD5591" w:rsidRPr="00CD5591">
        <w:rPr>
          <w:rFonts w:cs="Arial"/>
          <w:noProof/>
          <w:szCs w:val="22"/>
        </w:rPr>
        <w:t>g daily in combination with low dose prednisone or prednisolone 5</w:t>
      </w:r>
      <w:r w:rsidR="00CD5591">
        <w:rPr>
          <w:rFonts w:cs="Arial"/>
          <w:noProof/>
          <w:szCs w:val="22"/>
        </w:rPr>
        <w:t> </w:t>
      </w:r>
      <w:r w:rsidR="00CD5591" w:rsidRPr="00CD5591">
        <w:rPr>
          <w:rFonts w:cs="Arial"/>
          <w:noProof/>
          <w:szCs w:val="22"/>
        </w:rPr>
        <w:t xml:space="preserve">mg twice daily. </w:t>
      </w:r>
      <w:r w:rsidR="00CD5591">
        <w:rPr>
          <w:rFonts w:cs="Arial"/>
          <w:noProof/>
          <w:szCs w:val="22"/>
        </w:rPr>
        <w:t xml:space="preserve"> </w:t>
      </w:r>
      <w:r w:rsidR="00CD5591" w:rsidRPr="00CD5591">
        <w:rPr>
          <w:rFonts w:cs="Arial"/>
          <w:noProof/>
          <w:szCs w:val="22"/>
        </w:rPr>
        <w:t>Control patients received placebo and low dose prednisone or prednisolone 5</w:t>
      </w:r>
      <w:r w:rsidR="00CD5591">
        <w:rPr>
          <w:rFonts w:cs="Arial"/>
          <w:noProof/>
          <w:szCs w:val="22"/>
        </w:rPr>
        <w:t> </w:t>
      </w:r>
      <w:r w:rsidR="00CD5591" w:rsidRPr="00CD5591">
        <w:rPr>
          <w:rFonts w:cs="Arial"/>
          <w:noProof/>
          <w:szCs w:val="22"/>
        </w:rPr>
        <w:t xml:space="preserve">mg twice daily.  </w:t>
      </w:r>
    </w:p>
    <w:p w:rsidR="002D130F" w:rsidRDefault="002D130F" w:rsidP="00CD5591">
      <w:pPr>
        <w:jc w:val="left"/>
        <w:rPr>
          <w:rFonts w:cs="Arial"/>
          <w:noProof/>
          <w:szCs w:val="22"/>
        </w:rPr>
      </w:pPr>
    </w:p>
    <w:p w:rsidR="002D130F" w:rsidRDefault="002D130F" w:rsidP="00CD5591">
      <w:pPr>
        <w:jc w:val="left"/>
        <w:rPr>
          <w:rFonts w:cs="Arial"/>
          <w:noProof/>
          <w:szCs w:val="22"/>
        </w:rPr>
      </w:pPr>
      <w:r w:rsidRPr="002D130F">
        <w:rPr>
          <w:rFonts w:cs="Arial"/>
          <w:noProof/>
          <w:szCs w:val="22"/>
        </w:rPr>
        <w:t xml:space="preserve">Because changes in PSA serum concentration do not always predict clinical benefit, in both studies patients were maintained on </w:t>
      </w:r>
      <w:r>
        <w:rPr>
          <w:rFonts w:cs="Arial"/>
          <w:noProof/>
          <w:szCs w:val="22"/>
        </w:rPr>
        <w:t>abiraterone</w:t>
      </w:r>
      <w:r w:rsidRPr="002D130F">
        <w:rPr>
          <w:rFonts w:cs="Arial"/>
          <w:noProof/>
          <w:szCs w:val="22"/>
        </w:rPr>
        <w:t xml:space="preserve"> until </w:t>
      </w:r>
      <w:r w:rsidR="00A90129">
        <w:rPr>
          <w:rFonts w:cs="Arial"/>
          <w:noProof/>
          <w:szCs w:val="22"/>
        </w:rPr>
        <w:t xml:space="preserve">specific </w:t>
      </w:r>
      <w:r w:rsidRPr="002D130F">
        <w:rPr>
          <w:rFonts w:cs="Arial"/>
          <w:noProof/>
          <w:szCs w:val="22"/>
        </w:rPr>
        <w:t>discontinuation criteria were met for each study below.</w:t>
      </w:r>
      <w:r w:rsidR="00F457A2">
        <w:rPr>
          <w:rFonts w:cs="Arial"/>
          <w:noProof/>
          <w:szCs w:val="22"/>
        </w:rPr>
        <w:t xml:space="preserve">  </w:t>
      </w:r>
    </w:p>
    <w:p w:rsidR="0098030D" w:rsidRDefault="0098030D" w:rsidP="00CD5591">
      <w:pPr>
        <w:jc w:val="left"/>
        <w:rPr>
          <w:rFonts w:cs="Arial"/>
          <w:noProof/>
          <w:szCs w:val="22"/>
        </w:rPr>
      </w:pPr>
    </w:p>
    <w:p w:rsidR="0098030D" w:rsidRPr="0098030D" w:rsidRDefault="0098030D" w:rsidP="0098030D">
      <w:pPr>
        <w:jc w:val="left"/>
        <w:rPr>
          <w:rFonts w:cs="Arial"/>
          <w:b/>
          <w:noProof/>
          <w:szCs w:val="22"/>
        </w:rPr>
      </w:pPr>
      <w:r w:rsidRPr="0098030D">
        <w:rPr>
          <w:rFonts w:cs="Arial"/>
          <w:b/>
          <w:noProof/>
          <w:szCs w:val="22"/>
        </w:rPr>
        <w:t>Study 302 (asymptomatic or mildly symptomatic patients who did not receive prior chemotherapy)</w:t>
      </w:r>
    </w:p>
    <w:p w:rsidR="0098030D" w:rsidRPr="0098030D" w:rsidRDefault="0098030D" w:rsidP="0098030D">
      <w:pPr>
        <w:jc w:val="left"/>
        <w:rPr>
          <w:rFonts w:cs="Arial"/>
          <w:noProof/>
          <w:szCs w:val="22"/>
        </w:rPr>
      </w:pPr>
    </w:p>
    <w:p w:rsidR="0098030D" w:rsidRDefault="0098030D" w:rsidP="0098030D">
      <w:pPr>
        <w:jc w:val="left"/>
        <w:rPr>
          <w:rFonts w:cs="Arial"/>
          <w:noProof/>
          <w:szCs w:val="22"/>
        </w:rPr>
      </w:pPr>
      <w:r w:rsidRPr="0098030D">
        <w:rPr>
          <w:rFonts w:cs="Arial"/>
          <w:noProof/>
          <w:szCs w:val="22"/>
        </w:rPr>
        <w:t xml:space="preserve">In study 302, (n=1088) the median age of enrolled patients was 71 years for patients treated with </w:t>
      </w:r>
      <w:r>
        <w:rPr>
          <w:rFonts w:cs="Arial"/>
          <w:noProof/>
          <w:szCs w:val="22"/>
        </w:rPr>
        <w:t>abiraterone</w:t>
      </w:r>
      <w:r w:rsidRPr="0098030D">
        <w:rPr>
          <w:rFonts w:cs="Arial"/>
          <w:noProof/>
          <w:szCs w:val="22"/>
        </w:rPr>
        <w:t xml:space="preserve"> plus prednisone or prednisolone and 70 years for patients treated with placebo plus prednisone or prednisolone. </w:t>
      </w:r>
      <w:r>
        <w:rPr>
          <w:rFonts w:cs="Arial"/>
          <w:noProof/>
          <w:szCs w:val="22"/>
        </w:rPr>
        <w:t xml:space="preserve"> </w:t>
      </w:r>
      <w:r w:rsidRPr="0098030D">
        <w:rPr>
          <w:rFonts w:cs="Arial"/>
          <w:noProof/>
          <w:szCs w:val="22"/>
        </w:rPr>
        <w:t xml:space="preserve">The ECOG performance status was 0 for 76% of patients, and 1 for 24% of patients in both arms. </w:t>
      </w:r>
      <w:r>
        <w:rPr>
          <w:rFonts w:cs="Arial"/>
          <w:noProof/>
          <w:szCs w:val="22"/>
        </w:rPr>
        <w:t xml:space="preserve"> </w:t>
      </w:r>
      <w:r w:rsidRPr="0098030D">
        <w:rPr>
          <w:rFonts w:cs="Arial"/>
          <w:noProof/>
          <w:szCs w:val="22"/>
        </w:rPr>
        <w:t>Co-primary efficacy endpoints were overall survival and radiographic progression-free survival (rPFS).</w:t>
      </w:r>
      <w:r>
        <w:rPr>
          <w:rFonts w:cs="Arial"/>
          <w:noProof/>
          <w:szCs w:val="22"/>
        </w:rPr>
        <w:t xml:space="preserve"> </w:t>
      </w:r>
      <w:r w:rsidRPr="0098030D">
        <w:rPr>
          <w:rFonts w:cs="Arial"/>
          <w:noProof/>
          <w:szCs w:val="22"/>
        </w:rPr>
        <w:t xml:space="preserve"> In addition to the co-primary endpoint measures, benefit was also assessed using time to opiate use for cancer pain, time to initiation of cytotoxic chemotherapy, time to deterioration in ECOG performance score by ≥ 1 point and time to PSA progression based on Prostate Cancer Working Group-2 (PCWG2) criteria.</w:t>
      </w:r>
      <w:r>
        <w:rPr>
          <w:rFonts w:cs="Arial"/>
          <w:noProof/>
          <w:szCs w:val="22"/>
        </w:rPr>
        <w:t xml:space="preserve">  </w:t>
      </w:r>
    </w:p>
    <w:p w:rsidR="0098030D" w:rsidRPr="0098030D" w:rsidRDefault="0098030D" w:rsidP="0098030D">
      <w:pPr>
        <w:jc w:val="left"/>
        <w:rPr>
          <w:rFonts w:cs="Arial"/>
          <w:noProof/>
          <w:szCs w:val="22"/>
        </w:rPr>
      </w:pPr>
    </w:p>
    <w:p w:rsidR="0098030D" w:rsidRDefault="001F4E56" w:rsidP="0098030D">
      <w:pPr>
        <w:jc w:val="left"/>
        <w:rPr>
          <w:rFonts w:cs="Arial"/>
          <w:noProof/>
          <w:szCs w:val="22"/>
        </w:rPr>
      </w:pPr>
      <w:r>
        <w:rPr>
          <w:rFonts w:cs="Arial"/>
          <w:noProof/>
          <w:szCs w:val="22"/>
        </w:rPr>
        <w:t xml:space="preserve">In </w:t>
      </w:r>
      <w:r w:rsidRPr="0098030D">
        <w:rPr>
          <w:rFonts w:cs="Arial"/>
          <w:noProof/>
          <w:szCs w:val="22"/>
        </w:rPr>
        <w:t xml:space="preserve">study </w:t>
      </w:r>
      <w:r w:rsidR="0098030D" w:rsidRPr="0098030D">
        <w:rPr>
          <w:rFonts w:cs="Arial"/>
          <w:noProof/>
          <w:szCs w:val="22"/>
        </w:rPr>
        <w:t>302</w:t>
      </w:r>
      <w:r>
        <w:rPr>
          <w:rFonts w:cs="Arial"/>
          <w:noProof/>
          <w:szCs w:val="22"/>
        </w:rPr>
        <w:t>,</w:t>
      </w:r>
      <w:r w:rsidR="0098030D" w:rsidRPr="0098030D">
        <w:rPr>
          <w:rFonts w:cs="Arial"/>
          <w:noProof/>
          <w:szCs w:val="22"/>
        </w:rPr>
        <w:t xml:space="preserve"> treatments were discontinued at the time of unequivocal clinical progression. </w:t>
      </w:r>
      <w:r w:rsidR="0098030D">
        <w:rPr>
          <w:rFonts w:cs="Arial"/>
          <w:noProof/>
          <w:szCs w:val="22"/>
        </w:rPr>
        <w:t xml:space="preserve"> </w:t>
      </w:r>
      <w:r w:rsidR="0098030D" w:rsidRPr="0098030D">
        <w:rPr>
          <w:rFonts w:cs="Arial"/>
          <w:noProof/>
          <w:szCs w:val="22"/>
        </w:rPr>
        <w:t>Treatments could also be discontinued at the time of confirmed radiographic progression at the discretion of the investigator.</w:t>
      </w:r>
      <w:r w:rsidR="0098030D">
        <w:rPr>
          <w:rFonts w:cs="Arial"/>
          <w:noProof/>
          <w:szCs w:val="22"/>
        </w:rPr>
        <w:t xml:space="preserve">  </w:t>
      </w:r>
      <w:r w:rsidR="002D562F" w:rsidRPr="002D562F">
        <w:rPr>
          <w:rFonts w:cs="Arial"/>
          <w:noProof/>
          <w:szCs w:val="22"/>
        </w:rPr>
        <w:t xml:space="preserve">Patients should not be discontinued based on PSA progression alone and should remain on treatment until fully confirmed clinical progression utilising multiple assessment criteria.  </w:t>
      </w:r>
    </w:p>
    <w:p w:rsidR="002D130F" w:rsidRDefault="002D130F" w:rsidP="00CD5591">
      <w:pPr>
        <w:jc w:val="left"/>
        <w:rPr>
          <w:rFonts w:cs="Arial"/>
          <w:noProof/>
          <w:szCs w:val="22"/>
        </w:rPr>
      </w:pPr>
    </w:p>
    <w:p w:rsidR="0098030D" w:rsidRDefault="0098030D" w:rsidP="00CD5591">
      <w:pPr>
        <w:jc w:val="left"/>
        <w:rPr>
          <w:rFonts w:cs="Arial"/>
          <w:noProof/>
          <w:szCs w:val="22"/>
        </w:rPr>
      </w:pPr>
      <w:r w:rsidRPr="0098030D">
        <w:rPr>
          <w:rFonts w:cs="Arial"/>
          <w:noProof/>
          <w:szCs w:val="22"/>
        </w:rPr>
        <w:t xml:space="preserve">Radiographic progression free survival was assessed with the use of sequential imaging studies as defined by PCWG2 criteria (for bone lesions) and modified Response Evaluation Criteria In Solid Tumors (RECIST) criteria (for soft tissue lesions). </w:t>
      </w:r>
      <w:r>
        <w:rPr>
          <w:rFonts w:cs="Arial"/>
          <w:noProof/>
          <w:szCs w:val="22"/>
        </w:rPr>
        <w:t xml:space="preserve"> </w:t>
      </w:r>
      <w:r w:rsidR="00847799" w:rsidRPr="00847799">
        <w:rPr>
          <w:rFonts w:cs="Arial"/>
          <w:noProof/>
          <w:szCs w:val="22"/>
        </w:rPr>
        <w:t xml:space="preserve">PCWG2 criteria require a confirmatory bone scan to document progression. </w:t>
      </w:r>
      <w:r w:rsidR="00847799">
        <w:rPr>
          <w:rFonts w:cs="Arial"/>
          <w:noProof/>
          <w:szCs w:val="22"/>
        </w:rPr>
        <w:t xml:space="preserve"> </w:t>
      </w:r>
      <w:r w:rsidRPr="0098030D">
        <w:rPr>
          <w:rFonts w:cs="Arial"/>
          <w:noProof/>
          <w:szCs w:val="22"/>
        </w:rPr>
        <w:t>Analysis of rPFS utilized centrally-reviewed radiographic assessment of progression.</w:t>
      </w:r>
      <w:r>
        <w:rPr>
          <w:rFonts w:cs="Arial"/>
          <w:noProof/>
          <w:szCs w:val="22"/>
        </w:rPr>
        <w:t xml:space="preserve">  </w:t>
      </w:r>
    </w:p>
    <w:p w:rsidR="0098030D" w:rsidRDefault="0098030D" w:rsidP="00CD5591">
      <w:pPr>
        <w:jc w:val="left"/>
        <w:rPr>
          <w:rFonts w:cs="Arial"/>
          <w:noProof/>
          <w:szCs w:val="22"/>
        </w:rPr>
      </w:pPr>
    </w:p>
    <w:p w:rsidR="0098030D" w:rsidRDefault="002048A4" w:rsidP="00CD5591">
      <w:pPr>
        <w:jc w:val="left"/>
        <w:rPr>
          <w:rFonts w:cs="Arial"/>
          <w:noProof/>
          <w:szCs w:val="22"/>
        </w:rPr>
      </w:pPr>
      <w:r w:rsidRPr="002048A4">
        <w:rPr>
          <w:rFonts w:cs="Arial"/>
          <w:noProof/>
          <w:szCs w:val="22"/>
        </w:rPr>
        <w:lastRenderedPageBreak/>
        <w:t xml:space="preserve">At the planned rPFS analysis there were 401 radiographic progression events; 150 (28%) of patients treated with </w:t>
      </w:r>
      <w:r>
        <w:rPr>
          <w:rFonts w:cs="Arial"/>
          <w:noProof/>
          <w:szCs w:val="22"/>
        </w:rPr>
        <w:t>abiraterone</w:t>
      </w:r>
      <w:r w:rsidRPr="002048A4">
        <w:rPr>
          <w:rFonts w:cs="Arial"/>
          <w:noProof/>
          <w:szCs w:val="22"/>
        </w:rPr>
        <w:t xml:space="preserve"> and 251 (46%) of patients treated with placebo had radiographic evidence of progression</w:t>
      </w:r>
      <w:r w:rsidR="00D24165">
        <w:rPr>
          <w:rFonts w:cs="Arial"/>
          <w:noProof/>
          <w:szCs w:val="22"/>
        </w:rPr>
        <w:t xml:space="preserve"> or had died</w:t>
      </w:r>
      <w:r w:rsidRPr="002048A4">
        <w:rPr>
          <w:rFonts w:cs="Arial"/>
          <w:noProof/>
          <w:szCs w:val="22"/>
        </w:rPr>
        <w:t xml:space="preserve">. </w:t>
      </w:r>
      <w:r>
        <w:rPr>
          <w:rFonts w:cs="Arial"/>
          <w:noProof/>
          <w:szCs w:val="22"/>
        </w:rPr>
        <w:t xml:space="preserve"> </w:t>
      </w:r>
      <w:r w:rsidRPr="002048A4">
        <w:rPr>
          <w:rFonts w:cs="Arial"/>
          <w:noProof/>
          <w:szCs w:val="22"/>
        </w:rPr>
        <w:t xml:space="preserve">A significant difference in rPFS between treatment groups was observed (see Table </w:t>
      </w:r>
      <w:r>
        <w:rPr>
          <w:rFonts w:cs="Arial"/>
          <w:noProof/>
          <w:szCs w:val="22"/>
        </w:rPr>
        <w:t>1</w:t>
      </w:r>
      <w:r w:rsidRPr="002048A4">
        <w:rPr>
          <w:rFonts w:cs="Arial"/>
          <w:noProof/>
          <w:szCs w:val="22"/>
        </w:rPr>
        <w:t xml:space="preserve"> and Figure </w:t>
      </w:r>
      <w:r w:rsidRPr="007100AB">
        <w:rPr>
          <w:rFonts w:cs="Arial"/>
          <w:noProof/>
          <w:szCs w:val="22"/>
        </w:rPr>
        <w:t>1</w:t>
      </w:r>
      <w:r w:rsidRPr="002048A4">
        <w:rPr>
          <w:rFonts w:cs="Arial"/>
          <w:noProof/>
          <w:szCs w:val="22"/>
        </w:rPr>
        <w:t>).</w:t>
      </w:r>
      <w:r>
        <w:rPr>
          <w:rFonts w:cs="Arial"/>
          <w:noProof/>
          <w:szCs w:val="22"/>
        </w:rPr>
        <w:t xml:space="preserve">  </w:t>
      </w:r>
    </w:p>
    <w:p w:rsidR="00D70E0B" w:rsidRDefault="00D70E0B" w:rsidP="002048A4">
      <w:pPr>
        <w:jc w:val="left"/>
        <w:rPr>
          <w:b/>
          <w:noProof/>
          <w:szCs w:val="22"/>
        </w:rPr>
      </w:pPr>
    </w:p>
    <w:p w:rsidR="002048A4" w:rsidRDefault="002048A4" w:rsidP="002048A4">
      <w:pPr>
        <w:jc w:val="left"/>
        <w:rPr>
          <w:b/>
          <w:noProof/>
          <w:szCs w:val="22"/>
        </w:rPr>
      </w:pPr>
      <w:r>
        <w:rPr>
          <w:b/>
          <w:noProof/>
          <w:szCs w:val="22"/>
        </w:rPr>
        <w:t>Table 1</w:t>
      </w:r>
      <w:r w:rsidRPr="00A37F44">
        <w:rPr>
          <w:b/>
          <w:noProof/>
          <w:szCs w:val="22"/>
        </w:rPr>
        <w:t xml:space="preserve">: </w:t>
      </w:r>
      <w:r w:rsidRPr="002048A4">
        <w:rPr>
          <w:b/>
          <w:noProof/>
          <w:szCs w:val="22"/>
        </w:rPr>
        <w:t>Study 302: Radiographic Progression-free Sur</w:t>
      </w:r>
      <w:r>
        <w:rPr>
          <w:b/>
          <w:noProof/>
          <w:szCs w:val="22"/>
        </w:rPr>
        <w:t>vival of patients treated with e</w:t>
      </w:r>
      <w:r w:rsidRPr="002048A4">
        <w:rPr>
          <w:b/>
          <w:noProof/>
          <w:szCs w:val="22"/>
        </w:rPr>
        <w:t>ither</w:t>
      </w:r>
    </w:p>
    <w:p w:rsidR="002048A4" w:rsidRDefault="002048A4" w:rsidP="00BB7046">
      <w:pPr>
        <w:ind w:firstLine="851"/>
        <w:jc w:val="left"/>
        <w:rPr>
          <w:b/>
          <w:noProof/>
          <w:szCs w:val="22"/>
        </w:rPr>
      </w:pPr>
      <w:r>
        <w:rPr>
          <w:b/>
          <w:noProof/>
          <w:szCs w:val="22"/>
        </w:rPr>
        <w:t xml:space="preserve">abiraterone or placebo in combination with prednisone or prednisolone plus </w:t>
      </w:r>
    </w:p>
    <w:p w:rsidR="002048A4" w:rsidRDefault="002048A4" w:rsidP="00BB7046">
      <w:pPr>
        <w:ind w:left="131" w:firstLine="720"/>
        <w:jc w:val="left"/>
        <w:rPr>
          <w:b/>
          <w:noProof/>
          <w:szCs w:val="22"/>
        </w:rPr>
      </w:pPr>
      <w:r>
        <w:rPr>
          <w:b/>
          <w:noProof/>
          <w:szCs w:val="22"/>
        </w:rPr>
        <w:t>LHRH agonists or prior o</w:t>
      </w:r>
      <w:r w:rsidRPr="002048A4">
        <w:rPr>
          <w:b/>
          <w:noProof/>
          <w:szCs w:val="22"/>
        </w:rPr>
        <w:t>rchiectomy</w:t>
      </w:r>
    </w:p>
    <w:p w:rsidR="002048A4" w:rsidRDefault="002048A4" w:rsidP="002048A4">
      <w:pPr>
        <w:jc w:val="left"/>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191"/>
        <w:gridCol w:w="3191"/>
      </w:tblGrid>
      <w:tr w:rsidR="002048A4" w:rsidRPr="00607DF0" w:rsidTr="002048A4">
        <w:tc>
          <w:tcPr>
            <w:tcW w:w="3191" w:type="dxa"/>
          </w:tcPr>
          <w:p w:rsidR="002048A4" w:rsidRPr="00607DF0" w:rsidRDefault="002048A4" w:rsidP="002048A4">
            <w:pPr>
              <w:jc w:val="left"/>
              <w:rPr>
                <w:noProof/>
                <w:szCs w:val="22"/>
              </w:rPr>
            </w:pPr>
          </w:p>
        </w:tc>
        <w:tc>
          <w:tcPr>
            <w:tcW w:w="3191" w:type="dxa"/>
          </w:tcPr>
          <w:p w:rsidR="002048A4" w:rsidRDefault="002048A4" w:rsidP="002048A4">
            <w:pPr>
              <w:jc w:val="center"/>
            </w:pPr>
            <w:r>
              <w:t>ABIRATERONE</w:t>
            </w:r>
          </w:p>
          <w:p w:rsidR="002048A4" w:rsidRPr="00B22D72" w:rsidRDefault="002048A4" w:rsidP="002048A4">
            <w:pPr>
              <w:jc w:val="center"/>
            </w:pPr>
            <w:r>
              <w:t>(N=546)</w:t>
            </w:r>
          </w:p>
        </w:tc>
        <w:tc>
          <w:tcPr>
            <w:tcW w:w="3191" w:type="dxa"/>
          </w:tcPr>
          <w:p w:rsidR="002048A4" w:rsidRDefault="002048A4" w:rsidP="002048A4">
            <w:pPr>
              <w:jc w:val="center"/>
            </w:pPr>
            <w:r w:rsidRPr="00B22D72">
              <w:t>PLACEBO</w:t>
            </w:r>
          </w:p>
          <w:p w:rsidR="002048A4" w:rsidRPr="00B22D72" w:rsidRDefault="002048A4" w:rsidP="002048A4">
            <w:pPr>
              <w:jc w:val="center"/>
            </w:pPr>
            <w:r w:rsidRPr="00BD2BAD">
              <w:t>(N=</w:t>
            </w:r>
            <w:r>
              <w:t>542</w:t>
            </w:r>
            <w:r w:rsidRPr="00BD2BAD">
              <w:t>)</w:t>
            </w:r>
          </w:p>
        </w:tc>
      </w:tr>
      <w:tr w:rsidR="002048A4" w:rsidRPr="00607DF0" w:rsidTr="002048A4">
        <w:tc>
          <w:tcPr>
            <w:tcW w:w="3191" w:type="dxa"/>
          </w:tcPr>
          <w:p w:rsidR="002048A4" w:rsidRPr="002048A4" w:rsidRDefault="002048A4" w:rsidP="002048A4">
            <w:pPr>
              <w:jc w:val="center"/>
              <w:rPr>
                <w:b/>
              </w:rPr>
            </w:pPr>
            <w:r w:rsidRPr="002048A4">
              <w:rPr>
                <w:b/>
              </w:rPr>
              <w:t>Radiographic Progression-free-Survival (rPFS)</w:t>
            </w:r>
          </w:p>
        </w:tc>
        <w:tc>
          <w:tcPr>
            <w:tcW w:w="3191" w:type="dxa"/>
          </w:tcPr>
          <w:p w:rsidR="002048A4" w:rsidRPr="00443CA9" w:rsidRDefault="002048A4" w:rsidP="002048A4">
            <w:pPr>
              <w:jc w:val="center"/>
            </w:pPr>
          </w:p>
        </w:tc>
        <w:tc>
          <w:tcPr>
            <w:tcW w:w="3191" w:type="dxa"/>
          </w:tcPr>
          <w:p w:rsidR="002048A4" w:rsidRPr="00443CA9" w:rsidRDefault="002048A4" w:rsidP="002048A4">
            <w:pPr>
              <w:jc w:val="center"/>
            </w:pPr>
          </w:p>
        </w:tc>
      </w:tr>
      <w:tr w:rsidR="002048A4" w:rsidRPr="00607DF0" w:rsidTr="002048A4">
        <w:tc>
          <w:tcPr>
            <w:tcW w:w="3191" w:type="dxa"/>
          </w:tcPr>
          <w:p w:rsidR="002048A4" w:rsidRPr="00443CA9" w:rsidRDefault="002048A4" w:rsidP="002048A4">
            <w:pPr>
              <w:jc w:val="center"/>
            </w:pPr>
            <w:r>
              <w:t>Progression or death</w:t>
            </w:r>
          </w:p>
        </w:tc>
        <w:tc>
          <w:tcPr>
            <w:tcW w:w="3191" w:type="dxa"/>
          </w:tcPr>
          <w:p w:rsidR="002048A4" w:rsidRPr="00443CA9" w:rsidRDefault="002048A4" w:rsidP="002048A4">
            <w:pPr>
              <w:jc w:val="center"/>
            </w:pPr>
            <w:r>
              <w:t>150</w:t>
            </w:r>
            <w:r w:rsidRPr="00443CA9">
              <w:t xml:space="preserve"> (</w:t>
            </w:r>
            <w:r>
              <w:t>28</w:t>
            </w:r>
            <w:r w:rsidRPr="00443CA9">
              <w:t>%)</w:t>
            </w:r>
          </w:p>
        </w:tc>
        <w:tc>
          <w:tcPr>
            <w:tcW w:w="3191" w:type="dxa"/>
          </w:tcPr>
          <w:p w:rsidR="002048A4" w:rsidRDefault="002048A4" w:rsidP="002048A4">
            <w:pPr>
              <w:jc w:val="center"/>
            </w:pPr>
            <w:r w:rsidRPr="00443CA9">
              <w:t>2</w:t>
            </w:r>
            <w:r>
              <w:t>51</w:t>
            </w:r>
            <w:r w:rsidRPr="00443CA9">
              <w:t xml:space="preserve"> (</w:t>
            </w:r>
            <w:r>
              <w:t>46</w:t>
            </w:r>
            <w:r w:rsidRPr="00443CA9">
              <w:t>%)</w:t>
            </w:r>
          </w:p>
        </w:tc>
      </w:tr>
      <w:tr w:rsidR="002048A4" w:rsidRPr="00607DF0" w:rsidTr="002048A4">
        <w:tc>
          <w:tcPr>
            <w:tcW w:w="3191" w:type="dxa"/>
          </w:tcPr>
          <w:p w:rsidR="002048A4" w:rsidRDefault="002048A4" w:rsidP="002048A4">
            <w:pPr>
              <w:jc w:val="center"/>
            </w:pPr>
            <w:r w:rsidRPr="0087544B">
              <w:t xml:space="preserve">Median </w:t>
            </w:r>
            <w:r>
              <w:t>rPFS</w:t>
            </w:r>
            <w:r w:rsidRPr="0087544B">
              <w:t xml:space="preserve"> in months</w:t>
            </w:r>
          </w:p>
          <w:p w:rsidR="002048A4" w:rsidRPr="0087544B" w:rsidRDefault="002048A4" w:rsidP="002048A4">
            <w:pPr>
              <w:jc w:val="center"/>
            </w:pPr>
            <w:r w:rsidRPr="0087544B">
              <w:t>(95% CI)</w:t>
            </w:r>
          </w:p>
        </w:tc>
        <w:tc>
          <w:tcPr>
            <w:tcW w:w="3191" w:type="dxa"/>
          </w:tcPr>
          <w:p w:rsidR="002048A4" w:rsidRDefault="002048A4" w:rsidP="002048A4">
            <w:pPr>
              <w:jc w:val="center"/>
            </w:pPr>
            <w:r>
              <w:t>Not reached</w:t>
            </w:r>
            <w:r w:rsidRPr="0087544B">
              <w:t xml:space="preserve"> (</w:t>
            </w:r>
            <w:r>
              <w:t>11.6</w:t>
            </w:r>
            <w:r w:rsidR="00703867">
              <w:t>,</w:t>
            </w:r>
            <w:r w:rsidRPr="0087544B">
              <w:t xml:space="preserve"> </w:t>
            </w:r>
            <w:r>
              <w:t>NE</w:t>
            </w:r>
            <w:r w:rsidRPr="0087544B">
              <w:t>)</w:t>
            </w:r>
          </w:p>
        </w:tc>
        <w:tc>
          <w:tcPr>
            <w:tcW w:w="3191" w:type="dxa"/>
          </w:tcPr>
          <w:p w:rsidR="002048A4" w:rsidRDefault="002048A4" w:rsidP="002048A4">
            <w:pPr>
              <w:jc w:val="center"/>
            </w:pPr>
            <w:r>
              <w:t>8.3</w:t>
            </w:r>
            <w:r w:rsidRPr="0087544B">
              <w:t xml:space="preserve"> (</w:t>
            </w:r>
            <w:r>
              <w:t>8.1</w:t>
            </w:r>
            <w:r w:rsidRPr="0087544B">
              <w:t xml:space="preserve">2, </w:t>
            </w:r>
            <w:r>
              <w:t>8.54</w:t>
            </w:r>
            <w:r w:rsidRPr="0087544B">
              <w:t>)</w:t>
            </w:r>
          </w:p>
        </w:tc>
      </w:tr>
      <w:tr w:rsidR="002048A4" w:rsidRPr="00607DF0" w:rsidTr="002048A4">
        <w:tc>
          <w:tcPr>
            <w:tcW w:w="3191" w:type="dxa"/>
          </w:tcPr>
          <w:p w:rsidR="002048A4" w:rsidRPr="009C5005" w:rsidRDefault="002048A4" w:rsidP="002048A4">
            <w:pPr>
              <w:jc w:val="center"/>
            </w:pPr>
            <w:r w:rsidRPr="009C5005">
              <w:t>p value</w:t>
            </w:r>
            <w:r w:rsidR="00703867" w:rsidRPr="00703867">
              <w:rPr>
                <w:vertAlign w:val="superscript"/>
              </w:rPr>
              <w:t>*</w:t>
            </w:r>
          </w:p>
        </w:tc>
        <w:tc>
          <w:tcPr>
            <w:tcW w:w="3191" w:type="dxa"/>
          </w:tcPr>
          <w:p w:rsidR="002048A4" w:rsidRPr="009C5005" w:rsidRDefault="002048A4" w:rsidP="002048A4">
            <w:pPr>
              <w:jc w:val="center"/>
            </w:pPr>
            <w:r w:rsidRPr="009C5005">
              <w:t>&lt; 0.0001</w:t>
            </w:r>
          </w:p>
        </w:tc>
        <w:tc>
          <w:tcPr>
            <w:tcW w:w="3191" w:type="dxa"/>
          </w:tcPr>
          <w:p w:rsidR="002048A4" w:rsidRPr="00607DF0" w:rsidRDefault="002048A4" w:rsidP="002048A4">
            <w:pPr>
              <w:jc w:val="center"/>
              <w:rPr>
                <w:noProof/>
                <w:szCs w:val="22"/>
              </w:rPr>
            </w:pPr>
          </w:p>
        </w:tc>
      </w:tr>
      <w:tr w:rsidR="002048A4" w:rsidRPr="00607DF0" w:rsidTr="002048A4">
        <w:tc>
          <w:tcPr>
            <w:tcW w:w="3191" w:type="dxa"/>
          </w:tcPr>
          <w:p w:rsidR="002048A4" w:rsidRPr="00607DF0" w:rsidRDefault="002048A4" w:rsidP="002048A4">
            <w:pPr>
              <w:jc w:val="center"/>
              <w:rPr>
                <w:noProof/>
                <w:szCs w:val="22"/>
              </w:rPr>
            </w:pPr>
            <w:r w:rsidRPr="00607DF0">
              <w:rPr>
                <w:noProof/>
                <w:szCs w:val="22"/>
              </w:rPr>
              <w:t>Hazard ratio</w:t>
            </w:r>
            <w:r w:rsidRPr="00F53F58">
              <w:rPr>
                <w:noProof/>
                <w:szCs w:val="22"/>
                <w:vertAlign w:val="superscript"/>
              </w:rPr>
              <w:t>*</w:t>
            </w:r>
            <w:r w:rsidR="00F53F58" w:rsidRPr="00F53F58">
              <w:rPr>
                <w:noProof/>
                <w:szCs w:val="22"/>
                <w:vertAlign w:val="superscript"/>
              </w:rPr>
              <w:t>*</w:t>
            </w:r>
          </w:p>
          <w:p w:rsidR="002048A4" w:rsidRPr="00607DF0" w:rsidRDefault="002048A4" w:rsidP="002048A4">
            <w:pPr>
              <w:jc w:val="center"/>
              <w:rPr>
                <w:noProof/>
                <w:szCs w:val="22"/>
              </w:rPr>
            </w:pPr>
            <w:r w:rsidRPr="00607DF0">
              <w:rPr>
                <w:noProof/>
                <w:szCs w:val="22"/>
              </w:rPr>
              <w:t>(95% CI)</w:t>
            </w:r>
          </w:p>
        </w:tc>
        <w:tc>
          <w:tcPr>
            <w:tcW w:w="3191" w:type="dxa"/>
          </w:tcPr>
          <w:p w:rsidR="002048A4" w:rsidRPr="00607DF0" w:rsidRDefault="002048A4" w:rsidP="002048A4">
            <w:pPr>
              <w:jc w:val="center"/>
              <w:rPr>
                <w:noProof/>
                <w:szCs w:val="22"/>
              </w:rPr>
            </w:pPr>
            <w:r w:rsidRPr="00607DF0">
              <w:rPr>
                <w:noProof/>
                <w:szCs w:val="22"/>
              </w:rPr>
              <w:t>0.</w:t>
            </w:r>
            <w:r>
              <w:rPr>
                <w:noProof/>
                <w:szCs w:val="22"/>
              </w:rPr>
              <w:t>425</w:t>
            </w:r>
            <w:r w:rsidRPr="00607DF0">
              <w:rPr>
                <w:noProof/>
                <w:szCs w:val="22"/>
              </w:rPr>
              <w:t xml:space="preserve"> (0.</w:t>
            </w:r>
            <w:r>
              <w:rPr>
                <w:noProof/>
                <w:szCs w:val="22"/>
              </w:rPr>
              <w:t>347</w:t>
            </w:r>
            <w:r w:rsidRPr="00607DF0">
              <w:rPr>
                <w:noProof/>
                <w:szCs w:val="22"/>
              </w:rPr>
              <w:t>, 0.</w:t>
            </w:r>
            <w:r>
              <w:rPr>
                <w:noProof/>
                <w:szCs w:val="22"/>
              </w:rPr>
              <w:t>522</w:t>
            </w:r>
            <w:r w:rsidRPr="00607DF0">
              <w:rPr>
                <w:noProof/>
                <w:szCs w:val="22"/>
              </w:rPr>
              <w:t>)</w:t>
            </w:r>
          </w:p>
        </w:tc>
        <w:tc>
          <w:tcPr>
            <w:tcW w:w="3191" w:type="dxa"/>
          </w:tcPr>
          <w:p w:rsidR="002048A4" w:rsidRPr="00607DF0" w:rsidRDefault="002048A4" w:rsidP="002048A4">
            <w:pPr>
              <w:jc w:val="center"/>
              <w:rPr>
                <w:noProof/>
                <w:szCs w:val="22"/>
              </w:rPr>
            </w:pPr>
          </w:p>
        </w:tc>
      </w:tr>
      <w:tr w:rsidR="002048A4" w:rsidRPr="00607DF0" w:rsidTr="002048A4">
        <w:tc>
          <w:tcPr>
            <w:tcW w:w="9573" w:type="dxa"/>
            <w:gridSpan w:val="3"/>
            <w:tcBorders>
              <w:left w:val="nil"/>
              <w:bottom w:val="nil"/>
              <w:right w:val="nil"/>
            </w:tcBorders>
          </w:tcPr>
          <w:p w:rsidR="00703867" w:rsidRDefault="00703867" w:rsidP="002048A4">
            <w:pPr>
              <w:jc w:val="left"/>
              <w:rPr>
                <w:noProof/>
                <w:sz w:val="18"/>
                <w:szCs w:val="18"/>
              </w:rPr>
            </w:pPr>
            <w:r w:rsidRPr="00703867">
              <w:rPr>
                <w:noProof/>
                <w:sz w:val="18"/>
                <w:szCs w:val="18"/>
              </w:rPr>
              <w:t>NE =</w:t>
            </w:r>
            <w:r>
              <w:rPr>
                <w:noProof/>
                <w:sz w:val="18"/>
                <w:szCs w:val="18"/>
              </w:rPr>
              <w:t xml:space="preserve"> </w:t>
            </w:r>
            <w:r w:rsidRPr="00703867">
              <w:rPr>
                <w:noProof/>
                <w:sz w:val="18"/>
                <w:szCs w:val="18"/>
              </w:rPr>
              <w:t>Not estimated</w:t>
            </w:r>
          </w:p>
          <w:p w:rsidR="00703867" w:rsidRPr="00703867" w:rsidRDefault="00703867" w:rsidP="00703867">
            <w:pPr>
              <w:jc w:val="left"/>
              <w:rPr>
                <w:noProof/>
                <w:sz w:val="18"/>
                <w:szCs w:val="18"/>
              </w:rPr>
            </w:pPr>
            <w:r w:rsidRPr="00703867">
              <w:rPr>
                <w:noProof/>
                <w:sz w:val="18"/>
                <w:szCs w:val="18"/>
                <w:vertAlign w:val="superscript"/>
              </w:rPr>
              <w:t>*</w:t>
            </w:r>
            <w:r>
              <w:rPr>
                <w:noProof/>
                <w:sz w:val="18"/>
                <w:szCs w:val="18"/>
              </w:rPr>
              <w:t>P value is derived from a log-rank test stratified by baseline ECOG score (0 or 1)</w:t>
            </w:r>
          </w:p>
          <w:p w:rsidR="002048A4" w:rsidRPr="00607DF0" w:rsidRDefault="002048A4" w:rsidP="002048A4">
            <w:pPr>
              <w:jc w:val="left"/>
              <w:rPr>
                <w:noProof/>
                <w:sz w:val="18"/>
                <w:szCs w:val="18"/>
              </w:rPr>
            </w:pPr>
            <w:r w:rsidRPr="00703867">
              <w:rPr>
                <w:noProof/>
                <w:sz w:val="18"/>
                <w:szCs w:val="18"/>
                <w:vertAlign w:val="superscript"/>
              </w:rPr>
              <w:t>**</w:t>
            </w:r>
            <w:r w:rsidRPr="00607DF0">
              <w:rPr>
                <w:noProof/>
                <w:sz w:val="18"/>
                <w:szCs w:val="18"/>
              </w:rPr>
              <w:t>Hazard ratio &lt;1 favours abiraterone</w:t>
            </w:r>
          </w:p>
        </w:tc>
      </w:tr>
    </w:tbl>
    <w:p w:rsidR="003A7937" w:rsidRDefault="003A7937" w:rsidP="00CD5591">
      <w:pPr>
        <w:jc w:val="left"/>
        <w:rPr>
          <w:rFonts w:cs="Arial"/>
          <w:noProof/>
          <w:szCs w:val="22"/>
        </w:rPr>
      </w:pPr>
    </w:p>
    <w:p w:rsidR="002048A4" w:rsidRDefault="003A7937" w:rsidP="00CD5591">
      <w:pPr>
        <w:jc w:val="left"/>
        <w:rPr>
          <w:rFonts w:cs="Arial"/>
          <w:noProof/>
          <w:szCs w:val="22"/>
        </w:rPr>
      </w:pPr>
      <w:r>
        <w:rPr>
          <w:rFonts w:cs="Arial"/>
          <w:noProof/>
          <w:szCs w:val="22"/>
        </w:rPr>
        <w:br w:type="page"/>
      </w:r>
    </w:p>
    <w:p w:rsidR="007100AB" w:rsidRDefault="007100AB" w:rsidP="00CD5591">
      <w:pPr>
        <w:jc w:val="left"/>
        <w:rPr>
          <w:rFonts w:cs="Arial"/>
          <w:b/>
          <w:noProof/>
          <w:szCs w:val="22"/>
        </w:rPr>
      </w:pPr>
      <w:r>
        <w:rPr>
          <w:rFonts w:cs="Arial"/>
          <w:b/>
          <w:noProof/>
          <w:szCs w:val="22"/>
        </w:rPr>
        <w:t>Figure 1: Kaplan Meier curves of r</w:t>
      </w:r>
      <w:r w:rsidRPr="007100AB">
        <w:rPr>
          <w:rFonts w:cs="Arial"/>
          <w:b/>
          <w:noProof/>
          <w:szCs w:val="22"/>
        </w:rPr>
        <w:t xml:space="preserve">adiographic Progression-free Survival in </w:t>
      </w:r>
      <w:r>
        <w:rPr>
          <w:rFonts w:cs="Arial"/>
          <w:b/>
          <w:noProof/>
          <w:szCs w:val="22"/>
        </w:rPr>
        <w:t>p</w:t>
      </w:r>
      <w:r w:rsidRPr="007100AB">
        <w:rPr>
          <w:rFonts w:cs="Arial"/>
          <w:b/>
          <w:noProof/>
          <w:szCs w:val="22"/>
        </w:rPr>
        <w:t xml:space="preserve">atients </w:t>
      </w:r>
    </w:p>
    <w:p w:rsidR="007100AB" w:rsidRDefault="007100AB" w:rsidP="00BB7046">
      <w:pPr>
        <w:ind w:firstLine="993"/>
        <w:jc w:val="left"/>
        <w:rPr>
          <w:rFonts w:cs="Arial"/>
          <w:b/>
          <w:noProof/>
          <w:szCs w:val="22"/>
        </w:rPr>
      </w:pPr>
      <w:r>
        <w:rPr>
          <w:rFonts w:cs="Arial"/>
          <w:b/>
          <w:noProof/>
          <w:szCs w:val="22"/>
        </w:rPr>
        <w:t>treated with e</w:t>
      </w:r>
      <w:r w:rsidRPr="007100AB">
        <w:rPr>
          <w:rFonts w:cs="Arial"/>
          <w:b/>
          <w:noProof/>
          <w:szCs w:val="22"/>
        </w:rPr>
        <w:t xml:space="preserve">ither </w:t>
      </w:r>
      <w:r>
        <w:rPr>
          <w:rFonts w:cs="Arial"/>
          <w:b/>
          <w:noProof/>
          <w:szCs w:val="22"/>
        </w:rPr>
        <w:t xml:space="preserve">abiraterone or placebo in combination with prednisone or </w:t>
      </w:r>
    </w:p>
    <w:p w:rsidR="002048A4" w:rsidRPr="007100AB" w:rsidRDefault="007100AB" w:rsidP="00BB7046">
      <w:pPr>
        <w:ind w:left="273" w:firstLine="720"/>
        <w:jc w:val="left"/>
        <w:rPr>
          <w:rFonts w:cs="Arial"/>
          <w:b/>
          <w:noProof/>
          <w:szCs w:val="22"/>
        </w:rPr>
      </w:pPr>
      <w:r>
        <w:rPr>
          <w:rFonts w:cs="Arial"/>
          <w:b/>
          <w:noProof/>
          <w:szCs w:val="22"/>
        </w:rPr>
        <w:t>p</w:t>
      </w:r>
      <w:r w:rsidRPr="007100AB">
        <w:rPr>
          <w:rFonts w:cs="Arial"/>
          <w:b/>
          <w:noProof/>
          <w:szCs w:val="22"/>
        </w:rPr>
        <w:t>red</w:t>
      </w:r>
      <w:r>
        <w:rPr>
          <w:rFonts w:cs="Arial"/>
          <w:b/>
          <w:noProof/>
          <w:szCs w:val="22"/>
        </w:rPr>
        <w:t>nisolone plus LHRH Agonists or prior o</w:t>
      </w:r>
      <w:r w:rsidRPr="007100AB">
        <w:rPr>
          <w:rFonts w:cs="Arial"/>
          <w:b/>
          <w:noProof/>
          <w:szCs w:val="22"/>
        </w:rPr>
        <w:t>rchiectomy</w:t>
      </w:r>
    </w:p>
    <w:p w:rsidR="007100AB" w:rsidRDefault="007100AB" w:rsidP="00CD5591">
      <w:pPr>
        <w:jc w:val="left"/>
        <w:rPr>
          <w:rFonts w:cs="Arial"/>
          <w:noProof/>
          <w:szCs w:val="22"/>
        </w:rPr>
      </w:pPr>
    </w:p>
    <w:p w:rsidR="002048A4" w:rsidRDefault="00610263" w:rsidP="007100AB">
      <w:pPr>
        <w:jc w:val="center"/>
        <w:rPr>
          <w:rFonts w:cs="Arial"/>
          <w:noProof/>
          <w:szCs w:val="22"/>
        </w:rPr>
      </w:pPr>
      <w:r>
        <w:rPr>
          <w:noProof/>
          <w:szCs w:val="24"/>
          <w:lang w:eastAsia="en-AU"/>
        </w:rPr>
        <w:drawing>
          <wp:inline distT="0" distB="0" distL="0" distR="0">
            <wp:extent cx="4819650" cy="3619500"/>
            <wp:effectExtent l="0" t="0" r="0" b="0"/>
            <wp:docPr id="2" name="Picture 2" descr="Figure 1: Kaplan Meier curves of radiographic Progression-free Survival in patients &#10;treated with either abiraterone or placebo in combination with prednisone or &#10;prednisolone plus LHRH Agonists or prior orchiectom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Kaplan Meier curves of radiographic Progression-free Survival in patients &#10;treated with either abiraterone or placebo in combination with prednisone or &#10;prednisolone plus LHRH Agonists or prior orchiectomy&#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9650" cy="3619500"/>
                    </a:xfrm>
                    <a:prstGeom prst="rect">
                      <a:avLst/>
                    </a:prstGeom>
                    <a:noFill/>
                    <a:ln>
                      <a:noFill/>
                    </a:ln>
                  </pic:spPr>
                </pic:pic>
              </a:graphicData>
            </a:graphic>
          </wp:inline>
        </w:drawing>
      </w:r>
    </w:p>
    <w:p w:rsidR="007100AB" w:rsidRDefault="007100AB" w:rsidP="00CD5591">
      <w:pPr>
        <w:jc w:val="left"/>
        <w:rPr>
          <w:rFonts w:cs="Arial"/>
          <w:noProof/>
          <w:szCs w:val="22"/>
        </w:rPr>
      </w:pPr>
    </w:p>
    <w:p w:rsidR="004879A9" w:rsidRDefault="004879A9" w:rsidP="004879A9">
      <w:pPr>
        <w:jc w:val="left"/>
        <w:rPr>
          <w:rFonts w:cs="Arial"/>
          <w:noProof/>
          <w:szCs w:val="22"/>
        </w:rPr>
      </w:pPr>
      <w:r w:rsidRPr="004879A9">
        <w:rPr>
          <w:rFonts w:cs="Arial"/>
          <w:noProof/>
          <w:szCs w:val="22"/>
        </w:rPr>
        <w:t xml:space="preserve">Subgroup analyses of rPFS are presented in Figure </w:t>
      </w:r>
      <w:r>
        <w:rPr>
          <w:rFonts w:cs="Arial"/>
          <w:noProof/>
          <w:szCs w:val="22"/>
        </w:rPr>
        <w:t>2</w:t>
      </w:r>
      <w:r w:rsidRPr="004879A9">
        <w:rPr>
          <w:rFonts w:cs="Arial"/>
          <w:noProof/>
          <w:szCs w:val="22"/>
        </w:rPr>
        <w:t xml:space="preserve">.  The treatment effect of abiraterone on the co-primary endpoint of the independent review of rPFS was consistently favorable and highly robust across all subgroups.  </w:t>
      </w:r>
    </w:p>
    <w:p w:rsidR="004879A9" w:rsidRDefault="004879A9" w:rsidP="004879A9">
      <w:pPr>
        <w:jc w:val="left"/>
        <w:rPr>
          <w:rFonts w:cs="Arial"/>
          <w:b/>
          <w:noProof/>
          <w:szCs w:val="22"/>
        </w:rPr>
      </w:pPr>
      <w:r>
        <w:rPr>
          <w:rFonts w:cs="Arial"/>
          <w:noProof/>
          <w:szCs w:val="22"/>
        </w:rPr>
        <w:br w:type="page"/>
      </w:r>
      <w:r w:rsidRPr="004879A9">
        <w:rPr>
          <w:rFonts w:cs="Arial"/>
          <w:b/>
          <w:noProof/>
          <w:szCs w:val="22"/>
        </w:rPr>
        <w:lastRenderedPageBreak/>
        <w:t xml:space="preserve">Figure </w:t>
      </w:r>
      <w:r>
        <w:rPr>
          <w:rFonts w:cs="Arial"/>
          <w:b/>
          <w:noProof/>
          <w:szCs w:val="22"/>
        </w:rPr>
        <w:t>2</w:t>
      </w:r>
      <w:r w:rsidRPr="004879A9">
        <w:rPr>
          <w:rFonts w:cs="Arial"/>
          <w:noProof/>
          <w:szCs w:val="22"/>
        </w:rPr>
        <w:t xml:space="preserve">: </w:t>
      </w:r>
      <w:r w:rsidRPr="004879A9">
        <w:rPr>
          <w:rFonts w:cs="Arial"/>
          <w:b/>
          <w:noProof/>
          <w:szCs w:val="22"/>
        </w:rPr>
        <w:t>Radiographic Progression-Fre</w:t>
      </w:r>
      <w:r w:rsidR="001918D7">
        <w:rPr>
          <w:rFonts w:cs="Arial"/>
          <w:b/>
          <w:noProof/>
          <w:szCs w:val="22"/>
        </w:rPr>
        <w:t>e Survival by subgroup cut-off d</w:t>
      </w:r>
      <w:r w:rsidRPr="004879A9">
        <w:rPr>
          <w:rFonts w:cs="Arial"/>
          <w:b/>
          <w:noProof/>
          <w:szCs w:val="22"/>
        </w:rPr>
        <w:t xml:space="preserve">ate of </w:t>
      </w:r>
    </w:p>
    <w:p w:rsidR="004879A9" w:rsidRDefault="004879A9" w:rsidP="004879A9">
      <w:pPr>
        <w:jc w:val="left"/>
        <w:rPr>
          <w:rFonts w:cs="Arial"/>
          <w:noProof/>
          <w:szCs w:val="22"/>
        </w:rPr>
      </w:pPr>
      <w:r w:rsidRPr="004879A9">
        <w:rPr>
          <w:rFonts w:cs="Arial"/>
          <w:b/>
          <w:noProof/>
          <w:szCs w:val="22"/>
        </w:rPr>
        <w:t>20 December 2010</w:t>
      </w:r>
    </w:p>
    <w:p w:rsidR="004879A9" w:rsidRDefault="00610263" w:rsidP="004879A9">
      <w:pPr>
        <w:jc w:val="left"/>
        <w:rPr>
          <w:rFonts w:cs="Arial"/>
          <w:noProof/>
          <w:szCs w:val="22"/>
        </w:rPr>
      </w:pPr>
      <w:r>
        <w:rPr>
          <w:noProof/>
          <w:lang w:eastAsia="en-AU"/>
        </w:rPr>
        <w:drawing>
          <wp:inline distT="0" distB="0" distL="0" distR="0">
            <wp:extent cx="5943600" cy="5534025"/>
            <wp:effectExtent l="0" t="0" r="0" b="9525"/>
            <wp:docPr id="3" name="Picture 7" descr="Figure 2: Radiographic Progression-Free Survival by subgroup cut-off date of &#10;20 December 2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2: Radiographic Progression-Free Survival by subgroup cut-off date of &#10;20 December 2010&#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534025"/>
                    </a:xfrm>
                    <a:prstGeom prst="rect">
                      <a:avLst/>
                    </a:prstGeom>
                    <a:noFill/>
                    <a:ln>
                      <a:noFill/>
                    </a:ln>
                  </pic:spPr>
                </pic:pic>
              </a:graphicData>
            </a:graphic>
          </wp:inline>
        </w:drawing>
      </w:r>
    </w:p>
    <w:p w:rsidR="004879A9" w:rsidRPr="004879A9" w:rsidRDefault="004879A9" w:rsidP="004879A9">
      <w:pPr>
        <w:pStyle w:val="Dash10"/>
        <w:tabs>
          <w:tab w:val="left" w:pos="709"/>
        </w:tabs>
        <w:rPr>
          <w:rFonts w:ascii="Arial" w:hAnsi="Arial" w:cs="Arial"/>
          <w:sz w:val="18"/>
          <w:szCs w:val="18"/>
        </w:rPr>
      </w:pPr>
      <w:r w:rsidRPr="004879A9">
        <w:rPr>
          <w:rFonts w:ascii="Arial" w:hAnsi="Arial" w:cs="Arial"/>
          <w:sz w:val="18"/>
          <w:szCs w:val="18"/>
        </w:rPr>
        <w:t>The HR within each subgroup was estimated using a nonstratified Cox proportional hazard model.</w:t>
      </w:r>
    </w:p>
    <w:p w:rsidR="004879A9" w:rsidRPr="004879A9" w:rsidRDefault="004879A9" w:rsidP="004879A9">
      <w:pPr>
        <w:pStyle w:val="Dash10"/>
        <w:tabs>
          <w:tab w:val="clear" w:pos="576"/>
          <w:tab w:val="left" w:pos="709"/>
        </w:tabs>
        <w:rPr>
          <w:rFonts w:ascii="Arial" w:hAnsi="Arial" w:cs="Arial"/>
          <w:sz w:val="18"/>
          <w:szCs w:val="18"/>
        </w:rPr>
      </w:pPr>
      <w:r w:rsidRPr="004879A9">
        <w:rPr>
          <w:rFonts w:ascii="Arial" w:hAnsi="Arial" w:cs="Arial"/>
          <w:sz w:val="18"/>
          <w:szCs w:val="18"/>
        </w:rPr>
        <w:t>AA=abiraterone acetate; ALK-P=alkaline phosphatase; BPI=Brief Pain Inventory; C.I.=confidence interval; ECOG=Eastern Cooperative Oncology Group; HR=hazard ratio; LDH=lactic dehydrogenase; N.A.=North America; NE=not estimable; No.=number; PSA=prostate-specific antigen</w:t>
      </w:r>
    </w:p>
    <w:p w:rsidR="004879A9" w:rsidRDefault="004879A9" w:rsidP="004879A9">
      <w:pPr>
        <w:jc w:val="left"/>
        <w:rPr>
          <w:rFonts w:cs="Arial"/>
          <w:noProof/>
          <w:szCs w:val="22"/>
        </w:rPr>
      </w:pPr>
    </w:p>
    <w:p w:rsidR="004879A9" w:rsidRDefault="004879A9" w:rsidP="004879A9">
      <w:pPr>
        <w:jc w:val="left"/>
        <w:rPr>
          <w:rFonts w:cs="Arial"/>
          <w:noProof/>
          <w:szCs w:val="22"/>
        </w:rPr>
      </w:pPr>
      <w:r w:rsidRPr="007210B0">
        <w:rPr>
          <w:rFonts w:cs="Arial"/>
          <w:noProof/>
          <w:szCs w:val="22"/>
        </w:rPr>
        <w:t xml:space="preserve">A planned </w:t>
      </w:r>
      <w:r w:rsidR="00735149">
        <w:rPr>
          <w:rFonts w:cs="Arial"/>
          <w:noProof/>
          <w:szCs w:val="22"/>
        </w:rPr>
        <w:t xml:space="preserve">interim </w:t>
      </w:r>
      <w:r w:rsidRPr="007210B0">
        <w:rPr>
          <w:rFonts w:cs="Arial"/>
          <w:noProof/>
          <w:szCs w:val="22"/>
        </w:rPr>
        <w:t xml:space="preserve">analysis for overall survival was conducted after 333 deaths were observed. </w:t>
      </w:r>
      <w:r>
        <w:rPr>
          <w:rFonts w:cs="Arial"/>
          <w:noProof/>
          <w:szCs w:val="22"/>
        </w:rPr>
        <w:t xml:space="preserve"> </w:t>
      </w:r>
      <w:r w:rsidRPr="007210B0">
        <w:rPr>
          <w:rFonts w:cs="Arial"/>
          <w:noProof/>
          <w:szCs w:val="22"/>
        </w:rPr>
        <w:t>The study was unblinded</w:t>
      </w:r>
      <w:r w:rsidR="00086A53">
        <w:rPr>
          <w:rFonts w:cs="Arial"/>
          <w:noProof/>
          <w:szCs w:val="22"/>
        </w:rPr>
        <w:t>,</w:t>
      </w:r>
      <w:r w:rsidR="00086A53" w:rsidRPr="00086A53">
        <w:t xml:space="preserve"> </w:t>
      </w:r>
      <w:r w:rsidR="00086A53" w:rsidRPr="00086A53">
        <w:rPr>
          <w:rFonts w:cs="Arial"/>
          <w:noProof/>
          <w:szCs w:val="22"/>
        </w:rPr>
        <w:t>following the recomme</w:t>
      </w:r>
      <w:r w:rsidR="00086A53">
        <w:rPr>
          <w:rFonts w:cs="Arial"/>
          <w:noProof/>
          <w:szCs w:val="22"/>
        </w:rPr>
        <w:t>ndation of the Independent Data</w:t>
      </w:r>
      <w:r w:rsidR="00086A53" w:rsidRPr="00086A53">
        <w:rPr>
          <w:rFonts w:cs="Arial"/>
          <w:noProof/>
          <w:szCs w:val="22"/>
        </w:rPr>
        <w:t xml:space="preserve"> Monitoring Committee (IDMC)</w:t>
      </w:r>
      <w:r w:rsidR="00086A53">
        <w:rPr>
          <w:rFonts w:cs="Arial"/>
          <w:noProof/>
          <w:szCs w:val="22"/>
        </w:rPr>
        <w:t>,</w:t>
      </w:r>
      <w:r w:rsidRPr="007210B0">
        <w:rPr>
          <w:rFonts w:cs="Arial"/>
          <w:noProof/>
          <w:szCs w:val="22"/>
        </w:rPr>
        <w:t xml:space="preserve"> based on the magnitude of clinical benefit observed. </w:t>
      </w:r>
      <w:r>
        <w:rPr>
          <w:rFonts w:cs="Arial"/>
          <w:noProof/>
          <w:szCs w:val="22"/>
        </w:rPr>
        <w:t xml:space="preserve"> </w:t>
      </w:r>
      <w:r w:rsidRPr="007210B0">
        <w:rPr>
          <w:rFonts w:cs="Arial"/>
          <w:noProof/>
          <w:szCs w:val="22"/>
        </w:rPr>
        <w:t xml:space="preserve">Twenty seven percent (147 of 546) of patients treated with </w:t>
      </w:r>
      <w:r>
        <w:rPr>
          <w:rFonts w:cs="Arial"/>
          <w:noProof/>
          <w:szCs w:val="22"/>
        </w:rPr>
        <w:t>abiraterone</w:t>
      </w:r>
      <w:r w:rsidRPr="007210B0">
        <w:rPr>
          <w:rFonts w:cs="Arial"/>
          <w:noProof/>
          <w:szCs w:val="22"/>
        </w:rPr>
        <w:t xml:space="preserve">, compared with 34% (186 of 542) of patients treated with placebo, had died. </w:t>
      </w:r>
      <w:r>
        <w:rPr>
          <w:rFonts w:cs="Arial"/>
          <w:noProof/>
          <w:szCs w:val="22"/>
        </w:rPr>
        <w:t xml:space="preserve"> </w:t>
      </w:r>
      <w:r w:rsidRPr="007210B0">
        <w:rPr>
          <w:rFonts w:cs="Arial"/>
          <w:noProof/>
          <w:szCs w:val="22"/>
        </w:rPr>
        <w:t xml:space="preserve">Overall survival was longer for </w:t>
      </w:r>
      <w:r>
        <w:rPr>
          <w:rFonts w:cs="Arial"/>
          <w:noProof/>
          <w:szCs w:val="22"/>
        </w:rPr>
        <w:t xml:space="preserve">abiraterone </w:t>
      </w:r>
      <w:r w:rsidRPr="007210B0">
        <w:rPr>
          <w:rFonts w:cs="Arial"/>
          <w:noProof/>
          <w:szCs w:val="22"/>
        </w:rPr>
        <w:t xml:space="preserve">than placebo with a 25% reduction in risk of </w:t>
      </w:r>
      <w:r>
        <w:rPr>
          <w:rFonts w:cs="Arial"/>
          <w:noProof/>
          <w:szCs w:val="22"/>
        </w:rPr>
        <w:t>death (Hazard Ratio = 0.752; 95</w:t>
      </w:r>
      <w:r w:rsidRPr="007210B0">
        <w:rPr>
          <w:rFonts w:cs="Arial"/>
          <w:noProof/>
          <w:szCs w:val="22"/>
        </w:rPr>
        <w:t xml:space="preserve">% CI: 0.606 - 0.934). </w:t>
      </w:r>
      <w:r>
        <w:rPr>
          <w:rFonts w:cs="Arial"/>
          <w:noProof/>
          <w:szCs w:val="22"/>
        </w:rPr>
        <w:t xml:space="preserve"> </w:t>
      </w:r>
      <w:r w:rsidRPr="007210B0">
        <w:rPr>
          <w:rFonts w:cs="Arial"/>
          <w:noProof/>
          <w:szCs w:val="22"/>
        </w:rPr>
        <w:t xml:space="preserve">The p value was 0.0097 which did not meet the pre-specified </w:t>
      </w:r>
      <w:r w:rsidR="006362F2">
        <w:rPr>
          <w:rFonts w:cs="Arial"/>
          <w:noProof/>
          <w:szCs w:val="22"/>
        </w:rPr>
        <w:t>level (0.0008</w:t>
      </w:r>
      <w:r w:rsidR="006362F2" w:rsidRPr="006362F2">
        <w:rPr>
          <w:rFonts w:cs="Arial"/>
          <w:noProof/>
          <w:szCs w:val="22"/>
        </w:rPr>
        <w:t xml:space="preserve">) </w:t>
      </w:r>
      <w:r w:rsidR="002D562F">
        <w:rPr>
          <w:rFonts w:cs="Arial"/>
          <w:noProof/>
          <w:szCs w:val="22"/>
        </w:rPr>
        <w:t xml:space="preserve">to claim </w:t>
      </w:r>
      <w:r w:rsidRPr="007210B0">
        <w:rPr>
          <w:rFonts w:cs="Arial"/>
          <w:noProof/>
          <w:szCs w:val="22"/>
        </w:rPr>
        <w:t xml:space="preserve">statistical significance (see Table </w:t>
      </w:r>
      <w:r>
        <w:rPr>
          <w:rFonts w:cs="Arial"/>
          <w:noProof/>
          <w:szCs w:val="22"/>
        </w:rPr>
        <w:t>2</w:t>
      </w:r>
      <w:r w:rsidRPr="007210B0">
        <w:rPr>
          <w:rFonts w:cs="Arial"/>
          <w:noProof/>
          <w:szCs w:val="22"/>
        </w:rPr>
        <w:t xml:space="preserve"> and Figure </w:t>
      </w:r>
      <w:r>
        <w:rPr>
          <w:rFonts w:cs="Arial"/>
          <w:noProof/>
          <w:szCs w:val="22"/>
        </w:rPr>
        <w:t>3</w:t>
      </w:r>
      <w:r w:rsidRPr="007210B0">
        <w:rPr>
          <w:rFonts w:cs="Arial"/>
          <w:noProof/>
          <w:szCs w:val="22"/>
        </w:rPr>
        <w:t>).</w:t>
      </w:r>
      <w:r>
        <w:rPr>
          <w:rFonts w:cs="Arial"/>
          <w:noProof/>
          <w:szCs w:val="22"/>
        </w:rPr>
        <w:t xml:space="preserve">  </w:t>
      </w:r>
    </w:p>
    <w:p w:rsidR="004879A9" w:rsidRDefault="004879A9" w:rsidP="00CD5591">
      <w:pPr>
        <w:jc w:val="left"/>
        <w:rPr>
          <w:rFonts w:cs="Arial"/>
          <w:noProof/>
          <w:szCs w:val="22"/>
        </w:rPr>
      </w:pPr>
    </w:p>
    <w:p w:rsidR="004879A9" w:rsidRDefault="004879A9" w:rsidP="00CD5591">
      <w:pPr>
        <w:jc w:val="left"/>
        <w:rPr>
          <w:rFonts w:cs="Arial"/>
          <w:noProof/>
          <w:szCs w:val="22"/>
        </w:rPr>
      </w:pPr>
    </w:p>
    <w:p w:rsidR="004879A9" w:rsidRDefault="004879A9" w:rsidP="00CD5591">
      <w:pPr>
        <w:jc w:val="left"/>
        <w:rPr>
          <w:rFonts w:cs="Arial"/>
          <w:noProof/>
          <w:szCs w:val="22"/>
        </w:rPr>
      </w:pPr>
    </w:p>
    <w:p w:rsidR="007100AB" w:rsidRDefault="00F53F58" w:rsidP="00CD5591">
      <w:pPr>
        <w:jc w:val="left"/>
        <w:rPr>
          <w:rFonts w:cs="Arial"/>
          <w:noProof/>
          <w:szCs w:val="22"/>
        </w:rPr>
      </w:pPr>
      <w:r>
        <w:rPr>
          <w:rFonts w:cs="Arial"/>
          <w:noProof/>
          <w:szCs w:val="22"/>
        </w:rPr>
        <w:br w:type="page"/>
      </w:r>
    </w:p>
    <w:p w:rsidR="00F53F58" w:rsidRPr="00F53F58" w:rsidRDefault="00F53F58" w:rsidP="00F53F58">
      <w:pPr>
        <w:jc w:val="left"/>
        <w:rPr>
          <w:rFonts w:cs="Arial"/>
          <w:b/>
          <w:noProof/>
          <w:szCs w:val="22"/>
        </w:rPr>
      </w:pPr>
      <w:r w:rsidRPr="00F53F58">
        <w:rPr>
          <w:rFonts w:cs="Arial"/>
          <w:b/>
          <w:noProof/>
          <w:szCs w:val="22"/>
        </w:rPr>
        <w:t xml:space="preserve">Table 2: Study 302: </w:t>
      </w:r>
      <w:r>
        <w:rPr>
          <w:rFonts w:cs="Arial"/>
          <w:b/>
          <w:noProof/>
          <w:szCs w:val="22"/>
        </w:rPr>
        <w:t>Overall</w:t>
      </w:r>
      <w:r w:rsidRPr="00F53F58">
        <w:rPr>
          <w:rFonts w:cs="Arial"/>
          <w:b/>
          <w:noProof/>
          <w:szCs w:val="22"/>
        </w:rPr>
        <w:t xml:space="preserve"> Survival of patients treated with either</w:t>
      </w:r>
    </w:p>
    <w:p w:rsidR="00F53F58" w:rsidRPr="00F53F58" w:rsidRDefault="00F53F58" w:rsidP="00B43233">
      <w:pPr>
        <w:ind w:firstLine="851"/>
        <w:jc w:val="left"/>
        <w:rPr>
          <w:rFonts w:cs="Arial"/>
          <w:b/>
          <w:noProof/>
          <w:szCs w:val="22"/>
        </w:rPr>
      </w:pPr>
      <w:r w:rsidRPr="00F53F58">
        <w:rPr>
          <w:rFonts w:cs="Arial"/>
          <w:b/>
          <w:noProof/>
          <w:szCs w:val="22"/>
        </w:rPr>
        <w:t xml:space="preserve">abiraterone or placebo in combination with prednisone or prednisolone plus </w:t>
      </w:r>
    </w:p>
    <w:p w:rsidR="007100AB" w:rsidRPr="00F53F58" w:rsidRDefault="00F53F58" w:rsidP="00B43233">
      <w:pPr>
        <w:ind w:left="131" w:firstLine="720"/>
        <w:jc w:val="left"/>
        <w:rPr>
          <w:rFonts w:cs="Arial"/>
          <w:b/>
          <w:noProof/>
          <w:szCs w:val="22"/>
        </w:rPr>
      </w:pPr>
      <w:r w:rsidRPr="00F53F58">
        <w:rPr>
          <w:rFonts w:cs="Arial"/>
          <w:b/>
          <w:noProof/>
          <w:szCs w:val="22"/>
        </w:rPr>
        <w:t>LHRH agonists or prior orchiectomy</w:t>
      </w:r>
    </w:p>
    <w:p w:rsidR="007100AB" w:rsidRDefault="007100AB" w:rsidP="00CD5591">
      <w:pPr>
        <w:jc w:val="left"/>
        <w:rPr>
          <w:rFonts w:cs="Arial"/>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191"/>
        <w:gridCol w:w="3191"/>
      </w:tblGrid>
      <w:tr w:rsidR="00F53F58" w:rsidRPr="00B22D72" w:rsidTr="006639C4">
        <w:tc>
          <w:tcPr>
            <w:tcW w:w="3191" w:type="dxa"/>
          </w:tcPr>
          <w:p w:rsidR="00F53F58" w:rsidRPr="00607DF0" w:rsidRDefault="00F53F58" w:rsidP="006639C4">
            <w:pPr>
              <w:jc w:val="left"/>
              <w:rPr>
                <w:noProof/>
                <w:szCs w:val="22"/>
              </w:rPr>
            </w:pPr>
          </w:p>
        </w:tc>
        <w:tc>
          <w:tcPr>
            <w:tcW w:w="3191" w:type="dxa"/>
          </w:tcPr>
          <w:p w:rsidR="00F53F58" w:rsidRDefault="00F53F58" w:rsidP="006639C4">
            <w:pPr>
              <w:jc w:val="center"/>
            </w:pPr>
            <w:r>
              <w:t>ABIRATERONE</w:t>
            </w:r>
          </w:p>
          <w:p w:rsidR="00F53F58" w:rsidRPr="00B22D72" w:rsidRDefault="00F53F58" w:rsidP="006639C4">
            <w:pPr>
              <w:jc w:val="center"/>
            </w:pPr>
            <w:r>
              <w:t>(N=546)</w:t>
            </w:r>
          </w:p>
        </w:tc>
        <w:tc>
          <w:tcPr>
            <w:tcW w:w="3191" w:type="dxa"/>
          </w:tcPr>
          <w:p w:rsidR="00F53F58" w:rsidRDefault="00F53F58" w:rsidP="006639C4">
            <w:pPr>
              <w:jc w:val="center"/>
            </w:pPr>
            <w:r w:rsidRPr="00B22D72">
              <w:t>PLACEBO</w:t>
            </w:r>
          </w:p>
          <w:p w:rsidR="00F53F58" w:rsidRPr="00B22D72" w:rsidRDefault="00F53F58" w:rsidP="006639C4">
            <w:pPr>
              <w:jc w:val="center"/>
            </w:pPr>
            <w:r w:rsidRPr="00BD2BAD">
              <w:t>(N=</w:t>
            </w:r>
            <w:r>
              <w:t>542</w:t>
            </w:r>
            <w:r w:rsidRPr="00BD2BAD">
              <w:t>)</w:t>
            </w:r>
          </w:p>
        </w:tc>
      </w:tr>
      <w:tr w:rsidR="00F53F58" w:rsidRPr="00443CA9" w:rsidTr="006639C4">
        <w:tc>
          <w:tcPr>
            <w:tcW w:w="3191" w:type="dxa"/>
          </w:tcPr>
          <w:p w:rsidR="00F53F58" w:rsidRPr="002048A4" w:rsidRDefault="00F53F58" w:rsidP="006639C4">
            <w:pPr>
              <w:jc w:val="center"/>
              <w:rPr>
                <w:b/>
              </w:rPr>
            </w:pPr>
            <w:r>
              <w:rPr>
                <w:b/>
              </w:rPr>
              <w:t>Overall Survival</w:t>
            </w:r>
          </w:p>
        </w:tc>
        <w:tc>
          <w:tcPr>
            <w:tcW w:w="3191" w:type="dxa"/>
          </w:tcPr>
          <w:p w:rsidR="00F53F58" w:rsidRPr="00443CA9" w:rsidRDefault="00F53F58" w:rsidP="006639C4">
            <w:pPr>
              <w:jc w:val="center"/>
            </w:pPr>
          </w:p>
        </w:tc>
        <w:tc>
          <w:tcPr>
            <w:tcW w:w="3191" w:type="dxa"/>
          </w:tcPr>
          <w:p w:rsidR="00F53F58" w:rsidRPr="00443CA9" w:rsidRDefault="00F53F58" w:rsidP="006639C4">
            <w:pPr>
              <w:jc w:val="center"/>
            </w:pPr>
          </w:p>
        </w:tc>
      </w:tr>
      <w:tr w:rsidR="00F53F58" w:rsidTr="006639C4">
        <w:tc>
          <w:tcPr>
            <w:tcW w:w="3191" w:type="dxa"/>
          </w:tcPr>
          <w:p w:rsidR="00F53F58" w:rsidRPr="00443CA9" w:rsidRDefault="00F53F58" w:rsidP="006639C4">
            <w:pPr>
              <w:jc w:val="center"/>
            </w:pPr>
            <w:r>
              <w:t>Deaths</w:t>
            </w:r>
          </w:p>
        </w:tc>
        <w:tc>
          <w:tcPr>
            <w:tcW w:w="3191" w:type="dxa"/>
          </w:tcPr>
          <w:p w:rsidR="00F53F58" w:rsidRPr="00443CA9" w:rsidRDefault="00F53F58" w:rsidP="00F53F58">
            <w:pPr>
              <w:jc w:val="center"/>
            </w:pPr>
            <w:r>
              <w:t>147</w:t>
            </w:r>
            <w:r w:rsidRPr="00443CA9">
              <w:t xml:space="preserve"> (</w:t>
            </w:r>
            <w:r>
              <w:t>27</w:t>
            </w:r>
            <w:r w:rsidRPr="00443CA9">
              <w:t>%)</w:t>
            </w:r>
          </w:p>
        </w:tc>
        <w:tc>
          <w:tcPr>
            <w:tcW w:w="3191" w:type="dxa"/>
          </w:tcPr>
          <w:p w:rsidR="00F53F58" w:rsidRDefault="00F53F58" w:rsidP="00F53F58">
            <w:pPr>
              <w:jc w:val="center"/>
            </w:pPr>
            <w:r>
              <w:t>186</w:t>
            </w:r>
            <w:r w:rsidRPr="00443CA9">
              <w:t xml:space="preserve"> (</w:t>
            </w:r>
            <w:r>
              <w:t>34</w:t>
            </w:r>
            <w:r w:rsidRPr="00443CA9">
              <w:t>%)</w:t>
            </w:r>
          </w:p>
        </w:tc>
      </w:tr>
      <w:tr w:rsidR="00F53F58" w:rsidTr="006639C4">
        <w:tc>
          <w:tcPr>
            <w:tcW w:w="3191" w:type="dxa"/>
          </w:tcPr>
          <w:p w:rsidR="00F53F58" w:rsidRDefault="00F53F58" w:rsidP="006639C4">
            <w:pPr>
              <w:jc w:val="center"/>
            </w:pPr>
            <w:r w:rsidRPr="0087544B">
              <w:t xml:space="preserve">Median </w:t>
            </w:r>
            <w:r>
              <w:t xml:space="preserve">overall survival </w:t>
            </w:r>
            <w:r w:rsidRPr="0087544B">
              <w:t>in months</w:t>
            </w:r>
          </w:p>
          <w:p w:rsidR="00F53F58" w:rsidRPr="0087544B" w:rsidRDefault="00F53F58" w:rsidP="006639C4">
            <w:pPr>
              <w:jc w:val="center"/>
            </w:pPr>
            <w:r w:rsidRPr="0087544B">
              <w:t>(95% CI)</w:t>
            </w:r>
          </w:p>
        </w:tc>
        <w:tc>
          <w:tcPr>
            <w:tcW w:w="3191" w:type="dxa"/>
          </w:tcPr>
          <w:p w:rsidR="00F53F58" w:rsidRDefault="00F53F58" w:rsidP="00F53F58">
            <w:pPr>
              <w:jc w:val="center"/>
            </w:pPr>
            <w:r>
              <w:t>Not reached</w:t>
            </w:r>
            <w:r w:rsidRPr="0087544B">
              <w:t xml:space="preserve"> (</w:t>
            </w:r>
            <w:r>
              <w:t>NE,</w:t>
            </w:r>
            <w:r w:rsidRPr="0087544B">
              <w:t xml:space="preserve"> </w:t>
            </w:r>
            <w:r>
              <w:t>NE</w:t>
            </w:r>
            <w:r w:rsidRPr="0087544B">
              <w:t>)</w:t>
            </w:r>
          </w:p>
        </w:tc>
        <w:tc>
          <w:tcPr>
            <w:tcW w:w="3191" w:type="dxa"/>
          </w:tcPr>
          <w:p w:rsidR="00F53F58" w:rsidRDefault="00F53F58" w:rsidP="00F53F58">
            <w:pPr>
              <w:jc w:val="center"/>
            </w:pPr>
            <w:r>
              <w:t>27.2</w:t>
            </w:r>
            <w:r w:rsidRPr="0087544B">
              <w:t xml:space="preserve"> (</w:t>
            </w:r>
            <w:r>
              <w:t>25.95</w:t>
            </w:r>
            <w:r w:rsidRPr="0087544B">
              <w:t xml:space="preserve">, </w:t>
            </w:r>
            <w:r>
              <w:t>NE</w:t>
            </w:r>
            <w:r w:rsidRPr="0087544B">
              <w:t>)</w:t>
            </w:r>
          </w:p>
        </w:tc>
      </w:tr>
      <w:tr w:rsidR="00F53F58" w:rsidRPr="00607DF0" w:rsidTr="006639C4">
        <w:tc>
          <w:tcPr>
            <w:tcW w:w="3191" w:type="dxa"/>
          </w:tcPr>
          <w:p w:rsidR="00F53F58" w:rsidRPr="009C5005" w:rsidRDefault="00F53F58" w:rsidP="006639C4">
            <w:pPr>
              <w:jc w:val="center"/>
            </w:pPr>
            <w:r w:rsidRPr="009C5005">
              <w:t>p value</w:t>
            </w:r>
            <w:r w:rsidRPr="00703867">
              <w:rPr>
                <w:vertAlign w:val="superscript"/>
              </w:rPr>
              <w:t>*</w:t>
            </w:r>
          </w:p>
        </w:tc>
        <w:tc>
          <w:tcPr>
            <w:tcW w:w="3191" w:type="dxa"/>
          </w:tcPr>
          <w:p w:rsidR="00F53F58" w:rsidRPr="009C5005" w:rsidRDefault="00F53F58" w:rsidP="006639C4">
            <w:pPr>
              <w:jc w:val="center"/>
            </w:pPr>
            <w:r>
              <w:t>0.0097</w:t>
            </w:r>
          </w:p>
        </w:tc>
        <w:tc>
          <w:tcPr>
            <w:tcW w:w="3191" w:type="dxa"/>
          </w:tcPr>
          <w:p w:rsidR="00F53F58" w:rsidRPr="00607DF0" w:rsidRDefault="00F53F58" w:rsidP="006639C4">
            <w:pPr>
              <w:jc w:val="center"/>
              <w:rPr>
                <w:noProof/>
                <w:szCs w:val="22"/>
              </w:rPr>
            </w:pPr>
          </w:p>
        </w:tc>
      </w:tr>
      <w:tr w:rsidR="00F53F58" w:rsidRPr="00607DF0" w:rsidTr="006639C4">
        <w:tc>
          <w:tcPr>
            <w:tcW w:w="3191" w:type="dxa"/>
          </w:tcPr>
          <w:p w:rsidR="00F53F58" w:rsidRPr="00607DF0" w:rsidRDefault="00F53F58" w:rsidP="006639C4">
            <w:pPr>
              <w:jc w:val="center"/>
              <w:rPr>
                <w:noProof/>
                <w:szCs w:val="22"/>
              </w:rPr>
            </w:pPr>
            <w:r w:rsidRPr="00607DF0">
              <w:rPr>
                <w:noProof/>
                <w:szCs w:val="22"/>
              </w:rPr>
              <w:t>Hazard ratio</w:t>
            </w:r>
            <w:r w:rsidRPr="00F53F58">
              <w:rPr>
                <w:noProof/>
                <w:szCs w:val="22"/>
                <w:vertAlign w:val="superscript"/>
              </w:rPr>
              <w:t>**</w:t>
            </w:r>
          </w:p>
          <w:p w:rsidR="00F53F58" w:rsidRPr="00607DF0" w:rsidRDefault="00F53F58" w:rsidP="006639C4">
            <w:pPr>
              <w:jc w:val="center"/>
              <w:rPr>
                <w:noProof/>
                <w:szCs w:val="22"/>
              </w:rPr>
            </w:pPr>
            <w:r w:rsidRPr="00607DF0">
              <w:rPr>
                <w:noProof/>
                <w:szCs w:val="22"/>
              </w:rPr>
              <w:t>(95% CI)</w:t>
            </w:r>
          </w:p>
        </w:tc>
        <w:tc>
          <w:tcPr>
            <w:tcW w:w="3191" w:type="dxa"/>
          </w:tcPr>
          <w:p w:rsidR="00F53F58" w:rsidRPr="00607DF0" w:rsidRDefault="00F53F58" w:rsidP="00F53F58">
            <w:pPr>
              <w:jc w:val="center"/>
              <w:rPr>
                <w:noProof/>
                <w:szCs w:val="22"/>
              </w:rPr>
            </w:pPr>
            <w:r w:rsidRPr="00607DF0">
              <w:rPr>
                <w:noProof/>
                <w:szCs w:val="22"/>
              </w:rPr>
              <w:t>0.</w:t>
            </w:r>
            <w:r>
              <w:rPr>
                <w:noProof/>
                <w:szCs w:val="22"/>
              </w:rPr>
              <w:t>752</w:t>
            </w:r>
            <w:r w:rsidRPr="00607DF0">
              <w:rPr>
                <w:noProof/>
                <w:szCs w:val="22"/>
              </w:rPr>
              <w:t xml:space="preserve"> (0.</w:t>
            </w:r>
            <w:r>
              <w:rPr>
                <w:noProof/>
                <w:szCs w:val="22"/>
              </w:rPr>
              <w:t>606</w:t>
            </w:r>
            <w:r w:rsidRPr="00607DF0">
              <w:rPr>
                <w:noProof/>
                <w:szCs w:val="22"/>
              </w:rPr>
              <w:t>, 0.</w:t>
            </w:r>
            <w:r>
              <w:rPr>
                <w:noProof/>
                <w:szCs w:val="22"/>
              </w:rPr>
              <w:t>934</w:t>
            </w:r>
            <w:r w:rsidRPr="00607DF0">
              <w:rPr>
                <w:noProof/>
                <w:szCs w:val="22"/>
              </w:rPr>
              <w:t>)</w:t>
            </w:r>
          </w:p>
        </w:tc>
        <w:tc>
          <w:tcPr>
            <w:tcW w:w="3191" w:type="dxa"/>
          </w:tcPr>
          <w:p w:rsidR="00F53F58" w:rsidRPr="00607DF0" w:rsidRDefault="00F53F58" w:rsidP="006639C4">
            <w:pPr>
              <w:jc w:val="center"/>
              <w:rPr>
                <w:noProof/>
                <w:szCs w:val="22"/>
              </w:rPr>
            </w:pPr>
          </w:p>
        </w:tc>
      </w:tr>
      <w:tr w:rsidR="00F53F58" w:rsidRPr="00607DF0" w:rsidTr="006639C4">
        <w:tc>
          <w:tcPr>
            <w:tcW w:w="9573" w:type="dxa"/>
            <w:gridSpan w:val="3"/>
            <w:tcBorders>
              <w:left w:val="nil"/>
              <w:bottom w:val="nil"/>
              <w:right w:val="nil"/>
            </w:tcBorders>
          </w:tcPr>
          <w:p w:rsidR="00F53F58" w:rsidRDefault="00F53F58" w:rsidP="006639C4">
            <w:pPr>
              <w:jc w:val="left"/>
              <w:rPr>
                <w:noProof/>
                <w:sz w:val="18"/>
                <w:szCs w:val="18"/>
              </w:rPr>
            </w:pPr>
            <w:r w:rsidRPr="00703867">
              <w:rPr>
                <w:noProof/>
                <w:sz w:val="18"/>
                <w:szCs w:val="18"/>
              </w:rPr>
              <w:t>NE =</w:t>
            </w:r>
            <w:r>
              <w:rPr>
                <w:noProof/>
                <w:sz w:val="18"/>
                <w:szCs w:val="18"/>
              </w:rPr>
              <w:t xml:space="preserve"> </w:t>
            </w:r>
            <w:r w:rsidRPr="00703867">
              <w:rPr>
                <w:noProof/>
                <w:sz w:val="18"/>
                <w:szCs w:val="18"/>
              </w:rPr>
              <w:t>Not estimated</w:t>
            </w:r>
          </w:p>
          <w:p w:rsidR="00F53F58" w:rsidRPr="00703867" w:rsidRDefault="00F53F58" w:rsidP="006639C4">
            <w:pPr>
              <w:jc w:val="left"/>
              <w:rPr>
                <w:noProof/>
                <w:sz w:val="18"/>
                <w:szCs w:val="18"/>
              </w:rPr>
            </w:pPr>
            <w:r w:rsidRPr="00703867">
              <w:rPr>
                <w:noProof/>
                <w:sz w:val="18"/>
                <w:szCs w:val="18"/>
                <w:vertAlign w:val="superscript"/>
              </w:rPr>
              <w:t>*</w:t>
            </w:r>
            <w:r>
              <w:rPr>
                <w:noProof/>
                <w:sz w:val="18"/>
                <w:szCs w:val="18"/>
              </w:rPr>
              <w:t>P value is derived from a log-rank test stratified by baseline ECOG score (0 or 1)</w:t>
            </w:r>
          </w:p>
          <w:p w:rsidR="00F53F58" w:rsidRPr="00607DF0" w:rsidRDefault="00F53F58" w:rsidP="006639C4">
            <w:pPr>
              <w:jc w:val="left"/>
              <w:rPr>
                <w:noProof/>
                <w:sz w:val="18"/>
                <w:szCs w:val="18"/>
              </w:rPr>
            </w:pPr>
            <w:r w:rsidRPr="00703867">
              <w:rPr>
                <w:noProof/>
                <w:sz w:val="18"/>
                <w:szCs w:val="18"/>
                <w:vertAlign w:val="superscript"/>
              </w:rPr>
              <w:t>**</w:t>
            </w:r>
            <w:r w:rsidRPr="00607DF0">
              <w:rPr>
                <w:noProof/>
                <w:sz w:val="18"/>
                <w:szCs w:val="18"/>
              </w:rPr>
              <w:t>Hazard ratio &lt;1 favours abiraterone</w:t>
            </w:r>
          </w:p>
        </w:tc>
      </w:tr>
    </w:tbl>
    <w:p w:rsidR="007100AB" w:rsidRDefault="007100AB" w:rsidP="00CD5591">
      <w:pPr>
        <w:jc w:val="left"/>
        <w:rPr>
          <w:rFonts w:cs="Arial"/>
          <w:noProof/>
          <w:szCs w:val="22"/>
        </w:rPr>
      </w:pPr>
    </w:p>
    <w:p w:rsidR="00053B0F" w:rsidRDefault="00053B0F" w:rsidP="00053B0F">
      <w:pPr>
        <w:jc w:val="left"/>
        <w:rPr>
          <w:rFonts w:cs="Arial"/>
          <w:b/>
          <w:noProof/>
          <w:szCs w:val="22"/>
        </w:rPr>
      </w:pPr>
      <w:r>
        <w:rPr>
          <w:rFonts w:cs="Arial"/>
          <w:b/>
          <w:noProof/>
          <w:szCs w:val="22"/>
        </w:rPr>
        <w:t xml:space="preserve">Figure </w:t>
      </w:r>
      <w:r w:rsidR="0033331D">
        <w:rPr>
          <w:rFonts w:cs="Arial"/>
          <w:b/>
          <w:noProof/>
          <w:szCs w:val="22"/>
        </w:rPr>
        <w:t>3</w:t>
      </w:r>
      <w:r>
        <w:rPr>
          <w:rFonts w:cs="Arial"/>
          <w:b/>
          <w:noProof/>
          <w:szCs w:val="22"/>
        </w:rPr>
        <w:t>: Kaplan Meier Survival curves of p</w:t>
      </w:r>
      <w:r w:rsidRPr="007100AB">
        <w:rPr>
          <w:rFonts w:cs="Arial"/>
          <w:b/>
          <w:noProof/>
          <w:szCs w:val="22"/>
        </w:rPr>
        <w:t xml:space="preserve">atients </w:t>
      </w:r>
      <w:r>
        <w:rPr>
          <w:rFonts w:cs="Arial"/>
          <w:b/>
          <w:noProof/>
          <w:szCs w:val="22"/>
        </w:rPr>
        <w:t>treated with e</w:t>
      </w:r>
      <w:r w:rsidRPr="007100AB">
        <w:rPr>
          <w:rFonts w:cs="Arial"/>
          <w:b/>
          <w:noProof/>
          <w:szCs w:val="22"/>
        </w:rPr>
        <w:t xml:space="preserve">ither </w:t>
      </w:r>
      <w:r>
        <w:rPr>
          <w:rFonts w:cs="Arial"/>
          <w:b/>
          <w:noProof/>
          <w:szCs w:val="22"/>
        </w:rPr>
        <w:t xml:space="preserve">abiraterone or </w:t>
      </w:r>
    </w:p>
    <w:p w:rsidR="00053B0F" w:rsidRDefault="00053B0F" w:rsidP="00B43233">
      <w:pPr>
        <w:ind w:firstLine="993"/>
        <w:jc w:val="left"/>
        <w:rPr>
          <w:rFonts w:cs="Arial"/>
          <w:b/>
          <w:noProof/>
          <w:szCs w:val="22"/>
        </w:rPr>
      </w:pPr>
      <w:r>
        <w:rPr>
          <w:rFonts w:cs="Arial"/>
          <w:b/>
          <w:noProof/>
          <w:szCs w:val="22"/>
        </w:rPr>
        <w:t>placebo in combination with prednisone or p</w:t>
      </w:r>
      <w:r w:rsidRPr="007100AB">
        <w:rPr>
          <w:rFonts w:cs="Arial"/>
          <w:b/>
          <w:noProof/>
          <w:szCs w:val="22"/>
        </w:rPr>
        <w:t>red</w:t>
      </w:r>
      <w:r>
        <w:rPr>
          <w:rFonts w:cs="Arial"/>
          <w:b/>
          <w:noProof/>
          <w:szCs w:val="22"/>
        </w:rPr>
        <w:t xml:space="preserve">nisolone plus LHRH </w:t>
      </w:r>
    </w:p>
    <w:p w:rsidR="00053B0F" w:rsidRPr="007100AB" w:rsidRDefault="00053B0F" w:rsidP="00B43233">
      <w:pPr>
        <w:ind w:left="273" w:firstLine="720"/>
        <w:jc w:val="left"/>
        <w:rPr>
          <w:rFonts w:cs="Arial"/>
          <w:b/>
          <w:noProof/>
          <w:szCs w:val="22"/>
        </w:rPr>
      </w:pPr>
      <w:r>
        <w:rPr>
          <w:rFonts w:cs="Arial"/>
          <w:b/>
          <w:noProof/>
          <w:szCs w:val="22"/>
        </w:rPr>
        <w:t>agonists or prior o</w:t>
      </w:r>
      <w:r w:rsidRPr="007100AB">
        <w:rPr>
          <w:rFonts w:cs="Arial"/>
          <w:b/>
          <w:noProof/>
          <w:szCs w:val="22"/>
        </w:rPr>
        <w:t>rchiectomy</w:t>
      </w:r>
    </w:p>
    <w:p w:rsidR="007100AB" w:rsidRDefault="007100AB" w:rsidP="00CD5591">
      <w:pPr>
        <w:jc w:val="left"/>
        <w:rPr>
          <w:rFonts w:cs="Arial"/>
          <w:noProof/>
          <w:szCs w:val="22"/>
        </w:rPr>
      </w:pPr>
    </w:p>
    <w:p w:rsidR="007100AB" w:rsidRDefault="00610263" w:rsidP="00E95733">
      <w:pPr>
        <w:jc w:val="center"/>
        <w:rPr>
          <w:rFonts w:cs="Arial"/>
          <w:noProof/>
          <w:szCs w:val="22"/>
        </w:rPr>
      </w:pPr>
      <w:r>
        <w:rPr>
          <w:noProof/>
          <w:szCs w:val="24"/>
          <w:lang w:eastAsia="en-AU"/>
        </w:rPr>
        <w:drawing>
          <wp:inline distT="0" distB="0" distL="0" distR="0">
            <wp:extent cx="4686300" cy="3514725"/>
            <wp:effectExtent l="0" t="0" r="0" b="9525"/>
            <wp:docPr id="4" name="Picture 4" descr="Figure 3: Kaplan Meier Survival curves of patients treated with either abiraterone or &#10;placebo in combination with prednisone or prednisolone plus LHRH &#10;agonists or prior orchiectom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Kaplan Meier Survival curves of patients treated with either abiraterone or &#10;placebo in combination with prednisone or prednisolone plus LHRH &#10;agonists or prior orchiectomy&#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6300" cy="3514725"/>
                    </a:xfrm>
                    <a:prstGeom prst="rect">
                      <a:avLst/>
                    </a:prstGeom>
                    <a:noFill/>
                    <a:ln>
                      <a:noFill/>
                    </a:ln>
                  </pic:spPr>
                </pic:pic>
              </a:graphicData>
            </a:graphic>
          </wp:inline>
        </w:drawing>
      </w:r>
    </w:p>
    <w:p w:rsidR="007100AB" w:rsidRDefault="007100AB" w:rsidP="00CD5591">
      <w:pPr>
        <w:jc w:val="left"/>
        <w:rPr>
          <w:rFonts w:cs="Arial"/>
          <w:noProof/>
          <w:szCs w:val="22"/>
        </w:rPr>
      </w:pPr>
    </w:p>
    <w:p w:rsidR="0033331D" w:rsidRDefault="0036398F" w:rsidP="00CD5591">
      <w:pPr>
        <w:jc w:val="left"/>
        <w:rPr>
          <w:rFonts w:cs="Arial"/>
          <w:noProof/>
          <w:szCs w:val="22"/>
        </w:rPr>
      </w:pPr>
      <w:r w:rsidRPr="0036398F">
        <w:rPr>
          <w:rFonts w:cs="Arial"/>
          <w:noProof/>
          <w:szCs w:val="22"/>
        </w:rPr>
        <w:t xml:space="preserve">Subgroup analyses of </w:t>
      </w:r>
      <w:r>
        <w:rPr>
          <w:rFonts w:cs="Arial"/>
          <w:noProof/>
          <w:szCs w:val="22"/>
        </w:rPr>
        <w:t>overall survival</w:t>
      </w:r>
      <w:r w:rsidRPr="0036398F">
        <w:rPr>
          <w:rFonts w:cs="Arial"/>
          <w:noProof/>
          <w:szCs w:val="22"/>
        </w:rPr>
        <w:t xml:space="preserve"> are presented in Figure </w:t>
      </w:r>
      <w:r>
        <w:rPr>
          <w:rFonts w:cs="Arial"/>
          <w:noProof/>
          <w:szCs w:val="22"/>
        </w:rPr>
        <w:t>4</w:t>
      </w:r>
      <w:r w:rsidRPr="0036398F">
        <w:rPr>
          <w:rFonts w:cs="Arial"/>
          <w:noProof/>
          <w:szCs w:val="22"/>
        </w:rPr>
        <w:t xml:space="preserve">.  The treatment effect of abiraterone on </w:t>
      </w:r>
      <w:r>
        <w:rPr>
          <w:rFonts w:cs="Arial"/>
          <w:noProof/>
          <w:szCs w:val="22"/>
        </w:rPr>
        <w:t>overall survival</w:t>
      </w:r>
      <w:r w:rsidRPr="0036398F">
        <w:rPr>
          <w:rFonts w:cs="Arial"/>
          <w:noProof/>
          <w:szCs w:val="22"/>
        </w:rPr>
        <w:t xml:space="preserve"> was favorable across all subgroups (all HR&lt;1.0).  </w:t>
      </w:r>
    </w:p>
    <w:p w:rsidR="0033331D" w:rsidRDefault="0033331D" w:rsidP="00CD5591">
      <w:pPr>
        <w:jc w:val="left"/>
        <w:rPr>
          <w:rFonts w:cs="Arial"/>
          <w:noProof/>
          <w:szCs w:val="22"/>
        </w:rPr>
      </w:pPr>
    </w:p>
    <w:p w:rsidR="0033331D" w:rsidRPr="00D7454C" w:rsidRDefault="004879A9" w:rsidP="0033331D">
      <w:pPr>
        <w:pStyle w:val="Caption"/>
        <w:spacing w:after="0"/>
        <w:ind w:left="0" w:firstLine="0"/>
        <w:rPr>
          <w:rFonts w:ascii="Arial" w:hAnsi="Arial" w:cs="Arial"/>
          <w:color w:val="000000"/>
          <w:sz w:val="22"/>
          <w:szCs w:val="22"/>
        </w:rPr>
      </w:pPr>
      <w:r>
        <w:rPr>
          <w:rFonts w:cs="Arial"/>
          <w:noProof/>
          <w:szCs w:val="22"/>
        </w:rPr>
        <w:br w:type="page"/>
      </w:r>
      <w:bookmarkStart w:id="1" w:name="_Toc325715201"/>
      <w:r w:rsidR="0033331D" w:rsidRPr="00D7454C">
        <w:rPr>
          <w:rFonts w:ascii="Arial" w:hAnsi="Arial" w:cs="Arial"/>
          <w:sz w:val="22"/>
          <w:szCs w:val="22"/>
        </w:rPr>
        <w:lastRenderedPageBreak/>
        <w:t>Figure 4: Overa</w:t>
      </w:r>
      <w:r w:rsidR="0036398F" w:rsidRPr="00D7454C">
        <w:rPr>
          <w:rFonts w:ascii="Arial" w:hAnsi="Arial" w:cs="Arial"/>
          <w:sz w:val="22"/>
          <w:szCs w:val="22"/>
        </w:rPr>
        <w:t>ll Survival by s</w:t>
      </w:r>
      <w:r w:rsidR="0033331D" w:rsidRPr="00D7454C">
        <w:rPr>
          <w:rFonts w:ascii="Arial" w:hAnsi="Arial" w:cs="Arial"/>
          <w:sz w:val="22"/>
          <w:szCs w:val="22"/>
        </w:rPr>
        <w:t>ubgroup (Study COU-AA-302: ITT Population)</w:t>
      </w:r>
      <w:bookmarkEnd w:id="1"/>
    </w:p>
    <w:p w:rsidR="0033331D" w:rsidRDefault="00610263" w:rsidP="0033331D">
      <w:pPr>
        <w:pStyle w:val="BodyText12"/>
        <w:spacing w:after="0"/>
        <w:ind w:left="0"/>
        <w:jc w:val="left"/>
        <w:rPr>
          <w:color w:val="000000"/>
          <w:sz w:val="20"/>
        </w:rPr>
      </w:pPr>
      <w:r>
        <w:rPr>
          <w:noProof/>
          <w:lang w:val="en-AU" w:eastAsia="en-AU"/>
        </w:rPr>
        <w:drawing>
          <wp:inline distT="0" distB="0" distL="0" distR="0">
            <wp:extent cx="5943600" cy="5534025"/>
            <wp:effectExtent l="0" t="0" r="0" b="9525"/>
            <wp:docPr id="5" name="Picture 10" descr="Figure 4: Overall Survival by subgroup (Study COU-AA-302: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 4: Overall Survival by subgroup (Study COU-AA-302: ITT Popul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534025"/>
                    </a:xfrm>
                    <a:prstGeom prst="rect">
                      <a:avLst/>
                    </a:prstGeom>
                    <a:noFill/>
                    <a:ln>
                      <a:noFill/>
                    </a:ln>
                  </pic:spPr>
                </pic:pic>
              </a:graphicData>
            </a:graphic>
          </wp:inline>
        </w:drawing>
      </w:r>
    </w:p>
    <w:p w:rsidR="0033331D" w:rsidRPr="0033331D" w:rsidRDefault="0033331D" w:rsidP="0033331D">
      <w:pPr>
        <w:pStyle w:val="BodyText12"/>
        <w:ind w:left="0"/>
        <w:jc w:val="left"/>
        <w:rPr>
          <w:rFonts w:ascii="Arial" w:hAnsi="Arial" w:cs="Arial"/>
          <w:color w:val="000000"/>
          <w:sz w:val="18"/>
          <w:szCs w:val="18"/>
        </w:rPr>
      </w:pPr>
      <w:r w:rsidRPr="0033331D">
        <w:rPr>
          <w:rFonts w:ascii="Arial" w:hAnsi="Arial" w:cs="Arial"/>
          <w:color w:val="000000"/>
          <w:sz w:val="18"/>
          <w:szCs w:val="18"/>
        </w:rPr>
        <w:t>The HR within each subgroup was estimated using a nonstratified Cox proportional hazard model.</w:t>
      </w:r>
    </w:p>
    <w:p w:rsidR="0033331D" w:rsidRPr="0033331D" w:rsidRDefault="0033331D" w:rsidP="0033331D">
      <w:pPr>
        <w:pStyle w:val="BodyText12"/>
        <w:spacing w:after="0"/>
        <w:ind w:left="0"/>
        <w:jc w:val="left"/>
        <w:rPr>
          <w:rFonts w:ascii="Arial" w:hAnsi="Arial" w:cs="Arial"/>
          <w:color w:val="000000"/>
          <w:sz w:val="18"/>
          <w:szCs w:val="18"/>
        </w:rPr>
      </w:pPr>
      <w:r w:rsidRPr="0033331D">
        <w:rPr>
          <w:rFonts w:ascii="Arial" w:hAnsi="Arial" w:cs="Arial"/>
          <w:color w:val="000000"/>
          <w:sz w:val="18"/>
          <w:szCs w:val="18"/>
        </w:rPr>
        <w:t>AA=abiraterone acetate; ALK-P=alkaline phosphatase; BPI=Brief Pain Inventory; C.I.=confidence interval; ECOG=Eastern Cooperative Oncology Group; HR=hazard ratio; LDH=lactic dehydrogenase; N.A.=North America; NE=not estimable; No.=number; PSA=prostate-specific antigen</w:t>
      </w:r>
    </w:p>
    <w:p w:rsidR="004879A9" w:rsidRDefault="004879A9" w:rsidP="00CD5591">
      <w:pPr>
        <w:jc w:val="left"/>
        <w:rPr>
          <w:rFonts w:cs="Arial"/>
          <w:noProof/>
          <w:szCs w:val="22"/>
        </w:rPr>
      </w:pPr>
    </w:p>
    <w:p w:rsidR="008B3336" w:rsidRDefault="008B3336" w:rsidP="008B3336">
      <w:pPr>
        <w:jc w:val="left"/>
        <w:rPr>
          <w:rFonts w:cs="Arial"/>
          <w:noProof/>
          <w:szCs w:val="22"/>
        </w:rPr>
      </w:pPr>
      <w:r w:rsidRPr="00E95733">
        <w:rPr>
          <w:rFonts w:cs="Arial"/>
          <w:noProof/>
          <w:szCs w:val="22"/>
        </w:rPr>
        <w:t xml:space="preserve">In addition to the observed improvements in overall survival and rPFS, benefit was demonstrated for </w:t>
      </w:r>
      <w:r>
        <w:rPr>
          <w:rFonts w:cs="Arial"/>
          <w:noProof/>
          <w:szCs w:val="22"/>
        </w:rPr>
        <w:t>abiraterone</w:t>
      </w:r>
      <w:r w:rsidRPr="00E95733">
        <w:rPr>
          <w:rFonts w:cs="Arial"/>
          <w:noProof/>
          <w:szCs w:val="22"/>
        </w:rPr>
        <w:t xml:space="preserve"> v</w:t>
      </w:r>
      <w:r>
        <w:rPr>
          <w:rFonts w:cs="Arial"/>
          <w:noProof/>
          <w:szCs w:val="22"/>
        </w:rPr>
        <w:t>ersu</w:t>
      </w:r>
      <w:r w:rsidRPr="00E95733">
        <w:rPr>
          <w:rFonts w:cs="Arial"/>
          <w:noProof/>
          <w:szCs w:val="22"/>
        </w:rPr>
        <w:t xml:space="preserve">s placebo treatment in all </w:t>
      </w:r>
      <w:r>
        <w:rPr>
          <w:rFonts w:cs="Arial"/>
          <w:noProof/>
          <w:szCs w:val="22"/>
        </w:rPr>
        <w:t xml:space="preserve">the </w:t>
      </w:r>
      <w:r w:rsidRPr="00E95733">
        <w:rPr>
          <w:rFonts w:cs="Arial"/>
          <w:noProof/>
          <w:szCs w:val="22"/>
        </w:rPr>
        <w:t>seconda</w:t>
      </w:r>
      <w:r>
        <w:rPr>
          <w:rFonts w:cs="Arial"/>
          <w:noProof/>
          <w:szCs w:val="22"/>
        </w:rPr>
        <w:t>ry endpoint measures</w:t>
      </w:r>
      <w:r w:rsidR="00D70E0B">
        <w:rPr>
          <w:rFonts w:cs="Arial"/>
          <w:noProof/>
          <w:szCs w:val="22"/>
        </w:rPr>
        <w:t xml:space="preserve"> </w:t>
      </w:r>
      <w:r w:rsidR="00582159">
        <w:rPr>
          <w:rFonts w:cs="Arial"/>
          <w:noProof/>
          <w:szCs w:val="22"/>
        </w:rPr>
        <w:t>as follows</w:t>
      </w:r>
      <w:r>
        <w:rPr>
          <w:rFonts w:cs="Arial"/>
          <w:noProof/>
          <w:szCs w:val="22"/>
        </w:rPr>
        <w:t xml:space="preserve">.  </w:t>
      </w:r>
    </w:p>
    <w:p w:rsidR="0033331D" w:rsidRDefault="0033331D" w:rsidP="00CD5591">
      <w:pPr>
        <w:jc w:val="left"/>
        <w:rPr>
          <w:rFonts w:cs="Arial"/>
          <w:noProof/>
          <w:szCs w:val="22"/>
        </w:rPr>
      </w:pPr>
    </w:p>
    <w:p w:rsidR="007100AB" w:rsidRDefault="004A2B35" w:rsidP="00CD5591">
      <w:pPr>
        <w:jc w:val="left"/>
        <w:rPr>
          <w:rFonts w:cs="Arial"/>
          <w:noProof/>
          <w:szCs w:val="22"/>
        </w:rPr>
      </w:pPr>
      <w:r>
        <w:rPr>
          <w:rFonts w:cs="Arial"/>
          <w:noProof/>
          <w:szCs w:val="22"/>
        </w:rPr>
        <w:br w:type="page"/>
      </w:r>
    </w:p>
    <w:p w:rsidR="002B7648" w:rsidRPr="002B7648" w:rsidRDefault="002B7648" w:rsidP="00CD5591">
      <w:pPr>
        <w:jc w:val="left"/>
        <w:rPr>
          <w:rFonts w:cs="Arial"/>
          <w:i/>
          <w:noProof/>
          <w:szCs w:val="22"/>
        </w:rPr>
      </w:pPr>
      <w:r w:rsidRPr="002B7648">
        <w:rPr>
          <w:rFonts w:cs="Arial"/>
          <w:i/>
          <w:noProof/>
          <w:szCs w:val="22"/>
        </w:rPr>
        <w:t xml:space="preserve">Time to PSA progression based on PCWG2 criteria: </w:t>
      </w:r>
    </w:p>
    <w:p w:rsidR="007100AB" w:rsidRDefault="002B7648" w:rsidP="005B4D77">
      <w:pPr>
        <w:spacing w:before="120"/>
        <w:jc w:val="left"/>
        <w:rPr>
          <w:rFonts w:cs="Arial"/>
          <w:noProof/>
          <w:szCs w:val="22"/>
        </w:rPr>
      </w:pPr>
      <w:r>
        <w:rPr>
          <w:rFonts w:cs="Arial"/>
          <w:noProof/>
          <w:szCs w:val="22"/>
        </w:rPr>
        <w:t>M</w:t>
      </w:r>
      <w:r w:rsidRPr="002B7648">
        <w:rPr>
          <w:rFonts w:cs="Arial"/>
          <w:noProof/>
          <w:szCs w:val="22"/>
        </w:rPr>
        <w:t xml:space="preserve">edian time to PSA progression was 11.1 months for patients receiving </w:t>
      </w:r>
      <w:r>
        <w:rPr>
          <w:rFonts w:cs="Arial"/>
          <w:noProof/>
          <w:szCs w:val="22"/>
        </w:rPr>
        <w:t>abiraterone</w:t>
      </w:r>
      <w:r w:rsidRPr="002B7648">
        <w:rPr>
          <w:rFonts w:cs="Arial"/>
          <w:noProof/>
          <w:szCs w:val="22"/>
        </w:rPr>
        <w:t xml:space="preserve"> and 5.6 months for patients r</w:t>
      </w:r>
      <w:r>
        <w:rPr>
          <w:rFonts w:cs="Arial"/>
          <w:noProof/>
          <w:szCs w:val="22"/>
        </w:rPr>
        <w:t>eceiving placebo (HR=0.488; 95%</w:t>
      </w:r>
      <w:r w:rsidRPr="002B7648">
        <w:rPr>
          <w:rFonts w:cs="Arial"/>
          <w:noProof/>
          <w:szCs w:val="22"/>
        </w:rPr>
        <w:t xml:space="preserve">CI: [0.420, 0.568], p&lt;0.0001). </w:t>
      </w:r>
      <w:r>
        <w:rPr>
          <w:rFonts w:cs="Arial"/>
          <w:noProof/>
          <w:szCs w:val="22"/>
        </w:rPr>
        <w:t xml:space="preserve"> T</w:t>
      </w:r>
      <w:r w:rsidRPr="002B7648">
        <w:rPr>
          <w:rFonts w:cs="Arial"/>
          <w:noProof/>
          <w:szCs w:val="22"/>
        </w:rPr>
        <w:t xml:space="preserve">ime to PSA progression was approximately doubled with </w:t>
      </w:r>
      <w:r>
        <w:rPr>
          <w:rFonts w:cs="Arial"/>
          <w:noProof/>
          <w:szCs w:val="22"/>
        </w:rPr>
        <w:t>abiraterone</w:t>
      </w:r>
      <w:r w:rsidRPr="002B7648">
        <w:rPr>
          <w:rFonts w:cs="Arial"/>
          <w:noProof/>
          <w:szCs w:val="22"/>
        </w:rPr>
        <w:t xml:space="preserve"> treatment. </w:t>
      </w:r>
      <w:r>
        <w:rPr>
          <w:rFonts w:cs="Arial"/>
          <w:noProof/>
          <w:szCs w:val="22"/>
        </w:rPr>
        <w:t xml:space="preserve"> </w:t>
      </w:r>
      <w:r w:rsidRPr="002B7648">
        <w:rPr>
          <w:rFonts w:cs="Arial"/>
          <w:noProof/>
          <w:szCs w:val="22"/>
        </w:rPr>
        <w:t xml:space="preserve">The proportion of subjects with a confirmed PSA response was greater in the </w:t>
      </w:r>
      <w:r>
        <w:rPr>
          <w:rFonts w:cs="Arial"/>
          <w:noProof/>
          <w:szCs w:val="22"/>
        </w:rPr>
        <w:t>abiraterone</w:t>
      </w:r>
      <w:r w:rsidRPr="002B7648">
        <w:rPr>
          <w:rFonts w:cs="Arial"/>
          <w:noProof/>
          <w:szCs w:val="22"/>
        </w:rPr>
        <w:t xml:space="preserve"> group than in the placebo group (62% versus 24%; p&lt;0.0001).</w:t>
      </w:r>
      <w:r>
        <w:rPr>
          <w:rFonts w:cs="Arial"/>
          <w:noProof/>
          <w:szCs w:val="22"/>
        </w:rPr>
        <w:t xml:space="preserve">  </w:t>
      </w:r>
    </w:p>
    <w:p w:rsidR="007100AB" w:rsidRDefault="007100AB" w:rsidP="00CD5591">
      <w:pPr>
        <w:jc w:val="left"/>
        <w:rPr>
          <w:rFonts w:cs="Arial"/>
          <w:noProof/>
          <w:szCs w:val="22"/>
        </w:rPr>
      </w:pPr>
    </w:p>
    <w:p w:rsidR="005B4D77" w:rsidRPr="005B4D77" w:rsidRDefault="005B4D77" w:rsidP="00CD5591">
      <w:pPr>
        <w:jc w:val="left"/>
        <w:rPr>
          <w:rFonts w:cs="Arial"/>
          <w:i/>
          <w:noProof/>
          <w:szCs w:val="22"/>
        </w:rPr>
      </w:pPr>
      <w:r w:rsidRPr="005B4D77">
        <w:rPr>
          <w:rFonts w:cs="Arial"/>
          <w:i/>
          <w:noProof/>
          <w:szCs w:val="22"/>
        </w:rPr>
        <w:t xml:space="preserve">Time to opiate use for cancer pain: </w:t>
      </w:r>
    </w:p>
    <w:p w:rsidR="007100AB" w:rsidRDefault="005B4D77" w:rsidP="005B4D77">
      <w:pPr>
        <w:spacing w:before="120"/>
        <w:jc w:val="left"/>
        <w:rPr>
          <w:rFonts w:cs="Arial"/>
          <w:noProof/>
          <w:szCs w:val="22"/>
        </w:rPr>
      </w:pPr>
      <w:r w:rsidRPr="005B4D77">
        <w:rPr>
          <w:rFonts w:cs="Arial"/>
          <w:noProof/>
          <w:szCs w:val="22"/>
        </w:rPr>
        <w:t xml:space="preserve">The median time to opiate use for prostate cancer pain was not reached for patients receiving </w:t>
      </w:r>
      <w:r>
        <w:rPr>
          <w:rFonts w:cs="Arial"/>
          <w:noProof/>
          <w:szCs w:val="22"/>
        </w:rPr>
        <w:t>abiraterone</w:t>
      </w:r>
      <w:r w:rsidRPr="002B7648">
        <w:rPr>
          <w:rFonts w:cs="Arial"/>
          <w:noProof/>
          <w:szCs w:val="22"/>
        </w:rPr>
        <w:t xml:space="preserve"> </w:t>
      </w:r>
      <w:r w:rsidRPr="005B4D77">
        <w:rPr>
          <w:rFonts w:cs="Arial"/>
          <w:noProof/>
          <w:szCs w:val="22"/>
        </w:rPr>
        <w:t>and was 23.7 months for patients receiving pl</w:t>
      </w:r>
      <w:r>
        <w:rPr>
          <w:rFonts w:cs="Arial"/>
          <w:noProof/>
          <w:szCs w:val="22"/>
        </w:rPr>
        <w:t>acebo (HR=0.686; 95%</w:t>
      </w:r>
      <w:r w:rsidRPr="005B4D77">
        <w:rPr>
          <w:rFonts w:cs="Arial"/>
          <w:noProof/>
          <w:szCs w:val="22"/>
        </w:rPr>
        <w:t>CI: [0.566, 0.833], p=0.0001).</w:t>
      </w:r>
      <w:r>
        <w:rPr>
          <w:rFonts w:cs="Arial"/>
          <w:noProof/>
          <w:szCs w:val="22"/>
        </w:rPr>
        <w:t xml:space="preserve">  </w:t>
      </w:r>
    </w:p>
    <w:p w:rsidR="007100AB" w:rsidRDefault="007100AB" w:rsidP="00CD5591">
      <w:pPr>
        <w:jc w:val="left"/>
        <w:rPr>
          <w:rFonts w:cs="Arial"/>
          <w:noProof/>
          <w:szCs w:val="22"/>
        </w:rPr>
      </w:pPr>
    </w:p>
    <w:p w:rsidR="004A2B35" w:rsidRPr="004A2B35" w:rsidRDefault="004A2B35" w:rsidP="00CD5591">
      <w:pPr>
        <w:jc w:val="left"/>
        <w:rPr>
          <w:rFonts w:cs="Arial"/>
          <w:i/>
          <w:noProof/>
          <w:szCs w:val="22"/>
        </w:rPr>
      </w:pPr>
      <w:r w:rsidRPr="004A2B35">
        <w:rPr>
          <w:rFonts w:cs="Arial"/>
          <w:i/>
          <w:noProof/>
          <w:szCs w:val="22"/>
        </w:rPr>
        <w:t xml:space="preserve">Time to initiation of cytotoxic chemotherapy: </w:t>
      </w:r>
    </w:p>
    <w:p w:rsidR="007100AB" w:rsidRDefault="004A2B35" w:rsidP="004A2B35">
      <w:pPr>
        <w:spacing w:before="120"/>
        <w:jc w:val="left"/>
        <w:rPr>
          <w:rFonts w:cs="Arial"/>
          <w:noProof/>
          <w:szCs w:val="22"/>
        </w:rPr>
      </w:pPr>
      <w:r w:rsidRPr="004A2B35">
        <w:rPr>
          <w:rFonts w:cs="Arial"/>
          <w:noProof/>
          <w:szCs w:val="22"/>
        </w:rPr>
        <w:t xml:space="preserve">The median time to initiation of cytotoxic chemotherapy was 25.2 months for patients receiving </w:t>
      </w:r>
      <w:r>
        <w:rPr>
          <w:rFonts w:cs="Arial"/>
          <w:noProof/>
          <w:szCs w:val="22"/>
        </w:rPr>
        <w:t>abiraterone</w:t>
      </w:r>
      <w:r w:rsidRPr="002B7648">
        <w:rPr>
          <w:rFonts w:cs="Arial"/>
          <w:noProof/>
          <w:szCs w:val="22"/>
        </w:rPr>
        <w:t xml:space="preserve"> </w:t>
      </w:r>
      <w:r w:rsidRPr="004A2B35">
        <w:rPr>
          <w:rFonts w:cs="Arial"/>
          <w:noProof/>
          <w:szCs w:val="22"/>
        </w:rPr>
        <w:t>and 16.8 months for patients receiving placebo (HR=0.580; 95% CI: [0.487, 0.691], p&lt;0.0001).</w:t>
      </w:r>
      <w:r>
        <w:rPr>
          <w:rFonts w:cs="Arial"/>
          <w:noProof/>
          <w:szCs w:val="22"/>
        </w:rPr>
        <w:t xml:space="preserve">  </w:t>
      </w:r>
    </w:p>
    <w:p w:rsidR="007100AB" w:rsidRDefault="007100AB" w:rsidP="00CD5591">
      <w:pPr>
        <w:jc w:val="left"/>
        <w:rPr>
          <w:rFonts w:cs="Arial"/>
          <w:noProof/>
          <w:szCs w:val="22"/>
        </w:rPr>
      </w:pPr>
    </w:p>
    <w:p w:rsidR="00961AB8" w:rsidRPr="00961AB8" w:rsidRDefault="00961AB8" w:rsidP="00CD5591">
      <w:pPr>
        <w:jc w:val="left"/>
        <w:rPr>
          <w:rFonts w:cs="Arial"/>
          <w:i/>
          <w:noProof/>
          <w:szCs w:val="22"/>
        </w:rPr>
      </w:pPr>
      <w:r w:rsidRPr="00961AB8">
        <w:rPr>
          <w:rFonts w:cs="Arial"/>
          <w:i/>
          <w:noProof/>
          <w:szCs w:val="22"/>
        </w:rPr>
        <w:t xml:space="preserve">Time to deterioration in ECOG performance score by ≥ 1 point: </w:t>
      </w:r>
    </w:p>
    <w:p w:rsidR="007100AB" w:rsidRDefault="00961AB8" w:rsidP="00961AB8">
      <w:pPr>
        <w:spacing w:before="120"/>
        <w:jc w:val="left"/>
        <w:rPr>
          <w:rFonts w:cs="Arial"/>
          <w:noProof/>
          <w:szCs w:val="22"/>
        </w:rPr>
      </w:pPr>
      <w:r w:rsidRPr="00961AB8">
        <w:rPr>
          <w:rFonts w:cs="Arial"/>
          <w:noProof/>
          <w:szCs w:val="22"/>
        </w:rPr>
        <w:t>The median time to deterioration</w:t>
      </w:r>
      <w:r>
        <w:rPr>
          <w:rFonts w:cs="Arial"/>
          <w:noProof/>
          <w:szCs w:val="22"/>
        </w:rPr>
        <w:t xml:space="preserve"> in ECOG performance score by ≥</w:t>
      </w:r>
      <w:r w:rsidRPr="00961AB8">
        <w:rPr>
          <w:rFonts w:cs="Arial"/>
          <w:noProof/>
          <w:szCs w:val="22"/>
        </w:rPr>
        <w:t xml:space="preserve">1 point was 12.3 months for patients receiving </w:t>
      </w:r>
      <w:r>
        <w:rPr>
          <w:rFonts w:cs="Arial"/>
          <w:noProof/>
          <w:szCs w:val="22"/>
        </w:rPr>
        <w:t>abiraterone</w:t>
      </w:r>
      <w:r w:rsidRPr="002B7648">
        <w:rPr>
          <w:rFonts w:cs="Arial"/>
          <w:noProof/>
          <w:szCs w:val="22"/>
        </w:rPr>
        <w:t xml:space="preserve"> </w:t>
      </w:r>
      <w:r w:rsidRPr="00961AB8">
        <w:rPr>
          <w:rFonts w:cs="Arial"/>
          <w:noProof/>
          <w:szCs w:val="22"/>
        </w:rPr>
        <w:t>and 10.9 months for patients receiving placebo (HR=0.821; 95%</w:t>
      </w:r>
      <w:r>
        <w:rPr>
          <w:rFonts w:cs="Arial"/>
          <w:noProof/>
          <w:szCs w:val="22"/>
        </w:rPr>
        <w:t> </w:t>
      </w:r>
      <w:r w:rsidRPr="00961AB8">
        <w:rPr>
          <w:rFonts w:cs="Arial"/>
          <w:noProof/>
          <w:szCs w:val="22"/>
        </w:rPr>
        <w:t>CI: [0.714, 0.943], p=0.0053).</w:t>
      </w:r>
      <w:r>
        <w:rPr>
          <w:rFonts w:cs="Arial"/>
          <w:noProof/>
          <w:szCs w:val="22"/>
        </w:rPr>
        <w:t xml:space="preserve">  </w:t>
      </w:r>
    </w:p>
    <w:p w:rsidR="007100AB" w:rsidRDefault="007100AB" w:rsidP="00CD5591">
      <w:pPr>
        <w:jc w:val="left"/>
        <w:rPr>
          <w:rFonts w:cs="Arial"/>
          <w:noProof/>
          <w:szCs w:val="22"/>
        </w:rPr>
      </w:pPr>
    </w:p>
    <w:p w:rsidR="00961AB8" w:rsidRPr="00961AB8" w:rsidRDefault="00961AB8" w:rsidP="00961AB8">
      <w:pPr>
        <w:jc w:val="left"/>
        <w:rPr>
          <w:rFonts w:cs="Arial"/>
          <w:noProof/>
          <w:szCs w:val="22"/>
        </w:rPr>
      </w:pPr>
      <w:r w:rsidRPr="00961AB8">
        <w:rPr>
          <w:rFonts w:cs="Arial"/>
          <w:noProof/>
          <w:szCs w:val="22"/>
        </w:rPr>
        <w:t xml:space="preserve">The following study endpoints demonstrated a statistically significant advantage in favor of </w:t>
      </w:r>
      <w:r>
        <w:rPr>
          <w:rFonts w:cs="Arial"/>
          <w:noProof/>
          <w:szCs w:val="22"/>
        </w:rPr>
        <w:t>abiraterone</w:t>
      </w:r>
      <w:r w:rsidRPr="002B7648">
        <w:rPr>
          <w:rFonts w:cs="Arial"/>
          <w:noProof/>
          <w:szCs w:val="22"/>
        </w:rPr>
        <w:t xml:space="preserve"> </w:t>
      </w:r>
      <w:r w:rsidRPr="00961AB8">
        <w:rPr>
          <w:rFonts w:cs="Arial"/>
          <w:noProof/>
          <w:szCs w:val="22"/>
        </w:rPr>
        <w:t xml:space="preserve">treatment: </w:t>
      </w:r>
    </w:p>
    <w:p w:rsidR="00961AB8" w:rsidRPr="00961AB8" w:rsidRDefault="00961AB8" w:rsidP="00961AB8">
      <w:pPr>
        <w:jc w:val="left"/>
        <w:rPr>
          <w:rFonts w:cs="Arial"/>
          <w:noProof/>
          <w:szCs w:val="22"/>
        </w:rPr>
      </w:pPr>
    </w:p>
    <w:p w:rsidR="00961AB8" w:rsidRDefault="00961AB8" w:rsidP="00961AB8">
      <w:pPr>
        <w:jc w:val="left"/>
        <w:rPr>
          <w:rFonts w:cs="Arial"/>
          <w:noProof/>
          <w:szCs w:val="22"/>
        </w:rPr>
      </w:pPr>
      <w:r w:rsidRPr="00961AB8">
        <w:rPr>
          <w:rFonts w:cs="Arial"/>
          <w:i/>
          <w:noProof/>
          <w:szCs w:val="22"/>
        </w:rPr>
        <w:t>Objective response:</w:t>
      </w:r>
      <w:r w:rsidRPr="00961AB8">
        <w:rPr>
          <w:rFonts w:cs="Arial"/>
          <w:noProof/>
          <w:szCs w:val="22"/>
        </w:rPr>
        <w:t xml:space="preserve"> </w:t>
      </w:r>
    </w:p>
    <w:p w:rsidR="00961AB8" w:rsidRDefault="00961AB8" w:rsidP="00961AB8">
      <w:pPr>
        <w:spacing w:before="120"/>
        <w:jc w:val="left"/>
        <w:rPr>
          <w:rFonts w:cs="Arial"/>
          <w:noProof/>
          <w:szCs w:val="22"/>
        </w:rPr>
      </w:pPr>
      <w:r w:rsidRPr="00961AB8">
        <w:rPr>
          <w:rFonts w:cs="Arial"/>
          <w:noProof/>
          <w:szCs w:val="22"/>
        </w:rPr>
        <w:t xml:space="preserve">Objective response was defined as the proportion of subjects with measurable disease achieving a complete or partial response according to RECIST criteria (baseline lymph node size was required to be ≥2 cm to be considered a target lesion). </w:t>
      </w:r>
      <w:r>
        <w:rPr>
          <w:rFonts w:cs="Arial"/>
          <w:noProof/>
          <w:szCs w:val="22"/>
        </w:rPr>
        <w:t xml:space="preserve"> </w:t>
      </w:r>
      <w:r w:rsidRPr="00961AB8">
        <w:rPr>
          <w:rFonts w:cs="Arial"/>
          <w:noProof/>
          <w:szCs w:val="22"/>
        </w:rPr>
        <w:t>The proportion of subjects with</w:t>
      </w:r>
      <w:r>
        <w:rPr>
          <w:rFonts w:cs="Arial"/>
          <w:noProof/>
          <w:szCs w:val="22"/>
        </w:rPr>
        <w:t xml:space="preserve"> </w:t>
      </w:r>
      <w:r w:rsidRPr="00961AB8">
        <w:rPr>
          <w:rFonts w:cs="Arial"/>
          <w:noProof/>
          <w:szCs w:val="22"/>
        </w:rPr>
        <w:t xml:space="preserve">measurable disease at baseline who had an objective response was 36% in the </w:t>
      </w:r>
      <w:r>
        <w:rPr>
          <w:rFonts w:cs="Arial"/>
          <w:noProof/>
          <w:szCs w:val="22"/>
        </w:rPr>
        <w:t>abiraterone</w:t>
      </w:r>
      <w:r w:rsidRPr="002B7648">
        <w:rPr>
          <w:rFonts w:cs="Arial"/>
          <w:noProof/>
          <w:szCs w:val="22"/>
        </w:rPr>
        <w:t xml:space="preserve"> </w:t>
      </w:r>
      <w:r w:rsidRPr="00961AB8">
        <w:rPr>
          <w:rFonts w:cs="Arial"/>
          <w:noProof/>
          <w:szCs w:val="22"/>
        </w:rPr>
        <w:t>group and 16% in the placebo group (p&lt;0.0001).</w:t>
      </w:r>
      <w:r>
        <w:rPr>
          <w:rFonts w:cs="Arial"/>
          <w:noProof/>
          <w:szCs w:val="22"/>
        </w:rPr>
        <w:t xml:space="preserve">  </w:t>
      </w:r>
    </w:p>
    <w:p w:rsidR="00961AB8" w:rsidRDefault="00961AB8" w:rsidP="00961AB8">
      <w:pPr>
        <w:jc w:val="left"/>
        <w:rPr>
          <w:rFonts w:cs="Arial"/>
          <w:i/>
          <w:noProof/>
          <w:szCs w:val="22"/>
        </w:rPr>
      </w:pPr>
    </w:p>
    <w:p w:rsidR="00961AB8" w:rsidRPr="00961AB8" w:rsidRDefault="00961AB8" w:rsidP="00961AB8">
      <w:pPr>
        <w:jc w:val="left"/>
        <w:rPr>
          <w:rFonts w:cs="Arial"/>
          <w:i/>
          <w:noProof/>
          <w:szCs w:val="22"/>
        </w:rPr>
      </w:pPr>
      <w:r w:rsidRPr="00961AB8">
        <w:rPr>
          <w:rFonts w:cs="Arial"/>
          <w:i/>
          <w:noProof/>
          <w:szCs w:val="22"/>
        </w:rPr>
        <w:t xml:space="preserve">Pain: </w:t>
      </w:r>
    </w:p>
    <w:p w:rsidR="00961AB8" w:rsidRDefault="00961AB8" w:rsidP="00961AB8">
      <w:pPr>
        <w:spacing w:before="120"/>
        <w:jc w:val="left"/>
        <w:rPr>
          <w:rFonts w:cs="Arial"/>
          <w:noProof/>
          <w:szCs w:val="22"/>
        </w:rPr>
      </w:pPr>
      <w:r w:rsidRPr="00961AB8">
        <w:rPr>
          <w:rFonts w:cs="Arial"/>
          <w:noProof/>
          <w:szCs w:val="22"/>
        </w:rPr>
        <w:t xml:space="preserve">Treatment with </w:t>
      </w:r>
      <w:r>
        <w:rPr>
          <w:rFonts w:cs="Arial"/>
          <w:noProof/>
          <w:szCs w:val="22"/>
        </w:rPr>
        <w:t>abiraterone</w:t>
      </w:r>
      <w:r w:rsidRPr="002B7648">
        <w:rPr>
          <w:rFonts w:cs="Arial"/>
          <w:noProof/>
          <w:szCs w:val="22"/>
        </w:rPr>
        <w:t xml:space="preserve"> </w:t>
      </w:r>
      <w:r w:rsidRPr="00961AB8">
        <w:rPr>
          <w:rFonts w:cs="Arial"/>
          <w:noProof/>
          <w:szCs w:val="22"/>
        </w:rPr>
        <w:t xml:space="preserve">significantly reduced the risk of average pain intensity progression by 18% compared with placebo (p=0.0490). </w:t>
      </w:r>
      <w:r>
        <w:rPr>
          <w:rFonts w:cs="Arial"/>
          <w:noProof/>
          <w:szCs w:val="22"/>
        </w:rPr>
        <w:t xml:space="preserve"> </w:t>
      </w:r>
      <w:r w:rsidRPr="00961AB8">
        <w:rPr>
          <w:rFonts w:cs="Arial"/>
          <w:noProof/>
          <w:szCs w:val="22"/>
        </w:rPr>
        <w:t xml:space="preserve">The median time to progression was 26.7 months in the </w:t>
      </w:r>
      <w:r>
        <w:rPr>
          <w:rFonts w:cs="Arial"/>
          <w:noProof/>
          <w:szCs w:val="22"/>
        </w:rPr>
        <w:t>abiraterone</w:t>
      </w:r>
      <w:r w:rsidRPr="002B7648">
        <w:rPr>
          <w:rFonts w:cs="Arial"/>
          <w:noProof/>
          <w:szCs w:val="22"/>
        </w:rPr>
        <w:t xml:space="preserve"> </w:t>
      </w:r>
      <w:r w:rsidRPr="00961AB8">
        <w:rPr>
          <w:rFonts w:cs="Arial"/>
          <w:noProof/>
          <w:szCs w:val="22"/>
        </w:rPr>
        <w:t>group and 18.4 months</w:t>
      </w:r>
      <w:r>
        <w:rPr>
          <w:rFonts w:cs="Arial"/>
          <w:noProof/>
          <w:szCs w:val="22"/>
        </w:rPr>
        <w:t xml:space="preserve"> </w:t>
      </w:r>
      <w:r w:rsidRPr="00961AB8">
        <w:rPr>
          <w:rFonts w:cs="Arial"/>
          <w:noProof/>
          <w:szCs w:val="22"/>
        </w:rPr>
        <w:t xml:space="preserve">in the placebo group. </w:t>
      </w:r>
      <w:r>
        <w:rPr>
          <w:rFonts w:cs="Arial"/>
          <w:noProof/>
          <w:szCs w:val="22"/>
        </w:rPr>
        <w:t xml:space="preserve"> </w:t>
      </w:r>
    </w:p>
    <w:p w:rsidR="00961AB8" w:rsidRPr="00961AB8" w:rsidRDefault="00961AB8" w:rsidP="00961AB8">
      <w:pPr>
        <w:jc w:val="left"/>
        <w:rPr>
          <w:rFonts w:cs="Arial"/>
          <w:noProof/>
          <w:szCs w:val="22"/>
        </w:rPr>
      </w:pPr>
    </w:p>
    <w:p w:rsidR="00961AB8" w:rsidRPr="00961AB8" w:rsidRDefault="00961AB8" w:rsidP="00961AB8">
      <w:pPr>
        <w:jc w:val="left"/>
        <w:rPr>
          <w:rFonts w:cs="Arial"/>
          <w:i/>
          <w:noProof/>
          <w:szCs w:val="22"/>
        </w:rPr>
      </w:pPr>
      <w:r w:rsidRPr="00961AB8">
        <w:rPr>
          <w:rFonts w:cs="Arial"/>
          <w:i/>
          <w:noProof/>
          <w:szCs w:val="22"/>
        </w:rPr>
        <w:t xml:space="preserve">Time to degradation in the FACT-P (Total Score): </w:t>
      </w:r>
    </w:p>
    <w:p w:rsidR="007100AB" w:rsidRDefault="00961AB8" w:rsidP="00961AB8">
      <w:pPr>
        <w:spacing w:before="120"/>
        <w:jc w:val="left"/>
        <w:rPr>
          <w:rFonts w:cs="Arial"/>
          <w:noProof/>
          <w:szCs w:val="22"/>
        </w:rPr>
      </w:pPr>
      <w:r w:rsidRPr="00961AB8">
        <w:rPr>
          <w:rFonts w:cs="Arial"/>
          <w:noProof/>
          <w:szCs w:val="22"/>
        </w:rPr>
        <w:t xml:space="preserve">Treatment with </w:t>
      </w:r>
      <w:r>
        <w:rPr>
          <w:rFonts w:cs="Arial"/>
          <w:noProof/>
          <w:szCs w:val="22"/>
        </w:rPr>
        <w:t>abiraterone</w:t>
      </w:r>
      <w:r w:rsidRPr="002B7648">
        <w:rPr>
          <w:rFonts w:cs="Arial"/>
          <w:noProof/>
          <w:szCs w:val="22"/>
        </w:rPr>
        <w:t xml:space="preserve"> </w:t>
      </w:r>
      <w:r w:rsidRPr="00961AB8">
        <w:rPr>
          <w:rFonts w:cs="Arial"/>
          <w:noProof/>
          <w:szCs w:val="22"/>
        </w:rPr>
        <w:t>decreased the risk of FACT-P (Total Score) degradation by 22% compared with placebo (p=0.0028).</w:t>
      </w:r>
      <w:r>
        <w:rPr>
          <w:rFonts w:cs="Arial"/>
          <w:noProof/>
          <w:szCs w:val="22"/>
        </w:rPr>
        <w:t xml:space="preserve"> </w:t>
      </w:r>
      <w:r w:rsidRPr="00961AB8">
        <w:rPr>
          <w:rFonts w:cs="Arial"/>
          <w:noProof/>
          <w:szCs w:val="22"/>
        </w:rPr>
        <w:t xml:space="preserve"> The median time to degradation in FACT-P (Total Score) was 12.7 months in the </w:t>
      </w:r>
      <w:r>
        <w:rPr>
          <w:rFonts w:cs="Arial"/>
          <w:noProof/>
          <w:szCs w:val="22"/>
        </w:rPr>
        <w:t>abiraterone</w:t>
      </w:r>
      <w:r w:rsidRPr="002B7648">
        <w:rPr>
          <w:rFonts w:cs="Arial"/>
          <w:noProof/>
          <w:szCs w:val="22"/>
        </w:rPr>
        <w:t xml:space="preserve"> </w:t>
      </w:r>
      <w:r w:rsidRPr="00961AB8">
        <w:rPr>
          <w:rFonts w:cs="Arial"/>
          <w:noProof/>
          <w:szCs w:val="22"/>
        </w:rPr>
        <w:t>group and 8.3 months in the placebo group.</w:t>
      </w:r>
      <w:r>
        <w:rPr>
          <w:rFonts w:cs="Arial"/>
          <w:noProof/>
          <w:szCs w:val="22"/>
        </w:rPr>
        <w:t xml:space="preserve">  </w:t>
      </w:r>
    </w:p>
    <w:p w:rsidR="007100AB" w:rsidRDefault="00D67595" w:rsidP="00CD5591">
      <w:pPr>
        <w:jc w:val="left"/>
        <w:rPr>
          <w:rFonts w:cs="Arial"/>
          <w:noProof/>
          <w:szCs w:val="22"/>
        </w:rPr>
      </w:pPr>
      <w:r>
        <w:rPr>
          <w:rFonts w:cs="Arial"/>
          <w:noProof/>
          <w:szCs w:val="22"/>
        </w:rPr>
        <w:br w:type="page"/>
      </w:r>
    </w:p>
    <w:p w:rsidR="00961AB8" w:rsidRPr="006639C4" w:rsidRDefault="006639C4" w:rsidP="00CD5591">
      <w:pPr>
        <w:jc w:val="left"/>
        <w:rPr>
          <w:rFonts w:cs="Arial"/>
          <w:b/>
          <w:noProof/>
          <w:szCs w:val="22"/>
        </w:rPr>
      </w:pPr>
      <w:r w:rsidRPr="006639C4">
        <w:rPr>
          <w:rFonts w:cs="Arial"/>
          <w:b/>
          <w:noProof/>
          <w:szCs w:val="22"/>
        </w:rPr>
        <w:t>Study 301 (patients who had received prior chemotherapy)</w:t>
      </w:r>
    </w:p>
    <w:p w:rsidR="006639C4" w:rsidRDefault="006639C4" w:rsidP="00CD5591">
      <w:pPr>
        <w:jc w:val="left"/>
        <w:rPr>
          <w:rFonts w:cs="Arial"/>
          <w:noProof/>
          <w:szCs w:val="22"/>
        </w:rPr>
      </w:pPr>
    </w:p>
    <w:p w:rsidR="00BB7046" w:rsidRDefault="006639C4" w:rsidP="00CD5591">
      <w:pPr>
        <w:jc w:val="left"/>
        <w:rPr>
          <w:rFonts w:cs="Arial"/>
          <w:noProof/>
          <w:szCs w:val="22"/>
        </w:rPr>
      </w:pPr>
      <w:r w:rsidRPr="006639C4">
        <w:rPr>
          <w:rFonts w:cs="Arial"/>
          <w:noProof/>
          <w:szCs w:val="22"/>
        </w:rPr>
        <w:t xml:space="preserve">Eleven percent of patients enrolled in study 301 had an ECOG performance score of 2; 70% had radiographic evidence of disease progression with or without PSA progression; 70% had received one prior cytotoxic chemotherapy and 30% received two.  Liver metastasis was present in 11% of patients treated with abiraterone.  </w:t>
      </w:r>
    </w:p>
    <w:p w:rsidR="00BB7046" w:rsidRDefault="00BB7046" w:rsidP="00CD5591">
      <w:pPr>
        <w:jc w:val="left"/>
        <w:rPr>
          <w:rFonts w:cs="Arial"/>
          <w:noProof/>
          <w:szCs w:val="22"/>
        </w:rPr>
      </w:pPr>
    </w:p>
    <w:p w:rsidR="00CD5591" w:rsidRDefault="006639C4" w:rsidP="00CD5591">
      <w:pPr>
        <w:jc w:val="left"/>
        <w:rPr>
          <w:rFonts w:cs="Arial"/>
          <w:noProof/>
          <w:szCs w:val="22"/>
        </w:rPr>
      </w:pPr>
      <w:r>
        <w:rPr>
          <w:rFonts w:cs="Arial"/>
          <w:noProof/>
          <w:szCs w:val="22"/>
        </w:rPr>
        <w:t>I</w:t>
      </w:r>
      <w:r w:rsidRPr="006639C4">
        <w:rPr>
          <w:rFonts w:cs="Arial"/>
          <w:noProof/>
          <w:szCs w:val="22"/>
        </w:rPr>
        <w:t xml:space="preserve">t </w:t>
      </w:r>
      <w:r w:rsidR="002607CA" w:rsidRPr="006639C4">
        <w:rPr>
          <w:rFonts w:cs="Arial"/>
          <w:noProof/>
          <w:szCs w:val="22"/>
        </w:rPr>
        <w:t>was recommended that patients be maintained on their study drugs until there was PSA progression (confirmed 25% increase over the patient’s baseline/nadir) together with protocol-defined radiographic progression and symptomatic or clinical progression.  The primary</w:t>
      </w:r>
      <w:r w:rsidR="002607CA" w:rsidRPr="002607CA">
        <w:rPr>
          <w:rFonts w:cs="Arial"/>
          <w:noProof/>
          <w:szCs w:val="22"/>
        </w:rPr>
        <w:t xml:space="preserve"> efficacy endpoint was overall survival.</w:t>
      </w:r>
      <w:r w:rsidR="00140EFF">
        <w:rPr>
          <w:rFonts w:cs="Arial"/>
          <w:noProof/>
          <w:szCs w:val="22"/>
        </w:rPr>
        <w:t xml:space="preserve">  </w:t>
      </w:r>
    </w:p>
    <w:p w:rsidR="00305B7A" w:rsidRDefault="00305B7A" w:rsidP="009F3479">
      <w:pPr>
        <w:jc w:val="left"/>
        <w:rPr>
          <w:noProof/>
          <w:szCs w:val="22"/>
        </w:rPr>
      </w:pPr>
    </w:p>
    <w:p w:rsidR="004026A4" w:rsidRDefault="00DB0696" w:rsidP="009F3479">
      <w:pPr>
        <w:jc w:val="left"/>
        <w:rPr>
          <w:noProof/>
          <w:szCs w:val="22"/>
        </w:rPr>
      </w:pPr>
      <w:r w:rsidRPr="00DB0696">
        <w:rPr>
          <w:noProof/>
          <w:szCs w:val="22"/>
        </w:rPr>
        <w:t xml:space="preserve">In a planned analysis conducted after 552 deaths were observed, 42% (333 of 797) of patients treated with </w:t>
      </w:r>
      <w:r w:rsidR="00805AD8">
        <w:rPr>
          <w:rFonts w:cs="Arial"/>
          <w:noProof/>
          <w:szCs w:val="22"/>
        </w:rPr>
        <w:t>abiraterone</w:t>
      </w:r>
      <w:r w:rsidR="00805AD8" w:rsidRPr="00DB0696">
        <w:rPr>
          <w:noProof/>
          <w:szCs w:val="22"/>
        </w:rPr>
        <w:t xml:space="preserve"> </w:t>
      </w:r>
      <w:r w:rsidRPr="00DB0696">
        <w:rPr>
          <w:noProof/>
          <w:szCs w:val="22"/>
        </w:rPr>
        <w:t xml:space="preserve">compared </w:t>
      </w:r>
      <w:r w:rsidR="00794E98">
        <w:rPr>
          <w:noProof/>
          <w:szCs w:val="22"/>
        </w:rPr>
        <w:t>with</w:t>
      </w:r>
      <w:r w:rsidRPr="00DB0696">
        <w:rPr>
          <w:noProof/>
          <w:szCs w:val="22"/>
        </w:rPr>
        <w:t xml:space="preserve"> 55% (219 of 398) of patients treated with placebo had died.  A statistically significant improvement in median overall survival was seen in patients treated with </w:t>
      </w:r>
      <w:r w:rsidR="00805AD8">
        <w:rPr>
          <w:rFonts w:cs="Arial"/>
          <w:noProof/>
          <w:szCs w:val="22"/>
        </w:rPr>
        <w:t>abiraterone</w:t>
      </w:r>
      <w:r w:rsidR="00805AD8" w:rsidRPr="00DB0696">
        <w:rPr>
          <w:noProof/>
          <w:szCs w:val="22"/>
        </w:rPr>
        <w:t xml:space="preserve"> </w:t>
      </w:r>
      <w:r w:rsidRPr="00DB0696">
        <w:rPr>
          <w:noProof/>
          <w:szCs w:val="22"/>
        </w:rPr>
        <w:t xml:space="preserve">(see </w:t>
      </w:r>
      <w:r w:rsidRPr="00A9667B">
        <w:rPr>
          <w:noProof/>
          <w:szCs w:val="22"/>
        </w:rPr>
        <w:t xml:space="preserve">Table </w:t>
      </w:r>
      <w:r w:rsidR="00BB7046">
        <w:rPr>
          <w:noProof/>
          <w:szCs w:val="22"/>
        </w:rPr>
        <w:t>3</w:t>
      </w:r>
      <w:r w:rsidRPr="00DB0696">
        <w:rPr>
          <w:noProof/>
          <w:szCs w:val="22"/>
        </w:rPr>
        <w:t>).</w:t>
      </w:r>
      <w:r>
        <w:rPr>
          <w:noProof/>
          <w:szCs w:val="22"/>
        </w:rPr>
        <w:t xml:space="preserve">  </w:t>
      </w:r>
    </w:p>
    <w:p w:rsidR="002048A4" w:rsidRDefault="002048A4" w:rsidP="009F3479">
      <w:pPr>
        <w:jc w:val="left"/>
        <w:rPr>
          <w:noProof/>
          <w:szCs w:val="22"/>
        </w:rPr>
      </w:pPr>
    </w:p>
    <w:p w:rsidR="00044396" w:rsidRDefault="00A9667B" w:rsidP="00A37F44">
      <w:pPr>
        <w:jc w:val="left"/>
        <w:rPr>
          <w:b/>
          <w:noProof/>
          <w:szCs w:val="22"/>
        </w:rPr>
      </w:pPr>
      <w:r>
        <w:rPr>
          <w:b/>
          <w:noProof/>
          <w:szCs w:val="22"/>
        </w:rPr>
        <w:t xml:space="preserve">Table </w:t>
      </w:r>
      <w:r w:rsidR="00BB7046">
        <w:rPr>
          <w:b/>
          <w:noProof/>
          <w:szCs w:val="22"/>
        </w:rPr>
        <w:t>3</w:t>
      </w:r>
      <w:r w:rsidR="00A37F44" w:rsidRPr="00A37F44">
        <w:rPr>
          <w:b/>
          <w:noProof/>
          <w:szCs w:val="22"/>
        </w:rPr>
        <w:t xml:space="preserve">: </w:t>
      </w:r>
      <w:r w:rsidR="00044396">
        <w:rPr>
          <w:b/>
          <w:noProof/>
          <w:szCs w:val="22"/>
        </w:rPr>
        <w:t xml:space="preserve">Study 301: </w:t>
      </w:r>
      <w:r w:rsidR="00A37F44" w:rsidRPr="00A37F44">
        <w:rPr>
          <w:b/>
          <w:noProof/>
          <w:szCs w:val="22"/>
        </w:rPr>
        <w:t xml:space="preserve">Overall Survival of patients treated with either </w:t>
      </w:r>
      <w:r w:rsidR="007100AB">
        <w:rPr>
          <w:b/>
          <w:noProof/>
          <w:szCs w:val="22"/>
        </w:rPr>
        <w:t>abiraterone</w:t>
      </w:r>
      <w:r w:rsidR="007100AB" w:rsidRPr="00A37F44">
        <w:rPr>
          <w:b/>
          <w:noProof/>
          <w:szCs w:val="22"/>
        </w:rPr>
        <w:t xml:space="preserve"> </w:t>
      </w:r>
      <w:r w:rsidR="00A37F44" w:rsidRPr="00A37F44">
        <w:rPr>
          <w:b/>
          <w:noProof/>
          <w:szCs w:val="22"/>
        </w:rPr>
        <w:t xml:space="preserve">or </w:t>
      </w:r>
    </w:p>
    <w:p w:rsidR="00044396" w:rsidRDefault="00A37F44" w:rsidP="00044396">
      <w:pPr>
        <w:ind w:firstLine="851"/>
        <w:jc w:val="left"/>
        <w:rPr>
          <w:b/>
          <w:noProof/>
          <w:szCs w:val="22"/>
        </w:rPr>
      </w:pPr>
      <w:r w:rsidRPr="00A37F44">
        <w:rPr>
          <w:b/>
          <w:noProof/>
          <w:szCs w:val="22"/>
        </w:rPr>
        <w:t xml:space="preserve">placebo in combination with prednisone or prednisolone plus LHRH agonists </w:t>
      </w:r>
    </w:p>
    <w:p w:rsidR="00DB0696" w:rsidRPr="00A37F44" w:rsidRDefault="00A37F44" w:rsidP="00044396">
      <w:pPr>
        <w:ind w:firstLine="851"/>
        <w:jc w:val="left"/>
        <w:rPr>
          <w:b/>
          <w:noProof/>
          <w:szCs w:val="22"/>
        </w:rPr>
      </w:pPr>
      <w:r w:rsidRPr="00A37F44">
        <w:rPr>
          <w:b/>
          <w:noProof/>
          <w:szCs w:val="22"/>
        </w:rPr>
        <w:t>or prior orchiectomy</w:t>
      </w:r>
    </w:p>
    <w:p w:rsidR="00A9667B" w:rsidRDefault="00A9667B" w:rsidP="009F3479">
      <w:pPr>
        <w:jc w:val="left"/>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3191"/>
        <w:gridCol w:w="3191"/>
      </w:tblGrid>
      <w:tr w:rsidR="00BD2BAD" w:rsidRPr="00607DF0" w:rsidTr="00607DF0">
        <w:tc>
          <w:tcPr>
            <w:tcW w:w="3191" w:type="dxa"/>
          </w:tcPr>
          <w:p w:rsidR="00BD2BAD" w:rsidRPr="00607DF0" w:rsidRDefault="00BD2BAD" w:rsidP="00607DF0">
            <w:pPr>
              <w:jc w:val="left"/>
              <w:rPr>
                <w:noProof/>
                <w:szCs w:val="22"/>
              </w:rPr>
            </w:pPr>
          </w:p>
        </w:tc>
        <w:tc>
          <w:tcPr>
            <w:tcW w:w="3191" w:type="dxa"/>
          </w:tcPr>
          <w:p w:rsidR="00BD2BAD" w:rsidRDefault="00BD2BAD" w:rsidP="00607DF0">
            <w:pPr>
              <w:jc w:val="center"/>
            </w:pPr>
            <w:r>
              <w:t>ABIRATERONE</w:t>
            </w:r>
          </w:p>
          <w:p w:rsidR="00BD2BAD" w:rsidRPr="00B22D72" w:rsidRDefault="00BD2BAD" w:rsidP="00607DF0">
            <w:pPr>
              <w:jc w:val="center"/>
            </w:pPr>
            <w:r>
              <w:t>(N=797)</w:t>
            </w:r>
          </w:p>
        </w:tc>
        <w:tc>
          <w:tcPr>
            <w:tcW w:w="3191" w:type="dxa"/>
          </w:tcPr>
          <w:p w:rsidR="00BD2BAD" w:rsidRDefault="00BD2BAD" w:rsidP="00607DF0">
            <w:pPr>
              <w:jc w:val="center"/>
            </w:pPr>
            <w:r w:rsidRPr="00B22D72">
              <w:t>PLACEBO</w:t>
            </w:r>
          </w:p>
          <w:p w:rsidR="00BD2BAD" w:rsidRPr="00B22D72" w:rsidRDefault="00BD2BAD" w:rsidP="00607DF0">
            <w:pPr>
              <w:jc w:val="center"/>
            </w:pPr>
            <w:r w:rsidRPr="00BD2BAD">
              <w:t>(N=398)</w:t>
            </w:r>
          </w:p>
        </w:tc>
      </w:tr>
      <w:tr w:rsidR="00550B32" w:rsidRPr="00607DF0" w:rsidTr="00607DF0">
        <w:tc>
          <w:tcPr>
            <w:tcW w:w="3191" w:type="dxa"/>
          </w:tcPr>
          <w:p w:rsidR="00550B32" w:rsidRPr="00443CA9" w:rsidRDefault="00550B32" w:rsidP="00607DF0">
            <w:pPr>
              <w:jc w:val="center"/>
            </w:pPr>
            <w:r w:rsidRPr="00443CA9">
              <w:t>Deaths</w:t>
            </w:r>
          </w:p>
        </w:tc>
        <w:tc>
          <w:tcPr>
            <w:tcW w:w="3191" w:type="dxa"/>
          </w:tcPr>
          <w:p w:rsidR="00550B32" w:rsidRPr="00443CA9" w:rsidRDefault="00550B32" w:rsidP="00607DF0">
            <w:pPr>
              <w:jc w:val="center"/>
            </w:pPr>
            <w:r w:rsidRPr="00443CA9">
              <w:t>333 (42%)</w:t>
            </w:r>
          </w:p>
        </w:tc>
        <w:tc>
          <w:tcPr>
            <w:tcW w:w="3191" w:type="dxa"/>
          </w:tcPr>
          <w:p w:rsidR="00550B32" w:rsidRDefault="00550B32" w:rsidP="00607DF0">
            <w:pPr>
              <w:jc w:val="center"/>
            </w:pPr>
            <w:r w:rsidRPr="00443CA9">
              <w:t>219 (55%)</w:t>
            </w:r>
          </w:p>
        </w:tc>
      </w:tr>
      <w:tr w:rsidR="005D5CDC" w:rsidRPr="00607DF0" w:rsidTr="00607DF0">
        <w:tc>
          <w:tcPr>
            <w:tcW w:w="3191" w:type="dxa"/>
          </w:tcPr>
          <w:p w:rsidR="005D5CDC" w:rsidRDefault="005D5CDC" w:rsidP="00607DF0">
            <w:pPr>
              <w:jc w:val="center"/>
            </w:pPr>
            <w:r w:rsidRPr="0087544B">
              <w:t>Median overall survival in months</w:t>
            </w:r>
          </w:p>
          <w:p w:rsidR="005D5CDC" w:rsidRPr="0087544B" w:rsidRDefault="005D5CDC" w:rsidP="00607DF0">
            <w:pPr>
              <w:jc w:val="center"/>
            </w:pPr>
            <w:r w:rsidRPr="0087544B">
              <w:t>(95% CI)</w:t>
            </w:r>
          </w:p>
        </w:tc>
        <w:tc>
          <w:tcPr>
            <w:tcW w:w="3191" w:type="dxa"/>
          </w:tcPr>
          <w:p w:rsidR="005D5CDC" w:rsidRDefault="005D5CDC" w:rsidP="00607DF0">
            <w:pPr>
              <w:jc w:val="center"/>
            </w:pPr>
            <w:r w:rsidRPr="0087544B">
              <w:t>14.8 (14.1, 15.4)</w:t>
            </w:r>
          </w:p>
        </w:tc>
        <w:tc>
          <w:tcPr>
            <w:tcW w:w="3191" w:type="dxa"/>
          </w:tcPr>
          <w:p w:rsidR="005D5CDC" w:rsidRDefault="005D5CDC" w:rsidP="00607DF0">
            <w:pPr>
              <w:jc w:val="center"/>
            </w:pPr>
            <w:r w:rsidRPr="0087544B">
              <w:t>10.9 (10.2, 12.0)</w:t>
            </w:r>
          </w:p>
        </w:tc>
      </w:tr>
      <w:tr w:rsidR="005D5CDC" w:rsidRPr="00607DF0" w:rsidTr="00607DF0">
        <w:tc>
          <w:tcPr>
            <w:tcW w:w="3191" w:type="dxa"/>
          </w:tcPr>
          <w:p w:rsidR="005D5CDC" w:rsidRPr="009C5005" w:rsidRDefault="005D5CDC" w:rsidP="00607DF0">
            <w:pPr>
              <w:jc w:val="center"/>
            </w:pPr>
            <w:r w:rsidRPr="009C5005">
              <w:t>p value</w:t>
            </w:r>
          </w:p>
        </w:tc>
        <w:tc>
          <w:tcPr>
            <w:tcW w:w="3191" w:type="dxa"/>
          </w:tcPr>
          <w:p w:rsidR="005D5CDC" w:rsidRPr="009C5005" w:rsidRDefault="005D5CDC" w:rsidP="00607DF0">
            <w:pPr>
              <w:jc w:val="center"/>
            </w:pPr>
            <w:r w:rsidRPr="009C5005">
              <w:t>&lt; 0.0001</w:t>
            </w:r>
          </w:p>
        </w:tc>
        <w:tc>
          <w:tcPr>
            <w:tcW w:w="3191" w:type="dxa"/>
          </w:tcPr>
          <w:p w:rsidR="005D5CDC" w:rsidRPr="00607DF0" w:rsidRDefault="005D5CDC" w:rsidP="00607DF0">
            <w:pPr>
              <w:jc w:val="center"/>
              <w:rPr>
                <w:noProof/>
                <w:szCs w:val="22"/>
              </w:rPr>
            </w:pPr>
          </w:p>
        </w:tc>
      </w:tr>
      <w:tr w:rsidR="00BD2BAD" w:rsidRPr="00607DF0" w:rsidTr="00607DF0">
        <w:tc>
          <w:tcPr>
            <w:tcW w:w="3191" w:type="dxa"/>
          </w:tcPr>
          <w:p w:rsidR="00BD2BAD" w:rsidRPr="00607DF0" w:rsidRDefault="005D5CDC" w:rsidP="00607DF0">
            <w:pPr>
              <w:jc w:val="center"/>
              <w:rPr>
                <w:noProof/>
                <w:szCs w:val="22"/>
              </w:rPr>
            </w:pPr>
            <w:r w:rsidRPr="00607DF0">
              <w:rPr>
                <w:noProof/>
                <w:szCs w:val="22"/>
              </w:rPr>
              <w:t>Hazard ratio*</w:t>
            </w:r>
          </w:p>
          <w:p w:rsidR="005D5CDC" w:rsidRPr="00607DF0" w:rsidRDefault="005D5CDC" w:rsidP="00607DF0">
            <w:pPr>
              <w:jc w:val="center"/>
              <w:rPr>
                <w:noProof/>
                <w:szCs w:val="22"/>
              </w:rPr>
            </w:pPr>
            <w:r w:rsidRPr="00607DF0">
              <w:rPr>
                <w:noProof/>
                <w:szCs w:val="22"/>
              </w:rPr>
              <w:t>(95% CI)</w:t>
            </w:r>
          </w:p>
        </w:tc>
        <w:tc>
          <w:tcPr>
            <w:tcW w:w="3191" w:type="dxa"/>
          </w:tcPr>
          <w:p w:rsidR="00BD2BAD" w:rsidRPr="00607DF0" w:rsidRDefault="005D5CDC" w:rsidP="00607DF0">
            <w:pPr>
              <w:jc w:val="center"/>
              <w:rPr>
                <w:noProof/>
                <w:szCs w:val="22"/>
              </w:rPr>
            </w:pPr>
            <w:r w:rsidRPr="00607DF0">
              <w:rPr>
                <w:noProof/>
                <w:szCs w:val="22"/>
              </w:rPr>
              <w:t>0.646 (0.543, 0.768)</w:t>
            </w:r>
          </w:p>
        </w:tc>
        <w:tc>
          <w:tcPr>
            <w:tcW w:w="3191" w:type="dxa"/>
          </w:tcPr>
          <w:p w:rsidR="00BD2BAD" w:rsidRPr="00607DF0" w:rsidRDefault="00BD2BAD" w:rsidP="00607DF0">
            <w:pPr>
              <w:jc w:val="center"/>
              <w:rPr>
                <w:noProof/>
                <w:szCs w:val="22"/>
              </w:rPr>
            </w:pPr>
          </w:p>
        </w:tc>
      </w:tr>
      <w:tr w:rsidR="005D5CDC" w:rsidRPr="00607DF0" w:rsidTr="00607DF0">
        <w:tc>
          <w:tcPr>
            <w:tcW w:w="9573" w:type="dxa"/>
            <w:gridSpan w:val="3"/>
            <w:tcBorders>
              <w:left w:val="nil"/>
              <w:bottom w:val="nil"/>
              <w:right w:val="nil"/>
            </w:tcBorders>
          </w:tcPr>
          <w:p w:rsidR="005D5CDC" w:rsidRPr="00607DF0" w:rsidRDefault="005D5CDC" w:rsidP="00607DF0">
            <w:pPr>
              <w:jc w:val="left"/>
              <w:rPr>
                <w:noProof/>
                <w:sz w:val="18"/>
                <w:szCs w:val="18"/>
              </w:rPr>
            </w:pPr>
            <w:r w:rsidRPr="00607DF0">
              <w:rPr>
                <w:noProof/>
                <w:sz w:val="18"/>
                <w:szCs w:val="18"/>
              </w:rPr>
              <w:t>*Hazard ratio &lt;1 favours abiraterone</w:t>
            </w:r>
          </w:p>
        </w:tc>
      </w:tr>
    </w:tbl>
    <w:p w:rsidR="00A9667B" w:rsidRDefault="00A9667B" w:rsidP="005D5CDC">
      <w:pPr>
        <w:jc w:val="left"/>
        <w:rPr>
          <w:noProof/>
          <w:szCs w:val="22"/>
        </w:rPr>
      </w:pPr>
    </w:p>
    <w:p w:rsidR="00A9667B" w:rsidRDefault="00724719" w:rsidP="009F3479">
      <w:pPr>
        <w:jc w:val="left"/>
        <w:rPr>
          <w:noProof/>
          <w:szCs w:val="22"/>
        </w:rPr>
      </w:pPr>
      <w:r w:rsidRPr="00724719">
        <w:rPr>
          <w:noProof/>
          <w:szCs w:val="22"/>
        </w:rPr>
        <w:t xml:space="preserve">At all evaluation time points after the initial few months of treatment, a higher proportion of patients treated with </w:t>
      </w:r>
      <w:r>
        <w:rPr>
          <w:noProof/>
          <w:szCs w:val="22"/>
        </w:rPr>
        <w:t>abiraterone</w:t>
      </w:r>
      <w:r w:rsidRPr="00724719">
        <w:rPr>
          <w:noProof/>
          <w:szCs w:val="22"/>
        </w:rPr>
        <w:t xml:space="preserve"> remained alive compared </w:t>
      </w:r>
      <w:r w:rsidR="00794E98">
        <w:rPr>
          <w:noProof/>
          <w:szCs w:val="22"/>
        </w:rPr>
        <w:t>with</w:t>
      </w:r>
      <w:r w:rsidRPr="00724719">
        <w:rPr>
          <w:noProof/>
          <w:szCs w:val="22"/>
        </w:rPr>
        <w:t xml:space="preserve"> the proportion of patients treated with placebo (see Figure </w:t>
      </w:r>
      <w:r w:rsidR="00BB7046">
        <w:rPr>
          <w:noProof/>
          <w:szCs w:val="22"/>
        </w:rPr>
        <w:t>5</w:t>
      </w:r>
      <w:r w:rsidRPr="00724719">
        <w:rPr>
          <w:noProof/>
          <w:szCs w:val="22"/>
        </w:rPr>
        <w:t>).</w:t>
      </w:r>
      <w:r>
        <w:rPr>
          <w:noProof/>
          <w:szCs w:val="22"/>
        </w:rPr>
        <w:t xml:space="preserve">  </w:t>
      </w:r>
    </w:p>
    <w:p w:rsidR="000A7722" w:rsidRDefault="00735345" w:rsidP="009F3479">
      <w:pPr>
        <w:jc w:val="left"/>
        <w:rPr>
          <w:b/>
          <w:noProof/>
          <w:szCs w:val="22"/>
        </w:rPr>
      </w:pPr>
      <w:r>
        <w:rPr>
          <w:noProof/>
          <w:szCs w:val="22"/>
        </w:rPr>
        <w:br w:type="page"/>
      </w:r>
      <w:r w:rsidR="000A7722" w:rsidRPr="000A7722">
        <w:rPr>
          <w:b/>
          <w:noProof/>
          <w:szCs w:val="22"/>
        </w:rPr>
        <w:lastRenderedPageBreak/>
        <w:t xml:space="preserve">Figure </w:t>
      </w:r>
      <w:r w:rsidR="00BB7046">
        <w:rPr>
          <w:b/>
          <w:noProof/>
          <w:szCs w:val="22"/>
        </w:rPr>
        <w:t>5</w:t>
      </w:r>
      <w:r w:rsidR="000A7722" w:rsidRPr="000A7722">
        <w:rPr>
          <w:b/>
          <w:noProof/>
          <w:szCs w:val="22"/>
        </w:rPr>
        <w:t xml:space="preserve">: Kaplan Meier survival curves of patients treated with either </w:t>
      </w:r>
      <w:r w:rsidR="000A7722">
        <w:rPr>
          <w:b/>
          <w:noProof/>
          <w:szCs w:val="22"/>
        </w:rPr>
        <w:t>abiraterone</w:t>
      </w:r>
      <w:r w:rsidR="000A7722" w:rsidRPr="000A7722">
        <w:rPr>
          <w:b/>
          <w:noProof/>
          <w:szCs w:val="22"/>
        </w:rPr>
        <w:t xml:space="preserve"> or </w:t>
      </w:r>
    </w:p>
    <w:p w:rsidR="000A7722" w:rsidRPr="000A7722" w:rsidRDefault="000A7722" w:rsidP="000A7722">
      <w:pPr>
        <w:ind w:left="993"/>
        <w:jc w:val="left"/>
        <w:rPr>
          <w:b/>
          <w:noProof/>
          <w:szCs w:val="22"/>
        </w:rPr>
      </w:pPr>
      <w:r w:rsidRPr="000A7722">
        <w:rPr>
          <w:b/>
          <w:noProof/>
          <w:szCs w:val="22"/>
        </w:rPr>
        <w:t>placebo in combination with prednisone or prednisolone plus LHRH agonists or prior orchiectomy</w:t>
      </w:r>
    </w:p>
    <w:p w:rsidR="000A7722" w:rsidRDefault="00610263" w:rsidP="009F3479">
      <w:pPr>
        <w:jc w:val="left"/>
        <w:rPr>
          <w:noProof/>
          <w:szCs w:val="22"/>
        </w:rPr>
      </w:pPr>
      <w:r>
        <w:rPr>
          <w:noProof/>
          <w:szCs w:val="22"/>
          <w:lang w:eastAsia="en-AU"/>
        </w:rPr>
        <w:drawing>
          <wp:inline distT="0" distB="0" distL="0" distR="0">
            <wp:extent cx="4884420" cy="3649980"/>
            <wp:effectExtent l="0" t="0" r="0" b="7620"/>
            <wp:docPr id="159" name="Picture 159" descr="Figure 5: Kaplan Meier survival curves of patients treated with either abiraterone or &#10;placebo in combination with prednisone or prednisolone plus LHRH agonists or prior orchiectom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Figure 5: Kaplan Meier survival curves of patients treated with either abiraterone or &#10;placebo in combination with prednisone or prednisolone plus LHRH agonists or prior orchiectomy&#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84420" cy="3649980"/>
                    </a:xfrm>
                    <a:prstGeom prst="rect">
                      <a:avLst/>
                    </a:prstGeom>
                    <a:noFill/>
                  </pic:spPr>
                </pic:pic>
              </a:graphicData>
            </a:graphic>
          </wp:inline>
        </w:drawing>
      </w:r>
    </w:p>
    <w:p w:rsidR="000A7722" w:rsidRPr="00FA76D6" w:rsidRDefault="00FA76D6" w:rsidP="009F3479">
      <w:pPr>
        <w:jc w:val="left"/>
        <w:rPr>
          <w:noProof/>
          <w:sz w:val="18"/>
          <w:szCs w:val="18"/>
        </w:rPr>
      </w:pPr>
      <w:r w:rsidRPr="00FA76D6">
        <w:rPr>
          <w:noProof/>
          <w:sz w:val="18"/>
          <w:szCs w:val="18"/>
        </w:rPr>
        <w:t>AA = abiraterone acetate</w:t>
      </w:r>
    </w:p>
    <w:p w:rsidR="00D67595" w:rsidRDefault="00D67595" w:rsidP="009F3479">
      <w:pPr>
        <w:jc w:val="left"/>
        <w:rPr>
          <w:noProof/>
          <w:szCs w:val="22"/>
        </w:rPr>
      </w:pPr>
    </w:p>
    <w:p w:rsidR="000A7722" w:rsidRDefault="000215C8" w:rsidP="009F3479">
      <w:pPr>
        <w:jc w:val="left"/>
        <w:rPr>
          <w:noProof/>
          <w:szCs w:val="22"/>
        </w:rPr>
      </w:pPr>
      <w:r w:rsidRPr="000215C8">
        <w:rPr>
          <w:noProof/>
          <w:szCs w:val="22"/>
        </w:rPr>
        <w:t xml:space="preserve">Subgroup survival analyses showed a consistent survival benefit for treatment with </w:t>
      </w:r>
      <w:r>
        <w:rPr>
          <w:noProof/>
          <w:szCs w:val="22"/>
        </w:rPr>
        <w:t>abiraterone</w:t>
      </w:r>
      <w:r w:rsidRPr="000215C8">
        <w:rPr>
          <w:noProof/>
          <w:szCs w:val="22"/>
        </w:rPr>
        <w:t xml:space="preserve"> (see Figure </w:t>
      </w:r>
      <w:r w:rsidR="00BB7046">
        <w:rPr>
          <w:noProof/>
          <w:szCs w:val="22"/>
        </w:rPr>
        <w:t>6</w:t>
      </w:r>
      <w:r w:rsidRPr="000215C8">
        <w:rPr>
          <w:noProof/>
          <w:szCs w:val="22"/>
        </w:rPr>
        <w:t xml:space="preserve">).  </w:t>
      </w:r>
    </w:p>
    <w:p w:rsidR="00D67595" w:rsidRDefault="00D67595" w:rsidP="009F3479">
      <w:pPr>
        <w:jc w:val="left"/>
        <w:rPr>
          <w:noProof/>
          <w:szCs w:val="22"/>
        </w:rPr>
      </w:pPr>
      <w:r>
        <w:rPr>
          <w:noProof/>
          <w:szCs w:val="22"/>
        </w:rPr>
        <w:br w:type="page"/>
      </w:r>
    </w:p>
    <w:p w:rsidR="000A7722" w:rsidRDefault="00924C03" w:rsidP="009F3479">
      <w:pPr>
        <w:jc w:val="left"/>
        <w:rPr>
          <w:b/>
          <w:noProof/>
          <w:szCs w:val="22"/>
        </w:rPr>
      </w:pPr>
      <w:r w:rsidRPr="00924C03">
        <w:rPr>
          <w:b/>
          <w:noProof/>
          <w:szCs w:val="22"/>
        </w:rPr>
        <w:t xml:space="preserve">Figure </w:t>
      </w:r>
      <w:r w:rsidR="00BB7046">
        <w:rPr>
          <w:b/>
          <w:noProof/>
          <w:szCs w:val="22"/>
        </w:rPr>
        <w:t>6</w:t>
      </w:r>
      <w:r w:rsidRPr="00924C03">
        <w:rPr>
          <w:b/>
          <w:noProof/>
          <w:szCs w:val="22"/>
        </w:rPr>
        <w:t>: Overall Survival by Subgroup: Hazard Ratio and 95% Confidence Interval</w:t>
      </w:r>
    </w:p>
    <w:p w:rsidR="00D67595" w:rsidRPr="00924C03" w:rsidRDefault="00D67595" w:rsidP="009F3479">
      <w:pPr>
        <w:jc w:val="left"/>
        <w:rPr>
          <w:b/>
          <w:noProof/>
          <w:szCs w:val="22"/>
        </w:rPr>
      </w:pPr>
    </w:p>
    <w:p w:rsidR="000215C8" w:rsidRDefault="00610263" w:rsidP="008749D5">
      <w:pPr>
        <w:rPr>
          <w:noProof/>
          <w:szCs w:val="22"/>
        </w:rPr>
      </w:pPr>
      <w:r>
        <w:rPr>
          <w:noProof/>
          <w:szCs w:val="22"/>
          <w:lang w:eastAsia="en-AU"/>
        </w:rPr>
        <w:drawing>
          <wp:inline distT="0" distB="0" distL="0" distR="0">
            <wp:extent cx="5113020" cy="4678680"/>
            <wp:effectExtent l="0" t="0" r="0" b="7620"/>
            <wp:docPr id="160" name="Picture 160" descr="Figure 6: Overall Survival by Subgroup: Hazard Ratio and 95% Confidence Inte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Figure 6: Overall Survival by Subgroup: Hazard Ratio and 95% Confidence Interval"/>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13020" cy="4678680"/>
                    </a:xfrm>
                    <a:prstGeom prst="rect">
                      <a:avLst/>
                    </a:prstGeom>
                    <a:noFill/>
                  </pic:spPr>
                </pic:pic>
              </a:graphicData>
            </a:graphic>
          </wp:inline>
        </w:drawing>
      </w:r>
    </w:p>
    <w:p w:rsidR="00924C03" w:rsidRPr="008749D5" w:rsidRDefault="008749D5" w:rsidP="009F3479">
      <w:pPr>
        <w:jc w:val="left"/>
        <w:rPr>
          <w:noProof/>
          <w:sz w:val="18"/>
          <w:szCs w:val="18"/>
        </w:rPr>
      </w:pPr>
      <w:r w:rsidRPr="008749D5">
        <w:rPr>
          <w:noProof/>
          <w:sz w:val="18"/>
          <w:szCs w:val="18"/>
        </w:rPr>
        <w:t>AA=</w:t>
      </w:r>
      <w:r>
        <w:rPr>
          <w:noProof/>
          <w:sz w:val="18"/>
          <w:szCs w:val="18"/>
        </w:rPr>
        <w:t>abiraterone acetate</w:t>
      </w:r>
      <w:r w:rsidRPr="008749D5">
        <w:rPr>
          <w:noProof/>
          <w:sz w:val="18"/>
          <w:szCs w:val="18"/>
        </w:rPr>
        <w:t>; ALK-P=alkaline phosphatase; BPI=Brief Pain Inventory; C.I.=confidence interval; ECOG=Eastern Cooperative Oncology Group performance score; HR=hazard ratio; LDH=lactic dehydrogenase; N.A.=North America; NE=not evaluable; No.=number</w:t>
      </w:r>
    </w:p>
    <w:p w:rsidR="00924C03" w:rsidRDefault="00924C03" w:rsidP="009F3479">
      <w:pPr>
        <w:jc w:val="left"/>
        <w:rPr>
          <w:noProof/>
          <w:szCs w:val="22"/>
        </w:rPr>
      </w:pPr>
    </w:p>
    <w:p w:rsidR="00D362E1" w:rsidRDefault="00D362E1" w:rsidP="00D362E1">
      <w:pPr>
        <w:jc w:val="left"/>
        <w:rPr>
          <w:noProof/>
          <w:szCs w:val="22"/>
        </w:rPr>
      </w:pPr>
      <w:r w:rsidRPr="00D362E1">
        <w:rPr>
          <w:noProof/>
          <w:szCs w:val="22"/>
        </w:rPr>
        <w:t xml:space="preserve">In addition to the observed improvement in overall survival, all secondary study endpoints favored </w:t>
      </w:r>
      <w:r>
        <w:rPr>
          <w:noProof/>
          <w:szCs w:val="22"/>
        </w:rPr>
        <w:t>abiraterone</w:t>
      </w:r>
      <w:r w:rsidRPr="00D362E1">
        <w:rPr>
          <w:noProof/>
          <w:szCs w:val="22"/>
        </w:rPr>
        <w:t xml:space="preserve"> and were statistically significant after adjusting for multiple testing as follow</w:t>
      </w:r>
      <w:r>
        <w:rPr>
          <w:noProof/>
          <w:szCs w:val="22"/>
        </w:rPr>
        <w:t xml:space="preserve">s. </w:t>
      </w:r>
      <w:r w:rsidRPr="00D362E1">
        <w:rPr>
          <w:noProof/>
          <w:szCs w:val="22"/>
        </w:rPr>
        <w:t xml:space="preserve"> </w:t>
      </w:r>
    </w:p>
    <w:p w:rsidR="00D362E1" w:rsidRPr="00D362E1" w:rsidRDefault="00D362E1" w:rsidP="00D362E1">
      <w:pPr>
        <w:jc w:val="left"/>
        <w:rPr>
          <w:noProof/>
          <w:szCs w:val="22"/>
        </w:rPr>
      </w:pPr>
    </w:p>
    <w:p w:rsidR="008749D5" w:rsidRDefault="00D362E1" w:rsidP="00D362E1">
      <w:pPr>
        <w:jc w:val="left"/>
        <w:rPr>
          <w:noProof/>
          <w:szCs w:val="22"/>
        </w:rPr>
      </w:pPr>
      <w:r w:rsidRPr="00D362E1">
        <w:rPr>
          <w:noProof/>
          <w:szCs w:val="22"/>
        </w:rPr>
        <w:t xml:space="preserve">Patients receiving </w:t>
      </w:r>
      <w:r>
        <w:rPr>
          <w:noProof/>
          <w:szCs w:val="22"/>
        </w:rPr>
        <w:t>abiraterone</w:t>
      </w:r>
      <w:r w:rsidRPr="00D362E1">
        <w:rPr>
          <w:noProof/>
          <w:szCs w:val="22"/>
        </w:rPr>
        <w:t xml:space="preserve"> demonstrated a significantly higher total PSA response rate (defined as a ≥ 50% reduction from baseline)</w:t>
      </w:r>
      <w:r w:rsidR="0075637A">
        <w:rPr>
          <w:noProof/>
          <w:szCs w:val="22"/>
        </w:rPr>
        <w:t>, compared with</w:t>
      </w:r>
      <w:r w:rsidRPr="00D362E1">
        <w:rPr>
          <w:noProof/>
          <w:szCs w:val="22"/>
        </w:rPr>
        <w:t xml:space="preserve"> patients re</w:t>
      </w:r>
      <w:r w:rsidR="0075637A">
        <w:rPr>
          <w:noProof/>
          <w:szCs w:val="22"/>
        </w:rPr>
        <w:t xml:space="preserve">ceiving placebo: </w:t>
      </w:r>
      <w:r w:rsidR="00FF54F2">
        <w:rPr>
          <w:noProof/>
          <w:szCs w:val="22"/>
        </w:rPr>
        <w:t>29</w:t>
      </w:r>
      <w:r w:rsidR="0075637A">
        <w:rPr>
          <w:noProof/>
          <w:szCs w:val="22"/>
        </w:rPr>
        <w:t xml:space="preserve">% versus </w:t>
      </w:r>
      <w:r w:rsidR="00FF54F2">
        <w:rPr>
          <w:noProof/>
          <w:szCs w:val="22"/>
        </w:rPr>
        <w:t>6</w:t>
      </w:r>
      <w:r w:rsidR="0075637A">
        <w:rPr>
          <w:noProof/>
          <w:szCs w:val="22"/>
        </w:rPr>
        <w:t>%</w:t>
      </w:r>
      <w:r w:rsidRPr="00D362E1">
        <w:rPr>
          <w:noProof/>
          <w:szCs w:val="22"/>
        </w:rPr>
        <w:t>, p&lt;0.0001.</w:t>
      </w:r>
      <w:r>
        <w:rPr>
          <w:noProof/>
          <w:szCs w:val="22"/>
        </w:rPr>
        <w:t xml:space="preserve">  </w:t>
      </w:r>
    </w:p>
    <w:p w:rsidR="00894974" w:rsidRDefault="00894974" w:rsidP="00D362E1">
      <w:pPr>
        <w:jc w:val="left"/>
        <w:rPr>
          <w:noProof/>
          <w:szCs w:val="22"/>
        </w:rPr>
      </w:pPr>
    </w:p>
    <w:p w:rsidR="00894974" w:rsidRDefault="00894974" w:rsidP="00894974">
      <w:pPr>
        <w:jc w:val="left"/>
        <w:rPr>
          <w:noProof/>
          <w:szCs w:val="22"/>
        </w:rPr>
      </w:pPr>
      <w:r w:rsidRPr="00894974">
        <w:rPr>
          <w:noProof/>
          <w:szCs w:val="22"/>
        </w:rPr>
        <w:t xml:space="preserve">The median time to PSA progression was 10.2 months for patients treated with </w:t>
      </w:r>
      <w:r>
        <w:rPr>
          <w:noProof/>
          <w:szCs w:val="22"/>
        </w:rPr>
        <w:t>abiraterone</w:t>
      </w:r>
      <w:r w:rsidRPr="00894974">
        <w:rPr>
          <w:noProof/>
          <w:szCs w:val="22"/>
        </w:rPr>
        <w:t xml:space="preserve"> and 6.6 months for patients treated with placebo (HR= 0.580; 95% CI: [0.462, 0.728], p&lt; 0.0001).  </w:t>
      </w:r>
    </w:p>
    <w:p w:rsidR="00894974" w:rsidRPr="00894974" w:rsidRDefault="00894974" w:rsidP="00894974">
      <w:pPr>
        <w:jc w:val="left"/>
        <w:rPr>
          <w:noProof/>
          <w:szCs w:val="22"/>
        </w:rPr>
      </w:pPr>
    </w:p>
    <w:p w:rsidR="00894974" w:rsidRDefault="00894974" w:rsidP="00894974">
      <w:pPr>
        <w:jc w:val="left"/>
        <w:rPr>
          <w:noProof/>
          <w:szCs w:val="22"/>
        </w:rPr>
      </w:pPr>
      <w:r w:rsidRPr="00894974">
        <w:rPr>
          <w:noProof/>
          <w:szCs w:val="22"/>
        </w:rPr>
        <w:t xml:space="preserve">The median radiographic progression free survival was 5.6 months for patients treated  with </w:t>
      </w:r>
      <w:r>
        <w:rPr>
          <w:noProof/>
          <w:szCs w:val="22"/>
        </w:rPr>
        <w:t>abiraterone</w:t>
      </w:r>
      <w:r w:rsidRPr="00894974">
        <w:rPr>
          <w:noProof/>
          <w:szCs w:val="22"/>
        </w:rPr>
        <w:t xml:space="preserve"> and 3.6 months for patients who received placebo (HR= 0.673; 95% C</w:t>
      </w:r>
      <w:r>
        <w:rPr>
          <w:noProof/>
          <w:szCs w:val="22"/>
        </w:rPr>
        <w:t xml:space="preserve">I: [0.585, 0.776], p&lt;0.0001).  </w:t>
      </w:r>
    </w:p>
    <w:p w:rsidR="00894974" w:rsidRDefault="00894974" w:rsidP="00894974">
      <w:pPr>
        <w:jc w:val="left"/>
        <w:rPr>
          <w:noProof/>
          <w:szCs w:val="22"/>
        </w:rPr>
      </w:pPr>
      <w:r>
        <w:rPr>
          <w:noProof/>
          <w:szCs w:val="22"/>
        </w:rPr>
        <w:br w:type="page"/>
      </w:r>
    </w:p>
    <w:p w:rsidR="00894974" w:rsidRPr="00894974" w:rsidRDefault="00894974" w:rsidP="00894974">
      <w:pPr>
        <w:spacing w:after="120"/>
        <w:jc w:val="left"/>
        <w:rPr>
          <w:i/>
          <w:noProof/>
          <w:szCs w:val="22"/>
        </w:rPr>
      </w:pPr>
      <w:r w:rsidRPr="00894974">
        <w:rPr>
          <w:i/>
          <w:noProof/>
          <w:szCs w:val="22"/>
        </w:rPr>
        <w:t>Pain</w:t>
      </w:r>
    </w:p>
    <w:p w:rsidR="00894974" w:rsidRDefault="00894974" w:rsidP="00894974">
      <w:pPr>
        <w:jc w:val="left"/>
        <w:rPr>
          <w:noProof/>
          <w:szCs w:val="22"/>
        </w:rPr>
      </w:pPr>
      <w:r w:rsidRPr="00894974">
        <w:rPr>
          <w:noProof/>
          <w:szCs w:val="22"/>
        </w:rPr>
        <w:t xml:space="preserve">The proportion of patients with pain palliation was statistically significantly higher in the </w:t>
      </w:r>
      <w:r>
        <w:rPr>
          <w:noProof/>
          <w:szCs w:val="22"/>
        </w:rPr>
        <w:t>abiraterone</w:t>
      </w:r>
      <w:r w:rsidRPr="00894974">
        <w:rPr>
          <w:noProof/>
          <w:szCs w:val="22"/>
        </w:rPr>
        <w:t xml:space="preserve"> group than in the placebo group (44% versus 27%, p=0.0002). </w:t>
      </w:r>
      <w:r>
        <w:rPr>
          <w:noProof/>
          <w:szCs w:val="22"/>
        </w:rPr>
        <w:t xml:space="preserve"> </w:t>
      </w:r>
    </w:p>
    <w:p w:rsidR="00B46BEA" w:rsidRPr="00894974" w:rsidRDefault="00B46BEA" w:rsidP="00894974">
      <w:pPr>
        <w:jc w:val="left"/>
        <w:rPr>
          <w:noProof/>
          <w:szCs w:val="22"/>
        </w:rPr>
      </w:pPr>
    </w:p>
    <w:p w:rsidR="00894974" w:rsidRPr="00371C1F" w:rsidRDefault="00894974" w:rsidP="00894974">
      <w:pPr>
        <w:jc w:val="left"/>
        <w:rPr>
          <w:noProof/>
          <w:szCs w:val="22"/>
        </w:rPr>
      </w:pPr>
      <w:r w:rsidRPr="00894974">
        <w:rPr>
          <w:noProof/>
          <w:szCs w:val="22"/>
        </w:rPr>
        <w:t xml:space="preserve">A lower proportion of patients treated with </w:t>
      </w:r>
      <w:r>
        <w:rPr>
          <w:noProof/>
          <w:szCs w:val="22"/>
        </w:rPr>
        <w:t>abiraterone</w:t>
      </w:r>
      <w:r w:rsidRPr="00894974">
        <w:rPr>
          <w:noProof/>
          <w:szCs w:val="22"/>
        </w:rPr>
        <w:t xml:space="preserve"> had pain progression compared to patients taking placebo at 6 (22% vs. 28%), 12 (30% vs. 38%) and 18 months (35</w:t>
      </w:r>
      <w:r w:rsidR="00DE6FD6">
        <w:rPr>
          <w:noProof/>
          <w:szCs w:val="22"/>
        </w:rPr>
        <w:t>% vs. 46%)</w:t>
      </w:r>
      <w:r w:rsidRPr="00894974">
        <w:rPr>
          <w:noProof/>
          <w:szCs w:val="22"/>
        </w:rPr>
        <w:t>.  The time to pain progression at the 25</w:t>
      </w:r>
      <w:r w:rsidR="00F93E22" w:rsidRPr="00F93E22">
        <w:rPr>
          <w:noProof/>
          <w:szCs w:val="22"/>
          <w:vertAlign w:val="superscript"/>
        </w:rPr>
        <w:t>th</w:t>
      </w:r>
      <w:r w:rsidRPr="00894974">
        <w:rPr>
          <w:noProof/>
          <w:szCs w:val="22"/>
        </w:rPr>
        <w:t xml:space="preserve"> percentile was 7.4 months in the </w:t>
      </w:r>
      <w:r>
        <w:rPr>
          <w:noProof/>
          <w:szCs w:val="22"/>
        </w:rPr>
        <w:t>abiraterone</w:t>
      </w:r>
      <w:r w:rsidRPr="00894974">
        <w:rPr>
          <w:noProof/>
          <w:szCs w:val="22"/>
        </w:rPr>
        <w:t xml:space="preserve"> group</w:t>
      </w:r>
      <w:r w:rsidR="00371C1F">
        <w:rPr>
          <w:noProof/>
          <w:szCs w:val="22"/>
        </w:rPr>
        <w:t>,</w:t>
      </w:r>
      <w:r w:rsidRPr="00894974">
        <w:rPr>
          <w:noProof/>
          <w:szCs w:val="22"/>
        </w:rPr>
        <w:t xml:space="preserve"> versus 4.7 months in the placebo group.  </w:t>
      </w:r>
    </w:p>
    <w:p w:rsidR="00894974" w:rsidRPr="00894974" w:rsidRDefault="00894974" w:rsidP="00894974">
      <w:pPr>
        <w:jc w:val="left"/>
        <w:rPr>
          <w:noProof/>
          <w:szCs w:val="22"/>
        </w:rPr>
      </w:pPr>
    </w:p>
    <w:p w:rsidR="00894974" w:rsidRPr="00894974" w:rsidRDefault="00894974" w:rsidP="00894974">
      <w:pPr>
        <w:spacing w:after="120"/>
        <w:jc w:val="left"/>
        <w:rPr>
          <w:i/>
          <w:noProof/>
          <w:szCs w:val="22"/>
        </w:rPr>
      </w:pPr>
      <w:r w:rsidRPr="00894974">
        <w:rPr>
          <w:i/>
          <w:noProof/>
          <w:szCs w:val="22"/>
        </w:rPr>
        <w:t>Skeletal-Related Events</w:t>
      </w:r>
    </w:p>
    <w:p w:rsidR="008749D5" w:rsidRPr="004818E2" w:rsidRDefault="003D58DA" w:rsidP="009F3479">
      <w:pPr>
        <w:jc w:val="left"/>
        <w:rPr>
          <w:noProof/>
          <w:szCs w:val="22"/>
        </w:rPr>
      </w:pPr>
      <w:r w:rsidRPr="003D58DA">
        <w:rPr>
          <w:noProof/>
          <w:szCs w:val="22"/>
        </w:rPr>
        <w:t xml:space="preserve">A lower proportion of patients in the </w:t>
      </w:r>
      <w:r w:rsidR="00FF0D72">
        <w:rPr>
          <w:noProof/>
          <w:szCs w:val="22"/>
        </w:rPr>
        <w:t xml:space="preserve">abiraterone </w:t>
      </w:r>
      <w:r w:rsidRPr="003D58DA">
        <w:rPr>
          <w:noProof/>
          <w:szCs w:val="22"/>
        </w:rPr>
        <w:t xml:space="preserve">group had skeletal-related events compared with the placebo group </w:t>
      </w:r>
      <w:r w:rsidR="00F00D78">
        <w:rPr>
          <w:noProof/>
          <w:szCs w:val="22"/>
        </w:rPr>
        <w:t xml:space="preserve">at 6 </w:t>
      </w:r>
      <w:r>
        <w:rPr>
          <w:noProof/>
          <w:szCs w:val="22"/>
        </w:rPr>
        <w:t xml:space="preserve">months </w:t>
      </w:r>
      <w:r w:rsidR="00F00D78">
        <w:rPr>
          <w:noProof/>
          <w:szCs w:val="22"/>
        </w:rPr>
        <w:t>(18% vs. 28%), 12 </w:t>
      </w:r>
      <w:r>
        <w:rPr>
          <w:noProof/>
          <w:szCs w:val="22"/>
        </w:rPr>
        <w:t xml:space="preserve">months </w:t>
      </w:r>
      <w:r w:rsidR="00F00D78">
        <w:rPr>
          <w:noProof/>
          <w:szCs w:val="22"/>
        </w:rPr>
        <w:t>(30% vs </w:t>
      </w:r>
      <w:r w:rsidR="00177C09" w:rsidRPr="00177C09">
        <w:rPr>
          <w:noProof/>
          <w:szCs w:val="22"/>
        </w:rPr>
        <w:t>40%), and 18 months (35% vs. 40%)</w:t>
      </w:r>
      <w:r w:rsidR="00894974" w:rsidRPr="00894974">
        <w:rPr>
          <w:noProof/>
          <w:szCs w:val="22"/>
        </w:rPr>
        <w:t xml:space="preserve">.  </w:t>
      </w:r>
      <w:r w:rsidR="00F00D78" w:rsidRPr="00F00D78">
        <w:rPr>
          <w:noProof/>
          <w:szCs w:val="22"/>
        </w:rPr>
        <w:t xml:space="preserve">The time to first skeletal-related event at the 25th percentile in the </w:t>
      </w:r>
      <w:r w:rsidR="00FF0D72">
        <w:rPr>
          <w:noProof/>
          <w:szCs w:val="22"/>
        </w:rPr>
        <w:t xml:space="preserve">abiraterone </w:t>
      </w:r>
      <w:r w:rsidR="00F00D78" w:rsidRPr="00F00D78">
        <w:rPr>
          <w:noProof/>
          <w:szCs w:val="22"/>
        </w:rPr>
        <w:t>group was twice that of the</w:t>
      </w:r>
      <w:r w:rsidR="00F00D78">
        <w:rPr>
          <w:noProof/>
          <w:szCs w:val="22"/>
        </w:rPr>
        <w:t xml:space="preserve"> control group at 9.9 months vs </w:t>
      </w:r>
      <w:r w:rsidR="00F00D78" w:rsidRPr="00F00D78">
        <w:rPr>
          <w:noProof/>
          <w:szCs w:val="22"/>
        </w:rPr>
        <w:t>4.9</w:t>
      </w:r>
      <w:r w:rsidR="00F00D78">
        <w:rPr>
          <w:noProof/>
          <w:szCs w:val="22"/>
        </w:rPr>
        <w:t> </w:t>
      </w:r>
      <w:r w:rsidR="00F00D78" w:rsidRPr="00F00D78">
        <w:rPr>
          <w:noProof/>
          <w:szCs w:val="22"/>
        </w:rPr>
        <w:t xml:space="preserve">months. </w:t>
      </w:r>
      <w:r w:rsidR="00F00D78">
        <w:rPr>
          <w:noProof/>
          <w:szCs w:val="22"/>
        </w:rPr>
        <w:t xml:space="preserve"> </w:t>
      </w:r>
    </w:p>
    <w:p w:rsidR="003B09E3" w:rsidRDefault="003A72D8" w:rsidP="009F3479">
      <w:pPr>
        <w:pStyle w:val="PIHEADING1"/>
        <w:jc w:val="left"/>
      </w:pPr>
      <w:r>
        <w:t>INDICATIONS</w:t>
      </w:r>
    </w:p>
    <w:p w:rsidR="00AF235C" w:rsidRDefault="00A01349" w:rsidP="00FE3221">
      <w:pPr>
        <w:jc w:val="left"/>
      </w:pPr>
      <w:r>
        <w:t>ZYTIGA</w:t>
      </w:r>
      <w:r w:rsidR="00276081" w:rsidRPr="00276081">
        <w:t xml:space="preserve"> is indicated with prednisone or prednisolone for</w:t>
      </w:r>
      <w:r w:rsidR="003A7937" w:rsidRPr="003A7937">
        <w:t xml:space="preserve"> </w:t>
      </w:r>
      <w:r w:rsidR="003A7937">
        <w:t>the treatment of patients with metastatic advanced prostate cancer (castration resistant prostate cancer, mCRPC)</w:t>
      </w:r>
      <w:r w:rsidR="00AF235C">
        <w:t>:</w:t>
      </w:r>
    </w:p>
    <w:p w:rsidR="00AF235C" w:rsidRDefault="00AF235C" w:rsidP="00AF235C">
      <w:pPr>
        <w:numPr>
          <w:ilvl w:val="0"/>
          <w:numId w:val="2"/>
        </w:numPr>
        <w:ind w:left="720"/>
        <w:jc w:val="left"/>
      </w:pPr>
      <w:r>
        <w:t>who are asymptomatic or mildly symptomatic after failure of androgen deprivation therapy (ADT)</w:t>
      </w:r>
      <w:r w:rsidR="003A7937">
        <w:t xml:space="preserve"> or </w:t>
      </w:r>
    </w:p>
    <w:p w:rsidR="003B09E3" w:rsidRDefault="00276081" w:rsidP="00CD0085">
      <w:pPr>
        <w:numPr>
          <w:ilvl w:val="0"/>
          <w:numId w:val="2"/>
        </w:numPr>
        <w:spacing w:before="120"/>
        <w:ind w:left="760" w:hanging="357"/>
        <w:jc w:val="left"/>
      </w:pPr>
      <w:r w:rsidRPr="00276081">
        <w:t>who have received prior chemotherapy containing a taxane</w:t>
      </w:r>
      <w:r>
        <w:t xml:space="preserve">.  </w:t>
      </w:r>
    </w:p>
    <w:p w:rsidR="003B09E3" w:rsidRDefault="003A72D8" w:rsidP="009F3479">
      <w:pPr>
        <w:pStyle w:val="PIHEADING1"/>
        <w:jc w:val="left"/>
      </w:pPr>
      <w:r>
        <w:t>CONTRAINDICATIONS</w:t>
      </w:r>
    </w:p>
    <w:p w:rsidR="00C44C1F" w:rsidRDefault="00A01349" w:rsidP="009F3479">
      <w:pPr>
        <w:pStyle w:val="PIHEADING1"/>
        <w:jc w:val="left"/>
        <w:rPr>
          <w:b w:val="0"/>
          <w:caps w:val="0"/>
          <w:sz w:val="22"/>
          <w:szCs w:val="22"/>
        </w:rPr>
      </w:pPr>
      <w:r>
        <w:rPr>
          <w:b w:val="0"/>
          <w:caps w:val="0"/>
          <w:sz w:val="22"/>
          <w:szCs w:val="22"/>
        </w:rPr>
        <w:t>ZYTIGA</w:t>
      </w:r>
      <w:r w:rsidR="002F7D28" w:rsidRPr="002F7D28">
        <w:rPr>
          <w:b w:val="0"/>
          <w:caps w:val="0"/>
          <w:sz w:val="22"/>
          <w:szCs w:val="22"/>
        </w:rPr>
        <w:t xml:space="preserve"> is contraindicated in women who are or may potentially be pregnant</w:t>
      </w:r>
      <w:r w:rsidR="002F7D28">
        <w:rPr>
          <w:b w:val="0"/>
          <w:caps w:val="0"/>
          <w:sz w:val="22"/>
          <w:szCs w:val="22"/>
        </w:rPr>
        <w:t xml:space="preserve">.  </w:t>
      </w:r>
    </w:p>
    <w:p w:rsidR="0069746F" w:rsidRPr="00C44C1F" w:rsidRDefault="0069746F" w:rsidP="009F3479">
      <w:pPr>
        <w:pStyle w:val="PIHEADING1"/>
        <w:jc w:val="left"/>
        <w:rPr>
          <w:b w:val="0"/>
          <w:caps w:val="0"/>
          <w:sz w:val="22"/>
          <w:szCs w:val="22"/>
        </w:rPr>
      </w:pPr>
      <w:r w:rsidRPr="0069746F">
        <w:rPr>
          <w:b w:val="0"/>
          <w:caps w:val="0"/>
          <w:sz w:val="22"/>
          <w:szCs w:val="22"/>
        </w:rPr>
        <w:t>ZYTIGA is contraindicated in patients wi</w:t>
      </w:r>
      <w:r>
        <w:rPr>
          <w:b w:val="0"/>
          <w:caps w:val="0"/>
          <w:sz w:val="22"/>
          <w:szCs w:val="22"/>
        </w:rPr>
        <w:t>th severe hepatic impairment [Child Pugh Class C</w:t>
      </w:r>
      <w:r w:rsidRPr="0069746F">
        <w:rPr>
          <w:b w:val="0"/>
          <w:caps w:val="0"/>
          <w:sz w:val="22"/>
          <w:szCs w:val="22"/>
        </w:rPr>
        <w:t xml:space="preserve">].  (see PHARMACOKINETICS, PRECAUTIONS and DOSAGE AND ADMINISTRATION).  </w:t>
      </w:r>
    </w:p>
    <w:p w:rsidR="003B09E3" w:rsidRDefault="003A72D8" w:rsidP="009F3479">
      <w:pPr>
        <w:pStyle w:val="PIHEADING1"/>
        <w:jc w:val="left"/>
      </w:pPr>
      <w:r>
        <w:t>PRECAUTIONS</w:t>
      </w:r>
    </w:p>
    <w:p w:rsidR="006652D0" w:rsidRPr="004C5DC6" w:rsidRDefault="004C5DC6" w:rsidP="00515717">
      <w:pPr>
        <w:spacing w:after="120"/>
        <w:jc w:val="left"/>
        <w:rPr>
          <w:b/>
        </w:rPr>
      </w:pPr>
      <w:r w:rsidRPr="004C5DC6">
        <w:rPr>
          <w:b/>
        </w:rPr>
        <w:t>Hypertension, hypokalemia and fluid retention due to mineralocorticoid excess</w:t>
      </w:r>
    </w:p>
    <w:p w:rsidR="003B09E3" w:rsidRDefault="00246694" w:rsidP="006652D0">
      <w:pPr>
        <w:jc w:val="left"/>
      </w:pPr>
      <w:r>
        <w:t>Abiraterone</w:t>
      </w:r>
      <w:r w:rsidRPr="00246694">
        <w:t xml:space="preserve"> should be used with caution in patients with a history of cardiovascular disease. </w:t>
      </w:r>
      <w:r>
        <w:t xml:space="preserve"> </w:t>
      </w:r>
      <w:r w:rsidRPr="00246694">
        <w:t xml:space="preserve">The safety of </w:t>
      </w:r>
      <w:r>
        <w:t>abiraterone</w:t>
      </w:r>
      <w:r w:rsidRPr="00246694">
        <w:t xml:space="preserve"> in patients with left ventricular ejection fraction </w:t>
      </w:r>
      <w:r w:rsidR="00B5427E">
        <w:t xml:space="preserve">(LVEF) </w:t>
      </w:r>
      <w:r w:rsidRPr="00246694">
        <w:t xml:space="preserve">&lt; 50% or </w:t>
      </w:r>
      <w:r w:rsidR="00B5427E" w:rsidRPr="00B5427E">
        <w:t xml:space="preserve">New York Heart Association </w:t>
      </w:r>
      <w:r w:rsidR="00B5427E">
        <w:t>(</w:t>
      </w:r>
      <w:r w:rsidRPr="00246694">
        <w:t>NYHA</w:t>
      </w:r>
      <w:r w:rsidR="00B5427E">
        <w:t>)</w:t>
      </w:r>
      <w:r w:rsidRPr="00246694">
        <w:t xml:space="preserve"> Class</w:t>
      </w:r>
      <w:r w:rsidR="009358CA">
        <w:t> </w:t>
      </w:r>
      <w:r w:rsidRPr="00246694">
        <w:t>III or IV heart failure</w:t>
      </w:r>
      <w:r>
        <w:t xml:space="preserve"> </w:t>
      </w:r>
      <w:r w:rsidR="00B5427E" w:rsidRPr="00B5427E">
        <w:t xml:space="preserve">(in study 301) or </w:t>
      </w:r>
      <w:r w:rsidR="00B5427E" w:rsidRPr="00400BAB">
        <w:t xml:space="preserve">NYHA Class II to IV heart failure (in study 302) was </w:t>
      </w:r>
      <w:r w:rsidR="009358CA" w:rsidRPr="00400BAB">
        <w:t>not established.  Before treatment with abiraterone,</w:t>
      </w:r>
      <w:r w:rsidR="009358CA" w:rsidRPr="009358CA">
        <w:t xml:space="preserve"> hypertension must be controlled and hypokalemia must be corrected.</w:t>
      </w:r>
      <w:r w:rsidR="009358CA">
        <w:t xml:space="preserve">  </w:t>
      </w:r>
    </w:p>
    <w:p w:rsidR="006652D0" w:rsidRDefault="006652D0" w:rsidP="009F3479">
      <w:pPr>
        <w:jc w:val="left"/>
      </w:pPr>
    </w:p>
    <w:p w:rsidR="00515717" w:rsidRDefault="00515717" w:rsidP="00515717">
      <w:pPr>
        <w:jc w:val="left"/>
      </w:pPr>
      <w:r>
        <w:t>Abiraterone</w:t>
      </w:r>
      <w:r w:rsidRPr="00515717">
        <w:t xml:space="preserve"> may cause hypertension, hypokalemia and fluid retention (see </w:t>
      </w:r>
      <w:r>
        <w:t>ADVERSE EFFECTS</w:t>
      </w:r>
      <w:r w:rsidRPr="00515717">
        <w:t xml:space="preserve">) as a consequence of increased mineralocorticoid levels resulting from CYP17 inhibition (see </w:t>
      </w:r>
      <w:r>
        <w:t>Pharmacodynamics</w:t>
      </w:r>
      <w:r w:rsidRPr="00515717">
        <w:t xml:space="preserve">). </w:t>
      </w:r>
      <w:r>
        <w:t xml:space="preserve"> </w:t>
      </w:r>
      <w:r w:rsidRPr="00515717">
        <w:t>Co-administration of a corticosteroid suppresses adrenocorticotropic hormone (ACTH) drive</w:t>
      </w:r>
      <w:r>
        <w:t xml:space="preserve">, resulting in a reduction in </w:t>
      </w:r>
      <w:r w:rsidR="00C332F1">
        <w:t xml:space="preserve">the </w:t>
      </w:r>
      <w:r>
        <w:t xml:space="preserve">incidence and severity of these adverse reactions.  Caution is required in treating patients whose underlying medical conditions might be compromised by increases in blood pressure, hypokalemia or fluid retention, e.g., those with heart failure, recent myocardial infarction or ventricular arrhythmia.  </w:t>
      </w:r>
    </w:p>
    <w:p w:rsidR="00515717" w:rsidRDefault="00515717" w:rsidP="00515717">
      <w:pPr>
        <w:jc w:val="left"/>
      </w:pPr>
    </w:p>
    <w:p w:rsidR="00515717" w:rsidRDefault="00515717" w:rsidP="00515717">
      <w:pPr>
        <w:jc w:val="left"/>
      </w:pPr>
      <w:r>
        <w:t xml:space="preserve">Blood pressure, serum potassium and fluid retention should be monitored </w:t>
      </w:r>
      <w:r w:rsidR="00267BAF">
        <w:t>at least</w:t>
      </w:r>
      <w:r>
        <w:t xml:space="preserve"> monthly.  </w:t>
      </w:r>
    </w:p>
    <w:p w:rsidR="00515717" w:rsidRDefault="00F56EBF" w:rsidP="00515717">
      <w:pPr>
        <w:jc w:val="left"/>
      </w:pPr>
      <w:r>
        <w:br w:type="page"/>
      </w:r>
    </w:p>
    <w:p w:rsidR="00515717" w:rsidRPr="00A54879" w:rsidRDefault="00A54879" w:rsidP="00826CC9">
      <w:pPr>
        <w:spacing w:after="120"/>
        <w:jc w:val="left"/>
        <w:rPr>
          <w:b/>
        </w:rPr>
      </w:pPr>
      <w:r w:rsidRPr="00A54879">
        <w:rPr>
          <w:b/>
        </w:rPr>
        <w:t>Hepatotoxicity</w:t>
      </w:r>
    </w:p>
    <w:p w:rsidR="00826CC9" w:rsidRDefault="00826CC9" w:rsidP="00826CC9">
      <w:pPr>
        <w:jc w:val="left"/>
      </w:pPr>
      <w:r>
        <w:t xml:space="preserve">Marked increases in liver enzymes leading to drug discontinuation or dosage modification occurred in controlled clinical studies (see ADVERSE EFFECTS).  Serum transaminase and bilirubin levels should be measured prior to starting treatment with </w:t>
      </w:r>
      <w:r w:rsidR="00AB409E">
        <w:t>abiraterone</w:t>
      </w:r>
      <w:r>
        <w:t xml:space="preserve">, every two weeks for the first three months of treatment, and monthly thereafter.  If clinical symptoms or signs suggestive of hepatotoxicity develop, serum transaminases, should be measured immediately.  If at any time the ALT </w:t>
      </w:r>
      <w:r w:rsidR="00FA66E3">
        <w:t xml:space="preserve">or AST </w:t>
      </w:r>
      <w:r>
        <w:t xml:space="preserve">rises above 5 times the upper limit of normal or the bilirubin rises above 3 times the upper limit of normal, treatment with </w:t>
      </w:r>
      <w:r w:rsidR="00AB409E">
        <w:t>abiraterone</w:t>
      </w:r>
      <w:r w:rsidR="00AB409E" w:rsidRPr="00AB409E">
        <w:t xml:space="preserve"> </w:t>
      </w:r>
      <w:r>
        <w:t xml:space="preserve">should be interrupted immediately and liver function closely monitored.  </w:t>
      </w:r>
    </w:p>
    <w:p w:rsidR="00826CC9" w:rsidRDefault="00826CC9" w:rsidP="00826CC9">
      <w:pPr>
        <w:jc w:val="left"/>
      </w:pPr>
    </w:p>
    <w:p w:rsidR="00A54879" w:rsidRDefault="00826CC9" w:rsidP="00826CC9">
      <w:pPr>
        <w:jc w:val="left"/>
      </w:pPr>
      <w:r>
        <w:t>Re</w:t>
      </w:r>
      <w:r w:rsidR="0040674B">
        <w:t>-</w:t>
      </w:r>
      <w:r>
        <w:t xml:space="preserve">treatment with </w:t>
      </w:r>
      <w:r w:rsidR="00A01349">
        <w:t>ZYTIGA</w:t>
      </w:r>
      <w:r>
        <w:t xml:space="preserve"> </w:t>
      </w:r>
      <w:r w:rsidR="0040674B">
        <w:t>may</w:t>
      </w:r>
      <w:r w:rsidR="00E93EE2" w:rsidRPr="00E93EE2">
        <w:t xml:space="preserve"> </w:t>
      </w:r>
      <w:r w:rsidR="00E93EE2">
        <w:t>only</w:t>
      </w:r>
      <w:r>
        <w:t xml:space="preserve"> take place after </w:t>
      </w:r>
      <w:r w:rsidR="0040674B">
        <w:t xml:space="preserve">the </w:t>
      </w:r>
      <w:r>
        <w:t>return of liver function tests to the patient’s baseline and at a reduced dose level</w:t>
      </w:r>
      <w:r w:rsidR="00AB409E">
        <w:t xml:space="preserve"> (see DOSAGE AND ADMINISTRATION).  </w:t>
      </w:r>
    </w:p>
    <w:p w:rsidR="00A54879" w:rsidRDefault="00A54879" w:rsidP="00515717">
      <w:pPr>
        <w:jc w:val="left"/>
      </w:pPr>
    </w:p>
    <w:p w:rsidR="00AB409E" w:rsidRDefault="00AB409E" w:rsidP="00515717">
      <w:pPr>
        <w:jc w:val="left"/>
      </w:pPr>
      <w:r w:rsidRPr="00AB409E">
        <w:t xml:space="preserve">If patients develop severe hepatotoxicity (ALT </w:t>
      </w:r>
      <w:r w:rsidR="00FA66E3">
        <w:t xml:space="preserve">or AST </w:t>
      </w:r>
      <w:r w:rsidRPr="00AB409E">
        <w:t xml:space="preserve">20 times the upper limit of normal) anytime while on therapy, </w:t>
      </w:r>
      <w:r>
        <w:t>abiraterone</w:t>
      </w:r>
      <w:r w:rsidRPr="00AB409E">
        <w:t xml:space="preserve"> should be discontinued and patients should not be re</w:t>
      </w:r>
      <w:r w:rsidR="00D04253">
        <w:t>-</w:t>
      </w:r>
      <w:r w:rsidRPr="00AB409E">
        <w:t xml:space="preserve">treated with </w:t>
      </w:r>
      <w:r>
        <w:t>abiraterone</w:t>
      </w:r>
      <w:r w:rsidRPr="00AB409E">
        <w:t>.</w:t>
      </w:r>
      <w:r>
        <w:t xml:space="preserve">  </w:t>
      </w:r>
    </w:p>
    <w:p w:rsidR="00FE7681" w:rsidRDefault="00FE7681" w:rsidP="00515717">
      <w:pPr>
        <w:jc w:val="left"/>
      </w:pPr>
    </w:p>
    <w:p w:rsidR="00FE7681" w:rsidRDefault="00FE7681" w:rsidP="00FE7681">
      <w:pPr>
        <w:jc w:val="left"/>
      </w:pPr>
      <w:r>
        <w:t xml:space="preserve">Patients with active or symptomatic viral hepatitis were excluded from clinical trials; thus, there are no data to support the use of ZYTIGA in this population.  </w:t>
      </w:r>
    </w:p>
    <w:p w:rsidR="00FE7681" w:rsidRDefault="00FE7681" w:rsidP="00FE7681">
      <w:pPr>
        <w:jc w:val="left"/>
      </w:pPr>
    </w:p>
    <w:p w:rsidR="00FE7681" w:rsidRDefault="00FE7681" w:rsidP="00FE7681">
      <w:pPr>
        <w:jc w:val="left"/>
      </w:pPr>
      <w:r>
        <w:t xml:space="preserve">There are no data on the clinical safety and efficacy of multiple doses of abiraterone acetate when administered to patients with moderate or severe hepatic impairment (Child Pugh Class B or C).  The use of ZYTIGA should be cautiously assessed in patients with moderate hepatic impairment, in whom the benefit clearly should outweigh the possible risk.  ZYTIGA should not be used in patients with severe hepatic impairment (see PHARMACOKINETICS, CONTRAINDICATIONS and DOSAGE AND ADMINISTRATION).  </w:t>
      </w:r>
    </w:p>
    <w:p w:rsidR="00515717" w:rsidRDefault="00515717" w:rsidP="009F3479">
      <w:pPr>
        <w:jc w:val="left"/>
      </w:pPr>
    </w:p>
    <w:p w:rsidR="002078DB" w:rsidRPr="009B6214" w:rsidRDefault="009B6214" w:rsidP="009B6214">
      <w:pPr>
        <w:spacing w:after="120"/>
        <w:jc w:val="left"/>
        <w:rPr>
          <w:b/>
        </w:rPr>
      </w:pPr>
      <w:r w:rsidRPr="009B6214">
        <w:rPr>
          <w:b/>
        </w:rPr>
        <w:t>Corticosteroid withdrawal and coverage of stress situations</w:t>
      </w:r>
    </w:p>
    <w:p w:rsidR="009B6214" w:rsidRDefault="009B6214" w:rsidP="009B6214">
      <w:pPr>
        <w:jc w:val="left"/>
      </w:pPr>
      <w:r>
        <w:t xml:space="preserve">Caution is advised and monitoring for adrenocortical insufficiency should occur if patients need to be withdrawn from prednisone or prednisolone. If abiraterone is continued after corticosteroids are withdrawn, patients should be monitored for symptoms of mineralocorticoid excess.  </w:t>
      </w:r>
    </w:p>
    <w:p w:rsidR="009B6214" w:rsidRDefault="009B6214" w:rsidP="009B6214">
      <w:pPr>
        <w:jc w:val="left"/>
      </w:pPr>
    </w:p>
    <w:p w:rsidR="009B6214" w:rsidRDefault="009B6214" w:rsidP="009B6214">
      <w:pPr>
        <w:jc w:val="left"/>
      </w:pPr>
      <w:r>
        <w:t xml:space="preserve">In patients on prednisone or prednisolone who are subjected to unusual stress, increased dosage of a corticosteroid may be indicated before, during and after the stressful situation.  </w:t>
      </w:r>
      <w:r w:rsidR="00FF7FB9" w:rsidRPr="00FF7FB9">
        <w:t>17α hydroxylase inhibition by abiraterone decreases glucocorticoid production.</w:t>
      </w:r>
      <w:r w:rsidR="00FF7FB9">
        <w:t xml:space="preserve">  </w:t>
      </w:r>
    </w:p>
    <w:p w:rsidR="00FE7681" w:rsidRDefault="00FE7681" w:rsidP="009B6214">
      <w:pPr>
        <w:jc w:val="left"/>
      </w:pPr>
    </w:p>
    <w:p w:rsidR="00FE7681" w:rsidRPr="00611D8D" w:rsidRDefault="00FE7681" w:rsidP="00FE7681">
      <w:pPr>
        <w:jc w:val="left"/>
        <w:rPr>
          <w:b/>
        </w:rPr>
      </w:pPr>
      <w:r w:rsidRPr="00611D8D">
        <w:rPr>
          <w:b/>
        </w:rPr>
        <w:t>Hyperglycaemia</w:t>
      </w:r>
    </w:p>
    <w:p w:rsidR="00FE7681" w:rsidRDefault="00FE7681" w:rsidP="00FE7681">
      <w:pPr>
        <w:jc w:val="left"/>
      </w:pPr>
      <w:r>
        <w:t>The use of glucocorticoids could increase hyperglycaemia, therefore blood sugar should be measured frequently in patients with diabetes.</w:t>
      </w:r>
      <w:r w:rsidR="00611D8D">
        <w:t xml:space="preserve">  </w:t>
      </w:r>
    </w:p>
    <w:p w:rsidR="00A532F7" w:rsidRDefault="00A532F7" w:rsidP="009B6214">
      <w:pPr>
        <w:jc w:val="left"/>
      </w:pPr>
    </w:p>
    <w:p w:rsidR="00A532F7" w:rsidRPr="00A532F7" w:rsidRDefault="00A532F7" w:rsidP="00A532F7">
      <w:pPr>
        <w:jc w:val="left"/>
        <w:rPr>
          <w:b/>
        </w:rPr>
      </w:pPr>
      <w:r w:rsidRPr="00A532F7">
        <w:rPr>
          <w:b/>
        </w:rPr>
        <w:t>Use with chemotherapy</w:t>
      </w:r>
    </w:p>
    <w:p w:rsidR="00A532F7" w:rsidRDefault="00A532F7" w:rsidP="00A532F7">
      <w:pPr>
        <w:jc w:val="left"/>
      </w:pPr>
      <w:r>
        <w:t xml:space="preserve">The safety and efficacy of concomitant use of abiraterone with cytotoxic chemotherapy has not been established.  </w:t>
      </w:r>
    </w:p>
    <w:p w:rsidR="002078DB" w:rsidRDefault="002078DB" w:rsidP="009F3479">
      <w:pPr>
        <w:jc w:val="left"/>
      </w:pPr>
    </w:p>
    <w:p w:rsidR="003B09E3" w:rsidRDefault="003A72D8" w:rsidP="009F3479">
      <w:pPr>
        <w:spacing w:after="120"/>
        <w:jc w:val="left"/>
        <w:rPr>
          <w:b/>
          <w:bCs/>
        </w:rPr>
      </w:pPr>
      <w:r>
        <w:rPr>
          <w:b/>
          <w:bCs/>
        </w:rPr>
        <w:t>Effects on fertility</w:t>
      </w:r>
    </w:p>
    <w:p w:rsidR="00CF4E9B" w:rsidRDefault="00CF4E9B" w:rsidP="00CF4E9B">
      <w:pPr>
        <w:jc w:val="left"/>
        <w:rPr>
          <w:bCs/>
        </w:rPr>
      </w:pPr>
      <w:r w:rsidRPr="00CF4E9B">
        <w:rPr>
          <w:bCs/>
        </w:rPr>
        <w:t>In fertility studies in both male and female rats</w:t>
      </w:r>
      <w:r w:rsidR="00414654">
        <w:rPr>
          <w:bCs/>
        </w:rPr>
        <w:t xml:space="preserve"> (4-and 3-weeks)</w:t>
      </w:r>
      <w:r w:rsidRPr="00CF4E9B">
        <w:rPr>
          <w:bCs/>
        </w:rPr>
        <w:t>, abiraterone acetate reduced fertility, which was completely reversible in 4 to 16 weeks after abiraterone acetate was stopped.</w:t>
      </w:r>
      <w:r>
        <w:rPr>
          <w:bCs/>
        </w:rPr>
        <w:t xml:space="preserve">  </w:t>
      </w:r>
    </w:p>
    <w:p w:rsidR="000D39D1" w:rsidRDefault="000D39D1" w:rsidP="000D39D1">
      <w:pPr>
        <w:jc w:val="left"/>
        <w:rPr>
          <w:bCs/>
        </w:rPr>
      </w:pPr>
      <w:r w:rsidRPr="000D39D1">
        <w:rPr>
          <w:bCs/>
        </w:rPr>
        <w:lastRenderedPageBreak/>
        <w:t xml:space="preserve">In studies in </w:t>
      </w:r>
      <w:r w:rsidR="00AC26E3">
        <w:rPr>
          <w:bCs/>
        </w:rPr>
        <w:t xml:space="preserve">mice (4 weeks), </w:t>
      </w:r>
      <w:r w:rsidRPr="000D39D1">
        <w:rPr>
          <w:bCs/>
        </w:rPr>
        <w:t>rats (</w:t>
      </w:r>
      <w:r w:rsidR="00AC26E3">
        <w:rPr>
          <w:bCs/>
        </w:rPr>
        <w:t xml:space="preserve">4 </w:t>
      </w:r>
      <w:r w:rsidR="005B40C9">
        <w:rPr>
          <w:bCs/>
        </w:rPr>
        <w:t xml:space="preserve">up </w:t>
      </w:r>
      <w:r w:rsidR="00AC26E3">
        <w:rPr>
          <w:bCs/>
        </w:rPr>
        <w:t>to</w:t>
      </w:r>
      <w:r w:rsidRPr="000D39D1">
        <w:rPr>
          <w:bCs/>
        </w:rPr>
        <w:t xml:space="preserve"> 26-weeks) and monkeys</w:t>
      </w:r>
      <w:r>
        <w:rPr>
          <w:bCs/>
        </w:rPr>
        <w:t xml:space="preserve"> (up to 39-weeks), decreases in </w:t>
      </w:r>
      <w:r w:rsidRPr="000D39D1">
        <w:rPr>
          <w:bCs/>
        </w:rPr>
        <w:t>testosterone levels, atrophy, aspermia/hypospermia, and</w:t>
      </w:r>
      <w:r w:rsidR="00414654">
        <w:rPr>
          <w:bCs/>
        </w:rPr>
        <w:t>/or</w:t>
      </w:r>
      <w:r w:rsidRPr="000D39D1">
        <w:rPr>
          <w:bCs/>
        </w:rPr>
        <w:t xml:space="preserve"> </w:t>
      </w:r>
      <w:r>
        <w:rPr>
          <w:bCs/>
        </w:rPr>
        <w:t xml:space="preserve">hyperplasia in the reproductive </w:t>
      </w:r>
      <w:r w:rsidRPr="000D39D1">
        <w:rPr>
          <w:bCs/>
        </w:rPr>
        <w:t xml:space="preserve">system were observed at </w:t>
      </w:r>
      <w:r w:rsidR="00AC26E3">
        <w:rPr>
          <w:bCs/>
        </w:rPr>
        <w:t>&gt;</w:t>
      </w:r>
      <w:r w:rsidR="005B40C9">
        <w:rPr>
          <w:bCs/>
        </w:rPr>
        <w:t xml:space="preserve"> </w:t>
      </w:r>
      <w:r w:rsidR="00AC26E3">
        <w:rPr>
          <w:bCs/>
        </w:rPr>
        <w:t xml:space="preserve">125 mg/kg/day in mice, </w:t>
      </w:r>
      <w:r>
        <w:rPr>
          <w:rFonts w:cs="Arial"/>
          <w:bCs/>
        </w:rPr>
        <w:t>≥</w:t>
      </w:r>
      <w:r w:rsidRPr="000D39D1">
        <w:rPr>
          <w:bCs/>
        </w:rPr>
        <w:t xml:space="preserve"> </w:t>
      </w:r>
      <w:r w:rsidR="00AC26E3">
        <w:rPr>
          <w:bCs/>
        </w:rPr>
        <w:t>3</w:t>
      </w:r>
      <w:r w:rsidR="00AC26E3" w:rsidRPr="000D39D1">
        <w:rPr>
          <w:bCs/>
        </w:rPr>
        <w:t xml:space="preserve">0 </w:t>
      </w:r>
      <w:r w:rsidRPr="000D39D1">
        <w:rPr>
          <w:bCs/>
        </w:rPr>
        <w:t xml:space="preserve">mg/kg/day in rats and </w:t>
      </w:r>
      <w:r>
        <w:rPr>
          <w:rFonts w:cs="Arial"/>
          <w:bCs/>
        </w:rPr>
        <w:t>≥</w:t>
      </w:r>
      <w:r w:rsidR="005B40C9">
        <w:rPr>
          <w:rFonts w:cs="Arial"/>
          <w:bCs/>
        </w:rPr>
        <w:t> </w:t>
      </w:r>
      <w:r w:rsidRPr="000D39D1">
        <w:rPr>
          <w:bCs/>
        </w:rPr>
        <w:t>250 mg/kg/day in monkeys a</w:t>
      </w:r>
      <w:r>
        <w:rPr>
          <w:bCs/>
        </w:rPr>
        <w:t xml:space="preserve">nd </w:t>
      </w:r>
      <w:r w:rsidRPr="000D39D1">
        <w:rPr>
          <w:bCs/>
        </w:rPr>
        <w:t>were consistent with the antiandrogenic pharmacological</w:t>
      </w:r>
      <w:r>
        <w:rPr>
          <w:bCs/>
        </w:rPr>
        <w:t xml:space="preserve"> activity of abiraterone.  These </w:t>
      </w:r>
      <w:r w:rsidRPr="000D39D1">
        <w:rPr>
          <w:bCs/>
        </w:rPr>
        <w:t>effects were observed at exposure levels similar to o</w:t>
      </w:r>
      <w:r>
        <w:rPr>
          <w:bCs/>
        </w:rPr>
        <w:t xml:space="preserve">r lower than the human clinical </w:t>
      </w:r>
      <w:r w:rsidRPr="000D39D1">
        <w:rPr>
          <w:bCs/>
        </w:rPr>
        <w:t>exposure, based on abiraterone AU</w:t>
      </w:r>
      <w:r>
        <w:rPr>
          <w:bCs/>
        </w:rPr>
        <w:t>C</w:t>
      </w:r>
      <w:r w:rsidRPr="000D39D1">
        <w:rPr>
          <w:bCs/>
        </w:rPr>
        <w:t xml:space="preserve">. </w:t>
      </w:r>
      <w:r>
        <w:rPr>
          <w:bCs/>
        </w:rPr>
        <w:t xml:space="preserve"> </w:t>
      </w:r>
    </w:p>
    <w:p w:rsidR="001131B9" w:rsidRDefault="001131B9" w:rsidP="000D39D1">
      <w:pPr>
        <w:jc w:val="left"/>
        <w:rPr>
          <w:bCs/>
        </w:rPr>
      </w:pPr>
    </w:p>
    <w:p w:rsidR="003B09E3" w:rsidRPr="00C41BFD" w:rsidRDefault="003A72D8" w:rsidP="009F3479">
      <w:pPr>
        <w:pStyle w:val="Heading3"/>
      </w:pPr>
      <w:r w:rsidRPr="00C41BFD">
        <w:t>Use in Pregnancy</w:t>
      </w:r>
    </w:p>
    <w:p w:rsidR="003B09E3" w:rsidRPr="005F2794" w:rsidRDefault="003A72D8" w:rsidP="00E91873">
      <w:pPr>
        <w:pStyle w:val="PIEXPLAIN"/>
        <w:spacing w:before="0" w:after="120"/>
        <w:jc w:val="left"/>
      </w:pPr>
      <w:r w:rsidRPr="00B05C2A">
        <w:rPr>
          <w:b/>
          <w:bCs/>
        </w:rPr>
        <w:t xml:space="preserve">Category </w:t>
      </w:r>
      <w:r w:rsidR="00C36D2D" w:rsidRPr="00B05C2A">
        <w:rPr>
          <w:b/>
          <w:bCs/>
        </w:rPr>
        <w:t>D</w:t>
      </w:r>
    </w:p>
    <w:p w:rsidR="003B09E3" w:rsidRDefault="00A01349" w:rsidP="009F3479">
      <w:pPr>
        <w:jc w:val="left"/>
      </w:pPr>
      <w:r>
        <w:t>ZYTIGA</w:t>
      </w:r>
      <w:r w:rsidR="00C36D2D" w:rsidRPr="00C36D2D">
        <w:t xml:space="preserve"> is contraindicated in women who are or may potentially be pregnant</w:t>
      </w:r>
      <w:r w:rsidR="00C36D2D">
        <w:t xml:space="preserve"> (see CONTRAINDICATIONS).  </w:t>
      </w:r>
    </w:p>
    <w:p w:rsidR="00C41BFD" w:rsidRDefault="00C41BFD" w:rsidP="009F3479">
      <w:pPr>
        <w:jc w:val="left"/>
      </w:pPr>
    </w:p>
    <w:p w:rsidR="00C36D2D" w:rsidRDefault="001C74D9" w:rsidP="009F3479">
      <w:pPr>
        <w:jc w:val="left"/>
      </w:pPr>
      <w:r w:rsidRPr="001C74D9">
        <w:t xml:space="preserve">There are no human data on the use of </w:t>
      </w:r>
      <w:r>
        <w:t>abiraterone</w:t>
      </w:r>
      <w:r w:rsidRPr="001C74D9">
        <w:t xml:space="preserve"> in pregnancy and </w:t>
      </w:r>
      <w:r>
        <w:t>abiraterone</w:t>
      </w:r>
      <w:r w:rsidRPr="001C74D9">
        <w:t xml:space="preserve"> is not for use in women of child-bearing potential. </w:t>
      </w:r>
      <w:r>
        <w:t xml:space="preserve"> </w:t>
      </w:r>
      <w:r w:rsidRPr="001C74D9">
        <w:t>Maternal use of a CYP17 inhibitor is expected to produce changes in hormone levels that could affect development of the f</w:t>
      </w:r>
      <w:r>
        <w:t>o</w:t>
      </w:r>
      <w:r w:rsidRPr="001C74D9">
        <w:t>etus</w:t>
      </w:r>
      <w:r>
        <w:t xml:space="preserve">.  </w:t>
      </w:r>
    </w:p>
    <w:p w:rsidR="001D3632" w:rsidRDefault="001D3632" w:rsidP="009F3479">
      <w:pPr>
        <w:jc w:val="left"/>
      </w:pPr>
    </w:p>
    <w:p w:rsidR="001D3632" w:rsidRDefault="001D3632" w:rsidP="001D3632">
      <w:pPr>
        <w:jc w:val="left"/>
        <w:rPr>
          <w:bCs/>
        </w:rPr>
      </w:pPr>
      <w:r w:rsidRPr="001D3632">
        <w:rPr>
          <w:bCs/>
        </w:rPr>
        <w:t>In an embryofetal developmental study in the rat, abira</w:t>
      </w:r>
      <w:r>
        <w:rPr>
          <w:bCs/>
        </w:rPr>
        <w:t xml:space="preserve">terone acetate at ≥10 mg/kg/day </w:t>
      </w:r>
      <w:r w:rsidRPr="001D3632">
        <w:rPr>
          <w:bCs/>
        </w:rPr>
        <w:t>affected pregnancy including reduced fetal weight and surv</w:t>
      </w:r>
      <w:r>
        <w:rPr>
          <w:bCs/>
        </w:rPr>
        <w:t xml:space="preserve">ival, delayed ossification, and </w:t>
      </w:r>
      <w:r w:rsidRPr="001D3632">
        <w:rPr>
          <w:bCs/>
        </w:rPr>
        <w:t>increases in late resorptions and post implantation loss with a subsequent reduction in li</w:t>
      </w:r>
      <w:r>
        <w:rPr>
          <w:bCs/>
        </w:rPr>
        <w:t xml:space="preserve">ve </w:t>
      </w:r>
      <w:r w:rsidRPr="001D3632">
        <w:rPr>
          <w:bCs/>
        </w:rPr>
        <w:t xml:space="preserve">fetuses. </w:t>
      </w:r>
      <w:r>
        <w:rPr>
          <w:bCs/>
        </w:rPr>
        <w:t xml:space="preserve"> </w:t>
      </w:r>
      <w:r w:rsidRPr="001D3632">
        <w:rPr>
          <w:bCs/>
        </w:rPr>
        <w:t>Effects on the external genitalia (decreased fetal ano-</w:t>
      </w:r>
      <w:r>
        <w:rPr>
          <w:bCs/>
        </w:rPr>
        <w:t xml:space="preserve">genital distance) were observed </w:t>
      </w:r>
      <w:r w:rsidRPr="001D3632">
        <w:rPr>
          <w:bCs/>
        </w:rPr>
        <w:t>though abiraterone acetate was not teratogenic.</w:t>
      </w:r>
      <w:r>
        <w:rPr>
          <w:bCs/>
        </w:rPr>
        <w:t xml:space="preserve">  </w:t>
      </w:r>
    </w:p>
    <w:p w:rsidR="001D3632" w:rsidRDefault="001D3632" w:rsidP="001D3632">
      <w:pPr>
        <w:jc w:val="left"/>
        <w:rPr>
          <w:bCs/>
        </w:rPr>
      </w:pPr>
    </w:p>
    <w:p w:rsidR="001D3632" w:rsidRDefault="001D3632" w:rsidP="001D3632">
      <w:pPr>
        <w:jc w:val="left"/>
        <w:rPr>
          <w:bCs/>
        </w:rPr>
      </w:pPr>
      <w:r w:rsidRPr="00CF4E9B">
        <w:rPr>
          <w:bCs/>
        </w:rPr>
        <w:t>In these fertility and developmental toxicity studies performed in the rat, all effects were related to the pharmacological activity of abiraterone.</w:t>
      </w:r>
      <w:r>
        <w:rPr>
          <w:bCs/>
        </w:rPr>
        <w:t xml:space="preserve">  </w:t>
      </w:r>
    </w:p>
    <w:p w:rsidR="00807059" w:rsidRDefault="00807059" w:rsidP="009F3479">
      <w:pPr>
        <w:jc w:val="left"/>
      </w:pPr>
    </w:p>
    <w:p w:rsidR="00807059" w:rsidRDefault="00807059" w:rsidP="009F3479">
      <w:pPr>
        <w:jc w:val="left"/>
      </w:pPr>
      <w:r w:rsidRPr="00807059">
        <w:t>It is not known if abiraterone or its m</w:t>
      </w:r>
      <w:r w:rsidR="0074005E">
        <w:t>etabolites are present in semen.  A</w:t>
      </w:r>
      <w:r w:rsidRPr="00807059">
        <w:t xml:space="preserve"> condom is required if </w:t>
      </w:r>
      <w:r w:rsidR="0074005E">
        <w:t xml:space="preserve">the patient is </w:t>
      </w:r>
      <w:r w:rsidRPr="00807059">
        <w:t>engaged in sexual activity with a pregnant woman.</w:t>
      </w:r>
      <w:r>
        <w:t xml:space="preserve"> </w:t>
      </w:r>
      <w:r w:rsidRPr="00807059">
        <w:t xml:space="preserve"> If </w:t>
      </w:r>
      <w:r w:rsidR="0074005E">
        <w:t xml:space="preserve">the patient is </w:t>
      </w:r>
      <w:r w:rsidRPr="00807059">
        <w:t>engaged in sex with a woman of child</w:t>
      </w:r>
      <w:r w:rsidR="0074005E">
        <w:t>-</w:t>
      </w:r>
      <w:r w:rsidRPr="00807059">
        <w:t xml:space="preserve">bearing potential, a condom is required </w:t>
      </w:r>
      <w:r w:rsidR="0074005E">
        <w:t xml:space="preserve">along </w:t>
      </w:r>
      <w:r w:rsidRPr="00807059">
        <w:t>with another effective contraceptive method.</w:t>
      </w:r>
      <w:r>
        <w:t xml:space="preserve">  </w:t>
      </w:r>
    </w:p>
    <w:p w:rsidR="00807059" w:rsidRDefault="00807059" w:rsidP="009F3479">
      <w:pPr>
        <w:jc w:val="left"/>
      </w:pPr>
    </w:p>
    <w:p w:rsidR="00807059" w:rsidRDefault="00807059" w:rsidP="009F3479">
      <w:pPr>
        <w:jc w:val="left"/>
      </w:pPr>
      <w:r w:rsidRPr="00807059">
        <w:t xml:space="preserve">To avoid inadvertent exposure, women who are pregnant or women who may be pregnant should not handle </w:t>
      </w:r>
      <w:r w:rsidR="00A01349">
        <w:t>ZYTIGA</w:t>
      </w:r>
      <w:r w:rsidRPr="00807059">
        <w:t xml:space="preserve"> without protection, e.g., gloves.  </w:t>
      </w:r>
    </w:p>
    <w:p w:rsidR="003B09E3" w:rsidRDefault="003B09E3" w:rsidP="009F3479">
      <w:pPr>
        <w:jc w:val="left"/>
      </w:pPr>
    </w:p>
    <w:p w:rsidR="003B09E3" w:rsidRDefault="003A72D8" w:rsidP="009F3479">
      <w:pPr>
        <w:pStyle w:val="Heading3"/>
        <w:spacing w:after="120"/>
      </w:pPr>
      <w:r>
        <w:t>Use in Lactation</w:t>
      </w:r>
    </w:p>
    <w:p w:rsidR="0086683A" w:rsidRDefault="00A01349" w:rsidP="0086683A">
      <w:pPr>
        <w:jc w:val="left"/>
        <w:rPr>
          <w:bCs/>
        </w:rPr>
      </w:pPr>
      <w:r>
        <w:rPr>
          <w:bCs/>
        </w:rPr>
        <w:t>ZYTIGA</w:t>
      </w:r>
      <w:r w:rsidR="0086683A" w:rsidRPr="0086683A">
        <w:rPr>
          <w:bCs/>
        </w:rPr>
        <w:t xml:space="preserve"> is not for use in women.</w:t>
      </w:r>
      <w:r w:rsidR="0086683A">
        <w:rPr>
          <w:bCs/>
        </w:rPr>
        <w:t xml:space="preserve">  </w:t>
      </w:r>
    </w:p>
    <w:p w:rsidR="0086683A" w:rsidRPr="0086683A" w:rsidRDefault="0086683A" w:rsidP="0086683A">
      <w:pPr>
        <w:jc w:val="left"/>
        <w:rPr>
          <w:bCs/>
        </w:rPr>
      </w:pPr>
    </w:p>
    <w:p w:rsidR="002F0EB2" w:rsidRDefault="0086683A" w:rsidP="0086683A">
      <w:pPr>
        <w:jc w:val="left"/>
        <w:rPr>
          <w:bCs/>
        </w:rPr>
      </w:pPr>
      <w:r w:rsidRPr="0086683A">
        <w:rPr>
          <w:bCs/>
        </w:rPr>
        <w:t>It is not known if either abiraterone acetate or its metabolites are excreted in human breast milk.</w:t>
      </w:r>
      <w:r>
        <w:rPr>
          <w:bCs/>
        </w:rPr>
        <w:t xml:space="preserve">  </w:t>
      </w:r>
    </w:p>
    <w:p w:rsidR="00656F33" w:rsidRDefault="00656F33" w:rsidP="0086683A">
      <w:pPr>
        <w:jc w:val="left"/>
        <w:rPr>
          <w:bCs/>
        </w:rPr>
      </w:pPr>
    </w:p>
    <w:p w:rsidR="00656F33" w:rsidRPr="00656F33" w:rsidRDefault="00656F33" w:rsidP="00656F33">
      <w:pPr>
        <w:jc w:val="left"/>
        <w:rPr>
          <w:b/>
          <w:bCs/>
        </w:rPr>
      </w:pPr>
      <w:r w:rsidRPr="00656F33">
        <w:rPr>
          <w:b/>
          <w:bCs/>
        </w:rPr>
        <w:t>Use in children</w:t>
      </w:r>
    </w:p>
    <w:p w:rsidR="00656F33" w:rsidRDefault="00656F33" w:rsidP="00656F33">
      <w:pPr>
        <w:jc w:val="left"/>
        <w:rPr>
          <w:bCs/>
        </w:rPr>
      </w:pPr>
      <w:r w:rsidRPr="00656F33">
        <w:rPr>
          <w:bCs/>
        </w:rPr>
        <w:t>This medicine is not for use in children</w:t>
      </w:r>
      <w:r>
        <w:rPr>
          <w:bCs/>
        </w:rPr>
        <w:t xml:space="preserve">.  </w:t>
      </w:r>
    </w:p>
    <w:p w:rsidR="00505167" w:rsidRDefault="00505167" w:rsidP="009F3479">
      <w:pPr>
        <w:pStyle w:val="PIEXPLAIN"/>
        <w:keepLines/>
        <w:tabs>
          <w:tab w:val="clear" w:pos="-720"/>
        </w:tabs>
        <w:suppressAutoHyphens w:val="0"/>
        <w:spacing w:before="0" w:after="0"/>
        <w:jc w:val="left"/>
        <w:rPr>
          <w:spacing w:val="0"/>
        </w:rPr>
      </w:pPr>
    </w:p>
    <w:p w:rsidR="003B09E3" w:rsidRDefault="003A72D8" w:rsidP="009F3479">
      <w:pPr>
        <w:pStyle w:val="PlainText"/>
        <w:spacing w:after="120"/>
        <w:rPr>
          <w:b/>
          <w:sz w:val="22"/>
          <w:szCs w:val="22"/>
        </w:rPr>
      </w:pPr>
      <w:r>
        <w:rPr>
          <w:b/>
          <w:sz w:val="22"/>
          <w:szCs w:val="22"/>
        </w:rPr>
        <w:t>Carcinogenicity</w:t>
      </w:r>
    </w:p>
    <w:p w:rsidR="006642B1" w:rsidRDefault="006642B1" w:rsidP="006642B1">
      <w:pPr>
        <w:jc w:val="left"/>
      </w:pPr>
      <w:r>
        <w:t xml:space="preserve">Carcinogenicity studies were not conducted with abiraterone acetate.  </w:t>
      </w:r>
    </w:p>
    <w:p w:rsidR="008945D3" w:rsidRDefault="008945D3" w:rsidP="009F3479">
      <w:pPr>
        <w:jc w:val="left"/>
      </w:pPr>
    </w:p>
    <w:p w:rsidR="003B09E3" w:rsidRDefault="003A72D8" w:rsidP="009F3479">
      <w:pPr>
        <w:pStyle w:val="PIEXPLAIN"/>
        <w:keepNext/>
        <w:keepLines/>
        <w:tabs>
          <w:tab w:val="clear" w:pos="-720"/>
        </w:tabs>
        <w:suppressAutoHyphens w:val="0"/>
        <w:spacing w:before="0" w:after="120"/>
        <w:jc w:val="left"/>
        <w:rPr>
          <w:b/>
          <w:bCs/>
          <w:spacing w:val="0"/>
        </w:rPr>
      </w:pPr>
      <w:r>
        <w:rPr>
          <w:b/>
          <w:bCs/>
          <w:spacing w:val="0"/>
        </w:rPr>
        <w:t>Genotoxicity</w:t>
      </w:r>
    </w:p>
    <w:p w:rsidR="003B09E3" w:rsidRDefault="00D914E5" w:rsidP="002F3D37">
      <w:pPr>
        <w:autoSpaceDE w:val="0"/>
        <w:autoSpaceDN w:val="0"/>
        <w:adjustRightInd w:val="0"/>
        <w:jc w:val="left"/>
        <w:rPr>
          <w:szCs w:val="22"/>
          <w:lang w:val="en-US"/>
        </w:rPr>
      </w:pPr>
      <w:r w:rsidRPr="00D914E5">
        <w:rPr>
          <w:szCs w:val="22"/>
          <w:lang w:val="en-US"/>
        </w:rPr>
        <w:t xml:space="preserve">Abiraterone acetate and abiraterone were devoid of genotoxic potential in the standard panel of genotoxicity tests including, an </w:t>
      </w:r>
      <w:r w:rsidRPr="002254A4">
        <w:rPr>
          <w:i/>
          <w:szCs w:val="22"/>
          <w:lang w:val="en-US"/>
        </w:rPr>
        <w:t>in vitro</w:t>
      </w:r>
      <w:r w:rsidRPr="00D914E5">
        <w:rPr>
          <w:szCs w:val="22"/>
          <w:lang w:val="en-US"/>
        </w:rPr>
        <w:t xml:space="preserve"> bacterial reverse mutation assay (the Ames test), an </w:t>
      </w:r>
      <w:r w:rsidRPr="002254A4">
        <w:rPr>
          <w:i/>
          <w:szCs w:val="22"/>
          <w:lang w:val="en-US"/>
        </w:rPr>
        <w:t>in vitro</w:t>
      </w:r>
      <w:r w:rsidRPr="00D914E5">
        <w:rPr>
          <w:szCs w:val="22"/>
          <w:lang w:val="en-US"/>
        </w:rPr>
        <w:t xml:space="preserve"> mammalian chromosome aberration test (using human lymphocytes) and an </w:t>
      </w:r>
      <w:r w:rsidRPr="002254A4">
        <w:rPr>
          <w:i/>
          <w:szCs w:val="22"/>
          <w:lang w:val="en-US"/>
        </w:rPr>
        <w:t>in vivo</w:t>
      </w:r>
      <w:r w:rsidRPr="00D914E5">
        <w:rPr>
          <w:szCs w:val="22"/>
          <w:lang w:val="en-US"/>
        </w:rPr>
        <w:t xml:space="preserve"> rat micronucleus assay.  </w:t>
      </w:r>
      <w:r w:rsidR="002F3D37" w:rsidRPr="002F3D37">
        <w:rPr>
          <w:szCs w:val="22"/>
          <w:lang w:val="en-US"/>
        </w:rPr>
        <w:t>Genotoxicity studi</w:t>
      </w:r>
      <w:r w:rsidR="002F3D37">
        <w:rPr>
          <w:szCs w:val="22"/>
          <w:lang w:val="en-US"/>
        </w:rPr>
        <w:t xml:space="preserve">es have not been conducted with </w:t>
      </w:r>
      <w:r w:rsidR="002F3D37" w:rsidRPr="002F3D37">
        <w:rPr>
          <w:szCs w:val="22"/>
          <w:lang w:val="en-US"/>
        </w:rPr>
        <w:t>the main human metabolites of abiraterone.</w:t>
      </w:r>
      <w:r w:rsidR="002F3D37">
        <w:rPr>
          <w:szCs w:val="22"/>
          <w:lang w:val="en-US"/>
        </w:rPr>
        <w:t xml:space="preserve">  </w:t>
      </w:r>
    </w:p>
    <w:p w:rsidR="00A601C7" w:rsidRDefault="00A601C7" w:rsidP="009F3479">
      <w:pPr>
        <w:autoSpaceDE w:val="0"/>
        <w:autoSpaceDN w:val="0"/>
        <w:adjustRightInd w:val="0"/>
        <w:jc w:val="left"/>
        <w:rPr>
          <w:szCs w:val="22"/>
          <w:lang w:val="en-US"/>
        </w:rPr>
      </w:pPr>
    </w:p>
    <w:p w:rsidR="003B09E3" w:rsidRPr="004655CD" w:rsidRDefault="003A72D8" w:rsidP="009F3479">
      <w:pPr>
        <w:pStyle w:val="PIHEADING2"/>
        <w:jc w:val="left"/>
        <w:rPr>
          <w:caps/>
        </w:rPr>
      </w:pPr>
      <w:r w:rsidRPr="004655CD">
        <w:rPr>
          <w:caps/>
        </w:rPr>
        <w:lastRenderedPageBreak/>
        <w:t>Interactions with Other Medicines</w:t>
      </w:r>
    </w:p>
    <w:p w:rsidR="00D23386" w:rsidRPr="00D23386" w:rsidRDefault="00F752A0" w:rsidP="00F752A0">
      <w:pPr>
        <w:jc w:val="left"/>
        <w:rPr>
          <w:noProof/>
          <w:szCs w:val="22"/>
        </w:rPr>
      </w:pPr>
      <w:r w:rsidRPr="00F752A0">
        <w:rPr>
          <w:i/>
          <w:noProof/>
          <w:szCs w:val="22"/>
        </w:rPr>
        <w:t>In vitro</w:t>
      </w:r>
      <w:r w:rsidRPr="00F752A0">
        <w:rPr>
          <w:noProof/>
          <w:szCs w:val="22"/>
        </w:rPr>
        <w:t xml:space="preserve"> st</w:t>
      </w:r>
      <w:r>
        <w:rPr>
          <w:noProof/>
          <w:szCs w:val="22"/>
        </w:rPr>
        <w:t>udies with human hepatic microso</w:t>
      </w:r>
      <w:r w:rsidRPr="00F752A0">
        <w:rPr>
          <w:noProof/>
          <w:szCs w:val="22"/>
        </w:rPr>
        <w:t>mes showed that abiraterone is a strong</w:t>
      </w:r>
      <w:r w:rsidR="004C38F7">
        <w:rPr>
          <w:noProof/>
          <w:szCs w:val="22"/>
        </w:rPr>
        <w:t xml:space="preserve"> </w:t>
      </w:r>
      <w:r w:rsidRPr="00F752A0">
        <w:rPr>
          <w:noProof/>
          <w:szCs w:val="22"/>
        </w:rPr>
        <w:t>inhibitor of CYP1A2</w:t>
      </w:r>
      <w:r w:rsidR="00C142B3">
        <w:rPr>
          <w:noProof/>
          <w:szCs w:val="22"/>
        </w:rPr>
        <w:t>,</w:t>
      </w:r>
      <w:r w:rsidRPr="00F752A0">
        <w:rPr>
          <w:noProof/>
          <w:szCs w:val="22"/>
        </w:rPr>
        <w:t xml:space="preserve"> CYP2D6 </w:t>
      </w:r>
      <w:r w:rsidR="00C142B3" w:rsidRPr="00C142B3">
        <w:rPr>
          <w:noProof/>
          <w:szCs w:val="22"/>
        </w:rPr>
        <w:t>and CYP2C8</w:t>
      </w:r>
      <w:r w:rsidR="00C142B3">
        <w:rPr>
          <w:noProof/>
          <w:szCs w:val="22"/>
        </w:rPr>
        <w:t xml:space="preserve"> </w:t>
      </w:r>
      <w:r w:rsidRPr="00F752A0">
        <w:rPr>
          <w:noProof/>
          <w:szCs w:val="22"/>
        </w:rPr>
        <w:t>and a moderate inhibitor of CYP2C9, CYP2C19 and</w:t>
      </w:r>
      <w:r w:rsidR="004C38F7">
        <w:rPr>
          <w:noProof/>
          <w:szCs w:val="22"/>
        </w:rPr>
        <w:t xml:space="preserve"> </w:t>
      </w:r>
      <w:r>
        <w:rPr>
          <w:noProof/>
          <w:szCs w:val="22"/>
        </w:rPr>
        <w:t>CYP3A4/5</w:t>
      </w:r>
      <w:r w:rsidRPr="00F752A0">
        <w:rPr>
          <w:noProof/>
          <w:szCs w:val="22"/>
        </w:rPr>
        <w:t>.</w:t>
      </w:r>
      <w:r>
        <w:rPr>
          <w:noProof/>
          <w:szCs w:val="22"/>
        </w:rPr>
        <w:t xml:space="preserve">  </w:t>
      </w:r>
      <w:r w:rsidR="00D23386" w:rsidRPr="00D23386">
        <w:rPr>
          <w:noProof/>
          <w:szCs w:val="22"/>
        </w:rPr>
        <w:t xml:space="preserve">In a clinical study to determine the effects of abiraterone acetate (plus prednisone) on a single dose of the CYP1A2 substrate theophylline, no increase in systemic exposure of theophylline was observed.  </w:t>
      </w:r>
    </w:p>
    <w:p w:rsidR="00D23386" w:rsidRPr="00D23386" w:rsidRDefault="00D23386" w:rsidP="00D23386">
      <w:pPr>
        <w:jc w:val="left"/>
        <w:rPr>
          <w:noProof/>
          <w:szCs w:val="22"/>
        </w:rPr>
      </w:pPr>
    </w:p>
    <w:p w:rsidR="00D23386" w:rsidRPr="00D23386" w:rsidRDefault="00D23386" w:rsidP="00D23386">
      <w:pPr>
        <w:jc w:val="left"/>
        <w:rPr>
          <w:noProof/>
          <w:szCs w:val="22"/>
        </w:rPr>
      </w:pPr>
      <w:r w:rsidRPr="00D23386">
        <w:rPr>
          <w:noProof/>
          <w:szCs w:val="22"/>
        </w:rPr>
        <w:t xml:space="preserve">In the same study to determine the effects of abiraterone acetate (plus prednisone) on a single dose of the CYP2D6 substrate dextromethorphan, the systemic exposure </w:t>
      </w:r>
      <w:r w:rsidR="0072118B">
        <w:rPr>
          <w:noProof/>
          <w:szCs w:val="22"/>
        </w:rPr>
        <w:t xml:space="preserve">(AUC) </w:t>
      </w:r>
      <w:r w:rsidRPr="00D23386">
        <w:rPr>
          <w:noProof/>
          <w:szCs w:val="22"/>
        </w:rPr>
        <w:t>of dextromethorph</w:t>
      </w:r>
      <w:r w:rsidR="0072118B">
        <w:rPr>
          <w:noProof/>
          <w:szCs w:val="22"/>
        </w:rPr>
        <w:t>an was increased approximately 2</w:t>
      </w:r>
      <w:r w:rsidRPr="00D23386">
        <w:rPr>
          <w:noProof/>
          <w:szCs w:val="22"/>
        </w:rPr>
        <w:t>00%.  The AUC</w:t>
      </w:r>
      <w:r w:rsidRPr="00D23386">
        <w:rPr>
          <w:noProof/>
          <w:szCs w:val="22"/>
          <w:vertAlign w:val="subscript"/>
        </w:rPr>
        <w:t>24</w:t>
      </w:r>
      <w:r w:rsidRPr="00D23386">
        <w:rPr>
          <w:noProof/>
          <w:szCs w:val="22"/>
        </w:rPr>
        <w:t xml:space="preserve"> for dextrorphan, the active metabolite of dextromethorphan, increased approximately 33%.</w:t>
      </w:r>
      <w:r>
        <w:rPr>
          <w:noProof/>
          <w:szCs w:val="22"/>
        </w:rPr>
        <w:t xml:space="preserve">  </w:t>
      </w:r>
    </w:p>
    <w:p w:rsidR="00D23386" w:rsidRPr="00D23386" w:rsidRDefault="00D23386" w:rsidP="00D23386">
      <w:pPr>
        <w:jc w:val="left"/>
        <w:rPr>
          <w:noProof/>
          <w:szCs w:val="22"/>
        </w:rPr>
      </w:pPr>
    </w:p>
    <w:p w:rsidR="004C38F7" w:rsidRDefault="00D23386" w:rsidP="004C38F7">
      <w:pPr>
        <w:jc w:val="left"/>
        <w:rPr>
          <w:noProof/>
          <w:szCs w:val="22"/>
        </w:rPr>
      </w:pPr>
      <w:r w:rsidRPr="00D23386">
        <w:rPr>
          <w:noProof/>
          <w:szCs w:val="22"/>
        </w:rPr>
        <w:t xml:space="preserve">Caution is advised when </w:t>
      </w:r>
      <w:r>
        <w:rPr>
          <w:noProof/>
          <w:szCs w:val="22"/>
        </w:rPr>
        <w:t>abiraterone</w:t>
      </w:r>
      <w:r w:rsidRPr="00D23386">
        <w:rPr>
          <w:noProof/>
          <w:szCs w:val="22"/>
        </w:rPr>
        <w:t xml:space="preserve"> is administered with drugs activated by or metabolized by CYP2D6, particularly with drugs that have a narrow therapeutic index. </w:t>
      </w:r>
      <w:r>
        <w:rPr>
          <w:noProof/>
          <w:szCs w:val="22"/>
        </w:rPr>
        <w:t xml:space="preserve"> </w:t>
      </w:r>
      <w:r w:rsidRPr="00D23386">
        <w:rPr>
          <w:noProof/>
          <w:szCs w:val="22"/>
        </w:rPr>
        <w:t>Dose reduction of narrow therapeutic index drugs metabolized by CYP2D6 should be considered.</w:t>
      </w:r>
      <w:r>
        <w:rPr>
          <w:noProof/>
          <w:szCs w:val="22"/>
        </w:rPr>
        <w:t xml:space="preserve"> </w:t>
      </w:r>
      <w:r w:rsidRPr="00D23386">
        <w:rPr>
          <w:noProof/>
          <w:szCs w:val="22"/>
        </w:rPr>
        <w:t xml:space="preserve"> </w:t>
      </w:r>
      <w:r w:rsidR="00C142B3" w:rsidRPr="00C142B3">
        <w:rPr>
          <w:noProof/>
          <w:szCs w:val="22"/>
        </w:rPr>
        <w:t xml:space="preserve">There are no clinical data on the use of </w:t>
      </w:r>
      <w:r w:rsidR="00C142B3">
        <w:rPr>
          <w:noProof/>
          <w:szCs w:val="22"/>
        </w:rPr>
        <w:t>abiraterone</w:t>
      </w:r>
      <w:r w:rsidR="00C142B3" w:rsidRPr="00C142B3">
        <w:rPr>
          <w:noProof/>
          <w:szCs w:val="22"/>
        </w:rPr>
        <w:t xml:space="preserve"> with drugs that are substrates of CYP2C8.</w:t>
      </w:r>
      <w:r w:rsidR="00C142B3">
        <w:rPr>
          <w:noProof/>
          <w:szCs w:val="22"/>
        </w:rPr>
        <w:t xml:space="preserve">  </w:t>
      </w:r>
    </w:p>
    <w:p w:rsidR="004C38F7" w:rsidRPr="00D23386" w:rsidRDefault="00D23386" w:rsidP="004C38F7">
      <w:pPr>
        <w:jc w:val="left"/>
        <w:rPr>
          <w:noProof/>
          <w:szCs w:val="22"/>
        </w:rPr>
      </w:pPr>
      <w:r w:rsidRPr="00D23386">
        <w:rPr>
          <w:noProof/>
          <w:szCs w:val="22"/>
        </w:rPr>
        <w:cr/>
      </w:r>
      <w:r w:rsidR="004C38F7" w:rsidRPr="004C38F7">
        <w:rPr>
          <w:noProof/>
          <w:szCs w:val="22"/>
        </w:rPr>
        <w:t>Abiraterone is a substrate of CYP3A4.</w:t>
      </w:r>
      <w:r w:rsidR="004C38F7">
        <w:rPr>
          <w:noProof/>
          <w:szCs w:val="22"/>
        </w:rPr>
        <w:t xml:space="preserve"> </w:t>
      </w:r>
      <w:r w:rsidR="004C38F7" w:rsidRPr="004C38F7">
        <w:rPr>
          <w:noProof/>
          <w:szCs w:val="22"/>
        </w:rPr>
        <w:t xml:space="preserve"> The effects of strong CYP3A4 inhibitors or inducers</w:t>
      </w:r>
      <w:r w:rsidR="004C38F7">
        <w:rPr>
          <w:noProof/>
          <w:szCs w:val="22"/>
        </w:rPr>
        <w:t xml:space="preserve"> </w:t>
      </w:r>
      <w:r w:rsidR="004C38F7" w:rsidRPr="004C38F7">
        <w:rPr>
          <w:noProof/>
          <w:szCs w:val="22"/>
        </w:rPr>
        <w:t xml:space="preserve">on the pharmacokinetics of abiraterone have not been investigated. </w:t>
      </w:r>
      <w:r w:rsidR="004C38F7">
        <w:rPr>
          <w:noProof/>
          <w:szCs w:val="22"/>
        </w:rPr>
        <w:t xml:space="preserve"> </w:t>
      </w:r>
      <w:r w:rsidR="004C38F7" w:rsidRPr="004C38F7">
        <w:rPr>
          <w:noProof/>
          <w:szCs w:val="22"/>
        </w:rPr>
        <w:t>Strong inhibitors and</w:t>
      </w:r>
      <w:r w:rsidR="004C38F7">
        <w:rPr>
          <w:noProof/>
          <w:szCs w:val="22"/>
        </w:rPr>
        <w:t xml:space="preserve"> </w:t>
      </w:r>
      <w:r w:rsidR="004C38F7" w:rsidRPr="004C38F7">
        <w:rPr>
          <w:noProof/>
          <w:szCs w:val="22"/>
        </w:rPr>
        <w:t>inducers of CYP3A4 should be avoided or used with caution.</w:t>
      </w:r>
      <w:r w:rsidR="004C38F7">
        <w:rPr>
          <w:noProof/>
          <w:szCs w:val="22"/>
        </w:rPr>
        <w:t xml:space="preserve">  </w:t>
      </w:r>
    </w:p>
    <w:p w:rsidR="003B09E3" w:rsidRDefault="003A72D8" w:rsidP="009F3479">
      <w:pPr>
        <w:pStyle w:val="PIHEADING2"/>
        <w:jc w:val="left"/>
      </w:pPr>
      <w:r>
        <w:t>Effect on Ability to Drive or Operate Machinery</w:t>
      </w:r>
    </w:p>
    <w:p w:rsidR="00F706D6" w:rsidRDefault="00BD4546" w:rsidP="009F3479">
      <w:pPr>
        <w:jc w:val="left"/>
      </w:pPr>
      <w:r w:rsidRPr="00BD4546">
        <w:t xml:space="preserve">No studies on the effects of </w:t>
      </w:r>
      <w:r>
        <w:t xml:space="preserve">abiraterone </w:t>
      </w:r>
      <w:r w:rsidRPr="00BD4546">
        <w:t xml:space="preserve">on the ability to drive or use machines have been performed.  It is not anticipated that </w:t>
      </w:r>
      <w:r>
        <w:t>abiraterone</w:t>
      </w:r>
      <w:r w:rsidRPr="00BD4546">
        <w:t xml:space="preserve"> will affect the ability to drive and use machines.</w:t>
      </w:r>
      <w:r>
        <w:t xml:space="preserve">  </w:t>
      </w:r>
    </w:p>
    <w:p w:rsidR="003B09E3" w:rsidRDefault="003A72D8" w:rsidP="00FB70ED">
      <w:pPr>
        <w:pStyle w:val="PIHEADING1"/>
        <w:jc w:val="left"/>
      </w:pPr>
      <w:r>
        <w:t>ADVERSE Effects</w:t>
      </w:r>
    </w:p>
    <w:p w:rsidR="00E37DBF" w:rsidRPr="00F9539B" w:rsidRDefault="00E37DBF" w:rsidP="00FB70ED">
      <w:pPr>
        <w:pStyle w:val="Heading4"/>
        <w:spacing w:after="120"/>
        <w:jc w:val="left"/>
        <w:rPr>
          <w:b/>
          <w:bCs/>
        </w:rPr>
      </w:pPr>
      <w:r>
        <w:rPr>
          <w:b/>
          <w:bCs/>
          <w:u w:val="none"/>
        </w:rPr>
        <w:t>Adverse Drug Reactions from Clinical Trials</w:t>
      </w:r>
    </w:p>
    <w:p w:rsidR="00A865E9" w:rsidRPr="00A865E9" w:rsidRDefault="00A865E9" w:rsidP="00A865E9">
      <w:pPr>
        <w:autoSpaceDE w:val="0"/>
        <w:autoSpaceDN w:val="0"/>
        <w:adjustRightInd w:val="0"/>
        <w:jc w:val="left"/>
        <w:rPr>
          <w:rFonts w:cs="Arial"/>
          <w:noProof/>
        </w:rPr>
      </w:pPr>
      <w:r w:rsidRPr="00A865E9">
        <w:rPr>
          <w:rFonts w:cs="Arial"/>
          <w:noProof/>
        </w:rPr>
        <w:t xml:space="preserve">The most common adverse reactions seen with </w:t>
      </w:r>
      <w:r>
        <w:rPr>
          <w:rFonts w:cs="Arial"/>
          <w:noProof/>
        </w:rPr>
        <w:t>abiraterone</w:t>
      </w:r>
      <w:r w:rsidRPr="00A865E9">
        <w:rPr>
          <w:rFonts w:cs="Arial"/>
          <w:noProof/>
        </w:rPr>
        <w:t xml:space="preserve"> are peripheral edema, hypokalemia, urinary tract infection</w:t>
      </w:r>
      <w:r w:rsidR="00EF3444">
        <w:rPr>
          <w:rFonts w:cs="Arial"/>
          <w:noProof/>
        </w:rPr>
        <w:t>,</w:t>
      </w:r>
      <w:r w:rsidRPr="00A865E9">
        <w:rPr>
          <w:rFonts w:cs="Arial"/>
          <w:noProof/>
        </w:rPr>
        <w:t xml:space="preserve"> </w:t>
      </w:r>
      <w:r w:rsidR="00EF3444" w:rsidRPr="00EF3444">
        <w:rPr>
          <w:rFonts w:cs="Arial"/>
          <w:noProof/>
        </w:rPr>
        <w:t>alanine aminotransferase increased, aspartate aminotransferase increased, dyspepsia, hematuria</w:t>
      </w:r>
      <w:r w:rsidR="00EF3444">
        <w:rPr>
          <w:rFonts w:cs="Arial"/>
          <w:noProof/>
        </w:rPr>
        <w:t>, fractures</w:t>
      </w:r>
      <w:r w:rsidR="00EF3444" w:rsidRPr="00EF3444">
        <w:rPr>
          <w:rFonts w:cs="Arial"/>
          <w:noProof/>
        </w:rPr>
        <w:t xml:space="preserve"> </w:t>
      </w:r>
      <w:r w:rsidRPr="00A865E9">
        <w:rPr>
          <w:rFonts w:cs="Arial"/>
          <w:noProof/>
        </w:rPr>
        <w:t>and hypertension.</w:t>
      </w:r>
      <w:r>
        <w:rPr>
          <w:rFonts w:cs="Arial"/>
          <w:noProof/>
        </w:rPr>
        <w:t xml:space="preserve">  </w:t>
      </w:r>
    </w:p>
    <w:p w:rsidR="00A865E9" w:rsidRPr="00A865E9" w:rsidRDefault="00A865E9" w:rsidP="00A865E9">
      <w:pPr>
        <w:autoSpaceDE w:val="0"/>
        <w:autoSpaceDN w:val="0"/>
        <w:adjustRightInd w:val="0"/>
        <w:jc w:val="left"/>
        <w:rPr>
          <w:rFonts w:cs="Arial"/>
          <w:noProof/>
        </w:rPr>
      </w:pPr>
    </w:p>
    <w:p w:rsidR="00A865E9" w:rsidRDefault="00A865E9" w:rsidP="00A865E9">
      <w:pPr>
        <w:autoSpaceDE w:val="0"/>
        <w:autoSpaceDN w:val="0"/>
        <w:adjustRightInd w:val="0"/>
        <w:jc w:val="left"/>
        <w:rPr>
          <w:rFonts w:cs="Arial"/>
          <w:noProof/>
        </w:rPr>
      </w:pPr>
      <w:r>
        <w:rPr>
          <w:rFonts w:cs="Arial"/>
          <w:noProof/>
        </w:rPr>
        <w:t>Abiraterone</w:t>
      </w:r>
      <w:r w:rsidRPr="00A865E9">
        <w:rPr>
          <w:rFonts w:cs="Arial"/>
          <w:noProof/>
        </w:rPr>
        <w:t xml:space="preserve"> may cause hypertension, hypokalemia and fluid retention as a pharmacodynamic consequence of its mechanism of action.  In phase 3 </w:t>
      </w:r>
      <w:r w:rsidR="00340B40" w:rsidRPr="00A865E9">
        <w:rPr>
          <w:rFonts w:cs="Arial"/>
          <w:noProof/>
        </w:rPr>
        <w:t>stud</w:t>
      </w:r>
      <w:r w:rsidR="00340B40">
        <w:rPr>
          <w:rFonts w:cs="Arial"/>
          <w:noProof/>
        </w:rPr>
        <w:t>ies</w:t>
      </w:r>
      <w:r w:rsidR="00340B40" w:rsidRPr="00A865E9">
        <w:rPr>
          <w:rFonts w:cs="Arial"/>
          <w:noProof/>
        </w:rPr>
        <w:t xml:space="preserve"> </w:t>
      </w:r>
      <w:r w:rsidRPr="00A865E9">
        <w:rPr>
          <w:rFonts w:cs="Arial"/>
          <w:noProof/>
        </w:rPr>
        <w:t xml:space="preserve">anticipated mineralocorticoid effects were seen more commonly in patients treated with </w:t>
      </w:r>
      <w:r>
        <w:rPr>
          <w:rFonts w:cs="Arial"/>
          <w:noProof/>
        </w:rPr>
        <w:t>abiraterone</w:t>
      </w:r>
      <w:r w:rsidRPr="00A865E9">
        <w:rPr>
          <w:rFonts w:cs="Arial"/>
          <w:noProof/>
        </w:rPr>
        <w:t xml:space="preserve"> versus patients treated</w:t>
      </w:r>
      <w:r>
        <w:rPr>
          <w:rFonts w:cs="Arial"/>
          <w:noProof/>
        </w:rPr>
        <w:t xml:space="preserve"> with placebo; hypokalemia </w:t>
      </w:r>
      <w:r w:rsidR="00340B40">
        <w:rPr>
          <w:rFonts w:cs="Arial"/>
          <w:noProof/>
        </w:rPr>
        <w:t>18</w:t>
      </w:r>
      <w:r>
        <w:rPr>
          <w:rFonts w:cs="Arial"/>
          <w:noProof/>
        </w:rPr>
        <w:t xml:space="preserve">% </w:t>
      </w:r>
      <w:r w:rsidRPr="00A865E9">
        <w:rPr>
          <w:rFonts w:cs="Arial"/>
          <w:noProof/>
        </w:rPr>
        <w:t xml:space="preserve">versus </w:t>
      </w:r>
      <w:r w:rsidR="00340B40">
        <w:rPr>
          <w:rFonts w:cs="Arial"/>
          <w:noProof/>
        </w:rPr>
        <w:t>11</w:t>
      </w:r>
      <w:r w:rsidRPr="00A865E9">
        <w:rPr>
          <w:rFonts w:cs="Arial"/>
          <w:noProof/>
        </w:rPr>
        <w:t xml:space="preserve">%, hypertension </w:t>
      </w:r>
      <w:r w:rsidR="00340B40">
        <w:rPr>
          <w:rFonts w:cs="Arial"/>
          <w:noProof/>
        </w:rPr>
        <w:t>15</w:t>
      </w:r>
      <w:r w:rsidRPr="00A865E9">
        <w:rPr>
          <w:rFonts w:cs="Arial"/>
          <w:noProof/>
        </w:rPr>
        <w:t xml:space="preserve">% versus </w:t>
      </w:r>
      <w:r w:rsidR="00340B40">
        <w:rPr>
          <w:rFonts w:cs="Arial"/>
          <w:noProof/>
        </w:rPr>
        <w:t>11</w:t>
      </w:r>
      <w:r w:rsidRPr="00A865E9">
        <w:rPr>
          <w:rFonts w:cs="Arial"/>
          <w:noProof/>
        </w:rPr>
        <w:t xml:space="preserve">% and fluid retention (peripheral edema) </w:t>
      </w:r>
      <w:r w:rsidR="00340B40" w:rsidRPr="00A865E9">
        <w:rPr>
          <w:rFonts w:cs="Arial"/>
          <w:noProof/>
        </w:rPr>
        <w:t>2</w:t>
      </w:r>
      <w:r w:rsidR="00340B40">
        <w:rPr>
          <w:rFonts w:cs="Arial"/>
          <w:noProof/>
        </w:rPr>
        <w:t>6</w:t>
      </w:r>
      <w:r w:rsidRPr="00A865E9">
        <w:rPr>
          <w:rFonts w:cs="Arial"/>
          <w:noProof/>
        </w:rPr>
        <w:t xml:space="preserve">% versus </w:t>
      </w:r>
      <w:r w:rsidR="00340B40">
        <w:rPr>
          <w:rFonts w:cs="Arial"/>
          <w:noProof/>
        </w:rPr>
        <w:t>20</w:t>
      </w:r>
      <w:r w:rsidRPr="00A865E9">
        <w:rPr>
          <w:rFonts w:cs="Arial"/>
          <w:noProof/>
        </w:rPr>
        <w:t xml:space="preserve">%, respectively. </w:t>
      </w:r>
      <w:r>
        <w:rPr>
          <w:rFonts w:cs="Arial"/>
          <w:noProof/>
        </w:rPr>
        <w:t xml:space="preserve"> </w:t>
      </w:r>
      <w:r w:rsidRPr="00A865E9">
        <w:rPr>
          <w:rFonts w:cs="Arial"/>
          <w:noProof/>
        </w:rPr>
        <w:t xml:space="preserve">In patients treated with </w:t>
      </w:r>
      <w:r>
        <w:rPr>
          <w:rFonts w:cs="Arial"/>
          <w:noProof/>
        </w:rPr>
        <w:t>abiraterone</w:t>
      </w:r>
      <w:r w:rsidRPr="00A865E9">
        <w:rPr>
          <w:rFonts w:cs="Arial"/>
          <w:noProof/>
        </w:rPr>
        <w:t xml:space="preserve">, grades 3 and 4 hypokalemia and grades 3 and 4 hypertension were observed in 4% and </w:t>
      </w:r>
      <w:r w:rsidR="00340B40">
        <w:rPr>
          <w:rFonts w:cs="Arial"/>
          <w:noProof/>
        </w:rPr>
        <w:t>2</w:t>
      </w:r>
      <w:r w:rsidRPr="00A865E9">
        <w:rPr>
          <w:rFonts w:cs="Arial"/>
          <w:noProof/>
        </w:rPr>
        <w:t xml:space="preserve">% of patients, respectively.  Mineralocorticoid effects generally were able to be successfully managed medically.  Concomitant use of a corticosteroid reduces the incidence and severity of these adverse drug reactions (see </w:t>
      </w:r>
      <w:r>
        <w:rPr>
          <w:rFonts w:cs="Arial"/>
          <w:noProof/>
        </w:rPr>
        <w:t>PRECAUTIONS</w:t>
      </w:r>
      <w:r w:rsidRPr="00A865E9">
        <w:rPr>
          <w:rFonts w:cs="Arial"/>
          <w:noProof/>
        </w:rPr>
        <w:t xml:space="preserve">).  </w:t>
      </w:r>
    </w:p>
    <w:p w:rsidR="00A865E9" w:rsidRPr="00A865E9" w:rsidRDefault="00A865E9" w:rsidP="00A865E9">
      <w:pPr>
        <w:autoSpaceDE w:val="0"/>
        <w:autoSpaceDN w:val="0"/>
        <w:adjustRightInd w:val="0"/>
        <w:jc w:val="left"/>
        <w:rPr>
          <w:rFonts w:cs="Arial"/>
          <w:noProof/>
        </w:rPr>
      </w:pPr>
    </w:p>
    <w:p w:rsidR="00A865E9" w:rsidRDefault="00A865E9" w:rsidP="00A865E9">
      <w:pPr>
        <w:autoSpaceDE w:val="0"/>
        <w:autoSpaceDN w:val="0"/>
        <w:adjustRightInd w:val="0"/>
        <w:jc w:val="left"/>
        <w:rPr>
          <w:rFonts w:cs="Arial"/>
          <w:noProof/>
        </w:rPr>
      </w:pPr>
      <w:r w:rsidRPr="00A865E9">
        <w:rPr>
          <w:rFonts w:cs="Arial"/>
          <w:noProof/>
        </w:rPr>
        <w:t xml:space="preserve">In </w:t>
      </w:r>
      <w:r w:rsidR="00561F4F">
        <w:rPr>
          <w:rFonts w:cs="Arial"/>
          <w:noProof/>
        </w:rPr>
        <w:t xml:space="preserve">a </w:t>
      </w:r>
      <w:r w:rsidR="00054D31">
        <w:rPr>
          <w:rFonts w:cs="Arial"/>
          <w:noProof/>
        </w:rPr>
        <w:t>phase 3 study</w:t>
      </w:r>
      <w:r w:rsidR="00054D31" w:rsidRPr="00A865E9">
        <w:rPr>
          <w:rFonts w:cs="Arial"/>
          <w:noProof/>
        </w:rPr>
        <w:t xml:space="preserve"> </w:t>
      </w:r>
      <w:r w:rsidRPr="00A865E9">
        <w:rPr>
          <w:rFonts w:cs="Arial"/>
          <w:noProof/>
        </w:rPr>
        <w:t xml:space="preserve">of patients with metastatic </w:t>
      </w:r>
      <w:r w:rsidR="00976056" w:rsidRPr="00976056">
        <w:rPr>
          <w:rFonts w:cs="Arial"/>
          <w:noProof/>
        </w:rPr>
        <w:t>castrat</w:t>
      </w:r>
      <w:r w:rsidR="004E3A42">
        <w:rPr>
          <w:rFonts w:cs="Arial"/>
          <w:noProof/>
        </w:rPr>
        <w:t>ion</w:t>
      </w:r>
      <w:r w:rsidR="00976056" w:rsidRPr="00976056">
        <w:rPr>
          <w:rFonts w:cs="Arial"/>
          <w:noProof/>
        </w:rPr>
        <w:t xml:space="preserve"> resistant </w:t>
      </w:r>
      <w:r w:rsidRPr="00A865E9">
        <w:rPr>
          <w:rFonts w:cs="Arial"/>
          <w:noProof/>
        </w:rPr>
        <w:t xml:space="preserve">prostate cancer </w:t>
      </w:r>
      <w:r w:rsidR="008C28CB" w:rsidRPr="008C28CB">
        <w:rPr>
          <w:rFonts w:cs="Arial"/>
          <w:noProof/>
        </w:rPr>
        <w:t xml:space="preserve">who had received prior chemotherapy </w:t>
      </w:r>
      <w:r w:rsidR="00054D31" w:rsidRPr="00054D31">
        <w:rPr>
          <w:rFonts w:cs="Arial"/>
          <w:noProof/>
        </w:rPr>
        <w:t>(study 301)</w:t>
      </w:r>
      <w:r w:rsidR="00054D31">
        <w:rPr>
          <w:rFonts w:cs="Arial"/>
          <w:noProof/>
        </w:rPr>
        <w:t xml:space="preserve"> </w:t>
      </w:r>
      <w:r w:rsidRPr="00A865E9">
        <w:rPr>
          <w:rFonts w:cs="Arial"/>
          <w:noProof/>
        </w:rPr>
        <w:t xml:space="preserve">who were using a </w:t>
      </w:r>
      <w:r w:rsidR="0072118B">
        <w:rPr>
          <w:rFonts w:cs="Arial"/>
          <w:noProof/>
        </w:rPr>
        <w:t>LHRH</w:t>
      </w:r>
      <w:r w:rsidRPr="00A865E9">
        <w:rPr>
          <w:rFonts w:cs="Arial"/>
          <w:noProof/>
        </w:rPr>
        <w:t xml:space="preserve"> agonist, or were previously treated with orchiectomy, </w:t>
      </w:r>
      <w:r>
        <w:rPr>
          <w:rFonts w:cs="Arial"/>
          <w:noProof/>
        </w:rPr>
        <w:t>abiraterone</w:t>
      </w:r>
      <w:r w:rsidRPr="00A865E9">
        <w:rPr>
          <w:rFonts w:cs="Arial"/>
          <w:noProof/>
        </w:rPr>
        <w:t xml:space="preserve"> was administered at a dose of 1 g daily in combination with low dose pre</w:t>
      </w:r>
      <w:r w:rsidR="00054D31">
        <w:rPr>
          <w:rFonts w:cs="Arial"/>
          <w:noProof/>
        </w:rPr>
        <w:t xml:space="preserve">dnisone or prednisolone (10 mg </w:t>
      </w:r>
      <w:r w:rsidRPr="00A865E9">
        <w:rPr>
          <w:rFonts w:cs="Arial"/>
          <w:noProof/>
        </w:rPr>
        <w:t>daily)</w:t>
      </w:r>
      <w:r w:rsidR="00054D31" w:rsidRPr="00054D31">
        <w:t xml:space="preserve"> </w:t>
      </w:r>
      <w:r w:rsidR="00054D31" w:rsidRPr="00054D31">
        <w:rPr>
          <w:rFonts w:cs="Arial"/>
          <w:noProof/>
        </w:rPr>
        <w:t>in the active treatment arm; placebo plus low dose prednisone or prednisolone (10 mg daily) was given to control patients</w:t>
      </w:r>
      <w:r w:rsidRPr="00A865E9">
        <w:rPr>
          <w:rFonts w:cs="Arial"/>
          <w:noProof/>
        </w:rPr>
        <w:t xml:space="preserve">.  Patients were intolerant to or had failed up to two prior chemotherapy regimens, one of which contained a taxane.  </w:t>
      </w:r>
      <w:r w:rsidR="00054D31" w:rsidRPr="00054D31">
        <w:rPr>
          <w:rFonts w:cs="Arial"/>
          <w:noProof/>
        </w:rPr>
        <w:t xml:space="preserve">The average duration of treatment with </w:t>
      </w:r>
      <w:r w:rsidR="00054D31">
        <w:rPr>
          <w:rFonts w:cs="Arial"/>
          <w:noProof/>
        </w:rPr>
        <w:t xml:space="preserve">abiraterone </w:t>
      </w:r>
      <w:r w:rsidR="00054D31" w:rsidRPr="00054D31">
        <w:rPr>
          <w:rFonts w:cs="Arial"/>
          <w:noProof/>
        </w:rPr>
        <w:t>was 8 months.</w:t>
      </w:r>
      <w:r w:rsidR="00054D31">
        <w:rPr>
          <w:rFonts w:cs="Arial"/>
          <w:noProof/>
        </w:rPr>
        <w:t xml:space="preserve">  </w:t>
      </w:r>
    </w:p>
    <w:p w:rsidR="00A865E9" w:rsidRPr="00A865E9" w:rsidRDefault="00A865E9" w:rsidP="00A865E9">
      <w:pPr>
        <w:autoSpaceDE w:val="0"/>
        <w:autoSpaceDN w:val="0"/>
        <w:adjustRightInd w:val="0"/>
        <w:jc w:val="left"/>
        <w:rPr>
          <w:rFonts w:cs="Arial"/>
          <w:noProof/>
        </w:rPr>
      </w:pPr>
    </w:p>
    <w:p w:rsidR="00D542DD" w:rsidRDefault="00A865E9" w:rsidP="00A865E9">
      <w:pPr>
        <w:autoSpaceDE w:val="0"/>
        <w:autoSpaceDN w:val="0"/>
        <w:adjustRightInd w:val="0"/>
        <w:jc w:val="left"/>
        <w:rPr>
          <w:rFonts w:cs="Arial"/>
          <w:noProof/>
        </w:rPr>
      </w:pPr>
      <w:r w:rsidRPr="00A865E9">
        <w:rPr>
          <w:rFonts w:cs="Arial"/>
          <w:noProof/>
        </w:rPr>
        <w:t xml:space="preserve">Adverse drug reactions due to </w:t>
      </w:r>
      <w:r>
        <w:rPr>
          <w:rFonts w:cs="Arial"/>
          <w:noProof/>
        </w:rPr>
        <w:t>abiraterone</w:t>
      </w:r>
      <w:r w:rsidRPr="00A865E9">
        <w:rPr>
          <w:rFonts w:cs="Arial"/>
          <w:noProof/>
        </w:rPr>
        <w:t xml:space="preserve"> </w:t>
      </w:r>
      <w:r w:rsidR="00F7691A">
        <w:rPr>
          <w:rFonts w:cs="Arial"/>
          <w:noProof/>
        </w:rPr>
        <w:t>in</w:t>
      </w:r>
      <w:r w:rsidR="00054D31" w:rsidRPr="00054D31">
        <w:rPr>
          <w:rFonts w:cs="Arial"/>
          <w:noProof/>
        </w:rPr>
        <w:t xml:space="preserve"> study 301 </w:t>
      </w:r>
      <w:r w:rsidRPr="00A865E9">
        <w:rPr>
          <w:rFonts w:cs="Arial"/>
          <w:noProof/>
        </w:rPr>
        <w:t>that occurred at a rate of ≥1% (al</w:t>
      </w:r>
      <w:r w:rsidR="00A9667B">
        <w:rPr>
          <w:rFonts w:cs="Arial"/>
          <w:noProof/>
        </w:rPr>
        <w:t xml:space="preserve">l grades) are shown in Table </w:t>
      </w:r>
      <w:r w:rsidR="00BB7046" w:rsidRPr="00BB7046">
        <w:rPr>
          <w:rFonts w:cs="Arial"/>
          <w:noProof/>
        </w:rPr>
        <w:t>4</w:t>
      </w:r>
      <w:r w:rsidR="009A5789" w:rsidRPr="00BB7046">
        <w:rPr>
          <w:rFonts w:cs="Arial"/>
          <w:noProof/>
        </w:rPr>
        <w:t>.</w:t>
      </w:r>
      <w:r w:rsidR="009A5789">
        <w:rPr>
          <w:rFonts w:cs="Arial"/>
          <w:noProof/>
        </w:rPr>
        <w:t xml:space="preserve">  </w:t>
      </w:r>
    </w:p>
    <w:p w:rsidR="00A865E9" w:rsidRDefault="003679F1" w:rsidP="003969B4">
      <w:pPr>
        <w:autoSpaceDE w:val="0"/>
        <w:autoSpaceDN w:val="0"/>
        <w:adjustRightInd w:val="0"/>
        <w:jc w:val="left"/>
        <w:rPr>
          <w:rFonts w:cs="Arial"/>
          <w:noProof/>
        </w:rPr>
      </w:pPr>
      <w:r>
        <w:rPr>
          <w:rFonts w:cs="Arial"/>
          <w:noProof/>
        </w:rPr>
        <w:br w:type="page"/>
      </w:r>
    </w:p>
    <w:tbl>
      <w:tblPr>
        <w:tblW w:w="9450" w:type="dxa"/>
        <w:jc w:val="center"/>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1080"/>
        <w:gridCol w:w="990"/>
        <w:gridCol w:w="900"/>
        <w:gridCol w:w="1080"/>
        <w:gridCol w:w="900"/>
        <w:gridCol w:w="900"/>
      </w:tblGrid>
      <w:tr w:rsidR="00F7691A" w:rsidRPr="001261BB" w:rsidTr="00347620">
        <w:trPr>
          <w:jc w:val="center"/>
        </w:trPr>
        <w:tc>
          <w:tcPr>
            <w:tcW w:w="9450" w:type="dxa"/>
            <w:gridSpan w:val="7"/>
          </w:tcPr>
          <w:p w:rsidR="00F7691A" w:rsidRPr="001261BB" w:rsidRDefault="00F7691A" w:rsidP="00347620">
            <w:pPr>
              <w:pStyle w:val="MarkTable"/>
              <w:jc w:val="center"/>
              <w:rPr>
                <w:rFonts w:ascii="Arial" w:hAnsi="Arial" w:cs="Arial"/>
                <w:b/>
                <w:sz w:val="22"/>
                <w:szCs w:val="22"/>
                <w:vertAlign w:val="superscript"/>
              </w:rPr>
            </w:pPr>
            <w:r w:rsidRPr="001261BB">
              <w:rPr>
                <w:rFonts w:ascii="Arial" w:hAnsi="Arial" w:cs="Arial"/>
                <w:b/>
                <w:sz w:val="22"/>
                <w:szCs w:val="22"/>
              </w:rPr>
              <w:t>Table </w:t>
            </w:r>
            <w:r w:rsidR="00BB7046">
              <w:rPr>
                <w:rFonts w:ascii="Arial" w:hAnsi="Arial" w:cs="Arial"/>
                <w:b/>
                <w:sz w:val="22"/>
                <w:szCs w:val="22"/>
              </w:rPr>
              <w:t>4</w:t>
            </w:r>
            <w:r w:rsidRPr="001261BB">
              <w:rPr>
                <w:rFonts w:ascii="Arial" w:hAnsi="Arial" w:cs="Arial"/>
                <w:b/>
                <w:sz w:val="22"/>
                <w:szCs w:val="22"/>
              </w:rPr>
              <w:t xml:space="preserve">: </w:t>
            </w:r>
            <w:r>
              <w:rPr>
                <w:rFonts w:ascii="Arial" w:hAnsi="Arial" w:cs="Arial"/>
                <w:b/>
                <w:sz w:val="22"/>
                <w:szCs w:val="22"/>
              </w:rPr>
              <w:t>A</w:t>
            </w:r>
            <w:r w:rsidRPr="001261BB">
              <w:rPr>
                <w:rFonts w:ascii="Arial" w:hAnsi="Arial" w:cs="Arial"/>
                <w:b/>
                <w:sz w:val="22"/>
                <w:szCs w:val="22"/>
              </w:rPr>
              <w:t>dverse drug reactions due to abiraterone in ≥</w:t>
            </w:r>
            <w:r w:rsidR="00E50560">
              <w:rPr>
                <w:rFonts w:ascii="Arial" w:hAnsi="Arial" w:cs="Arial"/>
                <w:b/>
                <w:sz w:val="22"/>
                <w:szCs w:val="22"/>
              </w:rPr>
              <w:t xml:space="preserve"> </w:t>
            </w:r>
            <w:r w:rsidRPr="001261BB">
              <w:rPr>
                <w:rFonts w:ascii="Arial" w:hAnsi="Arial" w:cs="Arial"/>
                <w:b/>
                <w:sz w:val="22"/>
                <w:szCs w:val="22"/>
              </w:rPr>
              <w:t>1% of patients in a phase three study</w:t>
            </w:r>
            <w:r w:rsidR="00F17285">
              <w:rPr>
                <w:rFonts w:ascii="Arial" w:hAnsi="Arial" w:cs="Arial"/>
                <w:b/>
                <w:sz w:val="22"/>
                <w:szCs w:val="22"/>
              </w:rPr>
              <w:t xml:space="preserve"> (Study 301)</w:t>
            </w:r>
            <w:r w:rsidRPr="001261BB">
              <w:rPr>
                <w:rFonts w:ascii="Arial" w:hAnsi="Arial" w:cs="Arial"/>
                <w:b/>
                <w:sz w:val="22"/>
                <w:szCs w:val="22"/>
                <w:vertAlign w:val="superscript"/>
              </w:rPr>
              <w:t>a</w:t>
            </w:r>
          </w:p>
          <w:p w:rsidR="00F7691A" w:rsidRPr="001261BB" w:rsidRDefault="00F7691A" w:rsidP="00347620">
            <w:pPr>
              <w:pStyle w:val="TableText"/>
              <w:rPr>
                <w:rFonts w:ascii="Arial" w:hAnsi="Arial" w:cs="Arial"/>
                <w:sz w:val="22"/>
                <w:szCs w:val="22"/>
              </w:rPr>
            </w:pPr>
          </w:p>
        </w:tc>
      </w:tr>
      <w:tr w:rsidR="00F7691A" w:rsidRPr="001261BB" w:rsidTr="00347620">
        <w:trPr>
          <w:trHeight w:val="764"/>
          <w:jc w:val="center"/>
        </w:trPr>
        <w:tc>
          <w:tcPr>
            <w:tcW w:w="3600" w:type="dxa"/>
          </w:tcPr>
          <w:p w:rsidR="00F7691A" w:rsidRPr="001261BB" w:rsidRDefault="00F7691A" w:rsidP="00347620">
            <w:pPr>
              <w:pStyle w:val="TableText"/>
              <w:rPr>
                <w:rFonts w:ascii="Arial" w:hAnsi="Arial" w:cs="Arial"/>
                <w:b/>
                <w:sz w:val="22"/>
                <w:szCs w:val="22"/>
              </w:rPr>
            </w:pPr>
          </w:p>
        </w:tc>
        <w:tc>
          <w:tcPr>
            <w:tcW w:w="2970" w:type="dxa"/>
            <w:gridSpan w:val="3"/>
          </w:tcPr>
          <w:p w:rsidR="00F7691A" w:rsidRPr="001261BB" w:rsidRDefault="00F7691A" w:rsidP="00347620">
            <w:pPr>
              <w:pStyle w:val="TableText"/>
              <w:jc w:val="center"/>
              <w:rPr>
                <w:rFonts w:ascii="Arial" w:hAnsi="Arial" w:cs="Arial"/>
                <w:sz w:val="22"/>
                <w:szCs w:val="22"/>
              </w:rPr>
            </w:pPr>
            <w:r>
              <w:rPr>
                <w:rFonts w:ascii="Arial" w:hAnsi="Arial" w:cs="Arial"/>
                <w:sz w:val="22"/>
                <w:szCs w:val="22"/>
              </w:rPr>
              <w:t>Abiraterone</w:t>
            </w:r>
            <w:r w:rsidRPr="001261BB">
              <w:rPr>
                <w:rFonts w:ascii="Arial" w:hAnsi="Arial" w:cs="Arial"/>
                <w:sz w:val="22"/>
                <w:szCs w:val="22"/>
              </w:rPr>
              <w:t xml:space="preserve"> 1g daily with prednisone or prednisolone</w:t>
            </w:r>
          </w:p>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n=791</w:t>
            </w:r>
            <w:r w:rsidRPr="001261BB">
              <w:rPr>
                <w:rFonts w:ascii="Arial" w:hAnsi="Arial" w:cs="Arial"/>
                <w:sz w:val="22"/>
                <w:szCs w:val="22"/>
                <w:vertAlign w:val="superscript"/>
              </w:rPr>
              <w:t>b</w:t>
            </w:r>
          </w:p>
          <w:p w:rsidR="00F7691A" w:rsidRPr="001261BB" w:rsidRDefault="00F7691A" w:rsidP="00347620">
            <w:pPr>
              <w:pStyle w:val="TableText"/>
              <w:jc w:val="center"/>
              <w:rPr>
                <w:rFonts w:ascii="Arial" w:hAnsi="Arial" w:cs="Arial"/>
                <w:b/>
                <w:sz w:val="22"/>
                <w:szCs w:val="22"/>
              </w:rPr>
            </w:pPr>
          </w:p>
        </w:tc>
        <w:tc>
          <w:tcPr>
            <w:tcW w:w="2880" w:type="dxa"/>
            <w:gridSpan w:val="3"/>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Placebo with prednisone or prednisolone</w:t>
            </w:r>
          </w:p>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n=394</w:t>
            </w:r>
            <w:r w:rsidRPr="001261BB">
              <w:rPr>
                <w:rFonts w:ascii="Arial" w:hAnsi="Arial" w:cs="Arial"/>
                <w:sz w:val="22"/>
                <w:szCs w:val="22"/>
                <w:vertAlign w:val="superscript"/>
              </w:rPr>
              <w:t>b</w:t>
            </w:r>
          </w:p>
        </w:tc>
      </w:tr>
      <w:tr w:rsidR="00F7691A" w:rsidRPr="001261BB" w:rsidTr="00347620">
        <w:trPr>
          <w:jc w:val="center"/>
        </w:trPr>
        <w:tc>
          <w:tcPr>
            <w:tcW w:w="3600" w:type="dxa"/>
          </w:tcPr>
          <w:p w:rsidR="00F7691A" w:rsidRPr="001261BB" w:rsidRDefault="00F7691A" w:rsidP="00347620">
            <w:pPr>
              <w:pStyle w:val="TableText"/>
              <w:rPr>
                <w:rFonts w:ascii="Arial" w:hAnsi="Arial" w:cs="Arial"/>
                <w:b/>
                <w:sz w:val="22"/>
                <w:szCs w:val="22"/>
              </w:rPr>
            </w:pPr>
            <w:r w:rsidRPr="001261BB">
              <w:rPr>
                <w:rFonts w:ascii="Arial" w:hAnsi="Arial" w:cs="Arial"/>
                <w:b/>
                <w:sz w:val="22"/>
                <w:szCs w:val="22"/>
              </w:rPr>
              <w:t>System Organ Class</w:t>
            </w:r>
          </w:p>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 xml:space="preserve">Adverse Drug Reaction </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All grades</w:t>
            </w:r>
          </w:p>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Grade 3</w:t>
            </w:r>
          </w:p>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Grade 4</w:t>
            </w:r>
          </w:p>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All grades</w:t>
            </w:r>
          </w:p>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Grade 3</w:t>
            </w:r>
          </w:p>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Grade 4</w:t>
            </w:r>
          </w:p>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w:t>
            </w:r>
          </w:p>
        </w:tc>
      </w:tr>
      <w:tr w:rsidR="00F7691A" w:rsidRPr="001261BB" w:rsidTr="00347620">
        <w:trPr>
          <w:jc w:val="center"/>
        </w:trPr>
        <w:tc>
          <w:tcPr>
            <w:tcW w:w="3600" w:type="dxa"/>
          </w:tcPr>
          <w:p w:rsidR="00F7691A" w:rsidRPr="001261BB" w:rsidRDefault="00F7691A" w:rsidP="00347620">
            <w:pPr>
              <w:pStyle w:val="TableText"/>
              <w:rPr>
                <w:rFonts w:ascii="Arial" w:hAnsi="Arial" w:cs="Arial"/>
                <w:b/>
                <w:sz w:val="22"/>
                <w:szCs w:val="22"/>
              </w:rPr>
            </w:pPr>
            <w:r w:rsidRPr="001261BB">
              <w:rPr>
                <w:rFonts w:ascii="Arial" w:hAnsi="Arial" w:cs="Arial"/>
                <w:b/>
                <w:sz w:val="22"/>
                <w:szCs w:val="22"/>
              </w:rPr>
              <w:t>General Disorders and Administration Site Conditions</w:t>
            </w:r>
          </w:p>
        </w:tc>
        <w:tc>
          <w:tcPr>
            <w:tcW w:w="1080" w:type="dxa"/>
          </w:tcPr>
          <w:p w:rsidR="00F7691A" w:rsidRPr="001261BB" w:rsidRDefault="00F7691A" w:rsidP="00347620">
            <w:pPr>
              <w:pStyle w:val="TableText"/>
              <w:jc w:val="center"/>
              <w:rPr>
                <w:rFonts w:ascii="Arial" w:hAnsi="Arial" w:cs="Arial"/>
                <w:b/>
                <w:sz w:val="22"/>
                <w:szCs w:val="22"/>
              </w:rPr>
            </w:pPr>
          </w:p>
        </w:tc>
        <w:tc>
          <w:tcPr>
            <w:tcW w:w="99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108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r>
      <w:tr w:rsidR="00F7691A" w:rsidRPr="001261BB" w:rsidTr="00347620">
        <w:trPr>
          <w:jc w:val="center"/>
        </w:trPr>
        <w:tc>
          <w:tcPr>
            <w:tcW w:w="3600" w:type="dxa"/>
          </w:tcPr>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Edema peripheral</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25</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&lt;1</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17</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r>
      <w:tr w:rsidR="00F7691A" w:rsidRPr="001261BB" w:rsidTr="00347620">
        <w:trPr>
          <w:jc w:val="center"/>
        </w:trPr>
        <w:tc>
          <w:tcPr>
            <w:tcW w:w="3600" w:type="dxa"/>
          </w:tcPr>
          <w:p w:rsidR="00F7691A" w:rsidRPr="001261BB" w:rsidRDefault="00F7691A" w:rsidP="00347620">
            <w:pPr>
              <w:pStyle w:val="TableText"/>
              <w:rPr>
                <w:rFonts w:ascii="Arial" w:hAnsi="Arial" w:cs="Arial"/>
                <w:b/>
                <w:sz w:val="22"/>
                <w:szCs w:val="22"/>
              </w:rPr>
            </w:pPr>
            <w:r w:rsidRPr="001261BB">
              <w:rPr>
                <w:rFonts w:ascii="Arial" w:hAnsi="Arial" w:cs="Arial"/>
                <w:b/>
                <w:sz w:val="22"/>
                <w:szCs w:val="22"/>
              </w:rPr>
              <w:t>Metabolism and Nutrition Disorders</w:t>
            </w:r>
          </w:p>
        </w:tc>
        <w:tc>
          <w:tcPr>
            <w:tcW w:w="1080" w:type="dxa"/>
          </w:tcPr>
          <w:p w:rsidR="00F7691A" w:rsidRPr="001261BB" w:rsidRDefault="00F7691A" w:rsidP="00347620">
            <w:pPr>
              <w:pStyle w:val="TableText"/>
              <w:jc w:val="center"/>
              <w:rPr>
                <w:rFonts w:ascii="Arial" w:hAnsi="Arial" w:cs="Arial"/>
                <w:b/>
                <w:sz w:val="22"/>
                <w:szCs w:val="22"/>
              </w:rPr>
            </w:pPr>
          </w:p>
        </w:tc>
        <w:tc>
          <w:tcPr>
            <w:tcW w:w="99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108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r>
      <w:tr w:rsidR="00F7691A" w:rsidRPr="001261BB" w:rsidTr="00347620">
        <w:trPr>
          <w:jc w:val="center"/>
        </w:trPr>
        <w:tc>
          <w:tcPr>
            <w:tcW w:w="3600" w:type="dxa"/>
          </w:tcPr>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Hypokalemia</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17</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3</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&lt;1</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8</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r>
      <w:tr w:rsidR="00F7691A" w:rsidRPr="001261BB" w:rsidTr="00347620">
        <w:trPr>
          <w:jc w:val="center"/>
        </w:trPr>
        <w:tc>
          <w:tcPr>
            <w:tcW w:w="3600" w:type="dxa"/>
          </w:tcPr>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Hypertriglyceridemia</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&lt;1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r>
      <w:tr w:rsidR="00F7691A" w:rsidRPr="001261BB" w:rsidTr="00347620">
        <w:trPr>
          <w:jc w:val="center"/>
        </w:trPr>
        <w:tc>
          <w:tcPr>
            <w:tcW w:w="3600" w:type="dxa"/>
          </w:tcPr>
          <w:p w:rsidR="00F7691A" w:rsidRPr="001261BB" w:rsidRDefault="00F7691A" w:rsidP="00347620">
            <w:pPr>
              <w:pStyle w:val="TableText"/>
              <w:rPr>
                <w:rFonts w:ascii="Arial" w:hAnsi="Arial" w:cs="Arial"/>
                <w:b/>
                <w:sz w:val="22"/>
                <w:szCs w:val="22"/>
              </w:rPr>
            </w:pPr>
            <w:r w:rsidRPr="001261BB">
              <w:rPr>
                <w:rFonts w:ascii="Arial" w:hAnsi="Arial" w:cs="Arial"/>
                <w:b/>
                <w:sz w:val="22"/>
                <w:szCs w:val="22"/>
              </w:rPr>
              <w:t>Infections and Infestations</w:t>
            </w:r>
          </w:p>
        </w:tc>
        <w:tc>
          <w:tcPr>
            <w:tcW w:w="1080" w:type="dxa"/>
          </w:tcPr>
          <w:p w:rsidR="00F7691A" w:rsidRPr="001261BB" w:rsidRDefault="00F7691A" w:rsidP="00347620">
            <w:pPr>
              <w:pStyle w:val="TableText"/>
              <w:jc w:val="center"/>
              <w:rPr>
                <w:rFonts w:ascii="Arial" w:hAnsi="Arial" w:cs="Arial"/>
                <w:b/>
                <w:sz w:val="22"/>
                <w:szCs w:val="22"/>
              </w:rPr>
            </w:pPr>
          </w:p>
        </w:tc>
        <w:tc>
          <w:tcPr>
            <w:tcW w:w="99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108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r>
      <w:tr w:rsidR="00F7691A" w:rsidRPr="001261BB" w:rsidTr="00347620">
        <w:trPr>
          <w:jc w:val="center"/>
        </w:trPr>
        <w:tc>
          <w:tcPr>
            <w:tcW w:w="3600" w:type="dxa"/>
          </w:tcPr>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Urinary tract infection</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12</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2</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7</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r>
      <w:tr w:rsidR="00F7691A" w:rsidRPr="001261BB" w:rsidTr="00347620">
        <w:trPr>
          <w:jc w:val="center"/>
        </w:trPr>
        <w:tc>
          <w:tcPr>
            <w:tcW w:w="3600" w:type="dxa"/>
          </w:tcPr>
          <w:p w:rsidR="00F7691A" w:rsidRPr="001261BB" w:rsidRDefault="00F7691A" w:rsidP="00347620">
            <w:pPr>
              <w:pStyle w:val="TableText"/>
              <w:rPr>
                <w:rFonts w:ascii="Arial" w:hAnsi="Arial" w:cs="Arial"/>
                <w:b/>
                <w:sz w:val="22"/>
                <w:szCs w:val="22"/>
              </w:rPr>
            </w:pPr>
            <w:r w:rsidRPr="001261BB">
              <w:rPr>
                <w:rFonts w:ascii="Arial" w:hAnsi="Arial" w:cs="Arial"/>
                <w:b/>
                <w:sz w:val="22"/>
                <w:szCs w:val="22"/>
              </w:rPr>
              <w:t>Hepatobiliary Disorders</w:t>
            </w:r>
          </w:p>
        </w:tc>
        <w:tc>
          <w:tcPr>
            <w:tcW w:w="1080" w:type="dxa"/>
          </w:tcPr>
          <w:p w:rsidR="00F7691A" w:rsidRPr="001261BB" w:rsidRDefault="00F7691A" w:rsidP="00347620">
            <w:pPr>
              <w:pStyle w:val="TableText"/>
              <w:jc w:val="center"/>
              <w:rPr>
                <w:rFonts w:ascii="Arial" w:hAnsi="Arial" w:cs="Arial"/>
                <w:b/>
                <w:sz w:val="22"/>
                <w:szCs w:val="22"/>
              </w:rPr>
            </w:pPr>
          </w:p>
        </w:tc>
        <w:tc>
          <w:tcPr>
            <w:tcW w:w="99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108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r>
      <w:tr w:rsidR="00F7691A" w:rsidRPr="001261BB" w:rsidTr="00347620">
        <w:trPr>
          <w:jc w:val="center"/>
        </w:trPr>
        <w:tc>
          <w:tcPr>
            <w:tcW w:w="3600" w:type="dxa"/>
          </w:tcPr>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Alanine aminotransferase increased</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3</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&lt;1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&lt;1</w:t>
            </w:r>
          </w:p>
        </w:tc>
      </w:tr>
      <w:tr w:rsidR="00F7691A" w:rsidRPr="001261BB" w:rsidTr="00347620">
        <w:trPr>
          <w:jc w:val="center"/>
        </w:trPr>
        <w:tc>
          <w:tcPr>
            <w:tcW w:w="3600" w:type="dxa"/>
          </w:tcPr>
          <w:p w:rsidR="00F7691A" w:rsidRPr="001261BB" w:rsidRDefault="00F7691A" w:rsidP="00347620">
            <w:pPr>
              <w:pStyle w:val="TableText"/>
              <w:rPr>
                <w:rFonts w:ascii="Arial" w:hAnsi="Arial" w:cs="Arial"/>
                <w:b/>
                <w:sz w:val="22"/>
                <w:szCs w:val="22"/>
              </w:rPr>
            </w:pPr>
            <w:r w:rsidRPr="001261BB">
              <w:rPr>
                <w:rFonts w:ascii="Arial" w:hAnsi="Arial" w:cs="Arial"/>
                <w:b/>
                <w:sz w:val="22"/>
                <w:szCs w:val="22"/>
              </w:rPr>
              <w:t>Vascular Disorders</w:t>
            </w:r>
          </w:p>
        </w:tc>
        <w:tc>
          <w:tcPr>
            <w:tcW w:w="1080" w:type="dxa"/>
          </w:tcPr>
          <w:p w:rsidR="00F7691A" w:rsidRPr="001261BB" w:rsidRDefault="00F7691A" w:rsidP="00347620">
            <w:pPr>
              <w:pStyle w:val="TableText"/>
              <w:jc w:val="center"/>
              <w:rPr>
                <w:rFonts w:ascii="Arial" w:hAnsi="Arial" w:cs="Arial"/>
                <w:b/>
                <w:sz w:val="22"/>
                <w:szCs w:val="22"/>
              </w:rPr>
            </w:pPr>
          </w:p>
        </w:tc>
        <w:tc>
          <w:tcPr>
            <w:tcW w:w="99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108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r>
      <w:tr w:rsidR="00F7691A" w:rsidRPr="001261BB" w:rsidTr="00347620">
        <w:trPr>
          <w:jc w:val="center"/>
        </w:trPr>
        <w:tc>
          <w:tcPr>
            <w:tcW w:w="3600" w:type="dxa"/>
          </w:tcPr>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Hypertension</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9</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7</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&lt;1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r>
      <w:tr w:rsidR="00C00D37" w:rsidRPr="001261BB" w:rsidTr="00347620">
        <w:trPr>
          <w:jc w:val="center"/>
        </w:trPr>
        <w:tc>
          <w:tcPr>
            <w:tcW w:w="3600" w:type="dxa"/>
          </w:tcPr>
          <w:p w:rsidR="00C00D37" w:rsidRPr="00C00D37" w:rsidRDefault="00C00D37" w:rsidP="00C00D37">
            <w:pPr>
              <w:pStyle w:val="TableText"/>
              <w:rPr>
                <w:rFonts w:ascii="Arial" w:hAnsi="Arial" w:cs="Arial"/>
                <w:b/>
                <w:sz w:val="22"/>
                <w:szCs w:val="22"/>
              </w:rPr>
            </w:pPr>
            <w:r w:rsidRPr="00C00D37">
              <w:rPr>
                <w:rFonts w:ascii="Arial" w:hAnsi="Arial" w:cs="Arial"/>
                <w:b/>
                <w:sz w:val="22"/>
                <w:szCs w:val="22"/>
              </w:rPr>
              <w:t>Injury, poisoning and procedural complications</w:t>
            </w:r>
          </w:p>
        </w:tc>
        <w:tc>
          <w:tcPr>
            <w:tcW w:w="1080" w:type="dxa"/>
          </w:tcPr>
          <w:p w:rsidR="00C00D37" w:rsidRPr="00C00D37" w:rsidRDefault="00C00D37" w:rsidP="00347620">
            <w:pPr>
              <w:pStyle w:val="TableText"/>
              <w:jc w:val="center"/>
              <w:rPr>
                <w:rFonts w:ascii="Arial" w:hAnsi="Arial" w:cs="Arial"/>
                <w:b/>
                <w:sz w:val="22"/>
                <w:szCs w:val="22"/>
              </w:rPr>
            </w:pPr>
          </w:p>
        </w:tc>
        <w:tc>
          <w:tcPr>
            <w:tcW w:w="990" w:type="dxa"/>
          </w:tcPr>
          <w:p w:rsidR="00C00D37" w:rsidRPr="00C00D37" w:rsidRDefault="00C00D37" w:rsidP="00347620">
            <w:pPr>
              <w:pStyle w:val="TableText"/>
              <w:jc w:val="center"/>
              <w:rPr>
                <w:rFonts w:ascii="Arial" w:hAnsi="Arial" w:cs="Arial"/>
                <w:b/>
                <w:sz w:val="22"/>
                <w:szCs w:val="22"/>
              </w:rPr>
            </w:pPr>
          </w:p>
        </w:tc>
        <w:tc>
          <w:tcPr>
            <w:tcW w:w="900" w:type="dxa"/>
          </w:tcPr>
          <w:p w:rsidR="00C00D37" w:rsidRPr="00C00D37" w:rsidRDefault="00C00D37" w:rsidP="00347620">
            <w:pPr>
              <w:pStyle w:val="TableText"/>
              <w:jc w:val="center"/>
              <w:rPr>
                <w:rFonts w:ascii="Arial" w:hAnsi="Arial" w:cs="Arial"/>
                <w:b/>
                <w:sz w:val="22"/>
                <w:szCs w:val="22"/>
              </w:rPr>
            </w:pPr>
          </w:p>
        </w:tc>
        <w:tc>
          <w:tcPr>
            <w:tcW w:w="1080" w:type="dxa"/>
          </w:tcPr>
          <w:p w:rsidR="00C00D37" w:rsidRPr="00C00D37" w:rsidRDefault="00C00D37" w:rsidP="00347620">
            <w:pPr>
              <w:pStyle w:val="TableText"/>
              <w:jc w:val="center"/>
              <w:rPr>
                <w:rFonts w:ascii="Arial" w:hAnsi="Arial" w:cs="Arial"/>
                <w:b/>
                <w:sz w:val="22"/>
                <w:szCs w:val="22"/>
              </w:rPr>
            </w:pPr>
          </w:p>
        </w:tc>
        <w:tc>
          <w:tcPr>
            <w:tcW w:w="900" w:type="dxa"/>
          </w:tcPr>
          <w:p w:rsidR="00C00D37" w:rsidRPr="00C00D37" w:rsidRDefault="00C00D37" w:rsidP="00347620">
            <w:pPr>
              <w:pStyle w:val="TableText"/>
              <w:jc w:val="center"/>
              <w:rPr>
                <w:rFonts w:ascii="Arial" w:hAnsi="Arial" w:cs="Arial"/>
                <w:b/>
                <w:sz w:val="22"/>
                <w:szCs w:val="22"/>
              </w:rPr>
            </w:pPr>
          </w:p>
        </w:tc>
        <w:tc>
          <w:tcPr>
            <w:tcW w:w="900" w:type="dxa"/>
          </w:tcPr>
          <w:p w:rsidR="00C00D37" w:rsidRPr="00C00D37" w:rsidRDefault="00C00D37" w:rsidP="00347620">
            <w:pPr>
              <w:pStyle w:val="TableText"/>
              <w:jc w:val="center"/>
              <w:rPr>
                <w:rFonts w:ascii="Arial" w:hAnsi="Arial" w:cs="Arial"/>
                <w:b/>
                <w:sz w:val="22"/>
                <w:szCs w:val="22"/>
              </w:rPr>
            </w:pPr>
          </w:p>
        </w:tc>
      </w:tr>
      <w:tr w:rsidR="00C00D37" w:rsidRPr="001261BB" w:rsidTr="00347620">
        <w:trPr>
          <w:jc w:val="center"/>
        </w:trPr>
        <w:tc>
          <w:tcPr>
            <w:tcW w:w="3600" w:type="dxa"/>
          </w:tcPr>
          <w:p w:rsidR="00C00D37" w:rsidRPr="001261BB" w:rsidRDefault="00C00D37" w:rsidP="00347620">
            <w:pPr>
              <w:pStyle w:val="TableText"/>
              <w:ind w:left="720"/>
              <w:rPr>
                <w:rFonts w:ascii="Arial" w:hAnsi="Arial" w:cs="Arial"/>
                <w:sz w:val="22"/>
                <w:szCs w:val="22"/>
              </w:rPr>
            </w:pPr>
            <w:r>
              <w:rPr>
                <w:rFonts w:ascii="Arial" w:hAnsi="Arial" w:cs="Arial"/>
                <w:sz w:val="22"/>
                <w:szCs w:val="22"/>
              </w:rPr>
              <w:t>Fractures</w:t>
            </w:r>
            <w:r w:rsidR="00B75DBD" w:rsidRPr="00B75DBD">
              <w:rPr>
                <w:rFonts w:ascii="Arial" w:hAnsi="Arial" w:cs="Arial"/>
                <w:sz w:val="22"/>
                <w:szCs w:val="22"/>
                <w:vertAlign w:val="superscript"/>
              </w:rPr>
              <w:t>d</w:t>
            </w:r>
          </w:p>
        </w:tc>
        <w:tc>
          <w:tcPr>
            <w:tcW w:w="1080" w:type="dxa"/>
          </w:tcPr>
          <w:p w:rsidR="00C00D37" w:rsidRPr="001261BB" w:rsidRDefault="00C00D37" w:rsidP="00347620">
            <w:pPr>
              <w:pStyle w:val="TableText"/>
              <w:jc w:val="center"/>
              <w:rPr>
                <w:rFonts w:ascii="Arial" w:hAnsi="Arial" w:cs="Arial"/>
                <w:sz w:val="22"/>
                <w:szCs w:val="22"/>
              </w:rPr>
            </w:pPr>
            <w:r w:rsidRPr="00C103ED">
              <w:t>6</w:t>
            </w:r>
          </w:p>
        </w:tc>
        <w:tc>
          <w:tcPr>
            <w:tcW w:w="990" w:type="dxa"/>
          </w:tcPr>
          <w:p w:rsidR="00C00D37" w:rsidRPr="001261BB" w:rsidRDefault="00C00D37" w:rsidP="00347620">
            <w:pPr>
              <w:pStyle w:val="TableText"/>
              <w:jc w:val="center"/>
              <w:rPr>
                <w:rFonts w:ascii="Arial" w:hAnsi="Arial" w:cs="Arial"/>
                <w:sz w:val="22"/>
                <w:szCs w:val="22"/>
              </w:rPr>
            </w:pPr>
            <w:r w:rsidRPr="00C103ED">
              <w:t>1</w:t>
            </w:r>
          </w:p>
        </w:tc>
        <w:tc>
          <w:tcPr>
            <w:tcW w:w="900" w:type="dxa"/>
          </w:tcPr>
          <w:p w:rsidR="00C00D37" w:rsidRPr="001261BB" w:rsidRDefault="00C00D37" w:rsidP="00347620">
            <w:pPr>
              <w:pStyle w:val="TableText"/>
              <w:jc w:val="center"/>
              <w:rPr>
                <w:rFonts w:ascii="Arial" w:hAnsi="Arial" w:cs="Arial"/>
                <w:sz w:val="22"/>
                <w:szCs w:val="22"/>
              </w:rPr>
            </w:pPr>
            <w:r w:rsidRPr="00C103ED">
              <w:t>&lt;1</w:t>
            </w:r>
          </w:p>
        </w:tc>
        <w:tc>
          <w:tcPr>
            <w:tcW w:w="1080" w:type="dxa"/>
          </w:tcPr>
          <w:p w:rsidR="00C00D37" w:rsidRPr="001261BB" w:rsidRDefault="00C00D37" w:rsidP="00347620">
            <w:pPr>
              <w:pStyle w:val="TableText"/>
              <w:jc w:val="center"/>
              <w:rPr>
                <w:rFonts w:ascii="Arial" w:hAnsi="Arial" w:cs="Arial"/>
                <w:sz w:val="22"/>
                <w:szCs w:val="22"/>
              </w:rPr>
            </w:pPr>
            <w:r w:rsidRPr="00C103ED">
              <w:t>2</w:t>
            </w:r>
          </w:p>
        </w:tc>
        <w:tc>
          <w:tcPr>
            <w:tcW w:w="900" w:type="dxa"/>
          </w:tcPr>
          <w:p w:rsidR="00C00D37" w:rsidRPr="001261BB" w:rsidRDefault="00C00D37" w:rsidP="00347620">
            <w:pPr>
              <w:pStyle w:val="TableText"/>
              <w:jc w:val="center"/>
              <w:rPr>
                <w:rFonts w:ascii="Arial" w:hAnsi="Arial" w:cs="Arial"/>
                <w:sz w:val="22"/>
                <w:szCs w:val="22"/>
              </w:rPr>
            </w:pPr>
            <w:r w:rsidRPr="00C103ED">
              <w:t>0</w:t>
            </w:r>
          </w:p>
        </w:tc>
        <w:tc>
          <w:tcPr>
            <w:tcW w:w="900" w:type="dxa"/>
          </w:tcPr>
          <w:p w:rsidR="00C00D37" w:rsidRPr="001261BB" w:rsidRDefault="00C00D37" w:rsidP="00347620">
            <w:pPr>
              <w:pStyle w:val="TableText"/>
              <w:jc w:val="center"/>
              <w:rPr>
                <w:rFonts w:ascii="Arial" w:hAnsi="Arial" w:cs="Arial"/>
                <w:sz w:val="22"/>
                <w:szCs w:val="22"/>
              </w:rPr>
            </w:pPr>
            <w:r w:rsidRPr="00C103ED">
              <w:t>0</w:t>
            </w:r>
          </w:p>
        </w:tc>
      </w:tr>
      <w:tr w:rsidR="00F7691A" w:rsidRPr="001261BB" w:rsidTr="00347620">
        <w:trPr>
          <w:jc w:val="center"/>
        </w:trPr>
        <w:tc>
          <w:tcPr>
            <w:tcW w:w="3600" w:type="dxa"/>
          </w:tcPr>
          <w:p w:rsidR="00F7691A" w:rsidRPr="001261BB" w:rsidRDefault="00F7691A" w:rsidP="00347620">
            <w:pPr>
              <w:pStyle w:val="TableText"/>
              <w:rPr>
                <w:rFonts w:ascii="Arial" w:hAnsi="Arial" w:cs="Arial"/>
                <w:b/>
                <w:sz w:val="22"/>
                <w:szCs w:val="22"/>
              </w:rPr>
            </w:pPr>
            <w:r w:rsidRPr="001261BB">
              <w:rPr>
                <w:rFonts w:ascii="Arial" w:hAnsi="Arial" w:cs="Arial"/>
                <w:b/>
                <w:sz w:val="22"/>
                <w:szCs w:val="22"/>
              </w:rPr>
              <w:t>Cardiac Disorders</w:t>
            </w:r>
          </w:p>
        </w:tc>
        <w:tc>
          <w:tcPr>
            <w:tcW w:w="1080" w:type="dxa"/>
          </w:tcPr>
          <w:p w:rsidR="00F7691A" w:rsidRPr="001261BB" w:rsidRDefault="00F7691A" w:rsidP="00347620">
            <w:pPr>
              <w:pStyle w:val="TableText"/>
              <w:jc w:val="center"/>
              <w:rPr>
                <w:rFonts w:ascii="Arial" w:hAnsi="Arial" w:cs="Arial"/>
                <w:b/>
                <w:sz w:val="22"/>
                <w:szCs w:val="22"/>
              </w:rPr>
            </w:pPr>
          </w:p>
        </w:tc>
        <w:tc>
          <w:tcPr>
            <w:tcW w:w="99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108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c>
          <w:tcPr>
            <w:tcW w:w="900" w:type="dxa"/>
          </w:tcPr>
          <w:p w:rsidR="00F7691A" w:rsidRPr="001261BB" w:rsidRDefault="00F7691A" w:rsidP="00347620">
            <w:pPr>
              <w:pStyle w:val="TableText"/>
              <w:jc w:val="center"/>
              <w:rPr>
                <w:rFonts w:ascii="Arial" w:hAnsi="Arial" w:cs="Arial"/>
                <w:b/>
                <w:sz w:val="22"/>
                <w:szCs w:val="22"/>
              </w:rPr>
            </w:pPr>
          </w:p>
        </w:tc>
      </w:tr>
      <w:tr w:rsidR="00F7691A" w:rsidRPr="001261BB" w:rsidTr="00347620">
        <w:trPr>
          <w:jc w:val="center"/>
        </w:trPr>
        <w:tc>
          <w:tcPr>
            <w:tcW w:w="3600" w:type="dxa"/>
          </w:tcPr>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Cardiac failure</w:t>
            </w:r>
            <w:r w:rsidRPr="001261BB">
              <w:rPr>
                <w:rFonts w:ascii="Arial" w:hAnsi="Arial" w:cs="Arial"/>
                <w:sz w:val="22"/>
                <w:szCs w:val="22"/>
                <w:vertAlign w:val="superscript"/>
              </w:rPr>
              <w:t>c</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2</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2</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&lt;1</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&lt;1</w:t>
            </w:r>
          </w:p>
        </w:tc>
      </w:tr>
      <w:tr w:rsidR="00F7691A" w:rsidRPr="001261BB" w:rsidTr="00347620">
        <w:trPr>
          <w:jc w:val="center"/>
        </w:trPr>
        <w:tc>
          <w:tcPr>
            <w:tcW w:w="3600" w:type="dxa"/>
          </w:tcPr>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Angina pectoris</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&lt;1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r>
      <w:tr w:rsidR="00F7691A" w:rsidRPr="001261BB" w:rsidTr="00347620">
        <w:trPr>
          <w:jc w:val="center"/>
        </w:trPr>
        <w:tc>
          <w:tcPr>
            <w:tcW w:w="3600" w:type="dxa"/>
          </w:tcPr>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Arrhythmia</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r>
      <w:tr w:rsidR="00F7691A" w:rsidRPr="001261BB" w:rsidTr="00347620">
        <w:trPr>
          <w:jc w:val="center"/>
        </w:trPr>
        <w:tc>
          <w:tcPr>
            <w:tcW w:w="3600" w:type="dxa"/>
          </w:tcPr>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Atrial fibrillation</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2</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1</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r>
      <w:tr w:rsidR="00F7691A" w:rsidRPr="001261BB" w:rsidTr="00347620">
        <w:trPr>
          <w:jc w:val="center"/>
        </w:trPr>
        <w:tc>
          <w:tcPr>
            <w:tcW w:w="3600" w:type="dxa"/>
          </w:tcPr>
          <w:p w:rsidR="00F7691A" w:rsidRPr="001261BB" w:rsidRDefault="00F7691A" w:rsidP="00347620">
            <w:pPr>
              <w:pStyle w:val="TableText"/>
              <w:ind w:left="720"/>
              <w:rPr>
                <w:rFonts w:ascii="Arial" w:hAnsi="Arial" w:cs="Arial"/>
                <w:sz w:val="22"/>
                <w:szCs w:val="22"/>
              </w:rPr>
            </w:pPr>
            <w:r w:rsidRPr="001261BB">
              <w:rPr>
                <w:rFonts w:ascii="Arial" w:hAnsi="Arial" w:cs="Arial"/>
                <w:sz w:val="22"/>
                <w:szCs w:val="22"/>
              </w:rPr>
              <w:t>Tachycardia</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3</w:t>
            </w:r>
          </w:p>
        </w:tc>
        <w:tc>
          <w:tcPr>
            <w:tcW w:w="99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108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2</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c>
          <w:tcPr>
            <w:tcW w:w="900" w:type="dxa"/>
          </w:tcPr>
          <w:p w:rsidR="00F7691A" w:rsidRPr="001261BB" w:rsidRDefault="00F7691A" w:rsidP="00347620">
            <w:pPr>
              <w:pStyle w:val="TableText"/>
              <w:jc w:val="center"/>
              <w:rPr>
                <w:rFonts w:ascii="Arial" w:hAnsi="Arial" w:cs="Arial"/>
                <w:sz w:val="22"/>
                <w:szCs w:val="22"/>
              </w:rPr>
            </w:pPr>
            <w:r w:rsidRPr="001261BB">
              <w:rPr>
                <w:rFonts w:ascii="Arial" w:hAnsi="Arial" w:cs="Arial"/>
                <w:sz w:val="22"/>
                <w:szCs w:val="22"/>
              </w:rPr>
              <w:t>0</w:t>
            </w:r>
          </w:p>
        </w:tc>
      </w:tr>
      <w:tr w:rsidR="00F7691A" w:rsidRPr="001261BB" w:rsidTr="00347620">
        <w:trPr>
          <w:jc w:val="center"/>
        </w:trPr>
        <w:tc>
          <w:tcPr>
            <w:tcW w:w="9450" w:type="dxa"/>
            <w:gridSpan w:val="7"/>
          </w:tcPr>
          <w:p w:rsidR="00F7691A" w:rsidRPr="001261BB" w:rsidRDefault="00F7691A" w:rsidP="00347620">
            <w:pPr>
              <w:pStyle w:val="TableNote"/>
              <w:rPr>
                <w:rFonts w:ascii="Arial" w:hAnsi="Arial" w:cs="Arial"/>
                <w:sz w:val="22"/>
                <w:szCs w:val="22"/>
              </w:rPr>
            </w:pPr>
            <w:r w:rsidRPr="001261BB">
              <w:rPr>
                <w:rFonts w:ascii="Arial" w:hAnsi="Arial" w:cs="Arial"/>
                <w:sz w:val="22"/>
                <w:szCs w:val="22"/>
                <w:vertAlign w:val="superscript"/>
              </w:rPr>
              <w:t>a</w:t>
            </w:r>
            <w:r w:rsidRPr="001261BB">
              <w:rPr>
                <w:rFonts w:ascii="Arial" w:hAnsi="Arial" w:cs="Arial"/>
                <w:sz w:val="22"/>
                <w:szCs w:val="22"/>
              </w:rPr>
              <w:tab/>
              <w:t>All patients were receiving an LHRH agonist or had undergone orchiectomy.</w:t>
            </w:r>
          </w:p>
          <w:p w:rsidR="00F7691A" w:rsidRPr="001261BB" w:rsidRDefault="00F7691A" w:rsidP="00347620">
            <w:pPr>
              <w:pStyle w:val="TableNote"/>
              <w:rPr>
                <w:rFonts w:ascii="Arial" w:hAnsi="Arial" w:cs="Arial"/>
                <w:sz w:val="22"/>
                <w:szCs w:val="22"/>
              </w:rPr>
            </w:pPr>
            <w:r w:rsidRPr="001261BB">
              <w:rPr>
                <w:rFonts w:ascii="Arial" w:hAnsi="Arial" w:cs="Arial"/>
                <w:sz w:val="22"/>
                <w:szCs w:val="22"/>
                <w:vertAlign w:val="superscript"/>
              </w:rPr>
              <w:t xml:space="preserve">b </w:t>
            </w:r>
            <w:r w:rsidRPr="001261BB">
              <w:rPr>
                <w:rFonts w:ascii="Arial" w:hAnsi="Arial" w:cs="Arial"/>
                <w:sz w:val="22"/>
                <w:szCs w:val="22"/>
              </w:rPr>
              <w:t xml:space="preserve">  n = patients assessed for safety</w:t>
            </w:r>
          </w:p>
          <w:p w:rsidR="00F7691A" w:rsidRDefault="00F7691A" w:rsidP="00347620">
            <w:pPr>
              <w:pStyle w:val="TableNote"/>
              <w:rPr>
                <w:rFonts w:ascii="Arial" w:hAnsi="Arial" w:cs="Arial"/>
                <w:sz w:val="22"/>
                <w:szCs w:val="22"/>
                <w:lang w:val="en-GB"/>
              </w:rPr>
            </w:pPr>
            <w:r w:rsidRPr="001261BB">
              <w:rPr>
                <w:rFonts w:ascii="Arial" w:hAnsi="Arial" w:cs="Arial"/>
                <w:sz w:val="22"/>
                <w:szCs w:val="22"/>
                <w:vertAlign w:val="superscript"/>
              </w:rPr>
              <w:t>c</w:t>
            </w:r>
            <w:r w:rsidRPr="001261BB">
              <w:rPr>
                <w:rFonts w:ascii="Arial" w:hAnsi="Arial" w:cs="Arial"/>
                <w:sz w:val="22"/>
                <w:szCs w:val="22"/>
              </w:rPr>
              <w:t xml:space="preserve"> Cardiac</w:t>
            </w:r>
            <w:r w:rsidRPr="001261BB">
              <w:rPr>
                <w:rFonts w:ascii="Arial" w:hAnsi="Arial" w:cs="Arial"/>
                <w:sz w:val="22"/>
                <w:szCs w:val="22"/>
                <w:lang w:val="en-GB"/>
              </w:rPr>
              <w:t xml:space="preserve"> failure also includes congestive heart failure, left ventricular dysfunction and ejection fraction decreased</w:t>
            </w:r>
          </w:p>
          <w:p w:rsidR="007E39A5" w:rsidRPr="007E39A5" w:rsidRDefault="007E39A5" w:rsidP="00347620">
            <w:pPr>
              <w:pStyle w:val="TableNote"/>
              <w:rPr>
                <w:rFonts w:ascii="Arial" w:hAnsi="Arial" w:cs="Arial"/>
                <w:sz w:val="22"/>
                <w:szCs w:val="22"/>
              </w:rPr>
            </w:pPr>
            <w:r w:rsidRPr="007E39A5">
              <w:rPr>
                <w:rFonts w:ascii="Arial" w:hAnsi="Arial" w:cs="Arial"/>
                <w:sz w:val="22"/>
                <w:szCs w:val="22"/>
                <w:vertAlign w:val="superscript"/>
                <w:lang w:val="en-GB"/>
              </w:rPr>
              <w:t>d</w:t>
            </w:r>
            <w:r>
              <w:rPr>
                <w:rFonts w:ascii="Arial" w:hAnsi="Arial" w:cs="Arial"/>
                <w:sz w:val="22"/>
                <w:szCs w:val="22"/>
                <w:lang w:val="en-GB"/>
              </w:rPr>
              <w:t xml:space="preserve"> </w:t>
            </w:r>
            <w:r w:rsidRPr="007E39A5">
              <w:rPr>
                <w:rFonts w:ascii="Arial" w:hAnsi="Arial" w:cs="Arial"/>
                <w:sz w:val="22"/>
                <w:szCs w:val="22"/>
                <w:lang w:val="en-GB"/>
              </w:rPr>
              <w:t>Fractures includes all fractures with the exception of pathological fracture.</w:t>
            </w:r>
          </w:p>
          <w:p w:rsidR="00F7691A" w:rsidRPr="001261BB" w:rsidRDefault="00F7691A" w:rsidP="00347620">
            <w:pPr>
              <w:pStyle w:val="TableNote"/>
              <w:rPr>
                <w:rFonts w:ascii="Arial" w:hAnsi="Arial" w:cs="Arial"/>
                <w:sz w:val="22"/>
                <w:szCs w:val="22"/>
              </w:rPr>
            </w:pPr>
          </w:p>
        </w:tc>
      </w:tr>
    </w:tbl>
    <w:p w:rsidR="00F7691A" w:rsidRDefault="00F7691A" w:rsidP="003969B4">
      <w:pPr>
        <w:autoSpaceDE w:val="0"/>
        <w:autoSpaceDN w:val="0"/>
        <w:adjustRightInd w:val="0"/>
        <w:jc w:val="left"/>
        <w:rPr>
          <w:rFonts w:cs="Arial"/>
          <w:noProof/>
        </w:rPr>
      </w:pPr>
    </w:p>
    <w:p w:rsidR="005404A3" w:rsidRDefault="005404A3" w:rsidP="005404A3">
      <w:pPr>
        <w:autoSpaceDE w:val="0"/>
        <w:autoSpaceDN w:val="0"/>
        <w:adjustRightInd w:val="0"/>
        <w:jc w:val="left"/>
        <w:rPr>
          <w:rFonts w:cs="Arial"/>
          <w:noProof/>
        </w:rPr>
      </w:pPr>
      <w:r w:rsidRPr="005404A3">
        <w:rPr>
          <w:rFonts w:cs="Arial"/>
          <w:noProof/>
        </w:rPr>
        <w:t xml:space="preserve">In a second placebo-controlled, multicenter phase 3 clinical study (study 302), in asymptomatic or mildly symptomatic, chemotherapy naïve patients with metastatic advanced prostate cancer who were using a LHRH agonist or were previously treated with orchiectomy, </w:t>
      </w:r>
      <w:r>
        <w:rPr>
          <w:rFonts w:cs="Arial"/>
          <w:noProof/>
        </w:rPr>
        <w:t xml:space="preserve">abiraterone </w:t>
      </w:r>
      <w:r w:rsidRPr="005404A3">
        <w:rPr>
          <w:rFonts w:cs="Arial"/>
          <w:noProof/>
        </w:rPr>
        <w:t>was also administered at a dose of 1 g daily in combination with low dose prednisone or prednisolone 10 mg daily in the active treatment arm.</w:t>
      </w:r>
      <w:r>
        <w:rPr>
          <w:rFonts w:cs="Arial"/>
          <w:noProof/>
        </w:rPr>
        <w:t xml:space="preserve"> </w:t>
      </w:r>
      <w:r w:rsidRPr="005404A3">
        <w:rPr>
          <w:rFonts w:cs="Arial"/>
          <w:noProof/>
        </w:rPr>
        <w:t xml:space="preserve"> Placebo plus low dose prednisone or prednisolone 10 mg daily was given to control patients. </w:t>
      </w:r>
      <w:r>
        <w:rPr>
          <w:rFonts w:cs="Arial"/>
          <w:noProof/>
        </w:rPr>
        <w:t xml:space="preserve"> </w:t>
      </w:r>
      <w:r w:rsidRPr="005404A3">
        <w:rPr>
          <w:rFonts w:cs="Arial"/>
          <w:noProof/>
        </w:rPr>
        <w:t xml:space="preserve">The average duration of treatment with </w:t>
      </w:r>
      <w:r>
        <w:rPr>
          <w:rFonts w:cs="Arial"/>
          <w:noProof/>
        </w:rPr>
        <w:t>abiraterone</w:t>
      </w:r>
      <w:r w:rsidRPr="005404A3">
        <w:rPr>
          <w:rFonts w:cs="Arial"/>
          <w:noProof/>
        </w:rPr>
        <w:t xml:space="preserve"> in study 302 was 13.8 months.</w:t>
      </w:r>
      <w:r>
        <w:rPr>
          <w:rFonts w:cs="Arial"/>
          <w:noProof/>
        </w:rPr>
        <w:t xml:space="preserve">  </w:t>
      </w:r>
    </w:p>
    <w:p w:rsidR="005404A3" w:rsidRPr="005404A3" w:rsidRDefault="005404A3" w:rsidP="005404A3">
      <w:pPr>
        <w:autoSpaceDE w:val="0"/>
        <w:autoSpaceDN w:val="0"/>
        <w:adjustRightInd w:val="0"/>
        <w:jc w:val="left"/>
        <w:rPr>
          <w:rFonts w:cs="Arial"/>
          <w:noProof/>
        </w:rPr>
      </w:pPr>
    </w:p>
    <w:p w:rsidR="005404A3" w:rsidRDefault="005404A3" w:rsidP="005404A3">
      <w:pPr>
        <w:autoSpaceDE w:val="0"/>
        <w:autoSpaceDN w:val="0"/>
        <w:adjustRightInd w:val="0"/>
        <w:jc w:val="left"/>
        <w:rPr>
          <w:rFonts w:cs="Arial"/>
          <w:noProof/>
        </w:rPr>
      </w:pPr>
      <w:r w:rsidRPr="005404A3">
        <w:rPr>
          <w:rFonts w:cs="Arial"/>
          <w:noProof/>
        </w:rPr>
        <w:t>Adverse drug reactions due to ZYTIGA in study 302 that occurred at a rate of ≥1% (</w:t>
      </w:r>
      <w:r>
        <w:rPr>
          <w:rFonts w:cs="Arial"/>
          <w:noProof/>
        </w:rPr>
        <w:t xml:space="preserve">all grades) are shown in Table </w:t>
      </w:r>
      <w:r w:rsidR="00BB7046">
        <w:rPr>
          <w:rFonts w:cs="Arial"/>
          <w:noProof/>
        </w:rPr>
        <w:t>5</w:t>
      </w:r>
      <w:r>
        <w:rPr>
          <w:rFonts w:cs="Arial"/>
          <w:noProof/>
        </w:rPr>
        <w:t xml:space="preserve">.  </w:t>
      </w:r>
    </w:p>
    <w:p w:rsidR="00486C4F" w:rsidRDefault="00486C4F" w:rsidP="00D46E47">
      <w:pPr>
        <w:autoSpaceDE w:val="0"/>
        <w:autoSpaceDN w:val="0"/>
        <w:adjustRightInd w:val="0"/>
        <w:jc w:val="left"/>
        <w:rPr>
          <w:rFonts w:cs="Arial"/>
          <w:noProof/>
        </w:rPr>
      </w:pPr>
      <w:r>
        <w:rPr>
          <w:rFonts w:cs="Arial"/>
          <w:noProof/>
        </w:rPr>
        <w:br w:type="page"/>
      </w:r>
    </w:p>
    <w:tbl>
      <w:tblPr>
        <w:tblW w:w="9450" w:type="dxa"/>
        <w:jc w:val="center"/>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1080"/>
        <w:gridCol w:w="990"/>
        <w:gridCol w:w="900"/>
        <w:gridCol w:w="1080"/>
        <w:gridCol w:w="900"/>
        <w:gridCol w:w="900"/>
      </w:tblGrid>
      <w:tr w:rsidR="00486C4F" w:rsidRPr="001261BB" w:rsidTr="002D130F">
        <w:trPr>
          <w:jc w:val="center"/>
        </w:trPr>
        <w:tc>
          <w:tcPr>
            <w:tcW w:w="9450" w:type="dxa"/>
            <w:gridSpan w:val="7"/>
          </w:tcPr>
          <w:p w:rsidR="00486C4F" w:rsidRPr="001261BB" w:rsidRDefault="00486C4F" w:rsidP="002D130F">
            <w:pPr>
              <w:pStyle w:val="MarkTable"/>
              <w:jc w:val="center"/>
              <w:rPr>
                <w:rFonts w:ascii="Arial" w:hAnsi="Arial" w:cs="Arial"/>
                <w:b/>
                <w:sz w:val="22"/>
                <w:szCs w:val="22"/>
                <w:vertAlign w:val="superscript"/>
              </w:rPr>
            </w:pPr>
            <w:r>
              <w:rPr>
                <w:rFonts w:ascii="Arial" w:hAnsi="Arial" w:cs="Arial"/>
                <w:b/>
                <w:sz w:val="22"/>
                <w:szCs w:val="22"/>
              </w:rPr>
              <w:t>Table </w:t>
            </w:r>
            <w:r w:rsidR="00BB7046">
              <w:rPr>
                <w:rFonts w:ascii="Arial" w:hAnsi="Arial" w:cs="Arial"/>
                <w:b/>
                <w:sz w:val="22"/>
                <w:szCs w:val="22"/>
              </w:rPr>
              <w:t>5</w:t>
            </w:r>
            <w:r w:rsidRPr="001261BB">
              <w:rPr>
                <w:rFonts w:ascii="Arial" w:hAnsi="Arial" w:cs="Arial"/>
                <w:b/>
                <w:sz w:val="22"/>
                <w:szCs w:val="22"/>
              </w:rPr>
              <w:t xml:space="preserve">: </w:t>
            </w:r>
            <w:r>
              <w:rPr>
                <w:rFonts w:ascii="Arial" w:hAnsi="Arial" w:cs="Arial"/>
                <w:b/>
                <w:sz w:val="22"/>
                <w:szCs w:val="22"/>
              </w:rPr>
              <w:t>A</w:t>
            </w:r>
            <w:r w:rsidRPr="001261BB">
              <w:rPr>
                <w:rFonts w:ascii="Arial" w:hAnsi="Arial" w:cs="Arial"/>
                <w:b/>
                <w:sz w:val="22"/>
                <w:szCs w:val="22"/>
              </w:rPr>
              <w:t>dverse drug reactions due to abiraterone in ≥</w:t>
            </w:r>
            <w:r w:rsidR="00E50560">
              <w:rPr>
                <w:rFonts w:ascii="Arial" w:hAnsi="Arial" w:cs="Arial"/>
                <w:b/>
                <w:sz w:val="22"/>
                <w:szCs w:val="22"/>
              </w:rPr>
              <w:t xml:space="preserve"> </w:t>
            </w:r>
            <w:r w:rsidRPr="001261BB">
              <w:rPr>
                <w:rFonts w:ascii="Arial" w:hAnsi="Arial" w:cs="Arial"/>
                <w:b/>
                <w:sz w:val="22"/>
                <w:szCs w:val="22"/>
              </w:rPr>
              <w:t>1% of patients in a phase three study</w:t>
            </w:r>
            <w:r>
              <w:rPr>
                <w:rFonts w:ascii="Arial" w:hAnsi="Arial" w:cs="Arial"/>
                <w:b/>
                <w:sz w:val="22"/>
                <w:szCs w:val="22"/>
              </w:rPr>
              <w:t xml:space="preserve"> (Study 302)</w:t>
            </w:r>
            <w:r w:rsidRPr="001261BB">
              <w:rPr>
                <w:rFonts w:ascii="Arial" w:hAnsi="Arial" w:cs="Arial"/>
                <w:b/>
                <w:sz w:val="22"/>
                <w:szCs w:val="22"/>
                <w:vertAlign w:val="superscript"/>
              </w:rPr>
              <w:t>a</w:t>
            </w:r>
          </w:p>
          <w:p w:rsidR="00486C4F" w:rsidRPr="001261BB" w:rsidRDefault="00486C4F" w:rsidP="002D130F">
            <w:pPr>
              <w:pStyle w:val="TableText"/>
              <w:rPr>
                <w:rFonts w:ascii="Arial" w:hAnsi="Arial" w:cs="Arial"/>
                <w:sz w:val="22"/>
                <w:szCs w:val="22"/>
              </w:rPr>
            </w:pPr>
          </w:p>
        </w:tc>
      </w:tr>
      <w:tr w:rsidR="00486C4F" w:rsidRPr="001261BB" w:rsidTr="002D130F">
        <w:trPr>
          <w:trHeight w:val="764"/>
          <w:jc w:val="center"/>
        </w:trPr>
        <w:tc>
          <w:tcPr>
            <w:tcW w:w="3600" w:type="dxa"/>
          </w:tcPr>
          <w:p w:rsidR="00486C4F" w:rsidRPr="001261BB" w:rsidRDefault="00486C4F" w:rsidP="002D130F">
            <w:pPr>
              <w:pStyle w:val="TableText"/>
              <w:rPr>
                <w:rFonts w:ascii="Arial" w:hAnsi="Arial" w:cs="Arial"/>
                <w:b/>
                <w:sz w:val="22"/>
                <w:szCs w:val="22"/>
              </w:rPr>
            </w:pPr>
          </w:p>
        </w:tc>
        <w:tc>
          <w:tcPr>
            <w:tcW w:w="2970" w:type="dxa"/>
            <w:gridSpan w:val="3"/>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Abiraterone</w:t>
            </w:r>
            <w:r w:rsidRPr="001261BB">
              <w:rPr>
                <w:rFonts w:ascii="Arial" w:hAnsi="Arial" w:cs="Arial"/>
                <w:sz w:val="22"/>
                <w:szCs w:val="22"/>
              </w:rPr>
              <w:t xml:space="preserve"> 1g daily with prednisone or prednisolone</w:t>
            </w:r>
          </w:p>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n=</w:t>
            </w:r>
            <w:r>
              <w:rPr>
                <w:rFonts w:ascii="Arial" w:hAnsi="Arial" w:cs="Arial"/>
                <w:sz w:val="22"/>
                <w:szCs w:val="22"/>
              </w:rPr>
              <w:t>542</w:t>
            </w:r>
            <w:r w:rsidRPr="001261BB">
              <w:rPr>
                <w:rFonts w:ascii="Arial" w:hAnsi="Arial" w:cs="Arial"/>
                <w:sz w:val="22"/>
                <w:szCs w:val="22"/>
                <w:vertAlign w:val="superscript"/>
              </w:rPr>
              <w:t>b</w:t>
            </w:r>
          </w:p>
          <w:p w:rsidR="00486C4F" w:rsidRPr="001261BB" w:rsidRDefault="00486C4F" w:rsidP="002D130F">
            <w:pPr>
              <w:pStyle w:val="TableText"/>
              <w:jc w:val="center"/>
              <w:rPr>
                <w:rFonts w:ascii="Arial" w:hAnsi="Arial" w:cs="Arial"/>
                <w:b/>
                <w:sz w:val="22"/>
                <w:szCs w:val="22"/>
              </w:rPr>
            </w:pPr>
          </w:p>
        </w:tc>
        <w:tc>
          <w:tcPr>
            <w:tcW w:w="2880" w:type="dxa"/>
            <w:gridSpan w:val="3"/>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Placebo with prednisone or prednisolone</w:t>
            </w:r>
          </w:p>
          <w:p w:rsidR="00486C4F" w:rsidRPr="001261BB" w:rsidRDefault="00486C4F" w:rsidP="00486C4F">
            <w:pPr>
              <w:pStyle w:val="TableText"/>
              <w:jc w:val="center"/>
              <w:rPr>
                <w:rFonts w:ascii="Arial" w:hAnsi="Arial" w:cs="Arial"/>
                <w:sz w:val="22"/>
                <w:szCs w:val="22"/>
              </w:rPr>
            </w:pPr>
            <w:r w:rsidRPr="001261BB">
              <w:rPr>
                <w:rFonts w:ascii="Arial" w:hAnsi="Arial" w:cs="Arial"/>
                <w:sz w:val="22"/>
                <w:szCs w:val="22"/>
              </w:rPr>
              <w:t>n=</w:t>
            </w:r>
            <w:r>
              <w:rPr>
                <w:rFonts w:ascii="Arial" w:hAnsi="Arial" w:cs="Arial"/>
                <w:sz w:val="22"/>
                <w:szCs w:val="22"/>
              </w:rPr>
              <w:t>540</w:t>
            </w:r>
            <w:r w:rsidRPr="001261BB">
              <w:rPr>
                <w:rFonts w:ascii="Arial" w:hAnsi="Arial" w:cs="Arial"/>
                <w:sz w:val="22"/>
                <w:szCs w:val="22"/>
                <w:vertAlign w:val="superscript"/>
              </w:rPr>
              <w:t>b</w:t>
            </w:r>
          </w:p>
        </w:tc>
      </w:tr>
      <w:tr w:rsidR="00486C4F" w:rsidRPr="001261BB" w:rsidTr="002D130F">
        <w:trPr>
          <w:jc w:val="center"/>
        </w:trPr>
        <w:tc>
          <w:tcPr>
            <w:tcW w:w="3600" w:type="dxa"/>
          </w:tcPr>
          <w:p w:rsidR="00486C4F" w:rsidRPr="001261BB" w:rsidRDefault="00486C4F" w:rsidP="002D130F">
            <w:pPr>
              <w:pStyle w:val="TableText"/>
              <w:rPr>
                <w:rFonts w:ascii="Arial" w:hAnsi="Arial" w:cs="Arial"/>
                <w:b/>
                <w:sz w:val="22"/>
                <w:szCs w:val="22"/>
              </w:rPr>
            </w:pPr>
            <w:r w:rsidRPr="001261BB">
              <w:rPr>
                <w:rFonts w:ascii="Arial" w:hAnsi="Arial" w:cs="Arial"/>
                <w:b/>
                <w:sz w:val="22"/>
                <w:szCs w:val="22"/>
              </w:rPr>
              <w:t>System Organ Class</w:t>
            </w:r>
          </w:p>
          <w:p w:rsidR="00486C4F" w:rsidRPr="001261BB" w:rsidRDefault="00486C4F" w:rsidP="002D130F">
            <w:pPr>
              <w:pStyle w:val="TableText"/>
              <w:ind w:left="720"/>
              <w:rPr>
                <w:rFonts w:ascii="Arial" w:hAnsi="Arial" w:cs="Arial"/>
                <w:sz w:val="22"/>
                <w:szCs w:val="22"/>
              </w:rPr>
            </w:pPr>
            <w:r w:rsidRPr="001261BB">
              <w:rPr>
                <w:rFonts w:ascii="Arial" w:hAnsi="Arial" w:cs="Arial"/>
                <w:sz w:val="22"/>
                <w:szCs w:val="22"/>
              </w:rPr>
              <w:t xml:space="preserve">Adverse Drug Reaction </w:t>
            </w:r>
          </w:p>
        </w:tc>
        <w:tc>
          <w:tcPr>
            <w:tcW w:w="1080" w:type="dxa"/>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All grades</w:t>
            </w:r>
          </w:p>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w:t>
            </w:r>
          </w:p>
        </w:tc>
        <w:tc>
          <w:tcPr>
            <w:tcW w:w="990" w:type="dxa"/>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Grade 3</w:t>
            </w:r>
          </w:p>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w:t>
            </w:r>
          </w:p>
        </w:tc>
        <w:tc>
          <w:tcPr>
            <w:tcW w:w="900" w:type="dxa"/>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Grade 4</w:t>
            </w:r>
          </w:p>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w:t>
            </w:r>
          </w:p>
        </w:tc>
        <w:tc>
          <w:tcPr>
            <w:tcW w:w="1080" w:type="dxa"/>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All grades</w:t>
            </w:r>
          </w:p>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w:t>
            </w:r>
          </w:p>
        </w:tc>
        <w:tc>
          <w:tcPr>
            <w:tcW w:w="900" w:type="dxa"/>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Grade 3</w:t>
            </w:r>
          </w:p>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w:t>
            </w:r>
          </w:p>
        </w:tc>
        <w:tc>
          <w:tcPr>
            <w:tcW w:w="900" w:type="dxa"/>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Grade 4</w:t>
            </w:r>
          </w:p>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w:t>
            </w:r>
          </w:p>
        </w:tc>
      </w:tr>
      <w:tr w:rsidR="00486C4F" w:rsidRPr="001261BB" w:rsidTr="002D130F">
        <w:trPr>
          <w:jc w:val="center"/>
        </w:trPr>
        <w:tc>
          <w:tcPr>
            <w:tcW w:w="3600" w:type="dxa"/>
          </w:tcPr>
          <w:p w:rsidR="00486C4F" w:rsidRPr="001261BB" w:rsidRDefault="00486C4F" w:rsidP="002D130F">
            <w:pPr>
              <w:pStyle w:val="TableText"/>
              <w:rPr>
                <w:rFonts w:ascii="Arial" w:hAnsi="Arial" w:cs="Arial"/>
                <w:b/>
                <w:sz w:val="22"/>
                <w:szCs w:val="22"/>
              </w:rPr>
            </w:pPr>
            <w:r>
              <w:rPr>
                <w:rFonts w:ascii="Arial" w:hAnsi="Arial" w:cs="Arial"/>
                <w:b/>
                <w:sz w:val="22"/>
                <w:szCs w:val="22"/>
              </w:rPr>
              <w:t>Gastrointestinal Disorders</w:t>
            </w:r>
          </w:p>
        </w:tc>
        <w:tc>
          <w:tcPr>
            <w:tcW w:w="1080" w:type="dxa"/>
          </w:tcPr>
          <w:p w:rsidR="00486C4F" w:rsidRPr="001261BB" w:rsidRDefault="00486C4F" w:rsidP="002D130F">
            <w:pPr>
              <w:pStyle w:val="TableText"/>
              <w:jc w:val="center"/>
              <w:rPr>
                <w:rFonts w:ascii="Arial" w:hAnsi="Arial" w:cs="Arial"/>
                <w:b/>
                <w:sz w:val="22"/>
                <w:szCs w:val="22"/>
              </w:rPr>
            </w:pPr>
          </w:p>
        </w:tc>
        <w:tc>
          <w:tcPr>
            <w:tcW w:w="990" w:type="dxa"/>
          </w:tcPr>
          <w:p w:rsidR="00486C4F" w:rsidRPr="001261BB" w:rsidRDefault="00486C4F" w:rsidP="002D130F">
            <w:pPr>
              <w:pStyle w:val="TableText"/>
              <w:jc w:val="center"/>
              <w:rPr>
                <w:rFonts w:ascii="Arial" w:hAnsi="Arial" w:cs="Arial"/>
                <w:b/>
                <w:sz w:val="22"/>
                <w:szCs w:val="22"/>
              </w:rPr>
            </w:pPr>
          </w:p>
        </w:tc>
        <w:tc>
          <w:tcPr>
            <w:tcW w:w="900" w:type="dxa"/>
          </w:tcPr>
          <w:p w:rsidR="00486C4F" w:rsidRPr="001261BB" w:rsidRDefault="00486C4F" w:rsidP="002D130F">
            <w:pPr>
              <w:pStyle w:val="TableText"/>
              <w:jc w:val="center"/>
              <w:rPr>
                <w:rFonts w:ascii="Arial" w:hAnsi="Arial" w:cs="Arial"/>
                <w:b/>
                <w:sz w:val="22"/>
                <w:szCs w:val="22"/>
              </w:rPr>
            </w:pPr>
          </w:p>
        </w:tc>
        <w:tc>
          <w:tcPr>
            <w:tcW w:w="1080" w:type="dxa"/>
          </w:tcPr>
          <w:p w:rsidR="00486C4F" w:rsidRPr="001261BB" w:rsidRDefault="00486C4F" w:rsidP="002D130F">
            <w:pPr>
              <w:pStyle w:val="TableText"/>
              <w:jc w:val="center"/>
              <w:rPr>
                <w:rFonts w:ascii="Arial" w:hAnsi="Arial" w:cs="Arial"/>
                <w:b/>
                <w:sz w:val="22"/>
                <w:szCs w:val="22"/>
              </w:rPr>
            </w:pPr>
          </w:p>
        </w:tc>
        <w:tc>
          <w:tcPr>
            <w:tcW w:w="900" w:type="dxa"/>
          </w:tcPr>
          <w:p w:rsidR="00486C4F" w:rsidRPr="001261BB" w:rsidRDefault="00486C4F" w:rsidP="002D130F">
            <w:pPr>
              <w:pStyle w:val="TableText"/>
              <w:jc w:val="center"/>
              <w:rPr>
                <w:rFonts w:ascii="Arial" w:hAnsi="Arial" w:cs="Arial"/>
                <w:b/>
                <w:sz w:val="22"/>
                <w:szCs w:val="22"/>
              </w:rPr>
            </w:pPr>
          </w:p>
        </w:tc>
        <w:tc>
          <w:tcPr>
            <w:tcW w:w="900" w:type="dxa"/>
          </w:tcPr>
          <w:p w:rsidR="00486C4F" w:rsidRPr="001261BB" w:rsidRDefault="00486C4F" w:rsidP="002D130F">
            <w:pPr>
              <w:pStyle w:val="TableText"/>
              <w:jc w:val="center"/>
              <w:rPr>
                <w:rFonts w:ascii="Arial" w:hAnsi="Arial" w:cs="Arial"/>
                <w:b/>
                <w:sz w:val="22"/>
                <w:szCs w:val="22"/>
              </w:rPr>
            </w:pPr>
          </w:p>
        </w:tc>
      </w:tr>
      <w:tr w:rsidR="00486C4F" w:rsidRPr="001261BB" w:rsidTr="002D130F">
        <w:trPr>
          <w:jc w:val="center"/>
        </w:trPr>
        <w:tc>
          <w:tcPr>
            <w:tcW w:w="3600" w:type="dxa"/>
          </w:tcPr>
          <w:p w:rsidR="00486C4F" w:rsidRPr="001261BB" w:rsidRDefault="00486C4F" w:rsidP="002D130F">
            <w:pPr>
              <w:pStyle w:val="TableText"/>
              <w:ind w:left="720"/>
              <w:rPr>
                <w:rFonts w:ascii="Arial" w:hAnsi="Arial" w:cs="Arial"/>
                <w:sz w:val="22"/>
                <w:szCs w:val="22"/>
              </w:rPr>
            </w:pPr>
            <w:r>
              <w:rPr>
                <w:rFonts w:ascii="Arial" w:hAnsi="Arial" w:cs="Arial"/>
                <w:sz w:val="22"/>
                <w:szCs w:val="22"/>
              </w:rPr>
              <w:t>Dyspepsia</w:t>
            </w:r>
          </w:p>
        </w:tc>
        <w:tc>
          <w:tcPr>
            <w:tcW w:w="1080" w:type="dxa"/>
          </w:tcPr>
          <w:p w:rsidR="00486C4F" w:rsidRPr="001261BB" w:rsidRDefault="00486C4F" w:rsidP="00486C4F">
            <w:pPr>
              <w:pStyle w:val="TableText"/>
              <w:jc w:val="center"/>
              <w:rPr>
                <w:rFonts w:ascii="Arial" w:hAnsi="Arial" w:cs="Arial"/>
                <w:sz w:val="22"/>
                <w:szCs w:val="22"/>
              </w:rPr>
            </w:pPr>
            <w:r w:rsidRPr="001261BB">
              <w:rPr>
                <w:rFonts w:ascii="Arial" w:hAnsi="Arial" w:cs="Arial"/>
                <w:sz w:val="22"/>
                <w:szCs w:val="22"/>
              </w:rPr>
              <w:t>1</w:t>
            </w:r>
            <w:r>
              <w:rPr>
                <w:rFonts w:ascii="Arial" w:hAnsi="Arial" w:cs="Arial"/>
                <w:sz w:val="22"/>
                <w:szCs w:val="22"/>
              </w:rPr>
              <w:t>1</w:t>
            </w:r>
          </w:p>
        </w:tc>
        <w:tc>
          <w:tcPr>
            <w:tcW w:w="99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0</w:t>
            </w:r>
          </w:p>
        </w:tc>
        <w:tc>
          <w:tcPr>
            <w:tcW w:w="900" w:type="dxa"/>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0</w:t>
            </w:r>
          </w:p>
        </w:tc>
        <w:tc>
          <w:tcPr>
            <w:tcW w:w="108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5</w:t>
            </w:r>
          </w:p>
        </w:tc>
        <w:tc>
          <w:tcPr>
            <w:tcW w:w="90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&lt;</w:t>
            </w:r>
            <w:r w:rsidRPr="001261BB">
              <w:rPr>
                <w:rFonts w:ascii="Arial" w:hAnsi="Arial" w:cs="Arial"/>
                <w:sz w:val="22"/>
                <w:szCs w:val="22"/>
              </w:rPr>
              <w:t>1</w:t>
            </w:r>
          </w:p>
        </w:tc>
        <w:tc>
          <w:tcPr>
            <w:tcW w:w="900" w:type="dxa"/>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0</w:t>
            </w:r>
          </w:p>
        </w:tc>
      </w:tr>
      <w:tr w:rsidR="00486C4F" w:rsidRPr="001261BB" w:rsidTr="002D130F">
        <w:trPr>
          <w:jc w:val="center"/>
        </w:trPr>
        <w:tc>
          <w:tcPr>
            <w:tcW w:w="3600" w:type="dxa"/>
          </w:tcPr>
          <w:p w:rsidR="00486C4F" w:rsidRPr="001261BB" w:rsidRDefault="00486C4F" w:rsidP="002D130F">
            <w:pPr>
              <w:pStyle w:val="TableText"/>
              <w:rPr>
                <w:rFonts w:ascii="Arial" w:hAnsi="Arial" w:cs="Arial"/>
                <w:b/>
                <w:sz w:val="22"/>
                <w:szCs w:val="22"/>
              </w:rPr>
            </w:pPr>
            <w:r w:rsidRPr="001261BB">
              <w:rPr>
                <w:rFonts w:ascii="Arial" w:hAnsi="Arial" w:cs="Arial"/>
                <w:b/>
                <w:sz w:val="22"/>
                <w:szCs w:val="22"/>
              </w:rPr>
              <w:t>Hepatobiliary Disorders</w:t>
            </w:r>
          </w:p>
        </w:tc>
        <w:tc>
          <w:tcPr>
            <w:tcW w:w="1080" w:type="dxa"/>
          </w:tcPr>
          <w:p w:rsidR="00486C4F" w:rsidRPr="001261BB" w:rsidRDefault="00486C4F" w:rsidP="002D130F">
            <w:pPr>
              <w:pStyle w:val="TableText"/>
              <w:jc w:val="center"/>
              <w:rPr>
                <w:rFonts w:ascii="Arial" w:hAnsi="Arial" w:cs="Arial"/>
                <w:b/>
                <w:sz w:val="22"/>
                <w:szCs w:val="22"/>
              </w:rPr>
            </w:pPr>
          </w:p>
        </w:tc>
        <w:tc>
          <w:tcPr>
            <w:tcW w:w="990" w:type="dxa"/>
          </w:tcPr>
          <w:p w:rsidR="00486C4F" w:rsidRPr="001261BB" w:rsidRDefault="00486C4F" w:rsidP="002D130F">
            <w:pPr>
              <w:pStyle w:val="TableText"/>
              <w:jc w:val="center"/>
              <w:rPr>
                <w:rFonts w:ascii="Arial" w:hAnsi="Arial" w:cs="Arial"/>
                <w:b/>
                <w:sz w:val="22"/>
                <w:szCs w:val="22"/>
              </w:rPr>
            </w:pPr>
          </w:p>
        </w:tc>
        <w:tc>
          <w:tcPr>
            <w:tcW w:w="900" w:type="dxa"/>
          </w:tcPr>
          <w:p w:rsidR="00486C4F" w:rsidRPr="001261BB" w:rsidRDefault="00486C4F" w:rsidP="002D130F">
            <w:pPr>
              <w:pStyle w:val="TableText"/>
              <w:jc w:val="center"/>
              <w:rPr>
                <w:rFonts w:ascii="Arial" w:hAnsi="Arial" w:cs="Arial"/>
                <w:b/>
                <w:sz w:val="22"/>
                <w:szCs w:val="22"/>
              </w:rPr>
            </w:pPr>
          </w:p>
        </w:tc>
        <w:tc>
          <w:tcPr>
            <w:tcW w:w="1080" w:type="dxa"/>
          </w:tcPr>
          <w:p w:rsidR="00486C4F" w:rsidRPr="001261BB" w:rsidRDefault="00486C4F" w:rsidP="002D130F">
            <w:pPr>
              <w:pStyle w:val="TableText"/>
              <w:jc w:val="center"/>
              <w:rPr>
                <w:rFonts w:ascii="Arial" w:hAnsi="Arial" w:cs="Arial"/>
                <w:b/>
                <w:sz w:val="22"/>
                <w:szCs w:val="22"/>
              </w:rPr>
            </w:pPr>
          </w:p>
        </w:tc>
        <w:tc>
          <w:tcPr>
            <w:tcW w:w="900" w:type="dxa"/>
          </w:tcPr>
          <w:p w:rsidR="00486C4F" w:rsidRPr="001261BB" w:rsidRDefault="00486C4F" w:rsidP="002D130F">
            <w:pPr>
              <w:pStyle w:val="TableText"/>
              <w:jc w:val="center"/>
              <w:rPr>
                <w:rFonts w:ascii="Arial" w:hAnsi="Arial" w:cs="Arial"/>
                <w:b/>
                <w:sz w:val="22"/>
                <w:szCs w:val="22"/>
              </w:rPr>
            </w:pPr>
          </w:p>
        </w:tc>
        <w:tc>
          <w:tcPr>
            <w:tcW w:w="900" w:type="dxa"/>
          </w:tcPr>
          <w:p w:rsidR="00486C4F" w:rsidRPr="001261BB" w:rsidRDefault="00486C4F" w:rsidP="002D130F">
            <w:pPr>
              <w:pStyle w:val="TableText"/>
              <w:jc w:val="center"/>
              <w:rPr>
                <w:rFonts w:ascii="Arial" w:hAnsi="Arial" w:cs="Arial"/>
                <w:b/>
                <w:sz w:val="22"/>
                <w:szCs w:val="22"/>
              </w:rPr>
            </w:pPr>
          </w:p>
        </w:tc>
      </w:tr>
      <w:tr w:rsidR="00486C4F" w:rsidRPr="001261BB" w:rsidTr="002D130F">
        <w:trPr>
          <w:jc w:val="center"/>
        </w:trPr>
        <w:tc>
          <w:tcPr>
            <w:tcW w:w="3600" w:type="dxa"/>
          </w:tcPr>
          <w:p w:rsidR="00486C4F" w:rsidRPr="001261BB" w:rsidRDefault="00486C4F" w:rsidP="002D130F">
            <w:pPr>
              <w:pStyle w:val="TableText"/>
              <w:ind w:left="720"/>
              <w:rPr>
                <w:rFonts w:ascii="Arial" w:hAnsi="Arial" w:cs="Arial"/>
                <w:sz w:val="22"/>
                <w:szCs w:val="22"/>
              </w:rPr>
            </w:pPr>
            <w:r w:rsidRPr="001261BB">
              <w:rPr>
                <w:rFonts w:ascii="Arial" w:hAnsi="Arial" w:cs="Arial"/>
                <w:sz w:val="22"/>
                <w:szCs w:val="22"/>
              </w:rPr>
              <w:t>Alanine aminotransferase increased</w:t>
            </w:r>
          </w:p>
        </w:tc>
        <w:tc>
          <w:tcPr>
            <w:tcW w:w="108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12</w:t>
            </w:r>
          </w:p>
        </w:tc>
        <w:tc>
          <w:tcPr>
            <w:tcW w:w="99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5</w:t>
            </w:r>
          </w:p>
        </w:tc>
        <w:tc>
          <w:tcPr>
            <w:tcW w:w="90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1</w:t>
            </w:r>
          </w:p>
        </w:tc>
        <w:tc>
          <w:tcPr>
            <w:tcW w:w="108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5</w:t>
            </w:r>
          </w:p>
        </w:tc>
        <w:tc>
          <w:tcPr>
            <w:tcW w:w="90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1</w:t>
            </w:r>
          </w:p>
        </w:tc>
        <w:tc>
          <w:tcPr>
            <w:tcW w:w="900" w:type="dxa"/>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&lt;1</w:t>
            </w:r>
          </w:p>
        </w:tc>
      </w:tr>
      <w:tr w:rsidR="00486C4F" w:rsidRPr="001261BB" w:rsidTr="002D130F">
        <w:trPr>
          <w:jc w:val="center"/>
        </w:trPr>
        <w:tc>
          <w:tcPr>
            <w:tcW w:w="3600" w:type="dxa"/>
          </w:tcPr>
          <w:p w:rsidR="00486C4F" w:rsidRPr="001261BB" w:rsidRDefault="00486C4F" w:rsidP="00486C4F">
            <w:pPr>
              <w:pStyle w:val="TableText"/>
              <w:ind w:left="720"/>
              <w:rPr>
                <w:rFonts w:ascii="Arial" w:hAnsi="Arial" w:cs="Arial"/>
                <w:sz w:val="22"/>
                <w:szCs w:val="22"/>
              </w:rPr>
            </w:pPr>
            <w:r w:rsidRPr="001261BB">
              <w:rPr>
                <w:rFonts w:ascii="Arial" w:hAnsi="Arial" w:cs="Arial"/>
                <w:sz w:val="22"/>
                <w:szCs w:val="22"/>
              </w:rPr>
              <w:t>A</w:t>
            </w:r>
            <w:r>
              <w:rPr>
                <w:rFonts w:ascii="Arial" w:hAnsi="Arial" w:cs="Arial"/>
                <w:sz w:val="22"/>
                <w:szCs w:val="22"/>
              </w:rPr>
              <w:t>spartate</w:t>
            </w:r>
            <w:r w:rsidRPr="001261BB">
              <w:rPr>
                <w:rFonts w:ascii="Arial" w:hAnsi="Arial" w:cs="Arial"/>
                <w:sz w:val="22"/>
                <w:szCs w:val="22"/>
              </w:rPr>
              <w:t xml:space="preserve"> aminotransferase increased</w:t>
            </w:r>
          </w:p>
        </w:tc>
        <w:tc>
          <w:tcPr>
            <w:tcW w:w="108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11</w:t>
            </w:r>
          </w:p>
        </w:tc>
        <w:tc>
          <w:tcPr>
            <w:tcW w:w="99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3</w:t>
            </w:r>
          </w:p>
        </w:tc>
        <w:tc>
          <w:tcPr>
            <w:tcW w:w="900" w:type="dxa"/>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0</w:t>
            </w:r>
          </w:p>
        </w:tc>
        <w:tc>
          <w:tcPr>
            <w:tcW w:w="108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5</w:t>
            </w:r>
          </w:p>
        </w:tc>
        <w:tc>
          <w:tcPr>
            <w:tcW w:w="900" w:type="dxa"/>
          </w:tcPr>
          <w:p w:rsidR="00486C4F" w:rsidRPr="001261BB" w:rsidRDefault="00486C4F" w:rsidP="002D130F">
            <w:pPr>
              <w:pStyle w:val="TableText"/>
              <w:jc w:val="center"/>
              <w:rPr>
                <w:rFonts w:ascii="Arial" w:hAnsi="Arial" w:cs="Arial"/>
                <w:sz w:val="22"/>
                <w:szCs w:val="22"/>
              </w:rPr>
            </w:pPr>
            <w:r>
              <w:rPr>
                <w:rFonts w:ascii="Arial" w:hAnsi="Arial" w:cs="Arial"/>
                <w:sz w:val="22"/>
                <w:szCs w:val="22"/>
              </w:rPr>
              <w:t>1</w:t>
            </w:r>
          </w:p>
        </w:tc>
        <w:tc>
          <w:tcPr>
            <w:tcW w:w="900" w:type="dxa"/>
          </w:tcPr>
          <w:p w:rsidR="00486C4F" w:rsidRPr="001261BB" w:rsidRDefault="00486C4F" w:rsidP="002D130F">
            <w:pPr>
              <w:pStyle w:val="TableText"/>
              <w:jc w:val="center"/>
              <w:rPr>
                <w:rFonts w:ascii="Arial" w:hAnsi="Arial" w:cs="Arial"/>
                <w:sz w:val="22"/>
                <w:szCs w:val="22"/>
              </w:rPr>
            </w:pPr>
            <w:r w:rsidRPr="001261BB">
              <w:rPr>
                <w:rFonts w:ascii="Arial" w:hAnsi="Arial" w:cs="Arial"/>
                <w:sz w:val="22"/>
                <w:szCs w:val="22"/>
              </w:rPr>
              <w:t>0</w:t>
            </w:r>
          </w:p>
        </w:tc>
      </w:tr>
      <w:tr w:rsidR="00486C4F" w:rsidRPr="001261BB" w:rsidTr="002D130F">
        <w:trPr>
          <w:jc w:val="center"/>
        </w:trPr>
        <w:tc>
          <w:tcPr>
            <w:tcW w:w="3600" w:type="dxa"/>
          </w:tcPr>
          <w:p w:rsidR="00486C4F" w:rsidRPr="001261BB" w:rsidRDefault="0098556D" w:rsidP="002D130F">
            <w:pPr>
              <w:pStyle w:val="TableText"/>
              <w:rPr>
                <w:rFonts w:ascii="Arial" w:hAnsi="Arial" w:cs="Arial"/>
                <w:b/>
                <w:sz w:val="22"/>
                <w:szCs w:val="22"/>
              </w:rPr>
            </w:pPr>
            <w:r>
              <w:rPr>
                <w:rFonts w:ascii="Arial" w:hAnsi="Arial" w:cs="Arial"/>
                <w:b/>
                <w:sz w:val="22"/>
                <w:szCs w:val="22"/>
              </w:rPr>
              <w:t>Renal and Urinary</w:t>
            </w:r>
            <w:r w:rsidR="00486C4F" w:rsidRPr="001261BB">
              <w:rPr>
                <w:rFonts w:ascii="Arial" w:hAnsi="Arial" w:cs="Arial"/>
                <w:b/>
                <w:sz w:val="22"/>
                <w:szCs w:val="22"/>
              </w:rPr>
              <w:t xml:space="preserve"> Disorders</w:t>
            </w:r>
          </w:p>
        </w:tc>
        <w:tc>
          <w:tcPr>
            <w:tcW w:w="1080" w:type="dxa"/>
          </w:tcPr>
          <w:p w:rsidR="00486C4F" w:rsidRPr="001261BB" w:rsidRDefault="00486C4F" w:rsidP="002D130F">
            <w:pPr>
              <w:pStyle w:val="TableText"/>
              <w:jc w:val="center"/>
              <w:rPr>
                <w:rFonts w:ascii="Arial" w:hAnsi="Arial" w:cs="Arial"/>
                <w:b/>
                <w:sz w:val="22"/>
                <w:szCs w:val="22"/>
              </w:rPr>
            </w:pPr>
          </w:p>
        </w:tc>
        <w:tc>
          <w:tcPr>
            <w:tcW w:w="990" w:type="dxa"/>
          </w:tcPr>
          <w:p w:rsidR="00486C4F" w:rsidRPr="001261BB" w:rsidRDefault="00486C4F" w:rsidP="002D130F">
            <w:pPr>
              <w:pStyle w:val="TableText"/>
              <w:jc w:val="center"/>
              <w:rPr>
                <w:rFonts w:ascii="Arial" w:hAnsi="Arial" w:cs="Arial"/>
                <w:b/>
                <w:sz w:val="22"/>
                <w:szCs w:val="22"/>
              </w:rPr>
            </w:pPr>
          </w:p>
        </w:tc>
        <w:tc>
          <w:tcPr>
            <w:tcW w:w="900" w:type="dxa"/>
          </w:tcPr>
          <w:p w:rsidR="00486C4F" w:rsidRPr="001261BB" w:rsidRDefault="00486C4F" w:rsidP="002D130F">
            <w:pPr>
              <w:pStyle w:val="TableText"/>
              <w:jc w:val="center"/>
              <w:rPr>
                <w:rFonts w:ascii="Arial" w:hAnsi="Arial" w:cs="Arial"/>
                <w:b/>
                <w:sz w:val="22"/>
                <w:szCs w:val="22"/>
              </w:rPr>
            </w:pPr>
          </w:p>
        </w:tc>
        <w:tc>
          <w:tcPr>
            <w:tcW w:w="1080" w:type="dxa"/>
          </w:tcPr>
          <w:p w:rsidR="00486C4F" w:rsidRPr="001261BB" w:rsidRDefault="00486C4F" w:rsidP="002D130F">
            <w:pPr>
              <w:pStyle w:val="TableText"/>
              <w:jc w:val="center"/>
              <w:rPr>
                <w:rFonts w:ascii="Arial" w:hAnsi="Arial" w:cs="Arial"/>
                <w:b/>
                <w:sz w:val="22"/>
                <w:szCs w:val="22"/>
              </w:rPr>
            </w:pPr>
          </w:p>
        </w:tc>
        <w:tc>
          <w:tcPr>
            <w:tcW w:w="900" w:type="dxa"/>
          </w:tcPr>
          <w:p w:rsidR="00486C4F" w:rsidRPr="001261BB" w:rsidRDefault="00486C4F" w:rsidP="002D130F">
            <w:pPr>
              <w:pStyle w:val="TableText"/>
              <w:jc w:val="center"/>
              <w:rPr>
                <w:rFonts w:ascii="Arial" w:hAnsi="Arial" w:cs="Arial"/>
                <w:b/>
                <w:sz w:val="22"/>
                <w:szCs w:val="22"/>
              </w:rPr>
            </w:pPr>
          </w:p>
        </w:tc>
        <w:tc>
          <w:tcPr>
            <w:tcW w:w="900" w:type="dxa"/>
          </w:tcPr>
          <w:p w:rsidR="00486C4F" w:rsidRPr="001261BB" w:rsidRDefault="00486C4F" w:rsidP="002D130F">
            <w:pPr>
              <w:pStyle w:val="TableText"/>
              <w:jc w:val="center"/>
              <w:rPr>
                <w:rFonts w:ascii="Arial" w:hAnsi="Arial" w:cs="Arial"/>
                <w:b/>
                <w:sz w:val="22"/>
                <w:szCs w:val="22"/>
              </w:rPr>
            </w:pPr>
          </w:p>
        </w:tc>
      </w:tr>
      <w:tr w:rsidR="00486C4F" w:rsidRPr="001261BB" w:rsidTr="002D130F">
        <w:trPr>
          <w:jc w:val="center"/>
        </w:trPr>
        <w:tc>
          <w:tcPr>
            <w:tcW w:w="3600" w:type="dxa"/>
          </w:tcPr>
          <w:p w:rsidR="00486C4F" w:rsidRPr="001261BB" w:rsidRDefault="0098556D" w:rsidP="002D130F">
            <w:pPr>
              <w:pStyle w:val="TableText"/>
              <w:ind w:left="720"/>
              <w:rPr>
                <w:rFonts w:ascii="Arial" w:hAnsi="Arial" w:cs="Arial"/>
                <w:sz w:val="22"/>
                <w:szCs w:val="22"/>
              </w:rPr>
            </w:pPr>
            <w:r>
              <w:rPr>
                <w:rFonts w:ascii="Arial" w:hAnsi="Arial" w:cs="Arial"/>
                <w:sz w:val="22"/>
                <w:szCs w:val="22"/>
              </w:rPr>
              <w:t>Hematuria</w:t>
            </w:r>
          </w:p>
        </w:tc>
        <w:tc>
          <w:tcPr>
            <w:tcW w:w="1080" w:type="dxa"/>
          </w:tcPr>
          <w:p w:rsidR="00486C4F" w:rsidRPr="001261BB" w:rsidRDefault="0098556D" w:rsidP="002D130F">
            <w:pPr>
              <w:pStyle w:val="TableText"/>
              <w:jc w:val="center"/>
              <w:rPr>
                <w:rFonts w:ascii="Arial" w:hAnsi="Arial" w:cs="Arial"/>
                <w:sz w:val="22"/>
                <w:szCs w:val="22"/>
              </w:rPr>
            </w:pPr>
            <w:r>
              <w:rPr>
                <w:rFonts w:ascii="Arial" w:hAnsi="Arial" w:cs="Arial"/>
                <w:sz w:val="22"/>
                <w:szCs w:val="22"/>
              </w:rPr>
              <w:t>10</w:t>
            </w:r>
          </w:p>
        </w:tc>
        <w:tc>
          <w:tcPr>
            <w:tcW w:w="990" w:type="dxa"/>
          </w:tcPr>
          <w:p w:rsidR="00486C4F" w:rsidRPr="001261BB" w:rsidRDefault="0098556D" w:rsidP="002D130F">
            <w:pPr>
              <w:pStyle w:val="TableText"/>
              <w:jc w:val="center"/>
              <w:rPr>
                <w:rFonts w:ascii="Arial" w:hAnsi="Arial" w:cs="Arial"/>
                <w:sz w:val="22"/>
                <w:szCs w:val="22"/>
              </w:rPr>
            </w:pPr>
            <w:r>
              <w:rPr>
                <w:rFonts w:ascii="Arial" w:hAnsi="Arial" w:cs="Arial"/>
                <w:sz w:val="22"/>
                <w:szCs w:val="22"/>
              </w:rPr>
              <w:t>1</w:t>
            </w:r>
          </w:p>
        </w:tc>
        <w:tc>
          <w:tcPr>
            <w:tcW w:w="900" w:type="dxa"/>
          </w:tcPr>
          <w:p w:rsidR="00486C4F" w:rsidRPr="001261BB" w:rsidRDefault="0098556D" w:rsidP="002D130F">
            <w:pPr>
              <w:pStyle w:val="TableText"/>
              <w:jc w:val="center"/>
              <w:rPr>
                <w:rFonts w:ascii="Arial" w:hAnsi="Arial" w:cs="Arial"/>
                <w:sz w:val="22"/>
                <w:szCs w:val="22"/>
              </w:rPr>
            </w:pPr>
            <w:r>
              <w:rPr>
                <w:rFonts w:ascii="Arial" w:hAnsi="Arial" w:cs="Arial"/>
                <w:sz w:val="22"/>
                <w:szCs w:val="22"/>
              </w:rPr>
              <w:t>0</w:t>
            </w:r>
          </w:p>
        </w:tc>
        <w:tc>
          <w:tcPr>
            <w:tcW w:w="1080" w:type="dxa"/>
          </w:tcPr>
          <w:p w:rsidR="00486C4F" w:rsidRPr="001261BB" w:rsidRDefault="0098556D" w:rsidP="002D130F">
            <w:pPr>
              <w:pStyle w:val="TableText"/>
              <w:jc w:val="center"/>
              <w:rPr>
                <w:rFonts w:ascii="Arial" w:hAnsi="Arial" w:cs="Arial"/>
                <w:sz w:val="22"/>
                <w:szCs w:val="22"/>
              </w:rPr>
            </w:pPr>
            <w:r>
              <w:rPr>
                <w:rFonts w:ascii="Arial" w:hAnsi="Arial" w:cs="Arial"/>
                <w:sz w:val="22"/>
                <w:szCs w:val="22"/>
              </w:rPr>
              <w:t>6</w:t>
            </w:r>
          </w:p>
        </w:tc>
        <w:tc>
          <w:tcPr>
            <w:tcW w:w="900" w:type="dxa"/>
          </w:tcPr>
          <w:p w:rsidR="00486C4F" w:rsidRPr="001261BB" w:rsidRDefault="0098556D" w:rsidP="002D130F">
            <w:pPr>
              <w:pStyle w:val="TableText"/>
              <w:jc w:val="center"/>
              <w:rPr>
                <w:rFonts w:ascii="Arial" w:hAnsi="Arial" w:cs="Arial"/>
                <w:sz w:val="22"/>
                <w:szCs w:val="22"/>
              </w:rPr>
            </w:pPr>
            <w:r>
              <w:rPr>
                <w:rFonts w:ascii="Arial" w:hAnsi="Arial" w:cs="Arial"/>
                <w:sz w:val="22"/>
                <w:szCs w:val="22"/>
              </w:rPr>
              <w:t>1</w:t>
            </w:r>
          </w:p>
        </w:tc>
        <w:tc>
          <w:tcPr>
            <w:tcW w:w="900" w:type="dxa"/>
          </w:tcPr>
          <w:p w:rsidR="00486C4F" w:rsidRPr="001261BB" w:rsidRDefault="0098556D" w:rsidP="002D130F">
            <w:pPr>
              <w:pStyle w:val="TableText"/>
              <w:jc w:val="center"/>
              <w:rPr>
                <w:rFonts w:ascii="Arial" w:hAnsi="Arial" w:cs="Arial"/>
                <w:sz w:val="22"/>
                <w:szCs w:val="22"/>
              </w:rPr>
            </w:pPr>
            <w:r>
              <w:rPr>
                <w:rFonts w:ascii="Arial" w:hAnsi="Arial" w:cs="Arial"/>
                <w:sz w:val="22"/>
                <w:szCs w:val="22"/>
              </w:rPr>
              <w:t>0</w:t>
            </w:r>
          </w:p>
        </w:tc>
      </w:tr>
      <w:tr w:rsidR="00486C4F" w:rsidRPr="001261BB" w:rsidTr="002D130F">
        <w:trPr>
          <w:jc w:val="center"/>
        </w:trPr>
        <w:tc>
          <w:tcPr>
            <w:tcW w:w="9450" w:type="dxa"/>
            <w:gridSpan w:val="7"/>
          </w:tcPr>
          <w:p w:rsidR="00486C4F" w:rsidRPr="001261BB" w:rsidRDefault="00486C4F" w:rsidP="002D130F">
            <w:pPr>
              <w:pStyle w:val="TableNote"/>
              <w:rPr>
                <w:rFonts w:ascii="Arial" w:hAnsi="Arial" w:cs="Arial"/>
                <w:sz w:val="22"/>
                <w:szCs w:val="22"/>
              </w:rPr>
            </w:pPr>
            <w:r w:rsidRPr="001261BB">
              <w:rPr>
                <w:rFonts w:ascii="Arial" w:hAnsi="Arial" w:cs="Arial"/>
                <w:sz w:val="22"/>
                <w:szCs w:val="22"/>
                <w:vertAlign w:val="superscript"/>
              </w:rPr>
              <w:t>a</w:t>
            </w:r>
            <w:r w:rsidRPr="001261BB">
              <w:rPr>
                <w:rFonts w:ascii="Arial" w:hAnsi="Arial" w:cs="Arial"/>
                <w:sz w:val="22"/>
                <w:szCs w:val="22"/>
              </w:rPr>
              <w:tab/>
              <w:t xml:space="preserve">All patients were </w:t>
            </w:r>
            <w:r w:rsidR="003B19B7">
              <w:rPr>
                <w:rFonts w:ascii="Arial" w:hAnsi="Arial" w:cs="Arial"/>
                <w:sz w:val="22"/>
                <w:szCs w:val="22"/>
              </w:rPr>
              <w:t>using</w:t>
            </w:r>
            <w:r w:rsidRPr="001261BB">
              <w:rPr>
                <w:rFonts w:ascii="Arial" w:hAnsi="Arial" w:cs="Arial"/>
                <w:sz w:val="22"/>
                <w:szCs w:val="22"/>
              </w:rPr>
              <w:t xml:space="preserve"> an LHRH agonist or had undergone orchiectomy.</w:t>
            </w:r>
          </w:p>
          <w:p w:rsidR="00486C4F" w:rsidRPr="001261BB" w:rsidRDefault="00486C4F" w:rsidP="003B19B7">
            <w:pPr>
              <w:pStyle w:val="TableNote"/>
              <w:rPr>
                <w:rFonts w:ascii="Arial" w:hAnsi="Arial" w:cs="Arial"/>
                <w:sz w:val="22"/>
                <w:szCs w:val="22"/>
              </w:rPr>
            </w:pPr>
            <w:r w:rsidRPr="001261BB">
              <w:rPr>
                <w:rFonts w:ascii="Arial" w:hAnsi="Arial" w:cs="Arial"/>
                <w:sz w:val="22"/>
                <w:szCs w:val="22"/>
                <w:vertAlign w:val="superscript"/>
              </w:rPr>
              <w:t xml:space="preserve">b </w:t>
            </w:r>
            <w:r w:rsidRPr="001261BB">
              <w:rPr>
                <w:rFonts w:ascii="Arial" w:hAnsi="Arial" w:cs="Arial"/>
                <w:sz w:val="22"/>
                <w:szCs w:val="22"/>
              </w:rPr>
              <w:t xml:space="preserve">  n = patients assessed for safety</w:t>
            </w:r>
          </w:p>
        </w:tc>
      </w:tr>
    </w:tbl>
    <w:p w:rsidR="00486C4F" w:rsidRDefault="00486C4F" w:rsidP="00D46E47">
      <w:pPr>
        <w:autoSpaceDE w:val="0"/>
        <w:autoSpaceDN w:val="0"/>
        <w:adjustRightInd w:val="0"/>
        <w:jc w:val="left"/>
        <w:rPr>
          <w:rFonts w:cs="Arial"/>
          <w:noProof/>
        </w:rPr>
      </w:pPr>
    </w:p>
    <w:p w:rsidR="00486C4F" w:rsidRDefault="003B19B7" w:rsidP="00D46E47">
      <w:pPr>
        <w:autoSpaceDE w:val="0"/>
        <w:autoSpaceDN w:val="0"/>
        <w:adjustRightInd w:val="0"/>
        <w:jc w:val="left"/>
        <w:rPr>
          <w:rFonts w:cs="Arial"/>
          <w:noProof/>
        </w:rPr>
      </w:pPr>
      <w:r w:rsidRPr="003B19B7">
        <w:rPr>
          <w:rFonts w:cs="Arial"/>
          <w:noProof/>
        </w:rPr>
        <w:t>The most common adverse drug reactions that resulted in drug discontinuation in combined data from phase 3 studies were alanine aminotransferase increased and aspartate aminotransferase increased (each in &lt;</w:t>
      </w:r>
      <w:r w:rsidR="00E50560">
        <w:rPr>
          <w:rFonts w:cs="Arial"/>
          <w:noProof/>
        </w:rPr>
        <w:t xml:space="preserve"> </w:t>
      </w:r>
      <w:r w:rsidRPr="003B19B7">
        <w:rPr>
          <w:rFonts w:cs="Arial"/>
          <w:noProof/>
        </w:rPr>
        <w:t xml:space="preserve">1% of patients taking </w:t>
      </w:r>
      <w:r>
        <w:rPr>
          <w:rFonts w:cs="Arial"/>
          <w:noProof/>
        </w:rPr>
        <w:t>abiraterone)</w:t>
      </w:r>
      <w:r w:rsidRPr="003B19B7">
        <w:rPr>
          <w:rFonts w:cs="Arial"/>
          <w:noProof/>
        </w:rPr>
        <w:t>.</w:t>
      </w:r>
      <w:r>
        <w:rPr>
          <w:rFonts w:cs="Arial"/>
          <w:noProof/>
        </w:rPr>
        <w:t xml:space="preserve">  </w:t>
      </w:r>
    </w:p>
    <w:p w:rsidR="00486C4F" w:rsidRDefault="00486C4F" w:rsidP="00D46E47">
      <w:pPr>
        <w:autoSpaceDE w:val="0"/>
        <w:autoSpaceDN w:val="0"/>
        <w:adjustRightInd w:val="0"/>
        <w:jc w:val="left"/>
        <w:rPr>
          <w:rFonts w:cs="Arial"/>
          <w:noProof/>
        </w:rPr>
      </w:pPr>
    </w:p>
    <w:p w:rsidR="00D46E47" w:rsidRDefault="00D46E47" w:rsidP="00D46E47">
      <w:pPr>
        <w:autoSpaceDE w:val="0"/>
        <w:autoSpaceDN w:val="0"/>
        <w:adjustRightInd w:val="0"/>
        <w:jc w:val="left"/>
        <w:rPr>
          <w:rFonts w:cs="Arial"/>
          <w:noProof/>
        </w:rPr>
      </w:pPr>
      <w:r w:rsidRPr="00D46E47">
        <w:rPr>
          <w:rFonts w:cs="Arial"/>
          <w:noProof/>
        </w:rPr>
        <w:t xml:space="preserve">The adverse drug reaction, adrenal insufficiency, occurred in the phase 3 clinical </w:t>
      </w:r>
      <w:r w:rsidR="005404A3" w:rsidRPr="00D46E47">
        <w:rPr>
          <w:rFonts w:cs="Arial"/>
          <w:noProof/>
        </w:rPr>
        <w:t>stud</w:t>
      </w:r>
      <w:r w:rsidR="005404A3">
        <w:rPr>
          <w:rFonts w:cs="Arial"/>
          <w:noProof/>
        </w:rPr>
        <w:t>ies at a rate 0.5% in patients taking abiraterone and at a rate of 0.2% inpatients taking placebo</w:t>
      </w:r>
      <w:r w:rsidRPr="00D46E47">
        <w:rPr>
          <w:rFonts w:cs="Arial"/>
          <w:noProof/>
        </w:rPr>
        <w:t>.</w:t>
      </w:r>
      <w:r>
        <w:rPr>
          <w:rFonts w:cs="Arial"/>
          <w:noProof/>
        </w:rPr>
        <w:t xml:space="preserve">  </w:t>
      </w:r>
    </w:p>
    <w:p w:rsidR="003B19B7" w:rsidRDefault="003B19B7" w:rsidP="00D46E47">
      <w:pPr>
        <w:autoSpaceDE w:val="0"/>
        <w:autoSpaceDN w:val="0"/>
        <w:adjustRightInd w:val="0"/>
        <w:jc w:val="left"/>
        <w:rPr>
          <w:rFonts w:cs="Arial"/>
          <w:noProof/>
        </w:rPr>
      </w:pPr>
    </w:p>
    <w:p w:rsidR="00D46E47" w:rsidRDefault="003B19B7" w:rsidP="00D46E47">
      <w:pPr>
        <w:autoSpaceDE w:val="0"/>
        <w:autoSpaceDN w:val="0"/>
        <w:adjustRightInd w:val="0"/>
        <w:jc w:val="left"/>
        <w:rPr>
          <w:rFonts w:cs="Arial"/>
          <w:noProof/>
        </w:rPr>
      </w:pPr>
      <w:r>
        <w:rPr>
          <w:rFonts w:cs="Arial"/>
          <w:noProof/>
        </w:rPr>
        <w:t xml:space="preserve">In the phase 3 studies, </w:t>
      </w:r>
      <w:r w:rsidRPr="003B19B7">
        <w:rPr>
          <w:rFonts w:cs="Arial"/>
          <w:noProof/>
        </w:rPr>
        <w:t>73% of patient</w:t>
      </w:r>
      <w:r>
        <w:rPr>
          <w:rFonts w:cs="Arial"/>
          <w:noProof/>
        </w:rPr>
        <w:t xml:space="preserve">s were 65 years and over, and </w:t>
      </w:r>
      <w:r w:rsidRPr="003B19B7">
        <w:rPr>
          <w:rFonts w:cs="Arial"/>
          <w:noProof/>
        </w:rPr>
        <w:t xml:space="preserve">30% were 75 years and over. </w:t>
      </w:r>
      <w:r w:rsidR="007E39A5">
        <w:rPr>
          <w:rFonts w:cs="Arial"/>
          <w:noProof/>
        </w:rPr>
        <w:t xml:space="preserve"> </w:t>
      </w:r>
      <w:r w:rsidR="007E39A5" w:rsidRPr="007E39A5">
        <w:rPr>
          <w:rFonts w:cs="Arial"/>
          <w:noProof/>
        </w:rPr>
        <w:t>Adverse effects were more common in patients ≥ 75 years old in both the abiraterone and placebo groups</w:t>
      </w:r>
      <w:r w:rsidR="007E39A5">
        <w:rPr>
          <w:rFonts w:cs="Arial"/>
          <w:noProof/>
        </w:rPr>
        <w:t xml:space="preserve">. </w:t>
      </w:r>
      <w:r>
        <w:rPr>
          <w:rFonts w:cs="Arial"/>
          <w:noProof/>
        </w:rPr>
        <w:t xml:space="preserve"> </w:t>
      </w:r>
    </w:p>
    <w:p w:rsidR="003B19B7" w:rsidRPr="00D46E47" w:rsidRDefault="003B19B7" w:rsidP="00D46E47">
      <w:pPr>
        <w:autoSpaceDE w:val="0"/>
        <w:autoSpaceDN w:val="0"/>
        <w:adjustRightInd w:val="0"/>
        <w:jc w:val="left"/>
        <w:rPr>
          <w:rFonts w:cs="Arial"/>
          <w:noProof/>
        </w:rPr>
      </w:pPr>
    </w:p>
    <w:p w:rsidR="00D46E47" w:rsidRPr="00D46E47" w:rsidRDefault="00D46E47" w:rsidP="00D46E47">
      <w:pPr>
        <w:autoSpaceDE w:val="0"/>
        <w:autoSpaceDN w:val="0"/>
        <w:adjustRightInd w:val="0"/>
        <w:spacing w:after="120"/>
        <w:jc w:val="left"/>
        <w:rPr>
          <w:rFonts w:cs="Arial"/>
          <w:i/>
          <w:noProof/>
        </w:rPr>
      </w:pPr>
      <w:r w:rsidRPr="00D46E47">
        <w:rPr>
          <w:rFonts w:cs="Arial"/>
          <w:i/>
          <w:noProof/>
        </w:rPr>
        <w:t>Cardiovascular effects</w:t>
      </w:r>
    </w:p>
    <w:p w:rsidR="00486C4F" w:rsidRDefault="00026B96" w:rsidP="00026B96">
      <w:pPr>
        <w:autoSpaceDE w:val="0"/>
        <w:autoSpaceDN w:val="0"/>
        <w:adjustRightInd w:val="0"/>
        <w:jc w:val="left"/>
        <w:rPr>
          <w:rFonts w:cs="Arial"/>
          <w:noProof/>
        </w:rPr>
      </w:pPr>
      <w:r>
        <w:rPr>
          <w:rFonts w:cs="Arial"/>
          <w:noProof/>
        </w:rPr>
        <w:t>Both</w:t>
      </w:r>
      <w:r w:rsidRPr="00D46E47">
        <w:rPr>
          <w:rFonts w:cs="Arial"/>
          <w:noProof/>
        </w:rPr>
        <w:t xml:space="preserve"> </w:t>
      </w:r>
      <w:r w:rsidR="00D46E47" w:rsidRPr="00D46E47">
        <w:rPr>
          <w:rFonts w:cs="Arial"/>
          <w:noProof/>
        </w:rPr>
        <w:t xml:space="preserve">phase 3 </w:t>
      </w:r>
      <w:r w:rsidRPr="00D46E47">
        <w:rPr>
          <w:rFonts w:cs="Arial"/>
          <w:noProof/>
        </w:rPr>
        <w:t>stud</w:t>
      </w:r>
      <w:r>
        <w:rPr>
          <w:rFonts w:cs="Arial"/>
          <w:noProof/>
        </w:rPr>
        <w:t>ies</w:t>
      </w:r>
      <w:r w:rsidRPr="00D46E47">
        <w:rPr>
          <w:rFonts w:cs="Arial"/>
          <w:noProof/>
        </w:rPr>
        <w:t xml:space="preserve"> </w:t>
      </w:r>
      <w:r w:rsidR="00D46E47" w:rsidRPr="00D46E47">
        <w:rPr>
          <w:rFonts w:cs="Arial"/>
          <w:noProof/>
        </w:rPr>
        <w:t xml:space="preserve">excluded patients with uncontrolled hypertension, clinically significant heart disease as evidenced by myocardial infarction, arterial thrombotic events in the past 6 months, severe or unstable angina, or </w:t>
      </w:r>
      <w:r>
        <w:rPr>
          <w:rFonts w:cs="Arial"/>
          <w:noProof/>
        </w:rPr>
        <w:t xml:space="preserve">NYHA </w:t>
      </w:r>
      <w:r w:rsidR="00D46E47" w:rsidRPr="00D46E47">
        <w:rPr>
          <w:rFonts w:cs="Arial"/>
          <w:noProof/>
        </w:rPr>
        <w:t xml:space="preserve">Class III or IV heart </w:t>
      </w:r>
      <w:r>
        <w:rPr>
          <w:rFonts w:cs="Arial"/>
          <w:noProof/>
        </w:rPr>
        <w:t xml:space="preserve">failure (study 301) or Class II to IV heart failure (study 302) </w:t>
      </w:r>
      <w:r w:rsidR="00D46E47" w:rsidRPr="00D46E47">
        <w:rPr>
          <w:rFonts w:cs="Arial"/>
          <w:noProof/>
        </w:rPr>
        <w:t>or cardiac ejection fraction measurement of &lt;</w:t>
      </w:r>
      <w:r w:rsidR="00E50560">
        <w:rPr>
          <w:rFonts w:cs="Arial"/>
          <w:noProof/>
        </w:rPr>
        <w:t xml:space="preserve"> </w:t>
      </w:r>
      <w:r w:rsidR="00D46E47" w:rsidRPr="00D46E47">
        <w:rPr>
          <w:rFonts w:cs="Arial"/>
          <w:noProof/>
        </w:rPr>
        <w:t>50%.  All patients enrolled (both active and placebo-treated patients) were concomitantly</w:t>
      </w:r>
      <w:r w:rsidR="00D46E47">
        <w:rPr>
          <w:rFonts w:cs="Arial"/>
          <w:noProof/>
        </w:rPr>
        <w:t xml:space="preserve"> </w:t>
      </w:r>
      <w:r w:rsidR="00D46E47" w:rsidRPr="00D46E47">
        <w:rPr>
          <w:rFonts w:cs="Arial"/>
          <w:noProof/>
        </w:rPr>
        <w:t xml:space="preserve">treated with androgen deprivation therapy, predominately </w:t>
      </w:r>
      <w:r w:rsidR="009911DE">
        <w:rPr>
          <w:rFonts w:cs="Arial"/>
          <w:noProof/>
        </w:rPr>
        <w:t xml:space="preserve">with the use of </w:t>
      </w:r>
      <w:r w:rsidR="00D46E47" w:rsidRPr="00D46E47">
        <w:rPr>
          <w:rFonts w:cs="Arial"/>
          <w:noProof/>
        </w:rPr>
        <w:t xml:space="preserve"> LHRH agonists, which has been associated with diabetes, myocardial infarction, cerebrovascular accident and sudden cardiac death.  The incidence of cardiovascular </w:t>
      </w:r>
      <w:r w:rsidR="009911DE">
        <w:rPr>
          <w:rFonts w:cs="Arial"/>
          <w:noProof/>
        </w:rPr>
        <w:t xml:space="preserve">adverse </w:t>
      </w:r>
      <w:r w:rsidR="00D46E47" w:rsidRPr="00D46E47">
        <w:rPr>
          <w:rFonts w:cs="Arial"/>
          <w:noProof/>
        </w:rPr>
        <w:t xml:space="preserve">reactions in the phase 3 </w:t>
      </w:r>
      <w:r w:rsidRPr="00D46E47">
        <w:rPr>
          <w:rFonts w:cs="Arial"/>
          <w:noProof/>
        </w:rPr>
        <w:t>stud</w:t>
      </w:r>
      <w:r>
        <w:rPr>
          <w:rFonts w:cs="Arial"/>
          <w:noProof/>
        </w:rPr>
        <w:t>ies</w:t>
      </w:r>
      <w:r w:rsidRPr="00D46E47">
        <w:rPr>
          <w:rFonts w:cs="Arial"/>
          <w:noProof/>
        </w:rPr>
        <w:t xml:space="preserve"> </w:t>
      </w:r>
      <w:r w:rsidRPr="00026B96">
        <w:rPr>
          <w:rFonts w:cs="Arial"/>
          <w:noProof/>
        </w:rPr>
        <w:t xml:space="preserve">in patients taking </w:t>
      </w:r>
      <w:r>
        <w:rPr>
          <w:rFonts w:cs="Arial"/>
          <w:noProof/>
        </w:rPr>
        <w:t xml:space="preserve"> abiraterone </w:t>
      </w:r>
      <w:r w:rsidRPr="00026B96">
        <w:rPr>
          <w:rFonts w:cs="Arial"/>
          <w:noProof/>
        </w:rPr>
        <w:t>versus patients taking placebo were as follows: atrial fibrillation 3.4% vs. 3.4%, tachycardia 2.8% vs. 1.7%, angina pectoris 1.9% vs. 0.9%, cardiac failure 1.9% vs. 0.6% and arrhythmia 1.1% vs. 0.4%.</w:t>
      </w:r>
      <w:r>
        <w:rPr>
          <w:rFonts w:cs="Arial"/>
          <w:noProof/>
        </w:rPr>
        <w:t xml:space="preserve">  </w:t>
      </w:r>
    </w:p>
    <w:p w:rsidR="00026B96" w:rsidRDefault="00735345" w:rsidP="00026B96">
      <w:pPr>
        <w:autoSpaceDE w:val="0"/>
        <w:autoSpaceDN w:val="0"/>
        <w:adjustRightInd w:val="0"/>
        <w:jc w:val="left"/>
        <w:rPr>
          <w:rFonts w:cs="Arial"/>
          <w:i/>
          <w:noProof/>
        </w:rPr>
      </w:pPr>
      <w:r>
        <w:rPr>
          <w:rFonts w:cs="Arial"/>
          <w:i/>
          <w:noProof/>
        </w:rPr>
        <w:br w:type="page"/>
      </w:r>
    </w:p>
    <w:p w:rsidR="00D55A36" w:rsidRPr="00D55A36" w:rsidRDefault="00D55A36" w:rsidP="00D55A36">
      <w:pPr>
        <w:autoSpaceDE w:val="0"/>
        <w:autoSpaceDN w:val="0"/>
        <w:adjustRightInd w:val="0"/>
        <w:spacing w:after="120"/>
        <w:jc w:val="left"/>
        <w:rPr>
          <w:rFonts w:cs="Arial"/>
          <w:i/>
          <w:noProof/>
        </w:rPr>
      </w:pPr>
      <w:r w:rsidRPr="00D55A36">
        <w:rPr>
          <w:rFonts w:cs="Arial"/>
          <w:i/>
          <w:noProof/>
        </w:rPr>
        <w:t>Hepatotoxicity</w:t>
      </w:r>
    </w:p>
    <w:p w:rsidR="00D55A36" w:rsidRPr="00D55A36" w:rsidRDefault="00D55A36" w:rsidP="00D55A36">
      <w:pPr>
        <w:autoSpaceDE w:val="0"/>
        <w:autoSpaceDN w:val="0"/>
        <w:adjustRightInd w:val="0"/>
        <w:jc w:val="left"/>
        <w:rPr>
          <w:rFonts w:cs="Arial"/>
          <w:noProof/>
        </w:rPr>
      </w:pPr>
      <w:r w:rsidRPr="00D55A36">
        <w:rPr>
          <w:rFonts w:cs="Arial"/>
          <w:noProof/>
        </w:rPr>
        <w:t xml:space="preserve">Drug-associated hepatotoxicity with elevated ALT, </w:t>
      </w:r>
      <w:r w:rsidR="00A76E07" w:rsidRPr="00A76E07">
        <w:rPr>
          <w:rFonts w:cs="Arial"/>
          <w:noProof/>
        </w:rPr>
        <w:t>AST</w:t>
      </w:r>
      <w:r w:rsidR="00A76E07">
        <w:rPr>
          <w:rFonts w:cs="Arial"/>
          <w:noProof/>
        </w:rPr>
        <w:t xml:space="preserve"> </w:t>
      </w:r>
      <w:r w:rsidRPr="00D55A36">
        <w:rPr>
          <w:rFonts w:cs="Arial"/>
          <w:noProof/>
        </w:rPr>
        <w:t xml:space="preserve">and total bilirubin has been reported in patients treated with </w:t>
      </w:r>
      <w:r>
        <w:rPr>
          <w:rFonts w:cs="Arial"/>
          <w:noProof/>
        </w:rPr>
        <w:t>abiraterone</w:t>
      </w:r>
      <w:r w:rsidRPr="00D55A36">
        <w:rPr>
          <w:rFonts w:cs="Arial"/>
          <w:noProof/>
        </w:rPr>
        <w:t xml:space="preserve">. </w:t>
      </w:r>
      <w:r>
        <w:rPr>
          <w:rFonts w:cs="Arial"/>
          <w:noProof/>
        </w:rPr>
        <w:t xml:space="preserve"> </w:t>
      </w:r>
      <w:r w:rsidRPr="00D55A36">
        <w:rPr>
          <w:rFonts w:cs="Arial"/>
          <w:noProof/>
        </w:rPr>
        <w:t>Across all clinical studies, liver function test elevations (ALT or AST increases of &gt; 5</w:t>
      </w:r>
      <w:r w:rsidR="00B518AD">
        <w:rPr>
          <w:rFonts w:cs="Arial"/>
          <w:noProof/>
        </w:rPr>
        <w:t xml:space="preserve"> </w:t>
      </w:r>
      <w:r w:rsidRPr="00D55A36">
        <w:rPr>
          <w:rFonts w:cs="Arial"/>
          <w:noProof/>
        </w:rPr>
        <w:t xml:space="preserve">X </w:t>
      </w:r>
      <w:r>
        <w:rPr>
          <w:rFonts w:cs="Arial"/>
          <w:noProof/>
        </w:rPr>
        <w:t>ULN or bilirubin increases &gt; 1.</w:t>
      </w:r>
      <w:r w:rsidRPr="00D55A36">
        <w:rPr>
          <w:rFonts w:cs="Arial"/>
          <w:noProof/>
        </w:rPr>
        <w:t>5</w:t>
      </w:r>
      <w:r>
        <w:rPr>
          <w:rFonts w:cs="Arial"/>
          <w:noProof/>
        </w:rPr>
        <w:t xml:space="preserve"> </w:t>
      </w:r>
      <w:r w:rsidRPr="00D55A36">
        <w:rPr>
          <w:rFonts w:cs="Arial"/>
          <w:noProof/>
        </w:rPr>
        <w:t xml:space="preserve">X ULN) were reported in </w:t>
      </w:r>
      <w:r w:rsidR="0095326F">
        <w:rPr>
          <w:rFonts w:cs="Arial"/>
          <w:noProof/>
        </w:rPr>
        <w:t xml:space="preserve">approximately </w:t>
      </w:r>
      <w:r w:rsidR="00B518AD">
        <w:rPr>
          <w:rFonts w:cs="Arial"/>
          <w:noProof/>
        </w:rPr>
        <w:t>4</w:t>
      </w:r>
      <w:r w:rsidR="0095326F">
        <w:rPr>
          <w:rFonts w:cs="Arial"/>
          <w:noProof/>
        </w:rPr>
        <w:t xml:space="preserve">% of </w:t>
      </w:r>
      <w:r w:rsidRPr="00D55A36">
        <w:rPr>
          <w:rFonts w:cs="Arial"/>
          <w:noProof/>
        </w:rPr>
        <w:t xml:space="preserve">patients who received </w:t>
      </w:r>
      <w:r>
        <w:rPr>
          <w:rFonts w:cs="Arial"/>
          <w:noProof/>
        </w:rPr>
        <w:t>abiraterone</w:t>
      </w:r>
      <w:r w:rsidRPr="00D55A36">
        <w:rPr>
          <w:rFonts w:cs="Arial"/>
          <w:noProof/>
        </w:rPr>
        <w:t>, typically during the first 3 months after starting treatment.</w:t>
      </w:r>
      <w:r>
        <w:rPr>
          <w:rFonts w:cs="Arial"/>
          <w:noProof/>
        </w:rPr>
        <w:t xml:space="preserve"> </w:t>
      </w:r>
      <w:r w:rsidRPr="00D55A36">
        <w:rPr>
          <w:rFonts w:cs="Arial"/>
          <w:noProof/>
        </w:rPr>
        <w:t xml:space="preserve"> In the </w:t>
      </w:r>
      <w:r w:rsidR="00B518AD">
        <w:rPr>
          <w:rFonts w:cs="Arial"/>
          <w:noProof/>
        </w:rPr>
        <w:t xml:space="preserve">301 </w:t>
      </w:r>
      <w:r w:rsidRPr="00D55A36">
        <w:rPr>
          <w:rFonts w:cs="Arial"/>
          <w:noProof/>
        </w:rPr>
        <w:t>clinical study, patients whose baseline ALT or AST were elevated were more likely to experience liver function test elevations than those beginning with normal values.</w:t>
      </w:r>
      <w:r>
        <w:rPr>
          <w:rFonts w:cs="Arial"/>
          <w:noProof/>
        </w:rPr>
        <w:t xml:space="preserve"> </w:t>
      </w:r>
      <w:r w:rsidRPr="00D55A36">
        <w:rPr>
          <w:rFonts w:cs="Arial"/>
          <w:noProof/>
        </w:rPr>
        <w:t xml:space="preserve"> When elevations of either ALT or AST &gt; 5</w:t>
      </w:r>
      <w:r w:rsidR="00B518AD">
        <w:rPr>
          <w:rFonts w:cs="Arial"/>
          <w:noProof/>
        </w:rPr>
        <w:t xml:space="preserve"> </w:t>
      </w:r>
      <w:r w:rsidRPr="00D55A36">
        <w:rPr>
          <w:rFonts w:cs="Arial"/>
          <w:noProof/>
        </w:rPr>
        <w:t>X ULN, or elevations in bilirubin &gt; 3</w:t>
      </w:r>
      <w:r w:rsidR="00B518AD">
        <w:rPr>
          <w:rFonts w:cs="Arial"/>
          <w:noProof/>
        </w:rPr>
        <w:t xml:space="preserve"> </w:t>
      </w:r>
      <w:r w:rsidRPr="00D55A36">
        <w:rPr>
          <w:rFonts w:cs="Arial"/>
          <w:noProof/>
        </w:rPr>
        <w:t xml:space="preserve">X ULN were observed, </w:t>
      </w:r>
      <w:r>
        <w:rPr>
          <w:rFonts w:cs="Arial"/>
          <w:noProof/>
        </w:rPr>
        <w:t>abiraterone</w:t>
      </w:r>
      <w:r w:rsidRPr="00D55A36">
        <w:rPr>
          <w:rFonts w:cs="Arial"/>
          <w:noProof/>
        </w:rPr>
        <w:t xml:space="preserve"> was</w:t>
      </w:r>
      <w:r w:rsidR="00FB70ED">
        <w:rPr>
          <w:rFonts w:cs="Arial"/>
          <w:noProof/>
        </w:rPr>
        <w:t xml:space="preserve"> withheld or discontinued.</w:t>
      </w:r>
      <w:r w:rsidRPr="00D55A36">
        <w:rPr>
          <w:rFonts w:cs="Arial"/>
          <w:noProof/>
        </w:rPr>
        <w:t xml:space="preserve">  Hepatic metastases and baseline elevations in alkaline phosphatase associated with prostate cancer were present in a few of these patients.  In two instances marked increases in liver function tests occurred (see section</w:t>
      </w:r>
      <w:r w:rsidR="00E511C8">
        <w:rPr>
          <w:rFonts w:cs="Arial"/>
          <w:noProof/>
        </w:rPr>
        <w:t xml:space="preserve"> </w:t>
      </w:r>
      <w:r>
        <w:rPr>
          <w:rFonts w:cs="Arial"/>
          <w:noProof/>
        </w:rPr>
        <w:t>PRECAUTIONS</w:t>
      </w:r>
      <w:r w:rsidRPr="00D55A36">
        <w:rPr>
          <w:rFonts w:cs="Arial"/>
          <w:noProof/>
        </w:rPr>
        <w:t xml:space="preserve">).  These two patients with normal baseline hepatic function, experienced ALT or AST elevations 15 to 40 X ULN and bilirubin elevations 2 to 6 X ULN.  Upon discontinuation of </w:t>
      </w:r>
      <w:r>
        <w:rPr>
          <w:rFonts w:cs="Arial"/>
          <w:noProof/>
        </w:rPr>
        <w:t>abiraterone</w:t>
      </w:r>
      <w:r w:rsidRPr="00D55A36">
        <w:rPr>
          <w:rFonts w:cs="Arial"/>
          <w:noProof/>
        </w:rPr>
        <w:t>, both patients had normalization of their liver function tests and one patient was re</w:t>
      </w:r>
      <w:r w:rsidR="006443FA">
        <w:rPr>
          <w:rFonts w:cs="Arial"/>
          <w:noProof/>
        </w:rPr>
        <w:t>-</w:t>
      </w:r>
      <w:r w:rsidRPr="00D55A36">
        <w:rPr>
          <w:rFonts w:cs="Arial"/>
          <w:noProof/>
        </w:rPr>
        <w:t xml:space="preserve">treated with </w:t>
      </w:r>
      <w:r>
        <w:rPr>
          <w:rFonts w:cs="Arial"/>
          <w:noProof/>
        </w:rPr>
        <w:t>abiraterone</w:t>
      </w:r>
      <w:r w:rsidRPr="00D55A36">
        <w:rPr>
          <w:rFonts w:cs="Arial"/>
          <w:noProof/>
        </w:rPr>
        <w:t xml:space="preserve"> without</w:t>
      </w:r>
      <w:r>
        <w:rPr>
          <w:rFonts w:cs="Arial"/>
          <w:noProof/>
        </w:rPr>
        <w:t xml:space="preserve"> recurrence of the elevations. </w:t>
      </w:r>
      <w:r w:rsidR="00501187">
        <w:rPr>
          <w:rFonts w:cs="Arial"/>
          <w:noProof/>
        </w:rPr>
        <w:t xml:space="preserve"> </w:t>
      </w:r>
      <w:r w:rsidR="00B518AD" w:rsidRPr="00B518AD">
        <w:rPr>
          <w:rFonts w:cs="Arial"/>
          <w:noProof/>
        </w:rPr>
        <w:t xml:space="preserve">In study 302, grade 3 or 4 ALT or AST elevations were observed in 35 (6.5%) patients treated with </w:t>
      </w:r>
      <w:r w:rsidR="00B518AD">
        <w:rPr>
          <w:rFonts w:cs="Arial"/>
          <w:noProof/>
        </w:rPr>
        <w:t>abiraterone</w:t>
      </w:r>
      <w:r w:rsidR="00B518AD" w:rsidRPr="00B518AD">
        <w:rPr>
          <w:rFonts w:cs="Arial"/>
          <w:noProof/>
        </w:rPr>
        <w:t xml:space="preserve">. </w:t>
      </w:r>
      <w:r w:rsidR="00B518AD">
        <w:rPr>
          <w:rFonts w:cs="Arial"/>
          <w:noProof/>
        </w:rPr>
        <w:t xml:space="preserve"> </w:t>
      </w:r>
      <w:r w:rsidR="00B518AD" w:rsidRPr="00B518AD">
        <w:rPr>
          <w:rFonts w:cs="Arial"/>
          <w:noProof/>
        </w:rPr>
        <w:t xml:space="preserve">Aminotransferase elevations resolved in all but 3 patients (2 with new multiple liver metastases and 1 with AST elevation approximately 3 weeks after the last dose of </w:t>
      </w:r>
      <w:r w:rsidR="00B518AD">
        <w:rPr>
          <w:rFonts w:cs="Arial"/>
          <w:noProof/>
        </w:rPr>
        <w:t>abiraterone</w:t>
      </w:r>
      <w:r w:rsidR="00B518AD" w:rsidRPr="00B518AD">
        <w:rPr>
          <w:rFonts w:cs="Arial"/>
          <w:noProof/>
        </w:rPr>
        <w:t xml:space="preserve">). </w:t>
      </w:r>
      <w:r w:rsidR="00B518AD">
        <w:rPr>
          <w:rFonts w:cs="Arial"/>
          <w:noProof/>
        </w:rPr>
        <w:t xml:space="preserve"> </w:t>
      </w:r>
      <w:r w:rsidR="00B518AD" w:rsidRPr="00B518AD">
        <w:rPr>
          <w:rFonts w:cs="Arial"/>
          <w:noProof/>
        </w:rPr>
        <w:t xml:space="preserve">Treatment discontinuations due to ALT and AST increases were reported in 1.7% and 1.3% of patients treated with </w:t>
      </w:r>
      <w:r w:rsidR="00B518AD">
        <w:rPr>
          <w:rFonts w:cs="Arial"/>
          <w:noProof/>
        </w:rPr>
        <w:t>abiraterone</w:t>
      </w:r>
      <w:r w:rsidR="00B518AD" w:rsidRPr="00B518AD">
        <w:rPr>
          <w:rFonts w:cs="Arial"/>
          <w:noProof/>
        </w:rPr>
        <w:t xml:space="preserve"> and 0.2% and 0% of patients treated with placebo, respectively. </w:t>
      </w:r>
      <w:r w:rsidR="00B518AD">
        <w:rPr>
          <w:rFonts w:cs="Arial"/>
          <w:noProof/>
        </w:rPr>
        <w:t xml:space="preserve"> </w:t>
      </w:r>
      <w:r w:rsidR="00B518AD" w:rsidRPr="00B518AD">
        <w:rPr>
          <w:rFonts w:cs="Arial"/>
          <w:noProof/>
        </w:rPr>
        <w:t xml:space="preserve">No deaths were reported due to hepatotoxicity event.  </w:t>
      </w:r>
    </w:p>
    <w:p w:rsidR="00D55A36" w:rsidRPr="00D55A36" w:rsidRDefault="00D55A36" w:rsidP="00D55A36">
      <w:pPr>
        <w:autoSpaceDE w:val="0"/>
        <w:autoSpaceDN w:val="0"/>
        <w:adjustRightInd w:val="0"/>
        <w:jc w:val="left"/>
        <w:rPr>
          <w:rFonts w:cs="Arial"/>
          <w:noProof/>
        </w:rPr>
      </w:pPr>
    </w:p>
    <w:p w:rsidR="00D46E47" w:rsidRDefault="007774A1" w:rsidP="00D55A36">
      <w:pPr>
        <w:autoSpaceDE w:val="0"/>
        <w:autoSpaceDN w:val="0"/>
        <w:adjustRightInd w:val="0"/>
        <w:jc w:val="left"/>
        <w:rPr>
          <w:rFonts w:cs="Arial"/>
          <w:noProof/>
        </w:rPr>
      </w:pPr>
      <w:r w:rsidRPr="007774A1">
        <w:rPr>
          <w:rFonts w:cs="Arial"/>
          <w:noProof/>
        </w:rPr>
        <w:t xml:space="preserve">In clinical trials, the risk for hepatotoxicity was mitigated by exclusion of patients with baseline </w:t>
      </w:r>
      <w:r w:rsidR="00744424" w:rsidRPr="00744424">
        <w:rPr>
          <w:rFonts w:cs="Arial"/>
          <w:noProof/>
        </w:rPr>
        <w:t>hepatitis or significant abnormalities of liver function tests.</w:t>
      </w:r>
      <w:r w:rsidR="00744424">
        <w:rPr>
          <w:rFonts w:cs="Arial"/>
          <w:noProof/>
        </w:rPr>
        <w:t xml:space="preserve"> </w:t>
      </w:r>
      <w:r w:rsidR="00744424" w:rsidRPr="00744424">
        <w:rPr>
          <w:rFonts w:cs="Arial"/>
          <w:noProof/>
        </w:rPr>
        <w:t xml:space="preserve"> In the 301 trial, patients with baseline </w:t>
      </w:r>
      <w:r w:rsidRPr="007774A1">
        <w:rPr>
          <w:rFonts w:cs="Arial"/>
          <w:noProof/>
        </w:rPr>
        <w:t xml:space="preserve">ALT and AST ≥ 2.5X ULN in the absence of liver metastases and &gt; 5X ULN </w:t>
      </w:r>
      <w:r w:rsidR="00744424" w:rsidRPr="00744424">
        <w:rPr>
          <w:rFonts w:cs="Arial"/>
          <w:noProof/>
        </w:rPr>
        <w:t>in the presence of</w:t>
      </w:r>
      <w:r w:rsidR="00744424">
        <w:rPr>
          <w:rFonts w:cs="Arial"/>
          <w:noProof/>
        </w:rPr>
        <w:t xml:space="preserve"> </w:t>
      </w:r>
      <w:r w:rsidRPr="007774A1">
        <w:rPr>
          <w:rFonts w:cs="Arial"/>
          <w:noProof/>
        </w:rPr>
        <w:t xml:space="preserve"> liver metastases</w:t>
      </w:r>
      <w:r w:rsidR="00744424" w:rsidRPr="00744424">
        <w:t xml:space="preserve"> </w:t>
      </w:r>
      <w:r w:rsidR="00744424" w:rsidRPr="00744424">
        <w:rPr>
          <w:rFonts w:cs="Arial"/>
          <w:noProof/>
        </w:rPr>
        <w:t>were excluded.</w:t>
      </w:r>
      <w:r w:rsidR="00744424">
        <w:rPr>
          <w:rFonts w:cs="Arial"/>
          <w:noProof/>
        </w:rPr>
        <w:t xml:space="preserve"> </w:t>
      </w:r>
      <w:r w:rsidR="00744424" w:rsidRPr="00744424">
        <w:rPr>
          <w:rFonts w:cs="Arial"/>
          <w:noProof/>
        </w:rPr>
        <w:t xml:space="preserve"> In the 302 trial patients with liver metastases were not eligible and patients with baseline ALT and AST ≥</w:t>
      </w:r>
      <w:r w:rsidR="003300AB">
        <w:rPr>
          <w:rFonts w:cs="Arial"/>
          <w:noProof/>
        </w:rPr>
        <w:t xml:space="preserve"> </w:t>
      </w:r>
      <w:r w:rsidR="00744424" w:rsidRPr="00744424">
        <w:rPr>
          <w:rFonts w:cs="Arial"/>
          <w:noProof/>
        </w:rPr>
        <w:t>2.5</w:t>
      </w:r>
      <w:r w:rsidR="00744424">
        <w:rPr>
          <w:rFonts w:cs="Arial"/>
          <w:noProof/>
        </w:rPr>
        <w:t xml:space="preserve"> </w:t>
      </w:r>
      <w:r w:rsidR="00744424" w:rsidRPr="00744424">
        <w:rPr>
          <w:rFonts w:cs="Arial"/>
          <w:noProof/>
        </w:rPr>
        <w:t>X ULN were excluded</w:t>
      </w:r>
      <w:r w:rsidRPr="007774A1">
        <w:rPr>
          <w:rFonts w:cs="Arial"/>
          <w:noProof/>
        </w:rPr>
        <w:t xml:space="preserve">.  Abnormal liver function tests developing in patients participating in clinical trials were vigorously managed by requiring treatment interruption and permitting re-treatment only after return of liver function tests to the patient’s baseline (see </w:t>
      </w:r>
      <w:r>
        <w:rPr>
          <w:rFonts w:cs="Arial"/>
          <w:noProof/>
        </w:rPr>
        <w:t>DOSAGE and ADMINISTRATION</w:t>
      </w:r>
      <w:r w:rsidRPr="007774A1">
        <w:rPr>
          <w:rFonts w:cs="Arial"/>
          <w:noProof/>
        </w:rPr>
        <w:t xml:space="preserve">).  Patients with elevations of ALT or AST &gt; 20X ULN were not re-treated.  The safety of re-treatment in such patients is unknown. </w:t>
      </w:r>
      <w:r w:rsidR="00D65D5F">
        <w:rPr>
          <w:rFonts w:cs="Arial"/>
          <w:noProof/>
        </w:rPr>
        <w:t xml:space="preserve"> </w:t>
      </w:r>
      <w:r w:rsidRPr="007774A1">
        <w:rPr>
          <w:rFonts w:cs="Arial"/>
          <w:noProof/>
        </w:rPr>
        <w:t xml:space="preserve">The mechanism for hepatotoxicity associated with </w:t>
      </w:r>
      <w:r w:rsidR="00D65D5F">
        <w:rPr>
          <w:rFonts w:cs="Arial"/>
          <w:noProof/>
        </w:rPr>
        <w:t>abiraterone</w:t>
      </w:r>
      <w:r w:rsidRPr="007774A1">
        <w:rPr>
          <w:rFonts w:cs="Arial"/>
          <w:noProof/>
        </w:rPr>
        <w:t xml:space="preserve"> is not understood.</w:t>
      </w:r>
      <w:r w:rsidR="00D55A36">
        <w:rPr>
          <w:rFonts w:cs="Arial"/>
          <w:noProof/>
        </w:rPr>
        <w:t xml:space="preserve"> </w:t>
      </w:r>
      <w:r>
        <w:rPr>
          <w:rFonts w:cs="Arial"/>
          <w:noProof/>
        </w:rPr>
        <w:t xml:space="preserve"> </w:t>
      </w:r>
    </w:p>
    <w:p w:rsidR="00ED242C" w:rsidRDefault="00ED242C" w:rsidP="00D55A36">
      <w:pPr>
        <w:autoSpaceDE w:val="0"/>
        <w:autoSpaceDN w:val="0"/>
        <w:adjustRightInd w:val="0"/>
        <w:jc w:val="left"/>
        <w:rPr>
          <w:rFonts w:cs="Arial"/>
          <w:noProof/>
        </w:rPr>
      </w:pPr>
    </w:p>
    <w:p w:rsidR="00ED242C" w:rsidRDefault="00F93E17" w:rsidP="00D55A36">
      <w:pPr>
        <w:autoSpaceDE w:val="0"/>
        <w:autoSpaceDN w:val="0"/>
        <w:adjustRightInd w:val="0"/>
        <w:jc w:val="left"/>
        <w:rPr>
          <w:rFonts w:cs="Arial"/>
          <w:noProof/>
        </w:rPr>
      </w:pPr>
      <w:r w:rsidRPr="00F93E17">
        <w:rPr>
          <w:rFonts w:cs="Arial"/>
          <w:noProof/>
        </w:rPr>
        <w:t>Post-marketing experience</w:t>
      </w:r>
    </w:p>
    <w:p w:rsidR="00F93E17" w:rsidRPr="00F93E17" w:rsidRDefault="00F93E17" w:rsidP="00F93E17">
      <w:pPr>
        <w:autoSpaceDE w:val="0"/>
        <w:autoSpaceDN w:val="0"/>
        <w:adjustRightInd w:val="0"/>
        <w:spacing w:before="120"/>
        <w:jc w:val="left"/>
        <w:rPr>
          <w:rFonts w:cs="Arial"/>
          <w:noProof/>
        </w:rPr>
      </w:pPr>
      <w:r w:rsidRPr="00F93E17">
        <w:rPr>
          <w:rFonts w:cs="Arial"/>
          <w:noProof/>
        </w:rPr>
        <w:t>Adverse drug reactions identified during the post-marketing experience based on spontaneous reports with ZYTIGA are described below. The frequencies are provided according to the following convention:</w:t>
      </w:r>
    </w:p>
    <w:p w:rsidR="00F93E17" w:rsidRDefault="00F93E17" w:rsidP="00F93E17">
      <w:pPr>
        <w:autoSpaceDE w:val="0"/>
        <w:autoSpaceDN w:val="0"/>
        <w:adjustRightInd w:val="0"/>
        <w:jc w:val="left"/>
        <w:rPr>
          <w:rFonts w:cs="Arial"/>
          <w:noProof/>
        </w:rPr>
      </w:pPr>
      <w:r w:rsidRPr="00F93E17">
        <w:rPr>
          <w:rFonts w:cs="Arial"/>
          <w:noProof/>
        </w:rPr>
        <w:t>Rare</w:t>
      </w:r>
      <w:r>
        <w:rPr>
          <w:rFonts w:cs="Arial"/>
          <w:noProof/>
        </w:rPr>
        <w:t xml:space="preserve"> </w:t>
      </w:r>
      <w:r w:rsidRPr="00F93E17">
        <w:rPr>
          <w:rFonts w:cs="Arial"/>
          <w:noProof/>
        </w:rPr>
        <w:t>≥</w:t>
      </w:r>
      <w:r>
        <w:rPr>
          <w:rFonts w:cs="Arial"/>
          <w:noProof/>
        </w:rPr>
        <w:t xml:space="preserve"> </w:t>
      </w:r>
      <w:r w:rsidRPr="00F93E17">
        <w:rPr>
          <w:rFonts w:cs="Arial"/>
          <w:noProof/>
        </w:rPr>
        <w:t>1/10000 and &lt;</w:t>
      </w:r>
      <w:r>
        <w:rPr>
          <w:rFonts w:cs="Arial"/>
          <w:noProof/>
        </w:rPr>
        <w:t xml:space="preserve"> </w:t>
      </w:r>
      <w:r w:rsidRPr="00F93E17">
        <w:rPr>
          <w:rFonts w:cs="Arial"/>
          <w:noProof/>
        </w:rPr>
        <w:t>1/1000</w:t>
      </w:r>
    </w:p>
    <w:p w:rsidR="00F93E17" w:rsidRDefault="00F93E17" w:rsidP="00F93E17">
      <w:pPr>
        <w:autoSpaceDE w:val="0"/>
        <w:autoSpaceDN w:val="0"/>
        <w:adjustRightInd w:val="0"/>
        <w:jc w:val="left"/>
        <w:rPr>
          <w:rFonts w:cs="Arial"/>
          <w:noProof/>
        </w:rPr>
      </w:pPr>
    </w:p>
    <w:p w:rsidR="00F93E17" w:rsidRPr="00F93E17" w:rsidRDefault="00F93E17" w:rsidP="00F93E17">
      <w:pPr>
        <w:autoSpaceDE w:val="0"/>
        <w:autoSpaceDN w:val="0"/>
        <w:adjustRightInd w:val="0"/>
        <w:jc w:val="left"/>
        <w:rPr>
          <w:rFonts w:cs="Arial"/>
          <w:noProof/>
        </w:rPr>
      </w:pPr>
      <w:r w:rsidRPr="00F93E17">
        <w:rPr>
          <w:rFonts w:cs="Arial"/>
          <w:noProof/>
        </w:rPr>
        <w:t xml:space="preserve">System Organ Class Respiratory, thoracic and mediastinal disorders </w:t>
      </w:r>
    </w:p>
    <w:p w:rsidR="00F93E17" w:rsidRPr="003969B4" w:rsidRDefault="00F93E17" w:rsidP="00F93E17">
      <w:pPr>
        <w:autoSpaceDE w:val="0"/>
        <w:autoSpaceDN w:val="0"/>
        <w:adjustRightInd w:val="0"/>
        <w:jc w:val="left"/>
        <w:rPr>
          <w:rFonts w:cs="Arial"/>
          <w:noProof/>
        </w:rPr>
      </w:pPr>
      <w:r w:rsidRPr="00F93E17">
        <w:rPr>
          <w:rFonts w:cs="Arial"/>
          <w:noProof/>
        </w:rPr>
        <w:t>Rare: Allergic alveolitis</w:t>
      </w:r>
    </w:p>
    <w:p w:rsidR="003B09E3" w:rsidRDefault="003A72D8" w:rsidP="009F3479">
      <w:pPr>
        <w:pStyle w:val="PIHEADING1"/>
        <w:jc w:val="left"/>
      </w:pPr>
      <w:r>
        <w:t>DOSAGE AND ADMINISTRATION</w:t>
      </w:r>
    </w:p>
    <w:p w:rsidR="007F6783" w:rsidRDefault="007F6783" w:rsidP="009F3479">
      <w:pPr>
        <w:jc w:val="left"/>
      </w:pPr>
      <w:r w:rsidRPr="007F6783">
        <w:t xml:space="preserve">The recommended dosage of </w:t>
      </w:r>
      <w:r w:rsidR="00A01349">
        <w:t>ZYTIGA</w:t>
      </w:r>
      <w:r w:rsidRPr="007F6783">
        <w:t xml:space="preserve"> is 1 g (four 250 mg tablets) as a single daily dose that </w:t>
      </w:r>
      <w:r w:rsidRPr="00D22244">
        <w:rPr>
          <w:b/>
        </w:rPr>
        <w:t>must not be taken with food</w:t>
      </w:r>
      <w:r w:rsidRPr="007F6783">
        <w:t xml:space="preserve">.  </w:t>
      </w:r>
      <w:r w:rsidR="00A01349">
        <w:t>ZYTIGA</w:t>
      </w:r>
      <w:r w:rsidRPr="007F6783">
        <w:t xml:space="preserve"> should be taken at least two hours after eating and no food should be eaten for at least one hour after taking </w:t>
      </w:r>
      <w:r w:rsidR="00A01349">
        <w:t>ZYTIGA</w:t>
      </w:r>
      <w:r w:rsidRPr="007F6783">
        <w:t xml:space="preserve">. </w:t>
      </w:r>
      <w:r>
        <w:t xml:space="preserve"> </w:t>
      </w:r>
      <w:r w:rsidRPr="007F6783">
        <w:t>The tablets should be swallowed whole with water</w:t>
      </w:r>
      <w:r w:rsidR="002A7876">
        <w:t xml:space="preserve"> (see Pharmacokinetics – Absorption)</w:t>
      </w:r>
      <w:r>
        <w:t xml:space="preserve">.  </w:t>
      </w:r>
    </w:p>
    <w:p w:rsidR="007F6783" w:rsidRDefault="007F6783" w:rsidP="009F3479">
      <w:pPr>
        <w:jc w:val="left"/>
      </w:pPr>
    </w:p>
    <w:p w:rsidR="007B11A2" w:rsidRDefault="00A01349" w:rsidP="007B11A2">
      <w:pPr>
        <w:jc w:val="left"/>
      </w:pPr>
      <w:r>
        <w:t>ZYTIGA</w:t>
      </w:r>
      <w:r w:rsidR="007B11A2">
        <w:t xml:space="preserve"> is used with low-dose prednisone or prednisolone. The recommended dosage of prednisone or prednisolone is 10 mg daily.  </w:t>
      </w:r>
    </w:p>
    <w:p w:rsidR="007B11A2" w:rsidRDefault="007B11A2" w:rsidP="007B11A2">
      <w:pPr>
        <w:jc w:val="left"/>
      </w:pPr>
    </w:p>
    <w:p w:rsidR="007F6783" w:rsidRDefault="007B11A2" w:rsidP="007B11A2">
      <w:pPr>
        <w:jc w:val="left"/>
      </w:pPr>
      <w:r>
        <w:t xml:space="preserve">Serum transaminases and bilirubin should be measured prior to starting treatment with </w:t>
      </w:r>
      <w:r w:rsidR="00A01349">
        <w:t>ZYTIGA</w:t>
      </w:r>
      <w:r>
        <w:t>, every two weeks for the first three months of treatment and monthly thereafter.  Blood pressure, serum potassium and fluid retention should be monitored monthly</w:t>
      </w:r>
      <w:r w:rsidR="00900F5B">
        <w:t xml:space="preserve"> (see PRECAUTIONS)</w:t>
      </w:r>
      <w:r>
        <w:t xml:space="preserve">.  </w:t>
      </w:r>
    </w:p>
    <w:p w:rsidR="00F9686E" w:rsidRDefault="00F9686E" w:rsidP="007B11A2">
      <w:pPr>
        <w:jc w:val="left"/>
      </w:pPr>
    </w:p>
    <w:p w:rsidR="00F9686E" w:rsidRDefault="00F9686E" w:rsidP="007B11A2">
      <w:pPr>
        <w:jc w:val="left"/>
      </w:pPr>
      <w:r w:rsidRPr="00F9686E">
        <w:t>Patients started on ZYTIGA who were receiving a LHRH agonist should continue to receive a LHRH agonist.</w:t>
      </w:r>
    </w:p>
    <w:p w:rsidR="007F6783" w:rsidRDefault="007F6783" w:rsidP="009F3479">
      <w:pPr>
        <w:jc w:val="left"/>
      </w:pPr>
    </w:p>
    <w:p w:rsidR="00590BEF" w:rsidRPr="00590BEF" w:rsidRDefault="00590BEF" w:rsidP="00A95A72">
      <w:pPr>
        <w:spacing w:after="120"/>
        <w:jc w:val="left"/>
        <w:rPr>
          <w:u w:val="single"/>
        </w:rPr>
      </w:pPr>
      <w:r w:rsidRPr="00590BEF">
        <w:rPr>
          <w:u w:val="single"/>
        </w:rPr>
        <w:t>Hepatic impairment</w:t>
      </w:r>
    </w:p>
    <w:p w:rsidR="00130332" w:rsidRDefault="00C90CD5" w:rsidP="009F3479">
      <w:pPr>
        <w:jc w:val="left"/>
      </w:pPr>
      <w:r w:rsidRPr="00C90CD5">
        <w:t xml:space="preserve">No dosage adjustment is necessary for patients with pre-existing mild hepatic impairment. </w:t>
      </w:r>
      <w:r>
        <w:t xml:space="preserve"> </w:t>
      </w:r>
      <w:r w:rsidR="00A7138F" w:rsidRPr="00A7138F">
        <w:t>There are no data on the clinical safety and efficacy of multiple doses of abiraterone acetate when administered to patients with moderate or severe hepatic impairment (Child Pugh Class B or C). No dose adjustment can be predicted. ZYTIGA should be used with caution in patients with moderate hepatic impairment, only if the benefit clearly outweighs the possible risk</w:t>
      </w:r>
      <w:r w:rsidR="00A7138F">
        <w:t xml:space="preserve">.  </w:t>
      </w:r>
      <w:r w:rsidR="00A01349">
        <w:t>ZYTIGA</w:t>
      </w:r>
      <w:r w:rsidRPr="00C90CD5">
        <w:t xml:space="preserve"> should not be used in patients with pre-existing severe hepatic impairment</w:t>
      </w:r>
      <w:r w:rsidR="00A7138F">
        <w:t xml:space="preserve"> </w:t>
      </w:r>
      <w:r w:rsidR="00A7138F" w:rsidRPr="00A7138F">
        <w:t>(see PHARMACOKINETICS, CONTRAINDICATIONS and PRECAUTIONS)</w:t>
      </w:r>
      <w:r>
        <w:t xml:space="preserve">.  </w:t>
      </w:r>
    </w:p>
    <w:p w:rsidR="00D26B33" w:rsidRDefault="00D26B33" w:rsidP="009F3479">
      <w:pPr>
        <w:jc w:val="left"/>
      </w:pPr>
    </w:p>
    <w:p w:rsidR="00D26B33" w:rsidRDefault="00D26B33" w:rsidP="009F3479">
      <w:pPr>
        <w:jc w:val="left"/>
      </w:pPr>
      <w:r w:rsidRPr="00D26B33">
        <w:t xml:space="preserve">For patients who develop hepatotoxicity during treatment with </w:t>
      </w:r>
      <w:r w:rsidR="00A01349">
        <w:t>ZYTIGA</w:t>
      </w:r>
      <w:r w:rsidRPr="00D26B33">
        <w:t xml:space="preserve"> (alanine aminotransferase (ALT) </w:t>
      </w:r>
      <w:r w:rsidR="007B2A96" w:rsidRPr="007B2A96">
        <w:t xml:space="preserve">or aspartate aminotransferase (AST) </w:t>
      </w:r>
      <w:r w:rsidRPr="00D26B33">
        <w:t xml:space="preserve">increases above 5 times the upper limit of normal or bilirubin increases above 3 times the upper limit of normal) treatment should be withheld immediately until liver function tests normalize (see </w:t>
      </w:r>
      <w:r w:rsidR="00E91C28">
        <w:t>PRECAUTIONS</w:t>
      </w:r>
      <w:r w:rsidRPr="00D26B33">
        <w:t xml:space="preserve">). </w:t>
      </w:r>
      <w:r w:rsidR="00E91C28">
        <w:t xml:space="preserve"> </w:t>
      </w:r>
      <w:r w:rsidRPr="00D26B33">
        <w:t xml:space="preserve">Re-treatment following return of liver function tests to the patient’s baseline may be given at a reduced dose of 500 mg (two tablets) once daily. </w:t>
      </w:r>
      <w:r w:rsidR="00E91C28">
        <w:t xml:space="preserve"> </w:t>
      </w:r>
      <w:r w:rsidRPr="00D26B33">
        <w:t xml:space="preserve">For patients being re-treated, serum transaminases and bilirubin should be monitored at a minimum of every two weeks for three months and monthly thereafter.  If hepatotoxicity recurs at the reduced dose of 500 mg daily, discontinue treatment with </w:t>
      </w:r>
      <w:r w:rsidR="00A01349">
        <w:t>ZYTIGA</w:t>
      </w:r>
      <w:r w:rsidRPr="00D26B33">
        <w:t>.  Reduced doses should not be taken with food</w:t>
      </w:r>
      <w:r>
        <w:t xml:space="preserve">.  </w:t>
      </w:r>
    </w:p>
    <w:p w:rsidR="00D26B33" w:rsidRDefault="00D26B33" w:rsidP="009F3479">
      <w:pPr>
        <w:jc w:val="left"/>
      </w:pPr>
    </w:p>
    <w:p w:rsidR="00D26B33" w:rsidRDefault="00D26B33" w:rsidP="009F3479">
      <w:pPr>
        <w:jc w:val="left"/>
      </w:pPr>
      <w:r w:rsidRPr="00D26B33">
        <w:t>If patients develop severe hepatotoxicity (ALT</w:t>
      </w:r>
      <w:r w:rsidR="007B2A96" w:rsidRPr="007B2A96">
        <w:t xml:space="preserve"> or AST</w:t>
      </w:r>
      <w:r w:rsidRPr="00D26B33">
        <w:t xml:space="preserve"> 20 times the upper limit of normal) anytime while on therapy, </w:t>
      </w:r>
      <w:r w:rsidR="00A01349">
        <w:t>ZYTIGA</w:t>
      </w:r>
      <w:r w:rsidRPr="00D26B33">
        <w:t xml:space="preserve"> should be discontinued and patients should not be re</w:t>
      </w:r>
      <w:r w:rsidR="00F744C8">
        <w:t>-</w:t>
      </w:r>
      <w:r w:rsidRPr="00D26B33">
        <w:t xml:space="preserve">treated with </w:t>
      </w:r>
      <w:r w:rsidR="00A01349">
        <w:t>ZYTIGA</w:t>
      </w:r>
      <w:r w:rsidRPr="00D26B33">
        <w:t>.</w:t>
      </w:r>
      <w:r>
        <w:t xml:space="preserve">  </w:t>
      </w:r>
    </w:p>
    <w:p w:rsidR="007C4506" w:rsidRDefault="007C4506" w:rsidP="009F3479">
      <w:pPr>
        <w:jc w:val="left"/>
      </w:pPr>
    </w:p>
    <w:p w:rsidR="00590BEF" w:rsidRPr="00590BEF" w:rsidRDefault="00590BEF" w:rsidP="009F3479">
      <w:pPr>
        <w:jc w:val="left"/>
        <w:rPr>
          <w:u w:val="single"/>
        </w:rPr>
      </w:pPr>
      <w:r w:rsidRPr="00590BEF">
        <w:rPr>
          <w:u w:val="single"/>
        </w:rPr>
        <w:t>Renal impairment</w:t>
      </w:r>
    </w:p>
    <w:p w:rsidR="00590BEF" w:rsidRDefault="00590BEF" w:rsidP="009F3479">
      <w:pPr>
        <w:jc w:val="left"/>
      </w:pPr>
    </w:p>
    <w:p w:rsidR="00130332" w:rsidRDefault="007C4506" w:rsidP="009F3479">
      <w:pPr>
        <w:jc w:val="left"/>
      </w:pPr>
      <w:r w:rsidRPr="007C4506">
        <w:t>No dosage adjustment is necessary for patients with renal impairment</w:t>
      </w:r>
      <w:r w:rsidR="00C90CD5">
        <w:t xml:space="preserve">.  </w:t>
      </w:r>
    </w:p>
    <w:p w:rsidR="002F0EB2" w:rsidRDefault="002F0EB2" w:rsidP="009F3479">
      <w:pPr>
        <w:jc w:val="left"/>
      </w:pPr>
    </w:p>
    <w:p w:rsidR="003B09E3" w:rsidRDefault="003A72D8" w:rsidP="00FB70ED">
      <w:pPr>
        <w:pStyle w:val="PIHEADING1"/>
        <w:spacing w:before="0"/>
        <w:jc w:val="left"/>
      </w:pPr>
      <w:r>
        <w:t>OVERDOSAGE</w:t>
      </w:r>
    </w:p>
    <w:p w:rsidR="00974C57" w:rsidRDefault="00974C57" w:rsidP="00974C57">
      <w:pPr>
        <w:jc w:val="left"/>
      </w:pPr>
      <w:r>
        <w:t xml:space="preserve">There have been no reports of overdose of </w:t>
      </w:r>
      <w:r w:rsidR="00A01349">
        <w:t>ZYTIGA</w:t>
      </w:r>
      <w:r>
        <w:t xml:space="preserve"> during clinical studies.  </w:t>
      </w:r>
    </w:p>
    <w:p w:rsidR="00974C57" w:rsidRDefault="00974C57" w:rsidP="00974C57">
      <w:pPr>
        <w:jc w:val="left"/>
      </w:pPr>
    </w:p>
    <w:p w:rsidR="003B09E3" w:rsidRDefault="00974C57" w:rsidP="00974C57">
      <w:pPr>
        <w:jc w:val="left"/>
      </w:pPr>
      <w:r>
        <w:t xml:space="preserve">There is no specific antidote.  In the event of an overdose, administration of </w:t>
      </w:r>
      <w:r w:rsidR="00A01349">
        <w:t>ZYTIGA</w:t>
      </w:r>
      <w:r>
        <w:t xml:space="preserve"> should be stopped and general supportive measures undertaken, including monitoring for arrhythmias.  Liver function also should be assessed.  </w:t>
      </w:r>
    </w:p>
    <w:p w:rsidR="0079458B" w:rsidRDefault="0079458B" w:rsidP="00974C57">
      <w:pPr>
        <w:jc w:val="left"/>
      </w:pPr>
    </w:p>
    <w:p w:rsidR="0079458B" w:rsidRDefault="0079458B" w:rsidP="00974C57">
      <w:pPr>
        <w:jc w:val="left"/>
      </w:pPr>
      <w:r w:rsidRPr="0079458B">
        <w:t xml:space="preserve">Contact the Poisons Information Centre (telephone 131126) for advice on management of overdosage.  </w:t>
      </w:r>
    </w:p>
    <w:p w:rsidR="003B09E3" w:rsidRDefault="003A72D8" w:rsidP="009F3479">
      <w:pPr>
        <w:pStyle w:val="PIHEADING1"/>
        <w:jc w:val="left"/>
      </w:pPr>
      <w:r>
        <w:t>PRESENTATION AND STORAGE CONDITIONS</w:t>
      </w:r>
    </w:p>
    <w:p w:rsidR="008C07B6" w:rsidRPr="008C07B6" w:rsidRDefault="00A01349" w:rsidP="008C07B6">
      <w:pPr>
        <w:keepLines w:val="0"/>
        <w:autoSpaceDE w:val="0"/>
        <w:autoSpaceDN w:val="0"/>
        <w:adjustRightInd w:val="0"/>
        <w:jc w:val="left"/>
        <w:rPr>
          <w:rFonts w:cs="Arial"/>
          <w:szCs w:val="24"/>
          <w:lang w:val="en-US"/>
        </w:rPr>
      </w:pPr>
      <w:r>
        <w:rPr>
          <w:rFonts w:cs="Arial"/>
          <w:szCs w:val="24"/>
          <w:lang w:val="en-US"/>
        </w:rPr>
        <w:t>ZYTIGA</w:t>
      </w:r>
      <w:r w:rsidR="008C07B6" w:rsidRPr="00B9306F">
        <w:rPr>
          <w:rFonts w:cs="Arial"/>
          <w:szCs w:val="24"/>
          <w:lang w:val="en-US"/>
        </w:rPr>
        <w:t xml:space="preserve"> </w:t>
      </w:r>
      <w:r w:rsidR="008C07B6">
        <w:rPr>
          <w:rFonts w:cs="Arial"/>
          <w:szCs w:val="24"/>
          <w:lang w:val="en-US"/>
        </w:rPr>
        <w:t>tablets are w</w:t>
      </w:r>
      <w:r w:rsidR="008C07B6" w:rsidRPr="00B37438">
        <w:rPr>
          <w:rFonts w:cs="Arial"/>
          <w:szCs w:val="24"/>
          <w:lang w:val="en-US"/>
        </w:rPr>
        <w:t xml:space="preserve">hite to off-white, oval tablets, debossed with </w:t>
      </w:r>
      <w:r w:rsidR="008C07B6">
        <w:rPr>
          <w:rFonts w:cs="Arial"/>
          <w:szCs w:val="24"/>
          <w:lang w:val="en-US"/>
        </w:rPr>
        <w:t>“</w:t>
      </w:r>
      <w:r w:rsidR="008C07B6" w:rsidRPr="00B37438">
        <w:rPr>
          <w:rFonts w:cs="Arial"/>
          <w:szCs w:val="24"/>
          <w:lang w:val="en-US"/>
        </w:rPr>
        <w:t>AA250</w:t>
      </w:r>
      <w:r w:rsidR="008C07B6">
        <w:rPr>
          <w:rFonts w:cs="Arial"/>
          <w:szCs w:val="24"/>
          <w:lang w:val="en-US"/>
        </w:rPr>
        <w:t>”</w:t>
      </w:r>
      <w:r w:rsidR="008C07B6" w:rsidRPr="00B37438">
        <w:rPr>
          <w:rFonts w:cs="Arial"/>
          <w:szCs w:val="24"/>
          <w:lang w:val="en-US"/>
        </w:rPr>
        <w:t xml:space="preserve"> on one side.</w:t>
      </w:r>
      <w:r w:rsidR="008C07B6">
        <w:rPr>
          <w:rFonts w:cs="Arial"/>
          <w:szCs w:val="24"/>
          <w:lang w:val="en-US"/>
        </w:rPr>
        <w:t xml:space="preserve">  </w:t>
      </w:r>
    </w:p>
    <w:p w:rsidR="008C07B6" w:rsidRDefault="008C07B6" w:rsidP="000134C9">
      <w:pPr>
        <w:jc w:val="left"/>
        <w:rPr>
          <w:noProof/>
          <w:szCs w:val="22"/>
        </w:rPr>
      </w:pPr>
    </w:p>
    <w:p w:rsidR="002F14C0" w:rsidRDefault="00A01349" w:rsidP="000134C9">
      <w:pPr>
        <w:jc w:val="left"/>
        <w:rPr>
          <w:noProof/>
          <w:szCs w:val="22"/>
        </w:rPr>
      </w:pPr>
      <w:r>
        <w:rPr>
          <w:noProof/>
          <w:szCs w:val="22"/>
        </w:rPr>
        <w:t>ZYTIGA</w:t>
      </w:r>
      <w:r w:rsidR="008C07B6">
        <w:rPr>
          <w:noProof/>
          <w:szCs w:val="22"/>
        </w:rPr>
        <w:t xml:space="preserve"> tablets are provided </w:t>
      </w:r>
      <w:r w:rsidR="002F14C0" w:rsidRPr="002F14C0">
        <w:rPr>
          <w:noProof/>
          <w:szCs w:val="22"/>
        </w:rPr>
        <w:t>in high density polyethylene round white bottles fitted with a polypropylene cap</w:t>
      </w:r>
      <w:r w:rsidR="008C07B6">
        <w:rPr>
          <w:noProof/>
          <w:szCs w:val="22"/>
        </w:rPr>
        <w:t xml:space="preserve">. </w:t>
      </w:r>
      <w:r w:rsidR="002F14C0">
        <w:rPr>
          <w:noProof/>
          <w:szCs w:val="22"/>
        </w:rPr>
        <w:t xml:space="preserve"> </w:t>
      </w:r>
      <w:r w:rsidR="008C07B6">
        <w:rPr>
          <w:noProof/>
          <w:szCs w:val="22"/>
        </w:rPr>
        <w:t>A bottle contains</w:t>
      </w:r>
      <w:r w:rsidR="002F14C0">
        <w:rPr>
          <w:noProof/>
          <w:szCs w:val="22"/>
        </w:rPr>
        <w:t xml:space="preserve"> </w:t>
      </w:r>
      <w:r w:rsidR="002F14C0" w:rsidRPr="002F14C0">
        <w:rPr>
          <w:noProof/>
          <w:szCs w:val="22"/>
        </w:rPr>
        <w:t>120 tablets</w:t>
      </w:r>
      <w:r w:rsidR="002F14C0">
        <w:rPr>
          <w:noProof/>
          <w:szCs w:val="22"/>
        </w:rPr>
        <w:t xml:space="preserve">.  </w:t>
      </w:r>
      <w:r w:rsidR="002F14C0" w:rsidRPr="002F14C0">
        <w:rPr>
          <w:noProof/>
          <w:szCs w:val="22"/>
        </w:rPr>
        <w:t xml:space="preserve">Store below </w:t>
      </w:r>
      <w:r w:rsidR="004655CD">
        <w:rPr>
          <w:noProof/>
          <w:szCs w:val="22"/>
        </w:rPr>
        <w:t>25</w:t>
      </w:r>
      <w:r w:rsidR="002F14C0" w:rsidRPr="002F14C0">
        <w:rPr>
          <w:noProof/>
          <w:szCs w:val="22"/>
        </w:rPr>
        <w:t>°C.</w:t>
      </w:r>
      <w:r w:rsidR="002F14C0">
        <w:rPr>
          <w:noProof/>
          <w:szCs w:val="22"/>
        </w:rPr>
        <w:t xml:space="preserve">  </w:t>
      </w:r>
    </w:p>
    <w:p w:rsidR="003B09E3" w:rsidRDefault="003A72D8" w:rsidP="009F3479">
      <w:pPr>
        <w:pStyle w:val="PIHEADING1"/>
        <w:jc w:val="left"/>
      </w:pPr>
      <w:r>
        <w:t>NAME and ADDRESS OF Sponsor</w:t>
      </w:r>
    </w:p>
    <w:p w:rsidR="003B09E3" w:rsidRPr="007F4BCD" w:rsidRDefault="00B84836" w:rsidP="009F3479">
      <w:pPr>
        <w:jc w:val="left"/>
        <w:rPr>
          <w:lang w:val="en-US"/>
        </w:rPr>
      </w:pPr>
      <w:r w:rsidRPr="00B84836">
        <w:rPr>
          <w:lang w:val="en-US"/>
        </w:rPr>
        <w:t xml:space="preserve">JANSSEN-CILAG Pty Ltd </w:t>
      </w:r>
    </w:p>
    <w:p w:rsidR="003B09E3" w:rsidRDefault="003A72D8" w:rsidP="009F3479">
      <w:pPr>
        <w:jc w:val="left"/>
      </w:pPr>
      <w:r>
        <w:t xml:space="preserve">1-5 Khartoum Rd </w:t>
      </w:r>
      <w:r w:rsidR="002F14C0">
        <w:t>Macquarie Park</w:t>
      </w:r>
      <w:r>
        <w:t xml:space="preserve"> NSW 2113 Australia</w:t>
      </w:r>
    </w:p>
    <w:p w:rsidR="00261AB5" w:rsidRPr="003679F1" w:rsidRDefault="003A72D8" w:rsidP="003679F1">
      <w:pPr>
        <w:pStyle w:val="PIEXPLAIN"/>
        <w:keepLines/>
        <w:tabs>
          <w:tab w:val="clear" w:pos="-720"/>
        </w:tabs>
        <w:suppressAutoHyphens w:val="0"/>
        <w:spacing w:before="0" w:after="0"/>
        <w:jc w:val="left"/>
        <w:rPr>
          <w:spacing w:val="0"/>
        </w:rPr>
      </w:pPr>
      <w:r>
        <w:rPr>
          <w:spacing w:val="0"/>
        </w:rPr>
        <w:t>NZ Office: Auckland New Zealand</w:t>
      </w:r>
    </w:p>
    <w:p w:rsidR="003B09E3" w:rsidRDefault="003A72D8" w:rsidP="003679F1">
      <w:pPr>
        <w:pStyle w:val="PIHEADING1"/>
        <w:jc w:val="left"/>
      </w:pPr>
      <w:r>
        <w:lastRenderedPageBreak/>
        <w:t>poison schedule of the drug</w:t>
      </w:r>
    </w:p>
    <w:p w:rsidR="003B09E3" w:rsidRDefault="003A72D8" w:rsidP="009F3479">
      <w:pPr>
        <w:pStyle w:val="PIEXPLAIN"/>
        <w:keepLines/>
        <w:jc w:val="left"/>
      </w:pPr>
      <w:r>
        <w:t>Prescription Only Medicine</w:t>
      </w:r>
    </w:p>
    <w:p w:rsidR="003679F1" w:rsidRPr="007F3894" w:rsidRDefault="003A72D8" w:rsidP="003679F1">
      <w:pPr>
        <w:pStyle w:val="PIEXPLAIN"/>
        <w:keepLines/>
        <w:spacing w:before="360" w:after="120"/>
        <w:jc w:val="left"/>
        <w:rPr>
          <w:caps/>
          <w:sz w:val="28"/>
          <w:szCs w:val="28"/>
        </w:rPr>
      </w:pPr>
      <w:r w:rsidRPr="007F3894">
        <w:rPr>
          <w:b/>
          <w:caps/>
          <w:sz w:val="28"/>
          <w:szCs w:val="28"/>
        </w:rPr>
        <w:t>D</w:t>
      </w:r>
      <w:r w:rsidR="003679F1" w:rsidRPr="007F3894">
        <w:rPr>
          <w:b/>
          <w:caps/>
          <w:sz w:val="28"/>
          <w:szCs w:val="28"/>
        </w:rPr>
        <w:t xml:space="preserve">ATE OF </w:t>
      </w:r>
      <w:r w:rsidR="007F3894" w:rsidRPr="007F3894">
        <w:rPr>
          <w:b/>
          <w:caps/>
          <w:sz w:val="28"/>
          <w:szCs w:val="28"/>
        </w:rPr>
        <w:t>first inclusion in the australian register of therapeutic goods (the artg)</w:t>
      </w:r>
    </w:p>
    <w:p w:rsidR="003B09E3" w:rsidRDefault="001F3F9C" w:rsidP="009F3479">
      <w:pPr>
        <w:pStyle w:val="PIEXPLAIN"/>
        <w:keepLines/>
        <w:jc w:val="left"/>
      </w:pPr>
      <w:r>
        <w:t>1 March 2012</w:t>
      </w:r>
    </w:p>
    <w:p w:rsidR="003B09E3" w:rsidRDefault="003B09E3" w:rsidP="009F3479">
      <w:pPr>
        <w:pStyle w:val="PIEXPLAIN"/>
        <w:keepLines/>
        <w:jc w:val="left"/>
      </w:pPr>
    </w:p>
    <w:p w:rsidR="006E18F8" w:rsidRDefault="006E18F8" w:rsidP="006E18F8">
      <w:pPr>
        <w:pStyle w:val="Heading1"/>
      </w:pPr>
      <w:r>
        <w:t>DATE OF MOST RECENT AMENDMENT</w:t>
      </w:r>
    </w:p>
    <w:p w:rsidR="006E18F8" w:rsidRDefault="006E18F8" w:rsidP="006E18F8"/>
    <w:p w:rsidR="006E18F8" w:rsidRPr="006E18F8" w:rsidRDefault="00F65CED" w:rsidP="006E18F8">
      <w:r>
        <w:t>3 December 2013</w:t>
      </w:r>
    </w:p>
    <w:p w:rsidR="003B09E3" w:rsidRDefault="00C73F68" w:rsidP="009F3479">
      <w:pPr>
        <w:pStyle w:val="PIEXPLAIN"/>
        <w:keepLines/>
        <w:jc w:val="left"/>
        <w:rPr>
          <w:sz w:val="16"/>
        </w:rPr>
      </w:pPr>
      <w:r>
        <w:rPr>
          <w:rFonts w:cs="Arial"/>
          <w:sz w:val="24"/>
          <w:szCs w:val="24"/>
          <w:vertAlign w:val="superscript"/>
        </w:rPr>
        <w:t xml:space="preserve">® </w:t>
      </w:r>
      <w:r w:rsidR="00A01349" w:rsidRPr="00A01349">
        <w:rPr>
          <w:sz w:val="16"/>
        </w:rPr>
        <w:t>ZYTIGA</w:t>
      </w:r>
      <w:r w:rsidR="003556C2" w:rsidRPr="00A01349">
        <w:rPr>
          <w:sz w:val="16"/>
        </w:rPr>
        <w:t xml:space="preserve"> </w:t>
      </w:r>
      <w:r w:rsidR="003A72D8" w:rsidRPr="00A01349">
        <w:rPr>
          <w:sz w:val="16"/>
        </w:rPr>
        <w:t xml:space="preserve">is a </w:t>
      </w:r>
      <w:r>
        <w:rPr>
          <w:sz w:val="16"/>
        </w:rPr>
        <w:t xml:space="preserve">registered </w:t>
      </w:r>
      <w:r w:rsidR="003A72D8" w:rsidRPr="00A01349">
        <w:rPr>
          <w:sz w:val="16"/>
        </w:rPr>
        <w:t xml:space="preserve">trademark of </w:t>
      </w:r>
      <w:r w:rsidR="000134C9" w:rsidRPr="00A01349">
        <w:rPr>
          <w:sz w:val="16"/>
        </w:rPr>
        <w:t>JANSSEN</w:t>
      </w:r>
      <w:r w:rsidR="006D78D5">
        <w:rPr>
          <w:sz w:val="16"/>
        </w:rPr>
        <w:t>-CILAG</w:t>
      </w:r>
    </w:p>
    <w:sectPr w:rsidR="003B09E3" w:rsidSect="00C73F68">
      <w:headerReference w:type="default" r:id="rId17"/>
      <w:footerReference w:type="default" r:id="rId18"/>
      <w:headerReference w:type="first" r:id="rId19"/>
      <w:type w:val="continuous"/>
      <w:pgSz w:w="11909" w:h="16834" w:code="9"/>
      <w:pgMar w:top="1134" w:right="1418" w:bottom="851" w:left="1134" w:header="567" w:footer="505"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E3" w:rsidRDefault="00A935E3">
      <w:r>
        <w:separator/>
      </w:r>
    </w:p>
  </w:endnote>
  <w:endnote w:type="continuationSeparator" w:id="0">
    <w:p w:rsidR="00A935E3" w:rsidRDefault="00A9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y">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E17" w:rsidRDefault="00F93E17" w:rsidP="00CE40B7">
    <w:pPr>
      <w:pBdr>
        <w:top w:val="single" w:sz="6" w:space="1" w:color="auto"/>
      </w:pBdr>
      <w:tabs>
        <w:tab w:val="center" w:pos="4536"/>
        <w:tab w:val="right" w:pos="9072"/>
      </w:tabs>
      <w:suppressAutoHyphens/>
      <w:spacing w:before="240"/>
      <w:rPr>
        <w:spacing w:val="-2"/>
        <w:sz w:val="16"/>
      </w:rPr>
    </w:pPr>
    <w:r>
      <w:rPr>
        <w:spacing w:val="-2"/>
        <w:sz w:val="16"/>
      </w:rPr>
      <w:t xml:space="preserve">(CCDS </w:t>
    </w:r>
    <w:r w:rsidR="00F65CED">
      <w:rPr>
        <w:spacing w:val="-2"/>
        <w:sz w:val="16"/>
      </w:rPr>
      <w:t>1307</w:t>
    </w:r>
    <w:r>
      <w:rPr>
        <w:spacing w:val="-2"/>
        <w:sz w:val="16"/>
      </w:rPr>
      <w:t>).</w:t>
    </w:r>
    <w:r>
      <w:rPr>
        <w:spacing w:val="-2"/>
        <w:sz w:val="16"/>
      </w:rPr>
      <w:tab/>
    </w:r>
    <w:r>
      <w:rPr>
        <w:sz w:val="16"/>
      </w:rPr>
      <w:fldChar w:fldCharType="begin"/>
    </w:r>
    <w:r>
      <w:rPr>
        <w:sz w:val="16"/>
      </w:rPr>
      <w:instrText xml:space="preserve"> PAGE </w:instrText>
    </w:r>
    <w:r>
      <w:rPr>
        <w:sz w:val="16"/>
      </w:rPr>
      <w:fldChar w:fldCharType="separate"/>
    </w:r>
    <w:r w:rsidR="00610263">
      <w:rPr>
        <w:noProof/>
        <w:sz w:val="16"/>
      </w:rPr>
      <w:t>2</w:t>
    </w:r>
    <w:r>
      <w:rPr>
        <w:sz w:val="16"/>
      </w:rPr>
      <w:fldChar w:fldCharType="end"/>
    </w:r>
    <w:r>
      <w:rPr>
        <w:spacing w:val="-2"/>
        <w:sz w:val="16"/>
      </w:rPr>
      <w:tab/>
      <w:t>ZYTIGA abiraterone (131</w:t>
    </w:r>
    <w:r w:rsidR="00F65CED">
      <w:rPr>
        <w:spacing w:val="-2"/>
        <w:sz w:val="16"/>
      </w:rPr>
      <w:t>203</w:t>
    </w:r>
    <w:r>
      <w:rPr>
        <w:spacing w:val="-2"/>
        <w:sz w:val="16"/>
      </w:rPr>
      <w:t xml:space="preserve">) </w:t>
    </w:r>
    <w:r w:rsidR="00F65CED">
      <w:rPr>
        <w:spacing w:val="-2"/>
        <w:sz w:val="16"/>
      </w:rPr>
      <w:t>A</w:t>
    </w:r>
    <w:r>
      <w:rPr>
        <w:spacing w:val="-2"/>
        <w:sz w:val="16"/>
      </w:rPr>
      <w:t>PI doc</w:t>
    </w:r>
  </w:p>
  <w:p w:rsidR="00F93E17" w:rsidRDefault="00F93E17">
    <w:pPr>
      <w:pStyle w:val="Heading6"/>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E3" w:rsidRDefault="00A935E3">
      <w:r>
        <w:separator/>
      </w:r>
    </w:p>
  </w:footnote>
  <w:footnote w:type="continuationSeparator" w:id="0">
    <w:p w:rsidR="00A935E3" w:rsidRDefault="00A93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E17" w:rsidRDefault="00F93E17" w:rsidP="00D5509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4C" w:rsidRPr="00D7454C" w:rsidRDefault="00D7454C" w:rsidP="00D7454C">
    <w:pPr>
      <w:pBdr>
        <w:top w:val="single" w:sz="4" w:space="1" w:color="auto"/>
        <w:left w:val="single" w:sz="4" w:space="0" w:color="auto"/>
        <w:bottom w:val="single" w:sz="4" w:space="1" w:color="auto"/>
        <w:right w:val="single" w:sz="4" w:space="4" w:color="auto"/>
      </w:pBdr>
      <w:shd w:val="clear" w:color="auto" w:fill="E4F2E0"/>
      <w:spacing w:before="40" w:after="40"/>
      <w:jc w:val="left"/>
      <w:rPr>
        <w:rFonts w:ascii="Cambria" w:hAnsi="Cambria"/>
        <w:bCs/>
        <w:sz w:val="20"/>
      </w:rPr>
    </w:pPr>
    <w:r w:rsidRPr="00D7454C">
      <w:rPr>
        <w:rFonts w:ascii="Cambria" w:hAnsi="Cambria"/>
        <w:b/>
        <w:sz w:val="20"/>
      </w:rPr>
      <w:t>Attachment 1: Product information for AusPAR Zytiga Abiraterone acetate Janssen-Cilag Pty Ltd PM-2012-02706-3-4 Final 22 January 2014. This Product Information was approved at the time this AusPAR was published.</w:t>
    </w:r>
  </w:p>
  <w:p w:rsidR="00D7454C" w:rsidRDefault="00D7454C" w:rsidP="00D7454C">
    <w:pPr>
      <w:pStyle w:val="Header"/>
      <w:jc w:val="left"/>
    </w:pPr>
  </w:p>
  <w:p w:rsidR="00F93E17" w:rsidRDefault="00610263" w:rsidP="004C25E6">
    <w:pPr>
      <w:pStyle w:val="Header"/>
      <w:jc w:val="right"/>
    </w:pPr>
    <w:r>
      <w:rPr>
        <w:noProof/>
        <w:lang w:eastAsia="en-AU"/>
      </w:rPr>
      <w:drawing>
        <wp:inline distT="0" distB="0" distL="0" distR="0">
          <wp:extent cx="1828800" cy="819150"/>
          <wp:effectExtent l="0" t="0" r="0" b="0"/>
          <wp:docPr id="8" name="Picture 8"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anssen_Cons_RGB"/>
                  <pic:cNvPicPr>
                    <a:picLocks noChangeAspect="1" noChangeArrowheads="1"/>
                  </pic:cNvPicPr>
                </pic:nvPicPr>
                <pic:blipFill>
                  <a:blip r:embed="rId1">
                    <a:extLst>
                      <a:ext uri="{28A0092B-C50C-407E-A947-70E740481C1C}">
                        <a14:useLocalDpi xmlns:a14="http://schemas.microsoft.com/office/drawing/2010/main" val="0"/>
                      </a:ext>
                    </a:extLst>
                  </a:blip>
                  <a:srcRect t="23622" b="31496"/>
                  <a:stretch>
                    <a:fillRect/>
                  </a:stretch>
                </pic:blipFill>
                <pic:spPr bwMode="auto">
                  <a:xfrm>
                    <a:off x="0" y="0"/>
                    <a:ext cx="1828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0C64"/>
    <w:multiLevelType w:val="hybridMultilevel"/>
    <w:tmpl w:val="1750D04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FB7B82"/>
    <w:multiLevelType w:val="multilevel"/>
    <w:tmpl w:val="40D0DB70"/>
    <w:lvl w:ilvl="0">
      <w:start w:val="1"/>
      <w:numFmt w:val="upperLetter"/>
      <w:lvlText w:val="%1."/>
      <w:lvlJc w:val="left"/>
      <w:pPr>
        <w:tabs>
          <w:tab w:val="num" w:pos="1210"/>
        </w:tabs>
        <w:ind w:left="1210" w:hanging="360"/>
      </w:pPr>
    </w:lvl>
    <w:lvl w:ilvl="1">
      <w:start w:val="1"/>
      <w:numFmt w:val="decimal"/>
      <w:lvlText w:val="%2."/>
      <w:lvlJc w:val="left"/>
      <w:pPr>
        <w:tabs>
          <w:tab w:val="num" w:pos="1570"/>
        </w:tabs>
        <w:ind w:left="1570" w:hanging="360"/>
      </w:pPr>
    </w:lvl>
    <w:lvl w:ilvl="2">
      <w:start w:val="1"/>
      <w:numFmt w:val="lowerLetter"/>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23BB721A"/>
    <w:multiLevelType w:val="hybridMultilevel"/>
    <w:tmpl w:val="931AD6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131077" w:nlCheck="1" w:checkStyle="1"/>
  <w:activeWritingStyle w:appName="MSWord" w:lang="en-US" w:vendorID="64" w:dllVersion="131077" w:nlCheck="1" w:checkStyle="1"/>
  <w:activeWritingStyle w:appName="MSWord" w:lang="en-GB" w:vendorID="64" w:dllVersion="131077" w:nlCheck="1" w:checkStyle="1"/>
  <w:activeWritingStyle w:appName="MSWord" w:lang="en-CA"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fr-BE" w:vendorID="64" w:dllVersion="131078" w:nlCheck="1" w:checkStyle="1"/>
  <w:activeWritingStyle w:appName="MSWord" w:lang="en-GB" w:vendorID="64" w:dllVersion="131078" w:nlCheck="1" w:checkStyle="1"/>
  <w:defaultTabStop w:val="720"/>
  <w:drawingGridHorizontalSpacing w:val="110"/>
  <w:drawingGridVerticalSpacing w:val="181"/>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2D8"/>
    <w:rsid w:val="000134C9"/>
    <w:rsid w:val="00013660"/>
    <w:rsid w:val="000215C8"/>
    <w:rsid w:val="0002190F"/>
    <w:rsid w:val="00026B96"/>
    <w:rsid w:val="00026F63"/>
    <w:rsid w:val="00031937"/>
    <w:rsid w:val="00034684"/>
    <w:rsid w:val="00041DB3"/>
    <w:rsid w:val="00044396"/>
    <w:rsid w:val="0004587B"/>
    <w:rsid w:val="00053B0F"/>
    <w:rsid w:val="00054D31"/>
    <w:rsid w:val="00054DAA"/>
    <w:rsid w:val="00070F96"/>
    <w:rsid w:val="000778B1"/>
    <w:rsid w:val="00077CB9"/>
    <w:rsid w:val="00086A53"/>
    <w:rsid w:val="000875E9"/>
    <w:rsid w:val="00094A8E"/>
    <w:rsid w:val="000A012D"/>
    <w:rsid w:val="000A7722"/>
    <w:rsid w:val="000B0C0A"/>
    <w:rsid w:val="000B30AE"/>
    <w:rsid w:val="000B3F04"/>
    <w:rsid w:val="000C5EC8"/>
    <w:rsid w:val="000D39D1"/>
    <w:rsid w:val="000E072C"/>
    <w:rsid w:val="000E45C5"/>
    <w:rsid w:val="000F1FC9"/>
    <w:rsid w:val="001131B9"/>
    <w:rsid w:val="00116301"/>
    <w:rsid w:val="00130332"/>
    <w:rsid w:val="00140EFF"/>
    <w:rsid w:val="00147948"/>
    <w:rsid w:val="00151917"/>
    <w:rsid w:val="0015474F"/>
    <w:rsid w:val="00155E93"/>
    <w:rsid w:val="00161C16"/>
    <w:rsid w:val="00177C09"/>
    <w:rsid w:val="00190E2D"/>
    <w:rsid w:val="001918D7"/>
    <w:rsid w:val="00191BD5"/>
    <w:rsid w:val="001946B8"/>
    <w:rsid w:val="0019582C"/>
    <w:rsid w:val="0019647A"/>
    <w:rsid w:val="001A0865"/>
    <w:rsid w:val="001A311E"/>
    <w:rsid w:val="001A4B3F"/>
    <w:rsid w:val="001C0850"/>
    <w:rsid w:val="001C35BA"/>
    <w:rsid w:val="001C74D9"/>
    <w:rsid w:val="001C7AA4"/>
    <w:rsid w:val="001D2F43"/>
    <w:rsid w:val="001D3632"/>
    <w:rsid w:val="001D74F2"/>
    <w:rsid w:val="001D7C8E"/>
    <w:rsid w:val="001E00F3"/>
    <w:rsid w:val="001E52C3"/>
    <w:rsid w:val="001F28E0"/>
    <w:rsid w:val="001F3F9C"/>
    <w:rsid w:val="001F4E56"/>
    <w:rsid w:val="001F5359"/>
    <w:rsid w:val="00200A60"/>
    <w:rsid w:val="002032B5"/>
    <w:rsid w:val="002035C6"/>
    <w:rsid w:val="002048A4"/>
    <w:rsid w:val="00205997"/>
    <w:rsid w:val="002078DB"/>
    <w:rsid w:val="002171F1"/>
    <w:rsid w:val="002254A4"/>
    <w:rsid w:val="00233626"/>
    <w:rsid w:val="00233E43"/>
    <w:rsid w:val="00246694"/>
    <w:rsid w:val="00247324"/>
    <w:rsid w:val="00250F5B"/>
    <w:rsid w:val="00252494"/>
    <w:rsid w:val="00253C0A"/>
    <w:rsid w:val="00254BC6"/>
    <w:rsid w:val="00255313"/>
    <w:rsid w:val="002607CA"/>
    <w:rsid w:val="00261AB5"/>
    <w:rsid w:val="00262EC8"/>
    <w:rsid w:val="00267BAF"/>
    <w:rsid w:val="00276081"/>
    <w:rsid w:val="0028724C"/>
    <w:rsid w:val="00292DC2"/>
    <w:rsid w:val="0029336B"/>
    <w:rsid w:val="002A7876"/>
    <w:rsid w:val="002B7648"/>
    <w:rsid w:val="002B7AF4"/>
    <w:rsid w:val="002C78A3"/>
    <w:rsid w:val="002D130F"/>
    <w:rsid w:val="002D3829"/>
    <w:rsid w:val="002D562F"/>
    <w:rsid w:val="002D608D"/>
    <w:rsid w:val="002D7194"/>
    <w:rsid w:val="002E20E9"/>
    <w:rsid w:val="002E73FC"/>
    <w:rsid w:val="002F0EB2"/>
    <w:rsid w:val="002F14C0"/>
    <w:rsid w:val="002F3D37"/>
    <w:rsid w:val="002F7D28"/>
    <w:rsid w:val="00302342"/>
    <w:rsid w:val="00303BF4"/>
    <w:rsid w:val="00303F05"/>
    <w:rsid w:val="00304C5A"/>
    <w:rsid w:val="00305B7A"/>
    <w:rsid w:val="00311444"/>
    <w:rsid w:val="003300AB"/>
    <w:rsid w:val="003320C7"/>
    <w:rsid w:val="0033331D"/>
    <w:rsid w:val="00336862"/>
    <w:rsid w:val="003406B3"/>
    <w:rsid w:val="00340B40"/>
    <w:rsid w:val="00340C05"/>
    <w:rsid w:val="00341316"/>
    <w:rsid w:val="00347620"/>
    <w:rsid w:val="003512DF"/>
    <w:rsid w:val="003556C2"/>
    <w:rsid w:val="00356417"/>
    <w:rsid w:val="0036325A"/>
    <w:rsid w:val="0036398F"/>
    <w:rsid w:val="003679F1"/>
    <w:rsid w:val="00371C1F"/>
    <w:rsid w:val="00374E60"/>
    <w:rsid w:val="0039022C"/>
    <w:rsid w:val="003903C4"/>
    <w:rsid w:val="00392CF1"/>
    <w:rsid w:val="003969B4"/>
    <w:rsid w:val="003A211C"/>
    <w:rsid w:val="003A225C"/>
    <w:rsid w:val="003A72D8"/>
    <w:rsid w:val="003A7937"/>
    <w:rsid w:val="003B09E3"/>
    <w:rsid w:val="003B19B7"/>
    <w:rsid w:val="003B6521"/>
    <w:rsid w:val="003D1403"/>
    <w:rsid w:val="003D58DA"/>
    <w:rsid w:val="003D6727"/>
    <w:rsid w:val="003F20E1"/>
    <w:rsid w:val="003F7385"/>
    <w:rsid w:val="00400BAB"/>
    <w:rsid w:val="004026A4"/>
    <w:rsid w:val="00405520"/>
    <w:rsid w:val="0040674B"/>
    <w:rsid w:val="0041047A"/>
    <w:rsid w:val="00410797"/>
    <w:rsid w:val="00411549"/>
    <w:rsid w:val="00414654"/>
    <w:rsid w:val="00416C01"/>
    <w:rsid w:val="00416CD5"/>
    <w:rsid w:val="00426AE6"/>
    <w:rsid w:val="004276B2"/>
    <w:rsid w:val="00431BB6"/>
    <w:rsid w:val="00432724"/>
    <w:rsid w:val="004337A7"/>
    <w:rsid w:val="00435A2C"/>
    <w:rsid w:val="00454ADD"/>
    <w:rsid w:val="00462815"/>
    <w:rsid w:val="004655CD"/>
    <w:rsid w:val="00465EC5"/>
    <w:rsid w:val="00470D3F"/>
    <w:rsid w:val="004710DA"/>
    <w:rsid w:val="00480E67"/>
    <w:rsid w:val="00480F07"/>
    <w:rsid w:val="004810F0"/>
    <w:rsid w:val="004818E2"/>
    <w:rsid w:val="00482C75"/>
    <w:rsid w:val="00486C4F"/>
    <w:rsid w:val="004877C6"/>
    <w:rsid w:val="004879A9"/>
    <w:rsid w:val="00493B8D"/>
    <w:rsid w:val="0049447A"/>
    <w:rsid w:val="0049559C"/>
    <w:rsid w:val="004A0BED"/>
    <w:rsid w:val="004A2B35"/>
    <w:rsid w:val="004A3E7F"/>
    <w:rsid w:val="004B060D"/>
    <w:rsid w:val="004B3C72"/>
    <w:rsid w:val="004C12B2"/>
    <w:rsid w:val="004C25E6"/>
    <w:rsid w:val="004C38F7"/>
    <w:rsid w:val="004C5DC6"/>
    <w:rsid w:val="004C77FD"/>
    <w:rsid w:val="004D61A9"/>
    <w:rsid w:val="004E3A42"/>
    <w:rsid w:val="004F37B9"/>
    <w:rsid w:val="00501187"/>
    <w:rsid w:val="00504E19"/>
    <w:rsid w:val="00505167"/>
    <w:rsid w:val="00510174"/>
    <w:rsid w:val="005130FC"/>
    <w:rsid w:val="00515717"/>
    <w:rsid w:val="0053101C"/>
    <w:rsid w:val="0053355C"/>
    <w:rsid w:val="005404A3"/>
    <w:rsid w:val="00544C46"/>
    <w:rsid w:val="00550B32"/>
    <w:rsid w:val="00561F4F"/>
    <w:rsid w:val="00567B45"/>
    <w:rsid w:val="00577AB6"/>
    <w:rsid w:val="00582159"/>
    <w:rsid w:val="00587B18"/>
    <w:rsid w:val="00590BEF"/>
    <w:rsid w:val="005949C7"/>
    <w:rsid w:val="00594C8D"/>
    <w:rsid w:val="005A2BFE"/>
    <w:rsid w:val="005A62E5"/>
    <w:rsid w:val="005A7D1C"/>
    <w:rsid w:val="005B40C9"/>
    <w:rsid w:val="005B4D77"/>
    <w:rsid w:val="005C26C2"/>
    <w:rsid w:val="005D4E2E"/>
    <w:rsid w:val="005D5CDC"/>
    <w:rsid w:val="005E264B"/>
    <w:rsid w:val="005E68D5"/>
    <w:rsid w:val="005E6C88"/>
    <w:rsid w:val="005F04A5"/>
    <w:rsid w:val="005F2794"/>
    <w:rsid w:val="005F6077"/>
    <w:rsid w:val="00607DF0"/>
    <w:rsid w:val="00610263"/>
    <w:rsid w:val="00610FBC"/>
    <w:rsid w:val="00611D8D"/>
    <w:rsid w:val="0061265D"/>
    <w:rsid w:val="006139F9"/>
    <w:rsid w:val="006362F2"/>
    <w:rsid w:val="006443FA"/>
    <w:rsid w:val="00651CBC"/>
    <w:rsid w:val="00656F33"/>
    <w:rsid w:val="0065739D"/>
    <w:rsid w:val="006612C3"/>
    <w:rsid w:val="006629DB"/>
    <w:rsid w:val="006639C4"/>
    <w:rsid w:val="006642B1"/>
    <w:rsid w:val="006652D0"/>
    <w:rsid w:val="006844C8"/>
    <w:rsid w:val="00685988"/>
    <w:rsid w:val="0069746F"/>
    <w:rsid w:val="006A3EED"/>
    <w:rsid w:val="006A5058"/>
    <w:rsid w:val="006B2878"/>
    <w:rsid w:val="006B7920"/>
    <w:rsid w:val="006C23F0"/>
    <w:rsid w:val="006C42DC"/>
    <w:rsid w:val="006C4CEB"/>
    <w:rsid w:val="006D66AF"/>
    <w:rsid w:val="006D78D5"/>
    <w:rsid w:val="006E18F8"/>
    <w:rsid w:val="00701EF5"/>
    <w:rsid w:val="00703867"/>
    <w:rsid w:val="00704E68"/>
    <w:rsid w:val="007100AB"/>
    <w:rsid w:val="00712862"/>
    <w:rsid w:val="007210B0"/>
    <w:rsid w:val="0072118B"/>
    <w:rsid w:val="00724719"/>
    <w:rsid w:val="007302CD"/>
    <w:rsid w:val="00735149"/>
    <w:rsid w:val="00735345"/>
    <w:rsid w:val="0074005E"/>
    <w:rsid w:val="00740106"/>
    <w:rsid w:val="00744424"/>
    <w:rsid w:val="00745EBF"/>
    <w:rsid w:val="0075350B"/>
    <w:rsid w:val="0075496B"/>
    <w:rsid w:val="0075637A"/>
    <w:rsid w:val="007565E8"/>
    <w:rsid w:val="00764242"/>
    <w:rsid w:val="007774A1"/>
    <w:rsid w:val="0078286E"/>
    <w:rsid w:val="0079458B"/>
    <w:rsid w:val="0079485E"/>
    <w:rsid w:val="00794E98"/>
    <w:rsid w:val="0079505B"/>
    <w:rsid w:val="007956F3"/>
    <w:rsid w:val="00795732"/>
    <w:rsid w:val="007A243C"/>
    <w:rsid w:val="007B0836"/>
    <w:rsid w:val="007B11A2"/>
    <w:rsid w:val="007B20F3"/>
    <w:rsid w:val="007B2A96"/>
    <w:rsid w:val="007C1F92"/>
    <w:rsid w:val="007C4506"/>
    <w:rsid w:val="007C54A8"/>
    <w:rsid w:val="007D5624"/>
    <w:rsid w:val="007E02E1"/>
    <w:rsid w:val="007E3436"/>
    <w:rsid w:val="007E39A5"/>
    <w:rsid w:val="007F16E8"/>
    <w:rsid w:val="007F3894"/>
    <w:rsid w:val="007F3BB7"/>
    <w:rsid w:val="007F4BCD"/>
    <w:rsid w:val="007F6783"/>
    <w:rsid w:val="007F74A6"/>
    <w:rsid w:val="00805AD8"/>
    <w:rsid w:val="00807059"/>
    <w:rsid w:val="00811563"/>
    <w:rsid w:val="00820315"/>
    <w:rsid w:val="00821006"/>
    <w:rsid w:val="00826CC9"/>
    <w:rsid w:val="008309A2"/>
    <w:rsid w:val="00842039"/>
    <w:rsid w:val="00847799"/>
    <w:rsid w:val="00851FC9"/>
    <w:rsid w:val="0085303F"/>
    <w:rsid w:val="0085341D"/>
    <w:rsid w:val="0086683A"/>
    <w:rsid w:val="00871439"/>
    <w:rsid w:val="00873D69"/>
    <w:rsid w:val="008749D5"/>
    <w:rsid w:val="00877E51"/>
    <w:rsid w:val="0088118D"/>
    <w:rsid w:val="00883092"/>
    <w:rsid w:val="00894153"/>
    <w:rsid w:val="008945D3"/>
    <w:rsid w:val="00894974"/>
    <w:rsid w:val="00895CA0"/>
    <w:rsid w:val="008A0774"/>
    <w:rsid w:val="008A084B"/>
    <w:rsid w:val="008A279E"/>
    <w:rsid w:val="008A78C9"/>
    <w:rsid w:val="008B3336"/>
    <w:rsid w:val="008B6465"/>
    <w:rsid w:val="008B67B8"/>
    <w:rsid w:val="008C07B6"/>
    <w:rsid w:val="008C28CB"/>
    <w:rsid w:val="008C2FA8"/>
    <w:rsid w:val="008D22AC"/>
    <w:rsid w:val="008D53F1"/>
    <w:rsid w:val="008E1401"/>
    <w:rsid w:val="008E68D7"/>
    <w:rsid w:val="008F0774"/>
    <w:rsid w:val="008F7655"/>
    <w:rsid w:val="00900758"/>
    <w:rsid w:val="00900F5B"/>
    <w:rsid w:val="00912666"/>
    <w:rsid w:val="00914CAC"/>
    <w:rsid w:val="009155C8"/>
    <w:rsid w:val="00915F8C"/>
    <w:rsid w:val="0092490D"/>
    <w:rsid w:val="00924C03"/>
    <w:rsid w:val="009263E5"/>
    <w:rsid w:val="009358CA"/>
    <w:rsid w:val="00942EF9"/>
    <w:rsid w:val="0095130F"/>
    <w:rsid w:val="0095326F"/>
    <w:rsid w:val="00961AB8"/>
    <w:rsid w:val="00972A17"/>
    <w:rsid w:val="00974C57"/>
    <w:rsid w:val="00975AB8"/>
    <w:rsid w:val="00976056"/>
    <w:rsid w:val="00976714"/>
    <w:rsid w:val="00976B80"/>
    <w:rsid w:val="0098030D"/>
    <w:rsid w:val="0098556D"/>
    <w:rsid w:val="00986A77"/>
    <w:rsid w:val="009911DE"/>
    <w:rsid w:val="009A3344"/>
    <w:rsid w:val="009A5789"/>
    <w:rsid w:val="009B3AAE"/>
    <w:rsid w:val="009B4BDE"/>
    <w:rsid w:val="009B6214"/>
    <w:rsid w:val="009C1555"/>
    <w:rsid w:val="009C20F9"/>
    <w:rsid w:val="009D7754"/>
    <w:rsid w:val="009E24EF"/>
    <w:rsid w:val="009E3703"/>
    <w:rsid w:val="009F3479"/>
    <w:rsid w:val="009F6E51"/>
    <w:rsid w:val="00A01349"/>
    <w:rsid w:val="00A05BD2"/>
    <w:rsid w:val="00A20AD6"/>
    <w:rsid w:val="00A26EAA"/>
    <w:rsid w:val="00A3646B"/>
    <w:rsid w:val="00A37F44"/>
    <w:rsid w:val="00A532F7"/>
    <w:rsid w:val="00A54879"/>
    <w:rsid w:val="00A54EDA"/>
    <w:rsid w:val="00A601C7"/>
    <w:rsid w:val="00A70AC8"/>
    <w:rsid w:val="00A7138F"/>
    <w:rsid w:val="00A7656D"/>
    <w:rsid w:val="00A76E07"/>
    <w:rsid w:val="00A829AE"/>
    <w:rsid w:val="00A83CB3"/>
    <w:rsid w:val="00A865E9"/>
    <w:rsid w:val="00A90129"/>
    <w:rsid w:val="00A90729"/>
    <w:rsid w:val="00A912FA"/>
    <w:rsid w:val="00A92685"/>
    <w:rsid w:val="00A935E3"/>
    <w:rsid w:val="00A95A72"/>
    <w:rsid w:val="00A9667B"/>
    <w:rsid w:val="00A968E4"/>
    <w:rsid w:val="00AA67E0"/>
    <w:rsid w:val="00AA6F23"/>
    <w:rsid w:val="00AB1BA7"/>
    <w:rsid w:val="00AB409E"/>
    <w:rsid w:val="00AB7851"/>
    <w:rsid w:val="00AC26E3"/>
    <w:rsid w:val="00AC657F"/>
    <w:rsid w:val="00AD243B"/>
    <w:rsid w:val="00AD2DAA"/>
    <w:rsid w:val="00AD3380"/>
    <w:rsid w:val="00AE356D"/>
    <w:rsid w:val="00AF235C"/>
    <w:rsid w:val="00AF3BDF"/>
    <w:rsid w:val="00B05C2A"/>
    <w:rsid w:val="00B07614"/>
    <w:rsid w:val="00B15895"/>
    <w:rsid w:val="00B21337"/>
    <w:rsid w:val="00B22109"/>
    <w:rsid w:val="00B22EF1"/>
    <w:rsid w:val="00B25091"/>
    <w:rsid w:val="00B25B6F"/>
    <w:rsid w:val="00B31C0A"/>
    <w:rsid w:val="00B37438"/>
    <w:rsid w:val="00B43233"/>
    <w:rsid w:val="00B46892"/>
    <w:rsid w:val="00B46BEA"/>
    <w:rsid w:val="00B472DC"/>
    <w:rsid w:val="00B518AD"/>
    <w:rsid w:val="00B5427E"/>
    <w:rsid w:val="00B61CEB"/>
    <w:rsid w:val="00B6624C"/>
    <w:rsid w:val="00B75DBD"/>
    <w:rsid w:val="00B80A01"/>
    <w:rsid w:val="00B812D2"/>
    <w:rsid w:val="00B84836"/>
    <w:rsid w:val="00B85F43"/>
    <w:rsid w:val="00B91E0B"/>
    <w:rsid w:val="00B9306F"/>
    <w:rsid w:val="00BA0389"/>
    <w:rsid w:val="00BA2E51"/>
    <w:rsid w:val="00BA7149"/>
    <w:rsid w:val="00BB140F"/>
    <w:rsid w:val="00BB7046"/>
    <w:rsid w:val="00BC7562"/>
    <w:rsid w:val="00BD0057"/>
    <w:rsid w:val="00BD2BAD"/>
    <w:rsid w:val="00BD4546"/>
    <w:rsid w:val="00BD6FC6"/>
    <w:rsid w:val="00BE392A"/>
    <w:rsid w:val="00BE4B15"/>
    <w:rsid w:val="00BF7FBF"/>
    <w:rsid w:val="00C00D37"/>
    <w:rsid w:val="00C05AF7"/>
    <w:rsid w:val="00C0714E"/>
    <w:rsid w:val="00C1279B"/>
    <w:rsid w:val="00C142B3"/>
    <w:rsid w:val="00C178E7"/>
    <w:rsid w:val="00C276EA"/>
    <w:rsid w:val="00C332F1"/>
    <w:rsid w:val="00C3663A"/>
    <w:rsid w:val="00C36D2D"/>
    <w:rsid w:val="00C41BFD"/>
    <w:rsid w:val="00C44253"/>
    <w:rsid w:val="00C44C1F"/>
    <w:rsid w:val="00C45206"/>
    <w:rsid w:val="00C56597"/>
    <w:rsid w:val="00C63488"/>
    <w:rsid w:val="00C73F68"/>
    <w:rsid w:val="00C77D35"/>
    <w:rsid w:val="00C90CD5"/>
    <w:rsid w:val="00C974F4"/>
    <w:rsid w:val="00CA38DD"/>
    <w:rsid w:val="00CB2078"/>
    <w:rsid w:val="00CB491B"/>
    <w:rsid w:val="00CC02C1"/>
    <w:rsid w:val="00CC4301"/>
    <w:rsid w:val="00CD0085"/>
    <w:rsid w:val="00CD5591"/>
    <w:rsid w:val="00CE1174"/>
    <w:rsid w:val="00CE40B7"/>
    <w:rsid w:val="00CE55DC"/>
    <w:rsid w:val="00CF32C2"/>
    <w:rsid w:val="00CF4E9B"/>
    <w:rsid w:val="00CF5CEF"/>
    <w:rsid w:val="00D01C0A"/>
    <w:rsid w:val="00D04253"/>
    <w:rsid w:val="00D0456A"/>
    <w:rsid w:val="00D05097"/>
    <w:rsid w:val="00D0772D"/>
    <w:rsid w:val="00D113C6"/>
    <w:rsid w:val="00D153CA"/>
    <w:rsid w:val="00D154D7"/>
    <w:rsid w:val="00D15F2C"/>
    <w:rsid w:val="00D22244"/>
    <w:rsid w:val="00D23386"/>
    <w:rsid w:val="00D24165"/>
    <w:rsid w:val="00D26B33"/>
    <w:rsid w:val="00D33932"/>
    <w:rsid w:val="00D362E1"/>
    <w:rsid w:val="00D44ACD"/>
    <w:rsid w:val="00D46E47"/>
    <w:rsid w:val="00D542DD"/>
    <w:rsid w:val="00D54C33"/>
    <w:rsid w:val="00D55098"/>
    <w:rsid w:val="00D55A36"/>
    <w:rsid w:val="00D62307"/>
    <w:rsid w:val="00D62688"/>
    <w:rsid w:val="00D62770"/>
    <w:rsid w:val="00D65D5F"/>
    <w:rsid w:val="00D667C9"/>
    <w:rsid w:val="00D67595"/>
    <w:rsid w:val="00D6778C"/>
    <w:rsid w:val="00D70E0B"/>
    <w:rsid w:val="00D74028"/>
    <w:rsid w:val="00D7454C"/>
    <w:rsid w:val="00D74CEE"/>
    <w:rsid w:val="00D914E5"/>
    <w:rsid w:val="00DB0696"/>
    <w:rsid w:val="00DB4C3F"/>
    <w:rsid w:val="00DC18A5"/>
    <w:rsid w:val="00DC1B9D"/>
    <w:rsid w:val="00DC20C2"/>
    <w:rsid w:val="00DC59BC"/>
    <w:rsid w:val="00DC7ABC"/>
    <w:rsid w:val="00DC7F31"/>
    <w:rsid w:val="00DE0A6F"/>
    <w:rsid w:val="00DE20D3"/>
    <w:rsid w:val="00DE42C9"/>
    <w:rsid w:val="00DE6FD6"/>
    <w:rsid w:val="00DF2722"/>
    <w:rsid w:val="00DF7679"/>
    <w:rsid w:val="00E053CA"/>
    <w:rsid w:val="00E061D9"/>
    <w:rsid w:val="00E12E45"/>
    <w:rsid w:val="00E200CD"/>
    <w:rsid w:val="00E2417A"/>
    <w:rsid w:val="00E252FA"/>
    <w:rsid w:val="00E257B5"/>
    <w:rsid w:val="00E32CC3"/>
    <w:rsid w:val="00E33C12"/>
    <w:rsid w:val="00E35010"/>
    <w:rsid w:val="00E37DBF"/>
    <w:rsid w:val="00E4459E"/>
    <w:rsid w:val="00E47E45"/>
    <w:rsid w:val="00E50560"/>
    <w:rsid w:val="00E511C8"/>
    <w:rsid w:val="00E56FEC"/>
    <w:rsid w:val="00E602B0"/>
    <w:rsid w:val="00E61BB2"/>
    <w:rsid w:val="00E80734"/>
    <w:rsid w:val="00E82D98"/>
    <w:rsid w:val="00E85DC6"/>
    <w:rsid w:val="00E8730B"/>
    <w:rsid w:val="00E91873"/>
    <w:rsid w:val="00E91C28"/>
    <w:rsid w:val="00E93EE2"/>
    <w:rsid w:val="00E95733"/>
    <w:rsid w:val="00E95DC4"/>
    <w:rsid w:val="00EA2B10"/>
    <w:rsid w:val="00EC082B"/>
    <w:rsid w:val="00EC3109"/>
    <w:rsid w:val="00EC7DC3"/>
    <w:rsid w:val="00ED0A4D"/>
    <w:rsid w:val="00ED1320"/>
    <w:rsid w:val="00ED242C"/>
    <w:rsid w:val="00ED43C7"/>
    <w:rsid w:val="00EE3E2C"/>
    <w:rsid w:val="00EE3F91"/>
    <w:rsid w:val="00EE62BD"/>
    <w:rsid w:val="00EE7072"/>
    <w:rsid w:val="00EF0DB6"/>
    <w:rsid w:val="00EF2129"/>
    <w:rsid w:val="00EF3444"/>
    <w:rsid w:val="00EF4DF7"/>
    <w:rsid w:val="00EF69B3"/>
    <w:rsid w:val="00F00D78"/>
    <w:rsid w:val="00F03ACA"/>
    <w:rsid w:val="00F0462A"/>
    <w:rsid w:val="00F10138"/>
    <w:rsid w:val="00F17285"/>
    <w:rsid w:val="00F208AF"/>
    <w:rsid w:val="00F220EA"/>
    <w:rsid w:val="00F22348"/>
    <w:rsid w:val="00F26655"/>
    <w:rsid w:val="00F332FF"/>
    <w:rsid w:val="00F35E57"/>
    <w:rsid w:val="00F4410E"/>
    <w:rsid w:val="00F457A2"/>
    <w:rsid w:val="00F50F9A"/>
    <w:rsid w:val="00F53DFC"/>
    <w:rsid w:val="00F53F58"/>
    <w:rsid w:val="00F56EBF"/>
    <w:rsid w:val="00F6194D"/>
    <w:rsid w:val="00F65CED"/>
    <w:rsid w:val="00F706D6"/>
    <w:rsid w:val="00F744C8"/>
    <w:rsid w:val="00F752A0"/>
    <w:rsid w:val="00F7691A"/>
    <w:rsid w:val="00F86489"/>
    <w:rsid w:val="00F93E17"/>
    <w:rsid w:val="00F93E22"/>
    <w:rsid w:val="00F9686E"/>
    <w:rsid w:val="00FA66E3"/>
    <w:rsid w:val="00FA76D6"/>
    <w:rsid w:val="00FB05E8"/>
    <w:rsid w:val="00FB70ED"/>
    <w:rsid w:val="00FC6AC6"/>
    <w:rsid w:val="00FC721E"/>
    <w:rsid w:val="00FD1D53"/>
    <w:rsid w:val="00FE0FD0"/>
    <w:rsid w:val="00FE3221"/>
    <w:rsid w:val="00FE7681"/>
    <w:rsid w:val="00FE7B17"/>
    <w:rsid w:val="00FF0D72"/>
    <w:rsid w:val="00FF370B"/>
    <w:rsid w:val="00FF54F2"/>
    <w:rsid w:val="00FF7F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9E3"/>
    <w:pPr>
      <w:keepLines/>
      <w:jc w:val="both"/>
    </w:pPr>
    <w:rPr>
      <w:rFonts w:ascii="Arial" w:hAnsi="Arial"/>
      <w:sz w:val="22"/>
      <w:lang w:eastAsia="en-US"/>
    </w:rPr>
  </w:style>
  <w:style w:type="paragraph" w:styleId="Heading1">
    <w:name w:val="heading 1"/>
    <w:basedOn w:val="Normal"/>
    <w:next w:val="Normal"/>
    <w:qFormat/>
    <w:rsid w:val="003B09E3"/>
    <w:pPr>
      <w:keepNext/>
      <w:keepLines w:val="0"/>
      <w:spacing w:before="240" w:after="60"/>
      <w:jc w:val="left"/>
      <w:outlineLvl w:val="0"/>
    </w:pPr>
    <w:rPr>
      <w:b/>
      <w:kern w:val="28"/>
      <w:sz w:val="28"/>
    </w:rPr>
  </w:style>
  <w:style w:type="paragraph" w:styleId="Heading2">
    <w:name w:val="heading 2"/>
    <w:basedOn w:val="Normal"/>
    <w:next w:val="Normal"/>
    <w:qFormat/>
    <w:rsid w:val="003B09E3"/>
    <w:pPr>
      <w:keepNext/>
      <w:outlineLvl w:val="1"/>
    </w:pPr>
    <w:rPr>
      <w:u w:val="single"/>
    </w:rPr>
  </w:style>
  <w:style w:type="paragraph" w:styleId="Heading3">
    <w:name w:val="heading 3"/>
    <w:basedOn w:val="Normal"/>
    <w:next w:val="Normal"/>
    <w:qFormat/>
    <w:rsid w:val="003B09E3"/>
    <w:pPr>
      <w:keepNext/>
      <w:keepLines w:val="0"/>
      <w:jc w:val="left"/>
      <w:outlineLvl w:val="2"/>
    </w:pPr>
    <w:rPr>
      <w:b/>
      <w:bCs/>
    </w:rPr>
  </w:style>
  <w:style w:type="paragraph" w:styleId="Heading4">
    <w:name w:val="heading 4"/>
    <w:basedOn w:val="Normal"/>
    <w:next w:val="Normal"/>
    <w:qFormat/>
    <w:rsid w:val="003B09E3"/>
    <w:pPr>
      <w:keepNext/>
      <w:outlineLvl w:val="3"/>
    </w:pPr>
    <w:rPr>
      <w:u w:val="single"/>
    </w:rPr>
  </w:style>
  <w:style w:type="paragraph" w:styleId="Heading5">
    <w:name w:val="heading 5"/>
    <w:basedOn w:val="Normal"/>
    <w:next w:val="Normal"/>
    <w:qFormat/>
    <w:rsid w:val="003B09E3"/>
    <w:pPr>
      <w:keepNext/>
      <w:outlineLvl w:val="4"/>
    </w:pPr>
    <w:rPr>
      <w:i/>
      <w:iCs/>
    </w:rPr>
  </w:style>
  <w:style w:type="paragraph" w:styleId="Heading6">
    <w:name w:val="heading 6"/>
    <w:basedOn w:val="Normal"/>
    <w:next w:val="Normal"/>
    <w:qFormat/>
    <w:rsid w:val="003B09E3"/>
    <w:pPr>
      <w:keepNext/>
      <w:tabs>
        <w:tab w:val="right" w:pos="9072"/>
      </w:tabs>
      <w:suppressAutoHyphens/>
      <w:outlineLvl w:val="5"/>
    </w:pPr>
    <w:rPr>
      <w:vanish/>
      <w:sz w:val="16"/>
    </w:rPr>
  </w:style>
  <w:style w:type="paragraph" w:styleId="Heading7">
    <w:name w:val="heading 7"/>
    <w:basedOn w:val="Normal"/>
    <w:next w:val="Normal"/>
    <w:qFormat/>
    <w:rsid w:val="003B09E3"/>
    <w:pPr>
      <w:keepNext/>
      <w:outlineLvl w:val="6"/>
    </w:pPr>
    <w:rPr>
      <w:i/>
    </w:rPr>
  </w:style>
  <w:style w:type="paragraph" w:styleId="Heading8">
    <w:name w:val="heading 8"/>
    <w:basedOn w:val="Normal"/>
    <w:next w:val="Normal"/>
    <w:qFormat/>
    <w:rsid w:val="003B09E3"/>
    <w:pPr>
      <w:keepNext/>
      <w:jc w:val="left"/>
      <w:outlineLvl w:val="7"/>
    </w:pPr>
    <w:rPr>
      <w:b/>
      <w:sz w:val="18"/>
    </w:rPr>
  </w:style>
  <w:style w:type="paragraph" w:styleId="Heading9">
    <w:name w:val="heading 9"/>
    <w:basedOn w:val="Normal"/>
    <w:next w:val="Normal"/>
    <w:qFormat/>
    <w:rsid w:val="003B09E3"/>
    <w:pPr>
      <w:keepNext/>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B09E3"/>
    <w:pPr>
      <w:tabs>
        <w:tab w:val="right" w:pos="9639"/>
      </w:tabs>
    </w:pPr>
    <w:rPr>
      <w:rFonts w:ascii="Arial Narrow" w:hAnsi="Arial Narrow"/>
      <w:i/>
    </w:rPr>
  </w:style>
  <w:style w:type="paragraph" w:customStyle="1" w:styleId="Hint">
    <w:name w:val="Hint"/>
    <w:basedOn w:val="BodyTextIndent2"/>
    <w:autoRedefine/>
    <w:rsid w:val="003B09E3"/>
    <w:pPr>
      <w:keepLines w:val="0"/>
      <w:tabs>
        <w:tab w:val="left" w:pos="709"/>
      </w:tabs>
      <w:spacing w:before="120" w:line="240" w:lineRule="auto"/>
      <w:ind w:left="709" w:right="318" w:hanging="709"/>
    </w:pPr>
    <w:rPr>
      <w:rFonts w:ascii="Andy" w:hAnsi="Andy"/>
      <w:color w:val="0000FF"/>
      <w:sz w:val="26"/>
      <w:lang w:val="en-US"/>
    </w:rPr>
  </w:style>
  <w:style w:type="paragraph" w:styleId="BodyTextIndent2">
    <w:name w:val="Body Text Indent 2"/>
    <w:basedOn w:val="Normal"/>
    <w:semiHidden/>
    <w:rsid w:val="003B09E3"/>
    <w:pPr>
      <w:spacing w:after="120" w:line="480" w:lineRule="auto"/>
      <w:ind w:left="360"/>
    </w:pPr>
  </w:style>
  <w:style w:type="paragraph" w:customStyle="1" w:styleId="PIMAINHEADING">
    <w:name w:val="PI MAINHEADING"/>
    <w:basedOn w:val="Heading1"/>
    <w:rsid w:val="003B09E3"/>
    <w:pPr>
      <w:keepNext w:val="0"/>
      <w:keepLines/>
      <w:widowControl w:val="0"/>
      <w:pBdr>
        <w:top w:val="single" w:sz="6" w:space="1" w:color="auto"/>
        <w:bottom w:val="single" w:sz="6" w:space="1" w:color="auto"/>
      </w:pBdr>
      <w:spacing w:before="0" w:after="0"/>
      <w:jc w:val="both"/>
      <w:outlineLvl w:val="9"/>
    </w:pPr>
    <w:rPr>
      <w:rFonts w:ascii="Arial Black" w:hAnsi="Arial Black"/>
      <w:sz w:val="56"/>
    </w:rPr>
  </w:style>
  <w:style w:type="paragraph" w:customStyle="1" w:styleId="PIProductInfo">
    <w:name w:val="PI Product Info"/>
    <w:basedOn w:val="Normal"/>
    <w:rsid w:val="003B09E3"/>
    <w:pPr>
      <w:keepLines w:val="0"/>
      <w:widowControl w:val="0"/>
      <w:pBdr>
        <w:bottom w:val="single" w:sz="6" w:space="1" w:color="auto"/>
      </w:pBdr>
      <w:spacing w:before="60" w:after="240"/>
      <w:jc w:val="center"/>
    </w:pPr>
    <w:rPr>
      <w:b/>
      <w:sz w:val="36"/>
      <w:lang w:val="en-US"/>
    </w:rPr>
  </w:style>
  <w:style w:type="paragraph" w:customStyle="1" w:styleId="PIHEADTOP">
    <w:name w:val="PI HEADTOP"/>
    <w:basedOn w:val="Normal"/>
    <w:rsid w:val="003B09E3"/>
    <w:pPr>
      <w:keepLines w:val="0"/>
      <w:tabs>
        <w:tab w:val="left" w:pos="-720"/>
      </w:tabs>
      <w:suppressAutoHyphens/>
      <w:spacing w:after="120"/>
      <w:jc w:val="left"/>
    </w:pPr>
    <w:rPr>
      <w:b/>
      <w:caps/>
      <w:spacing w:val="-2"/>
      <w:sz w:val="28"/>
    </w:rPr>
  </w:style>
  <w:style w:type="paragraph" w:customStyle="1" w:styleId="PIEXPLAIN">
    <w:name w:val="PI EXPLAIN"/>
    <w:basedOn w:val="Normal"/>
    <w:rsid w:val="003B09E3"/>
    <w:pPr>
      <w:keepLines w:val="0"/>
      <w:tabs>
        <w:tab w:val="left" w:pos="-720"/>
      </w:tabs>
      <w:suppressAutoHyphens/>
      <w:spacing w:before="20" w:after="80"/>
    </w:pPr>
    <w:rPr>
      <w:spacing w:val="-2"/>
    </w:rPr>
  </w:style>
  <w:style w:type="paragraph" w:customStyle="1" w:styleId="PIHEADING1">
    <w:name w:val="PI HEADING1"/>
    <w:basedOn w:val="PIHEADTOP"/>
    <w:rsid w:val="003B09E3"/>
    <w:pPr>
      <w:keepNext/>
      <w:keepLines/>
      <w:spacing w:before="360"/>
      <w:jc w:val="both"/>
    </w:pPr>
  </w:style>
  <w:style w:type="paragraph" w:customStyle="1" w:styleId="PIHEADING2">
    <w:name w:val="PI HEADING2"/>
    <w:basedOn w:val="Normal"/>
    <w:rsid w:val="003B09E3"/>
    <w:pPr>
      <w:keepNext/>
      <w:tabs>
        <w:tab w:val="left" w:pos="-720"/>
      </w:tabs>
      <w:suppressAutoHyphens/>
      <w:spacing w:before="120" w:after="80"/>
    </w:pPr>
    <w:rPr>
      <w:b/>
      <w:spacing w:val="-2"/>
      <w:sz w:val="28"/>
    </w:rPr>
  </w:style>
  <w:style w:type="paragraph" w:customStyle="1" w:styleId="PIDOTPOINT">
    <w:name w:val="PI DOTPOINT"/>
    <w:basedOn w:val="PIEXPLAIN"/>
    <w:rsid w:val="003B09E3"/>
    <w:pPr>
      <w:spacing w:before="0" w:after="40"/>
      <w:ind w:left="568" w:hanging="284"/>
    </w:pPr>
  </w:style>
  <w:style w:type="paragraph" w:styleId="Footer">
    <w:name w:val="footer"/>
    <w:basedOn w:val="Normal"/>
    <w:semiHidden/>
    <w:rsid w:val="003B09E3"/>
    <w:pPr>
      <w:tabs>
        <w:tab w:val="center" w:pos="4153"/>
        <w:tab w:val="right" w:pos="8306"/>
      </w:tabs>
    </w:pPr>
  </w:style>
  <w:style w:type="character" w:styleId="LineNumber">
    <w:name w:val="line number"/>
    <w:basedOn w:val="DefaultParagraphFont"/>
    <w:semiHidden/>
    <w:rsid w:val="003B09E3"/>
  </w:style>
  <w:style w:type="character" w:styleId="Strong">
    <w:name w:val="Strong"/>
    <w:qFormat/>
    <w:rsid w:val="003B09E3"/>
    <w:rPr>
      <w:b/>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semiHidden/>
    <w:rsid w:val="003B09E3"/>
    <w:pPr>
      <w:keepLines w:val="0"/>
      <w:tabs>
        <w:tab w:val="left" w:pos="567"/>
      </w:tabs>
      <w:spacing w:line="260" w:lineRule="exact"/>
      <w:jc w:val="left"/>
    </w:pPr>
    <w:rPr>
      <w:rFonts w:ascii="Times New Roman" w:hAnsi="Times New Roman"/>
      <w:b/>
      <w:i/>
      <w:lang w:val="en-GB"/>
    </w:rPr>
  </w:style>
  <w:style w:type="paragraph" w:customStyle="1" w:styleId="Paragraph">
    <w:name w:val="Paragraph"/>
    <w:rsid w:val="003B09E3"/>
    <w:pPr>
      <w:numPr>
        <w:ilvl w:val="12"/>
      </w:numPr>
      <w:suppressAutoHyphens/>
      <w:spacing w:before="120" w:line="260" w:lineRule="exact"/>
    </w:pPr>
    <w:rPr>
      <w:sz w:val="22"/>
      <w:lang w:val="en-US" w:eastAsia="en-US"/>
    </w:rPr>
  </w:style>
  <w:style w:type="paragraph" w:styleId="CommentText">
    <w:name w:val="annotation text"/>
    <w:basedOn w:val="Normal"/>
    <w:link w:val="CommentTextChar"/>
    <w:semiHidden/>
    <w:rsid w:val="003B09E3"/>
    <w:pPr>
      <w:keepLines w:val="0"/>
      <w:tabs>
        <w:tab w:val="left" w:pos="567"/>
      </w:tabs>
      <w:spacing w:line="260" w:lineRule="exact"/>
      <w:jc w:val="left"/>
    </w:pPr>
    <w:rPr>
      <w:rFonts w:ascii="Times New Roman" w:hAnsi="Times New Roman"/>
      <w:sz w:val="20"/>
      <w:lang w:val="en-GB"/>
    </w:rPr>
  </w:style>
  <w:style w:type="paragraph" w:styleId="EndnoteText">
    <w:name w:val="endnote text"/>
    <w:basedOn w:val="Normal"/>
    <w:next w:val="Normal"/>
    <w:link w:val="EndnoteTextChar1"/>
    <w:semiHidden/>
    <w:rsid w:val="003B09E3"/>
    <w:pPr>
      <w:keepLines w:val="0"/>
      <w:tabs>
        <w:tab w:val="left" w:pos="567"/>
      </w:tabs>
      <w:jc w:val="left"/>
    </w:pPr>
    <w:rPr>
      <w:rFonts w:ascii="Times New Roman" w:hAnsi="Times New Roman"/>
      <w:lang w:val="en-GB"/>
    </w:rPr>
  </w:style>
  <w:style w:type="character" w:styleId="PageNumber">
    <w:name w:val="page number"/>
    <w:basedOn w:val="DefaultParagraphFont"/>
    <w:semiHidden/>
    <w:rsid w:val="003B09E3"/>
  </w:style>
  <w:style w:type="paragraph" w:customStyle="1" w:styleId="ParagraphChar">
    <w:name w:val="Paragraph Char"/>
    <w:rsid w:val="003B09E3"/>
    <w:pPr>
      <w:numPr>
        <w:ilvl w:val="12"/>
      </w:numPr>
      <w:suppressAutoHyphens/>
      <w:spacing w:after="120" w:line="260" w:lineRule="exact"/>
    </w:pPr>
    <w:rPr>
      <w:sz w:val="22"/>
      <w:lang w:val="en-US" w:eastAsia="en-US"/>
    </w:rPr>
  </w:style>
  <w:style w:type="paragraph" w:styleId="BodyText2">
    <w:name w:val="Body Text 2"/>
    <w:basedOn w:val="Normal"/>
    <w:semiHidden/>
    <w:rsid w:val="003B09E3"/>
    <w:rPr>
      <w:b/>
      <w:bCs/>
    </w:rPr>
  </w:style>
  <w:style w:type="character" w:customStyle="1" w:styleId="TableFootnoteChar1">
    <w:name w:val="Table Footnote Char1"/>
    <w:rsid w:val="003B09E3"/>
    <w:rPr>
      <w:noProof w:val="0"/>
      <w:snapToGrid w:val="0"/>
      <w:lang w:val="en-US" w:eastAsia="en-US" w:bidi="ar-SA"/>
    </w:rPr>
  </w:style>
  <w:style w:type="paragraph" w:customStyle="1" w:styleId="tablebodyChar">
    <w:name w:val="table:body Char"/>
    <w:basedOn w:val="Normal"/>
    <w:rsid w:val="003B09E3"/>
    <w:pPr>
      <w:keepLines w:val="0"/>
      <w:suppressAutoHyphens/>
      <w:spacing w:before="20" w:after="20"/>
      <w:jc w:val="left"/>
    </w:pPr>
    <w:rPr>
      <w:rFonts w:ascii="Times New Roman" w:hAnsi="Times New Roman"/>
      <w:sz w:val="20"/>
      <w:lang w:val="en-US"/>
    </w:rPr>
  </w:style>
  <w:style w:type="paragraph" w:customStyle="1" w:styleId="ParagraphCharChar">
    <w:name w:val="Paragraph Char Char"/>
    <w:rsid w:val="003B09E3"/>
    <w:pPr>
      <w:numPr>
        <w:ilvl w:val="12"/>
      </w:numPr>
      <w:suppressAutoHyphens/>
      <w:spacing w:after="120" w:line="260" w:lineRule="exact"/>
    </w:pPr>
    <w:rPr>
      <w:sz w:val="22"/>
      <w:lang w:val="en-US" w:eastAsia="en-US"/>
    </w:rPr>
  </w:style>
  <w:style w:type="paragraph" w:customStyle="1" w:styleId="tabletitleCharChar">
    <w:name w:val="table:title Char Char"/>
    <w:basedOn w:val="Normal"/>
    <w:next w:val="Normal"/>
    <w:rsid w:val="003B09E3"/>
    <w:pPr>
      <w:keepNext/>
      <w:keepLines w:val="0"/>
      <w:numPr>
        <w:ilvl w:val="12"/>
      </w:numPr>
      <w:suppressAutoHyphens/>
      <w:spacing w:before="120" w:after="120" w:line="260" w:lineRule="exact"/>
      <w:ind w:left="1152" w:hanging="1152"/>
      <w:jc w:val="left"/>
    </w:pPr>
    <w:rPr>
      <w:rFonts w:ascii="Times New Roman" w:hAnsi="Times New Roman"/>
      <w:b/>
      <w:lang w:val="en-US"/>
    </w:rPr>
  </w:style>
  <w:style w:type="character" w:customStyle="1" w:styleId="BodyTextIndentCharChar">
    <w:name w:val="Body Text Indent Char Char"/>
    <w:rsid w:val="003B09E3"/>
    <w:rPr>
      <w:lang w:val="en-US" w:eastAsia="en-US" w:bidi="ar-SA"/>
    </w:rPr>
  </w:style>
  <w:style w:type="paragraph" w:customStyle="1" w:styleId="BodyText12">
    <w:name w:val="BodyText12"/>
    <w:link w:val="BodyText12Char"/>
    <w:qFormat/>
    <w:rsid w:val="003B09E3"/>
    <w:pPr>
      <w:spacing w:after="200" w:line="300" w:lineRule="auto"/>
      <w:ind w:left="850"/>
      <w:jc w:val="both"/>
    </w:pPr>
    <w:rPr>
      <w:sz w:val="24"/>
      <w:lang w:val="en-US" w:eastAsia="en-US"/>
    </w:rPr>
  </w:style>
  <w:style w:type="paragraph" w:customStyle="1" w:styleId="SubheaderCharCharCharCharCharCharCharCharCharCharCharCharCharCharCharCharChar">
    <w:name w:val="Subheader Char Char Char Char Char Char Char Char Char Char Char Char Char Char Char Char Char"/>
    <w:basedOn w:val="BodyText"/>
    <w:next w:val="BodyText"/>
    <w:rsid w:val="003B09E3"/>
    <w:pPr>
      <w:keepNext/>
      <w:tabs>
        <w:tab w:val="clear" w:pos="567"/>
      </w:tabs>
      <w:spacing w:after="60" w:line="240" w:lineRule="auto"/>
    </w:pPr>
    <w:rPr>
      <w:b w:val="0"/>
      <w:i w:val="0"/>
      <w:u w:val="single"/>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3B09E3"/>
    <w:pPr>
      <w:keepNext/>
      <w:tabs>
        <w:tab w:val="clear" w:pos="567"/>
      </w:tabs>
      <w:spacing w:after="60" w:line="240" w:lineRule="auto"/>
    </w:pPr>
    <w:rPr>
      <w:b w:val="0"/>
      <w:i w:val="0"/>
      <w:u w:val="single"/>
    </w:rPr>
  </w:style>
  <w:style w:type="character" w:styleId="CommentReference">
    <w:name w:val="annotation reference"/>
    <w:semiHidden/>
    <w:rsid w:val="003B09E3"/>
    <w:rPr>
      <w:sz w:val="16"/>
    </w:rPr>
  </w:style>
  <w:style w:type="paragraph" w:customStyle="1" w:styleId="TableFootnoteCharChar1">
    <w:name w:val="Table Footnote Char Char1"/>
    <w:basedOn w:val="Normal"/>
    <w:next w:val="Normal"/>
    <w:rsid w:val="003B09E3"/>
    <w:pPr>
      <w:keepNext/>
      <w:widowControl w:val="0"/>
      <w:tabs>
        <w:tab w:val="left" w:pos="259"/>
      </w:tabs>
      <w:spacing w:before="20" w:after="20" w:line="220" w:lineRule="atLeast"/>
      <w:ind w:left="259" w:hanging="259"/>
      <w:jc w:val="left"/>
    </w:pPr>
    <w:rPr>
      <w:rFonts w:ascii="Times New Roman" w:hAnsi="Times New Roman"/>
      <w:sz w:val="20"/>
      <w:lang w:val="en-US"/>
    </w:rPr>
  </w:style>
  <w:style w:type="paragraph" w:styleId="FootnoteText">
    <w:name w:val="footnote text"/>
    <w:basedOn w:val="Normal"/>
    <w:semiHidden/>
    <w:rsid w:val="003B09E3"/>
    <w:pPr>
      <w:keepLines w:val="0"/>
      <w:jc w:val="left"/>
    </w:pPr>
    <w:rPr>
      <w:rFonts w:ascii="Times New Roman" w:hAnsi="Times New Roman"/>
      <w:sz w:val="20"/>
      <w:lang w:val="en-GB"/>
    </w:rPr>
  </w:style>
  <w:style w:type="character" w:styleId="EndnoteReference">
    <w:name w:val="endnote reference"/>
    <w:semiHidden/>
    <w:rsid w:val="003B09E3"/>
    <w:rPr>
      <w:vertAlign w:val="superscript"/>
    </w:rPr>
  </w:style>
  <w:style w:type="paragraph" w:customStyle="1" w:styleId="tableheaderChar">
    <w:name w:val="table:header Char"/>
    <w:basedOn w:val="Normal"/>
    <w:rsid w:val="003B09E3"/>
    <w:pPr>
      <w:keepLines w:val="0"/>
      <w:suppressAutoHyphens/>
      <w:spacing w:before="20" w:after="20"/>
      <w:jc w:val="left"/>
    </w:pPr>
    <w:rPr>
      <w:rFonts w:ascii="Times New Roman" w:hAnsi="Times New Roman"/>
      <w:b/>
      <w:sz w:val="20"/>
      <w:lang w:val="en-US"/>
    </w:rPr>
  </w:style>
  <w:style w:type="character" w:styleId="Hyperlink">
    <w:name w:val="Hyperlink"/>
    <w:semiHidden/>
    <w:rsid w:val="003B09E3"/>
    <w:rPr>
      <w:color w:val="0000FF"/>
      <w:u w:val="single"/>
    </w:rPr>
  </w:style>
  <w:style w:type="character" w:styleId="FollowedHyperlink">
    <w:name w:val="FollowedHyperlink"/>
    <w:semiHidden/>
    <w:rsid w:val="003B09E3"/>
    <w:rPr>
      <w:color w:val="800080"/>
      <w:u w:val="single"/>
    </w:rPr>
  </w:style>
  <w:style w:type="paragraph" w:customStyle="1" w:styleId="Narrative1">
    <w:name w:val="Narrative 1"/>
    <w:rsid w:val="003B09E3"/>
    <w:pPr>
      <w:tabs>
        <w:tab w:val="num" w:pos="1210"/>
      </w:tabs>
      <w:spacing w:after="200" w:line="300" w:lineRule="auto"/>
      <w:ind w:left="1210" w:hanging="360"/>
      <w:jc w:val="both"/>
    </w:pPr>
    <w:rPr>
      <w:sz w:val="24"/>
      <w:lang w:val="en-US" w:eastAsia="en-US"/>
    </w:rPr>
  </w:style>
  <w:style w:type="paragraph" w:customStyle="1" w:styleId="Narrative2">
    <w:name w:val="Narrative 2"/>
    <w:rsid w:val="003B09E3"/>
    <w:pPr>
      <w:tabs>
        <w:tab w:val="num" w:pos="1570"/>
      </w:tabs>
      <w:spacing w:after="200" w:line="300" w:lineRule="auto"/>
      <w:ind w:left="1570" w:hanging="360"/>
      <w:jc w:val="both"/>
    </w:pPr>
    <w:rPr>
      <w:sz w:val="24"/>
      <w:lang w:val="en-US" w:eastAsia="en-US"/>
    </w:rPr>
  </w:style>
  <w:style w:type="paragraph" w:customStyle="1" w:styleId="MarkTable">
    <w:name w:val="Mark Table"/>
    <w:next w:val="TableText"/>
    <w:rsid w:val="003B09E3"/>
    <w:pPr>
      <w:keepNext/>
      <w:ind w:left="1080" w:hanging="1066"/>
    </w:pPr>
    <w:rPr>
      <w:lang w:val="en-US" w:eastAsia="en-US"/>
    </w:rPr>
  </w:style>
  <w:style w:type="paragraph" w:customStyle="1" w:styleId="TableText">
    <w:name w:val="TableText"/>
    <w:rsid w:val="003B09E3"/>
    <w:pPr>
      <w:keepNext/>
    </w:pPr>
    <w:rPr>
      <w:lang w:val="en-US" w:eastAsia="en-US"/>
    </w:rPr>
  </w:style>
  <w:style w:type="paragraph" w:customStyle="1" w:styleId="paragraph0">
    <w:name w:val="paragraph"/>
    <w:basedOn w:val="Normal"/>
    <w:rsid w:val="003B09E3"/>
    <w:pPr>
      <w:keepLines w:val="0"/>
      <w:spacing w:before="120" w:after="120" w:line="280" w:lineRule="atLeast"/>
      <w:jc w:val="left"/>
    </w:pPr>
    <w:rPr>
      <w:rFonts w:ascii="Times New Roman" w:eastAsia="Arial Unicode MS" w:hAnsi="Times New Roman"/>
      <w:sz w:val="24"/>
      <w:szCs w:val="24"/>
      <w:lang w:val="en-GB"/>
    </w:rPr>
  </w:style>
  <w:style w:type="paragraph" w:styleId="BodyText3">
    <w:name w:val="Body Text 3"/>
    <w:basedOn w:val="Normal"/>
    <w:semiHidden/>
    <w:rsid w:val="003B09E3"/>
    <w:pPr>
      <w:jc w:val="center"/>
    </w:pPr>
    <w:rPr>
      <w:sz w:val="20"/>
    </w:rPr>
  </w:style>
  <w:style w:type="paragraph" w:customStyle="1" w:styleId="Body">
    <w:name w:val="Body"/>
    <w:basedOn w:val="Normal"/>
    <w:rsid w:val="003B09E3"/>
    <w:pPr>
      <w:keepLines w:val="0"/>
      <w:ind w:firstLine="288"/>
    </w:pPr>
    <w:rPr>
      <w:sz w:val="20"/>
      <w:lang w:val="en-US"/>
    </w:rPr>
  </w:style>
  <w:style w:type="paragraph" w:styleId="NormalWeb">
    <w:name w:val="Normal (Web)"/>
    <w:basedOn w:val="Normal"/>
    <w:uiPriority w:val="99"/>
    <w:semiHidden/>
    <w:rsid w:val="003B09E3"/>
    <w:pPr>
      <w:keepLines w:val="0"/>
      <w:spacing w:before="100" w:beforeAutospacing="1" w:after="100" w:afterAutospacing="1"/>
      <w:jc w:val="left"/>
    </w:pPr>
    <w:rPr>
      <w:rFonts w:eastAsia="Arial Unicode MS" w:cs="Arial"/>
      <w:sz w:val="20"/>
    </w:rPr>
  </w:style>
  <w:style w:type="character" w:styleId="FootnoteReference">
    <w:name w:val="footnote reference"/>
    <w:semiHidden/>
    <w:rsid w:val="003B09E3"/>
    <w:rPr>
      <w:vertAlign w:val="superscript"/>
    </w:rPr>
  </w:style>
  <w:style w:type="paragraph" w:styleId="Caption">
    <w:name w:val="caption"/>
    <w:basedOn w:val="Normal"/>
    <w:next w:val="Normal"/>
    <w:uiPriority w:val="35"/>
    <w:qFormat/>
    <w:rsid w:val="003B09E3"/>
    <w:pPr>
      <w:keepLines w:val="0"/>
      <w:tabs>
        <w:tab w:val="left" w:pos="1281"/>
      </w:tabs>
      <w:spacing w:before="120" w:after="120"/>
      <w:ind w:left="1281" w:hanging="1281"/>
      <w:jc w:val="left"/>
    </w:pPr>
    <w:rPr>
      <w:rFonts w:ascii="Times New Roman" w:hAnsi="Times New Roman"/>
      <w:b/>
      <w:bCs/>
      <w:sz w:val="24"/>
      <w:szCs w:val="24"/>
      <w:lang w:val="en-GB"/>
    </w:rPr>
  </w:style>
  <w:style w:type="paragraph" w:customStyle="1" w:styleId="Footnote">
    <w:name w:val="Footnote"/>
    <w:basedOn w:val="Normal"/>
    <w:next w:val="Body"/>
    <w:rsid w:val="003B09E3"/>
    <w:pPr>
      <w:tabs>
        <w:tab w:val="right" w:pos="317"/>
        <w:tab w:val="left" w:pos="346"/>
      </w:tabs>
      <w:ind w:left="346" w:hanging="346"/>
      <w:jc w:val="left"/>
    </w:pPr>
    <w:rPr>
      <w:rFonts w:ascii="Times New Roman" w:hAnsi="Times New Roman"/>
      <w:sz w:val="14"/>
      <w:szCs w:val="24"/>
      <w:lang w:val="en-US"/>
    </w:rPr>
  </w:style>
  <w:style w:type="paragraph" w:customStyle="1" w:styleId="TradeName">
    <w:name w:val="Trade Name"/>
    <w:basedOn w:val="Normal"/>
    <w:next w:val="Normal"/>
    <w:rsid w:val="003B09E3"/>
    <w:pPr>
      <w:keepNext/>
      <w:jc w:val="left"/>
    </w:pPr>
    <w:rPr>
      <w:rFonts w:ascii="Times New Roman" w:hAnsi="Times New Roman"/>
      <w:b/>
      <w:caps/>
      <w:sz w:val="30"/>
      <w:szCs w:val="24"/>
      <w:lang w:val="en-US"/>
    </w:rPr>
  </w:style>
  <w:style w:type="character" w:customStyle="1" w:styleId="EmailStyle62">
    <w:name w:val="EmailStyle62"/>
    <w:rsid w:val="003B09E3"/>
    <w:rPr>
      <w:rFonts w:ascii="Arial" w:hAnsi="Arial" w:cs="Arial"/>
      <w:color w:val="000080"/>
      <w:sz w:val="20"/>
    </w:rPr>
  </w:style>
  <w:style w:type="paragraph" w:styleId="DocumentMap">
    <w:name w:val="Document Map"/>
    <w:basedOn w:val="Normal"/>
    <w:semiHidden/>
    <w:rsid w:val="003B09E3"/>
    <w:pPr>
      <w:shd w:val="clear" w:color="auto" w:fill="000080"/>
    </w:pPr>
    <w:rPr>
      <w:rFonts w:ascii="Tahoma" w:hAnsi="Tahoma" w:cs="Tahoma"/>
    </w:rPr>
  </w:style>
  <w:style w:type="paragraph" w:styleId="BodyTextIndent">
    <w:name w:val="Body Text Indent"/>
    <w:basedOn w:val="Normal"/>
    <w:semiHidden/>
    <w:rsid w:val="003B09E3"/>
    <w:pPr>
      <w:ind w:left="1418" w:hanging="1418"/>
    </w:pPr>
    <w:rPr>
      <w:b/>
      <w:bCs/>
    </w:rPr>
  </w:style>
  <w:style w:type="paragraph" w:styleId="BodyTextIndent3">
    <w:name w:val="Body Text Indent 3"/>
    <w:basedOn w:val="Normal"/>
    <w:semiHidden/>
    <w:rsid w:val="003B09E3"/>
    <w:pPr>
      <w:keepNext/>
      <w:ind w:left="1134" w:hanging="1134"/>
    </w:pPr>
    <w:rPr>
      <w:b/>
      <w:bCs/>
    </w:rPr>
  </w:style>
  <w:style w:type="paragraph" w:customStyle="1" w:styleId="Turnedtext">
    <w:name w:val="Turned text"/>
    <w:basedOn w:val="Normal"/>
    <w:next w:val="Body"/>
    <w:rsid w:val="003B09E3"/>
    <w:pPr>
      <w:jc w:val="center"/>
    </w:pPr>
    <w:rPr>
      <w:sz w:val="20"/>
      <w:lang w:val="en-US"/>
    </w:rPr>
  </w:style>
  <w:style w:type="paragraph" w:customStyle="1" w:styleId="colspan">
    <w:name w:val="colspan"/>
    <w:basedOn w:val="Normal"/>
    <w:next w:val="Normal"/>
    <w:rsid w:val="003B09E3"/>
    <w:pPr>
      <w:keepLines w:val="0"/>
      <w:widowControl w:val="0"/>
      <w:autoSpaceDE w:val="0"/>
      <w:autoSpaceDN w:val="0"/>
      <w:adjustRightInd w:val="0"/>
      <w:ind w:left="40" w:right="40"/>
      <w:jc w:val="center"/>
    </w:pPr>
    <w:rPr>
      <w:rFonts w:ascii="Times New Roman" w:hAnsi="Times New Roman"/>
      <w:b/>
      <w:bCs/>
      <w:sz w:val="20"/>
      <w:lang w:val="en-US"/>
    </w:rPr>
  </w:style>
  <w:style w:type="paragraph" w:customStyle="1" w:styleId="rowleft">
    <w:name w:val="rowleft"/>
    <w:basedOn w:val="Normal"/>
    <w:next w:val="Normal"/>
    <w:rsid w:val="003B09E3"/>
    <w:pPr>
      <w:keepLines w:val="0"/>
      <w:widowControl w:val="0"/>
      <w:autoSpaceDE w:val="0"/>
      <w:autoSpaceDN w:val="0"/>
      <w:adjustRightInd w:val="0"/>
      <w:ind w:left="40" w:right="40"/>
      <w:jc w:val="left"/>
    </w:pPr>
    <w:rPr>
      <w:rFonts w:ascii="Times New Roman" w:hAnsi="Times New Roman"/>
      <w:sz w:val="20"/>
      <w:lang w:val="en-US"/>
    </w:rPr>
  </w:style>
  <w:style w:type="paragraph" w:customStyle="1" w:styleId="topleft">
    <w:name w:val="topleft"/>
    <w:basedOn w:val="Normal"/>
    <w:next w:val="Normal"/>
    <w:rsid w:val="003B09E3"/>
    <w:pPr>
      <w:keepLines w:val="0"/>
      <w:widowControl w:val="0"/>
      <w:autoSpaceDE w:val="0"/>
      <w:autoSpaceDN w:val="0"/>
      <w:adjustRightInd w:val="0"/>
      <w:ind w:left="40" w:right="40"/>
      <w:jc w:val="left"/>
    </w:pPr>
    <w:rPr>
      <w:rFonts w:ascii="Times New Roman" w:hAnsi="Times New Roman"/>
      <w:b/>
      <w:bCs/>
      <w:sz w:val="20"/>
      <w:lang w:val="en-US"/>
    </w:rPr>
  </w:style>
  <w:style w:type="paragraph" w:customStyle="1" w:styleId="colorder">
    <w:name w:val="colorder"/>
    <w:basedOn w:val="Normal"/>
    <w:next w:val="Normal"/>
    <w:rsid w:val="003B09E3"/>
    <w:pPr>
      <w:keepLines w:val="0"/>
      <w:widowControl w:val="0"/>
      <w:autoSpaceDE w:val="0"/>
      <w:autoSpaceDN w:val="0"/>
      <w:adjustRightInd w:val="0"/>
      <w:ind w:left="40" w:right="40"/>
      <w:jc w:val="center"/>
    </w:pPr>
    <w:rPr>
      <w:rFonts w:ascii="Times New Roman" w:hAnsi="Times New Roman"/>
      <w:b/>
      <w:bCs/>
      <w:sz w:val="20"/>
      <w:lang w:val="en-US"/>
    </w:rPr>
  </w:style>
  <w:style w:type="paragraph" w:customStyle="1" w:styleId="row">
    <w:name w:val="row"/>
    <w:basedOn w:val="Normal"/>
    <w:next w:val="Normal"/>
    <w:rsid w:val="003B09E3"/>
    <w:pPr>
      <w:keepLines w:val="0"/>
      <w:widowControl w:val="0"/>
      <w:autoSpaceDE w:val="0"/>
      <w:autoSpaceDN w:val="0"/>
      <w:adjustRightInd w:val="0"/>
      <w:ind w:left="40" w:right="40"/>
      <w:jc w:val="center"/>
    </w:pPr>
    <w:rPr>
      <w:rFonts w:ascii="Times New Roman" w:hAnsi="Times New Roman"/>
      <w:sz w:val="20"/>
      <w:lang w:val="en-US"/>
    </w:rPr>
  </w:style>
  <w:style w:type="paragraph" w:customStyle="1" w:styleId="section">
    <w:name w:val="section"/>
    <w:basedOn w:val="Normal"/>
    <w:next w:val="Normal"/>
    <w:rsid w:val="003B09E3"/>
    <w:pPr>
      <w:keepLines w:val="0"/>
      <w:widowControl w:val="0"/>
      <w:autoSpaceDE w:val="0"/>
      <w:autoSpaceDN w:val="0"/>
      <w:adjustRightInd w:val="0"/>
      <w:ind w:left="40" w:right="40"/>
      <w:jc w:val="left"/>
    </w:pPr>
    <w:rPr>
      <w:rFonts w:ascii="Times New Roman" w:hAnsi="Times New Roman"/>
      <w:b/>
      <w:bCs/>
      <w:sz w:val="20"/>
      <w:lang w:val="en-US"/>
    </w:rPr>
  </w:style>
  <w:style w:type="paragraph" w:styleId="PlainText">
    <w:name w:val="Plain Text"/>
    <w:basedOn w:val="Normal"/>
    <w:semiHidden/>
    <w:unhideWhenUsed/>
    <w:rsid w:val="003B09E3"/>
    <w:pPr>
      <w:keepLines w:val="0"/>
      <w:jc w:val="left"/>
    </w:pPr>
    <w:rPr>
      <w:rFonts w:eastAsia="Calibri" w:cs="Arial"/>
      <w:sz w:val="20"/>
      <w:lang w:val="en-US"/>
    </w:rPr>
  </w:style>
  <w:style w:type="character" w:customStyle="1" w:styleId="PlainTextChar">
    <w:name w:val="Plain Text Char"/>
    <w:rsid w:val="003B09E3"/>
    <w:rPr>
      <w:rFonts w:ascii="Arial" w:eastAsia="Calibri" w:hAnsi="Arial" w:cs="Arial"/>
    </w:rPr>
  </w:style>
  <w:style w:type="paragraph" w:styleId="CommentSubject">
    <w:name w:val="annotation subject"/>
    <w:basedOn w:val="CommentText"/>
    <w:next w:val="CommentText"/>
    <w:link w:val="CommentSubjectChar"/>
    <w:uiPriority w:val="99"/>
    <w:semiHidden/>
    <w:unhideWhenUsed/>
    <w:rsid w:val="0079505B"/>
    <w:pPr>
      <w:keepLines/>
      <w:tabs>
        <w:tab w:val="clear" w:pos="567"/>
      </w:tabs>
      <w:spacing w:line="240" w:lineRule="auto"/>
      <w:jc w:val="both"/>
    </w:pPr>
    <w:rPr>
      <w:rFonts w:ascii="Arial" w:hAnsi="Arial"/>
      <w:b/>
      <w:bCs/>
      <w:lang w:val="en-AU"/>
    </w:rPr>
  </w:style>
  <w:style w:type="character" w:customStyle="1" w:styleId="CommentTextChar">
    <w:name w:val="Comment Text Char"/>
    <w:link w:val="CommentText"/>
    <w:semiHidden/>
    <w:rsid w:val="0079505B"/>
    <w:rPr>
      <w:lang w:val="en-GB"/>
    </w:rPr>
  </w:style>
  <w:style w:type="character" w:customStyle="1" w:styleId="CommentSubjectChar">
    <w:name w:val="Comment Subject Char"/>
    <w:basedOn w:val="CommentTextChar"/>
    <w:link w:val="CommentSubject"/>
    <w:rsid w:val="0079505B"/>
    <w:rPr>
      <w:lang w:val="en-GB"/>
    </w:rPr>
  </w:style>
  <w:style w:type="paragraph" w:styleId="Revision">
    <w:name w:val="Revision"/>
    <w:hidden/>
    <w:uiPriority w:val="99"/>
    <w:semiHidden/>
    <w:rsid w:val="0079505B"/>
    <w:rPr>
      <w:rFonts w:ascii="Arial" w:hAnsi="Arial"/>
      <w:sz w:val="22"/>
      <w:lang w:eastAsia="en-US"/>
    </w:rPr>
  </w:style>
  <w:style w:type="paragraph" w:styleId="BalloonText">
    <w:name w:val="Balloon Text"/>
    <w:basedOn w:val="Normal"/>
    <w:link w:val="BalloonTextChar"/>
    <w:uiPriority w:val="99"/>
    <w:semiHidden/>
    <w:unhideWhenUsed/>
    <w:rsid w:val="0079505B"/>
    <w:rPr>
      <w:rFonts w:ascii="Tahoma" w:hAnsi="Tahoma" w:cs="Tahoma"/>
      <w:sz w:val="16"/>
      <w:szCs w:val="16"/>
    </w:rPr>
  </w:style>
  <w:style w:type="character" w:customStyle="1" w:styleId="BalloonTextChar">
    <w:name w:val="Balloon Text Char"/>
    <w:link w:val="BalloonText"/>
    <w:uiPriority w:val="99"/>
    <w:semiHidden/>
    <w:rsid w:val="0079505B"/>
    <w:rPr>
      <w:rFonts w:ascii="Tahoma" w:hAnsi="Tahoma" w:cs="Tahoma"/>
      <w:sz w:val="16"/>
      <w:szCs w:val="16"/>
      <w:lang w:val="en-AU"/>
    </w:rPr>
  </w:style>
  <w:style w:type="character" w:customStyle="1" w:styleId="bold1">
    <w:name w:val="bold1"/>
    <w:rsid w:val="00C77D35"/>
    <w:rPr>
      <w:b/>
      <w:bCs/>
    </w:rPr>
  </w:style>
  <w:style w:type="character" w:customStyle="1" w:styleId="EndnoteTextChar1">
    <w:name w:val="Endnote Text Char1"/>
    <w:link w:val="EndnoteText"/>
    <w:semiHidden/>
    <w:rsid w:val="00C77D35"/>
    <w:rPr>
      <w:sz w:val="22"/>
      <w:lang w:val="en-GB"/>
    </w:rPr>
  </w:style>
  <w:style w:type="paragraph" w:customStyle="1" w:styleId="Default">
    <w:name w:val="Default"/>
    <w:rsid w:val="00DB4C3F"/>
    <w:pPr>
      <w:autoSpaceDE w:val="0"/>
      <w:autoSpaceDN w:val="0"/>
      <w:adjustRightInd w:val="0"/>
    </w:pPr>
    <w:rPr>
      <w:color w:val="000000"/>
      <w:sz w:val="24"/>
      <w:szCs w:val="24"/>
      <w:lang w:val="en-US" w:eastAsia="en-US"/>
    </w:rPr>
  </w:style>
  <w:style w:type="paragraph" w:customStyle="1" w:styleId="BoldTitle">
    <w:name w:val="BoldTitle"/>
    <w:basedOn w:val="Normal"/>
    <w:next w:val="Normal"/>
    <w:rsid w:val="00DB4C3F"/>
    <w:pPr>
      <w:keepLines w:val="0"/>
      <w:jc w:val="left"/>
    </w:pPr>
    <w:rPr>
      <w:rFonts w:ascii="Times New Roman" w:hAnsi="Times New Roman"/>
      <w:b/>
      <w:bCs/>
      <w:sz w:val="24"/>
      <w:szCs w:val="24"/>
      <w:lang w:val="en-GB"/>
    </w:rPr>
  </w:style>
  <w:style w:type="paragraph" w:customStyle="1" w:styleId="Heading1withoutnumbering">
    <w:name w:val="Heading1 without numbering"/>
    <w:basedOn w:val="Normal"/>
    <w:next w:val="Normal"/>
    <w:rsid w:val="00DB4C3F"/>
    <w:pPr>
      <w:keepLines w:val="0"/>
      <w:spacing w:before="240" w:after="120"/>
      <w:jc w:val="left"/>
      <w:outlineLvl w:val="0"/>
    </w:pPr>
    <w:rPr>
      <w:rFonts w:ascii="Times New Roman" w:hAnsi="Times New Roman"/>
      <w:b/>
      <w:caps/>
      <w:kern w:val="22"/>
      <w:szCs w:val="24"/>
      <w:lang w:val="en-GB"/>
    </w:rPr>
  </w:style>
  <w:style w:type="paragraph" w:customStyle="1" w:styleId="colheadmt">
    <w:name w:val="colhead_mt"/>
    <w:basedOn w:val="Normal"/>
    <w:rsid w:val="00E061D9"/>
    <w:pPr>
      <w:keepLines w:val="0"/>
      <w:spacing w:before="100" w:beforeAutospacing="1" w:after="100" w:afterAutospacing="1"/>
      <w:jc w:val="left"/>
    </w:pPr>
    <w:rPr>
      <w:rFonts w:ascii="Times New Roman" w:eastAsia="SimSun" w:hAnsi="Times New Roman"/>
      <w:sz w:val="24"/>
      <w:szCs w:val="24"/>
      <w:lang w:val="en-US" w:eastAsia="zh-CN"/>
    </w:rPr>
  </w:style>
  <w:style w:type="paragraph" w:customStyle="1" w:styleId="colheadmb">
    <w:name w:val="colhead_mb"/>
    <w:basedOn w:val="Normal"/>
    <w:rsid w:val="00E061D9"/>
    <w:pPr>
      <w:keepLines w:val="0"/>
      <w:spacing w:before="100" w:beforeAutospacing="1" w:after="100" w:afterAutospacing="1"/>
      <w:jc w:val="left"/>
    </w:pPr>
    <w:rPr>
      <w:rFonts w:ascii="Times New Roman" w:eastAsia="SimSun" w:hAnsi="Times New Roman"/>
      <w:sz w:val="24"/>
      <w:szCs w:val="24"/>
      <w:lang w:val="en-US" w:eastAsia="zh-CN"/>
    </w:rPr>
  </w:style>
  <w:style w:type="paragraph" w:customStyle="1" w:styleId="TableBodyText">
    <w:name w:val="Table Body Text"/>
    <w:basedOn w:val="Normal"/>
    <w:rsid w:val="00305B7A"/>
    <w:pPr>
      <w:keepLines w:val="0"/>
      <w:jc w:val="left"/>
    </w:pPr>
    <w:rPr>
      <w:rFonts w:ascii="Times New Roman" w:eastAsia="Times" w:hAnsi="Times New Roman"/>
      <w:sz w:val="20"/>
      <w:lang w:val="en-US"/>
    </w:rPr>
  </w:style>
  <w:style w:type="paragraph" w:customStyle="1" w:styleId="BodyText10">
    <w:name w:val="BodyText10"/>
    <w:rsid w:val="00305B7A"/>
    <w:pPr>
      <w:suppressAutoHyphens/>
      <w:jc w:val="both"/>
    </w:pPr>
    <w:rPr>
      <w:lang w:val="en-US" w:eastAsia="en-US"/>
    </w:rPr>
  </w:style>
  <w:style w:type="table" w:styleId="TableGrid">
    <w:name w:val="Table Grid"/>
    <w:basedOn w:val="TableNormal"/>
    <w:uiPriority w:val="59"/>
    <w:rsid w:val="009A5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Note"/>
    <w:rsid w:val="00F7691A"/>
    <w:pPr>
      <w:keepNext/>
      <w:keepLines/>
      <w:tabs>
        <w:tab w:val="left" w:pos="187"/>
        <w:tab w:val="left" w:pos="1440"/>
      </w:tabs>
      <w:ind w:left="187" w:hanging="187"/>
    </w:pPr>
    <w:rPr>
      <w:lang w:val="en-US" w:eastAsia="en-US"/>
    </w:rPr>
  </w:style>
  <w:style w:type="paragraph" w:customStyle="1" w:styleId="Dash10">
    <w:name w:val="Dash10"/>
    <w:uiPriority w:val="99"/>
    <w:rsid w:val="004879A9"/>
    <w:pPr>
      <w:tabs>
        <w:tab w:val="left" w:pos="576"/>
      </w:tabs>
      <w:spacing w:after="100"/>
      <w:jc w:val="both"/>
    </w:pPr>
    <w:rPr>
      <w:lang w:val="en-US" w:eastAsia="en-US"/>
    </w:rPr>
  </w:style>
  <w:style w:type="character" w:customStyle="1" w:styleId="BodyText12Char">
    <w:name w:val="BodyText12 Char"/>
    <w:link w:val="BodyText12"/>
    <w:locked/>
    <w:rsid w:val="0033331D"/>
    <w:rPr>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9E3"/>
    <w:pPr>
      <w:keepLines/>
      <w:jc w:val="both"/>
    </w:pPr>
    <w:rPr>
      <w:rFonts w:ascii="Arial" w:hAnsi="Arial"/>
      <w:sz w:val="22"/>
      <w:lang w:eastAsia="en-US"/>
    </w:rPr>
  </w:style>
  <w:style w:type="paragraph" w:styleId="Heading1">
    <w:name w:val="heading 1"/>
    <w:basedOn w:val="Normal"/>
    <w:next w:val="Normal"/>
    <w:qFormat/>
    <w:rsid w:val="003B09E3"/>
    <w:pPr>
      <w:keepNext/>
      <w:keepLines w:val="0"/>
      <w:spacing w:before="240" w:after="60"/>
      <w:jc w:val="left"/>
      <w:outlineLvl w:val="0"/>
    </w:pPr>
    <w:rPr>
      <w:b/>
      <w:kern w:val="28"/>
      <w:sz w:val="28"/>
    </w:rPr>
  </w:style>
  <w:style w:type="paragraph" w:styleId="Heading2">
    <w:name w:val="heading 2"/>
    <w:basedOn w:val="Normal"/>
    <w:next w:val="Normal"/>
    <w:qFormat/>
    <w:rsid w:val="003B09E3"/>
    <w:pPr>
      <w:keepNext/>
      <w:outlineLvl w:val="1"/>
    </w:pPr>
    <w:rPr>
      <w:u w:val="single"/>
    </w:rPr>
  </w:style>
  <w:style w:type="paragraph" w:styleId="Heading3">
    <w:name w:val="heading 3"/>
    <w:basedOn w:val="Normal"/>
    <w:next w:val="Normal"/>
    <w:qFormat/>
    <w:rsid w:val="003B09E3"/>
    <w:pPr>
      <w:keepNext/>
      <w:keepLines w:val="0"/>
      <w:jc w:val="left"/>
      <w:outlineLvl w:val="2"/>
    </w:pPr>
    <w:rPr>
      <w:b/>
      <w:bCs/>
    </w:rPr>
  </w:style>
  <w:style w:type="paragraph" w:styleId="Heading4">
    <w:name w:val="heading 4"/>
    <w:basedOn w:val="Normal"/>
    <w:next w:val="Normal"/>
    <w:qFormat/>
    <w:rsid w:val="003B09E3"/>
    <w:pPr>
      <w:keepNext/>
      <w:outlineLvl w:val="3"/>
    </w:pPr>
    <w:rPr>
      <w:u w:val="single"/>
    </w:rPr>
  </w:style>
  <w:style w:type="paragraph" w:styleId="Heading5">
    <w:name w:val="heading 5"/>
    <w:basedOn w:val="Normal"/>
    <w:next w:val="Normal"/>
    <w:qFormat/>
    <w:rsid w:val="003B09E3"/>
    <w:pPr>
      <w:keepNext/>
      <w:outlineLvl w:val="4"/>
    </w:pPr>
    <w:rPr>
      <w:i/>
      <w:iCs/>
    </w:rPr>
  </w:style>
  <w:style w:type="paragraph" w:styleId="Heading6">
    <w:name w:val="heading 6"/>
    <w:basedOn w:val="Normal"/>
    <w:next w:val="Normal"/>
    <w:qFormat/>
    <w:rsid w:val="003B09E3"/>
    <w:pPr>
      <w:keepNext/>
      <w:tabs>
        <w:tab w:val="right" w:pos="9072"/>
      </w:tabs>
      <w:suppressAutoHyphens/>
      <w:outlineLvl w:val="5"/>
    </w:pPr>
    <w:rPr>
      <w:vanish/>
      <w:sz w:val="16"/>
    </w:rPr>
  </w:style>
  <w:style w:type="paragraph" w:styleId="Heading7">
    <w:name w:val="heading 7"/>
    <w:basedOn w:val="Normal"/>
    <w:next w:val="Normal"/>
    <w:qFormat/>
    <w:rsid w:val="003B09E3"/>
    <w:pPr>
      <w:keepNext/>
      <w:outlineLvl w:val="6"/>
    </w:pPr>
    <w:rPr>
      <w:i/>
    </w:rPr>
  </w:style>
  <w:style w:type="paragraph" w:styleId="Heading8">
    <w:name w:val="heading 8"/>
    <w:basedOn w:val="Normal"/>
    <w:next w:val="Normal"/>
    <w:qFormat/>
    <w:rsid w:val="003B09E3"/>
    <w:pPr>
      <w:keepNext/>
      <w:jc w:val="left"/>
      <w:outlineLvl w:val="7"/>
    </w:pPr>
    <w:rPr>
      <w:b/>
      <w:sz w:val="18"/>
    </w:rPr>
  </w:style>
  <w:style w:type="paragraph" w:styleId="Heading9">
    <w:name w:val="heading 9"/>
    <w:basedOn w:val="Normal"/>
    <w:next w:val="Normal"/>
    <w:qFormat/>
    <w:rsid w:val="003B09E3"/>
    <w:pPr>
      <w:keepNext/>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3B09E3"/>
    <w:pPr>
      <w:tabs>
        <w:tab w:val="right" w:pos="9639"/>
      </w:tabs>
    </w:pPr>
    <w:rPr>
      <w:rFonts w:ascii="Arial Narrow" w:hAnsi="Arial Narrow"/>
      <w:i/>
    </w:rPr>
  </w:style>
  <w:style w:type="paragraph" w:customStyle="1" w:styleId="Hint">
    <w:name w:val="Hint"/>
    <w:basedOn w:val="BodyTextIndent2"/>
    <w:autoRedefine/>
    <w:rsid w:val="003B09E3"/>
    <w:pPr>
      <w:keepLines w:val="0"/>
      <w:tabs>
        <w:tab w:val="left" w:pos="709"/>
      </w:tabs>
      <w:spacing w:before="120" w:line="240" w:lineRule="auto"/>
      <w:ind w:left="709" w:right="318" w:hanging="709"/>
    </w:pPr>
    <w:rPr>
      <w:rFonts w:ascii="Andy" w:hAnsi="Andy"/>
      <w:color w:val="0000FF"/>
      <w:sz w:val="26"/>
      <w:lang w:val="en-US"/>
    </w:rPr>
  </w:style>
  <w:style w:type="paragraph" w:styleId="BodyTextIndent2">
    <w:name w:val="Body Text Indent 2"/>
    <w:basedOn w:val="Normal"/>
    <w:semiHidden/>
    <w:rsid w:val="003B09E3"/>
    <w:pPr>
      <w:spacing w:after="120" w:line="480" w:lineRule="auto"/>
      <w:ind w:left="360"/>
    </w:pPr>
  </w:style>
  <w:style w:type="paragraph" w:customStyle="1" w:styleId="PIMAINHEADING">
    <w:name w:val="PI MAINHEADING"/>
    <w:basedOn w:val="Heading1"/>
    <w:rsid w:val="003B09E3"/>
    <w:pPr>
      <w:keepNext w:val="0"/>
      <w:keepLines/>
      <w:widowControl w:val="0"/>
      <w:pBdr>
        <w:top w:val="single" w:sz="6" w:space="1" w:color="auto"/>
        <w:bottom w:val="single" w:sz="6" w:space="1" w:color="auto"/>
      </w:pBdr>
      <w:spacing w:before="0" w:after="0"/>
      <w:jc w:val="both"/>
      <w:outlineLvl w:val="9"/>
    </w:pPr>
    <w:rPr>
      <w:rFonts w:ascii="Arial Black" w:hAnsi="Arial Black"/>
      <w:sz w:val="56"/>
    </w:rPr>
  </w:style>
  <w:style w:type="paragraph" w:customStyle="1" w:styleId="PIProductInfo">
    <w:name w:val="PI Product Info"/>
    <w:basedOn w:val="Normal"/>
    <w:rsid w:val="003B09E3"/>
    <w:pPr>
      <w:keepLines w:val="0"/>
      <w:widowControl w:val="0"/>
      <w:pBdr>
        <w:bottom w:val="single" w:sz="6" w:space="1" w:color="auto"/>
      </w:pBdr>
      <w:spacing w:before="60" w:after="240"/>
      <w:jc w:val="center"/>
    </w:pPr>
    <w:rPr>
      <w:b/>
      <w:sz w:val="36"/>
      <w:lang w:val="en-US"/>
    </w:rPr>
  </w:style>
  <w:style w:type="paragraph" w:customStyle="1" w:styleId="PIHEADTOP">
    <w:name w:val="PI HEADTOP"/>
    <w:basedOn w:val="Normal"/>
    <w:rsid w:val="003B09E3"/>
    <w:pPr>
      <w:keepLines w:val="0"/>
      <w:tabs>
        <w:tab w:val="left" w:pos="-720"/>
      </w:tabs>
      <w:suppressAutoHyphens/>
      <w:spacing w:after="120"/>
      <w:jc w:val="left"/>
    </w:pPr>
    <w:rPr>
      <w:b/>
      <w:caps/>
      <w:spacing w:val="-2"/>
      <w:sz w:val="28"/>
    </w:rPr>
  </w:style>
  <w:style w:type="paragraph" w:customStyle="1" w:styleId="PIEXPLAIN">
    <w:name w:val="PI EXPLAIN"/>
    <w:basedOn w:val="Normal"/>
    <w:rsid w:val="003B09E3"/>
    <w:pPr>
      <w:keepLines w:val="0"/>
      <w:tabs>
        <w:tab w:val="left" w:pos="-720"/>
      </w:tabs>
      <w:suppressAutoHyphens/>
      <w:spacing w:before="20" w:after="80"/>
    </w:pPr>
    <w:rPr>
      <w:spacing w:val="-2"/>
    </w:rPr>
  </w:style>
  <w:style w:type="paragraph" w:customStyle="1" w:styleId="PIHEADING1">
    <w:name w:val="PI HEADING1"/>
    <w:basedOn w:val="PIHEADTOP"/>
    <w:rsid w:val="003B09E3"/>
    <w:pPr>
      <w:keepNext/>
      <w:keepLines/>
      <w:spacing w:before="360"/>
      <w:jc w:val="both"/>
    </w:pPr>
  </w:style>
  <w:style w:type="paragraph" w:customStyle="1" w:styleId="PIHEADING2">
    <w:name w:val="PI HEADING2"/>
    <w:basedOn w:val="Normal"/>
    <w:rsid w:val="003B09E3"/>
    <w:pPr>
      <w:keepNext/>
      <w:tabs>
        <w:tab w:val="left" w:pos="-720"/>
      </w:tabs>
      <w:suppressAutoHyphens/>
      <w:spacing w:before="120" w:after="80"/>
    </w:pPr>
    <w:rPr>
      <w:b/>
      <w:spacing w:val="-2"/>
      <w:sz w:val="28"/>
    </w:rPr>
  </w:style>
  <w:style w:type="paragraph" w:customStyle="1" w:styleId="PIDOTPOINT">
    <w:name w:val="PI DOTPOINT"/>
    <w:basedOn w:val="PIEXPLAIN"/>
    <w:rsid w:val="003B09E3"/>
    <w:pPr>
      <w:spacing w:before="0" w:after="40"/>
      <w:ind w:left="568" w:hanging="284"/>
    </w:pPr>
  </w:style>
  <w:style w:type="paragraph" w:styleId="Footer">
    <w:name w:val="footer"/>
    <w:basedOn w:val="Normal"/>
    <w:semiHidden/>
    <w:rsid w:val="003B09E3"/>
    <w:pPr>
      <w:tabs>
        <w:tab w:val="center" w:pos="4153"/>
        <w:tab w:val="right" w:pos="8306"/>
      </w:tabs>
    </w:pPr>
  </w:style>
  <w:style w:type="character" w:styleId="LineNumber">
    <w:name w:val="line number"/>
    <w:basedOn w:val="DefaultParagraphFont"/>
    <w:semiHidden/>
    <w:rsid w:val="003B09E3"/>
  </w:style>
  <w:style w:type="character" w:styleId="Strong">
    <w:name w:val="Strong"/>
    <w:qFormat/>
    <w:rsid w:val="003B09E3"/>
    <w:rPr>
      <w:b/>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
    <w:basedOn w:val="Normal"/>
    <w:semiHidden/>
    <w:rsid w:val="003B09E3"/>
    <w:pPr>
      <w:keepLines w:val="0"/>
      <w:tabs>
        <w:tab w:val="left" w:pos="567"/>
      </w:tabs>
      <w:spacing w:line="260" w:lineRule="exact"/>
      <w:jc w:val="left"/>
    </w:pPr>
    <w:rPr>
      <w:rFonts w:ascii="Times New Roman" w:hAnsi="Times New Roman"/>
      <w:b/>
      <w:i/>
      <w:lang w:val="en-GB"/>
    </w:rPr>
  </w:style>
  <w:style w:type="paragraph" w:customStyle="1" w:styleId="Paragraph">
    <w:name w:val="Paragraph"/>
    <w:rsid w:val="003B09E3"/>
    <w:pPr>
      <w:numPr>
        <w:ilvl w:val="12"/>
      </w:numPr>
      <w:suppressAutoHyphens/>
      <w:spacing w:before="120" w:line="260" w:lineRule="exact"/>
    </w:pPr>
    <w:rPr>
      <w:sz w:val="22"/>
      <w:lang w:val="en-US" w:eastAsia="en-US"/>
    </w:rPr>
  </w:style>
  <w:style w:type="paragraph" w:styleId="CommentText">
    <w:name w:val="annotation text"/>
    <w:basedOn w:val="Normal"/>
    <w:link w:val="CommentTextChar"/>
    <w:semiHidden/>
    <w:rsid w:val="003B09E3"/>
    <w:pPr>
      <w:keepLines w:val="0"/>
      <w:tabs>
        <w:tab w:val="left" w:pos="567"/>
      </w:tabs>
      <w:spacing w:line="260" w:lineRule="exact"/>
      <w:jc w:val="left"/>
    </w:pPr>
    <w:rPr>
      <w:rFonts w:ascii="Times New Roman" w:hAnsi="Times New Roman"/>
      <w:sz w:val="20"/>
      <w:lang w:val="en-GB"/>
    </w:rPr>
  </w:style>
  <w:style w:type="paragraph" w:styleId="EndnoteText">
    <w:name w:val="endnote text"/>
    <w:basedOn w:val="Normal"/>
    <w:next w:val="Normal"/>
    <w:link w:val="EndnoteTextChar1"/>
    <w:semiHidden/>
    <w:rsid w:val="003B09E3"/>
    <w:pPr>
      <w:keepLines w:val="0"/>
      <w:tabs>
        <w:tab w:val="left" w:pos="567"/>
      </w:tabs>
      <w:jc w:val="left"/>
    </w:pPr>
    <w:rPr>
      <w:rFonts w:ascii="Times New Roman" w:hAnsi="Times New Roman"/>
      <w:lang w:val="en-GB"/>
    </w:rPr>
  </w:style>
  <w:style w:type="character" w:styleId="PageNumber">
    <w:name w:val="page number"/>
    <w:basedOn w:val="DefaultParagraphFont"/>
    <w:semiHidden/>
    <w:rsid w:val="003B09E3"/>
  </w:style>
  <w:style w:type="paragraph" w:customStyle="1" w:styleId="ParagraphChar">
    <w:name w:val="Paragraph Char"/>
    <w:rsid w:val="003B09E3"/>
    <w:pPr>
      <w:numPr>
        <w:ilvl w:val="12"/>
      </w:numPr>
      <w:suppressAutoHyphens/>
      <w:spacing w:after="120" w:line="260" w:lineRule="exact"/>
    </w:pPr>
    <w:rPr>
      <w:sz w:val="22"/>
      <w:lang w:val="en-US" w:eastAsia="en-US"/>
    </w:rPr>
  </w:style>
  <w:style w:type="paragraph" w:styleId="BodyText2">
    <w:name w:val="Body Text 2"/>
    <w:basedOn w:val="Normal"/>
    <w:semiHidden/>
    <w:rsid w:val="003B09E3"/>
    <w:rPr>
      <w:b/>
      <w:bCs/>
    </w:rPr>
  </w:style>
  <w:style w:type="character" w:customStyle="1" w:styleId="TableFootnoteChar1">
    <w:name w:val="Table Footnote Char1"/>
    <w:rsid w:val="003B09E3"/>
    <w:rPr>
      <w:noProof w:val="0"/>
      <w:snapToGrid w:val="0"/>
      <w:lang w:val="en-US" w:eastAsia="en-US" w:bidi="ar-SA"/>
    </w:rPr>
  </w:style>
  <w:style w:type="paragraph" w:customStyle="1" w:styleId="tablebodyChar">
    <w:name w:val="table:body Char"/>
    <w:basedOn w:val="Normal"/>
    <w:rsid w:val="003B09E3"/>
    <w:pPr>
      <w:keepLines w:val="0"/>
      <w:suppressAutoHyphens/>
      <w:spacing w:before="20" w:after="20"/>
      <w:jc w:val="left"/>
    </w:pPr>
    <w:rPr>
      <w:rFonts w:ascii="Times New Roman" w:hAnsi="Times New Roman"/>
      <w:sz w:val="20"/>
      <w:lang w:val="en-US"/>
    </w:rPr>
  </w:style>
  <w:style w:type="paragraph" w:customStyle="1" w:styleId="ParagraphCharChar">
    <w:name w:val="Paragraph Char Char"/>
    <w:rsid w:val="003B09E3"/>
    <w:pPr>
      <w:numPr>
        <w:ilvl w:val="12"/>
      </w:numPr>
      <w:suppressAutoHyphens/>
      <w:spacing w:after="120" w:line="260" w:lineRule="exact"/>
    </w:pPr>
    <w:rPr>
      <w:sz w:val="22"/>
      <w:lang w:val="en-US" w:eastAsia="en-US"/>
    </w:rPr>
  </w:style>
  <w:style w:type="paragraph" w:customStyle="1" w:styleId="tabletitleCharChar">
    <w:name w:val="table:title Char Char"/>
    <w:basedOn w:val="Normal"/>
    <w:next w:val="Normal"/>
    <w:rsid w:val="003B09E3"/>
    <w:pPr>
      <w:keepNext/>
      <w:keepLines w:val="0"/>
      <w:numPr>
        <w:ilvl w:val="12"/>
      </w:numPr>
      <w:suppressAutoHyphens/>
      <w:spacing w:before="120" w:after="120" w:line="260" w:lineRule="exact"/>
      <w:ind w:left="1152" w:hanging="1152"/>
      <w:jc w:val="left"/>
    </w:pPr>
    <w:rPr>
      <w:rFonts w:ascii="Times New Roman" w:hAnsi="Times New Roman"/>
      <w:b/>
      <w:lang w:val="en-US"/>
    </w:rPr>
  </w:style>
  <w:style w:type="character" w:customStyle="1" w:styleId="BodyTextIndentCharChar">
    <w:name w:val="Body Text Indent Char Char"/>
    <w:rsid w:val="003B09E3"/>
    <w:rPr>
      <w:lang w:val="en-US" w:eastAsia="en-US" w:bidi="ar-SA"/>
    </w:rPr>
  </w:style>
  <w:style w:type="paragraph" w:customStyle="1" w:styleId="BodyText12">
    <w:name w:val="BodyText12"/>
    <w:link w:val="BodyText12Char"/>
    <w:qFormat/>
    <w:rsid w:val="003B09E3"/>
    <w:pPr>
      <w:spacing w:after="200" w:line="300" w:lineRule="auto"/>
      <w:ind w:left="850"/>
      <w:jc w:val="both"/>
    </w:pPr>
    <w:rPr>
      <w:sz w:val="24"/>
      <w:lang w:val="en-US" w:eastAsia="en-US"/>
    </w:rPr>
  </w:style>
  <w:style w:type="paragraph" w:customStyle="1" w:styleId="SubheaderCharCharCharCharCharCharCharCharCharCharCharCharCharCharCharCharChar">
    <w:name w:val="Subheader Char Char Char Char Char Char Char Char Char Char Char Char Char Char Char Char Char"/>
    <w:basedOn w:val="BodyText"/>
    <w:next w:val="BodyText"/>
    <w:rsid w:val="003B09E3"/>
    <w:pPr>
      <w:keepNext/>
      <w:tabs>
        <w:tab w:val="clear" w:pos="567"/>
      </w:tabs>
      <w:spacing w:after="60" w:line="240" w:lineRule="auto"/>
    </w:pPr>
    <w:rPr>
      <w:b w:val="0"/>
      <w:i w:val="0"/>
      <w:u w:val="single"/>
    </w:rPr>
  </w:style>
  <w:style w:type="paragraph" w:customStyle="1" w:styleId="SubheaderCharCharCharCharCharCharCharCharCharCharCharCharCharCharCharChar">
    <w:name w:val="Subheader Char Char Char Char Char Char Char Char Char Char Char Char Char Char Char Char"/>
    <w:basedOn w:val="BodyText"/>
    <w:next w:val="BodyText"/>
    <w:rsid w:val="003B09E3"/>
    <w:pPr>
      <w:keepNext/>
      <w:tabs>
        <w:tab w:val="clear" w:pos="567"/>
      </w:tabs>
      <w:spacing w:after="60" w:line="240" w:lineRule="auto"/>
    </w:pPr>
    <w:rPr>
      <w:b w:val="0"/>
      <w:i w:val="0"/>
      <w:u w:val="single"/>
    </w:rPr>
  </w:style>
  <w:style w:type="character" w:styleId="CommentReference">
    <w:name w:val="annotation reference"/>
    <w:semiHidden/>
    <w:rsid w:val="003B09E3"/>
    <w:rPr>
      <w:sz w:val="16"/>
    </w:rPr>
  </w:style>
  <w:style w:type="paragraph" w:customStyle="1" w:styleId="TableFootnoteCharChar1">
    <w:name w:val="Table Footnote Char Char1"/>
    <w:basedOn w:val="Normal"/>
    <w:next w:val="Normal"/>
    <w:rsid w:val="003B09E3"/>
    <w:pPr>
      <w:keepNext/>
      <w:widowControl w:val="0"/>
      <w:tabs>
        <w:tab w:val="left" w:pos="259"/>
      </w:tabs>
      <w:spacing w:before="20" w:after="20" w:line="220" w:lineRule="atLeast"/>
      <w:ind w:left="259" w:hanging="259"/>
      <w:jc w:val="left"/>
    </w:pPr>
    <w:rPr>
      <w:rFonts w:ascii="Times New Roman" w:hAnsi="Times New Roman"/>
      <w:sz w:val="20"/>
      <w:lang w:val="en-US"/>
    </w:rPr>
  </w:style>
  <w:style w:type="paragraph" w:styleId="FootnoteText">
    <w:name w:val="footnote text"/>
    <w:basedOn w:val="Normal"/>
    <w:semiHidden/>
    <w:rsid w:val="003B09E3"/>
    <w:pPr>
      <w:keepLines w:val="0"/>
      <w:jc w:val="left"/>
    </w:pPr>
    <w:rPr>
      <w:rFonts w:ascii="Times New Roman" w:hAnsi="Times New Roman"/>
      <w:sz w:val="20"/>
      <w:lang w:val="en-GB"/>
    </w:rPr>
  </w:style>
  <w:style w:type="character" w:styleId="EndnoteReference">
    <w:name w:val="endnote reference"/>
    <w:semiHidden/>
    <w:rsid w:val="003B09E3"/>
    <w:rPr>
      <w:vertAlign w:val="superscript"/>
    </w:rPr>
  </w:style>
  <w:style w:type="paragraph" w:customStyle="1" w:styleId="tableheaderChar">
    <w:name w:val="table:header Char"/>
    <w:basedOn w:val="Normal"/>
    <w:rsid w:val="003B09E3"/>
    <w:pPr>
      <w:keepLines w:val="0"/>
      <w:suppressAutoHyphens/>
      <w:spacing w:before="20" w:after="20"/>
      <w:jc w:val="left"/>
    </w:pPr>
    <w:rPr>
      <w:rFonts w:ascii="Times New Roman" w:hAnsi="Times New Roman"/>
      <w:b/>
      <w:sz w:val="20"/>
      <w:lang w:val="en-US"/>
    </w:rPr>
  </w:style>
  <w:style w:type="character" w:styleId="Hyperlink">
    <w:name w:val="Hyperlink"/>
    <w:semiHidden/>
    <w:rsid w:val="003B09E3"/>
    <w:rPr>
      <w:color w:val="0000FF"/>
      <w:u w:val="single"/>
    </w:rPr>
  </w:style>
  <w:style w:type="character" w:styleId="FollowedHyperlink">
    <w:name w:val="FollowedHyperlink"/>
    <w:semiHidden/>
    <w:rsid w:val="003B09E3"/>
    <w:rPr>
      <w:color w:val="800080"/>
      <w:u w:val="single"/>
    </w:rPr>
  </w:style>
  <w:style w:type="paragraph" w:customStyle="1" w:styleId="Narrative1">
    <w:name w:val="Narrative 1"/>
    <w:rsid w:val="003B09E3"/>
    <w:pPr>
      <w:tabs>
        <w:tab w:val="num" w:pos="1210"/>
      </w:tabs>
      <w:spacing w:after="200" w:line="300" w:lineRule="auto"/>
      <w:ind w:left="1210" w:hanging="360"/>
      <w:jc w:val="both"/>
    </w:pPr>
    <w:rPr>
      <w:sz w:val="24"/>
      <w:lang w:val="en-US" w:eastAsia="en-US"/>
    </w:rPr>
  </w:style>
  <w:style w:type="paragraph" w:customStyle="1" w:styleId="Narrative2">
    <w:name w:val="Narrative 2"/>
    <w:rsid w:val="003B09E3"/>
    <w:pPr>
      <w:tabs>
        <w:tab w:val="num" w:pos="1570"/>
      </w:tabs>
      <w:spacing w:after="200" w:line="300" w:lineRule="auto"/>
      <w:ind w:left="1570" w:hanging="360"/>
      <w:jc w:val="both"/>
    </w:pPr>
    <w:rPr>
      <w:sz w:val="24"/>
      <w:lang w:val="en-US" w:eastAsia="en-US"/>
    </w:rPr>
  </w:style>
  <w:style w:type="paragraph" w:customStyle="1" w:styleId="MarkTable">
    <w:name w:val="Mark Table"/>
    <w:next w:val="TableText"/>
    <w:rsid w:val="003B09E3"/>
    <w:pPr>
      <w:keepNext/>
      <w:ind w:left="1080" w:hanging="1066"/>
    </w:pPr>
    <w:rPr>
      <w:lang w:val="en-US" w:eastAsia="en-US"/>
    </w:rPr>
  </w:style>
  <w:style w:type="paragraph" w:customStyle="1" w:styleId="TableText">
    <w:name w:val="TableText"/>
    <w:rsid w:val="003B09E3"/>
    <w:pPr>
      <w:keepNext/>
    </w:pPr>
    <w:rPr>
      <w:lang w:val="en-US" w:eastAsia="en-US"/>
    </w:rPr>
  </w:style>
  <w:style w:type="paragraph" w:customStyle="1" w:styleId="paragraph0">
    <w:name w:val="paragraph"/>
    <w:basedOn w:val="Normal"/>
    <w:rsid w:val="003B09E3"/>
    <w:pPr>
      <w:keepLines w:val="0"/>
      <w:spacing w:before="120" w:after="120" w:line="280" w:lineRule="atLeast"/>
      <w:jc w:val="left"/>
    </w:pPr>
    <w:rPr>
      <w:rFonts w:ascii="Times New Roman" w:eastAsia="Arial Unicode MS" w:hAnsi="Times New Roman"/>
      <w:sz w:val="24"/>
      <w:szCs w:val="24"/>
      <w:lang w:val="en-GB"/>
    </w:rPr>
  </w:style>
  <w:style w:type="paragraph" w:styleId="BodyText3">
    <w:name w:val="Body Text 3"/>
    <w:basedOn w:val="Normal"/>
    <w:semiHidden/>
    <w:rsid w:val="003B09E3"/>
    <w:pPr>
      <w:jc w:val="center"/>
    </w:pPr>
    <w:rPr>
      <w:sz w:val="20"/>
    </w:rPr>
  </w:style>
  <w:style w:type="paragraph" w:customStyle="1" w:styleId="Body">
    <w:name w:val="Body"/>
    <w:basedOn w:val="Normal"/>
    <w:rsid w:val="003B09E3"/>
    <w:pPr>
      <w:keepLines w:val="0"/>
      <w:ind w:firstLine="288"/>
    </w:pPr>
    <w:rPr>
      <w:sz w:val="20"/>
      <w:lang w:val="en-US"/>
    </w:rPr>
  </w:style>
  <w:style w:type="paragraph" w:styleId="NormalWeb">
    <w:name w:val="Normal (Web)"/>
    <w:basedOn w:val="Normal"/>
    <w:uiPriority w:val="99"/>
    <w:semiHidden/>
    <w:rsid w:val="003B09E3"/>
    <w:pPr>
      <w:keepLines w:val="0"/>
      <w:spacing w:before="100" w:beforeAutospacing="1" w:after="100" w:afterAutospacing="1"/>
      <w:jc w:val="left"/>
    </w:pPr>
    <w:rPr>
      <w:rFonts w:eastAsia="Arial Unicode MS" w:cs="Arial"/>
      <w:sz w:val="20"/>
    </w:rPr>
  </w:style>
  <w:style w:type="character" w:styleId="FootnoteReference">
    <w:name w:val="footnote reference"/>
    <w:semiHidden/>
    <w:rsid w:val="003B09E3"/>
    <w:rPr>
      <w:vertAlign w:val="superscript"/>
    </w:rPr>
  </w:style>
  <w:style w:type="paragraph" w:styleId="Caption">
    <w:name w:val="caption"/>
    <w:basedOn w:val="Normal"/>
    <w:next w:val="Normal"/>
    <w:uiPriority w:val="35"/>
    <w:qFormat/>
    <w:rsid w:val="003B09E3"/>
    <w:pPr>
      <w:keepLines w:val="0"/>
      <w:tabs>
        <w:tab w:val="left" w:pos="1281"/>
      </w:tabs>
      <w:spacing w:before="120" w:after="120"/>
      <w:ind w:left="1281" w:hanging="1281"/>
      <w:jc w:val="left"/>
    </w:pPr>
    <w:rPr>
      <w:rFonts w:ascii="Times New Roman" w:hAnsi="Times New Roman"/>
      <w:b/>
      <w:bCs/>
      <w:sz w:val="24"/>
      <w:szCs w:val="24"/>
      <w:lang w:val="en-GB"/>
    </w:rPr>
  </w:style>
  <w:style w:type="paragraph" w:customStyle="1" w:styleId="Footnote">
    <w:name w:val="Footnote"/>
    <w:basedOn w:val="Normal"/>
    <w:next w:val="Body"/>
    <w:rsid w:val="003B09E3"/>
    <w:pPr>
      <w:tabs>
        <w:tab w:val="right" w:pos="317"/>
        <w:tab w:val="left" w:pos="346"/>
      </w:tabs>
      <w:ind w:left="346" w:hanging="346"/>
      <w:jc w:val="left"/>
    </w:pPr>
    <w:rPr>
      <w:rFonts w:ascii="Times New Roman" w:hAnsi="Times New Roman"/>
      <w:sz w:val="14"/>
      <w:szCs w:val="24"/>
      <w:lang w:val="en-US"/>
    </w:rPr>
  </w:style>
  <w:style w:type="paragraph" w:customStyle="1" w:styleId="TradeName">
    <w:name w:val="Trade Name"/>
    <w:basedOn w:val="Normal"/>
    <w:next w:val="Normal"/>
    <w:rsid w:val="003B09E3"/>
    <w:pPr>
      <w:keepNext/>
      <w:jc w:val="left"/>
    </w:pPr>
    <w:rPr>
      <w:rFonts w:ascii="Times New Roman" w:hAnsi="Times New Roman"/>
      <w:b/>
      <w:caps/>
      <w:sz w:val="30"/>
      <w:szCs w:val="24"/>
      <w:lang w:val="en-US"/>
    </w:rPr>
  </w:style>
  <w:style w:type="character" w:customStyle="1" w:styleId="EmailStyle62">
    <w:name w:val="EmailStyle62"/>
    <w:rsid w:val="003B09E3"/>
    <w:rPr>
      <w:rFonts w:ascii="Arial" w:hAnsi="Arial" w:cs="Arial"/>
      <w:color w:val="000080"/>
      <w:sz w:val="20"/>
    </w:rPr>
  </w:style>
  <w:style w:type="paragraph" w:styleId="DocumentMap">
    <w:name w:val="Document Map"/>
    <w:basedOn w:val="Normal"/>
    <w:semiHidden/>
    <w:rsid w:val="003B09E3"/>
    <w:pPr>
      <w:shd w:val="clear" w:color="auto" w:fill="000080"/>
    </w:pPr>
    <w:rPr>
      <w:rFonts w:ascii="Tahoma" w:hAnsi="Tahoma" w:cs="Tahoma"/>
    </w:rPr>
  </w:style>
  <w:style w:type="paragraph" w:styleId="BodyTextIndent">
    <w:name w:val="Body Text Indent"/>
    <w:basedOn w:val="Normal"/>
    <w:semiHidden/>
    <w:rsid w:val="003B09E3"/>
    <w:pPr>
      <w:ind w:left="1418" w:hanging="1418"/>
    </w:pPr>
    <w:rPr>
      <w:b/>
      <w:bCs/>
    </w:rPr>
  </w:style>
  <w:style w:type="paragraph" w:styleId="BodyTextIndent3">
    <w:name w:val="Body Text Indent 3"/>
    <w:basedOn w:val="Normal"/>
    <w:semiHidden/>
    <w:rsid w:val="003B09E3"/>
    <w:pPr>
      <w:keepNext/>
      <w:ind w:left="1134" w:hanging="1134"/>
    </w:pPr>
    <w:rPr>
      <w:b/>
      <w:bCs/>
    </w:rPr>
  </w:style>
  <w:style w:type="paragraph" w:customStyle="1" w:styleId="Turnedtext">
    <w:name w:val="Turned text"/>
    <w:basedOn w:val="Normal"/>
    <w:next w:val="Body"/>
    <w:rsid w:val="003B09E3"/>
    <w:pPr>
      <w:jc w:val="center"/>
    </w:pPr>
    <w:rPr>
      <w:sz w:val="20"/>
      <w:lang w:val="en-US"/>
    </w:rPr>
  </w:style>
  <w:style w:type="paragraph" w:customStyle="1" w:styleId="colspan">
    <w:name w:val="colspan"/>
    <w:basedOn w:val="Normal"/>
    <w:next w:val="Normal"/>
    <w:rsid w:val="003B09E3"/>
    <w:pPr>
      <w:keepLines w:val="0"/>
      <w:widowControl w:val="0"/>
      <w:autoSpaceDE w:val="0"/>
      <w:autoSpaceDN w:val="0"/>
      <w:adjustRightInd w:val="0"/>
      <w:ind w:left="40" w:right="40"/>
      <w:jc w:val="center"/>
    </w:pPr>
    <w:rPr>
      <w:rFonts w:ascii="Times New Roman" w:hAnsi="Times New Roman"/>
      <w:b/>
      <w:bCs/>
      <w:sz w:val="20"/>
      <w:lang w:val="en-US"/>
    </w:rPr>
  </w:style>
  <w:style w:type="paragraph" w:customStyle="1" w:styleId="rowleft">
    <w:name w:val="rowleft"/>
    <w:basedOn w:val="Normal"/>
    <w:next w:val="Normal"/>
    <w:rsid w:val="003B09E3"/>
    <w:pPr>
      <w:keepLines w:val="0"/>
      <w:widowControl w:val="0"/>
      <w:autoSpaceDE w:val="0"/>
      <w:autoSpaceDN w:val="0"/>
      <w:adjustRightInd w:val="0"/>
      <w:ind w:left="40" w:right="40"/>
      <w:jc w:val="left"/>
    </w:pPr>
    <w:rPr>
      <w:rFonts w:ascii="Times New Roman" w:hAnsi="Times New Roman"/>
      <w:sz w:val="20"/>
      <w:lang w:val="en-US"/>
    </w:rPr>
  </w:style>
  <w:style w:type="paragraph" w:customStyle="1" w:styleId="topleft">
    <w:name w:val="topleft"/>
    <w:basedOn w:val="Normal"/>
    <w:next w:val="Normal"/>
    <w:rsid w:val="003B09E3"/>
    <w:pPr>
      <w:keepLines w:val="0"/>
      <w:widowControl w:val="0"/>
      <w:autoSpaceDE w:val="0"/>
      <w:autoSpaceDN w:val="0"/>
      <w:adjustRightInd w:val="0"/>
      <w:ind w:left="40" w:right="40"/>
      <w:jc w:val="left"/>
    </w:pPr>
    <w:rPr>
      <w:rFonts w:ascii="Times New Roman" w:hAnsi="Times New Roman"/>
      <w:b/>
      <w:bCs/>
      <w:sz w:val="20"/>
      <w:lang w:val="en-US"/>
    </w:rPr>
  </w:style>
  <w:style w:type="paragraph" w:customStyle="1" w:styleId="colorder">
    <w:name w:val="colorder"/>
    <w:basedOn w:val="Normal"/>
    <w:next w:val="Normal"/>
    <w:rsid w:val="003B09E3"/>
    <w:pPr>
      <w:keepLines w:val="0"/>
      <w:widowControl w:val="0"/>
      <w:autoSpaceDE w:val="0"/>
      <w:autoSpaceDN w:val="0"/>
      <w:adjustRightInd w:val="0"/>
      <w:ind w:left="40" w:right="40"/>
      <w:jc w:val="center"/>
    </w:pPr>
    <w:rPr>
      <w:rFonts w:ascii="Times New Roman" w:hAnsi="Times New Roman"/>
      <w:b/>
      <w:bCs/>
      <w:sz w:val="20"/>
      <w:lang w:val="en-US"/>
    </w:rPr>
  </w:style>
  <w:style w:type="paragraph" w:customStyle="1" w:styleId="row">
    <w:name w:val="row"/>
    <w:basedOn w:val="Normal"/>
    <w:next w:val="Normal"/>
    <w:rsid w:val="003B09E3"/>
    <w:pPr>
      <w:keepLines w:val="0"/>
      <w:widowControl w:val="0"/>
      <w:autoSpaceDE w:val="0"/>
      <w:autoSpaceDN w:val="0"/>
      <w:adjustRightInd w:val="0"/>
      <w:ind w:left="40" w:right="40"/>
      <w:jc w:val="center"/>
    </w:pPr>
    <w:rPr>
      <w:rFonts w:ascii="Times New Roman" w:hAnsi="Times New Roman"/>
      <w:sz w:val="20"/>
      <w:lang w:val="en-US"/>
    </w:rPr>
  </w:style>
  <w:style w:type="paragraph" w:customStyle="1" w:styleId="section">
    <w:name w:val="section"/>
    <w:basedOn w:val="Normal"/>
    <w:next w:val="Normal"/>
    <w:rsid w:val="003B09E3"/>
    <w:pPr>
      <w:keepLines w:val="0"/>
      <w:widowControl w:val="0"/>
      <w:autoSpaceDE w:val="0"/>
      <w:autoSpaceDN w:val="0"/>
      <w:adjustRightInd w:val="0"/>
      <w:ind w:left="40" w:right="40"/>
      <w:jc w:val="left"/>
    </w:pPr>
    <w:rPr>
      <w:rFonts w:ascii="Times New Roman" w:hAnsi="Times New Roman"/>
      <w:b/>
      <w:bCs/>
      <w:sz w:val="20"/>
      <w:lang w:val="en-US"/>
    </w:rPr>
  </w:style>
  <w:style w:type="paragraph" w:styleId="PlainText">
    <w:name w:val="Plain Text"/>
    <w:basedOn w:val="Normal"/>
    <w:semiHidden/>
    <w:unhideWhenUsed/>
    <w:rsid w:val="003B09E3"/>
    <w:pPr>
      <w:keepLines w:val="0"/>
      <w:jc w:val="left"/>
    </w:pPr>
    <w:rPr>
      <w:rFonts w:eastAsia="Calibri" w:cs="Arial"/>
      <w:sz w:val="20"/>
      <w:lang w:val="en-US"/>
    </w:rPr>
  </w:style>
  <w:style w:type="character" w:customStyle="1" w:styleId="PlainTextChar">
    <w:name w:val="Plain Text Char"/>
    <w:rsid w:val="003B09E3"/>
    <w:rPr>
      <w:rFonts w:ascii="Arial" w:eastAsia="Calibri" w:hAnsi="Arial" w:cs="Arial"/>
    </w:rPr>
  </w:style>
  <w:style w:type="paragraph" w:styleId="CommentSubject">
    <w:name w:val="annotation subject"/>
    <w:basedOn w:val="CommentText"/>
    <w:next w:val="CommentText"/>
    <w:link w:val="CommentSubjectChar"/>
    <w:uiPriority w:val="99"/>
    <w:semiHidden/>
    <w:unhideWhenUsed/>
    <w:rsid w:val="0079505B"/>
    <w:pPr>
      <w:keepLines/>
      <w:tabs>
        <w:tab w:val="clear" w:pos="567"/>
      </w:tabs>
      <w:spacing w:line="240" w:lineRule="auto"/>
      <w:jc w:val="both"/>
    </w:pPr>
    <w:rPr>
      <w:rFonts w:ascii="Arial" w:hAnsi="Arial"/>
      <w:b/>
      <w:bCs/>
      <w:lang w:val="en-AU"/>
    </w:rPr>
  </w:style>
  <w:style w:type="character" w:customStyle="1" w:styleId="CommentTextChar">
    <w:name w:val="Comment Text Char"/>
    <w:link w:val="CommentText"/>
    <w:semiHidden/>
    <w:rsid w:val="0079505B"/>
    <w:rPr>
      <w:lang w:val="en-GB"/>
    </w:rPr>
  </w:style>
  <w:style w:type="character" w:customStyle="1" w:styleId="CommentSubjectChar">
    <w:name w:val="Comment Subject Char"/>
    <w:basedOn w:val="CommentTextChar"/>
    <w:link w:val="CommentSubject"/>
    <w:rsid w:val="0079505B"/>
    <w:rPr>
      <w:lang w:val="en-GB"/>
    </w:rPr>
  </w:style>
  <w:style w:type="paragraph" w:styleId="Revision">
    <w:name w:val="Revision"/>
    <w:hidden/>
    <w:uiPriority w:val="99"/>
    <w:semiHidden/>
    <w:rsid w:val="0079505B"/>
    <w:rPr>
      <w:rFonts w:ascii="Arial" w:hAnsi="Arial"/>
      <w:sz w:val="22"/>
      <w:lang w:eastAsia="en-US"/>
    </w:rPr>
  </w:style>
  <w:style w:type="paragraph" w:styleId="BalloonText">
    <w:name w:val="Balloon Text"/>
    <w:basedOn w:val="Normal"/>
    <w:link w:val="BalloonTextChar"/>
    <w:uiPriority w:val="99"/>
    <w:semiHidden/>
    <w:unhideWhenUsed/>
    <w:rsid w:val="0079505B"/>
    <w:rPr>
      <w:rFonts w:ascii="Tahoma" w:hAnsi="Tahoma" w:cs="Tahoma"/>
      <w:sz w:val="16"/>
      <w:szCs w:val="16"/>
    </w:rPr>
  </w:style>
  <w:style w:type="character" w:customStyle="1" w:styleId="BalloonTextChar">
    <w:name w:val="Balloon Text Char"/>
    <w:link w:val="BalloonText"/>
    <w:uiPriority w:val="99"/>
    <w:semiHidden/>
    <w:rsid w:val="0079505B"/>
    <w:rPr>
      <w:rFonts w:ascii="Tahoma" w:hAnsi="Tahoma" w:cs="Tahoma"/>
      <w:sz w:val="16"/>
      <w:szCs w:val="16"/>
      <w:lang w:val="en-AU"/>
    </w:rPr>
  </w:style>
  <w:style w:type="character" w:customStyle="1" w:styleId="bold1">
    <w:name w:val="bold1"/>
    <w:rsid w:val="00C77D35"/>
    <w:rPr>
      <w:b/>
      <w:bCs/>
    </w:rPr>
  </w:style>
  <w:style w:type="character" w:customStyle="1" w:styleId="EndnoteTextChar1">
    <w:name w:val="Endnote Text Char1"/>
    <w:link w:val="EndnoteText"/>
    <w:semiHidden/>
    <w:rsid w:val="00C77D35"/>
    <w:rPr>
      <w:sz w:val="22"/>
      <w:lang w:val="en-GB"/>
    </w:rPr>
  </w:style>
  <w:style w:type="paragraph" w:customStyle="1" w:styleId="Default">
    <w:name w:val="Default"/>
    <w:rsid w:val="00DB4C3F"/>
    <w:pPr>
      <w:autoSpaceDE w:val="0"/>
      <w:autoSpaceDN w:val="0"/>
      <w:adjustRightInd w:val="0"/>
    </w:pPr>
    <w:rPr>
      <w:color w:val="000000"/>
      <w:sz w:val="24"/>
      <w:szCs w:val="24"/>
      <w:lang w:val="en-US" w:eastAsia="en-US"/>
    </w:rPr>
  </w:style>
  <w:style w:type="paragraph" w:customStyle="1" w:styleId="BoldTitle">
    <w:name w:val="BoldTitle"/>
    <w:basedOn w:val="Normal"/>
    <w:next w:val="Normal"/>
    <w:rsid w:val="00DB4C3F"/>
    <w:pPr>
      <w:keepLines w:val="0"/>
      <w:jc w:val="left"/>
    </w:pPr>
    <w:rPr>
      <w:rFonts w:ascii="Times New Roman" w:hAnsi="Times New Roman"/>
      <w:b/>
      <w:bCs/>
      <w:sz w:val="24"/>
      <w:szCs w:val="24"/>
      <w:lang w:val="en-GB"/>
    </w:rPr>
  </w:style>
  <w:style w:type="paragraph" w:customStyle="1" w:styleId="Heading1withoutnumbering">
    <w:name w:val="Heading1 without numbering"/>
    <w:basedOn w:val="Normal"/>
    <w:next w:val="Normal"/>
    <w:rsid w:val="00DB4C3F"/>
    <w:pPr>
      <w:keepLines w:val="0"/>
      <w:spacing w:before="240" w:after="120"/>
      <w:jc w:val="left"/>
      <w:outlineLvl w:val="0"/>
    </w:pPr>
    <w:rPr>
      <w:rFonts w:ascii="Times New Roman" w:hAnsi="Times New Roman"/>
      <w:b/>
      <w:caps/>
      <w:kern w:val="22"/>
      <w:szCs w:val="24"/>
      <w:lang w:val="en-GB"/>
    </w:rPr>
  </w:style>
  <w:style w:type="paragraph" w:customStyle="1" w:styleId="colheadmt">
    <w:name w:val="colhead_mt"/>
    <w:basedOn w:val="Normal"/>
    <w:rsid w:val="00E061D9"/>
    <w:pPr>
      <w:keepLines w:val="0"/>
      <w:spacing w:before="100" w:beforeAutospacing="1" w:after="100" w:afterAutospacing="1"/>
      <w:jc w:val="left"/>
    </w:pPr>
    <w:rPr>
      <w:rFonts w:ascii="Times New Roman" w:eastAsia="SimSun" w:hAnsi="Times New Roman"/>
      <w:sz w:val="24"/>
      <w:szCs w:val="24"/>
      <w:lang w:val="en-US" w:eastAsia="zh-CN"/>
    </w:rPr>
  </w:style>
  <w:style w:type="paragraph" w:customStyle="1" w:styleId="colheadmb">
    <w:name w:val="colhead_mb"/>
    <w:basedOn w:val="Normal"/>
    <w:rsid w:val="00E061D9"/>
    <w:pPr>
      <w:keepLines w:val="0"/>
      <w:spacing w:before="100" w:beforeAutospacing="1" w:after="100" w:afterAutospacing="1"/>
      <w:jc w:val="left"/>
    </w:pPr>
    <w:rPr>
      <w:rFonts w:ascii="Times New Roman" w:eastAsia="SimSun" w:hAnsi="Times New Roman"/>
      <w:sz w:val="24"/>
      <w:szCs w:val="24"/>
      <w:lang w:val="en-US" w:eastAsia="zh-CN"/>
    </w:rPr>
  </w:style>
  <w:style w:type="paragraph" w:customStyle="1" w:styleId="TableBodyText">
    <w:name w:val="Table Body Text"/>
    <w:basedOn w:val="Normal"/>
    <w:rsid w:val="00305B7A"/>
    <w:pPr>
      <w:keepLines w:val="0"/>
      <w:jc w:val="left"/>
    </w:pPr>
    <w:rPr>
      <w:rFonts w:ascii="Times New Roman" w:eastAsia="Times" w:hAnsi="Times New Roman"/>
      <w:sz w:val="20"/>
      <w:lang w:val="en-US"/>
    </w:rPr>
  </w:style>
  <w:style w:type="paragraph" w:customStyle="1" w:styleId="BodyText10">
    <w:name w:val="BodyText10"/>
    <w:rsid w:val="00305B7A"/>
    <w:pPr>
      <w:suppressAutoHyphens/>
      <w:jc w:val="both"/>
    </w:pPr>
    <w:rPr>
      <w:lang w:val="en-US" w:eastAsia="en-US"/>
    </w:rPr>
  </w:style>
  <w:style w:type="table" w:styleId="TableGrid">
    <w:name w:val="Table Grid"/>
    <w:basedOn w:val="TableNormal"/>
    <w:uiPriority w:val="59"/>
    <w:rsid w:val="009A57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Note"/>
    <w:rsid w:val="00F7691A"/>
    <w:pPr>
      <w:keepNext/>
      <w:keepLines/>
      <w:tabs>
        <w:tab w:val="left" w:pos="187"/>
        <w:tab w:val="left" w:pos="1440"/>
      </w:tabs>
      <w:ind w:left="187" w:hanging="187"/>
    </w:pPr>
    <w:rPr>
      <w:lang w:val="en-US" w:eastAsia="en-US"/>
    </w:rPr>
  </w:style>
  <w:style w:type="paragraph" w:customStyle="1" w:styleId="Dash10">
    <w:name w:val="Dash10"/>
    <w:uiPriority w:val="99"/>
    <w:rsid w:val="004879A9"/>
    <w:pPr>
      <w:tabs>
        <w:tab w:val="left" w:pos="576"/>
      </w:tabs>
      <w:spacing w:after="100"/>
      <w:jc w:val="both"/>
    </w:pPr>
    <w:rPr>
      <w:lang w:val="en-US" w:eastAsia="en-US"/>
    </w:rPr>
  </w:style>
  <w:style w:type="character" w:customStyle="1" w:styleId="BodyText12Char">
    <w:name w:val="BodyText12 Char"/>
    <w:link w:val="BodyText12"/>
    <w:locked/>
    <w:rsid w:val="0033331D"/>
    <w:rPr>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14401">
      <w:bodyDiv w:val="1"/>
      <w:marLeft w:val="0"/>
      <w:marRight w:val="0"/>
      <w:marTop w:val="0"/>
      <w:marBottom w:val="0"/>
      <w:divBdr>
        <w:top w:val="none" w:sz="0" w:space="0" w:color="auto"/>
        <w:left w:val="none" w:sz="0" w:space="0" w:color="auto"/>
        <w:bottom w:val="none" w:sz="0" w:space="0" w:color="auto"/>
        <w:right w:val="none" w:sz="0" w:space="0" w:color="auto"/>
      </w:divBdr>
    </w:div>
    <w:div w:id="175153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oleObject" Target="embeddings/oleObject1.bin"/><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EA43E-7E83-4EE1-B04C-BE940C93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6234</Words>
  <Characters>35972</Characters>
  <Application>Microsoft Office Word</Application>
  <DocSecurity>0</DocSecurity>
  <Lines>1058</Lines>
  <Paragraphs>514</Paragraphs>
  <ScaleCrop>false</ScaleCrop>
  <HeadingPairs>
    <vt:vector size="2" baseType="variant">
      <vt:variant>
        <vt:lpstr>Title</vt:lpstr>
      </vt:variant>
      <vt:variant>
        <vt:i4>1</vt:i4>
      </vt:variant>
    </vt:vector>
  </HeadingPairs>
  <TitlesOfParts>
    <vt:vector size="1" baseType="lpstr">
      <vt:lpstr>AusPAR Attachment 1: Product Information for Zytiga (abiraterone acetate)</vt:lpstr>
    </vt:vector>
  </TitlesOfParts>
  <Company>Janssen-Cilag</Company>
  <LinksUpToDate>false</LinksUpToDate>
  <CharactersWithSpaces>41692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Zytiga (abiraterone acetate)</dc:title>
  <dc:subject>prescription medicines regulation</dc:subject>
  <dc:creator>Janssen-Cilag Pty Ltd</dc:creator>
  <cp:keywords>pi, product information, prescription, medicine, regulation, abiraterone, acetate, zytiga</cp:keywords>
  <cp:lastModifiedBy>Sheppard, Fran</cp:lastModifiedBy>
  <cp:revision>2</cp:revision>
  <cp:lastPrinted>2013-07-09T05:39:00Z</cp:lastPrinted>
  <dcterms:created xsi:type="dcterms:W3CDTF">2014-03-19T03:32:00Z</dcterms:created>
  <dcterms:modified xsi:type="dcterms:W3CDTF">2014-03-19T03:32:00Z</dcterms:modified>
</cp:coreProperties>
</file>