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3DBA5" w14:textId="77777777" w:rsidR="00375DF3" w:rsidRPr="00CB64CE" w:rsidRDefault="00375DF3" w:rsidP="003B7CFF">
      <w:pPr>
        <w:pStyle w:val="Paragraph"/>
        <w:rPr>
          <w:lang w:val="en-AU"/>
        </w:rPr>
      </w:pPr>
      <w:bookmarkStart w:id="0" w:name="_GoBack"/>
      <w:bookmarkEnd w:id="0"/>
      <w:r w:rsidRPr="00CB64CE">
        <w:rPr>
          <w:noProof/>
          <w:lang w:val="en-AU" w:eastAsia="en-AU"/>
        </w:rPr>
        <mc:AlternateContent>
          <mc:Choice Requires="wps">
            <w:drawing>
              <wp:inline distT="0" distB="0" distL="0" distR="0" wp14:anchorId="58F658E7" wp14:editId="7DBD7DEA">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87423" w14:textId="77777777" w:rsidR="00E40969" w:rsidRPr="00BE2A26" w:rsidRDefault="00E40969" w:rsidP="003B7CFF">
                            <w:pPr>
                              <w:pStyle w:val="Paragraph"/>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58F658E7"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" stroked="f">
                <v:textbox inset="0,0,0,0">
                  <w:txbxContent>
                    <w:p w14:paraId="1CA87423" w14:textId="77777777" w:rsidR="00E40969" w:rsidRPr="00BE2A26" w:rsidRDefault="00E40969" w:rsidP="003B7CFF">
                      <w:pPr>
                        <w:pStyle w:val="Paragraph"/>
                      </w:pPr>
                      <w:r w:rsidRPr="00BE2A26">
                        <w:rPr>
                          <w:rFonts w:ascii="SimSun" w:eastAsia="SimSun" w:hAnsi="SimSun" w:cs="Arial" w:hint="eastAsia"/>
                          <w:sz w:val="40"/>
                        </w:rPr>
                        <w:t>▼</w:t>
                      </w:r>
                    </w:p>
                  </w:txbxContent>
                </v:textbox>
                <w10:anchorlock/>
              </v:shape>
            </w:pict>
          </mc:Fallback>
        </mc:AlternateContent>
      </w:r>
      <w:r w:rsidR="001A3992" w:rsidRPr="00CB64CE">
        <w:rPr>
          <w:lang w:val="en-AU"/>
        </w:rPr>
        <w:t>This medicinal product is subject to additional monitoring in Australia. This will allow quick identification of new safety information. Healthcare professionals are asked to report any suspected adverse events at</w:t>
      </w:r>
      <w:r w:rsidR="008958C0" w:rsidRPr="00CB64CE">
        <w:rPr>
          <w:lang w:val="en-AU"/>
        </w:rPr>
        <w:t xml:space="preserve"> www.tga.gov.au/reporting-problems.</w:t>
      </w:r>
    </w:p>
    <w:p w14:paraId="3A6E24BB" w14:textId="77777777" w:rsidR="00ED27EC" w:rsidRPr="00CB64CE" w:rsidRDefault="006018AE" w:rsidP="00ED27EC">
      <w:pPr>
        <w:pStyle w:val="Heading1Unnumbered"/>
        <w:rPr>
          <w:rFonts w:eastAsia="SimSun"/>
          <w:lang w:val="en-AU"/>
        </w:rPr>
      </w:pPr>
      <w:r w:rsidRPr="00CB64CE">
        <w:rPr>
          <w:rFonts w:eastAsia="SimSun"/>
          <w:lang w:val="en-AU"/>
        </w:rPr>
        <w:t>Australian P</w:t>
      </w:r>
      <w:r w:rsidR="00A32E10" w:rsidRPr="00CB64CE">
        <w:rPr>
          <w:rFonts w:eastAsia="SimSun"/>
          <w:lang w:val="en-AU"/>
        </w:rPr>
        <w:t xml:space="preserve">RODUCT </w:t>
      </w:r>
      <w:r w:rsidRPr="00CB64CE">
        <w:rPr>
          <w:rFonts w:eastAsia="SimSun"/>
          <w:lang w:val="en-AU"/>
        </w:rPr>
        <w:t>I</w:t>
      </w:r>
      <w:r w:rsidR="00A32E10" w:rsidRPr="00CB64CE">
        <w:rPr>
          <w:rFonts w:eastAsia="SimSun"/>
          <w:lang w:val="en-AU"/>
        </w:rPr>
        <w:t>NFORMATION</w:t>
      </w:r>
    </w:p>
    <w:p w14:paraId="2E83E0F8" w14:textId="1A6090D0" w:rsidR="006018AE" w:rsidRPr="00CB64CE" w:rsidRDefault="00C22C16" w:rsidP="00ED27EC">
      <w:pPr>
        <w:pStyle w:val="Heading1Unnumbered"/>
        <w:rPr>
          <w:rFonts w:eastAsia="SimSun"/>
          <w:lang w:val="en-AU"/>
        </w:rPr>
      </w:pPr>
      <w:r w:rsidRPr="00CB64CE">
        <w:rPr>
          <w:rFonts w:eastAsia="SimSun"/>
          <w:caps w:val="0"/>
          <w:lang w:val="en-AU"/>
        </w:rPr>
        <w:t>CALQUENCE</w:t>
      </w:r>
      <w:r w:rsidR="008A35FB" w:rsidRPr="00CB64CE">
        <w:rPr>
          <w:rFonts w:eastAsia="SimSun"/>
          <w:vertAlign w:val="superscript"/>
          <w:lang w:val="en-AU"/>
        </w:rPr>
        <w:t>®</w:t>
      </w:r>
      <w:r w:rsidR="00ED27EC" w:rsidRPr="00CB64CE">
        <w:rPr>
          <w:rFonts w:eastAsia="SimSun"/>
          <w:caps w:val="0"/>
          <w:lang w:val="en-AU"/>
        </w:rPr>
        <w:t xml:space="preserve"> </w:t>
      </w:r>
      <w:r w:rsidR="00C85970" w:rsidRPr="00CB64CE">
        <w:rPr>
          <w:rFonts w:eastAsia="SimSun"/>
          <w:lang w:val="en-AU"/>
        </w:rPr>
        <w:br/>
      </w:r>
      <w:r w:rsidR="00A32E10" w:rsidRPr="00CB64CE">
        <w:rPr>
          <w:rFonts w:eastAsia="SimSun"/>
          <w:lang w:val="en-AU"/>
        </w:rPr>
        <w:t>(</w:t>
      </w:r>
      <w:r w:rsidR="003432FC" w:rsidRPr="00CB64CE">
        <w:rPr>
          <w:rFonts w:eastAsia="SimSun"/>
          <w:caps w:val="0"/>
          <w:lang w:val="en-AU"/>
        </w:rPr>
        <w:t>acalabrutinib</w:t>
      </w:r>
      <w:r w:rsidR="00ED27EC" w:rsidRPr="00CB64CE">
        <w:rPr>
          <w:rFonts w:eastAsia="SimSun"/>
          <w:caps w:val="0"/>
          <w:lang w:val="en-AU"/>
        </w:rPr>
        <w:t xml:space="preserve">) </w:t>
      </w:r>
      <w:r w:rsidRPr="00CB64CE">
        <w:rPr>
          <w:rFonts w:eastAsia="SimSun"/>
          <w:caps w:val="0"/>
          <w:lang w:val="en-AU"/>
        </w:rPr>
        <w:t>capsules</w:t>
      </w:r>
    </w:p>
    <w:p w14:paraId="145A4511" w14:textId="77777777" w:rsidR="001A3992" w:rsidRPr="00CB64CE" w:rsidRDefault="001A3992" w:rsidP="00EE3AC8">
      <w:pPr>
        <w:pStyle w:val="Heading1"/>
        <w:rPr>
          <w:lang w:val="en-AU"/>
        </w:rPr>
      </w:pPr>
      <w:bookmarkStart w:id="1" w:name="_Ref13512345"/>
      <w:r w:rsidRPr="00CB64CE">
        <w:rPr>
          <w:lang w:val="en-AU"/>
        </w:rPr>
        <w:t>Name of the medicine</w:t>
      </w:r>
      <w:bookmarkEnd w:id="1"/>
    </w:p>
    <w:p w14:paraId="1D2FD3BB" w14:textId="05A03124" w:rsidR="0080644B" w:rsidRPr="00CB64CE" w:rsidRDefault="005560F5" w:rsidP="0080644B">
      <w:pPr>
        <w:pStyle w:val="Paragraph"/>
        <w:rPr>
          <w:lang w:val="en-AU"/>
        </w:rPr>
      </w:pPr>
      <w:r w:rsidRPr="00CB64CE">
        <w:rPr>
          <w:lang w:val="en-AU"/>
        </w:rPr>
        <w:t>acal</w:t>
      </w:r>
      <w:r w:rsidR="003432FC" w:rsidRPr="00CB64CE">
        <w:rPr>
          <w:lang w:val="en-AU"/>
        </w:rPr>
        <w:t>a</w:t>
      </w:r>
      <w:r w:rsidRPr="00CB64CE">
        <w:rPr>
          <w:lang w:val="en-AU"/>
        </w:rPr>
        <w:t>brutinib</w:t>
      </w:r>
    </w:p>
    <w:p w14:paraId="4EDA71CB" w14:textId="56A08788" w:rsidR="001A3992" w:rsidRPr="00CB64CE" w:rsidRDefault="00B34560" w:rsidP="00EE3AC8">
      <w:pPr>
        <w:pStyle w:val="Heading1"/>
        <w:rPr>
          <w:lang w:val="en-AU"/>
        </w:rPr>
      </w:pPr>
      <w:bookmarkStart w:id="2" w:name="_Ref505770391"/>
      <w:r w:rsidRPr="00CB64CE">
        <w:rPr>
          <w:rStyle w:val="FootnoteReference"/>
          <w:lang w:val="en-AU"/>
        </w:rPr>
        <w:footnoteReference w:id="1"/>
      </w:r>
      <w:r w:rsidR="001A3992" w:rsidRPr="00CB64CE">
        <w:rPr>
          <w:lang w:val="en-AU"/>
        </w:rPr>
        <w:t>Qualitative and quantitative composition</w:t>
      </w:r>
      <w:bookmarkEnd w:id="2"/>
    </w:p>
    <w:p w14:paraId="72F81356" w14:textId="65AB6522" w:rsidR="0080644B" w:rsidRPr="00CB64CE" w:rsidRDefault="005560F5" w:rsidP="0080644B">
      <w:pPr>
        <w:pStyle w:val="Paragraph"/>
        <w:rPr>
          <w:lang w:val="en-AU"/>
        </w:rPr>
      </w:pPr>
      <w:r w:rsidRPr="00CB64CE">
        <w:rPr>
          <w:lang w:val="en-AU"/>
        </w:rPr>
        <w:t>Each capsule contains 100 mg acalabrutinib.</w:t>
      </w:r>
    </w:p>
    <w:p w14:paraId="5EDAD910" w14:textId="1D6A73AE" w:rsidR="00ED27EC" w:rsidRPr="00CB64CE" w:rsidRDefault="00ED27EC" w:rsidP="00ED27EC">
      <w:pPr>
        <w:pStyle w:val="Paragraph"/>
        <w:rPr>
          <w:rFonts w:eastAsia="SimSun"/>
          <w:lang w:val="en-AU"/>
        </w:rPr>
      </w:pPr>
      <w:bookmarkStart w:id="3" w:name="_Hlk505357644"/>
      <w:r w:rsidRPr="00CB64CE">
        <w:rPr>
          <w:rFonts w:eastAsia="SimSun"/>
          <w:lang w:val="en-AU"/>
        </w:rPr>
        <w:t xml:space="preserve">For the full list of excipients, see Section </w:t>
      </w:r>
      <w:r w:rsidRPr="00CB64CE">
        <w:rPr>
          <w:rFonts w:eastAsia="SimSun"/>
          <w:lang w:val="en-AU"/>
        </w:rPr>
        <w:fldChar w:fldCharType="begin"/>
      </w:r>
      <w:r w:rsidRPr="00CB64CE">
        <w:rPr>
          <w:rFonts w:eastAsia="SimSun"/>
          <w:lang w:val="en-AU"/>
        </w:rPr>
        <w:instrText xml:space="preserve"> REF _Ref505768678 \r \h </w:instrText>
      </w:r>
      <w:r w:rsidR="00986EEB" w:rsidRPr="00CB64CE">
        <w:rPr>
          <w:rFonts w:eastAsia="SimSun"/>
          <w:lang w:val="en-AU"/>
        </w:rPr>
        <w:instrText xml:space="preserve"> \* MERGEFORMAT </w:instrText>
      </w:r>
      <w:r w:rsidRPr="00CB64CE">
        <w:rPr>
          <w:rFonts w:eastAsia="SimSun"/>
          <w:lang w:val="en-AU"/>
        </w:rPr>
      </w:r>
      <w:r w:rsidRPr="00CB64CE">
        <w:rPr>
          <w:rFonts w:eastAsia="SimSun"/>
          <w:lang w:val="en-AU"/>
        </w:rPr>
        <w:fldChar w:fldCharType="separate"/>
      </w:r>
      <w:r w:rsidR="00187CFE" w:rsidRPr="00CB64CE">
        <w:rPr>
          <w:rFonts w:eastAsia="SimSun"/>
          <w:lang w:val="en-AU"/>
        </w:rPr>
        <w:t>6.1</w:t>
      </w:r>
      <w:r w:rsidRPr="00CB64CE">
        <w:rPr>
          <w:rFonts w:eastAsia="SimSun"/>
          <w:lang w:val="en-AU"/>
        </w:rPr>
        <w:fldChar w:fldCharType="end"/>
      </w:r>
      <w:r w:rsidR="007228AC" w:rsidRPr="00CB64CE">
        <w:rPr>
          <w:rFonts w:eastAsia="SimSun"/>
          <w:lang w:val="en-AU"/>
        </w:rPr>
        <w:t xml:space="preserve"> </w:t>
      </w:r>
      <w:r w:rsidR="007228AC" w:rsidRPr="00CB64CE">
        <w:rPr>
          <w:rFonts w:eastAsia="SimSun"/>
          <w:lang w:val="en-AU"/>
        </w:rPr>
        <w:fldChar w:fldCharType="begin"/>
      </w:r>
      <w:r w:rsidR="007228AC" w:rsidRPr="00CB64CE">
        <w:rPr>
          <w:rFonts w:eastAsia="SimSun"/>
          <w:lang w:val="en-AU"/>
        </w:rPr>
        <w:instrText xml:space="preserve"> REF _Ref505768678 \h  \* MERGEFORMAT </w:instrText>
      </w:r>
      <w:r w:rsidR="007228AC" w:rsidRPr="00CB64CE">
        <w:rPr>
          <w:rFonts w:eastAsia="SimSun"/>
          <w:lang w:val="en-AU"/>
        </w:rPr>
      </w:r>
      <w:r w:rsidR="007228AC" w:rsidRPr="00CB64CE">
        <w:rPr>
          <w:rFonts w:eastAsia="SimSun"/>
          <w:lang w:val="en-AU"/>
        </w:rPr>
        <w:fldChar w:fldCharType="separate"/>
      </w:r>
      <w:r w:rsidR="00187CFE" w:rsidRPr="00CB64CE">
        <w:rPr>
          <w:lang w:val="en-AU"/>
        </w:rPr>
        <w:t>List of excipients</w:t>
      </w:r>
      <w:r w:rsidR="007228AC" w:rsidRPr="00CB64CE">
        <w:rPr>
          <w:rFonts w:eastAsia="SimSun"/>
          <w:lang w:val="en-AU"/>
        </w:rPr>
        <w:fldChar w:fldCharType="end"/>
      </w:r>
      <w:r w:rsidR="007228AC" w:rsidRPr="00CB64CE">
        <w:rPr>
          <w:rFonts w:eastAsia="SimSun"/>
          <w:lang w:val="en-AU"/>
        </w:rPr>
        <w:t>.</w:t>
      </w:r>
    </w:p>
    <w:bookmarkEnd w:id="3"/>
    <w:p w14:paraId="0CC634F3" w14:textId="77777777" w:rsidR="001A3992" w:rsidRPr="00CB64CE" w:rsidRDefault="001A3992" w:rsidP="00EE3AC8">
      <w:pPr>
        <w:pStyle w:val="Heading1"/>
        <w:rPr>
          <w:lang w:val="en-AU"/>
        </w:rPr>
      </w:pPr>
      <w:r w:rsidRPr="00CB64CE">
        <w:rPr>
          <w:lang w:val="en-AU"/>
        </w:rPr>
        <w:t>Pharmaceutical form</w:t>
      </w:r>
    </w:p>
    <w:p w14:paraId="76D7ED0B" w14:textId="2584BC32" w:rsidR="00F26D2E" w:rsidRPr="00CB64CE" w:rsidRDefault="00F26D2E" w:rsidP="00F26D2E">
      <w:pPr>
        <w:pStyle w:val="Paragraph"/>
        <w:rPr>
          <w:lang w:val="en-AU"/>
        </w:rPr>
      </w:pPr>
      <w:r w:rsidRPr="00CB64CE">
        <w:rPr>
          <w:lang w:val="en-AU"/>
        </w:rPr>
        <w:t>Capsule, hard.</w:t>
      </w:r>
    </w:p>
    <w:p w14:paraId="7C973C27" w14:textId="07B9222E" w:rsidR="0080644B" w:rsidRPr="00CB64CE" w:rsidRDefault="001611F9" w:rsidP="00F26D2E">
      <w:pPr>
        <w:pStyle w:val="Paragraph"/>
        <w:rPr>
          <w:lang w:val="en-AU"/>
        </w:rPr>
      </w:pPr>
      <w:r w:rsidRPr="00CB64CE">
        <w:rPr>
          <w:rStyle w:val="FootnoteReference"/>
          <w:lang w:val="en-AU"/>
        </w:rPr>
        <w:footnoteReference w:id="2"/>
      </w:r>
      <w:r w:rsidR="00F26D2E" w:rsidRPr="00CB64CE">
        <w:rPr>
          <w:lang w:val="en-AU"/>
        </w:rPr>
        <w:t>Size 1 hard gelatin capsule with a yellow body and blue cap, marked in black ink with ‘ACA</w:t>
      </w:r>
      <w:r w:rsidR="004D350D" w:rsidRPr="00CB64CE">
        <w:rPr>
          <w:lang w:val="en-AU"/>
        </w:rPr>
        <w:t> </w:t>
      </w:r>
      <w:r w:rsidR="00F26D2E" w:rsidRPr="00CB64CE">
        <w:rPr>
          <w:lang w:val="en-AU"/>
        </w:rPr>
        <w:t>100 mg’</w:t>
      </w:r>
    </w:p>
    <w:p w14:paraId="50EBA92A" w14:textId="77777777" w:rsidR="001A3992" w:rsidRPr="00CB64CE" w:rsidRDefault="001A3992" w:rsidP="00EE3AC8">
      <w:pPr>
        <w:pStyle w:val="Heading1"/>
        <w:rPr>
          <w:lang w:val="en-AU"/>
        </w:rPr>
      </w:pPr>
      <w:r w:rsidRPr="00CB64CE">
        <w:rPr>
          <w:lang w:val="en-AU"/>
        </w:rPr>
        <w:t>Clinical particulars</w:t>
      </w:r>
    </w:p>
    <w:p w14:paraId="7BC599FA" w14:textId="77777777" w:rsidR="001A3992" w:rsidRPr="00CB64CE" w:rsidRDefault="001A3992" w:rsidP="00EE3AC8">
      <w:pPr>
        <w:pStyle w:val="Heading2"/>
        <w:rPr>
          <w:lang w:val="en-AU"/>
        </w:rPr>
      </w:pPr>
      <w:r w:rsidRPr="00CB64CE">
        <w:rPr>
          <w:lang w:val="en-AU"/>
        </w:rPr>
        <w:t>Therapeutic indi</w:t>
      </w:r>
      <w:r w:rsidR="003B7CFF" w:rsidRPr="00CB64CE">
        <w:rPr>
          <w:lang w:val="en-AU"/>
        </w:rPr>
        <w:t>cations</w:t>
      </w:r>
    </w:p>
    <w:p w14:paraId="32D92079" w14:textId="5B19A21E" w:rsidR="00C85696" w:rsidRPr="00CB64CE" w:rsidRDefault="005560F5" w:rsidP="00C85696">
      <w:pPr>
        <w:pStyle w:val="Paragraph"/>
        <w:rPr>
          <w:lang w:val="en-AU"/>
        </w:rPr>
      </w:pPr>
      <w:r w:rsidRPr="00CB64CE">
        <w:rPr>
          <w:rStyle w:val="FootnoteReference"/>
          <w:lang w:val="en-AU"/>
        </w:rPr>
        <w:footnoteReference w:id="3"/>
      </w:r>
      <w:r w:rsidRPr="00CB64CE">
        <w:rPr>
          <w:lang w:val="en-AU"/>
        </w:rPr>
        <w:t>CALQUENCE is indicated for the treatment of patients with mantle cell lymphoma who have received at least one prior therapy.</w:t>
      </w:r>
    </w:p>
    <w:p w14:paraId="17F10BEF" w14:textId="77777777" w:rsidR="00AF3272" w:rsidRPr="00CB64CE" w:rsidRDefault="00AF3272" w:rsidP="00AF3272">
      <w:pPr>
        <w:pStyle w:val="Paragraph"/>
        <w:rPr>
          <w:lang w:val="en-AU"/>
        </w:rPr>
      </w:pPr>
      <w:r w:rsidRPr="00CB64CE">
        <w:rPr>
          <w:lang w:val="en-AU"/>
        </w:rPr>
        <w:t xml:space="preserve">This indication is approved via the </w:t>
      </w:r>
      <w:r w:rsidRPr="00CB64CE">
        <w:rPr>
          <w:b/>
          <w:lang w:val="en-AU"/>
        </w:rPr>
        <w:t>provisional approval</w:t>
      </w:r>
      <w:r w:rsidRPr="00CB64CE">
        <w:rPr>
          <w:lang w:val="en-AU"/>
        </w:rPr>
        <w:t xml:space="preserve"> pathway, based on overall response rate. Full registration for this indication depends on verification and description of clinical benefit in confirmatory trials. </w:t>
      </w:r>
    </w:p>
    <w:p w14:paraId="4EBFA0D1" w14:textId="32A7F24F" w:rsidR="003B7CFF" w:rsidRPr="00CB64CE" w:rsidRDefault="00B34560" w:rsidP="003B7CFF">
      <w:pPr>
        <w:pStyle w:val="Heading2"/>
        <w:rPr>
          <w:lang w:val="en-AU"/>
        </w:rPr>
      </w:pPr>
      <w:bookmarkStart w:id="4" w:name="_Ref14435178"/>
      <w:r w:rsidRPr="00CB64CE">
        <w:rPr>
          <w:rStyle w:val="FootnoteReference"/>
          <w:lang w:val="en-AU"/>
        </w:rPr>
        <w:footnoteReference w:id="4"/>
      </w:r>
      <w:r w:rsidR="001A3992" w:rsidRPr="00CB64CE">
        <w:rPr>
          <w:lang w:val="en-AU"/>
        </w:rPr>
        <w:t>Dose and method of administration</w:t>
      </w:r>
      <w:bookmarkEnd w:id="4"/>
    </w:p>
    <w:p w14:paraId="1EC75854" w14:textId="437CDADA" w:rsidR="00860D2B" w:rsidRPr="00CB64CE" w:rsidRDefault="00860D2B" w:rsidP="00860D2B">
      <w:pPr>
        <w:pStyle w:val="Paragraph"/>
        <w:rPr>
          <w:lang w:val="en-AU"/>
        </w:rPr>
      </w:pPr>
      <w:r w:rsidRPr="00CB64CE">
        <w:rPr>
          <w:lang w:val="en-AU"/>
        </w:rPr>
        <w:t>Treatment with CALQUENCE should be initiated and supervised by a physician experienced in the use of anticancer therapies.</w:t>
      </w:r>
    </w:p>
    <w:p w14:paraId="3DE98B0C" w14:textId="1F260207" w:rsidR="00860D2B" w:rsidRPr="00CB64CE" w:rsidRDefault="00DA2DF9" w:rsidP="00860D2B">
      <w:pPr>
        <w:pStyle w:val="Heading3Unnumbered"/>
        <w:rPr>
          <w:lang w:val="en-AU"/>
        </w:rPr>
      </w:pPr>
      <w:r w:rsidRPr="00CB64CE">
        <w:rPr>
          <w:lang w:val="en-AU"/>
        </w:rPr>
        <w:lastRenderedPageBreak/>
        <w:t>Recommended dosage</w:t>
      </w:r>
      <w:r w:rsidR="00C40A81" w:rsidRPr="00CB64CE">
        <w:rPr>
          <w:lang w:val="en-AU"/>
        </w:rPr>
        <w:t xml:space="preserve"> (18 years and above)</w:t>
      </w:r>
    </w:p>
    <w:p w14:paraId="297B4051" w14:textId="5119DA33" w:rsidR="00860D2B" w:rsidRPr="00CB64CE" w:rsidRDefault="00860D2B" w:rsidP="00860D2B">
      <w:pPr>
        <w:pStyle w:val="Paragraph"/>
        <w:rPr>
          <w:lang w:val="en-AU"/>
        </w:rPr>
      </w:pPr>
      <w:r w:rsidRPr="00CB64CE">
        <w:rPr>
          <w:lang w:val="en-AU"/>
        </w:rPr>
        <w:t>The recommended dose of CALQUENCE is 100 mg twice daily (equivalent to a total daily dose of 200 mg).  Doses should be separated by approximately 12 hours.</w:t>
      </w:r>
    </w:p>
    <w:p w14:paraId="66E90786" w14:textId="77777777" w:rsidR="00860D2B" w:rsidRPr="00CB64CE" w:rsidRDefault="00860D2B" w:rsidP="00860D2B">
      <w:pPr>
        <w:pStyle w:val="Paragraph"/>
        <w:rPr>
          <w:lang w:val="en-AU"/>
        </w:rPr>
      </w:pPr>
      <w:r w:rsidRPr="00CB64CE">
        <w:rPr>
          <w:lang w:val="en-AU"/>
        </w:rPr>
        <w:t>Treatment with CALQUENCE should continue until disease progression or unacceptable toxicity.</w:t>
      </w:r>
    </w:p>
    <w:p w14:paraId="072B51AD" w14:textId="0DB73234" w:rsidR="00860D2B" w:rsidRPr="00CB64CE" w:rsidRDefault="00860D2B" w:rsidP="00860D2B">
      <w:pPr>
        <w:pStyle w:val="Heading3Unnumbered"/>
        <w:rPr>
          <w:lang w:val="en-AU"/>
        </w:rPr>
      </w:pPr>
      <w:r w:rsidRPr="00CB64CE">
        <w:rPr>
          <w:lang w:val="en-AU"/>
        </w:rPr>
        <w:t>Missed dose</w:t>
      </w:r>
    </w:p>
    <w:p w14:paraId="09D4C418" w14:textId="0CC8CDB8" w:rsidR="00C85696" w:rsidRPr="00CB64CE" w:rsidRDefault="00860D2B" w:rsidP="00860D2B">
      <w:pPr>
        <w:pStyle w:val="Paragraph"/>
        <w:rPr>
          <w:lang w:val="en-AU"/>
        </w:rPr>
      </w:pPr>
      <w:r w:rsidRPr="00CB64CE">
        <w:rPr>
          <w:lang w:val="en-AU"/>
        </w:rPr>
        <w:t>If a patient misses a dose of CALQUENCE by more than 3 hours, instruct the patient to take the next dose at its regularly scheduled time. Extra capsules of CALQUENCE should not be taken to make up for a missed dose.</w:t>
      </w:r>
    </w:p>
    <w:p w14:paraId="096FE959" w14:textId="229358C2" w:rsidR="00DA2DF9" w:rsidRPr="00CB64CE" w:rsidRDefault="00DA2DF9" w:rsidP="00DA2DF9">
      <w:pPr>
        <w:pStyle w:val="Heading3Unnumbered"/>
        <w:rPr>
          <w:lang w:val="en-AU"/>
        </w:rPr>
      </w:pPr>
      <w:r w:rsidRPr="00CB64CE">
        <w:rPr>
          <w:lang w:val="en-AU"/>
        </w:rPr>
        <w:t xml:space="preserve">Dose </w:t>
      </w:r>
      <w:r w:rsidR="00D82ADB" w:rsidRPr="00CB64CE">
        <w:rPr>
          <w:lang w:val="en-AU"/>
        </w:rPr>
        <w:t>a</w:t>
      </w:r>
      <w:r w:rsidRPr="00CB64CE">
        <w:rPr>
          <w:lang w:val="en-AU"/>
        </w:rPr>
        <w:t xml:space="preserve">djustments </w:t>
      </w:r>
    </w:p>
    <w:p w14:paraId="2557AE6F" w14:textId="682D9783" w:rsidR="00DA2DF9" w:rsidRPr="00CB64CE" w:rsidRDefault="00DA2DF9" w:rsidP="00D82ADB">
      <w:pPr>
        <w:pStyle w:val="Heading4Unnumbered"/>
        <w:rPr>
          <w:lang w:val="en-AU"/>
        </w:rPr>
      </w:pPr>
      <w:r w:rsidRPr="00CB64CE">
        <w:rPr>
          <w:lang w:val="en-AU"/>
        </w:rPr>
        <w:t xml:space="preserve">Adverse </w:t>
      </w:r>
      <w:r w:rsidR="00187CFE" w:rsidRPr="00CB64CE">
        <w:rPr>
          <w:lang w:val="en-AU"/>
        </w:rPr>
        <w:t>r</w:t>
      </w:r>
      <w:r w:rsidRPr="00CB64CE">
        <w:rPr>
          <w:lang w:val="en-AU"/>
        </w:rPr>
        <w:t>eactions</w:t>
      </w:r>
    </w:p>
    <w:p w14:paraId="2FCBAD85" w14:textId="354AAFFC" w:rsidR="00DA2DF9" w:rsidRPr="00CB64CE" w:rsidRDefault="00DA2DF9" w:rsidP="00DA2DF9">
      <w:pPr>
        <w:pStyle w:val="Paragraph"/>
        <w:rPr>
          <w:lang w:val="en-AU"/>
        </w:rPr>
      </w:pPr>
      <w:r w:rsidRPr="00CB64CE">
        <w:rPr>
          <w:lang w:val="en-AU"/>
        </w:rPr>
        <w:t>Recommended dose modifications of CALQUENCE for Grade</w:t>
      </w:r>
      <w:r w:rsidR="00E83F8B" w:rsidRPr="00CB64CE">
        <w:rPr>
          <w:lang w:val="en-AU"/>
        </w:rPr>
        <w:t xml:space="preserve"> </w:t>
      </w:r>
      <w:r w:rsidRPr="00CB64CE">
        <w:rPr>
          <w:lang w:val="en-AU"/>
        </w:rPr>
        <w:t xml:space="preserve">3 </w:t>
      </w:r>
      <w:r w:rsidR="00E83F8B" w:rsidRPr="00CB64CE">
        <w:rPr>
          <w:lang w:val="en-AU"/>
        </w:rPr>
        <w:t xml:space="preserve">or greater </w:t>
      </w:r>
      <w:r w:rsidRPr="00CB64CE">
        <w:rPr>
          <w:lang w:val="en-AU"/>
        </w:rPr>
        <w:t xml:space="preserve">adverse reactions are provided in </w:t>
      </w:r>
      <w:r w:rsidR="00450E0A" w:rsidRPr="00CB64CE">
        <w:rPr>
          <w:lang w:val="en-AU"/>
        </w:rPr>
        <w:fldChar w:fldCharType="begin"/>
      </w:r>
      <w:r w:rsidR="00450E0A" w:rsidRPr="00CB64CE">
        <w:rPr>
          <w:lang w:val="en-AU"/>
        </w:rPr>
        <w:instrText xml:space="preserve"> REF _Ref13503603 \h </w:instrText>
      </w:r>
      <w:r w:rsidR="00CB64CE">
        <w:rPr>
          <w:lang w:val="en-AU"/>
        </w:rPr>
        <w:instrText xml:space="preserve"> \* MERGEFORMAT </w:instrText>
      </w:r>
      <w:r w:rsidR="00450E0A" w:rsidRPr="00CB64CE">
        <w:rPr>
          <w:lang w:val="en-AU"/>
        </w:rPr>
      </w:r>
      <w:r w:rsidR="00450E0A" w:rsidRPr="00CB64CE">
        <w:rPr>
          <w:lang w:val="en-AU"/>
        </w:rPr>
        <w:fldChar w:fldCharType="separate"/>
      </w:r>
      <w:r w:rsidR="00187CFE" w:rsidRPr="00CB64CE">
        <w:rPr>
          <w:lang w:val="en-AU"/>
        </w:rPr>
        <w:t>Table </w:t>
      </w:r>
      <w:r w:rsidR="00187CFE" w:rsidRPr="00CB64CE">
        <w:rPr>
          <w:noProof/>
          <w:lang w:val="en-AU"/>
        </w:rPr>
        <w:t>1</w:t>
      </w:r>
      <w:r w:rsidR="00450E0A" w:rsidRPr="00CB64CE">
        <w:rPr>
          <w:lang w:val="en-AU"/>
        </w:rPr>
        <w:fldChar w:fldCharType="end"/>
      </w:r>
      <w:r w:rsidRPr="00CB64CE">
        <w:rPr>
          <w:lang w:val="en-AU"/>
        </w:rPr>
        <w:t xml:space="preserve">. </w:t>
      </w:r>
    </w:p>
    <w:p w14:paraId="02209711" w14:textId="6C923754" w:rsidR="00D82ADB" w:rsidRPr="00CB64CE" w:rsidRDefault="00D82ADB" w:rsidP="00D82ADB">
      <w:pPr>
        <w:pStyle w:val="TableTitle"/>
        <w:rPr>
          <w:lang w:val="en-AU"/>
        </w:rPr>
      </w:pPr>
      <w:bookmarkStart w:id="5" w:name="_Ref13503603"/>
      <w:r w:rsidRPr="00CB64CE">
        <w:rPr>
          <w:lang w:val="en-AU"/>
        </w:rPr>
        <w:t>Table </w:t>
      </w:r>
      <w:r w:rsidRPr="00CB64CE">
        <w:rPr>
          <w:lang w:val="en-AU"/>
        </w:rPr>
        <w:fldChar w:fldCharType="begin"/>
      </w:r>
      <w:r w:rsidRPr="00CB64CE">
        <w:rPr>
          <w:lang w:val="en-AU"/>
        </w:rPr>
        <w:instrText xml:space="preserve"> SEQ Table \* ARABIC </w:instrText>
      </w:r>
      <w:r w:rsidRPr="00CB64CE">
        <w:rPr>
          <w:lang w:val="en-AU"/>
        </w:rPr>
        <w:fldChar w:fldCharType="separate"/>
      </w:r>
      <w:r w:rsidR="00187CFE" w:rsidRPr="00CB64CE">
        <w:rPr>
          <w:noProof/>
          <w:lang w:val="en-AU"/>
        </w:rPr>
        <w:t>1</w:t>
      </w:r>
      <w:r w:rsidRPr="00CB64CE">
        <w:rPr>
          <w:lang w:val="en-AU"/>
        </w:rPr>
        <w:fldChar w:fldCharType="end"/>
      </w:r>
      <w:bookmarkEnd w:id="5"/>
      <w:r w:rsidRPr="00CB64CE">
        <w:rPr>
          <w:lang w:val="en-AU"/>
        </w:rPr>
        <w:tab/>
      </w:r>
      <w:r w:rsidR="0023409F" w:rsidRPr="00CB64CE">
        <w:rPr>
          <w:lang w:val="en-AU"/>
        </w:rPr>
        <w:t xml:space="preserve">Recommended </w:t>
      </w:r>
      <w:r w:rsidR="00E83F8B" w:rsidRPr="00CB64CE">
        <w:rPr>
          <w:lang w:val="en-AU"/>
        </w:rPr>
        <w:t>d</w:t>
      </w:r>
      <w:r w:rsidR="0023409F" w:rsidRPr="00CB64CE">
        <w:rPr>
          <w:lang w:val="en-AU"/>
        </w:rPr>
        <w:t xml:space="preserve">ose </w:t>
      </w:r>
      <w:r w:rsidR="00E83F8B" w:rsidRPr="00CB64CE">
        <w:rPr>
          <w:lang w:val="en-AU"/>
        </w:rPr>
        <w:t>a</w:t>
      </w:r>
      <w:r w:rsidR="0023409F" w:rsidRPr="00CB64CE">
        <w:rPr>
          <w:lang w:val="en-AU"/>
        </w:rPr>
        <w:t xml:space="preserve">djustments for </w:t>
      </w:r>
      <w:r w:rsidR="00E83F8B" w:rsidRPr="00CB64CE">
        <w:rPr>
          <w:lang w:val="en-AU"/>
        </w:rPr>
        <w:t>a</w:t>
      </w:r>
      <w:r w:rsidR="0023409F" w:rsidRPr="00CB64CE">
        <w:rPr>
          <w:lang w:val="en-AU"/>
        </w:rPr>
        <w:t xml:space="preserve">dverse </w:t>
      </w:r>
      <w:r w:rsidR="00E83F8B" w:rsidRPr="00CB64CE">
        <w:rPr>
          <w:lang w:val="en-AU"/>
        </w:rPr>
        <w:t>r</w:t>
      </w:r>
      <w:r w:rsidR="0023409F" w:rsidRPr="00CB64CE">
        <w:rPr>
          <w:lang w:val="en-AU"/>
        </w:rPr>
        <w:t xml:space="preserve">eactions </w:t>
      </w:r>
      <w:r w:rsidR="0023409F" w:rsidRPr="00CB64CE">
        <w:rPr>
          <w:vertAlign w:val="superscript"/>
          <w:lang w:val="en-AU"/>
        </w:rPr>
        <w:t>a</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t;&lt;Please Add a Table Title Here&gt;&gt;"/>
      </w:tblPr>
      <w:tblGrid>
        <w:gridCol w:w="3212"/>
        <w:gridCol w:w="1745"/>
        <w:gridCol w:w="4681"/>
      </w:tblGrid>
      <w:tr w:rsidR="00D82ADB" w:rsidRPr="00CB64CE" w14:paraId="73A0815B" w14:textId="77777777" w:rsidTr="00450E0A">
        <w:trPr>
          <w:cantSplit/>
          <w:tblHeader/>
        </w:trPr>
        <w:tc>
          <w:tcPr>
            <w:tcW w:w="3212" w:type="dxa"/>
            <w:shd w:val="clear" w:color="auto" w:fill="auto"/>
          </w:tcPr>
          <w:p w14:paraId="59581256" w14:textId="6E67A418" w:rsidR="00D82ADB" w:rsidRPr="00CB64CE" w:rsidRDefault="0023409F" w:rsidP="0023409F">
            <w:pPr>
              <w:pStyle w:val="TableHead"/>
              <w:jc w:val="left"/>
              <w:rPr>
                <w:lang w:val="en-AU"/>
              </w:rPr>
            </w:pPr>
            <w:r w:rsidRPr="00CB64CE">
              <w:rPr>
                <w:lang w:val="en-AU"/>
              </w:rPr>
              <w:t>Event</w:t>
            </w:r>
          </w:p>
        </w:tc>
        <w:tc>
          <w:tcPr>
            <w:tcW w:w="1745" w:type="dxa"/>
            <w:shd w:val="clear" w:color="auto" w:fill="auto"/>
          </w:tcPr>
          <w:p w14:paraId="22C45E63" w14:textId="39DDEC17" w:rsidR="00D82ADB" w:rsidRPr="00CB64CE" w:rsidRDefault="0023409F" w:rsidP="00E83F8B">
            <w:pPr>
              <w:pStyle w:val="TableHead"/>
              <w:jc w:val="left"/>
              <w:rPr>
                <w:lang w:val="en-AU"/>
              </w:rPr>
            </w:pPr>
            <w:r w:rsidRPr="00CB64CE">
              <w:rPr>
                <w:lang w:val="en-AU"/>
              </w:rPr>
              <w:t xml:space="preserve">Adverse </w:t>
            </w:r>
            <w:r w:rsidR="00E83F8B" w:rsidRPr="00CB64CE">
              <w:rPr>
                <w:lang w:val="en-AU"/>
              </w:rPr>
              <w:t>r</w:t>
            </w:r>
            <w:r w:rsidRPr="00CB64CE">
              <w:rPr>
                <w:lang w:val="en-AU"/>
              </w:rPr>
              <w:t xml:space="preserve">eaction </w:t>
            </w:r>
            <w:r w:rsidR="00E83F8B" w:rsidRPr="00CB64CE">
              <w:rPr>
                <w:lang w:val="en-AU"/>
              </w:rPr>
              <w:t>o</w:t>
            </w:r>
            <w:r w:rsidRPr="00CB64CE">
              <w:rPr>
                <w:lang w:val="en-AU"/>
              </w:rPr>
              <w:t>ccurrence</w:t>
            </w:r>
          </w:p>
        </w:tc>
        <w:tc>
          <w:tcPr>
            <w:tcW w:w="4681" w:type="dxa"/>
            <w:shd w:val="clear" w:color="auto" w:fill="auto"/>
          </w:tcPr>
          <w:p w14:paraId="1C3E93EF" w14:textId="02EE95F0" w:rsidR="0023409F" w:rsidRPr="00CB64CE" w:rsidRDefault="0023409F" w:rsidP="00E83F8B">
            <w:pPr>
              <w:pStyle w:val="TableHead"/>
              <w:jc w:val="left"/>
              <w:rPr>
                <w:lang w:val="en-AU"/>
              </w:rPr>
            </w:pPr>
            <w:r w:rsidRPr="00CB64CE">
              <w:rPr>
                <w:lang w:val="en-AU"/>
              </w:rPr>
              <w:t xml:space="preserve">Dose </w:t>
            </w:r>
            <w:r w:rsidR="00450E0A" w:rsidRPr="00CB64CE">
              <w:rPr>
                <w:lang w:val="en-AU"/>
              </w:rPr>
              <w:t>m</w:t>
            </w:r>
            <w:r w:rsidRPr="00CB64CE">
              <w:rPr>
                <w:lang w:val="en-AU"/>
              </w:rPr>
              <w:t>odification</w:t>
            </w:r>
          </w:p>
          <w:p w14:paraId="6265BA14" w14:textId="27BE0800" w:rsidR="00D82ADB" w:rsidRPr="00CB64CE" w:rsidRDefault="0023409F" w:rsidP="00E83F8B">
            <w:pPr>
              <w:pStyle w:val="TableHead"/>
              <w:jc w:val="left"/>
              <w:rPr>
                <w:b w:val="0"/>
                <w:i/>
                <w:lang w:val="en-AU"/>
              </w:rPr>
            </w:pPr>
            <w:r w:rsidRPr="00CB64CE">
              <w:rPr>
                <w:b w:val="0"/>
                <w:i/>
                <w:lang w:val="en-AU"/>
              </w:rPr>
              <w:t>(Starting dose = 100 mg twice daily)</w:t>
            </w:r>
          </w:p>
        </w:tc>
      </w:tr>
      <w:tr w:rsidR="00450E0A" w:rsidRPr="00CB64CE" w14:paraId="2926C32C" w14:textId="77777777" w:rsidTr="00450E0A">
        <w:trPr>
          <w:cantSplit/>
        </w:trPr>
        <w:tc>
          <w:tcPr>
            <w:tcW w:w="3212" w:type="dxa"/>
            <w:vMerge w:val="restart"/>
            <w:shd w:val="clear" w:color="auto" w:fill="auto"/>
          </w:tcPr>
          <w:p w14:paraId="4A601F50" w14:textId="77777777" w:rsidR="00450E0A" w:rsidRPr="00CB64CE" w:rsidRDefault="00450E0A" w:rsidP="00450E0A">
            <w:pPr>
              <w:pStyle w:val="TableLeft"/>
              <w:spacing w:before="120" w:after="120"/>
              <w:rPr>
                <w:lang w:val="en-AU"/>
              </w:rPr>
            </w:pPr>
            <w:r w:rsidRPr="00CB64CE">
              <w:rPr>
                <w:lang w:val="en-AU"/>
              </w:rPr>
              <w:t xml:space="preserve">Grade 3 or greater non-hematologic toxicities, </w:t>
            </w:r>
          </w:p>
          <w:p w14:paraId="649E1986" w14:textId="7C243B03" w:rsidR="00450E0A" w:rsidRPr="00CB64CE" w:rsidRDefault="00450E0A" w:rsidP="00450E0A">
            <w:pPr>
              <w:pStyle w:val="TableLeft"/>
              <w:spacing w:before="120" w:after="120"/>
              <w:rPr>
                <w:lang w:val="en-AU"/>
              </w:rPr>
            </w:pPr>
            <w:r w:rsidRPr="00CB64CE">
              <w:rPr>
                <w:lang w:val="en-AU"/>
              </w:rPr>
              <w:t xml:space="preserve">Grade 3 thrombocytopenia with significant bleeding, </w:t>
            </w:r>
          </w:p>
          <w:p w14:paraId="2046253D" w14:textId="77777777" w:rsidR="00450E0A" w:rsidRPr="00CB64CE" w:rsidRDefault="00450E0A" w:rsidP="00450E0A">
            <w:pPr>
              <w:pStyle w:val="TableLeft"/>
              <w:spacing w:before="120" w:after="120"/>
              <w:rPr>
                <w:lang w:val="en-AU"/>
              </w:rPr>
            </w:pPr>
            <w:r w:rsidRPr="00CB64CE">
              <w:rPr>
                <w:lang w:val="en-AU"/>
              </w:rPr>
              <w:t xml:space="preserve">Grade 4 thrombocytopenia or </w:t>
            </w:r>
          </w:p>
          <w:p w14:paraId="6F8F7611" w14:textId="3E0F5CCB" w:rsidR="00450E0A" w:rsidRPr="00CB64CE" w:rsidRDefault="00450E0A" w:rsidP="00450E0A">
            <w:pPr>
              <w:pStyle w:val="TableLeft"/>
              <w:spacing w:before="120" w:after="120"/>
              <w:rPr>
                <w:lang w:val="en-AU"/>
              </w:rPr>
            </w:pPr>
            <w:r w:rsidRPr="00CB64CE">
              <w:rPr>
                <w:lang w:val="en-AU"/>
              </w:rPr>
              <w:t>Grade 4 neutropenia lasting longer than 7 days</w:t>
            </w:r>
          </w:p>
        </w:tc>
        <w:tc>
          <w:tcPr>
            <w:tcW w:w="1745" w:type="dxa"/>
            <w:shd w:val="clear" w:color="auto" w:fill="auto"/>
          </w:tcPr>
          <w:p w14:paraId="6DB16DAC" w14:textId="077C7E9B" w:rsidR="00450E0A" w:rsidRPr="00CB64CE" w:rsidRDefault="00450E0A" w:rsidP="00E83F8B">
            <w:pPr>
              <w:pStyle w:val="TableLeft"/>
              <w:rPr>
                <w:lang w:val="en-AU"/>
              </w:rPr>
            </w:pPr>
            <w:r w:rsidRPr="00CB64CE">
              <w:rPr>
                <w:lang w:val="en-AU"/>
              </w:rPr>
              <w:t xml:space="preserve">First and second </w:t>
            </w:r>
          </w:p>
        </w:tc>
        <w:tc>
          <w:tcPr>
            <w:tcW w:w="4681" w:type="dxa"/>
            <w:shd w:val="clear" w:color="auto" w:fill="auto"/>
          </w:tcPr>
          <w:p w14:paraId="70B89919" w14:textId="50111126" w:rsidR="00450E0A" w:rsidRPr="00CB64CE" w:rsidRDefault="00450E0A" w:rsidP="00E83F8B">
            <w:pPr>
              <w:pStyle w:val="TableLeft"/>
              <w:rPr>
                <w:lang w:val="en-AU"/>
              </w:rPr>
            </w:pPr>
            <w:r w:rsidRPr="00CB64CE">
              <w:rPr>
                <w:lang w:val="en-AU"/>
              </w:rPr>
              <w:t>Temporarily interrupt CALQUENCE.</w:t>
            </w:r>
          </w:p>
          <w:p w14:paraId="4AC9574B" w14:textId="22825FE2" w:rsidR="00450E0A" w:rsidRPr="00CB64CE" w:rsidRDefault="00450E0A" w:rsidP="00E83F8B">
            <w:pPr>
              <w:pStyle w:val="TableLeft"/>
              <w:rPr>
                <w:lang w:val="en-AU"/>
              </w:rPr>
            </w:pPr>
            <w:r w:rsidRPr="00CB64CE">
              <w:rPr>
                <w:lang w:val="en-AU"/>
              </w:rPr>
              <w:t>Once toxicity has resolved to Grade 1 or baseline (recovery) level, CALQUENCE therapy may be resumed at 100 mg twice daily.</w:t>
            </w:r>
          </w:p>
        </w:tc>
      </w:tr>
      <w:tr w:rsidR="00450E0A" w:rsidRPr="00CB64CE" w14:paraId="0F925CCB" w14:textId="77777777" w:rsidTr="00450E0A">
        <w:trPr>
          <w:cantSplit/>
        </w:trPr>
        <w:tc>
          <w:tcPr>
            <w:tcW w:w="3212" w:type="dxa"/>
            <w:vMerge/>
            <w:shd w:val="clear" w:color="auto" w:fill="auto"/>
          </w:tcPr>
          <w:p w14:paraId="4F1A2A2D" w14:textId="77777777" w:rsidR="00450E0A" w:rsidRPr="00CB64CE" w:rsidRDefault="00450E0A" w:rsidP="00E83F8B">
            <w:pPr>
              <w:pStyle w:val="TableLeft"/>
              <w:rPr>
                <w:lang w:val="en-AU"/>
              </w:rPr>
            </w:pPr>
          </w:p>
        </w:tc>
        <w:tc>
          <w:tcPr>
            <w:tcW w:w="1745" w:type="dxa"/>
            <w:shd w:val="clear" w:color="auto" w:fill="auto"/>
          </w:tcPr>
          <w:p w14:paraId="39D0ED38" w14:textId="5D976466" w:rsidR="00450E0A" w:rsidRPr="00CB64CE" w:rsidRDefault="00450E0A" w:rsidP="00E83F8B">
            <w:pPr>
              <w:pStyle w:val="TableLeft"/>
              <w:rPr>
                <w:lang w:val="en-AU"/>
              </w:rPr>
            </w:pPr>
            <w:r w:rsidRPr="00CB64CE">
              <w:rPr>
                <w:lang w:val="en-AU"/>
              </w:rPr>
              <w:t>Third</w:t>
            </w:r>
          </w:p>
        </w:tc>
        <w:tc>
          <w:tcPr>
            <w:tcW w:w="4681" w:type="dxa"/>
            <w:shd w:val="clear" w:color="auto" w:fill="auto"/>
          </w:tcPr>
          <w:p w14:paraId="055D072C" w14:textId="77777777" w:rsidR="00450E0A" w:rsidRPr="00CB64CE" w:rsidRDefault="00450E0A" w:rsidP="00E83F8B">
            <w:pPr>
              <w:pStyle w:val="TableLeft"/>
              <w:rPr>
                <w:lang w:val="en-AU"/>
              </w:rPr>
            </w:pPr>
            <w:r w:rsidRPr="00CB64CE">
              <w:rPr>
                <w:lang w:val="en-AU"/>
              </w:rPr>
              <w:t>Temporarily interrupt CALQUENCE.</w:t>
            </w:r>
          </w:p>
          <w:p w14:paraId="1F295443" w14:textId="254745EE" w:rsidR="00450E0A" w:rsidRPr="00CB64CE" w:rsidRDefault="00450E0A" w:rsidP="00E83F8B">
            <w:pPr>
              <w:pStyle w:val="TableLeft"/>
              <w:rPr>
                <w:lang w:val="en-AU"/>
              </w:rPr>
            </w:pPr>
            <w:r w:rsidRPr="00CB64CE">
              <w:rPr>
                <w:lang w:val="en-AU"/>
              </w:rPr>
              <w:t>Once toxicity has resolved to Grade 1 or baseline level (recovery), CALQUENCE therapy may be resumed at 100 mg daily.</w:t>
            </w:r>
          </w:p>
        </w:tc>
      </w:tr>
      <w:tr w:rsidR="00450E0A" w:rsidRPr="00CB64CE" w14:paraId="3C08DE09" w14:textId="77777777" w:rsidTr="00450E0A">
        <w:trPr>
          <w:cantSplit/>
        </w:trPr>
        <w:tc>
          <w:tcPr>
            <w:tcW w:w="3212" w:type="dxa"/>
            <w:vMerge/>
            <w:shd w:val="clear" w:color="auto" w:fill="auto"/>
          </w:tcPr>
          <w:p w14:paraId="7CFE9209" w14:textId="77777777" w:rsidR="00450E0A" w:rsidRPr="00CB64CE" w:rsidRDefault="00450E0A" w:rsidP="00E83F8B">
            <w:pPr>
              <w:pStyle w:val="TableLeft"/>
              <w:rPr>
                <w:lang w:val="en-AU"/>
              </w:rPr>
            </w:pPr>
          </w:p>
        </w:tc>
        <w:tc>
          <w:tcPr>
            <w:tcW w:w="1745" w:type="dxa"/>
            <w:shd w:val="clear" w:color="auto" w:fill="auto"/>
          </w:tcPr>
          <w:p w14:paraId="4D356F9C" w14:textId="1D242621" w:rsidR="00450E0A" w:rsidRPr="00CB64CE" w:rsidRDefault="00450E0A" w:rsidP="00E83F8B">
            <w:pPr>
              <w:pStyle w:val="TableLeft"/>
              <w:rPr>
                <w:lang w:val="en-AU"/>
              </w:rPr>
            </w:pPr>
            <w:r w:rsidRPr="00CB64CE">
              <w:rPr>
                <w:lang w:val="en-AU"/>
              </w:rPr>
              <w:t>Fourth</w:t>
            </w:r>
          </w:p>
        </w:tc>
        <w:tc>
          <w:tcPr>
            <w:tcW w:w="4681" w:type="dxa"/>
            <w:shd w:val="clear" w:color="auto" w:fill="auto"/>
          </w:tcPr>
          <w:p w14:paraId="160795C2" w14:textId="0ED78321" w:rsidR="00450E0A" w:rsidRPr="00CB64CE" w:rsidRDefault="00450E0A" w:rsidP="00E83F8B">
            <w:pPr>
              <w:pStyle w:val="TableLeft"/>
              <w:rPr>
                <w:lang w:val="en-AU"/>
              </w:rPr>
            </w:pPr>
            <w:r w:rsidRPr="00CB64CE">
              <w:rPr>
                <w:lang w:val="en-AU"/>
              </w:rPr>
              <w:t>Discontinue CALQUENCE.</w:t>
            </w:r>
          </w:p>
        </w:tc>
      </w:tr>
    </w:tbl>
    <w:p w14:paraId="0DF91BE9" w14:textId="500DCE64" w:rsidR="00D82ADB" w:rsidRPr="00CB64CE" w:rsidRDefault="00E83F8B" w:rsidP="0023409F">
      <w:pPr>
        <w:pStyle w:val="TableFootnoteLetter"/>
        <w:rPr>
          <w:lang w:val="en-AU"/>
        </w:rPr>
      </w:pPr>
      <w:r w:rsidRPr="00CB64CE">
        <w:rPr>
          <w:lang w:val="en-AU"/>
        </w:rPr>
        <w:t>Adverse reactions graded by the National Cancer Institute Common Terminology Criteria for Adverse Events (NCI CTCAE) version 4.03</w:t>
      </w:r>
    </w:p>
    <w:p w14:paraId="08B9AABD" w14:textId="77777777" w:rsidR="0023409F" w:rsidRPr="00CB64CE" w:rsidRDefault="0023409F" w:rsidP="0023409F">
      <w:pPr>
        <w:pStyle w:val="Paragraph"/>
        <w:rPr>
          <w:lang w:val="en-AU"/>
        </w:rPr>
      </w:pPr>
    </w:p>
    <w:p w14:paraId="67949995" w14:textId="5B9D6DF8" w:rsidR="00D82ADB" w:rsidRPr="00CB64CE" w:rsidRDefault="00D82ADB" w:rsidP="000222A4">
      <w:pPr>
        <w:pStyle w:val="Heading4Unnumbered"/>
        <w:rPr>
          <w:lang w:val="en-AU"/>
        </w:rPr>
      </w:pPr>
      <w:r w:rsidRPr="00CB64CE">
        <w:rPr>
          <w:lang w:val="en-AU"/>
        </w:rPr>
        <w:t>Dose adjustments for use with CYP3A inhibitors or inducers</w:t>
      </w:r>
      <w:r w:rsidR="007432C6" w:rsidRPr="00CB64CE">
        <w:rPr>
          <w:lang w:val="en-AU"/>
        </w:rPr>
        <w:t xml:space="preserve">, and gastric </w:t>
      </w:r>
      <w:r w:rsidR="002E0AC9" w:rsidRPr="00CB64CE">
        <w:rPr>
          <w:lang w:val="en-AU"/>
        </w:rPr>
        <w:t xml:space="preserve">acid </w:t>
      </w:r>
      <w:r w:rsidR="007432C6" w:rsidRPr="00CB64CE">
        <w:rPr>
          <w:lang w:val="en-AU"/>
        </w:rPr>
        <w:t xml:space="preserve">reducing </w:t>
      </w:r>
      <w:r w:rsidR="001749DC" w:rsidRPr="00CB64CE">
        <w:rPr>
          <w:lang w:val="en-AU"/>
        </w:rPr>
        <w:t>medicines</w:t>
      </w:r>
    </w:p>
    <w:p w14:paraId="7F052F5A" w14:textId="155D1810" w:rsidR="00D82ADB" w:rsidRPr="00CB64CE" w:rsidRDefault="00D82ADB" w:rsidP="000222A4">
      <w:pPr>
        <w:pStyle w:val="Paragraph"/>
        <w:rPr>
          <w:lang w:val="en-AU"/>
        </w:rPr>
      </w:pPr>
      <w:r w:rsidRPr="00CB64CE">
        <w:rPr>
          <w:lang w:val="en-AU"/>
        </w:rPr>
        <w:t xml:space="preserve">Recommended dose adjustments are described </w:t>
      </w:r>
      <w:r w:rsidR="00450E0A" w:rsidRPr="00CB64CE">
        <w:rPr>
          <w:lang w:val="en-AU"/>
        </w:rPr>
        <w:t xml:space="preserve">in </w:t>
      </w:r>
      <w:r w:rsidR="00450E0A" w:rsidRPr="00CB64CE">
        <w:rPr>
          <w:lang w:val="en-AU"/>
        </w:rPr>
        <w:fldChar w:fldCharType="begin"/>
      </w:r>
      <w:r w:rsidR="00450E0A" w:rsidRPr="00CB64CE">
        <w:rPr>
          <w:lang w:val="en-AU"/>
        </w:rPr>
        <w:instrText xml:space="preserve"> REF _Ref13503621 \h </w:instrText>
      </w:r>
      <w:r w:rsidR="00D513A6" w:rsidRPr="00CB64CE">
        <w:rPr>
          <w:lang w:val="en-AU"/>
        </w:rPr>
        <w:instrText xml:space="preserve"> \* MERGEFORMAT </w:instrText>
      </w:r>
      <w:r w:rsidR="00450E0A" w:rsidRPr="00CB64CE">
        <w:rPr>
          <w:lang w:val="en-AU"/>
        </w:rPr>
      </w:r>
      <w:r w:rsidR="00450E0A" w:rsidRPr="00CB64CE">
        <w:rPr>
          <w:lang w:val="en-AU"/>
        </w:rPr>
        <w:fldChar w:fldCharType="separate"/>
      </w:r>
      <w:r w:rsidR="00187CFE" w:rsidRPr="00CB64CE">
        <w:rPr>
          <w:lang w:val="en-AU"/>
        </w:rPr>
        <w:t>Table 2</w:t>
      </w:r>
      <w:r w:rsidR="00450E0A" w:rsidRPr="00CB64CE">
        <w:rPr>
          <w:lang w:val="en-AU"/>
        </w:rPr>
        <w:fldChar w:fldCharType="end"/>
      </w:r>
      <w:r w:rsidR="00450E0A" w:rsidRPr="00CB64CE">
        <w:rPr>
          <w:lang w:val="en-AU"/>
        </w:rPr>
        <w:t xml:space="preserve"> </w:t>
      </w:r>
      <w:r w:rsidRPr="00CB64CE">
        <w:rPr>
          <w:lang w:val="en-AU"/>
        </w:rPr>
        <w:t xml:space="preserve">below (see also Section </w:t>
      </w:r>
      <w:r w:rsidRPr="00CB64CE">
        <w:rPr>
          <w:lang w:val="en-AU"/>
        </w:rPr>
        <w:fldChar w:fldCharType="begin"/>
      </w:r>
      <w:r w:rsidRPr="00CB64CE">
        <w:rPr>
          <w:lang w:val="en-AU"/>
        </w:rPr>
        <w:instrText xml:space="preserve"> REF _Ref505770425 \r \h </w:instrText>
      </w:r>
      <w:r w:rsidR="00D513A6" w:rsidRPr="00CB64CE">
        <w:rPr>
          <w:lang w:val="en-AU"/>
        </w:rPr>
        <w:instrText xml:space="preserve"> \* MERGEFORMAT </w:instrText>
      </w:r>
      <w:r w:rsidRPr="00CB64CE">
        <w:rPr>
          <w:lang w:val="en-AU"/>
        </w:rPr>
      </w:r>
      <w:r w:rsidRPr="00CB64CE">
        <w:rPr>
          <w:lang w:val="en-AU"/>
        </w:rPr>
        <w:fldChar w:fldCharType="separate"/>
      </w:r>
      <w:r w:rsidR="00187CFE" w:rsidRPr="00CB64CE">
        <w:rPr>
          <w:lang w:val="en-AU"/>
        </w:rPr>
        <w:t>4.5</w:t>
      </w:r>
      <w:r w:rsidRPr="00CB64CE">
        <w:rPr>
          <w:lang w:val="en-AU"/>
        </w:rPr>
        <w:fldChar w:fldCharType="end"/>
      </w:r>
      <w:r w:rsidRPr="00CB64CE">
        <w:rPr>
          <w:lang w:val="en-AU"/>
        </w:rPr>
        <w:t xml:space="preserve"> </w:t>
      </w:r>
      <w:r w:rsidRPr="00CB64CE">
        <w:rPr>
          <w:lang w:val="en-AU"/>
        </w:rPr>
        <w:fldChar w:fldCharType="begin"/>
      </w:r>
      <w:r w:rsidRPr="00CB64CE">
        <w:rPr>
          <w:lang w:val="en-AU"/>
        </w:rPr>
        <w:instrText xml:space="preserve"> REF _Ref505770425 \h </w:instrText>
      </w:r>
      <w:r w:rsidR="00D513A6" w:rsidRPr="00CB64CE">
        <w:rPr>
          <w:lang w:val="en-AU"/>
        </w:rPr>
        <w:instrText xml:space="preserve"> \* MERGEFORMAT </w:instrText>
      </w:r>
      <w:r w:rsidRPr="00CB64CE">
        <w:rPr>
          <w:lang w:val="en-AU"/>
        </w:rPr>
      </w:r>
      <w:r w:rsidRPr="00CB64CE">
        <w:rPr>
          <w:lang w:val="en-AU"/>
        </w:rPr>
        <w:fldChar w:fldCharType="separate"/>
      </w:r>
      <w:r w:rsidR="00187CFE" w:rsidRPr="00CB64CE">
        <w:rPr>
          <w:lang w:val="en-AU"/>
        </w:rPr>
        <w:t>Interactions with other medicines and other forms of interactions</w:t>
      </w:r>
      <w:r w:rsidRPr="00CB64CE">
        <w:rPr>
          <w:lang w:val="en-AU"/>
        </w:rPr>
        <w:fldChar w:fldCharType="end"/>
      </w:r>
      <w:r w:rsidRPr="00CB64CE">
        <w:rPr>
          <w:lang w:val="en-AU"/>
        </w:rPr>
        <w:t>).</w:t>
      </w:r>
    </w:p>
    <w:p w14:paraId="7467AD98" w14:textId="67093FB5" w:rsidR="00D82ADB" w:rsidRPr="00CB64CE" w:rsidRDefault="00D82ADB" w:rsidP="000222A4">
      <w:pPr>
        <w:pStyle w:val="TableTitle"/>
        <w:rPr>
          <w:lang w:val="en-AU"/>
        </w:rPr>
      </w:pPr>
      <w:bookmarkStart w:id="6" w:name="_Ref13503621"/>
      <w:r w:rsidRPr="00CB64CE">
        <w:rPr>
          <w:lang w:val="en-AU"/>
        </w:rPr>
        <w:t>Table </w:t>
      </w:r>
      <w:r w:rsidRPr="00CB64CE">
        <w:rPr>
          <w:lang w:val="en-AU"/>
        </w:rPr>
        <w:fldChar w:fldCharType="begin"/>
      </w:r>
      <w:r w:rsidRPr="00CB64CE">
        <w:rPr>
          <w:lang w:val="en-AU"/>
        </w:rPr>
        <w:instrText xml:space="preserve"> SEQ Table \* ARABIC </w:instrText>
      </w:r>
      <w:r w:rsidRPr="00CB64CE">
        <w:rPr>
          <w:lang w:val="en-AU"/>
        </w:rPr>
        <w:fldChar w:fldCharType="separate"/>
      </w:r>
      <w:r w:rsidR="00187CFE" w:rsidRPr="00CB64CE">
        <w:rPr>
          <w:noProof/>
          <w:lang w:val="en-AU"/>
        </w:rPr>
        <w:t>2</w:t>
      </w:r>
      <w:r w:rsidRPr="00CB64CE">
        <w:rPr>
          <w:lang w:val="en-AU"/>
        </w:rPr>
        <w:fldChar w:fldCharType="end"/>
      </w:r>
      <w:bookmarkEnd w:id="6"/>
      <w:r w:rsidRPr="00CB64CE">
        <w:rPr>
          <w:lang w:val="en-AU"/>
        </w:rPr>
        <w:tab/>
      </w:r>
      <w:r w:rsidR="007432C6" w:rsidRPr="00CB64CE">
        <w:rPr>
          <w:lang w:val="en-AU"/>
        </w:rPr>
        <w:t xml:space="preserve">Use with CYP3A inhibitors or inducers, and gastric acid reducing </w:t>
      </w:r>
      <w:r w:rsidR="00187CFE" w:rsidRPr="00CB64CE">
        <w:rPr>
          <w:lang w:val="en-AU"/>
        </w:rPr>
        <w:t>medicines</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t;&lt;Please Add a Table Title Here&gt;&gt;"/>
      </w:tblPr>
      <w:tblGrid>
        <w:gridCol w:w="1696"/>
        <w:gridCol w:w="2552"/>
        <w:gridCol w:w="5390"/>
      </w:tblGrid>
      <w:tr w:rsidR="007432C6" w:rsidRPr="00CB64CE" w14:paraId="59DCCCD5" w14:textId="77777777" w:rsidTr="001749DC">
        <w:trPr>
          <w:cantSplit/>
          <w:tblHeader/>
        </w:trPr>
        <w:tc>
          <w:tcPr>
            <w:tcW w:w="1696" w:type="dxa"/>
            <w:shd w:val="clear" w:color="auto" w:fill="auto"/>
          </w:tcPr>
          <w:p w14:paraId="487B9688" w14:textId="77777777" w:rsidR="007432C6" w:rsidRPr="00CB64CE" w:rsidRDefault="007432C6" w:rsidP="000222A4">
            <w:pPr>
              <w:pStyle w:val="TableHead"/>
              <w:jc w:val="left"/>
              <w:rPr>
                <w:lang w:val="en-AU"/>
              </w:rPr>
            </w:pPr>
          </w:p>
        </w:tc>
        <w:tc>
          <w:tcPr>
            <w:tcW w:w="2552" w:type="dxa"/>
            <w:shd w:val="clear" w:color="auto" w:fill="auto"/>
            <w:vAlign w:val="center"/>
          </w:tcPr>
          <w:p w14:paraId="484AB20D" w14:textId="6B0E2153" w:rsidR="007432C6" w:rsidRPr="00CB64CE" w:rsidRDefault="007432C6" w:rsidP="000222A4">
            <w:pPr>
              <w:pStyle w:val="TableHead"/>
              <w:jc w:val="left"/>
              <w:rPr>
                <w:lang w:val="en-AU"/>
              </w:rPr>
            </w:pPr>
            <w:r w:rsidRPr="00CB64CE">
              <w:rPr>
                <w:lang w:val="en-AU"/>
              </w:rPr>
              <w:t xml:space="preserve">Co-administered </w:t>
            </w:r>
            <w:r w:rsidR="001749DC" w:rsidRPr="00CB64CE">
              <w:rPr>
                <w:lang w:val="en-AU"/>
              </w:rPr>
              <w:t>medicines</w:t>
            </w:r>
          </w:p>
        </w:tc>
        <w:tc>
          <w:tcPr>
            <w:tcW w:w="5390" w:type="dxa"/>
            <w:shd w:val="clear" w:color="auto" w:fill="auto"/>
            <w:vAlign w:val="center"/>
          </w:tcPr>
          <w:p w14:paraId="749D83F9" w14:textId="2C160DFE" w:rsidR="007432C6" w:rsidRPr="00CB64CE" w:rsidRDefault="007432C6" w:rsidP="000222A4">
            <w:pPr>
              <w:pStyle w:val="TableHead"/>
              <w:jc w:val="left"/>
              <w:rPr>
                <w:lang w:val="en-AU"/>
              </w:rPr>
            </w:pPr>
            <w:r w:rsidRPr="00CB64CE">
              <w:rPr>
                <w:lang w:val="en-AU"/>
              </w:rPr>
              <w:t>Recommended CALQUENCE use</w:t>
            </w:r>
          </w:p>
        </w:tc>
      </w:tr>
      <w:tr w:rsidR="001749DC" w:rsidRPr="00CB64CE" w14:paraId="3EE190C6" w14:textId="77777777" w:rsidTr="001749DC">
        <w:trPr>
          <w:cantSplit/>
        </w:trPr>
        <w:tc>
          <w:tcPr>
            <w:tcW w:w="1696" w:type="dxa"/>
            <w:vMerge w:val="restart"/>
            <w:shd w:val="clear" w:color="auto" w:fill="auto"/>
          </w:tcPr>
          <w:p w14:paraId="06AAFE72" w14:textId="767725F8" w:rsidR="001749DC" w:rsidRPr="00CB64CE" w:rsidRDefault="001749DC" w:rsidP="000222A4">
            <w:pPr>
              <w:pStyle w:val="TableLeft"/>
              <w:rPr>
                <w:b/>
                <w:lang w:val="en-AU"/>
              </w:rPr>
            </w:pPr>
            <w:r w:rsidRPr="00CB64CE">
              <w:rPr>
                <w:b/>
                <w:lang w:val="en-AU"/>
              </w:rPr>
              <w:t>CYP3A inhibitor</w:t>
            </w:r>
          </w:p>
        </w:tc>
        <w:tc>
          <w:tcPr>
            <w:tcW w:w="2552" w:type="dxa"/>
            <w:shd w:val="clear" w:color="auto" w:fill="auto"/>
          </w:tcPr>
          <w:p w14:paraId="68F00094" w14:textId="6523A6EF" w:rsidR="001749DC" w:rsidRPr="00CB64CE" w:rsidRDefault="001749DC" w:rsidP="000222A4">
            <w:pPr>
              <w:pStyle w:val="TableLeft"/>
              <w:rPr>
                <w:lang w:val="en-AU"/>
              </w:rPr>
            </w:pPr>
            <w:r w:rsidRPr="00CB64CE">
              <w:rPr>
                <w:lang w:val="en-AU"/>
              </w:rPr>
              <w:t>Strong CYP3A inhibitor</w:t>
            </w:r>
          </w:p>
        </w:tc>
        <w:tc>
          <w:tcPr>
            <w:tcW w:w="5390" w:type="dxa"/>
            <w:shd w:val="clear" w:color="auto" w:fill="auto"/>
          </w:tcPr>
          <w:p w14:paraId="23C7FA9D" w14:textId="77777777" w:rsidR="001749DC" w:rsidRPr="00CB64CE" w:rsidRDefault="001749DC" w:rsidP="000222A4">
            <w:pPr>
              <w:pStyle w:val="TableLeft"/>
              <w:rPr>
                <w:lang w:val="en-AU"/>
              </w:rPr>
            </w:pPr>
            <w:r w:rsidRPr="00CB64CE">
              <w:rPr>
                <w:lang w:val="en-AU"/>
              </w:rPr>
              <w:t xml:space="preserve">Avoid concomitant use. </w:t>
            </w:r>
          </w:p>
          <w:p w14:paraId="5A530B33" w14:textId="49E62011" w:rsidR="001749DC" w:rsidRPr="00CB64CE" w:rsidRDefault="001749DC" w:rsidP="000222A4">
            <w:pPr>
              <w:pStyle w:val="TableLeft"/>
              <w:rPr>
                <w:lang w:val="en-AU"/>
              </w:rPr>
            </w:pPr>
            <w:r w:rsidRPr="00CB64CE">
              <w:rPr>
                <w:lang w:val="en-AU"/>
              </w:rPr>
              <w:t>If these inhibitors will be used short-term (such as anti-infectives for up to seven days), interrupt CALQUENCE.</w:t>
            </w:r>
          </w:p>
        </w:tc>
      </w:tr>
      <w:tr w:rsidR="001749DC" w:rsidRPr="00CB64CE" w14:paraId="0F565F03" w14:textId="77777777" w:rsidTr="001749DC">
        <w:trPr>
          <w:cantSplit/>
        </w:trPr>
        <w:tc>
          <w:tcPr>
            <w:tcW w:w="1696" w:type="dxa"/>
            <w:vMerge/>
            <w:shd w:val="clear" w:color="auto" w:fill="auto"/>
          </w:tcPr>
          <w:p w14:paraId="6E7BCF53" w14:textId="77777777" w:rsidR="001749DC" w:rsidRPr="00CB64CE" w:rsidRDefault="001749DC" w:rsidP="000222A4">
            <w:pPr>
              <w:pStyle w:val="TableLeft"/>
              <w:rPr>
                <w:b/>
                <w:lang w:val="en-AU"/>
              </w:rPr>
            </w:pPr>
          </w:p>
        </w:tc>
        <w:tc>
          <w:tcPr>
            <w:tcW w:w="2552" w:type="dxa"/>
            <w:shd w:val="clear" w:color="auto" w:fill="auto"/>
          </w:tcPr>
          <w:p w14:paraId="1ECD835D" w14:textId="1C690D83" w:rsidR="001749DC" w:rsidRPr="00CB64CE" w:rsidRDefault="001749DC" w:rsidP="000222A4">
            <w:pPr>
              <w:pStyle w:val="TableLeft"/>
              <w:rPr>
                <w:lang w:val="en-AU"/>
              </w:rPr>
            </w:pPr>
            <w:r w:rsidRPr="00CB64CE">
              <w:rPr>
                <w:lang w:val="en-AU"/>
              </w:rPr>
              <w:t>Moderate CYP3A inhibitor</w:t>
            </w:r>
          </w:p>
        </w:tc>
        <w:tc>
          <w:tcPr>
            <w:tcW w:w="5390" w:type="dxa"/>
            <w:shd w:val="clear" w:color="auto" w:fill="auto"/>
          </w:tcPr>
          <w:p w14:paraId="4D3542F4" w14:textId="535AB985" w:rsidR="001749DC" w:rsidRPr="00CB64CE" w:rsidRDefault="00BA3CAA" w:rsidP="000222A4">
            <w:pPr>
              <w:pStyle w:val="TableLeft"/>
              <w:rPr>
                <w:lang w:val="en-AU"/>
              </w:rPr>
            </w:pPr>
            <w:r w:rsidRPr="00CB64CE">
              <w:rPr>
                <w:lang w:val="en-AU"/>
              </w:rPr>
              <w:t xml:space="preserve">Reduce CALQUENCE dose to </w:t>
            </w:r>
            <w:r w:rsidR="001749DC" w:rsidRPr="00CB64CE">
              <w:rPr>
                <w:lang w:val="en-AU"/>
              </w:rPr>
              <w:t>100</w:t>
            </w:r>
            <w:r w:rsidR="00450E0A" w:rsidRPr="00CB64CE">
              <w:rPr>
                <w:lang w:val="en-AU"/>
              </w:rPr>
              <w:t> </w:t>
            </w:r>
            <w:r w:rsidR="001749DC" w:rsidRPr="00CB64CE">
              <w:rPr>
                <w:lang w:val="en-AU"/>
              </w:rPr>
              <w:t>mg once daily.</w:t>
            </w:r>
          </w:p>
        </w:tc>
      </w:tr>
      <w:tr w:rsidR="007432C6" w:rsidRPr="00CB64CE" w14:paraId="594C6A2E" w14:textId="77777777" w:rsidTr="001749DC">
        <w:trPr>
          <w:cantSplit/>
        </w:trPr>
        <w:tc>
          <w:tcPr>
            <w:tcW w:w="1696" w:type="dxa"/>
            <w:shd w:val="clear" w:color="auto" w:fill="auto"/>
          </w:tcPr>
          <w:p w14:paraId="7F87BDCB" w14:textId="4229B9B3" w:rsidR="007432C6" w:rsidRPr="00CB64CE" w:rsidRDefault="007432C6" w:rsidP="000222A4">
            <w:pPr>
              <w:pStyle w:val="TableLeft"/>
              <w:rPr>
                <w:b/>
                <w:lang w:val="en-AU"/>
              </w:rPr>
            </w:pPr>
            <w:r w:rsidRPr="00CB64CE">
              <w:rPr>
                <w:b/>
                <w:lang w:val="en-AU"/>
              </w:rPr>
              <w:t>CYP3A inducer</w:t>
            </w:r>
          </w:p>
        </w:tc>
        <w:tc>
          <w:tcPr>
            <w:tcW w:w="2552" w:type="dxa"/>
            <w:shd w:val="clear" w:color="auto" w:fill="auto"/>
          </w:tcPr>
          <w:p w14:paraId="15890E6F" w14:textId="52389714" w:rsidR="007432C6" w:rsidRPr="00CB64CE" w:rsidRDefault="007432C6" w:rsidP="000222A4">
            <w:pPr>
              <w:pStyle w:val="TableLeft"/>
              <w:rPr>
                <w:lang w:val="en-AU"/>
              </w:rPr>
            </w:pPr>
            <w:r w:rsidRPr="00CB64CE">
              <w:rPr>
                <w:lang w:val="en-AU"/>
              </w:rPr>
              <w:t>Strong CYP3A inducer</w:t>
            </w:r>
          </w:p>
        </w:tc>
        <w:tc>
          <w:tcPr>
            <w:tcW w:w="5390" w:type="dxa"/>
            <w:shd w:val="clear" w:color="auto" w:fill="auto"/>
          </w:tcPr>
          <w:p w14:paraId="6008CDF4" w14:textId="77777777" w:rsidR="007432C6" w:rsidRPr="00CB64CE" w:rsidRDefault="007432C6" w:rsidP="000222A4">
            <w:pPr>
              <w:pStyle w:val="TableLeft"/>
              <w:rPr>
                <w:lang w:val="en-AU"/>
              </w:rPr>
            </w:pPr>
            <w:r w:rsidRPr="00CB64CE">
              <w:rPr>
                <w:lang w:val="en-AU"/>
              </w:rPr>
              <w:t xml:space="preserve">Avoid concomitant use. </w:t>
            </w:r>
          </w:p>
          <w:p w14:paraId="45FB6B33" w14:textId="3780C560" w:rsidR="007432C6" w:rsidRPr="00CB64CE" w:rsidRDefault="007432C6" w:rsidP="000222A4">
            <w:pPr>
              <w:pStyle w:val="TableLeft"/>
              <w:rPr>
                <w:lang w:val="en-AU"/>
              </w:rPr>
            </w:pPr>
            <w:r w:rsidRPr="00CB64CE">
              <w:rPr>
                <w:lang w:val="en-AU"/>
              </w:rPr>
              <w:t>If these inducers cannot be avoided, increase CALQUENCE dose to 200</w:t>
            </w:r>
            <w:r w:rsidR="00450E0A" w:rsidRPr="00CB64CE">
              <w:rPr>
                <w:lang w:val="en-AU"/>
              </w:rPr>
              <w:t> </w:t>
            </w:r>
            <w:r w:rsidRPr="00CB64CE">
              <w:rPr>
                <w:lang w:val="en-AU"/>
              </w:rPr>
              <w:t>mg twice daily.</w:t>
            </w:r>
          </w:p>
        </w:tc>
      </w:tr>
      <w:tr w:rsidR="001749DC" w:rsidRPr="00CB64CE" w14:paraId="3DFFED26" w14:textId="77777777" w:rsidTr="001749DC">
        <w:trPr>
          <w:cantSplit/>
        </w:trPr>
        <w:tc>
          <w:tcPr>
            <w:tcW w:w="1696" w:type="dxa"/>
            <w:vMerge w:val="restart"/>
            <w:shd w:val="clear" w:color="auto" w:fill="auto"/>
          </w:tcPr>
          <w:p w14:paraId="2F8FA93D" w14:textId="4054F92F" w:rsidR="001749DC" w:rsidRPr="00CB64CE" w:rsidRDefault="001749DC" w:rsidP="000222A4">
            <w:pPr>
              <w:pStyle w:val="TableLeft"/>
              <w:rPr>
                <w:lang w:val="en-AU"/>
              </w:rPr>
            </w:pPr>
            <w:r w:rsidRPr="00CB64CE">
              <w:rPr>
                <w:b/>
                <w:lang w:val="en-AU"/>
              </w:rPr>
              <w:t>Gastric acid reducing medicines</w:t>
            </w:r>
          </w:p>
        </w:tc>
        <w:tc>
          <w:tcPr>
            <w:tcW w:w="2552" w:type="dxa"/>
            <w:shd w:val="clear" w:color="auto" w:fill="auto"/>
          </w:tcPr>
          <w:p w14:paraId="355C5729" w14:textId="39F0A247" w:rsidR="001749DC" w:rsidRPr="00CB64CE" w:rsidRDefault="001749DC" w:rsidP="000222A4">
            <w:pPr>
              <w:pStyle w:val="TableLeft"/>
              <w:rPr>
                <w:lang w:val="en-AU"/>
              </w:rPr>
            </w:pPr>
            <w:r w:rsidRPr="00CB64CE">
              <w:rPr>
                <w:lang w:val="en-AU"/>
              </w:rPr>
              <w:t>Proton pump inhibitors</w:t>
            </w:r>
          </w:p>
        </w:tc>
        <w:tc>
          <w:tcPr>
            <w:tcW w:w="5390" w:type="dxa"/>
            <w:shd w:val="clear" w:color="auto" w:fill="auto"/>
          </w:tcPr>
          <w:p w14:paraId="32889D1B" w14:textId="59136034" w:rsidR="001749DC" w:rsidRPr="00CB64CE" w:rsidRDefault="001749DC" w:rsidP="000222A4">
            <w:pPr>
              <w:pStyle w:val="TableLeft"/>
              <w:rPr>
                <w:lang w:val="en-AU"/>
              </w:rPr>
            </w:pPr>
            <w:r w:rsidRPr="00CB64CE">
              <w:rPr>
                <w:lang w:val="en-AU"/>
              </w:rPr>
              <w:t>Avoid concomitant use.</w:t>
            </w:r>
          </w:p>
        </w:tc>
      </w:tr>
      <w:tr w:rsidR="001749DC" w:rsidRPr="00CB64CE" w14:paraId="596D369D" w14:textId="77777777" w:rsidTr="001749DC">
        <w:trPr>
          <w:cantSplit/>
        </w:trPr>
        <w:tc>
          <w:tcPr>
            <w:tcW w:w="1696" w:type="dxa"/>
            <w:vMerge/>
            <w:shd w:val="clear" w:color="auto" w:fill="auto"/>
          </w:tcPr>
          <w:p w14:paraId="63923AB4" w14:textId="77777777" w:rsidR="001749DC" w:rsidRPr="00CB64CE" w:rsidRDefault="001749DC" w:rsidP="000222A4">
            <w:pPr>
              <w:pStyle w:val="TableLeft"/>
              <w:rPr>
                <w:lang w:val="en-AU"/>
              </w:rPr>
            </w:pPr>
          </w:p>
        </w:tc>
        <w:tc>
          <w:tcPr>
            <w:tcW w:w="2552" w:type="dxa"/>
            <w:shd w:val="clear" w:color="auto" w:fill="auto"/>
          </w:tcPr>
          <w:p w14:paraId="7BE2FCFB" w14:textId="74E37D02" w:rsidR="001749DC" w:rsidRPr="00CB64CE" w:rsidRDefault="001749DC" w:rsidP="000222A4">
            <w:pPr>
              <w:pStyle w:val="TableLeft"/>
              <w:rPr>
                <w:lang w:val="en-AU"/>
              </w:rPr>
            </w:pPr>
            <w:r w:rsidRPr="00CB64CE">
              <w:rPr>
                <w:lang w:val="en-AU"/>
              </w:rPr>
              <w:t>H</w:t>
            </w:r>
            <w:r w:rsidRPr="00CB64CE">
              <w:rPr>
                <w:vertAlign w:val="subscript"/>
                <w:lang w:val="en-AU"/>
              </w:rPr>
              <w:t>2</w:t>
            </w:r>
            <w:r w:rsidRPr="00CB64CE">
              <w:rPr>
                <w:lang w:val="en-AU"/>
              </w:rPr>
              <w:t>-receptor antagonists</w:t>
            </w:r>
          </w:p>
        </w:tc>
        <w:tc>
          <w:tcPr>
            <w:tcW w:w="5390" w:type="dxa"/>
            <w:shd w:val="clear" w:color="auto" w:fill="auto"/>
          </w:tcPr>
          <w:p w14:paraId="4E10111C" w14:textId="63838429" w:rsidR="001749DC" w:rsidRPr="00CB64CE" w:rsidRDefault="001749DC" w:rsidP="000222A4">
            <w:pPr>
              <w:pStyle w:val="TableLeft"/>
              <w:rPr>
                <w:lang w:val="en-AU"/>
              </w:rPr>
            </w:pPr>
            <w:r w:rsidRPr="00CB64CE">
              <w:rPr>
                <w:lang w:val="en-AU"/>
              </w:rPr>
              <w:t>Take CALQUENCE 2 hours before taking a H2-receptor antagonist.</w:t>
            </w:r>
          </w:p>
        </w:tc>
      </w:tr>
      <w:tr w:rsidR="001749DC" w:rsidRPr="00CB64CE" w14:paraId="2A352357" w14:textId="77777777" w:rsidTr="001749DC">
        <w:trPr>
          <w:cantSplit/>
        </w:trPr>
        <w:tc>
          <w:tcPr>
            <w:tcW w:w="1696" w:type="dxa"/>
            <w:vMerge/>
            <w:shd w:val="clear" w:color="auto" w:fill="auto"/>
          </w:tcPr>
          <w:p w14:paraId="4DD4FDE6" w14:textId="77777777" w:rsidR="001749DC" w:rsidRPr="00CB64CE" w:rsidRDefault="001749DC" w:rsidP="000222A4">
            <w:pPr>
              <w:pStyle w:val="TableLeft"/>
              <w:rPr>
                <w:lang w:val="en-AU"/>
              </w:rPr>
            </w:pPr>
          </w:p>
        </w:tc>
        <w:tc>
          <w:tcPr>
            <w:tcW w:w="2552" w:type="dxa"/>
            <w:shd w:val="clear" w:color="auto" w:fill="auto"/>
          </w:tcPr>
          <w:p w14:paraId="7F1D4AB9" w14:textId="4771FB5A" w:rsidR="001749DC" w:rsidRPr="00CB64CE" w:rsidRDefault="001749DC" w:rsidP="000222A4">
            <w:pPr>
              <w:pStyle w:val="TableLeft"/>
              <w:rPr>
                <w:lang w:val="en-AU"/>
              </w:rPr>
            </w:pPr>
            <w:r w:rsidRPr="00CB64CE">
              <w:rPr>
                <w:lang w:val="en-AU"/>
              </w:rPr>
              <w:t>Antacids</w:t>
            </w:r>
          </w:p>
        </w:tc>
        <w:tc>
          <w:tcPr>
            <w:tcW w:w="5390" w:type="dxa"/>
            <w:shd w:val="clear" w:color="auto" w:fill="auto"/>
          </w:tcPr>
          <w:p w14:paraId="21C8AA2C" w14:textId="7AC47918" w:rsidR="001749DC" w:rsidRPr="00CB64CE" w:rsidRDefault="001749DC" w:rsidP="000222A4">
            <w:pPr>
              <w:pStyle w:val="TableLeft"/>
              <w:rPr>
                <w:lang w:val="en-AU"/>
              </w:rPr>
            </w:pPr>
            <w:r w:rsidRPr="00CB64CE">
              <w:rPr>
                <w:lang w:val="en-AU"/>
              </w:rPr>
              <w:t>Separate dosing by at least 2 hours.</w:t>
            </w:r>
          </w:p>
        </w:tc>
      </w:tr>
    </w:tbl>
    <w:p w14:paraId="539993C6" w14:textId="77777777" w:rsidR="00D82ADB" w:rsidRPr="00CB64CE" w:rsidRDefault="00D82ADB" w:rsidP="000222A4">
      <w:pPr>
        <w:pStyle w:val="Paragraph"/>
        <w:rPr>
          <w:lang w:val="en-AU"/>
        </w:rPr>
      </w:pPr>
    </w:p>
    <w:p w14:paraId="427395B3" w14:textId="3368FCF0" w:rsidR="00ED27EC" w:rsidRPr="00CB64CE" w:rsidRDefault="00ED27EC" w:rsidP="00717890">
      <w:pPr>
        <w:pStyle w:val="Heading3Unnumbered"/>
        <w:rPr>
          <w:lang w:val="en-AU"/>
        </w:rPr>
      </w:pPr>
      <w:r w:rsidRPr="00CB64CE">
        <w:rPr>
          <w:lang w:val="en-AU"/>
        </w:rPr>
        <w:t>Special patient populations</w:t>
      </w:r>
    </w:p>
    <w:p w14:paraId="6742CAB8" w14:textId="6518160E" w:rsidR="00ED27EC" w:rsidRPr="00CB64CE" w:rsidRDefault="00ED27EC" w:rsidP="00717890">
      <w:pPr>
        <w:pStyle w:val="Heading4Unnumbered"/>
        <w:rPr>
          <w:lang w:val="en-AU"/>
        </w:rPr>
      </w:pPr>
      <w:r w:rsidRPr="00CB64CE">
        <w:rPr>
          <w:lang w:val="en-AU"/>
        </w:rPr>
        <w:t>Renal impairment</w:t>
      </w:r>
    </w:p>
    <w:p w14:paraId="1389D4B2" w14:textId="6757DE67" w:rsidR="00450E0A" w:rsidRPr="00CB64CE" w:rsidRDefault="00450E0A" w:rsidP="00717890">
      <w:pPr>
        <w:pStyle w:val="Paragraph"/>
        <w:rPr>
          <w:lang w:val="en-AU"/>
        </w:rPr>
      </w:pPr>
      <w:r w:rsidRPr="00CB64CE">
        <w:rPr>
          <w:lang w:val="en-AU"/>
        </w:rPr>
        <w:t>No dose adjustment is recommended in patients with mild to moderate renal impairment (</w:t>
      </w:r>
      <w:r w:rsidR="00791028" w:rsidRPr="00CB64CE">
        <w:rPr>
          <w:lang w:val="en-AU"/>
        </w:rPr>
        <w:t xml:space="preserve">estimated Glomerular Filtration Rate </w:t>
      </w:r>
      <w:r w:rsidR="009F7A0E" w:rsidRPr="00CB64CE">
        <w:rPr>
          <w:lang w:val="en-AU"/>
        </w:rPr>
        <w:t>(eGFR)</w:t>
      </w:r>
      <w:r w:rsidRPr="00CB64CE">
        <w:rPr>
          <w:lang w:val="en-AU"/>
        </w:rPr>
        <w:t xml:space="preserve"> </w:t>
      </w:r>
      <w:r w:rsidR="009F7A0E" w:rsidRPr="00CB64CE">
        <w:rPr>
          <w:lang w:val="en-AU"/>
        </w:rPr>
        <w:t>≥</w:t>
      </w:r>
      <w:r w:rsidRPr="00CB64CE">
        <w:rPr>
          <w:lang w:val="en-AU"/>
        </w:rPr>
        <w:t>30</w:t>
      </w:r>
      <w:r w:rsidR="009F7A0E" w:rsidRPr="00CB64CE">
        <w:rPr>
          <w:lang w:val="en-AU"/>
        </w:rPr>
        <w:t> </w:t>
      </w:r>
      <w:r w:rsidRPr="00CB64CE">
        <w:rPr>
          <w:lang w:val="en-AU"/>
        </w:rPr>
        <w:t>mL/min/1.73</w:t>
      </w:r>
      <w:r w:rsidR="004D350D" w:rsidRPr="00CB64CE">
        <w:rPr>
          <w:lang w:val="en-AU"/>
        </w:rPr>
        <w:t> </w:t>
      </w:r>
      <w:r w:rsidRPr="00CB64CE">
        <w:rPr>
          <w:lang w:val="en-AU"/>
        </w:rPr>
        <w:t>m</w:t>
      </w:r>
      <w:r w:rsidRPr="00CB64CE">
        <w:rPr>
          <w:vertAlign w:val="superscript"/>
          <w:lang w:val="en-AU"/>
        </w:rPr>
        <w:t>2</w:t>
      </w:r>
      <w:r w:rsidRPr="00CB64CE">
        <w:rPr>
          <w:lang w:val="en-AU"/>
        </w:rPr>
        <w:t xml:space="preserve"> as estimated by MDRD (modification of diet in renal disease equation)). The pharmacokinetics and safety of CALQUENCE in patients with severe renal impairment (eGFR </w:t>
      </w:r>
      <w:r w:rsidR="009F7A0E" w:rsidRPr="00CB64CE">
        <w:rPr>
          <w:lang w:val="en-AU"/>
        </w:rPr>
        <w:t>&lt;</w:t>
      </w:r>
      <w:r w:rsidRPr="00CB64CE">
        <w:rPr>
          <w:lang w:val="en-AU"/>
        </w:rPr>
        <w:t>29</w:t>
      </w:r>
      <w:r w:rsidR="009F7A0E" w:rsidRPr="00CB64CE">
        <w:rPr>
          <w:lang w:val="en-AU"/>
        </w:rPr>
        <w:t> </w:t>
      </w:r>
      <w:r w:rsidRPr="00CB64CE">
        <w:rPr>
          <w:lang w:val="en-AU"/>
        </w:rPr>
        <w:t>mL/min/1.73</w:t>
      </w:r>
      <w:r w:rsidR="004D350D" w:rsidRPr="00CB64CE">
        <w:rPr>
          <w:lang w:val="en-AU"/>
        </w:rPr>
        <w:t> </w:t>
      </w:r>
      <w:r w:rsidRPr="00CB64CE">
        <w:rPr>
          <w:lang w:val="en-AU"/>
        </w:rPr>
        <w:t>m</w:t>
      </w:r>
      <w:r w:rsidRPr="00CB64CE">
        <w:rPr>
          <w:vertAlign w:val="superscript"/>
          <w:lang w:val="en-AU"/>
        </w:rPr>
        <w:t>2</w:t>
      </w:r>
      <w:r w:rsidRPr="00CB64CE">
        <w:rPr>
          <w:lang w:val="en-AU"/>
        </w:rPr>
        <w:t xml:space="preserve">) or end-stage renal disease have not been studied (see </w:t>
      </w:r>
      <w:r w:rsidR="004D350D" w:rsidRPr="00CB64CE">
        <w:rPr>
          <w:lang w:val="en-AU"/>
        </w:rPr>
        <w:t>S</w:t>
      </w:r>
      <w:r w:rsidRPr="00CB64CE">
        <w:rPr>
          <w:lang w:val="en-AU"/>
        </w:rPr>
        <w:t>ection</w:t>
      </w:r>
      <w:r w:rsidR="004D350D" w:rsidRPr="00CB64CE">
        <w:rPr>
          <w:lang w:val="en-AU"/>
        </w:rPr>
        <w:t xml:space="preserve"> </w:t>
      </w:r>
      <w:r w:rsidR="004D350D" w:rsidRPr="00CB64CE">
        <w:rPr>
          <w:lang w:val="en-AU"/>
        </w:rPr>
        <w:fldChar w:fldCharType="begin"/>
      </w:r>
      <w:r w:rsidR="004D350D" w:rsidRPr="00CB64CE">
        <w:rPr>
          <w:lang w:val="en-AU"/>
        </w:rPr>
        <w:instrText xml:space="preserve"> REF _Ref13512319 \r \h  \* MERGEFORMAT </w:instrText>
      </w:r>
      <w:r w:rsidR="004D350D" w:rsidRPr="00CB64CE">
        <w:rPr>
          <w:lang w:val="en-AU"/>
        </w:rPr>
      </w:r>
      <w:r w:rsidR="004D350D" w:rsidRPr="00CB64CE">
        <w:rPr>
          <w:lang w:val="en-AU"/>
        </w:rPr>
        <w:fldChar w:fldCharType="separate"/>
      </w:r>
      <w:r w:rsidR="00187CFE" w:rsidRPr="00CB64CE">
        <w:rPr>
          <w:lang w:val="en-AU"/>
        </w:rPr>
        <w:t>5.2</w:t>
      </w:r>
      <w:r w:rsidR="004D350D" w:rsidRPr="00CB64CE">
        <w:rPr>
          <w:lang w:val="en-AU"/>
        </w:rPr>
        <w:fldChar w:fldCharType="end"/>
      </w:r>
      <w:r w:rsidR="004D350D" w:rsidRPr="00CB64CE">
        <w:rPr>
          <w:lang w:val="en-AU"/>
        </w:rPr>
        <w:t xml:space="preserve"> </w:t>
      </w:r>
      <w:r w:rsidR="004D350D" w:rsidRPr="00CB64CE">
        <w:rPr>
          <w:lang w:val="en-AU"/>
        </w:rPr>
        <w:fldChar w:fldCharType="begin"/>
      </w:r>
      <w:r w:rsidR="004D350D" w:rsidRPr="00CB64CE">
        <w:rPr>
          <w:lang w:val="en-AU"/>
        </w:rPr>
        <w:instrText xml:space="preserve"> REF _Ref13512319 \h  \* MERGEFORMAT </w:instrText>
      </w:r>
      <w:r w:rsidR="004D350D" w:rsidRPr="00CB64CE">
        <w:rPr>
          <w:lang w:val="en-AU"/>
        </w:rPr>
      </w:r>
      <w:r w:rsidR="004D350D" w:rsidRPr="00CB64CE">
        <w:rPr>
          <w:lang w:val="en-AU"/>
        </w:rPr>
        <w:fldChar w:fldCharType="separate"/>
      </w:r>
      <w:r w:rsidR="00187CFE" w:rsidRPr="00CB64CE">
        <w:rPr>
          <w:lang w:val="en-AU"/>
        </w:rPr>
        <w:t>Pharmacokinetic properties</w:t>
      </w:r>
      <w:r w:rsidR="004D350D" w:rsidRPr="00CB64CE">
        <w:rPr>
          <w:lang w:val="en-AU"/>
        </w:rPr>
        <w:fldChar w:fldCharType="end"/>
      </w:r>
      <w:r w:rsidRPr="00CB64CE">
        <w:rPr>
          <w:lang w:val="en-AU"/>
        </w:rPr>
        <w:t>).</w:t>
      </w:r>
    </w:p>
    <w:p w14:paraId="1259B6C6" w14:textId="14867038" w:rsidR="00ED27EC" w:rsidRPr="00CB64CE" w:rsidRDefault="00ED27EC" w:rsidP="00717890">
      <w:pPr>
        <w:pStyle w:val="Heading4Unnumbered"/>
        <w:rPr>
          <w:lang w:val="en-AU"/>
        </w:rPr>
      </w:pPr>
      <w:r w:rsidRPr="00CB64CE">
        <w:rPr>
          <w:lang w:val="en-AU"/>
        </w:rPr>
        <w:t>Hepatic impairment</w:t>
      </w:r>
    </w:p>
    <w:p w14:paraId="7CC6CDCA" w14:textId="364B99C9" w:rsidR="00450E0A" w:rsidRPr="00CB64CE" w:rsidRDefault="00450E0A" w:rsidP="00717890">
      <w:pPr>
        <w:pStyle w:val="Paragraph"/>
        <w:rPr>
          <w:lang w:val="en-AU"/>
        </w:rPr>
      </w:pPr>
      <w:r w:rsidRPr="00CB64CE">
        <w:rPr>
          <w:lang w:val="en-AU"/>
        </w:rPr>
        <w:t xml:space="preserve">No dose adjustment is recommended in patients with mild or moderate hepatic impairment (Child-Pugh A, Child-Pugh B, or total bilirubin between 1.5-3 times the upper limit of normal [ULN] and any AST). The pharmacokinetics and safety of CALQUENCE in patients with severe hepatic impairment (Child-Pugh C or total bilirubin 3-10 times ULN and any AST) have not been studied </w:t>
      </w:r>
      <w:r w:rsidR="004D350D" w:rsidRPr="00CB64CE">
        <w:rPr>
          <w:lang w:val="en-AU"/>
        </w:rPr>
        <w:t xml:space="preserve">(see Section </w:t>
      </w:r>
      <w:r w:rsidR="004D350D" w:rsidRPr="00CB64CE">
        <w:rPr>
          <w:lang w:val="en-AU"/>
        </w:rPr>
        <w:fldChar w:fldCharType="begin"/>
      </w:r>
      <w:r w:rsidR="004D350D" w:rsidRPr="00CB64CE">
        <w:rPr>
          <w:lang w:val="en-AU"/>
        </w:rPr>
        <w:instrText xml:space="preserve"> REF _Ref13512319 \r \h  \* MERGEFORMAT </w:instrText>
      </w:r>
      <w:r w:rsidR="004D350D" w:rsidRPr="00CB64CE">
        <w:rPr>
          <w:lang w:val="en-AU"/>
        </w:rPr>
      </w:r>
      <w:r w:rsidR="004D350D" w:rsidRPr="00CB64CE">
        <w:rPr>
          <w:lang w:val="en-AU"/>
        </w:rPr>
        <w:fldChar w:fldCharType="separate"/>
      </w:r>
      <w:r w:rsidR="00187CFE" w:rsidRPr="00CB64CE">
        <w:rPr>
          <w:lang w:val="en-AU"/>
        </w:rPr>
        <w:t>5.2</w:t>
      </w:r>
      <w:r w:rsidR="004D350D" w:rsidRPr="00CB64CE">
        <w:rPr>
          <w:lang w:val="en-AU"/>
        </w:rPr>
        <w:fldChar w:fldCharType="end"/>
      </w:r>
      <w:r w:rsidR="004D350D" w:rsidRPr="00CB64CE">
        <w:rPr>
          <w:lang w:val="en-AU"/>
        </w:rPr>
        <w:t xml:space="preserve"> </w:t>
      </w:r>
      <w:r w:rsidR="004D350D" w:rsidRPr="00CB64CE">
        <w:rPr>
          <w:lang w:val="en-AU"/>
        </w:rPr>
        <w:fldChar w:fldCharType="begin"/>
      </w:r>
      <w:r w:rsidR="004D350D" w:rsidRPr="00CB64CE">
        <w:rPr>
          <w:lang w:val="en-AU"/>
        </w:rPr>
        <w:instrText xml:space="preserve"> REF _Ref13512319 \h  \* MERGEFORMAT </w:instrText>
      </w:r>
      <w:r w:rsidR="004D350D" w:rsidRPr="00CB64CE">
        <w:rPr>
          <w:lang w:val="en-AU"/>
        </w:rPr>
      </w:r>
      <w:r w:rsidR="004D350D" w:rsidRPr="00CB64CE">
        <w:rPr>
          <w:lang w:val="en-AU"/>
        </w:rPr>
        <w:fldChar w:fldCharType="separate"/>
      </w:r>
      <w:r w:rsidR="00187CFE" w:rsidRPr="00CB64CE">
        <w:rPr>
          <w:lang w:val="en-AU"/>
        </w:rPr>
        <w:t>Pharmacokinetic properties</w:t>
      </w:r>
      <w:r w:rsidR="004D350D" w:rsidRPr="00CB64CE">
        <w:rPr>
          <w:lang w:val="en-AU"/>
        </w:rPr>
        <w:fldChar w:fldCharType="end"/>
      </w:r>
      <w:r w:rsidR="004D350D" w:rsidRPr="00CB64CE">
        <w:rPr>
          <w:lang w:val="en-AU"/>
        </w:rPr>
        <w:t>).</w:t>
      </w:r>
    </w:p>
    <w:p w14:paraId="330F5D71" w14:textId="0632D4BF" w:rsidR="00ED27EC" w:rsidRPr="00CB64CE" w:rsidRDefault="00ED27EC" w:rsidP="00717890">
      <w:pPr>
        <w:pStyle w:val="Heading4Unnumbered"/>
        <w:rPr>
          <w:lang w:val="en-AU"/>
        </w:rPr>
      </w:pPr>
      <w:r w:rsidRPr="00CB64CE">
        <w:rPr>
          <w:lang w:val="en-AU"/>
        </w:rPr>
        <w:t>Use in the elderly</w:t>
      </w:r>
    </w:p>
    <w:p w14:paraId="25204390" w14:textId="6BB7438D" w:rsidR="004D350D" w:rsidRPr="00CB64CE" w:rsidRDefault="00450E0A" w:rsidP="00717890">
      <w:pPr>
        <w:pStyle w:val="Paragraph"/>
        <w:rPr>
          <w:lang w:val="en-AU"/>
        </w:rPr>
      </w:pPr>
      <w:r w:rsidRPr="00CB64CE">
        <w:rPr>
          <w:lang w:val="en-AU"/>
        </w:rPr>
        <w:t xml:space="preserve">No dose adjustment is necessary based on age </w:t>
      </w:r>
      <w:r w:rsidR="004D350D" w:rsidRPr="00CB64CE">
        <w:rPr>
          <w:lang w:val="en-AU"/>
        </w:rPr>
        <w:t xml:space="preserve">(see Section </w:t>
      </w:r>
      <w:r w:rsidR="004D350D" w:rsidRPr="00CB64CE">
        <w:rPr>
          <w:lang w:val="en-AU"/>
        </w:rPr>
        <w:fldChar w:fldCharType="begin"/>
      </w:r>
      <w:r w:rsidR="004D350D" w:rsidRPr="00CB64CE">
        <w:rPr>
          <w:lang w:val="en-AU"/>
        </w:rPr>
        <w:instrText xml:space="preserve"> REF _Ref13512319 \r \h  \* MERGEFORMAT </w:instrText>
      </w:r>
      <w:r w:rsidR="004D350D" w:rsidRPr="00CB64CE">
        <w:rPr>
          <w:lang w:val="en-AU"/>
        </w:rPr>
      </w:r>
      <w:r w:rsidR="004D350D" w:rsidRPr="00CB64CE">
        <w:rPr>
          <w:lang w:val="en-AU"/>
        </w:rPr>
        <w:fldChar w:fldCharType="separate"/>
      </w:r>
      <w:r w:rsidR="00187CFE" w:rsidRPr="00CB64CE">
        <w:rPr>
          <w:lang w:val="en-AU"/>
        </w:rPr>
        <w:t>5.2</w:t>
      </w:r>
      <w:r w:rsidR="004D350D" w:rsidRPr="00CB64CE">
        <w:rPr>
          <w:lang w:val="en-AU"/>
        </w:rPr>
        <w:fldChar w:fldCharType="end"/>
      </w:r>
      <w:r w:rsidR="004D350D" w:rsidRPr="00CB64CE">
        <w:rPr>
          <w:lang w:val="en-AU"/>
        </w:rPr>
        <w:t xml:space="preserve"> </w:t>
      </w:r>
      <w:r w:rsidR="004D350D" w:rsidRPr="00CB64CE">
        <w:rPr>
          <w:lang w:val="en-AU"/>
        </w:rPr>
        <w:fldChar w:fldCharType="begin"/>
      </w:r>
      <w:r w:rsidR="004D350D" w:rsidRPr="00CB64CE">
        <w:rPr>
          <w:lang w:val="en-AU"/>
        </w:rPr>
        <w:instrText xml:space="preserve"> REF _Ref13512319 \h  \* MERGEFORMAT </w:instrText>
      </w:r>
      <w:r w:rsidR="004D350D" w:rsidRPr="00CB64CE">
        <w:rPr>
          <w:lang w:val="en-AU"/>
        </w:rPr>
      </w:r>
      <w:r w:rsidR="004D350D" w:rsidRPr="00CB64CE">
        <w:rPr>
          <w:lang w:val="en-AU"/>
        </w:rPr>
        <w:fldChar w:fldCharType="separate"/>
      </w:r>
      <w:r w:rsidR="00187CFE" w:rsidRPr="00CB64CE">
        <w:rPr>
          <w:lang w:val="en-AU"/>
        </w:rPr>
        <w:t>Pharmacokinetic properties</w:t>
      </w:r>
      <w:r w:rsidR="004D350D" w:rsidRPr="00CB64CE">
        <w:rPr>
          <w:lang w:val="en-AU"/>
        </w:rPr>
        <w:fldChar w:fldCharType="end"/>
      </w:r>
      <w:r w:rsidR="004D350D" w:rsidRPr="00CB64CE">
        <w:rPr>
          <w:lang w:val="en-AU"/>
        </w:rPr>
        <w:t>).</w:t>
      </w:r>
    </w:p>
    <w:p w14:paraId="338BFC70" w14:textId="7E9E9753" w:rsidR="00ED27EC" w:rsidRPr="00CB64CE" w:rsidRDefault="001B114A" w:rsidP="00717890">
      <w:pPr>
        <w:pStyle w:val="Heading4Unnumbered"/>
        <w:rPr>
          <w:lang w:val="en-AU"/>
        </w:rPr>
      </w:pPr>
      <w:r w:rsidRPr="00CB64CE">
        <w:rPr>
          <w:lang w:val="en-AU"/>
        </w:rPr>
        <w:t>Paediatric use</w:t>
      </w:r>
    </w:p>
    <w:p w14:paraId="42D4BACE" w14:textId="77777777" w:rsidR="00450E0A" w:rsidRPr="00CB64CE" w:rsidRDefault="00450E0A" w:rsidP="00717890">
      <w:pPr>
        <w:pStyle w:val="Paragraph"/>
        <w:rPr>
          <w:lang w:val="en-AU"/>
        </w:rPr>
      </w:pPr>
      <w:r w:rsidRPr="00CB64CE">
        <w:rPr>
          <w:lang w:val="en-AU"/>
        </w:rPr>
        <w:t>The safety and efficacy of CALQUENCE in children and adolescents aged less than 18 years have not been established.</w:t>
      </w:r>
    </w:p>
    <w:p w14:paraId="31B4B968" w14:textId="77777777" w:rsidR="00ED27EC" w:rsidRPr="00CB64CE" w:rsidRDefault="00ED27EC" w:rsidP="00ED27EC">
      <w:pPr>
        <w:pStyle w:val="Heading3Unnumbered"/>
        <w:rPr>
          <w:lang w:val="en-AU"/>
        </w:rPr>
      </w:pPr>
      <w:r w:rsidRPr="00CB64CE">
        <w:rPr>
          <w:lang w:val="en-AU"/>
        </w:rPr>
        <w:t>Method of administration</w:t>
      </w:r>
    </w:p>
    <w:p w14:paraId="7D3987FF" w14:textId="6E83A2C7" w:rsidR="00ED27EC" w:rsidRPr="00CB64CE" w:rsidRDefault="00DA2DF9" w:rsidP="00C85696">
      <w:pPr>
        <w:pStyle w:val="Paragraph"/>
        <w:rPr>
          <w:lang w:val="en-AU"/>
        </w:rPr>
      </w:pPr>
      <w:r w:rsidRPr="00CB64CE">
        <w:rPr>
          <w:lang w:val="en-AU"/>
        </w:rPr>
        <w:t>CALQUENCE should be swallowed whole with water at approximately the same time each day. CALQUENCE can be taken with or without food. The capsule should not be chewed, dissolved, or opened.</w:t>
      </w:r>
    </w:p>
    <w:p w14:paraId="23232AD7" w14:textId="1C59C09D" w:rsidR="001A3992" w:rsidRPr="00CB64CE" w:rsidRDefault="00B34560" w:rsidP="00EE3AC8">
      <w:pPr>
        <w:pStyle w:val="Heading2"/>
        <w:rPr>
          <w:lang w:val="en-AU"/>
        </w:rPr>
      </w:pPr>
      <w:r w:rsidRPr="00CB64CE">
        <w:rPr>
          <w:rStyle w:val="FootnoteReference"/>
          <w:lang w:val="en-AU"/>
        </w:rPr>
        <w:footnoteReference w:id="5"/>
      </w:r>
      <w:r w:rsidR="001A3992" w:rsidRPr="00CB64CE">
        <w:rPr>
          <w:lang w:val="en-AU"/>
        </w:rPr>
        <w:t>Contraindications</w:t>
      </w:r>
    </w:p>
    <w:p w14:paraId="4DD990C5" w14:textId="46B2F048" w:rsidR="00C85696" w:rsidRPr="00CB64CE" w:rsidRDefault="009F7A0E" w:rsidP="00C85696">
      <w:pPr>
        <w:pStyle w:val="Paragraph"/>
        <w:rPr>
          <w:lang w:val="en-AU"/>
        </w:rPr>
      </w:pPr>
      <w:r w:rsidRPr="00CB64CE">
        <w:rPr>
          <w:lang w:val="en-AU"/>
        </w:rPr>
        <w:t>None.</w:t>
      </w:r>
    </w:p>
    <w:p w14:paraId="2E93B6D3" w14:textId="370B9F12" w:rsidR="001A3992" w:rsidRPr="00CB64CE" w:rsidRDefault="00E91307" w:rsidP="003B7CFF">
      <w:pPr>
        <w:pStyle w:val="Heading2"/>
        <w:rPr>
          <w:lang w:val="en-AU"/>
        </w:rPr>
      </w:pPr>
      <w:r w:rsidRPr="00CB64CE">
        <w:rPr>
          <w:rStyle w:val="FootnoteReference"/>
          <w:lang w:val="en-AU"/>
        </w:rPr>
        <w:footnoteReference w:id="6"/>
      </w:r>
      <w:r w:rsidR="00E74A56" w:rsidRPr="00CB64CE">
        <w:rPr>
          <w:lang w:val="en-AU"/>
        </w:rPr>
        <w:t>Special warnings and p</w:t>
      </w:r>
      <w:r w:rsidR="001A3992" w:rsidRPr="00CB64CE">
        <w:rPr>
          <w:lang w:val="en-AU"/>
        </w:rPr>
        <w:t xml:space="preserve">recautions </w:t>
      </w:r>
      <w:r w:rsidR="00E74A56" w:rsidRPr="00CB64CE">
        <w:rPr>
          <w:lang w:val="en-AU"/>
        </w:rPr>
        <w:t>for use</w:t>
      </w:r>
    </w:p>
    <w:p w14:paraId="1E75D92E" w14:textId="6CEED74D" w:rsidR="009A47F0" w:rsidRPr="00CB64CE" w:rsidRDefault="009A47F0" w:rsidP="009A47F0">
      <w:pPr>
        <w:pStyle w:val="Heading3Unnumbered"/>
        <w:rPr>
          <w:lang w:val="en-AU"/>
        </w:rPr>
      </w:pPr>
      <w:r w:rsidRPr="00CB64CE">
        <w:rPr>
          <w:lang w:val="en-AU"/>
        </w:rPr>
        <w:t xml:space="preserve">Haemorrhage </w:t>
      </w:r>
    </w:p>
    <w:p w14:paraId="2A198A8F" w14:textId="12CE3521" w:rsidR="009A47F0" w:rsidRPr="00CB64CE" w:rsidRDefault="009A47F0" w:rsidP="009A47F0">
      <w:pPr>
        <w:pStyle w:val="Paragraph"/>
        <w:rPr>
          <w:lang w:val="en-AU"/>
        </w:rPr>
      </w:pPr>
      <w:r w:rsidRPr="00CB64CE">
        <w:rPr>
          <w:lang w:val="en-AU"/>
        </w:rPr>
        <w:t>Serious h</w:t>
      </w:r>
      <w:r w:rsidR="00EC65B8" w:rsidRPr="00CB64CE">
        <w:rPr>
          <w:lang w:val="en-AU"/>
        </w:rPr>
        <w:t>a</w:t>
      </w:r>
      <w:r w:rsidRPr="00CB64CE">
        <w:rPr>
          <w:lang w:val="en-AU"/>
        </w:rPr>
        <w:t xml:space="preserve">emorrhagic events, including fatal events, have occurred in the combined safety database of 612 patients with hematologic malignancies treated with CALQUENCE monotherapy. Grade 3 or higher bleeding events, including gastrointestinal, intracranial, and epistaxis have been reported </w:t>
      </w:r>
      <w:r w:rsidRPr="00CB64CE">
        <w:rPr>
          <w:lang w:val="en-AU"/>
        </w:rPr>
        <w:lastRenderedPageBreak/>
        <w:t>in 2% of patients. Overall, bleeding events including bruising and petechiae of any grade occurred in approximately 50% of patients with h</w:t>
      </w:r>
      <w:r w:rsidR="00EC65B8" w:rsidRPr="00CB64CE">
        <w:rPr>
          <w:lang w:val="en-AU"/>
        </w:rPr>
        <w:t>a</w:t>
      </w:r>
      <w:r w:rsidRPr="00CB64CE">
        <w:rPr>
          <w:lang w:val="en-AU"/>
        </w:rPr>
        <w:t xml:space="preserve">ematological malignancies. </w:t>
      </w:r>
    </w:p>
    <w:p w14:paraId="30E5696A" w14:textId="0BD8FDEC" w:rsidR="009A47F0" w:rsidRPr="00CB64CE" w:rsidRDefault="009A47F0" w:rsidP="009A47F0">
      <w:pPr>
        <w:pStyle w:val="Paragraph"/>
        <w:rPr>
          <w:lang w:val="en-AU"/>
        </w:rPr>
      </w:pPr>
      <w:r w:rsidRPr="00CB64CE">
        <w:rPr>
          <w:lang w:val="en-AU"/>
        </w:rPr>
        <w:t>The mechanism for the bleeding events is not well understood. CALQUENCE may further increase the risk of h</w:t>
      </w:r>
      <w:r w:rsidR="00EC65B8" w:rsidRPr="00CB64CE">
        <w:rPr>
          <w:lang w:val="en-AU"/>
        </w:rPr>
        <w:t>a</w:t>
      </w:r>
      <w:r w:rsidRPr="00CB64CE">
        <w:rPr>
          <w:lang w:val="en-AU"/>
        </w:rPr>
        <w:t>emorrhage in patients receiving antiplatelet or anticoagulant therapies and patients should be monitored for signs of bleeding. Consider the benefit-risk of withholding CALQUENCE for 3-7 days pre- and post-surgery depending upon the type of surgery and the risk of bleeding.</w:t>
      </w:r>
    </w:p>
    <w:p w14:paraId="6C09DCB3" w14:textId="497A00DF" w:rsidR="009A47F0" w:rsidRPr="00CB64CE" w:rsidRDefault="009A47F0" w:rsidP="009A47F0">
      <w:pPr>
        <w:pStyle w:val="Heading3Unnumbered"/>
        <w:rPr>
          <w:lang w:val="en-AU"/>
        </w:rPr>
      </w:pPr>
      <w:r w:rsidRPr="00CB64CE">
        <w:rPr>
          <w:lang w:val="en-AU"/>
        </w:rPr>
        <w:t xml:space="preserve">Infection </w:t>
      </w:r>
    </w:p>
    <w:p w14:paraId="5164AD05" w14:textId="77777777" w:rsidR="009A47F0" w:rsidRPr="00CB64CE" w:rsidRDefault="009A47F0" w:rsidP="009A47F0">
      <w:pPr>
        <w:pStyle w:val="Paragraph"/>
        <w:rPr>
          <w:lang w:val="en-AU"/>
        </w:rPr>
      </w:pPr>
      <w:r w:rsidRPr="00CB64CE">
        <w:rPr>
          <w:lang w:val="en-AU"/>
        </w:rPr>
        <w:t>Serious infections (bacterial, viral or fungal), including fatal events and opportunistic infections have occurred in the combined safety database of 612 patients with hematologic malignancies treated with CALQUENCE monotherapy. Consider prophylaxis in patients who are at increased risk for opportunistic infections.</w:t>
      </w:r>
    </w:p>
    <w:p w14:paraId="1E4E8B89" w14:textId="77777777" w:rsidR="009A47F0" w:rsidRPr="00CB64CE" w:rsidRDefault="009A47F0" w:rsidP="009A47F0">
      <w:pPr>
        <w:pStyle w:val="Paragraph"/>
        <w:rPr>
          <w:lang w:val="en-AU"/>
        </w:rPr>
      </w:pPr>
      <w:r w:rsidRPr="00CB64CE">
        <w:rPr>
          <w:lang w:val="en-AU"/>
        </w:rPr>
        <w:t>Grade 3 or higher infections occurred in 18% of these patients. The most frequently reported Grade 3 or 4 infection was pneumonia.  Infections due to hepatitis B virus (HBV) reactivation and progressive multifocal leukoencephalopathy (PML) have occurred. Monitor patients for signs and symptoms of infection and treat as medically appropriate.</w:t>
      </w:r>
    </w:p>
    <w:p w14:paraId="464BBDC4" w14:textId="04359DCA" w:rsidR="009A47F0" w:rsidRPr="00CB64CE" w:rsidRDefault="009A47F0" w:rsidP="009A47F0">
      <w:pPr>
        <w:pStyle w:val="Heading3Unnumbered"/>
        <w:rPr>
          <w:lang w:val="en-AU"/>
        </w:rPr>
      </w:pPr>
      <w:r w:rsidRPr="00CB64CE">
        <w:rPr>
          <w:lang w:val="en-AU"/>
        </w:rPr>
        <w:t>Cytopenias</w:t>
      </w:r>
    </w:p>
    <w:p w14:paraId="62BBEE7A" w14:textId="11E1EDC7" w:rsidR="009A47F0" w:rsidRPr="00CB64CE" w:rsidRDefault="009A47F0" w:rsidP="009A47F0">
      <w:pPr>
        <w:pStyle w:val="Paragraph"/>
        <w:rPr>
          <w:lang w:val="en-AU"/>
        </w:rPr>
      </w:pPr>
      <w:r w:rsidRPr="00CB64CE">
        <w:rPr>
          <w:lang w:val="en-AU"/>
        </w:rPr>
        <w:t>In the combined safety database of 612 patients with h</w:t>
      </w:r>
      <w:r w:rsidR="004F63F7" w:rsidRPr="00CB64CE">
        <w:rPr>
          <w:lang w:val="en-AU"/>
        </w:rPr>
        <w:t>a</w:t>
      </w:r>
      <w:r w:rsidRPr="00CB64CE">
        <w:rPr>
          <w:lang w:val="en-AU"/>
        </w:rPr>
        <w:t>ematologic malignancies, patients treated with CALQUENCE monotherapy experienced Grade 3 or 4 cytopenias, including neutropenia (23%), an</w:t>
      </w:r>
      <w:r w:rsidR="004F63F7" w:rsidRPr="00CB64CE">
        <w:rPr>
          <w:lang w:val="en-AU"/>
        </w:rPr>
        <w:t>a</w:t>
      </w:r>
      <w:r w:rsidRPr="00CB64CE">
        <w:rPr>
          <w:lang w:val="en-AU"/>
        </w:rPr>
        <w:t xml:space="preserve">emia (11%) and thrombocytopenia (8%) based on laboratory measurements. In the CALQUENCE </w:t>
      </w:r>
      <w:r w:rsidR="00233000" w:rsidRPr="00CB64CE">
        <w:rPr>
          <w:lang w:val="en-AU"/>
        </w:rPr>
        <w:t>c</w:t>
      </w:r>
      <w:r w:rsidRPr="00CB64CE">
        <w:rPr>
          <w:lang w:val="en-AU"/>
        </w:rPr>
        <w:t xml:space="preserve">linical </w:t>
      </w:r>
      <w:r w:rsidR="00EC65B8" w:rsidRPr="00CB64CE">
        <w:rPr>
          <w:lang w:val="en-AU"/>
        </w:rPr>
        <w:t>t</w:t>
      </w:r>
      <w:r w:rsidRPr="00CB64CE">
        <w:rPr>
          <w:lang w:val="en-AU"/>
        </w:rPr>
        <w:t xml:space="preserve">rial </w:t>
      </w:r>
      <w:r w:rsidR="004F63F7" w:rsidRPr="00CB64CE">
        <w:rPr>
          <w:lang w:val="en-AU"/>
        </w:rPr>
        <w:t>ACE-</w:t>
      </w:r>
      <w:r w:rsidRPr="00CB64CE">
        <w:rPr>
          <w:lang w:val="en-AU"/>
        </w:rPr>
        <w:t xml:space="preserve">LY-004, patients’ complete blood counts were assessed monthly during treatment. </w:t>
      </w:r>
    </w:p>
    <w:p w14:paraId="5EB8BC33" w14:textId="1C7B182F" w:rsidR="009A47F0" w:rsidRPr="00CB64CE" w:rsidRDefault="009A47F0" w:rsidP="009A47F0">
      <w:pPr>
        <w:pStyle w:val="Heading3Unnumbered"/>
        <w:rPr>
          <w:lang w:val="en-AU"/>
        </w:rPr>
      </w:pPr>
      <w:r w:rsidRPr="00CB64CE">
        <w:rPr>
          <w:lang w:val="en-AU"/>
        </w:rPr>
        <w:t xml:space="preserve">Second primary malignancies </w:t>
      </w:r>
    </w:p>
    <w:p w14:paraId="7018D05C" w14:textId="0DC0CB2F" w:rsidR="009A47F0" w:rsidRPr="00CB64CE" w:rsidRDefault="009A47F0" w:rsidP="009A47F0">
      <w:pPr>
        <w:pStyle w:val="Paragraph"/>
        <w:rPr>
          <w:lang w:val="en-AU"/>
        </w:rPr>
      </w:pPr>
      <w:r w:rsidRPr="00CB64CE">
        <w:rPr>
          <w:lang w:val="en-AU"/>
        </w:rPr>
        <w:t>Second primary malignancies, including non-skin carcinomas, have occurred in 11% of patients with h</w:t>
      </w:r>
      <w:r w:rsidR="004F63F7" w:rsidRPr="00CB64CE">
        <w:rPr>
          <w:lang w:val="en-AU"/>
        </w:rPr>
        <w:t>a</w:t>
      </w:r>
      <w:r w:rsidRPr="00CB64CE">
        <w:rPr>
          <w:lang w:val="en-AU"/>
        </w:rPr>
        <w:t>ematologic malignancies treated with CALQUENCE monotherapy in the combined safety database of 612 patients. The most frequent second primary malignancy was skin cancer, reported in 7% of patients. Advise protection from sun exposure.</w:t>
      </w:r>
    </w:p>
    <w:p w14:paraId="02FE3F7A" w14:textId="5B83AD1E" w:rsidR="009A47F0" w:rsidRPr="00CB64CE" w:rsidRDefault="009A47F0" w:rsidP="00EC65B8">
      <w:pPr>
        <w:pStyle w:val="Heading3Unnumbered"/>
        <w:rPr>
          <w:lang w:val="en-AU"/>
        </w:rPr>
      </w:pPr>
      <w:r w:rsidRPr="00CB64CE">
        <w:rPr>
          <w:lang w:val="en-AU"/>
        </w:rPr>
        <w:t xml:space="preserve">Atrial </w:t>
      </w:r>
      <w:r w:rsidR="00EC65B8" w:rsidRPr="00CB64CE">
        <w:rPr>
          <w:lang w:val="en-AU"/>
        </w:rPr>
        <w:t>f</w:t>
      </w:r>
      <w:r w:rsidRPr="00CB64CE">
        <w:rPr>
          <w:lang w:val="en-AU"/>
        </w:rPr>
        <w:t xml:space="preserve">ibrillation and </w:t>
      </w:r>
      <w:r w:rsidR="00EC65B8" w:rsidRPr="00CB64CE">
        <w:rPr>
          <w:lang w:val="en-AU"/>
        </w:rPr>
        <w:t>f</w:t>
      </w:r>
      <w:r w:rsidRPr="00CB64CE">
        <w:rPr>
          <w:lang w:val="en-AU"/>
        </w:rPr>
        <w:t>lutter</w:t>
      </w:r>
    </w:p>
    <w:p w14:paraId="023F106F" w14:textId="2B56343E" w:rsidR="00EC60F8" w:rsidRPr="00CB64CE" w:rsidRDefault="009A47F0" w:rsidP="009A47F0">
      <w:pPr>
        <w:pStyle w:val="Paragraph"/>
        <w:rPr>
          <w:lang w:val="en-AU"/>
        </w:rPr>
      </w:pPr>
      <w:r w:rsidRPr="00CB64CE">
        <w:rPr>
          <w:lang w:val="en-AU"/>
        </w:rPr>
        <w:t>In the combined safety database of 612 patients with h</w:t>
      </w:r>
      <w:r w:rsidR="001F620C" w:rsidRPr="00CB64CE">
        <w:rPr>
          <w:lang w:val="en-AU"/>
        </w:rPr>
        <w:t>a</w:t>
      </w:r>
      <w:r w:rsidRPr="00CB64CE">
        <w:rPr>
          <w:lang w:val="en-AU"/>
        </w:rPr>
        <w:t>ematologic malignancies treated with CALQUENCE monotherapy, atrial fibrillation and atrial flutter of any grade occurred in 3% of patients, and Grade 3 in 1% of patients.  Monitor for atrial fibrillation and atrial flutter and manage as appropriate.</w:t>
      </w:r>
    </w:p>
    <w:p w14:paraId="34D4983F" w14:textId="77777777" w:rsidR="001A3992" w:rsidRPr="00CB64CE" w:rsidRDefault="001A3992" w:rsidP="00D347D7">
      <w:pPr>
        <w:pStyle w:val="Heading3Unnumbered"/>
        <w:rPr>
          <w:lang w:val="en-AU"/>
        </w:rPr>
      </w:pPr>
      <w:r w:rsidRPr="00CB64CE">
        <w:rPr>
          <w:lang w:val="en-AU"/>
        </w:rPr>
        <w:t>Use in the elderly</w:t>
      </w:r>
    </w:p>
    <w:p w14:paraId="190913AE" w14:textId="79350715" w:rsidR="00EC60F8" w:rsidRPr="00CB64CE" w:rsidRDefault="008D64CD" w:rsidP="004F6D0B">
      <w:pPr>
        <w:pStyle w:val="Paragraph"/>
        <w:rPr>
          <w:lang w:val="en-AU"/>
        </w:rPr>
      </w:pPr>
      <w:r w:rsidRPr="00CB64CE">
        <w:rPr>
          <w:lang w:val="en-AU"/>
        </w:rPr>
        <w:t>Eighty (64.5%) of the 124 MCL patients in clinical trials of CALQUENCE were 65 years of age or older, and 32 patients (25.8%) were 75 years of age or older. No clinically relevant differences in safety or efficacy were observed between patients ≥65 years and younger.</w:t>
      </w:r>
    </w:p>
    <w:p w14:paraId="0C44B58F" w14:textId="77777777" w:rsidR="001A3992" w:rsidRPr="00CB64CE" w:rsidRDefault="001A3992" w:rsidP="00D347D7">
      <w:pPr>
        <w:pStyle w:val="Heading3Unnumbered"/>
        <w:rPr>
          <w:lang w:val="en-AU"/>
        </w:rPr>
      </w:pPr>
      <w:r w:rsidRPr="00CB64CE">
        <w:rPr>
          <w:lang w:val="en-AU"/>
        </w:rPr>
        <w:t>Paediatric use</w:t>
      </w:r>
    </w:p>
    <w:p w14:paraId="25DD3398" w14:textId="77777777" w:rsidR="001F620C" w:rsidRPr="00CB64CE" w:rsidRDefault="001F620C" w:rsidP="001F620C">
      <w:pPr>
        <w:pStyle w:val="Paragraph"/>
        <w:rPr>
          <w:lang w:val="en-AU"/>
        </w:rPr>
      </w:pPr>
      <w:r w:rsidRPr="00CB64CE">
        <w:rPr>
          <w:lang w:val="en-AU"/>
        </w:rPr>
        <w:t>The safety and efficacy of CALQUENCE in children and adolescents aged less than 18 years have not been established.</w:t>
      </w:r>
    </w:p>
    <w:p w14:paraId="7D930553" w14:textId="77777777" w:rsidR="001A3992" w:rsidRPr="00CB64CE" w:rsidRDefault="001A3992" w:rsidP="00405743">
      <w:pPr>
        <w:pStyle w:val="Heading3Unnumbered"/>
        <w:rPr>
          <w:lang w:val="en-AU"/>
        </w:rPr>
      </w:pPr>
      <w:r w:rsidRPr="00CB64CE">
        <w:rPr>
          <w:lang w:val="en-AU"/>
        </w:rPr>
        <w:lastRenderedPageBreak/>
        <w:t>Effects on laboratory tests</w:t>
      </w:r>
    </w:p>
    <w:p w14:paraId="18125211" w14:textId="5E7DD01A" w:rsidR="00EC60F8" w:rsidRPr="00CB64CE" w:rsidRDefault="002803FC" w:rsidP="00405743">
      <w:pPr>
        <w:pStyle w:val="Paragraph"/>
        <w:rPr>
          <w:lang w:val="en-AU"/>
        </w:rPr>
      </w:pPr>
      <w:r w:rsidRPr="00CB64CE">
        <w:rPr>
          <w:lang w:val="en-AU"/>
        </w:rPr>
        <w:t>No data available.</w:t>
      </w:r>
    </w:p>
    <w:p w14:paraId="11E3186A" w14:textId="18067807" w:rsidR="001A3992" w:rsidRPr="00CB64CE" w:rsidRDefault="009530D9" w:rsidP="009530D9">
      <w:pPr>
        <w:pStyle w:val="Heading2"/>
        <w:rPr>
          <w:lang w:val="en-AU"/>
        </w:rPr>
      </w:pPr>
      <w:bookmarkStart w:id="7" w:name="_Ref505770425"/>
      <w:bookmarkStart w:id="8" w:name="_Ref13512738"/>
      <w:r w:rsidRPr="00CB64CE">
        <w:rPr>
          <w:rStyle w:val="FootnoteReference"/>
          <w:lang w:val="en-AU"/>
        </w:rPr>
        <w:footnoteReference w:id="7"/>
      </w:r>
      <w:r w:rsidR="001A3992" w:rsidRPr="00CB64CE">
        <w:rPr>
          <w:lang w:val="en-AU"/>
        </w:rPr>
        <w:t>Interactions with other medicines and other forms of interactions</w:t>
      </w:r>
      <w:bookmarkEnd w:id="7"/>
      <w:bookmarkEnd w:id="8"/>
    </w:p>
    <w:p w14:paraId="01469E50" w14:textId="54F665FE" w:rsidR="00085EB3" w:rsidRPr="00CB64CE" w:rsidRDefault="00085EB3" w:rsidP="00085EB3">
      <w:pPr>
        <w:pStyle w:val="Heading3Unnumbered"/>
        <w:rPr>
          <w:lang w:val="en-AU"/>
        </w:rPr>
      </w:pPr>
      <w:r w:rsidRPr="00CB64CE">
        <w:rPr>
          <w:lang w:val="en-AU"/>
        </w:rPr>
        <w:t>Interactions with CYP3A inhibitors and inducers, or gastric acid reducing medicines</w:t>
      </w:r>
    </w:p>
    <w:p w14:paraId="56C38F1D" w14:textId="3A4E8C9C" w:rsidR="00B278FE" w:rsidRPr="00CB64CE" w:rsidRDefault="005D4B44" w:rsidP="00B278FE">
      <w:pPr>
        <w:pStyle w:val="Paragraph"/>
        <w:rPr>
          <w:lang w:val="en-AU"/>
        </w:rPr>
      </w:pPr>
      <w:r w:rsidRPr="00CB64CE">
        <w:rPr>
          <w:lang w:val="en-AU"/>
        </w:rPr>
        <w:t xml:space="preserve">The clinical impact and prevention or management of interactions with CYP3A inhibitors or inducers, or gastric acid reducing medicines are </w:t>
      </w:r>
      <w:r w:rsidR="009530D9" w:rsidRPr="00CB64CE">
        <w:rPr>
          <w:lang w:val="en-AU"/>
        </w:rPr>
        <w:t xml:space="preserve">provided below in </w:t>
      </w:r>
      <w:r w:rsidR="009530D9" w:rsidRPr="00CB64CE">
        <w:rPr>
          <w:lang w:val="en-AU"/>
        </w:rPr>
        <w:fldChar w:fldCharType="begin"/>
      </w:r>
      <w:r w:rsidR="009530D9" w:rsidRPr="00CB64CE">
        <w:rPr>
          <w:lang w:val="en-AU"/>
        </w:rPr>
        <w:instrText xml:space="preserve"> REF _Ref14434917 \h </w:instrText>
      </w:r>
      <w:r w:rsidR="00CB64CE">
        <w:rPr>
          <w:lang w:val="en-AU"/>
        </w:rPr>
        <w:instrText xml:space="preserve"> \* MERGEFORMAT </w:instrText>
      </w:r>
      <w:r w:rsidR="009530D9" w:rsidRPr="00CB64CE">
        <w:rPr>
          <w:lang w:val="en-AU"/>
        </w:rPr>
      </w:r>
      <w:r w:rsidR="009530D9" w:rsidRPr="00CB64CE">
        <w:rPr>
          <w:lang w:val="en-AU"/>
        </w:rPr>
        <w:fldChar w:fldCharType="separate"/>
      </w:r>
      <w:r w:rsidR="00187CFE" w:rsidRPr="00CB64CE">
        <w:rPr>
          <w:lang w:val="en-AU"/>
        </w:rPr>
        <w:t>Table </w:t>
      </w:r>
      <w:r w:rsidR="00187CFE" w:rsidRPr="00CB64CE">
        <w:rPr>
          <w:noProof/>
          <w:lang w:val="en-AU"/>
        </w:rPr>
        <w:t>3</w:t>
      </w:r>
      <w:r w:rsidR="009530D9" w:rsidRPr="00CB64CE">
        <w:rPr>
          <w:lang w:val="en-AU"/>
        </w:rPr>
        <w:fldChar w:fldCharType="end"/>
      </w:r>
      <w:r w:rsidR="009530D9" w:rsidRPr="00CB64CE">
        <w:rPr>
          <w:lang w:val="en-AU"/>
        </w:rPr>
        <w:t xml:space="preserve"> and </w:t>
      </w:r>
      <w:r w:rsidR="009530D9" w:rsidRPr="00CB64CE">
        <w:rPr>
          <w:lang w:val="en-AU"/>
        </w:rPr>
        <w:fldChar w:fldCharType="begin"/>
      </w:r>
      <w:r w:rsidR="009530D9" w:rsidRPr="00CB64CE">
        <w:rPr>
          <w:lang w:val="en-AU"/>
        </w:rPr>
        <w:instrText xml:space="preserve"> REF _Ref14434919 \h </w:instrText>
      </w:r>
      <w:r w:rsidR="00CB64CE">
        <w:rPr>
          <w:lang w:val="en-AU"/>
        </w:rPr>
        <w:instrText xml:space="preserve"> \* MERGEFORMAT </w:instrText>
      </w:r>
      <w:r w:rsidR="009530D9" w:rsidRPr="00CB64CE">
        <w:rPr>
          <w:lang w:val="en-AU"/>
        </w:rPr>
      </w:r>
      <w:r w:rsidR="009530D9" w:rsidRPr="00CB64CE">
        <w:rPr>
          <w:lang w:val="en-AU"/>
        </w:rPr>
        <w:fldChar w:fldCharType="separate"/>
      </w:r>
      <w:r w:rsidR="00187CFE" w:rsidRPr="00CB64CE">
        <w:rPr>
          <w:lang w:val="en-AU"/>
        </w:rPr>
        <w:t>Table </w:t>
      </w:r>
      <w:r w:rsidR="00187CFE" w:rsidRPr="00CB64CE">
        <w:rPr>
          <w:noProof/>
          <w:lang w:val="en-AU"/>
        </w:rPr>
        <w:t>4</w:t>
      </w:r>
      <w:r w:rsidR="009530D9" w:rsidRPr="00CB64CE">
        <w:rPr>
          <w:lang w:val="en-AU"/>
        </w:rPr>
        <w:fldChar w:fldCharType="end"/>
      </w:r>
      <w:r w:rsidR="009530D9" w:rsidRPr="00CB64CE">
        <w:rPr>
          <w:lang w:val="en-AU"/>
        </w:rPr>
        <w:t xml:space="preserve"> respectively.  See also Section </w:t>
      </w:r>
      <w:r w:rsidR="009530D9" w:rsidRPr="00CB64CE">
        <w:rPr>
          <w:lang w:val="en-AU"/>
        </w:rPr>
        <w:fldChar w:fldCharType="begin"/>
      </w:r>
      <w:r w:rsidR="009530D9" w:rsidRPr="00CB64CE">
        <w:rPr>
          <w:lang w:val="en-AU"/>
        </w:rPr>
        <w:instrText xml:space="preserve"> REF _Ref14435178 \r \h </w:instrText>
      </w:r>
      <w:r w:rsidR="00CB64CE">
        <w:rPr>
          <w:lang w:val="en-AU"/>
        </w:rPr>
        <w:instrText xml:space="preserve"> \* MERGEFORMAT </w:instrText>
      </w:r>
      <w:r w:rsidR="009530D9" w:rsidRPr="00CB64CE">
        <w:rPr>
          <w:lang w:val="en-AU"/>
        </w:rPr>
      </w:r>
      <w:r w:rsidR="009530D9" w:rsidRPr="00CB64CE">
        <w:rPr>
          <w:lang w:val="en-AU"/>
        </w:rPr>
        <w:fldChar w:fldCharType="separate"/>
      </w:r>
      <w:r w:rsidR="00187CFE" w:rsidRPr="00CB64CE">
        <w:rPr>
          <w:lang w:val="en-AU"/>
        </w:rPr>
        <w:t>4.2</w:t>
      </w:r>
      <w:r w:rsidR="009530D9" w:rsidRPr="00CB64CE">
        <w:rPr>
          <w:lang w:val="en-AU"/>
        </w:rPr>
        <w:fldChar w:fldCharType="end"/>
      </w:r>
      <w:r w:rsidR="009530D9" w:rsidRPr="00CB64CE">
        <w:rPr>
          <w:lang w:val="en-AU"/>
        </w:rPr>
        <w:t xml:space="preserve"> </w:t>
      </w:r>
      <w:r w:rsidR="009530D9" w:rsidRPr="00CB64CE">
        <w:rPr>
          <w:lang w:val="en-AU"/>
        </w:rPr>
        <w:fldChar w:fldCharType="begin"/>
      </w:r>
      <w:r w:rsidR="009530D9" w:rsidRPr="00CB64CE">
        <w:rPr>
          <w:lang w:val="en-AU"/>
        </w:rPr>
        <w:instrText xml:space="preserve"> REF _Ref14435178 \h </w:instrText>
      </w:r>
      <w:r w:rsidR="00CB64CE">
        <w:rPr>
          <w:lang w:val="en-AU"/>
        </w:rPr>
        <w:instrText xml:space="preserve"> \* MERGEFORMAT </w:instrText>
      </w:r>
      <w:r w:rsidR="009530D9" w:rsidRPr="00CB64CE">
        <w:rPr>
          <w:lang w:val="en-AU"/>
        </w:rPr>
      </w:r>
      <w:r w:rsidR="009530D9" w:rsidRPr="00CB64CE">
        <w:rPr>
          <w:lang w:val="en-AU"/>
        </w:rPr>
        <w:fldChar w:fldCharType="separate"/>
      </w:r>
      <w:r w:rsidR="00187CFE" w:rsidRPr="00CB64CE">
        <w:rPr>
          <w:lang w:val="en-AU"/>
        </w:rPr>
        <w:t>Dose and method of administration</w:t>
      </w:r>
      <w:r w:rsidR="009530D9" w:rsidRPr="00CB64CE">
        <w:rPr>
          <w:lang w:val="en-AU"/>
        </w:rPr>
        <w:fldChar w:fldCharType="end"/>
      </w:r>
      <w:r w:rsidR="009530D9" w:rsidRPr="00CB64CE">
        <w:rPr>
          <w:lang w:val="en-AU"/>
        </w:rPr>
        <w:t xml:space="preserve"> and Section </w:t>
      </w:r>
      <w:r w:rsidR="009530D9" w:rsidRPr="00CB64CE">
        <w:rPr>
          <w:lang w:val="en-AU"/>
        </w:rPr>
        <w:fldChar w:fldCharType="begin"/>
      </w:r>
      <w:r w:rsidR="009530D9" w:rsidRPr="00CB64CE">
        <w:rPr>
          <w:lang w:val="en-AU"/>
        </w:rPr>
        <w:instrText xml:space="preserve"> REF _Ref13512319 \r \h </w:instrText>
      </w:r>
      <w:r w:rsidR="00CB64CE">
        <w:rPr>
          <w:lang w:val="en-AU"/>
        </w:rPr>
        <w:instrText xml:space="preserve"> \* MERGEFORMAT </w:instrText>
      </w:r>
      <w:r w:rsidR="009530D9" w:rsidRPr="00CB64CE">
        <w:rPr>
          <w:lang w:val="en-AU"/>
        </w:rPr>
      </w:r>
      <w:r w:rsidR="009530D9" w:rsidRPr="00CB64CE">
        <w:rPr>
          <w:lang w:val="en-AU"/>
        </w:rPr>
        <w:fldChar w:fldCharType="separate"/>
      </w:r>
      <w:r w:rsidR="00187CFE" w:rsidRPr="00CB64CE">
        <w:rPr>
          <w:lang w:val="en-AU"/>
        </w:rPr>
        <w:t>5.2</w:t>
      </w:r>
      <w:r w:rsidR="009530D9" w:rsidRPr="00CB64CE">
        <w:rPr>
          <w:lang w:val="en-AU"/>
        </w:rPr>
        <w:fldChar w:fldCharType="end"/>
      </w:r>
      <w:r w:rsidR="009530D9" w:rsidRPr="00CB64CE">
        <w:rPr>
          <w:lang w:val="en-AU"/>
        </w:rPr>
        <w:t xml:space="preserve"> </w:t>
      </w:r>
      <w:r w:rsidR="009530D9" w:rsidRPr="00CB64CE">
        <w:rPr>
          <w:lang w:val="en-AU"/>
        </w:rPr>
        <w:fldChar w:fldCharType="begin"/>
      </w:r>
      <w:r w:rsidR="009530D9" w:rsidRPr="00CB64CE">
        <w:rPr>
          <w:lang w:val="en-AU"/>
        </w:rPr>
        <w:instrText xml:space="preserve"> REF _Ref13512319 \h </w:instrText>
      </w:r>
      <w:r w:rsidR="00CB64CE">
        <w:rPr>
          <w:lang w:val="en-AU"/>
        </w:rPr>
        <w:instrText xml:space="preserve"> \* MERGEFORMAT </w:instrText>
      </w:r>
      <w:r w:rsidR="009530D9" w:rsidRPr="00CB64CE">
        <w:rPr>
          <w:lang w:val="en-AU"/>
        </w:rPr>
      </w:r>
      <w:r w:rsidR="009530D9" w:rsidRPr="00CB64CE">
        <w:rPr>
          <w:lang w:val="en-AU"/>
        </w:rPr>
        <w:fldChar w:fldCharType="separate"/>
      </w:r>
      <w:r w:rsidR="00187CFE" w:rsidRPr="00CB64CE">
        <w:rPr>
          <w:lang w:val="en-AU"/>
        </w:rPr>
        <w:t>Pharmacokinetic properties</w:t>
      </w:r>
      <w:r w:rsidR="009530D9" w:rsidRPr="00CB64CE">
        <w:rPr>
          <w:lang w:val="en-AU"/>
        </w:rPr>
        <w:fldChar w:fldCharType="end"/>
      </w:r>
      <w:r w:rsidR="009530D9" w:rsidRPr="00CB64CE">
        <w:rPr>
          <w:lang w:val="en-AU"/>
        </w:rPr>
        <w:t>.</w:t>
      </w:r>
    </w:p>
    <w:p w14:paraId="776752EC" w14:textId="2D13AFF9" w:rsidR="005D4B44" w:rsidRPr="00CB64CE" w:rsidRDefault="005D4B44" w:rsidP="005D4B44">
      <w:pPr>
        <w:pStyle w:val="TableTitle"/>
        <w:rPr>
          <w:lang w:val="en-AU"/>
        </w:rPr>
      </w:pPr>
      <w:bookmarkStart w:id="9" w:name="_Ref14434917"/>
      <w:r w:rsidRPr="00CB64CE">
        <w:rPr>
          <w:lang w:val="en-AU"/>
        </w:rPr>
        <w:t>Table </w:t>
      </w:r>
      <w:r w:rsidRPr="00CB64CE">
        <w:rPr>
          <w:lang w:val="en-AU"/>
        </w:rPr>
        <w:fldChar w:fldCharType="begin"/>
      </w:r>
      <w:r w:rsidRPr="00CB64CE">
        <w:rPr>
          <w:lang w:val="en-AU"/>
        </w:rPr>
        <w:instrText xml:space="preserve"> SEQ Table \* ARABIC </w:instrText>
      </w:r>
      <w:r w:rsidRPr="00CB64CE">
        <w:rPr>
          <w:lang w:val="en-AU"/>
        </w:rPr>
        <w:fldChar w:fldCharType="separate"/>
      </w:r>
      <w:r w:rsidR="00187CFE" w:rsidRPr="00CB64CE">
        <w:rPr>
          <w:noProof/>
          <w:lang w:val="en-AU"/>
        </w:rPr>
        <w:t>3</w:t>
      </w:r>
      <w:r w:rsidRPr="00CB64CE">
        <w:rPr>
          <w:lang w:val="en-AU"/>
        </w:rPr>
        <w:fldChar w:fldCharType="end"/>
      </w:r>
      <w:bookmarkEnd w:id="9"/>
      <w:r w:rsidRPr="00CB64CE">
        <w:rPr>
          <w:lang w:val="en-AU"/>
        </w:rPr>
        <w:tab/>
        <w:t>Interactions with other medicines – CYP3A inhibitors and inducers</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t;&lt;Please Add a Table Title Here&gt;&gt;"/>
      </w:tblPr>
      <w:tblGrid>
        <w:gridCol w:w="1413"/>
        <w:gridCol w:w="8225"/>
      </w:tblGrid>
      <w:tr w:rsidR="009530D9" w:rsidRPr="00CB64CE" w14:paraId="7C565BAF" w14:textId="77777777" w:rsidTr="0070649E">
        <w:trPr>
          <w:cantSplit/>
        </w:trPr>
        <w:tc>
          <w:tcPr>
            <w:tcW w:w="9638" w:type="dxa"/>
            <w:gridSpan w:val="2"/>
            <w:shd w:val="clear" w:color="auto" w:fill="auto"/>
          </w:tcPr>
          <w:p w14:paraId="24A8D73F" w14:textId="6B580CB0" w:rsidR="009530D9" w:rsidRPr="00CB64CE" w:rsidRDefault="009530D9" w:rsidP="0070649E">
            <w:pPr>
              <w:pStyle w:val="TableLeft"/>
              <w:rPr>
                <w:b/>
                <w:lang w:val="en-AU"/>
              </w:rPr>
            </w:pPr>
            <w:r w:rsidRPr="00CB64CE">
              <w:rPr>
                <w:b/>
                <w:lang w:val="en-AU"/>
              </w:rPr>
              <w:t>Strong CYP3A Inhibitors</w:t>
            </w:r>
          </w:p>
        </w:tc>
      </w:tr>
      <w:tr w:rsidR="00B278FE" w:rsidRPr="00CB64CE" w14:paraId="19B28D11" w14:textId="77777777" w:rsidTr="0070649E">
        <w:trPr>
          <w:cantSplit/>
        </w:trPr>
        <w:tc>
          <w:tcPr>
            <w:tcW w:w="1413" w:type="dxa"/>
            <w:shd w:val="clear" w:color="auto" w:fill="auto"/>
          </w:tcPr>
          <w:p w14:paraId="18083393" w14:textId="0D2D67CC" w:rsidR="00B278FE" w:rsidRPr="00CB64CE" w:rsidRDefault="00B278FE" w:rsidP="0070649E">
            <w:pPr>
              <w:pStyle w:val="TableLeft"/>
              <w:rPr>
                <w:lang w:val="en-AU"/>
              </w:rPr>
            </w:pPr>
            <w:r w:rsidRPr="00CB64CE">
              <w:rPr>
                <w:i/>
                <w:lang w:val="en-AU"/>
              </w:rPr>
              <w:t xml:space="preserve">Clinical </w:t>
            </w:r>
            <w:r w:rsidR="009530D9" w:rsidRPr="00CB64CE">
              <w:rPr>
                <w:i/>
                <w:lang w:val="en-AU"/>
              </w:rPr>
              <w:t>i</w:t>
            </w:r>
            <w:r w:rsidRPr="00CB64CE">
              <w:rPr>
                <w:i/>
                <w:lang w:val="en-AU"/>
              </w:rPr>
              <w:t>mpact</w:t>
            </w:r>
          </w:p>
        </w:tc>
        <w:tc>
          <w:tcPr>
            <w:tcW w:w="8225" w:type="dxa"/>
            <w:shd w:val="clear" w:color="auto" w:fill="auto"/>
          </w:tcPr>
          <w:p w14:paraId="4FF8ACD7" w14:textId="2081B06C" w:rsidR="00B278FE" w:rsidRPr="00CB64CE" w:rsidRDefault="00B278FE" w:rsidP="0070649E">
            <w:pPr>
              <w:pStyle w:val="TableLeft"/>
              <w:rPr>
                <w:lang w:val="en-AU"/>
              </w:rPr>
            </w:pPr>
            <w:r w:rsidRPr="00CB64CE">
              <w:rPr>
                <w:lang w:val="en-AU"/>
              </w:rPr>
              <w:t>Co-administration of CALQUENCE with a strong CYP3A inhibitor (</w:t>
            </w:r>
            <w:r w:rsidR="009477DC" w:rsidRPr="00CB64CE">
              <w:rPr>
                <w:lang w:val="en-AU"/>
              </w:rPr>
              <w:t xml:space="preserve">e.g. </w:t>
            </w:r>
            <w:r w:rsidRPr="00CB64CE">
              <w:rPr>
                <w:lang w:val="en-AU"/>
              </w:rPr>
              <w:t>itraconazole) increased acalabrutinib plasma concentrations.</w:t>
            </w:r>
          </w:p>
          <w:p w14:paraId="0DAF5091" w14:textId="120B86FB" w:rsidR="00B278FE" w:rsidRPr="00CB64CE" w:rsidRDefault="00B278FE" w:rsidP="0070649E">
            <w:pPr>
              <w:pStyle w:val="TableLeft"/>
              <w:rPr>
                <w:lang w:val="en-AU"/>
              </w:rPr>
            </w:pPr>
            <w:r w:rsidRPr="00CB64CE">
              <w:rPr>
                <w:lang w:val="en-AU"/>
              </w:rPr>
              <w:t>Increased acalabrutinib concentrations may result in increased toxicity.</w:t>
            </w:r>
          </w:p>
        </w:tc>
      </w:tr>
      <w:tr w:rsidR="00B278FE" w:rsidRPr="00CB64CE" w14:paraId="27AF82B7" w14:textId="77777777" w:rsidTr="0070649E">
        <w:trPr>
          <w:cantSplit/>
        </w:trPr>
        <w:tc>
          <w:tcPr>
            <w:tcW w:w="1413" w:type="dxa"/>
            <w:shd w:val="clear" w:color="auto" w:fill="auto"/>
          </w:tcPr>
          <w:p w14:paraId="71DA761A" w14:textId="306EB2C4" w:rsidR="00B278FE" w:rsidRPr="00CB64CE" w:rsidRDefault="00B278FE" w:rsidP="0070649E">
            <w:pPr>
              <w:pStyle w:val="TableLeft"/>
              <w:rPr>
                <w:lang w:val="en-AU"/>
              </w:rPr>
            </w:pPr>
            <w:r w:rsidRPr="00CB64CE">
              <w:rPr>
                <w:i/>
                <w:lang w:val="en-AU"/>
              </w:rPr>
              <w:t xml:space="preserve">Prevention or </w:t>
            </w:r>
            <w:r w:rsidR="0070649E" w:rsidRPr="00CB64CE">
              <w:rPr>
                <w:i/>
                <w:lang w:val="en-AU"/>
              </w:rPr>
              <w:t>m</w:t>
            </w:r>
            <w:r w:rsidRPr="00CB64CE">
              <w:rPr>
                <w:i/>
                <w:lang w:val="en-AU"/>
              </w:rPr>
              <w:t>anagement</w:t>
            </w:r>
          </w:p>
        </w:tc>
        <w:tc>
          <w:tcPr>
            <w:tcW w:w="8225" w:type="dxa"/>
            <w:shd w:val="clear" w:color="auto" w:fill="auto"/>
          </w:tcPr>
          <w:p w14:paraId="1AAC320D" w14:textId="77777777" w:rsidR="00B278FE" w:rsidRPr="00CB64CE" w:rsidRDefault="00B278FE" w:rsidP="0070649E">
            <w:pPr>
              <w:pStyle w:val="TableLeft"/>
              <w:rPr>
                <w:lang w:val="en-AU"/>
              </w:rPr>
            </w:pPr>
            <w:r w:rsidRPr="00CB64CE">
              <w:rPr>
                <w:lang w:val="en-AU"/>
              </w:rPr>
              <w:t>Avoid co-administration of strong CYP3A inhibitors with CALQUENCE.</w:t>
            </w:r>
          </w:p>
          <w:p w14:paraId="64F1B4BC" w14:textId="2C6B30DA" w:rsidR="00B278FE" w:rsidRPr="00CB64CE" w:rsidRDefault="00B278FE" w:rsidP="0070649E">
            <w:pPr>
              <w:pStyle w:val="TableLeft"/>
              <w:rPr>
                <w:lang w:val="en-AU"/>
              </w:rPr>
            </w:pPr>
            <w:r w:rsidRPr="00CB64CE">
              <w:rPr>
                <w:lang w:val="en-AU"/>
              </w:rPr>
              <w:t xml:space="preserve">Alternatively, if the inhibitor will be used short-term, interrupt CALQUENCE </w:t>
            </w:r>
          </w:p>
        </w:tc>
      </w:tr>
      <w:tr w:rsidR="009530D9" w:rsidRPr="00CB64CE" w14:paraId="002568CC" w14:textId="77777777" w:rsidTr="0070649E">
        <w:trPr>
          <w:cantSplit/>
        </w:trPr>
        <w:tc>
          <w:tcPr>
            <w:tcW w:w="9638" w:type="dxa"/>
            <w:gridSpan w:val="2"/>
            <w:shd w:val="clear" w:color="auto" w:fill="auto"/>
          </w:tcPr>
          <w:p w14:paraId="293F657E" w14:textId="095EEB82" w:rsidR="009530D9" w:rsidRPr="00CB64CE" w:rsidRDefault="009530D9" w:rsidP="0070649E">
            <w:pPr>
              <w:pStyle w:val="TableLeft"/>
              <w:rPr>
                <w:b/>
                <w:lang w:val="en-AU"/>
              </w:rPr>
            </w:pPr>
            <w:r w:rsidRPr="00CB64CE">
              <w:rPr>
                <w:b/>
                <w:lang w:val="en-AU"/>
              </w:rPr>
              <w:t>Moderate CYP3A Inhibitors</w:t>
            </w:r>
          </w:p>
        </w:tc>
      </w:tr>
      <w:tr w:rsidR="00B278FE" w:rsidRPr="00CB64CE" w14:paraId="4CF616B6" w14:textId="77777777" w:rsidTr="0070649E">
        <w:trPr>
          <w:cantSplit/>
        </w:trPr>
        <w:tc>
          <w:tcPr>
            <w:tcW w:w="1413" w:type="dxa"/>
            <w:shd w:val="clear" w:color="auto" w:fill="auto"/>
          </w:tcPr>
          <w:p w14:paraId="3631FB4E" w14:textId="4CFB057C" w:rsidR="00B278FE" w:rsidRPr="00CB64CE" w:rsidRDefault="00B278FE" w:rsidP="0070649E">
            <w:pPr>
              <w:pStyle w:val="TableLeft"/>
              <w:rPr>
                <w:lang w:val="en-AU"/>
              </w:rPr>
            </w:pPr>
            <w:r w:rsidRPr="00CB64CE">
              <w:rPr>
                <w:i/>
                <w:lang w:val="en-AU"/>
              </w:rPr>
              <w:t xml:space="preserve">Clinical </w:t>
            </w:r>
            <w:r w:rsidR="0070649E" w:rsidRPr="00CB64CE">
              <w:rPr>
                <w:i/>
                <w:lang w:val="en-AU"/>
              </w:rPr>
              <w:t>i</w:t>
            </w:r>
            <w:r w:rsidRPr="00CB64CE">
              <w:rPr>
                <w:i/>
                <w:lang w:val="en-AU"/>
              </w:rPr>
              <w:t>mpact</w:t>
            </w:r>
          </w:p>
        </w:tc>
        <w:tc>
          <w:tcPr>
            <w:tcW w:w="8225" w:type="dxa"/>
            <w:shd w:val="clear" w:color="auto" w:fill="auto"/>
          </w:tcPr>
          <w:p w14:paraId="71E8A70F" w14:textId="616791BB" w:rsidR="00B278FE" w:rsidRPr="00CB64CE" w:rsidRDefault="00B278FE" w:rsidP="0070649E">
            <w:pPr>
              <w:pStyle w:val="TableLeft"/>
              <w:rPr>
                <w:lang w:val="en-AU"/>
              </w:rPr>
            </w:pPr>
            <w:r w:rsidRPr="00CB64CE">
              <w:rPr>
                <w:lang w:val="en-AU"/>
              </w:rPr>
              <w:t xml:space="preserve">Co-administration of CALQUENCE with a moderate CYP3A inhibitor </w:t>
            </w:r>
            <w:r w:rsidR="009D4136" w:rsidRPr="00CB64CE">
              <w:rPr>
                <w:lang w:val="en-AU"/>
              </w:rPr>
              <w:t xml:space="preserve">(e.g. diltiazem, erythromycin, fluconazole) </w:t>
            </w:r>
            <w:r w:rsidRPr="00CB64CE">
              <w:rPr>
                <w:lang w:val="en-AU"/>
              </w:rPr>
              <w:t>may increase acalabrutinib plasma concentrations.</w:t>
            </w:r>
          </w:p>
          <w:p w14:paraId="3682A4B9" w14:textId="055DE6D6" w:rsidR="00B278FE" w:rsidRPr="00CB64CE" w:rsidRDefault="00B278FE" w:rsidP="0070649E">
            <w:pPr>
              <w:pStyle w:val="TableLeft"/>
              <w:rPr>
                <w:lang w:val="en-AU"/>
              </w:rPr>
            </w:pPr>
            <w:r w:rsidRPr="00CB64CE">
              <w:rPr>
                <w:lang w:val="en-AU"/>
              </w:rPr>
              <w:t>Increased acalabrutinib concentrations may result in increased toxicity.</w:t>
            </w:r>
          </w:p>
        </w:tc>
      </w:tr>
      <w:tr w:rsidR="00B278FE" w:rsidRPr="00CB64CE" w14:paraId="156512A2" w14:textId="77777777" w:rsidTr="0070649E">
        <w:trPr>
          <w:cantSplit/>
        </w:trPr>
        <w:tc>
          <w:tcPr>
            <w:tcW w:w="1413" w:type="dxa"/>
            <w:shd w:val="clear" w:color="auto" w:fill="auto"/>
          </w:tcPr>
          <w:p w14:paraId="17D2253A" w14:textId="20C98137" w:rsidR="00B278FE" w:rsidRPr="00CB64CE" w:rsidRDefault="00B278FE" w:rsidP="0070649E">
            <w:pPr>
              <w:pStyle w:val="TableLeft"/>
              <w:rPr>
                <w:lang w:val="en-AU"/>
              </w:rPr>
            </w:pPr>
            <w:r w:rsidRPr="00CB64CE">
              <w:rPr>
                <w:i/>
                <w:lang w:val="en-AU"/>
              </w:rPr>
              <w:t xml:space="preserve">Prevention or </w:t>
            </w:r>
            <w:r w:rsidR="0070649E" w:rsidRPr="00CB64CE">
              <w:rPr>
                <w:i/>
                <w:lang w:val="en-AU"/>
              </w:rPr>
              <w:t>m</w:t>
            </w:r>
            <w:r w:rsidRPr="00CB64CE">
              <w:rPr>
                <w:i/>
                <w:lang w:val="en-AU"/>
              </w:rPr>
              <w:t>anagement</w:t>
            </w:r>
          </w:p>
        </w:tc>
        <w:tc>
          <w:tcPr>
            <w:tcW w:w="8225" w:type="dxa"/>
            <w:shd w:val="clear" w:color="auto" w:fill="auto"/>
          </w:tcPr>
          <w:p w14:paraId="73EAE521" w14:textId="4060FC92" w:rsidR="00B278FE" w:rsidRPr="00CB64CE" w:rsidRDefault="00B278FE" w:rsidP="0070649E">
            <w:pPr>
              <w:pStyle w:val="TableLeft"/>
              <w:rPr>
                <w:lang w:val="en-AU"/>
              </w:rPr>
            </w:pPr>
            <w:r w:rsidRPr="00CB64CE">
              <w:rPr>
                <w:lang w:val="en-AU"/>
              </w:rPr>
              <w:t>When CALQUENCE is co-administered with moderate CYP3A inhibitors, reduce acalabrutinib dose to 100 mg once daily.</w:t>
            </w:r>
          </w:p>
        </w:tc>
      </w:tr>
      <w:tr w:rsidR="0070649E" w:rsidRPr="00CB64CE" w14:paraId="15B3CA88" w14:textId="77777777" w:rsidTr="0070649E">
        <w:trPr>
          <w:cantSplit/>
        </w:trPr>
        <w:tc>
          <w:tcPr>
            <w:tcW w:w="9638" w:type="dxa"/>
            <w:gridSpan w:val="2"/>
            <w:shd w:val="clear" w:color="auto" w:fill="auto"/>
          </w:tcPr>
          <w:p w14:paraId="5103B140" w14:textId="0353FBE2" w:rsidR="0070649E" w:rsidRPr="00CB64CE" w:rsidRDefault="0070649E" w:rsidP="0070649E">
            <w:pPr>
              <w:pStyle w:val="TableLeft"/>
              <w:rPr>
                <w:b/>
                <w:lang w:val="en-AU"/>
              </w:rPr>
            </w:pPr>
            <w:r w:rsidRPr="00CB64CE">
              <w:rPr>
                <w:b/>
                <w:lang w:val="en-AU"/>
              </w:rPr>
              <w:t>Strong CYP3A Inducers</w:t>
            </w:r>
          </w:p>
        </w:tc>
      </w:tr>
      <w:tr w:rsidR="003F1530" w:rsidRPr="00CB64CE" w14:paraId="13A2EBB6" w14:textId="77777777" w:rsidTr="0070649E">
        <w:trPr>
          <w:cantSplit/>
        </w:trPr>
        <w:tc>
          <w:tcPr>
            <w:tcW w:w="1413" w:type="dxa"/>
            <w:shd w:val="clear" w:color="auto" w:fill="auto"/>
          </w:tcPr>
          <w:p w14:paraId="2D6D7490" w14:textId="46994207" w:rsidR="003F1530" w:rsidRPr="00CB64CE" w:rsidRDefault="003F1530" w:rsidP="0070649E">
            <w:pPr>
              <w:pStyle w:val="TableLeft"/>
              <w:rPr>
                <w:lang w:val="en-AU"/>
              </w:rPr>
            </w:pPr>
            <w:r w:rsidRPr="00CB64CE">
              <w:rPr>
                <w:i/>
                <w:lang w:val="en-AU"/>
              </w:rPr>
              <w:t xml:space="preserve">Clinical </w:t>
            </w:r>
            <w:r w:rsidR="0070649E" w:rsidRPr="00CB64CE">
              <w:rPr>
                <w:i/>
                <w:lang w:val="en-AU"/>
              </w:rPr>
              <w:t>i</w:t>
            </w:r>
            <w:r w:rsidRPr="00CB64CE">
              <w:rPr>
                <w:i/>
                <w:lang w:val="en-AU"/>
              </w:rPr>
              <w:t>mpact</w:t>
            </w:r>
          </w:p>
        </w:tc>
        <w:tc>
          <w:tcPr>
            <w:tcW w:w="8225" w:type="dxa"/>
            <w:shd w:val="clear" w:color="auto" w:fill="auto"/>
          </w:tcPr>
          <w:p w14:paraId="2ADB9603" w14:textId="06539527" w:rsidR="003F1530" w:rsidRPr="00CB64CE" w:rsidRDefault="003F1530" w:rsidP="0070649E">
            <w:pPr>
              <w:pStyle w:val="TableLeft"/>
              <w:rPr>
                <w:lang w:val="en-AU"/>
              </w:rPr>
            </w:pPr>
            <w:r w:rsidRPr="00CB64CE">
              <w:rPr>
                <w:lang w:val="en-AU"/>
              </w:rPr>
              <w:t>Co-administration of CALQUENCE with a strong CYP3A inducer (</w:t>
            </w:r>
            <w:r w:rsidR="009477DC" w:rsidRPr="00CB64CE">
              <w:rPr>
                <w:lang w:val="en-AU"/>
              </w:rPr>
              <w:t xml:space="preserve">e.g. </w:t>
            </w:r>
            <w:r w:rsidRPr="00CB64CE">
              <w:rPr>
                <w:lang w:val="en-AU"/>
              </w:rPr>
              <w:t>rifampin) decreased acalabrutinib plasma concentrations</w:t>
            </w:r>
          </w:p>
          <w:p w14:paraId="5B1D71C8" w14:textId="4516A936" w:rsidR="003F1530" w:rsidRPr="00CB64CE" w:rsidRDefault="003F1530" w:rsidP="0070649E">
            <w:pPr>
              <w:pStyle w:val="TableLeft"/>
              <w:rPr>
                <w:lang w:val="en-AU"/>
              </w:rPr>
            </w:pPr>
            <w:r w:rsidRPr="00CB64CE">
              <w:rPr>
                <w:lang w:val="en-AU"/>
              </w:rPr>
              <w:t>Decreased acalabrutinib concentrations may reduce CALQUENCE activity.</w:t>
            </w:r>
          </w:p>
        </w:tc>
      </w:tr>
      <w:tr w:rsidR="003F1530" w:rsidRPr="00CB64CE" w14:paraId="3A3AE222" w14:textId="77777777" w:rsidTr="0070649E">
        <w:trPr>
          <w:cantSplit/>
        </w:trPr>
        <w:tc>
          <w:tcPr>
            <w:tcW w:w="1413" w:type="dxa"/>
            <w:shd w:val="clear" w:color="auto" w:fill="auto"/>
          </w:tcPr>
          <w:p w14:paraId="6C3967BA" w14:textId="4FD6D2BB" w:rsidR="003F1530" w:rsidRPr="00CB64CE" w:rsidRDefault="003F1530" w:rsidP="0070649E">
            <w:pPr>
              <w:pStyle w:val="TableLeft"/>
              <w:rPr>
                <w:lang w:val="en-AU"/>
              </w:rPr>
            </w:pPr>
            <w:r w:rsidRPr="00CB64CE">
              <w:rPr>
                <w:i/>
                <w:lang w:val="en-AU"/>
              </w:rPr>
              <w:t xml:space="preserve">Prevention or </w:t>
            </w:r>
            <w:r w:rsidR="0070649E" w:rsidRPr="00CB64CE">
              <w:rPr>
                <w:i/>
                <w:lang w:val="en-AU"/>
              </w:rPr>
              <w:t>m</w:t>
            </w:r>
            <w:r w:rsidRPr="00CB64CE">
              <w:rPr>
                <w:i/>
                <w:lang w:val="en-AU"/>
              </w:rPr>
              <w:t>anagement</w:t>
            </w:r>
          </w:p>
        </w:tc>
        <w:tc>
          <w:tcPr>
            <w:tcW w:w="8225" w:type="dxa"/>
            <w:shd w:val="clear" w:color="auto" w:fill="auto"/>
          </w:tcPr>
          <w:p w14:paraId="1E5774F2" w14:textId="77777777" w:rsidR="003F1530" w:rsidRPr="00CB64CE" w:rsidRDefault="003F1530" w:rsidP="0070649E">
            <w:pPr>
              <w:pStyle w:val="TableLeft"/>
              <w:rPr>
                <w:sz w:val="24"/>
                <w:lang w:val="en-AU"/>
              </w:rPr>
            </w:pPr>
            <w:r w:rsidRPr="00CB64CE">
              <w:rPr>
                <w:lang w:val="en-AU"/>
              </w:rPr>
              <w:t>Avoid co-administration of strong CYP3A inducers with CALQUENCE.</w:t>
            </w:r>
          </w:p>
          <w:p w14:paraId="714D36C4" w14:textId="1C2E2702" w:rsidR="003F1530" w:rsidRPr="00CB64CE" w:rsidRDefault="003F1530" w:rsidP="0070649E">
            <w:pPr>
              <w:pStyle w:val="TableLeft"/>
              <w:rPr>
                <w:lang w:val="en-AU"/>
              </w:rPr>
            </w:pPr>
            <w:r w:rsidRPr="00CB64CE">
              <w:rPr>
                <w:lang w:val="en-AU"/>
              </w:rPr>
              <w:t xml:space="preserve">If a strong CYP3A inducer cannot be avoided, increase the acalabrutinib dose to 200 mg twice daily. </w:t>
            </w:r>
          </w:p>
        </w:tc>
      </w:tr>
    </w:tbl>
    <w:p w14:paraId="5CE6FB39" w14:textId="2440A887" w:rsidR="005D4B44" w:rsidRPr="00CB64CE" w:rsidRDefault="005D4B44">
      <w:pPr>
        <w:rPr>
          <w:lang w:val="en-AU"/>
        </w:rPr>
      </w:pPr>
    </w:p>
    <w:p w14:paraId="4BD5A750" w14:textId="3DB2FC72" w:rsidR="005D4B44" w:rsidRPr="00CB64CE" w:rsidRDefault="005D4B44" w:rsidP="005D4B44">
      <w:pPr>
        <w:pStyle w:val="TableTitle"/>
        <w:rPr>
          <w:lang w:val="en-AU"/>
        </w:rPr>
      </w:pPr>
      <w:bookmarkStart w:id="10" w:name="_Ref14434919"/>
      <w:r w:rsidRPr="00CB64CE">
        <w:rPr>
          <w:lang w:val="en-AU"/>
        </w:rPr>
        <w:t>Table </w:t>
      </w:r>
      <w:r w:rsidRPr="00CB64CE">
        <w:rPr>
          <w:lang w:val="en-AU"/>
        </w:rPr>
        <w:fldChar w:fldCharType="begin"/>
      </w:r>
      <w:r w:rsidRPr="00CB64CE">
        <w:rPr>
          <w:lang w:val="en-AU"/>
        </w:rPr>
        <w:instrText xml:space="preserve"> SEQ Table \* ARABIC </w:instrText>
      </w:r>
      <w:r w:rsidRPr="00CB64CE">
        <w:rPr>
          <w:lang w:val="en-AU"/>
        </w:rPr>
        <w:fldChar w:fldCharType="separate"/>
      </w:r>
      <w:r w:rsidR="00187CFE" w:rsidRPr="00CB64CE">
        <w:rPr>
          <w:noProof/>
          <w:lang w:val="en-AU"/>
        </w:rPr>
        <w:t>4</w:t>
      </w:r>
      <w:r w:rsidRPr="00CB64CE">
        <w:rPr>
          <w:lang w:val="en-AU"/>
        </w:rPr>
        <w:fldChar w:fldCharType="end"/>
      </w:r>
      <w:bookmarkEnd w:id="10"/>
      <w:r w:rsidRPr="00CB64CE">
        <w:rPr>
          <w:lang w:val="en-AU"/>
        </w:rPr>
        <w:tab/>
        <w:t>Interactions with other medicines – Gastric acid reducing medicines</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t;&lt;Please Add a Table Title Here&gt;&gt;"/>
      </w:tblPr>
      <w:tblGrid>
        <w:gridCol w:w="1413"/>
        <w:gridCol w:w="2410"/>
        <w:gridCol w:w="5815"/>
      </w:tblGrid>
      <w:tr w:rsidR="005D4B44" w:rsidRPr="00CB64CE" w14:paraId="4849D7DC" w14:textId="77777777" w:rsidTr="0070649E">
        <w:trPr>
          <w:cantSplit/>
        </w:trPr>
        <w:tc>
          <w:tcPr>
            <w:tcW w:w="1413" w:type="dxa"/>
            <w:shd w:val="clear" w:color="auto" w:fill="auto"/>
          </w:tcPr>
          <w:p w14:paraId="1E0C2C5B" w14:textId="0B4220D4" w:rsidR="005D4B44" w:rsidRPr="00CB64CE" w:rsidRDefault="005D4B44" w:rsidP="0070649E">
            <w:pPr>
              <w:pStyle w:val="TableLeft"/>
              <w:rPr>
                <w:lang w:val="en-AU"/>
              </w:rPr>
            </w:pPr>
            <w:r w:rsidRPr="00CB64CE">
              <w:rPr>
                <w:i/>
                <w:lang w:val="en-AU"/>
              </w:rPr>
              <w:t xml:space="preserve">Clinical </w:t>
            </w:r>
            <w:r w:rsidR="0070649E" w:rsidRPr="00CB64CE">
              <w:rPr>
                <w:i/>
                <w:lang w:val="en-AU"/>
              </w:rPr>
              <w:t>i</w:t>
            </w:r>
            <w:r w:rsidRPr="00CB64CE">
              <w:rPr>
                <w:i/>
                <w:lang w:val="en-AU"/>
              </w:rPr>
              <w:t>mpact</w:t>
            </w:r>
          </w:p>
        </w:tc>
        <w:tc>
          <w:tcPr>
            <w:tcW w:w="8225" w:type="dxa"/>
            <w:gridSpan w:val="2"/>
            <w:shd w:val="clear" w:color="auto" w:fill="auto"/>
          </w:tcPr>
          <w:p w14:paraId="287D318F" w14:textId="02F22E73" w:rsidR="005D4B44" w:rsidRPr="00CB64CE" w:rsidRDefault="005D4B44" w:rsidP="0070649E">
            <w:pPr>
              <w:pStyle w:val="TableLeft"/>
              <w:rPr>
                <w:lang w:val="en-AU"/>
              </w:rPr>
            </w:pPr>
            <w:r w:rsidRPr="00CB64CE">
              <w:rPr>
                <w:lang w:val="en-AU"/>
              </w:rPr>
              <w:t xml:space="preserve">Co-administration of CALQUENCE with a proton pump inhibitor, H2-receptor antagonist, or antacid may decrease acalabrutinib plasma concentrations </w:t>
            </w:r>
          </w:p>
          <w:p w14:paraId="65E2F491" w14:textId="77777777" w:rsidR="005D4B44" w:rsidRPr="00CB64CE" w:rsidRDefault="005D4B44" w:rsidP="0070649E">
            <w:pPr>
              <w:pStyle w:val="TableLeft"/>
              <w:rPr>
                <w:lang w:val="en-AU"/>
              </w:rPr>
            </w:pPr>
            <w:r w:rsidRPr="00CB64CE">
              <w:rPr>
                <w:lang w:val="en-AU"/>
              </w:rPr>
              <w:t>Decreased acalabrutinib concentrations may reduce CALQUENCE activity.</w:t>
            </w:r>
          </w:p>
          <w:p w14:paraId="540E6BC9" w14:textId="606D4AC8" w:rsidR="005D4B44" w:rsidRPr="00CB64CE" w:rsidRDefault="005D4B44" w:rsidP="0070649E">
            <w:pPr>
              <w:pStyle w:val="TableLeft"/>
              <w:rPr>
                <w:lang w:val="en-AU"/>
              </w:rPr>
            </w:pPr>
            <w:r w:rsidRPr="00CB64CE">
              <w:rPr>
                <w:lang w:val="en-AU"/>
              </w:rPr>
              <w:t>If treatment with a gastric acid reducing agent is required, consider using a H2-receptor antagonist (e.g. ranitidine or famotidine) or an antacid (e.g. calcium carbonate).</w:t>
            </w:r>
          </w:p>
        </w:tc>
      </w:tr>
      <w:tr w:rsidR="0070649E" w:rsidRPr="00CB64CE" w14:paraId="2FB7DCBB" w14:textId="77777777" w:rsidTr="0070649E">
        <w:trPr>
          <w:cantSplit/>
        </w:trPr>
        <w:tc>
          <w:tcPr>
            <w:tcW w:w="1413" w:type="dxa"/>
            <w:vMerge w:val="restart"/>
            <w:shd w:val="clear" w:color="auto" w:fill="auto"/>
          </w:tcPr>
          <w:p w14:paraId="63F70D4E" w14:textId="4DAA0054" w:rsidR="0070649E" w:rsidRPr="00CB64CE" w:rsidRDefault="0070649E" w:rsidP="0070649E">
            <w:pPr>
              <w:pStyle w:val="TableLeft"/>
              <w:rPr>
                <w:lang w:val="en-AU"/>
              </w:rPr>
            </w:pPr>
            <w:r w:rsidRPr="00CB64CE">
              <w:rPr>
                <w:i/>
                <w:lang w:val="en-AU"/>
              </w:rPr>
              <w:t>Prevention or management</w:t>
            </w:r>
          </w:p>
        </w:tc>
        <w:tc>
          <w:tcPr>
            <w:tcW w:w="2410" w:type="dxa"/>
            <w:shd w:val="clear" w:color="auto" w:fill="auto"/>
          </w:tcPr>
          <w:p w14:paraId="7F16A8E6" w14:textId="0AFB982B" w:rsidR="0070649E" w:rsidRPr="00CB64CE" w:rsidRDefault="0070649E" w:rsidP="0070649E">
            <w:pPr>
              <w:pStyle w:val="TableLeft"/>
              <w:rPr>
                <w:b/>
                <w:lang w:val="en-AU"/>
              </w:rPr>
            </w:pPr>
            <w:r w:rsidRPr="00CB64CE">
              <w:rPr>
                <w:b/>
                <w:lang w:val="en-AU"/>
              </w:rPr>
              <w:t>Antacids</w:t>
            </w:r>
          </w:p>
        </w:tc>
        <w:tc>
          <w:tcPr>
            <w:tcW w:w="5815" w:type="dxa"/>
            <w:shd w:val="clear" w:color="auto" w:fill="auto"/>
          </w:tcPr>
          <w:p w14:paraId="17C65BAE" w14:textId="67839F8A" w:rsidR="0070649E" w:rsidRPr="00CB64CE" w:rsidRDefault="0070649E" w:rsidP="0070649E">
            <w:pPr>
              <w:pStyle w:val="TableLeft"/>
              <w:rPr>
                <w:lang w:val="en-AU"/>
              </w:rPr>
            </w:pPr>
            <w:r w:rsidRPr="00CB64CE">
              <w:rPr>
                <w:lang w:val="en-AU"/>
              </w:rPr>
              <w:t xml:space="preserve">Separate dosing by at least 2 hours </w:t>
            </w:r>
          </w:p>
        </w:tc>
      </w:tr>
      <w:tr w:rsidR="0070649E" w:rsidRPr="00CB64CE" w14:paraId="79CB5B18" w14:textId="77777777" w:rsidTr="0070649E">
        <w:trPr>
          <w:cantSplit/>
        </w:trPr>
        <w:tc>
          <w:tcPr>
            <w:tcW w:w="1413" w:type="dxa"/>
            <w:vMerge/>
            <w:shd w:val="clear" w:color="auto" w:fill="auto"/>
          </w:tcPr>
          <w:p w14:paraId="3B9BC674" w14:textId="0527C8D4" w:rsidR="0070649E" w:rsidRPr="00CB64CE" w:rsidRDefault="0070649E" w:rsidP="0070649E">
            <w:pPr>
              <w:pStyle w:val="TableLeft"/>
              <w:rPr>
                <w:lang w:val="en-AU"/>
              </w:rPr>
            </w:pPr>
          </w:p>
        </w:tc>
        <w:tc>
          <w:tcPr>
            <w:tcW w:w="2410" w:type="dxa"/>
            <w:shd w:val="clear" w:color="auto" w:fill="auto"/>
          </w:tcPr>
          <w:p w14:paraId="4F75D9AC" w14:textId="710962B7" w:rsidR="0070649E" w:rsidRPr="00CB64CE" w:rsidRDefault="0070649E" w:rsidP="0070649E">
            <w:pPr>
              <w:pStyle w:val="TableLeft"/>
              <w:rPr>
                <w:b/>
                <w:lang w:val="en-AU"/>
              </w:rPr>
            </w:pPr>
            <w:r w:rsidRPr="00CB64CE">
              <w:rPr>
                <w:b/>
                <w:lang w:val="en-AU"/>
              </w:rPr>
              <w:t>H2-receptor antagonists</w:t>
            </w:r>
          </w:p>
        </w:tc>
        <w:tc>
          <w:tcPr>
            <w:tcW w:w="5815" w:type="dxa"/>
            <w:shd w:val="clear" w:color="auto" w:fill="auto"/>
          </w:tcPr>
          <w:p w14:paraId="621925C8" w14:textId="3F8C69B1" w:rsidR="0070649E" w:rsidRPr="00CB64CE" w:rsidRDefault="0070649E" w:rsidP="0070649E">
            <w:pPr>
              <w:pStyle w:val="TableLeft"/>
              <w:rPr>
                <w:lang w:val="en-AU"/>
              </w:rPr>
            </w:pPr>
            <w:r w:rsidRPr="00CB64CE">
              <w:rPr>
                <w:lang w:val="en-AU"/>
              </w:rPr>
              <w:t xml:space="preserve">Take CALQUENCE 2 hours before taking the H2-receptor antagonist </w:t>
            </w:r>
          </w:p>
        </w:tc>
      </w:tr>
      <w:tr w:rsidR="0070649E" w:rsidRPr="00CB64CE" w14:paraId="2BD6AAFF" w14:textId="77777777" w:rsidTr="0070649E">
        <w:trPr>
          <w:cantSplit/>
        </w:trPr>
        <w:tc>
          <w:tcPr>
            <w:tcW w:w="1413" w:type="dxa"/>
            <w:vMerge/>
            <w:shd w:val="clear" w:color="auto" w:fill="auto"/>
          </w:tcPr>
          <w:p w14:paraId="6FF964FC" w14:textId="7ECD4FAC" w:rsidR="0070649E" w:rsidRPr="00CB64CE" w:rsidRDefault="0070649E" w:rsidP="0070649E">
            <w:pPr>
              <w:pStyle w:val="TableLeft"/>
              <w:rPr>
                <w:lang w:val="en-AU"/>
              </w:rPr>
            </w:pPr>
          </w:p>
        </w:tc>
        <w:tc>
          <w:tcPr>
            <w:tcW w:w="2410" w:type="dxa"/>
            <w:shd w:val="clear" w:color="auto" w:fill="auto"/>
          </w:tcPr>
          <w:p w14:paraId="5AC10A4D" w14:textId="7CADBA8F" w:rsidR="0070649E" w:rsidRPr="00CB64CE" w:rsidRDefault="0070649E" w:rsidP="0070649E">
            <w:pPr>
              <w:pStyle w:val="TableLeft"/>
              <w:rPr>
                <w:b/>
                <w:lang w:val="en-AU"/>
              </w:rPr>
            </w:pPr>
            <w:r w:rsidRPr="00CB64CE">
              <w:rPr>
                <w:b/>
                <w:lang w:val="en-AU"/>
              </w:rPr>
              <w:t>Proton pump inhibitors</w:t>
            </w:r>
          </w:p>
        </w:tc>
        <w:tc>
          <w:tcPr>
            <w:tcW w:w="5815" w:type="dxa"/>
            <w:shd w:val="clear" w:color="auto" w:fill="auto"/>
          </w:tcPr>
          <w:p w14:paraId="4DA41C18" w14:textId="6E78AA29" w:rsidR="0070649E" w:rsidRPr="00CB64CE" w:rsidRDefault="0070649E" w:rsidP="0070649E">
            <w:pPr>
              <w:pStyle w:val="TableLeft"/>
              <w:rPr>
                <w:lang w:val="en-AU"/>
              </w:rPr>
            </w:pPr>
            <w:r w:rsidRPr="00CB64CE">
              <w:rPr>
                <w:lang w:val="en-AU"/>
              </w:rPr>
              <w:t>Avoid co-administration. Due to the long-lasting effect of proton pump inhibitors, separation of doses may not eliminate the interaction with CALQUENCE.</w:t>
            </w:r>
          </w:p>
        </w:tc>
      </w:tr>
    </w:tbl>
    <w:p w14:paraId="0EA69A3A" w14:textId="77777777" w:rsidR="00B278FE" w:rsidRPr="00CB64CE" w:rsidRDefault="00B278FE" w:rsidP="00B278FE">
      <w:pPr>
        <w:pStyle w:val="Paragraph"/>
        <w:rPr>
          <w:lang w:val="en-AU"/>
        </w:rPr>
      </w:pPr>
    </w:p>
    <w:p w14:paraId="2D8CA720" w14:textId="60E6B24C" w:rsidR="001F620C" w:rsidRPr="00CB64CE" w:rsidRDefault="001F620C" w:rsidP="00247F94">
      <w:pPr>
        <w:pStyle w:val="Heading3Unnumbered"/>
        <w:rPr>
          <w:lang w:val="en-AU"/>
        </w:rPr>
      </w:pPr>
      <w:r w:rsidRPr="00CB64CE">
        <w:rPr>
          <w:lang w:val="en-AU"/>
        </w:rPr>
        <w:t xml:space="preserve">Effects of </w:t>
      </w:r>
      <w:r w:rsidR="00D306DA" w:rsidRPr="00CB64CE">
        <w:rPr>
          <w:lang w:val="en-AU"/>
        </w:rPr>
        <w:t>a</w:t>
      </w:r>
      <w:r w:rsidRPr="00CB64CE">
        <w:rPr>
          <w:lang w:val="en-AU"/>
        </w:rPr>
        <w:t xml:space="preserve">calabrutinib on </w:t>
      </w:r>
      <w:r w:rsidR="00D306DA" w:rsidRPr="00CB64CE">
        <w:rPr>
          <w:lang w:val="en-AU"/>
        </w:rPr>
        <w:t>d</w:t>
      </w:r>
      <w:r w:rsidRPr="00CB64CE">
        <w:rPr>
          <w:lang w:val="en-AU"/>
        </w:rPr>
        <w:t xml:space="preserve">rug </w:t>
      </w:r>
      <w:r w:rsidR="00D306DA" w:rsidRPr="00CB64CE">
        <w:rPr>
          <w:lang w:val="en-AU"/>
        </w:rPr>
        <w:t>t</w:t>
      </w:r>
      <w:r w:rsidRPr="00CB64CE">
        <w:rPr>
          <w:lang w:val="en-AU"/>
        </w:rPr>
        <w:t xml:space="preserve">ransport </w:t>
      </w:r>
      <w:r w:rsidR="00D306DA" w:rsidRPr="00CB64CE">
        <w:rPr>
          <w:lang w:val="en-AU"/>
        </w:rPr>
        <w:t>s</w:t>
      </w:r>
      <w:r w:rsidRPr="00CB64CE">
        <w:rPr>
          <w:lang w:val="en-AU"/>
        </w:rPr>
        <w:t>ystems</w:t>
      </w:r>
    </w:p>
    <w:p w14:paraId="07F45197" w14:textId="4D3B3B2B" w:rsidR="001F620C" w:rsidRPr="00CB64CE" w:rsidRDefault="001F620C" w:rsidP="001F620C">
      <w:pPr>
        <w:pStyle w:val="Paragraph"/>
        <w:rPr>
          <w:lang w:val="en-AU"/>
        </w:rPr>
      </w:pPr>
      <w:r w:rsidRPr="00CB64CE">
        <w:rPr>
          <w:lang w:val="en-AU"/>
        </w:rPr>
        <w:t xml:space="preserve">Acalabrutinib may increase exposure to co-administered BCRP substrates (e.g. methotrexate) by inhibition of intestinal BCRP </w:t>
      </w:r>
      <w:r w:rsidR="00B814CD" w:rsidRPr="00CB64CE">
        <w:rPr>
          <w:lang w:val="en-AU"/>
        </w:rPr>
        <w:t xml:space="preserve">(see Section </w:t>
      </w:r>
      <w:r w:rsidR="00B814CD" w:rsidRPr="00CB64CE">
        <w:rPr>
          <w:lang w:val="en-AU"/>
        </w:rPr>
        <w:fldChar w:fldCharType="begin"/>
      </w:r>
      <w:r w:rsidR="00B814CD" w:rsidRPr="00CB64CE">
        <w:rPr>
          <w:lang w:val="en-AU"/>
        </w:rPr>
        <w:instrText xml:space="preserve"> REF _Ref13512319 \r \h  \* MERGEFORMAT </w:instrText>
      </w:r>
      <w:r w:rsidR="00B814CD" w:rsidRPr="00CB64CE">
        <w:rPr>
          <w:lang w:val="en-AU"/>
        </w:rPr>
      </w:r>
      <w:r w:rsidR="00B814CD" w:rsidRPr="00CB64CE">
        <w:rPr>
          <w:lang w:val="en-AU"/>
        </w:rPr>
        <w:fldChar w:fldCharType="separate"/>
      </w:r>
      <w:r w:rsidR="00187CFE" w:rsidRPr="00CB64CE">
        <w:rPr>
          <w:lang w:val="en-AU"/>
        </w:rPr>
        <w:t>5.2</w:t>
      </w:r>
      <w:r w:rsidR="00B814CD" w:rsidRPr="00CB64CE">
        <w:rPr>
          <w:lang w:val="en-AU"/>
        </w:rPr>
        <w:fldChar w:fldCharType="end"/>
      </w:r>
      <w:r w:rsidR="00B814CD" w:rsidRPr="00CB64CE">
        <w:rPr>
          <w:lang w:val="en-AU"/>
        </w:rPr>
        <w:t xml:space="preserve"> </w:t>
      </w:r>
      <w:r w:rsidR="00B814CD" w:rsidRPr="00CB64CE">
        <w:rPr>
          <w:lang w:val="en-AU"/>
        </w:rPr>
        <w:fldChar w:fldCharType="begin"/>
      </w:r>
      <w:r w:rsidR="00B814CD" w:rsidRPr="00CB64CE">
        <w:rPr>
          <w:lang w:val="en-AU"/>
        </w:rPr>
        <w:instrText xml:space="preserve"> REF _Ref13512319 \h  \* MERGEFORMAT </w:instrText>
      </w:r>
      <w:r w:rsidR="00B814CD" w:rsidRPr="00CB64CE">
        <w:rPr>
          <w:lang w:val="en-AU"/>
        </w:rPr>
      </w:r>
      <w:r w:rsidR="00B814CD" w:rsidRPr="00CB64CE">
        <w:rPr>
          <w:lang w:val="en-AU"/>
        </w:rPr>
        <w:fldChar w:fldCharType="separate"/>
      </w:r>
      <w:r w:rsidR="00187CFE" w:rsidRPr="00CB64CE">
        <w:rPr>
          <w:lang w:val="en-AU"/>
        </w:rPr>
        <w:t>Pharmacokinetic properties</w:t>
      </w:r>
      <w:r w:rsidR="00B814CD" w:rsidRPr="00CB64CE">
        <w:rPr>
          <w:lang w:val="en-AU"/>
        </w:rPr>
        <w:fldChar w:fldCharType="end"/>
      </w:r>
      <w:r w:rsidR="00B814CD" w:rsidRPr="00CB64CE">
        <w:rPr>
          <w:lang w:val="en-AU"/>
        </w:rPr>
        <w:t>).</w:t>
      </w:r>
    </w:p>
    <w:p w14:paraId="42EAD4F6" w14:textId="77777777" w:rsidR="001F620C" w:rsidRPr="00CB64CE" w:rsidRDefault="001F620C" w:rsidP="00247F94">
      <w:pPr>
        <w:pStyle w:val="Heading3Unnumbered"/>
        <w:rPr>
          <w:lang w:val="en-AU"/>
        </w:rPr>
      </w:pPr>
      <w:r w:rsidRPr="00CB64CE">
        <w:rPr>
          <w:lang w:val="en-AU"/>
        </w:rPr>
        <w:t>Effect of food on acalabrutinib</w:t>
      </w:r>
    </w:p>
    <w:p w14:paraId="54D6052E" w14:textId="4EECAAB0" w:rsidR="00E45826" w:rsidRPr="00CB64CE" w:rsidRDefault="001F620C" w:rsidP="001F620C">
      <w:pPr>
        <w:pStyle w:val="Paragraph"/>
        <w:rPr>
          <w:lang w:val="en-AU"/>
        </w:rPr>
      </w:pPr>
      <w:r w:rsidRPr="00CB64CE">
        <w:rPr>
          <w:lang w:val="en-AU"/>
        </w:rPr>
        <w:t>In healthy subjects, administration of a single 75 mg dose of acalabrutinib with a high fat, high calorie meal (approximately 918 calories, 59 grams carbohydrate, 59 grams fat, and 39 grams protein) did not affect the mean AUC as compared to dosing under fasted conditions. Resulting C</w:t>
      </w:r>
      <w:r w:rsidRPr="00CB64CE">
        <w:rPr>
          <w:vertAlign w:val="subscript"/>
          <w:lang w:val="en-AU"/>
        </w:rPr>
        <w:t>max</w:t>
      </w:r>
      <w:r w:rsidRPr="00CB64CE">
        <w:rPr>
          <w:lang w:val="en-AU"/>
        </w:rPr>
        <w:t xml:space="preserve"> decreased by 73% and T</w:t>
      </w:r>
      <w:r w:rsidRPr="00CB64CE">
        <w:rPr>
          <w:vertAlign w:val="subscript"/>
          <w:lang w:val="en-AU"/>
        </w:rPr>
        <w:t>max</w:t>
      </w:r>
      <w:r w:rsidRPr="00CB64CE">
        <w:rPr>
          <w:lang w:val="en-AU"/>
        </w:rPr>
        <w:t xml:space="preserve"> was delayed 1-2 hours.</w:t>
      </w:r>
    </w:p>
    <w:p w14:paraId="319187FC" w14:textId="6F4A63C1" w:rsidR="001A3992" w:rsidRPr="00CB64CE" w:rsidRDefault="0084232B" w:rsidP="00EE3AC8">
      <w:pPr>
        <w:pStyle w:val="Heading2"/>
        <w:rPr>
          <w:lang w:val="en-AU"/>
        </w:rPr>
      </w:pPr>
      <w:r w:rsidRPr="00CB64CE">
        <w:rPr>
          <w:rStyle w:val="FootnoteReference"/>
          <w:lang w:val="en-AU"/>
        </w:rPr>
        <w:footnoteReference w:id="8"/>
      </w:r>
      <w:r w:rsidR="001A3992" w:rsidRPr="00CB64CE">
        <w:rPr>
          <w:lang w:val="en-AU"/>
        </w:rPr>
        <w:t>Fer</w:t>
      </w:r>
      <w:r w:rsidR="00EC60F8" w:rsidRPr="00CB64CE">
        <w:rPr>
          <w:lang w:val="en-AU"/>
        </w:rPr>
        <w:t>tility, pregnancy and lactation</w:t>
      </w:r>
    </w:p>
    <w:p w14:paraId="118494A1" w14:textId="77777777" w:rsidR="001A3992" w:rsidRPr="00CB64CE" w:rsidRDefault="001A3992" w:rsidP="0026491B">
      <w:pPr>
        <w:pStyle w:val="Heading3Unnumbered"/>
        <w:rPr>
          <w:lang w:val="en-AU"/>
        </w:rPr>
      </w:pPr>
      <w:r w:rsidRPr="00CB64CE">
        <w:rPr>
          <w:lang w:val="en-AU"/>
        </w:rPr>
        <w:t>Effects on fertility</w:t>
      </w:r>
    </w:p>
    <w:p w14:paraId="5C1A1D0A" w14:textId="77777777" w:rsidR="00234644" w:rsidRPr="00CB64CE" w:rsidRDefault="00234644" w:rsidP="00234644">
      <w:pPr>
        <w:pStyle w:val="Paragraph"/>
        <w:rPr>
          <w:lang w:val="en-AU"/>
        </w:rPr>
      </w:pPr>
      <w:r w:rsidRPr="00CB64CE">
        <w:rPr>
          <w:lang w:val="en-AU"/>
        </w:rPr>
        <w:t>In a fertility study in rats, there were no effects of acalabrutinib on fertility in male rats at exposures 18-times, or in female rats at exposures 16-times the AUC observed in patients at the recommended dose of 100 mg twice daily.</w:t>
      </w:r>
    </w:p>
    <w:p w14:paraId="7B97438A" w14:textId="2DE1C4B9" w:rsidR="001A3992" w:rsidRPr="00CB64CE" w:rsidRDefault="00446EDD" w:rsidP="0026491B">
      <w:pPr>
        <w:pStyle w:val="Heading3Unnumbered"/>
        <w:rPr>
          <w:lang w:val="en-AU"/>
        </w:rPr>
      </w:pPr>
      <w:r w:rsidRPr="00CB64CE">
        <w:rPr>
          <w:lang w:val="en-AU"/>
        </w:rPr>
        <w:t xml:space="preserve">Use in pregnancy </w:t>
      </w:r>
      <w:r w:rsidR="00E45826" w:rsidRPr="00CB64CE">
        <w:rPr>
          <w:lang w:val="en-AU"/>
        </w:rPr>
        <w:t xml:space="preserve">– Category </w:t>
      </w:r>
      <w:r w:rsidR="00C32699" w:rsidRPr="00CB64CE">
        <w:rPr>
          <w:lang w:val="en-AU"/>
        </w:rPr>
        <w:t>C</w:t>
      </w:r>
      <w:r w:rsidR="00C32699" w:rsidRPr="00CB64CE">
        <w:rPr>
          <w:rStyle w:val="FootnoteReference"/>
          <w:lang w:val="en-AU"/>
        </w:rPr>
        <w:footnoteReference w:id="9"/>
      </w:r>
    </w:p>
    <w:p w14:paraId="1028DA1F" w14:textId="07484AE0" w:rsidR="00D306DA" w:rsidRPr="00CB64CE" w:rsidRDefault="00D306DA" w:rsidP="00D306DA">
      <w:pPr>
        <w:pStyle w:val="Paragraph"/>
        <w:rPr>
          <w:lang w:val="en-AU"/>
        </w:rPr>
      </w:pPr>
      <w:r w:rsidRPr="00CB64CE">
        <w:rPr>
          <w:lang w:val="en-AU"/>
        </w:rPr>
        <w:t xml:space="preserve">Based on findings in animals, CALQUENCE may cause </w:t>
      </w:r>
      <w:r w:rsidR="00A91C97" w:rsidRPr="00CB64CE">
        <w:rPr>
          <w:lang w:val="en-AU"/>
        </w:rPr>
        <w:t>foetal</w:t>
      </w:r>
      <w:r w:rsidRPr="00CB64CE">
        <w:rPr>
          <w:lang w:val="en-AU"/>
        </w:rPr>
        <w:t xml:space="preserve"> harm when administered to a pregnant woman. There are no available data in pregnant women to inform the drug-associated risk. In animal reproduction studies, administration of acalabrutinib to pregnant rabbits during organogenesis resulted in reduced </w:t>
      </w:r>
      <w:r w:rsidR="00A91C97" w:rsidRPr="00CB64CE">
        <w:rPr>
          <w:lang w:val="en-AU"/>
        </w:rPr>
        <w:t>foetal</w:t>
      </w:r>
      <w:r w:rsidRPr="00CB64CE">
        <w:rPr>
          <w:lang w:val="en-AU"/>
        </w:rPr>
        <w:t xml:space="preserve"> growth at maternal exposures (AUC) approximately 4 times exposures in patients at the recommended dose of 100 mg twice daily (see </w:t>
      </w:r>
      <w:r w:rsidR="008D64CD" w:rsidRPr="00CB64CE">
        <w:rPr>
          <w:lang w:val="en-AU"/>
        </w:rPr>
        <w:t>below</w:t>
      </w:r>
      <w:r w:rsidRPr="00CB64CE">
        <w:rPr>
          <w:lang w:val="en-AU"/>
        </w:rPr>
        <w:t xml:space="preserve">). Advise pregnant women of the potential risk to a </w:t>
      </w:r>
      <w:r w:rsidR="00A91C97" w:rsidRPr="00CB64CE">
        <w:rPr>
          <w:lang w:val="en-AU"/>
        </w:rPr>
        <w:t>foetus</w:t>
      </w:r>
      <w:r w:rsidRPr="00CB64CE">
        <w:rPr>
          <w:lang w:val="en-AU"/>
        </w:rPr>
        <w:t>.</w:t>
      </w:r>
    </w:p>
    <w:p w14:paraId="3CE67757" w14:textId="3A286B3A" w:rsidR="00D306DA" w:rsidRPr="00CB64CE" w:rsidRDefault="00D306DA" w:rsidP="00D306DA">
      <w:pPr>
        <w:pStyle w:val="Paragraph"/>
        <w:rPr>
          <w:lang w:val="en-AU"/>
        </w:rPr>
      </w:pPr>
      <w:r w:rsidRPr="00CB64CE">
        <w:rPr>
          <w:lang w:val="en-AU"/>
        </w:rPr>
        <w:t>In a combined fertility and embryo-</w:t>
      </w:r>
      <w:r w:rsidR="00A91C97" w:rsidRPr="00CB64CE">
        <w:rPr>
          <w:lang w:val="en-AU"/>
        </w:rPr>
        <w:t>foetal</w:t>
      </w:r>
      <w:r w:rsidRPr="00CB64CE">
        <w:rPr>
          <w:lang w:val="en-AU"/>
        </w:rPr>
        <w:t xml:space="preserve"> development study in female rats, acalabrutinib was administered orally at doses up to 200 mg/kg/day starting 14 days prior to mating through gestational day [GD] 17. No effects on embryo-</w:t>
      </w:r>
      <w:r w:rsidR="00A91C97" w:rsidRPr="00CB64CE">
        <w:rPr>
          <w:lang w:val="en-AU"/>
        </w:rPr>
        <w:t>foetal</w:t>
      </w:r>
      <w:r w:rsidRPr="00CB64CE">
        <w:rPr>
          <w:lang w:val="en-AU"/>
        </w:rPr>
        <w:t xml:space="preserve"> development and survival were observed. The AUC at 200 mg/kg/day in pregnant rats was approximately 16-times the AUC in patients at the recommended dose of 100 mg twice daily. The presence of acalabrutinib and its active metabolite were confirmed in </w:t>
      </w:r>
      <w:r w:rsidR="00A91C97" w:rsidRPr="00CB64CE">
        <w:rPr>
          <w:lang w:val="en-AU"/>
        </w:rPr>
        <w:t>foetal</w:t>
      </w:r>
      <w:r w:rsidRPr="00CB64CE">
        <w:rPr>
          <w:lang w:val="en-AU"/>
        </w:rPr>
        <w:t xml:space="preserve"> rat plasma.</w:t>
      </w:r>
    </w:p>
    <w:p w14:paraId="750700FD" w14:textId="2786B7B2" w:rsidR="00446EDD" w:rsidRPr="00CB64CE" w:rsidRDefault="00D306DA" w:rsidP="00D306DA">
      <w:pPr>
        <w:pStyle w:val="Paragraph"/>
        <w:rPr>
          <w:lang w:val="en-AU"/>
        </w:rPr>
      </w:pPr>
      <w:r w:rsidRPr="00CB64CE">
        <w:rPr>
          <w:lang w:val="en-AU"/>
        </w:rPr>
        <w:t>In an embryo-</w:t>
      </w:r>
      <w:r w:rsidR="00A91C97" w:rsidRPr="00CB64CE">
        <w:rPr>
          <w:lang w:val="en-AU"/>
        </w:rPr>
        <w:t>foetal</w:t>
      </w:r>
      <w:r w:rsidRPr="00CB64CE">
        <w:rPr>
          <w:lang w:val="en-AU"/>
        </w:rPr>
        <w:t xml:space="preserve"> development study in rabbits, pregnant animals were administered acalabrutinib orally at doses up to 200 mg/kg/day during the period of organogenesis (from GD 6-18). Administration of acalabrutinib at doses ≥ 100 mg/kg/day produced maternal toxicity and 100</w:t>
      </w:r>
      <w:r w:rsidR="008D64CD" w:rsidRPr="00CB64CE">
        <w:rPr>
          <w:lang w:val="en-AU"/>
        </w:rPr>
        <w:t> </w:t>
      </w:r>
      <w:r w:rsidRPr="00CB64CE">
        <w:rPr>
          <w:lang w:val="en-AU"/>
        </w:rPr>
        <w:t xml:space="preserve">mg/kg/day resulted in decreased </w:t>
      </w:r>
      <w:r w:rsidR="00A91C97" w:rsidRPr="00CB64CE">
        <w:rPr>
          <w:lang w:val="en-AU"/>
        </w:rPr>
        <w:t>foetal</w:t>
      </w:r>
      <w:r w:rsidRPr="00CB64CE">
        <w:rPr>
          <w:lang w:val="en-AU"/>
        </w:rPr>
        <w:t xml:space="preserve"> body weights and delayed skeletal ossification. The AUC at 100 mg/kg/day in pregnant rabbits was approximately 4-times the AUC in patients at 100 mg twice daily.</w:t>
      </w:r>
    </w:p>
    <w:p w14:paraId="28BDCD7E" w14:textId="77777777" w:rsidR="001A3992" w:rsidRPr="00CB64CE" w:rsidRDefault="00446EDD" w:rsidP="0026491B">
      <w:pPr>
        <w:pStyle w:val="Heading3Unnumbered"/>
        <w:rPr>
          <w:lang w:val="en-AU"/>
        </w:rPr>
      </w:pPr>
      <w:r w:rsidRPr="00CB64CE">
        <w:rPr>
          <w:lang w:val="en-AU"/>
        </w:rPr>
        <w:t>Use in lactation</w:t>
      </w:r>
    </w:p>
    <w:p w14:paraId="14811DB0" w14:textId="0B66ECB9" w:rsidR="00446EDD" w:rsidRPr="00CB64CE" w:rsidRDefault="008D64CD" w:rsidP="00446EDD">
      <w:pPr>
        <w:pStyle w:val="Paragraph"/>
        <w:rPr>
          <w:lang w:val="en-AU"/>
        </w:rPr>
      </w:pPr>
      <w:r w:rsidRPr="00CB64CE">
        <w:rPr>
          <w:lang w:val="en-AU"/>
        </w:rPr>
        <w:t xml:space="preserve">No data are available regarding the presence of acalabrutinib or its active metabolite in human milk, its effects on the breastfed child, or on milk production. Acalabrutinib and its active metabolite </w:t>
      </w:r>
      <w:r w:rsidRPr="00CB64CE">
        <w:rPr>
          <w:lang w:val="en-AU"/>
        </w:rPr>
        <w:lastRenderedPageBreak/>
        <w:t>were present in the milk of lactating rats. Due to the potential for adverse reactions in a breastfed child from CALQUENCE, advise lactating women not to breastfeed while taking CALQUENCE and for at least 2 weeks after the final dose.</w:t>
      </w:r>
    </w:p>
    <w:p w14:paraId="385CA448" w14:textId="77777777" w:rsidR="001A3992" w:rsidRPr="00CB64CE" w:rsidRDefault="001A3992" w:rsidP="003B7CFF">
      <w:pPr>
        <w:pStyle w:val="Heading2"/>
        <w:rPr>
          <w:lang w:val="en-AU"/>
        </w:rPr>
      </w:pPr>
      <w:r w:rsidRPr="00CB64CE">
        <w:rPr>
          <w:lang w:val="en-AU"/>
        </w:rPr>
        <w:t>Effects on ability to drive and use machines</w:t>
      </w:r>
    </w:p>
    <w:p w14:paraId="595C2134" w14:textId="77777777" w:rsidR="00B14E3C" w:rsidRPr="00CB64CE" w:rsidRDefault="00B14E3C" w:rsidP="00446EDD">
      <w:pPr>
        <w:pStyle w:val="Paragraph"/>
        <w:rPr>
          <w:lang w:val="en-AU"/>
        </w:rPr>
      </w:pPr>
      <w:r w:rsidRPr="00CB64CE">
        <w:rPr>
          <w:lang w:val="en-AU"/>
        </w:rPr>
        <w:t>CALQUENCE has no or negligible influence on the ability to drive and use machines. However, during treatment with acalabrutinib fatigue and dizziness have been reported and patients who experience these symptoms should observe caution when driving or using machines.</w:t>
      </w:r>
    </w:p>
    <w:p w14:paraId="79F6EC2E" w14:textId="77777777" w:rsidR="001A3992" w:rsidRPr="00CB64CE" w:rsidRDefault="001A3992" w:rsidP="00EE3AC8">
      <w:pPr>
        <w:pStyle w:val="Heading2"/>
        <w:rPr>
          <w:lang w:val="en-AU"/>
        </w:rPr>
      </w:pPr>
      <w:r w:rsidRPr="00CB64CE">
        <w:rPr>
          <w:lang w:val="en-AU"/>
        </w:rPr>
        <w:t>Adverse effects (Undesirable effects)</w:t>
      </w:r>
    </w:p>
    <w:p w14:paraId="5D3E3211" w14:textId="55A90929" w:rsidR="00446EDD" w:rsidRPr="00CB64CE" w:rsidRDefault="0084232B" w:rsidP="001D3AF3">
      <w:pPr>
        <w:pStyle w:val="Heading3Unnumbered"/>
        <w:rPr>
          <w:lang w:val="en-AU"/>
        </w:rPr>
      </w:pPr>
      <w:r w:rsidRPr="00CB64CE">
        <w:rPr>
          <w:rStyle w:val="FootnoteReference"/>
          <w:lang w:val="en-AU"/>
        </w:rPr>
        <w:footnoteReference w:id="10"/>
      </w:r>
      <w:r w:rsidR="001D3AF3" w:rsidRPr="00CB64CE">
        <w:rPr>
          <w:lang w:val="en-AU"/>
        </w:rPr>
        <w:t>Clinical trials</w:t>
      </w:r>
      <w:r w:rsidR="00BD7E06" w:rsidRPr="00CB64CE">
        <w:rPr>
          <w:lang w:val="en-AU"/>
        </w:rPr>
        <w:t xml:space="preserve"> experience</w:t>
      </w:r>
    </w:p>
    <w:p w14:paraId="5FAD9667" w14:textId="77777777" w:rsidR="00BD7E06" w:rsidRPr="00CB64CE" w:rsidRDefault="00BD7E06" w:rsidP="00BD7E06">
      <w:pPr>
        <w:pStyle w:val="Paragraph"/>
        <w:rPr>
          <w:lang w:val="en-AU"/>
        </w:rPr>
      </w:pPr>
      <w:r w:rsidRPr="00CB64CE">
        <w:rPr>
          <w:lang w:val="en-AU"/>
        </w:rPr>
        <w:t>As clinical trials are conducted under widely varying conditions, adverse reaction rates observed in the clinical trials of a drug cannot be directly compared to rates in the clinical trials of another drug and may not reflect the rates observed in practice.</w:t>
      </w:r>
    </w:p>
    <w:p w14:paraId="216FC90F" w14:textId="6686F923" w:rsidR="00BD7E06" w:rsidRPr="00CB64CE" w:rsidRDefault="00BD7E06" w:rsidP="00BD7E06">
      <w:pPr>
        <w:pStyle w:val="Paragraph"/>
        <w:rPr>
          <w:lang w:val="en-AU"/>
        </w:rPr>
      </w:pPr>
      <w:r w:rsidRPr="00CB64CE">
        <w:rPr>
          <w:lang w:val="en-AU"/>
        </w:rPr>
        <w:t xml:space="preserve">The safety data described in this section reflect exposure to CALQUENCE (100 mg twice daily) in 124 patients with previously treated MCL in </w:t>
      </w:r>
      <w:r w:rsidR="00C60E1B" w:rsidRPr="00CB64CE">
        <w:rPr>
          <w:lang w:val="en-AU"/>
        </w:rPr>
        <w:t>ACE-</w:t>
      </w:r>
      <w:r w:rsidRPr="00CB64CE">
        <w:rPr>
          <w:lang w:val="en-AU"/>
        </w:rPr>
        <w:t xml:space="preserve">LY-004 </w:t>
      </w:r>
      <w:r w:rsidR="00C75EE5" w:rsidRPr="00CB64CE">
        <w:rPr>
          <w:lang w:val="en-AU"/>
        </w:rPr>
        <w:t>(</w:t>
      </w:r>
      <w:r w:rsidRPr="00CB64CE">
        <w:rPr>
          <w:lang w:val="en-AU"/>
        </w:rPr>
        <w:t>see</w:t>
      </w:r>
      <w:r w:rsidR="00C75EE5" w:rsidRPr="00CB64CE">
        <w:rPr>
          <w:lang w:val="en-AU"/>
        </w:rPr>
        <w:t xml:space="preserve"> Section</w:t>
      </w:r>
      <w:r w:rsidRPr="00CB64CE">
        <w:rPr>
          <w:lang w:val="en-AU"/>
        </w:rPr>
        <w:t xml:space="preserve"> </w:t>
      </w:r>
      <w:r w:rsidR="00964E90" w:rsidRPr="00CB64CE">
        <w:rPr>
          <w:lang w:val="en-AU"/>
        </w:rPr>
        <w:fldChar w:fldCharType="begin"/>
      </w:r>
      <w:r w:rsidR="00964E90" w:rsidRPr="00CB64CE">
        <w:rPr>
          <w:lang w:val="en-AU"/>
        </w:rPr>
        <w:instrText xml:space="preserve"> REF _Ref13512425 \r \h  \* MERGEFORMAT </w:instrText>
      </w:r>
      <w:r w:rsidR="00964E90" w:rsidRPr="00CB64CE">
        <w:rPr>
          <w:lang w:val="en-AU"/>
        </w:rPr>
      </w:r>
      <w:r w:rsidR="00964E90" w:rsidRPr="00CB64CE">
        <w:rPr>
          <w:lang w:val="en-AU"/>
        </w:rPr>
        <w:fldChar w:fldCharType="separate"/>
      </w:r>
      <w:r w:rsidR="00187CFE" w:rsidRPr="00CB64CE">
        <w:rPr>
          <w:lang w:val="en-AU"/>
        </w:rPr>
        <w:t>5.1</w:t>
      </w:r>
      <w:r w:rsidR="00964E90" w:rsidRPr="00CB64CE">
        <w:rPr>
          <w:lang w:val="en-AU"/>
        </w:rPr>
        <w:fldChar w:fldCharType="end"/>
      </w:r>
      <w:r w:rsidR="00964E90" w:rsidRPr="00CB64CE">
        <w:rPr>
          <w:lang w:val="en-AU"/>
        </w:rPr>
        <w:t xml:space="preserve"> </w:t>
      </w:r>
      <w:r w:rsidR="00964E90" w:rsidRPr="00CB64CE">
        <w:rPr>
          <w:lang w:val="en-AU"/>
        </w:rPr>
        <w:fldChar w:fldCharType="begin"/>
      </w:r>
      <w:r w:rsidR="00964E90" w:rsidRPr="00CB64CE">
        <w:rPr>
          <w:lang w:val="en-AU"/>
        </w:rPr>
        <w:instrText xml:space="preserve"> REF _Ref13512425 \h  \* MERGEFORMAT </w:instrText>
      </w:r>
      <w:r w:rsidR="00964E90" w:rsidRPr="00CB64CE">
        <w:rPr>
          <w:lang w:val="en-AU"/>
        </w:rPr>
      </w:r>
      <w:r w:rsidR="00964E90" w:rsidRPr="00CB64CE">
        <w:rPr>
          <w:lang w:val="en-AU"/>
        </w:rPr>
        <w:fldChar w:fldCharType="separate"/>
      </w:r>
      <w:proofErr w:type="spellStart"/>
      <w:r w:rsidR="00187CFE" w:rsidRPr="00CB64CE">
        <w:rPr>
          <w:lang w:val="en-AU"/>
        </w:rPr>
        <w:t>Pharmacodynamic</w:t>
      </w:r>
      <w:proofErr w:type="spellEnd"/>
      <w:r w:rsidR="00187CFE" w:rsidRPr="00CB64CE">
        <w:rPr>
          <w:lang w:val="en-AU"/>
        </w:rPr>
        <w:t xml:space="preserve"> properties</w:t>
      </w:r>
      <w:r w:rsidR="00964E90" w:rsidRPr="00CB64CE">
        <w:rPr>
          <w:lang w:val="en-AU"/>
        </w:rPr>
        <w:fldChar w:fldCharType="end"/>
      </w:r>
      <w:r w:rsidR="00964E90" w:rsidRPr="00CB64CE">
        <w:rPr>
          <w:lang w:val="en-AU"/>
        </w:rPr>
        <w:t xml:space="preserve"> / </w:t>
      </w:r>
      <w:r w:rsidRPr="00CB64CE">
        <w:rPr>
          <w:i/>
          <w:lang w:val="en-AU"/>
        </w:rPr>
        <w:t xml:space="preserve">Clinical </w:t>
      </w:r>
      <w:r w:rsidR="00964E90" w:rsidRPr="00CB64CE">
        <w:rPr>
          <w:i/>
          <w:lang w:val="en-AU"/>
        </w:rPr>
        <w:t>trials</w:t>
      </w:r>
      <w:r w:rsidR="00C75EE5" w:rsidRPr="00CB64CE">
        <w:rPr>
          <w:lang w:val="en-AU"/>
        </w:rPr>
        <w:t>)</w:t>
      </w:r>
      <w:r w:rsidRPr="00CB64CE">
        <w:rPr>
          <w:lang w:val="en-AU"/>
        </w:rPr>
        <w:t>. The median duration of treatment with CALQUENCE was 16.6 (range 0.1 to 26.6) months. A total of 91 (73.4%) patients were treated with CALQUENCE for ≥6 months and 74 (59.7%) patients were treated for ≥1 year.</w:t>
      </w:r>
    </w:p>
    <w:p w14:paraId="5880FD8B" w14:textId="1DCF6F11" w:rsidR="00BD7E06" w:rsidRPr="00CB64CE" w:rsidRDefault="00BD7E06" w:rsidP="00BD7E06">
      <w:pPr>
        <w:pStyle w:val="Paragraph"/>
        <w:rPr>
          <w:lang w:val="en-AU"/>
        </w:rPr>
      </w:pPr>
      <w:r w:rsidRPr="00CB64CE">
        <w:rPr>
          <w:lang w:val="en-AU"/>
        </w:rPr>
        <w:t xml:space="preserve">The most common adverse reactions (≥ 20%) of any grade were anaemia, thrombocytopenia, headache, neutropenia, diarrhoea, fatigue, myalgia, and bruising. Grade 1 severity for the non-haematologic, most common events were as follows: headache (25%), diarrhoea (16%), fatigue (20%), myalgia (15%), and bruising (19%). The most common Grade ≥3 non-haematological adverse reaction (reported in at least 2% of patients) was diarrhoea. </w:t>
      </w:r>
    </w:p>
    <w:p w14:paraId="678BA711" w14:textId="428CA8C1" w:rsidR="00BD7E06" w:rsidRPr="00CB64CE" w:rsidRDefault="00BD7E06" w:rsidP="00BD7E06">
      <w:pPr>
        <w:pStyle w:val="Paragraph"/>
        <w:rPr>
          <w:lang w:val="en-AU"/>
        </w:rPr>
      </w:pPr>
      <w:r w:rsidRPr="00CB64CE">
        <w:rPr>
          <w:lang w:val="en-AU"/>
        </w:rPr>
        <w:t>Dose reductions or discontinuation due to any adverse reaction were reported in 1.6% and 6.5% of patients, respectively.</w:t>
      </w:r>
      <w:r w:rsidR="004570AD" w:rsidRPr="00CB64CE">
        <w:rPr>
          <w:lang w:val="en-AU"/>
        </w:rPr>
        <w:t xml:space="preserve">  </w:t>
      </w:r>
    </w:p>
    <w:p w14:paraId="288B6F7D" w14:textId="42E53919" w:rsidR="001C394C" w:rsidRPr="00CB64CE" w:rsidRDefault="00A071BD" w:rsidP="00BD7E06">
      <w:pPr>
        <w:pStyle w:val="Paragraph"/>
        <w:rPr>
          <w:lang w:val="en-AU"/>
        </w:rPr>
      </w:pPr>
      <w:r w:rsidRPr="00CB64CE">
        <w:rPr>
          <w:lang w:val="en-AU"/>
        </w:rPr>
        <w:fldChar w:fldCharType="begin"/>
      </w:r>
      <w:r w:rsidRPr="00CB64CE">
        <w:rPr>
          <w:lang w:val="en-AU"/>
        </w:rPr>
        <w:instrText xml:space="preserve"> REF _Ref13507452 \h  \* MERGEFORMAT </w:instrText>
      </w:r>
      <w:r w:rsidRPr="00CB64CE">
        <w:rPr>
          <w:lang w:val="en-AU"/>
        </w:rPr>
      </w:r>
      <w:r w:rsidRPr="00CB64CE">
        <w:rPr>
          <w:lang w:val="en-AU"/>
        </w:rPr>
        <w:fldChar w:fldCharType="separate"/>
      </w:r>
      <w:r w:rsidR="00187CFE" w:rsidRPr="00CB64CE">
        <w:rPr>
          <w:lang w:val="en-AU"/>
        </w:rPr>
        <w:t>Table 5</w:t>
      </w:r>
      <w:r w:rsidRPr="00CB64CE">
        <w:rPr>
          <w:lang w:val="en-AU"/>
        </w:rPr>
        <w:fldChar w:fldCharType="end"/>
      </w:r>
      <w:r w:rsidRPr="00CB64CE">
        <w:rPr>
          <w:lang w:val="en-AU"/>
        </w:rPr>
        <w:t xml:space="preserve"> and </w:t>
      </w:r>
      <w:r w:rsidRPr="00CB64CE">
        <w:rPr>
          <w:lang w:val="en-AU"/>
        </w:rPr>
        <w:fldChar w:fldCharType="begin"/>
      </w:r>
      <w:r w:rsidRPr="00CB64CE">
        <w:rPr>
          <w:lang w:val="en-AU"/>
        </w:rPr>
        <w:instrText xml:space="preserve"> REF _Ref13507454 \h  \* MERGEFORMAT </w:instrText>
      </w:r>
      <w:r w:rsidRPr="00CB64CE">
        <w:rPr>
          <w:lang w:val="en-AU"/>
        </w:rPr>
      </w:r>
      <w:r w:rsidRPr="00CB64CE">
        <w:rPr>
          <w:lang w:val="en-AU"/>
        </w:rPr>
        <w:fldChar w:fldCharType="separate"/>
      </w:r>
      <w:r w:rsidR="00187CFE" w:rsidRPr="00CB64CE">
        <w:rPr>
          <w:lang w:val="en-AU"/>
        </w:rPr>
        <w:t>Table 6</w:t>
      </w:r>
      <w:r w:rsidRPr="00CB64CE">
        <w:rPr>
          <w:lang w:val="en-AU"/>
        </w:rPr>
        <w:fldChar w:fldCharType="end"/>
      </w:r>
      <w:r w:rsidRPr="00CB64CE">
        <w:rPr>
          <w:lang w:val="en-AU"/>
        </w:rPr>
        <w:t xml:space="preserve"> </w:t>
      </w:r>
      <w:r w:rsidR="00BD7E06" w:rsidRPr="00CB64CE">
        <w:rPr>
          <w:lang w:val="en-AU"/>
        </w:rPr>
        <w:t>present the frequency category of adverse reactions observed in patients with MCL treated with CALQUENCE.</w:t>
      </w:r>
    </w:p>
    <w:p w14:paraId="32A3DC6E" w14:textId="494B472C" w:rsidR="00BD7E06" w:rsidRPr="00CB64CE" w:rsidRDefault="00BD7E06" w:rsidP="002C4C23">
      <w:pPr>
        <w:pStyle w:val="TableTitle"/>
        <w:rPr>
          <w:lang w:val="en-AU"/>
        </w:rPr>
      </w:pPr>
      <w:bookmarkStart w:id="11" w:name="_Ref13507452"/>
      <w:r w:rsidRPr="00CB64CE">
        <w:rPr>
          <w:lang w:val="en-AU"/>
        </w:rPr>
        <w:t>Table </w:t>
      </w:r>
      <w:r w:rsidRPr="00CB64CE">
        <w:rPr>
          <w:lang w:val="en-AU"/>
        </w:rPr>
        <w:fldChar w:fldCharType="begin"/>
      </w:r>
      <w:r w:rsidRPr="00CB64CE">
        <w:rPr>
          <w:lang w:val="en-AU"/>
        </w:rPr>
        <w:instrText xml:space="preserve"> SEQ Table \* ARABIC </w:instrText>
      </w:r>
      <w:r w:rsidRPr="00CB64CE">
        <w:rPr>
          <w:lang w:val="en-AU"/>
        </w:rPr>
        <w:fldChar w:fldCharType="separate"/>
      </w:r>
      <w:r w:rsidR="00187CFE" w:rsidRPr="00CB64CE">
        <w:rPr>
          <w:noProof/>
          <w:lang w:val="en-AU"/>
        </w:rPr>
        <w:t>5</w:t>
      </w:r>
      <w:r w:rsidRPr="00CB64CE">
        <w:rPr>
          <w:lang w:val="en-AU"/>
        </w:rPr>
        <w:fldChar w:fldCharType="end"/>
      </w:r>
      <w:bookmarkEnd w:id="11"/>
      <w:r w:rsidRPr="00CB64CE">
        <w:rPr>
          <w:lang w:val="en-AU"/>
        </w:rPr>
        <w:tab/>
        <w:t>Non-</w:t>
      </w:r>
      <w:r w:rsidR="002C4C23" w:rsidRPr="00CB64CE">
        <w:rPr>
          <w:lang w:val="en-AU"/>
        </w:rPr>
        <w:t>ha</w:t>
      </w:r>
      <w:r w:rsidRPr="00CB64CE">
        <w:rPr>
          <w:lang w:val="en-AU"/>
        </w:rPr>
        <w:t xml:space="preserve">ematologic </w:t>
      </w:r>
      <w:r w:rsidR="002C4C23" w:rsidRPr="00CB64CE">
        <w:rPr>
          <w:lang w:val="en-AU"/>
        </w:rPr>
        <w:t>a</w:t>
      </w:r>
      <w:r w:rsidRPr="00CB64CE">
        <w:rPr>
          <w:lang w:val="en-AU"/>
        </w:rPr>
        <w:t xml:space="preserve">dverse </w:t>
      </w:r>
      <w:r w:rsidR="002C4C23" w:rsidRPr="00CB64CE">
        <w:rPr>
          <w:lang w:val="en-AU"/>
        </w:rPr>
        <w:t>r</w:t>
      </w:r>
      <w:r w:rsidRPr="00CB64CE">
        <w:rPr>
          <w:lang w:val="en-AU"/>
        </w:rPr>
        <w:t>eactions</w:t>
      </w:r>
      <w:r w:rsidRPr="00CB64CE">
        <w:rPr>
          <w:vertAlign w:val="superscript"/>
          <w:lang w:val="en-AU"/>
        </w:rPr>
        <w:t>*</w:t>
      </w:r>
      <w:r w:rsidRPr="00CB64CE">
        <w:rPr>
          <w:lang w:val="en-AU"/>
        </w:rPr>
        <w:t xml:space="preserve"> in ≥5% (</w:t>
      </w:r>
      <w:r w:rsidR="002C4C23" w:rsidRPr="00CB64CE">
        <w:rPr>
          <w:lang w:val="en-AU"/>
        </w:rPr>
        <w:t>a</w:t>
      </w:r>
      <w:r w:rsidRPr="00CB64CE">
        <w:rPr>
          <w:lang w:val="en-AU"/>
        </w:rPr>
        <w:t xml:space="preserve">ll </w:t>
      </w:r>
      <w:r w:rsidR="002C4C23" w:rsidRPr="00CB64CE">
        <w:rPr>
          <w:lang w:val="en-AU"/>
        </w:rPr>
        <w:t>g</w:t>
      </w:r>
      <w:r w:rsidRPr="00CB64CE">
        <w:rPr>
          <w:lang w:val="en-AU"/>
        </w:rPr>
        <w:t xml:space="preserve">rades) of </w:t>
      </w:r>
      <w:r w:rsidR="002C4C23" w:rsidRPr="00CB64CE">
        <w:rPr>
          <w:lang w:val="en-AU"/>
        </w:rPr>
        <w:t>p</w:t>
      </w:r>
      <w:r w:rsidRPr="00CB64CE">
        <w:rPr>
          <w:lang w:val="en-AU"/>
        </w:rPr>
        <w:t xml:space="preserve">atients with MCL in </w:t>
      </w:r>
      <w:r w:rsidR="00C60E1B" w:rsidRPr="00CB64CE">
        <w:rPr>
          <w:lang w:val="en-AU"/>
        </w:rPr>
        <w:t>ACE-</w:t>
      </w:r>
      <w:r w:rsidRPr="00CB64CE">
        <w:rPr>
          <w:lang w:val="en-AU"/>
        </w:rPr>
        <w:t>LY-004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2802"/>
        <w:gridCol w:w="3062"/>
      </w:tblGrid>
      <w:tr w:rsidR="00BD7E06" w:rsidRPr="00CB64CE" w14:paraId="25FB890E" w14:textId="77777777" w:rsidTr="005A6AF7">
        <w:trPr>
          <w:tblHeader/>
        </w:trPr>
        <w:tc>
          <w:tcPr>
            <w:tcW w:w="1955" w:type="pct"/>
            <w:vMerge w:val="restart"/>
            <w:shd w:val="clear" w:color="auto" w:fill="auto"/>
            <w:vAlign w:val="center"/>
          </w:tcPr>
          <w:p w14:paraId="534C2C12" w14:textId="77777777" w:rsidR="00BD7E06" w:rsidRPr="00CB64CE" w:rsidRDefault="00BD7E06" w:rsidP="002C4C23">
            <w:pPr>
              <w:pStyle w:val="TableHead"/>
              <w:jc w:val="left"/>
              <w:rPr>
                <w:lang w:val="en-AU"/>
              </w:rPr>
            </w:pPr>
            <w:r w:rsidRPr="00CB64CE">
              <w:rPr>
                <w:lang w:val="en-AU"/>
              </w:rPr>
              <w:t>Body System</w:t>
            </w:r>
          </w:p>
          <w:p w14:paraId="2C438CA7" w14:textId="77777777" w:rsidR="00BD7E06" w:rsidRPr="00CB64CE" w:rsidRDefault="00BD7E06" w:rsidP="002C4C23">
            <w:pPr>
              <w:pStyle w:val="TableHead"/>
              <w:jc w:val="left"/>
              <w:rPr>
                <w:lang w:val="en-AU"/>
              </w:rPr>
            </w:pPr>
            <w:r w:rsidRPr="00CB64CE">
              <w:rPr>
                <w:lang w:val="en-AU"/>
              </w:rPr>
              <w:t>Adverse Reactions</w:t>
            </w:r>
          </w:p>
        </w:tc>
        <w:tc>
          <w:tcPr>
            <w:tcW w:w="3045" w:type="pct"/>
            <w:gridSpan w:val="2"/>
            <w:shd w:val="clear" w:color="auto" w:fill="auto"/>
            <w:vAlign w:val="center"/>
          </w:tcPr>
          <w:p w14:paraId="36779B8A" w14:textId="77777777" w:rsidR="00BD7E06" w:rsidRPr="00CB64CE" w:rsidRDefault="00BD7E06" w:rsidP="00BD7E06">
            <w:pPr>
              <w:pStyle w:val="TableHead"/>
              <w:rPr>
                <w:lang w:val="en-AU"/>
              </w:rPr>
            </w:pPr>
            <w:r w:rsidRPr="00CB64CE">
              <w:rPr>
                <w:lang w:val="en-AU"/>
              </w:rPr>
              <w:t>CALQUENCE 100 mg twice daily</w:t>
            </w:r>
          </w:p>
          <w:p w14:paraId="2596D1CE" w14:textId="77777777" w:rsidR="00BD7E06" w:rsidRPr="00CB64CE" w:rsidRDefault="00BD7E06" w:rsidP="00BD7E06">
            <w:pPr>
              <w:pStyle w:val="TableHead"/>
              <w:rPr>
                <w:lang w:val="en-AU"/>
              </w:rPr>
            </w:pPr>
            <w:r w:rsidRPr="00CB64CE">
              <w:rPr>
                <w:lang w:val="en-AU"/>
              </w:rPr>
              <w:t>N=124</w:t>
            </w:r>
          </w:p>
        </w:tc>
      </w:tr>
      <w:tr w:rsidR="00BD7E06" w:rsidRPr="00CB64CE" w14:paraId="428DCCFB" w14:textId="77777777" w:rsidTr="005A6AF7">
        <w:trPr>
          <w:tblHeader/>
        </w:trPr>
        <w:tc>
          <w:tcPr>
            <w:tcW w:w="1955" w:type="pct"/>
            <w:vMerge/>
            <w:shd w:val="clear" w:color="auto" w:fill="auto"/>
            <w:vAlign w:val="center"/>
          </w:tcPr>
          <w:p w14:paraId="3DC5A0EC" w14:textId="77777777" w:rsidR="00BD7E06" w:rsidRPr="00CB64CE" w:rsidRDefault="00BD7E06" w:rsidP="00BD7E06">
            <w:pPr>
              <w:pStyle w:val="TableHead"/>
              <w:rPr>
                <w:lang w:val="en-AU"/>
              </w:rPr>
            </w:pPr>
          </w:p>
        </w:tc>
        <w:tc>
          <w:tcPr>
            <w:tcW w:w="1455" w:type="pct"/>
            <w:shd w:val="clear" w:color="auto" w:fill="auto"/>
            <w:vAlign w:val="center"/>
          </w:tcPr>
          <w:p w14:paraId="61BB5879" w14:textId="77777777" w:rsidR="00BD7E06" w:rsidRPr="00CB64CE" w:rsidRDefault="00BD7E06" w:rsidP="00BD7E06">
            <w:pPr>
              <w:pStyle w:val="TableHead"/>
              <w:rPr>
                <w:lang w:val="en-AU"/>
              </w:rPr>
            </w:pPr>
            <w:r w:rsidRPr="00CB64CE">
              <w:rPr>
                <w:lang w:val="en-AU"/>
              </w:rPr>
              <w:t>All Grades (%)</w:t>
            </w:r>
          </w:p>
        </w:tc>
        <w:tc>
          <w:tcPr>
            <w:tcW w:w="1590" w:type="pct"/>
            <w:shd w:val="clear" w:color="auto" w:fill="auto"/>
          </w:tcPr>
          <w:p w14:paraId="6B3DF285" w14:textId="77777777" w:rsidR="00BD7E06" w:rsidRPr="00CB64CE" w:rsidRDefault="00BD7E06" w:rsidP="00BD7E06">
            <w:pPr>
              <w:pStyle w:val="TableHead"/>
              <w:rPr>
                <w:lang w:val="en-AU"/>
              </w:rPr>
            </w:pPr>
            <w:r w:rsidRPr="00CB64CE">
              <w:rPr>
                <w:lang w:val="en-AU"/>
              </w:rPr>
              <w:t>Grade ≥ 3 (%)</w:t>
            </w:r>
          </w:p>
        </w:tc>
      </w:tr>
      <w:tr w:rsidR="00BD7E06" w:rsidRPr="00CB64CE" w14:paraId="1DEFEB03" w14:textId="77777777" w:rsidTr="005A6AF7">
        <w:tc>
          <w:tcPr>
            <w:tcW w:w="5000" w:type="pct"/>
            <w:gridSpan w:val="3"/>
            <w:shd w:val="clear" w:color="auto" w:fill="auto"/>
          </w:tcPr>
          <w:p w14:paraId="54FD8BFA" w14:textId="77777777" w:rsidR="00BD7E06" w:rsidRPr="00CB64CE" w:rsidRDefault="00BD7E06" w:rsidP="002C4C23">
            <w:pPr>
              <w:pStyle w:val="TableLeft"/>
              <w:rPr>
                <w:b/>
                <w:lang w:val="en-AU"/>
              </w:rPr>
            </w:pPr>
            <w:r w:rsidRPr="00CB64CE">
              <w:rPr>
                <w:b/>
                <w:lang w:val="en-AU"/>
              </w:rPr>
              <w:t>Nervous system disorders</w:t>
            </w:r>
          </w:p>
        </w:tc>
      </w:tr>
      <w:tr w:rsidR="00BD7E06" w:rsidRPr="00CB64CE" w14:paraId="229CE85B" w14:textId="77777777" w:rsidTr="005A6AF7">
        <w:tc>
          <w:tcPr>
            <w:tcW w:w="1955" w:type="pct"/>
            <w:shd w:val="clear" w:color="auto" w:fill="auto"/>
          </w:tcPr>
          <w:p w14:paraId="181788DD" w14:textId="77777777" w:rsidR="00BD7E06" w:rsidRPr="00CB64CE" w:rsidRDefault="00BD7E06" w:rsidP="002C4C23">
            <w:pPr>
              <w:pStyle w:val="TableLeft"/>
              <w:rPr>
                <w:lang w:val="en-AU"/>
              </w:rPr>
            </w:pPr>
            <w:r w:rsidRPr="00CB64CE">
              <w:rPr>
                <w:lang w:val="en-AU"/>
              </w:rPr>
              <w:t>Headache</w:t>
            </w:r>
          </w:p>
        </w:tc>
        <w:tc>
          <w:tcPr>
            <w:tcW w:w="1455" w:type="pct"/>
            <w:shd w:val="clear" w:color="auto" w:fill="auto"/>
            <w:vAlign w:val="center"/>
          </w:tcPr>
          <w:p w14:paraId="59EA57A8" w14:textId="77777777" w:rsidR="00BD7E06" w:rsidRPr="00CB64CE" w:rsidRDefault="00BD7E06" w:rsidP="002C4C23">
            <w:pPr>
              <w:pStyle w:val="TableCenter"/>
              <w:rPr>
                <w:lang w:val="en-AU"/>
              </w:rPr>
            </w:pPr>
            <w:r w:rsidRPr="00CB64CE">
              <w:rPr>
                <w:lang w:val="en-AU"/>
              </w:rPr>
              <w:t>39</w:t>
            </w:r>
          </w:p>
        </w:tc>
        <w:tc>
          <w:tcPr>
            <w:tcW w:w="1590" w:type="pct"/>
            <w:shd w:val="clear" w:color="auto" w:fill="auto"/>
            <w:vAlign w:val="center"/>
          </w:tcPr>
          <w:p w14:paraId="0E31ABEA" w14:textId="77777777" w:rsidR="00BD7E06" w:rsidRPr="00CB64CE" w:rsidRDefault="00BD7E06" w:rsidP="002C4C23">
            <w:pPr>
              <w:pStyle w:val="TableCenter"/>
              <w:rPr>
                <w:lang w:val="en-AU"/>
              </w:rPr>
            </w:pPr>
            <w:r w:rsidRPr="00CB64CE">
              <w:rPr>
                <w:lang w:val="en-AU"/>
              </w:rPr>
              <w:t>1.6</w:t>
            </w:r>
          </w:p>
        </w:tc>
      </w:tr>
      <w:tr w:rsidR="00BD7E06" w:rsidRPr="00CB64CE" w14:paraId="7C5A981F" w14:textId="77777777" w:rsidTr="005A6AF7">
        <w:tc>
          <w:tcPr>
            <w:tcW w:w="5000" w:type="pct"/>
            <w:gridSpan w:val="3"/>
            <w:shd w:val="clear" w:color="auto" w:fill="auto"/>
          </w:tcPr>
          <w:p w14:paraId="788AB54F" w14:textId="77777777" w:rsidR="00BD7E06" w:rsidRPr="00CB64CE" w:rsidRDefault="00BD7E06" w:rsidP="002C4C23">
            <w:pPr>
              <w:pStyle w:val="TableLeft"/>
              <w:rPr>
                <w:b/>
                <w:lang w:val="en-AU"/>
              </w:rPr>
            </w:pPr>
            <w:r w:rsidRPr="00CB64CE">
              <w:rPr>
                <w:b/>
                <w:lang w:val="en-AU"/>
              </w:rPr>
              <w:t>Gastrointestinal disorders</w:t>
            </w:r>
          </w:p>
        </w:tc>
      </w:tr>
      <w:tr w:rsidR="00BD7E06" w:rsidRPr="00CB64CE" w14:paraId="3A89D3D7" w14:textId="77777777" w:rsidTr="005A6AF7">
        <w:tc>
          <w:tcPr>
            <w:tcW w:w="1955" w:type="pct"/>
            <w:shd w:val="clear" w:color="auto" w:fill="auto"/>
          </w:tcPr>
          <w:p w14:paraId="3A8AEA5A" w14:textId="4894FF67" w:rsidR="00BD7E06" w:rsidRPr="00CB64CE" w:rsidRDefault="00BD7E06" w:rsidP="002C4C23">
            <w:pPr>
              <w:pStyle w:val="TableLeft"/>
              <w:rPr>
                <w:lang w:val="en-AU"/>
              </w:rPr>
            </w:pPr>
            <w:r w:rsidRPr="00CB64CE">
              <w:rPr>
                <w:lang w:val="en-AU"/>
              </w:rPr>
              <w:t>Diarrh</w:t>
            </w:r>
            <w:r w:rsidR="002C4C23" w:rsidRPr="00CB64CE">
              <w:rPr>
                <w:lang w:val="en-AU"/>
              </w:rPr>
              <w:t>o</w:t>
            </w:r>
            <w:r w:rsidRPr="00CB64CE">
              <w:rPr>
                <w:lang w:val="en-AU"/>
              </w:rPr>
              <w:t>ea</w:t>
            </w:r>
          </w:p>
        </w:tc>
        <w:tc>
          <w:tcPr>
            <w:tcW w:w="1455" w:type="pct"/>
            <w:shd w:val="clear" w:color="auto" w:fill="auto"/>
          </w:tcPr>
          <w:p w14:paraId="7E4D59BB" w14:textId="77777777" w:rsidR="00BD7E06" w:rsidRPr="00CB64CE" w:rsidRDefault="00BD7E06" w:rsidP="002C4C23">
            <w:pPr>
              <w:pStyle w:val="TableCenter"/>
              <w:rPr>
                <w:lang w:val="en-AU"/>
              </w:rPr>
            </w:pPr>
            <w:r w:rsidRPr="00CB64CE">
              <w:rPr>
                <w:lang w:val="en-AU"/>
              </w:rPr>
              <w:t>31</w:t>
            </w:r>
          </w:p>
        </w:tc>
        <w:tc>
          <w:tcPr>
            <w:tcW w:w="1590" w:type="pct"/>
            <w:shd w:val="clear" w:color="auto" w:fill="auto"/>
          </w:tcPr>
          <w:p w14:paraId="78784F5E" w14:textId="77777777" w:rsidR="00BD7E06" w:rsidRPr="00CB64CE" w:rsidRDefault="00BD7E06" w:rsidP="002C4C23">
            <w:pPr>
              <w:pStyle w:val="TableCenter"/>
              <w:rPr>
                <w:lang w:val="en-AU"/>
              </w:rPr>
            </w:pPr>
            <w:r w:rsidRPr="00CB64CE">
              <w:rPr>
                <w:lang w:val="en-AU"/>
              </w:rPr>
              <w:t>3.2</w:t>
            </w:r>
          </w:p>
        </w:tc>
      </w:tr>
      <w:tr w:rsidR="00BD7E06" w:rsidRPr="00CB64CE" w14:paraId="4656FF09" w14:textId="77777777" w:rsidTr="005A6AF7">
        <w:tc>
          <w:tcPr>
            <w:tcW w:w="1955" w:type="pct"/>
            <w:shd w:val="clear" w:color="auto" w:fill="auto"/>
          </w:tcPr>
          <w:p w14:paraId="5490C156" w14:textId="77777777" w:rsidR="00BD7E06" w:rsidRPr="00CB64CE" w:rsidRDefault="00BD7E06" w:rsidP="002C4C23">
            <w:pPr>
              <w:pStyle w:val="TableLeft"/>
              <w:rPr>
                <w:lang w:val="en-AU"/>
              </w:rPr>
            </w:pPr>
            <w:r w:rsidRPr="00CB64CE">
              <w:rPr>
                <w:lang w:val="en-AU"/>
              </w:rPr>
              <w:t>Nausea</w:t>
            </w:r>
          </w:p>
        </w:tc>
        <w:tc>
          <w:tcPr>
            <w:tcW w:w="1455" w:type="pct"/>
            <w:shd w:val="clear" w:color="auto" w:fill="auto"/>
          </w:tcPr>
          <w:p w14:paraId="5055DF1A" w14:textId="77777777" w:rsidR="00BD7E06" w:rsidRPr="00CB64CE" w:rsidRDefault="00BD7E06" w:rsidP="002C4C23">
            <w:pPr>
              <w:pStyle w:val="TableCenter"/>
              <w:rPr>
                <w:lang w:val="en-AU"/>
              </w:rPr>
            </w:pPr>
            <w:r w:rsidRPr="00CB64CE">
              <w:rPr>
                <w:lang w:val="en-AU"/>
              </w:rPr>
              <w:t>19</w:t>
            </w:r>
          </w:p>
        </w:tc>
        <w:tc>
          <w:tcPr>
            <w:tcW w:w="1590" w:type="pct"/>
            <w:shd w:val="clear" w:color="auto" w:fill="auto"/>
          </w:tcPr>
          <w:p w14:paraId="095CC0A4" w14:textId="77777777" w:rsidR="00BD7E06" w:rsidRPr="00CB64CE" w:rsidRDefault="00BD7E06" w:rsidP="002C4C23">
            <w:pPr>
              <w:pStyle w:val="TableCenter"/>
              <w:rPr>
                <w:lang w:val="en-AU"/>
              </w:rPr>
            </w:pPr>
            <w:r w:rsidRPr="00CB64CE">
              <w:rPr>
                <w:lang w:val="en-AU"/>
              </w:rPr>
              <w:t>0.8</w:t>
            </w:r>
          </w:p>
        </w:tc>
      </w:tr>
      <w:tr w:rsidR="00BD7E06" w:rsidRPr="00CB64CE" w14:paraId="04BDAEA6" w14:textId="77777777" w:rsidTr="005A6AF7">
        <w:tc>
          <w:tcPr>
            <w:tcW w:w="1955" w:type="pct"/>
            <w:shd w:val="clear" w:color="auto" w:fill="auto"/>
          </w:tcPr>
          <w:p w14:paraId="1282E399" w14:textId="77777777" w:rsidR="00BD7E06" w:rsidRPr="00CB64CE" w:rsidRDefault="00BD7E06" w:rsidP="002C4C23">
            <w:pPr>
              <w:pStyle w:val="TableLeft"/>
              <w:rPr>
                <w:lang w:val="en-AU"/>
              </w:rPr>
            </w:pPr>
            <w:r w:rsidRPr="00CB64CE">
              <w:rPr>
                <w:lang w:val="en-AU"/>
              </w:rPr>
              <w:t>Abdominal pain</w:t>
            </w:r>
          </w:p>
        </w:tc>
        <w:tc>
          <w:tcPr>
            <w:tcW w:w="1455" w:type="pct"/>
            <w:shd w:val="clear" w:color="auto" w:fill="auto"/>
          </w:tcPr>
          <w:p w14:paraId="42622A91" w14:textId="77777777" w:rsidR="00BD7E06" w:rsidRPr="00CB64CE" w:rsidRDefault="00BD7E06" w:rsidP="002C4C23">
            <w:pPr>
              <w:pStyle w:val="TableCenter"/>
              <w:rPr>
                <w:lang w:val="en-AU"/>
              </w:rPr>
            </w:pPr>
            <w:r w:rsidRPr="00CB64CE">
              <w:rPr>
                <w:lang w:val="en-AU"/>
              </w:rPr>
              <w:t>15</w:t>
            </w:r>
          </w:p>
        </w:tc>
        <w:tc>
          <w:tcPr>
            <w:tcW w:w="1590" w:type="pct"/>
            <w:shd w:val="clear" w:color="auto" w:fill="auto"/>
          </w:tcPr>
          <w:p w14:paraId="4B07C92D" w14:textId="77777777" w:rsidR="00BD7E06" w:rsidRPr="00CB64CE" w:rsidRDefault="00BD7E06" w:rsidP="002C4C23">
            <w:pPr>
              <w:pStyle w:val="TableCenter"/>
              <w:rPr>
                <w:lang w:val="en-AU"/>
              </w:rPr>
            </w:pPr>
            <w:r w:rsidRPr="00CB64CE">
              <w:rPr>
                <w:lang w:val="en-AU"/>
              </w:rPr>
              <w:t>1.6</w:t>
            </w:r>
          </w:p>
        </w:tc>
      </w:tr>
      <w:tr w:rsidR="00BD7E06" w:rsidRPr="00CB64CE" w14:paraId="0FC9B79B" w14:textId="77777777" w:rsidTr="005A6AF7">
        <w:tc>
          <w:tcPr>
            <w:tcW w:w="1955" w:type="pct"/>
            <w:shd w:val="clear" w:color="auto" w:fill="auto"/>
          </w:tcPr>
          <w:p w14:paraId="7BE1CDF9" w14:textId="77777777" w:rsidR="00BD7E06" w:rsidRPr="00CB64CE" w:rsidRDefault="00BD7E06" w:rsidP="002C4C23">
            <w:pPr>
              <w:pStyle w:val="TableLeft"/>
              <w:rPr>
                <w:lang w:val="en-AU"/>
              </w:rPr>
            </w:pPr>
            <w:r w:rsidRPr="00CB64CE">
              <w:rPr>
                <w:lang w:val="en-AU"/>
              </w:rPr>
              <w:t>Constipation</w:t>
            </w:r>
          </w:p>
        </w:tc>
        <w:tc>
          <w:tcPr>
            <w:tcW w:w="1455" w:type="pct"/>
            <w:shd w:val="clear" w:color="auto" w:fill="auto"/>
          </w:tcPr>
          <w:p w14:paraId="20A7C817" w14:textId="77777777" w:rsidR="00BD7E06" w:rsidRPr="00CB64CE" w:rsidRDefault="00BD7E06" w:rsidP="002C4C23">
            <w:pPr>
              <w:pStyle w:val="TableCenter"/>
              <w:rPr>
                <w:lang w:val="en-AU"/>
              </w:rPr>
            </w:pPr>
            <w:r w:rsidRPr="00CB64CE">
              <w:rPr>
                <w:lang w:val="en-AU"/>
              </w:rPr>
              <w:t>15</w:t>
            </w:r>
          </w:p>
        </w:tc>
        <w:tc>
          <w:tcPr>
            <w:tcW w:w="1590" w:type="pct"/>
            <w:shd w:val="clear" w:color="auto" w:fill="auto"/>
          </w:tcPr>
          <w:p w14:paraId="5FB3CCEE" w14:textId="77777777" w:rsidR="00BD7E06" w:rsidRPr="00CB64CE" w:rsidRDefault="00BD7E06" w:rsidP="002C4C23">
            <w:pPr>
              <w:pStyle w:val="TableCenter"/>
              <w:rPr>
                <w:lang w:val="en-AU"/>
              </w:rPr>
            </w:pPr>
            <w:r w:rsidRPr="00CB64CE">
              <w:rPr>
                <w:lang w:val="en-AU"/>
              </w:rPr>
              <w:t>-</w:t>
            </w:r>
          </w:p>
        </w:tc>
      </w:tr>
      <w:tr w:rsidR="00BD7E06" w:rsidRPr="00CB64CE" w14:paraId="18F4CC52" w14:textId="77777777" w:rsidTr="005A6AF7">
        <w:tc>
          <w:tcPr>
            <w:tcW w:w="1955" w:type="pct"/>
            <w:shd w:val="clear" w:color="auto" w:fill="auto"/>
          </w:tcPr>
          <w:p w14:paraId="4895736D" w14:textId="77777777" w:rsidR="00BD7E06" w:rsidRPr="00CB64CE" w:rsidRDefault="00BD7E06" w:rsidP="002C4C23">
            <w:pPr>
              <w:pStyle w:val="TableLeft"/>
              <w:rPr>
                <w:lang w:val="en-AU"/>
              </w:rPr>
            </w:pPr>
            <w:r w:rsidRPr="00CB64CE">
              <w:rPr>
                <w:lang w:val="en-AU"/>
              </w:rPr>
              <w:lastRenderedPageBreak/>
              <w:t>Vomiting</w:t>
            </w:r>
          </w:p>
        </w:tc>
        <w:tc>
          <w:tcPr>
            <w:tcW w:w="1455" w:type="pct"/>
            <w:shd w:val="clear" w:color="auto" w:fill="auto"/>
          </w:tcPr>
          <w:p w14:paraId="2879E654" w14:textId="77777777" w:rsidR="00BD7E06" w:rsidRPr="00CB64CE" w:rsidRDefault="00BD7E06" w:rsidP="002C4C23">
            <w:pPr>
              <w:pStyle w:val="TableCenter"/>
              <w:rPr>
                <w:lang w:val="en-AU"/>
              </w:rPr>
            </w:pPr>
            <w:r w:rsidRPr="00CB64CE">
              <w:rPr>
                <w:lang w:val="en-AU"/>
              </w:rPr>
              <w:t>13</w:t>
            </w:r>
          </w:p>
        </w:tc>
        <w:tc>
          <w:tcPr>
            <w:tcW w:w="1590" w:type="pct"/>
            <w:shd w:val="clear" w:color="auto" w:fill="auto"/>
          </w:tcPr>
          <w:p w14:paraId="6785F42A" w14:textId="77777777" w:rsidR="00BD7E06" w:rsidRPr="00CB64CE" w:rsidRDefault="00BD7E06" w:rsidP="002C4C23">
            <w:pPr>
              <w:pStyle w:val="TableCenter"/>
              <w:rPr>
                <w:lang w:val="en-AU"/>
              </w:rPr>
            </w:pPr>
            <w:r w:rsidRPr="00CB64CE">
              <w:rPr>
                <w:lang w:val="en-AU"/>
              </w:rPr>
              <w:t>1.6</w:t>
            </w:r>
          </w:p>
        </w:tc>
      </w:tr>
      <w:tr w:rsidR="00BD7E06" w:rsidRPr="00CB64CE" w14:paraId="32F8AFCD" w14:textId="77777777" w:rsidTr="005A6AF7">
        <w:tc>
          <w:tcPr>
            <w:tcW w:w="5000" w:type="pct"/>
            <w:gridSpan w:val="3"/>
            <w:shd w:val="clear" w:color="auto" w:fill="auto"/>
            <w:vAlign w:val="center"/>
          </w:tcPr>
          <w:p w14:paraId="024F3032" w14:textId="77777777" w:rsidR="00BD7E06" w:rsidRPr="00CB64CE" w:rsidRDefault="00BD7E06" w:rsidP="002C4C23">
            <w:pPr>
              <w:pStyle w:val="TableLeft"/>
              <w:rPr>
                <w:b/>
                <w:lang w:val="en-AU"/>
              </w:rPr>
            </w:pPr>
            <w:r w:rsidRPr="00CB64CE">
              <w:rPr>
                <w:b/>
                <w:lang w:val="en-AU"/>
              </w:rPr>
              <w:t>General Disorders</w:t>
            </w:r>
          </w:p>
        </w:tc>
      </w:tr>
      <w:tr w:rsidR="00BD7E06" w:rsidRPr="00CB64CE" w14:paraId="50093EC3" w14:textId="77777777" w:rsidTr="005A6AF7">
        <w:tc>
          <w:tcPr>
            <w:tcW w:w="1955" w:type="pct"/>
            <w:shd w:val="clear" w:color="auto" w:fill="auto"/>
          </w:tcPr>
          <w:p w14:paraId="097D29D0" w14:textId="77777777" w:rsidR="00BD7E06" w:rsidRPr="00CB64CE" w:rsidRDefault="00BD7E06" w:rsidP="002C4C23">
            <w:pPr>
              <w:pStyle w:val="TableLeft"/>
              <w:rPr>
                <w:lang w:val="en-AU"/>
              </w:rPr>
            </w:pPr>
            <w:r w:rsidRPr="00CB64CE">
              <w:rPr>
                <w:lang w:val="en-AU"/>
              </w:rPr>
              <w:t>Fatigue</w:t>
            </w:r>
          </w:p>
        </w:tc>
        <w:tc>
          <w:tcPr>
            <w:tcW w:w="1455" w:type="pct"/>
            <w:shd w:val="clear" w:color="auto" w:fill="auto"/>
          </w:tcPr>
          <w:p w14:paraId="21B9CEFB" w14:textId="77777777" w:rsidR="00BD7E06" w:rsidRPr="00CB64CE" w:rsidRDefault="00BD7E06" w:rsidP="002C4C23">
            <w:pPr>
              <w:pStyle w:val="TableCenter"/>
              <w:rPr>
                <w:lang w:val="en-AU"/>
              </w:rPr>
            </w:pPr>
            <w:r w:rsidRPr="00CB64CE">
              <w:rPr>
                <w:lang w:val="en-AU"/>
              </w:rPr>
              <w:t>28</w:t>
            </w:r>
          </w:p>
        </w:tc>
        <w:tc>
          <w:tcPr>
            <w:tcW w:w="1590" w:type="pct"/>
            <w:shd w:val="clear" w:color="auto" w:fill="auto"/>
          </w:tcPr>
          <w:p w14:paraId="7046326C" w14:textId="77777777" w:rsidR="00BD7E06" w:rsidRPr="00CB64CE" w:rsidRDefault="00BD7E06" w:rsidP="002C4C23">
            <w:pPr>
              <w:pStyle w:val="TableCenter"/>
              <w:rPr>
                <w:lang w:val="en-AU"/>
              </w:rPr>
            </w:pPr>
            <w:r w:rsidRPr="00CB64CE">
              <w:rPr>
                <w:lang w:val="en-AU"/>
              </w:rPr>
              <w:t>0.8</w:t>
            </w:r>
          </w:p>
        </w:tc>
      </w:tr>
      <w:tr w:rsidR="00BD7E06" w:rsidRPr="00CB64CE" w14:paraId="24DB149C" w14:textId="77777777" w:rsidTr="005A6AF7">
        <w:tc>
          <w:tcPr>
            <w:tcW w:w="5000" w:type="pct"/>
            <w:gridSpan w:val="3"/>
            <w:shd w:val="clear" w:color="auto" w:fill="auto"/>
            <w:vAlign w:val="center"/>
          </w:tcPr>
          <w:p w14:paraId="0DB99D7A" w14:textId="77777777" w:rsidR="00BD7E06" w:rsidRPr="00CB64CE" w:rsidRDefault="00BD7E06" w:rsidP="002C4C23">
            <w:pPr>
              <w:pStyle w:val="TableLeft"/>
              <w:rPr>
                <w:b/>
                <w:lang w:val="en-AU"/>
              </w:rPr>
            </w:pPr>
            <w:r w:rsidRPr="00CB64CE">
              <w:rPr>
                <w:b/>
                <w:lang w:val="en-AU"/>
              </w:rPr>
              <w:t>Musculoskeletal and connective tissue disorders</w:t>
            </w:r>
          </w:p>
        </w:tc>
      </w:tr>
      <w:tr w:rsidR="00BD7E06" w:rsidRPr="00CB64CE" w14:paraId="6C22D02D" w14:textId="77777777" w:rsidTr="005A6AF7">
        <w:tc>
          <w:tcPr>
            <w:tcW w:w="1955" w:type="pct"/>
            <w:shd w:val="clear" w:color="auto" w:fill="auto"/>
          </w:tcPr>
          <w:p w14:paraId="03B25C7F" w14:textId="77777777" w:rsidR="00BD7E06" w:rsidRPr="00CB64CE" w:rsidRDefault="00BD7E06" w:rsidP="002C4C23">
            <w:pPr>
              <w:pStyle w:val="TableLeft"/>
              <w:rPr>
                <w:lang w:val="en-AU"/>
              </w:rPr>
            </w:pPr>
            <w:r w:rsidRPr="00CB64CE">
              <w:rPr>
                <w:lang w:val="en-AU"/>
              </w:rPr>
              <w:t>Myalgia</w:t>
            </w:r>
          </w:p>
        </w:tc>
        <w:tc>
          <w:tcPr>
            <w:tcW w:w="1455" w:type="pct"/>
            <w:shd w:val="clear" w:color="auto" w:fill="auto"/>
          </w:tcPr>
          <w:p w14:paraId="6C9333F9" w14:textId="77777777" w:rsidR="00BD7E06" w:rsidRPr="00CB64CE" w:rsidRDefault="00BD7E06" w:rsidP="002C4C23">
            <w:pPr>
              <w:pStyle w:val="TableCenter"/>
              <w:rPr>
                <w:lang w:val="en-AU"/>
              </w:rPr>
            </w:pPr>
            <w:r w:rsidRPr="00CB64CE">
              <w:rPr>
                <w:lang w:val="en-AU"/>
              </w:rPr>
              <w:t>21</w:t>
            </w:r>
          </w:p>
        </w:tc>
        <w:tc>
          <w:tcPr>
            <w:tcW w:w="1590" w:type="pct"/>
            <w:shd w:val="clear" w:color="auto" w:fill="auto"/>
          </w:tcPr>
          <w:p w14:paraId="663DCE5E" w14:textId="77777777" w:rsidR="00BD7E06" w:rsidRPr="00CB64CE" w:rsidRDefault="00BD7E06" w:rsidP="002C4C23">
            <w:pPr>
              <w:pStyle w:val="TableCenter"/>
              <w:rPr>
                <w:lang w:val="en-AU"/>
              </w:rPr>
            </w:pPr>
            <w:r w:rsidRPr="00CB64CE">
              <w:rPr>
                <w:lang w:val="en-AU"/>
              </w:rPr>
              <w:t>0.8</w:t>
            </w:r>
          </w:p>
        </w:tc>
      </w:tr>
      <w:tr w:rsidR="00BD7E06" w:rsidRPr="00CB64CE" w14:paraId="27790ACD" w14:textId="77777777" w:rsidTr="005A6AF7">
        <w:tc>
          <w:tcPr>
            <w:tcW w:w="5000" w:type="pct"/>
            <w:gridSpan w:val="3"/>
            <w:shd w:val="clear" w:color="auto" w:fill="auto"/>
          </w:tcPr>
          <w:p w14:paraId="0E993AFF" w14:textId="77777777" w:rsidR="00BD7E06" w:rsidRPr="00CB64CE" w:rsidRDefault="00BD7E06" w:rsidP="002C4C23">
            <w:pPr>
              <w:pStyle w:val="TableLeft"/>
              <w:rPr>
                <w:b/>
                <w:lang w:val="en-AU"/>
              </w:rPr>
            </w:pPr>
            <w:r w:rsidRPr="00CB64CE">
              <w:rPr>
                <w:b/>
                <w:lang w:val="en-AU"/>
              </w:rPr>
              <w:t>Skin &amp; subcutaneous tissue disorders</w:t>
            </w:r>
          </w:p>
        </w:tc>
      </w:tr>
      <w:tr w:rsidR="00BD7E06" w:rsidRPr="00CB64CE" w14:paraId="64CEB1B2" w14:textId="77777777" w:rsidTr="005A6AF7">
        <w:tc>
          <w:tcPr>
            <w:tcW w:w="1955" w:type="pct"/>
            <w:shd w:val="clear" w:color="auto" w:fill="auto"/>
          </w:tcPr>
          <w:p w14:paraId="69A01CDB" w14:textId="77777777" w:rsidR="00BD7E06" w:rsidRPr="00CB64CE" w:rsidRDefault="00BD7E06" w:rsidP="002C4C23">
            <w:pPr>
              <w:pStyle w:val="TableLeft"/>
              <w:rPr>
                <w:lang w:val="en-AU"/>
              </w:rPr>
            </w:pPr>
            <w:r w:rsidRPr="00CB64CE">
              <w:rPr>
                <w:lang w:val="en-AU"/>
              </w:rPr>
              <w:t>Bruising</w:t>
            </w:r>
            <w:r w:rsidRPr="00CB64CE">
              <w:rPr>
                <w:vertAlign w:val="superscript"/>
                <w:lang w:val="en-AU"/>
              </w:rPr>
              <w:t>†</w:t>
            </w:r>
          </w:p>
        </w:tc>
        <w:tc>
          <w:tcPr>
            <w:tcW w:w="1455" w:type="pct"/>
            <w:shd w:val="clear" w:color="auto" w:fill="auto"/>
          </w:tcPr>
          <w:p w14:paraId="3E7FFB37" w14:textId="77777777" w:rsidR="00BD7E06" w:rsidRPr="00CB64CE" w:rsidRDefault="00BD7E06" w:rsidP="002C4C23">
            <w:pPr>
              <w:pStyle w:val="TableCenter"/>
              <w:rPr>
                <w:lang w:val="en-AU"/>
              </w:rPr>
            </w:pPr>
            <w:r w:rsidRPr="00CB64CE">
              <w:rPr>
                <w:lang w:val="en-AU"/>
              </w:rPr>
              <w:t>21</w:t>
            </w:r>
          </w:p>
        </w:tc>
        <w:tc>
          <w:tcPr>
            <w:tcW w:w="1590" w:type="pct"/>
            <w:shd w:val="clear" w:color="auto" w:fill="auto"/>
          </w:tcPr>
          <w:p w14:paraId="4ED537E8" w14:textId="77777777" w:rsidR="00BD7E06" w:rsidRPr="00CB64CE" w:rsidRDefault="00BD7E06" w:rsidP="002C4C23">
            <w:pPr>
              <w:pStyle w:val="TableCenter"/>
              <w:rPr>
                <w:lang w:val="en-AU"/>
              </w:rPr>
            </w:pPr>
            <w:r w:rsidRPr="00CB64CE">
              <w:rPr>
                <w:lang w:val="en-AU"/>
              </w:rPr>
              <w:t>-</w:t>
            </w:r>
          </w:p>
        </w:tc>
      </w:tr>
      <w:tr w:rsidR="00BD7E06" w:rsidRPr="00CB64CE" w14:paraId="260EBB0A" w14:textId="77777777" w:rsidTr="005A6AF7">
        <w:tc>
          <w:tcPr>
            <w:tcW w:w="1955" w:type="pct"/>
            <w:shd w:val="clear" w:color="auto" w:fill="auto"/>
          </w:tcPr>
          <w:p w14:paraId="6883E183" w14:textId="77777777" w:rsidR="00BD7E06" w:rsidRPr="00CB64CE" w:rsidRDefault="00BD7E06" w:rsidP="002C4C23">
            <w:pPr>
              <w:pStyle w:val="TableLeft"/>
              <w:rPr>
                <w:lang w:val="en-AU"/>
              </w:rPr>
            </w:pPr>
            <w:r w:rsidRPr="00CB64CE">
              <w:rPr>
                <w:lang w:val="en-AU"/>
              </w:rPr>
              <w:t>Rash</w:t>
            </w:r>
            <w:r w:rsidRPr="00CB64CE">
              <w:rPr>
                <w:vertAlign w:val="superscript"/>
                <w:lang w:val="en-AU"/>
              </w:rPr>
              <w:t>†</w:t>
            </w:r>
          </w:p>
        </w:tc>
        <w:tc>
          <w:tcPr>
            <w:tcW w:w="1455" w:type="pct"/>
            <w:shd w:val="clear" w:color="auto" w:fill="auto"/>
          </w:tcPr>
          <w:p w14:paraId="266F555A" w14:textId="77777777" w:rsidR="00BD7E06" w:rsidRPr="00CB64CE" w:rsidRDefault="00BD7E06" w:rsidP="002C4C23">
            <w:pPr>
              <w:pStyle w:val="TableCenter"/>
              <w:rPr>
                <w:lang w:val="en-AU"/>
              </w:rPr>
            </w:pPr>
            <w:r w:rsidRPr="00CB64CE">
              <w:rPr>
                <w:lang w:val="en-AU"/>
              </w:rPr>
              <w:t>18</w:t>
            </w:r>
          </w:p>
        </w:tc>
        <w:tc>
          <w:tcPr>
            <w:tcW w:w="1590" w:type="pct"/>
            <w:shd w:val="clear" w:color="auto" w:fill="auto"/>
          </w:tcPr>
          <w:p w14:paraId="182A33B7" w14:textId="77777777" w:rsidR="00BD7E06" w:rsidRPr="00CB64CE" w:rsidRDefault="00BD7E06" w:rsidP="002C4C23">
            <w:pPr>
              <w:pStyle w:val="TableCenter"/>
              <w:rPr>
                <w:lang w:val="en-AU"/>
              </w:rPr>
            </w:pPr>
            <w:r w:rsidRPr="00CB64CE">
              <w:rPr>
                <w:lang w:val="en-AU"/>
              </w:rPr>
              <w:t>0.8</w:t>
            </w:r>
          </w:p>
        </w:tc>
      </w:tr>
      <w:tr w:rsidR="00BD7E06" w:rsidRPr="00CB64CE" w14:paraId="541A5EEF" w14:textId="77777777" w:rsidTr="005A6AF7">
        <w:tc>
          <w:tcPr>
            <w:tcW w:w="5000" w:type="pct"/>
            <w:gridSpan w:val="3"/>
            <w:shd w:val="clear" w:color="auto" w:fill="auto"/>
          </w:tcPr>
          <w:p w14:paraId="1E2A3405" w14:textId="77777777" w:rsidR="00BD7E06" w:rsidRPr="00CB64CE" w:rsidRDefault="00BD7E06" w:rsidP="002C4C23">
            <w:pPr>
              <w:pStyle w:val="TableLeft"/>
              <w:rPr>
                <w:b/>
                <w:lang w:val="en-AU"/>
              </w:rPr>
            </w:pPr>
            <w:r w:rsidRPr="00CB64CE">
              <w:rPr>
                <w:b/>
                <w:lang w:val="en-AU"/>
              </w:rPr>
              <w:t>Vascular disorders</w:t>
            </w:r>
          </w:p>
        </w:tc>
      </w:tr>
      <w:tr w:rsidR="00BD7E06" w:rsidRPr="00CB64CE" w14:paraId="1DEA8F91" w14:textId="77777777" w:rsidTr="005A6AF7">
        <w:tc>
          <w:tcPr>
            <w:tcW w:w="1955" w:type="pct"/>
            <w:shd w:val="clear" w:color="auto" w:fill="auto"/>
          </w:tcPr>
          <w:p w14:paraId="12B8DCBB" w14:textId="64F3F756" w:rsidR="00BD7E06" w:rsidRPr="00CB64CE" w:rsidRDefault="00BD7E06" w:rsidP="002C4C23">
            <w:pPr>
              <w:pStyle w:val="TableLeft"/>
              <w:rPr>
                <w:lang w:val="en-AU"/>
              </w:rPr>
            </w:pPr>
            <w:r w:rsidRPr="00CB64CE">
              <w:rPr>
                <w:lang w:val="en-AU"/>
              </w:rPr>
              <w:t>H</w:t>
            </w:r>
            <w:r w:rsidR="002C4C23" w:rsidRPr="00CB64CE">
              <w:rPr>
                <w:lang w:val="en-AU"/>
              </w:rPr>
              <w:t>a</w:t>
            </w:r>
            <w:r w:rsidRPr="00CB64CE">
              <w:rPr>
                <w:lang w:val="en-AU"/>
              </w:rPr>
              <w:t>emorrhage/H</w:t>
            </w:r>
            <w:r w:rsidR="002C4C23" w:rsidRPr="00CB64CE">
              <w:rPr>
                <w:lang w:val="en-AU"/>
              </w:rPr>
              <w:t>a</w:t>
            </w:r>
            <w:r w:rsidRPr="00CB64CE">
              <w:rPr>
                <w:lang w:val="en-AU"/>
              </w:rPr>
              <w:t>ematoma</w:t>
            </w:r>
            <w:r w:rsidRPr="00CB64CE">
              <w:rPr>
                <w:vertAlign w:val="superscript"/>
                <w:lang w:val="en-AU"/>
              </w:rPr>
              <w:t>†</w:t>
            </w:r>
          </w:p>
        </w:tc>
        <w:tc>
          <w:tcPr>
            <w:tcW w:w="1455" w:type="pct"/>
            <w:shd w:val="clear" w:color="auto" w:fill="auto"/>
          </w:tcPr>
          <w:p w14:paraId="58F8A69B" w14:textId="77777777" w:rsidR="00BD7E06" w:rsidRPr="00CB64CE" w:rsidRDefault="00BD7E06" w:rsidP="002C4C23">
            <w:pPr>
              <w:pStyle w:val="TableCenter"/>
              <w:rPr>
                <w:lang w:val="en-AU"/>
              </w:rPr>
            </w:pPr>
            <w:r w:rsidRPr="00CB64CE">
              <w:rPr>
                <w:lang w:val="en-AU"/>
              </w:rPr>
              <w:t>8</w:t>
            </w:r>
          </w:p>
        </w:tc>
        <w:tc>
          <w:tcPr>
            <w:tcW w:w="1590" w:type="pct"/>
            <w:shd w:val="clear" w:color="auto" w:fill="auto"/>
          </w:tcPr>
          <w:p w14:paraId="561C7CBF" w14:textId="77777777" w:rsidR="00BD7E06" w:rsidRPr="00CB64CE" w:rsidRDefault="00BD7E06" w:rsidP="002C4C23">
            <w:pPr>
              <w:pStyle w:val="TableCenter"/>
              <w:rPr>
                <w:lang w:val="en-AU"/>
              </w:rPr>
            </w:pPr>
            <w:r w:rsidRPr="00CB64CE">
              <w:rPr>
                <w:lang w:val="en-AU"/>
              </w:rPr>
              <w:t>0.8</w:t>
            </w:r>
          </w:p>
        </w:tc>
      </w:tr>
      <w:tr w:rsidR="00BD7E06" w:rsidRPr="00CB64CE" w14:paraId="718E0E52" w14:textId="77777777" w:rsidTr="005A6AF7">
        <w:tc>
          <w:tcPr>
            <w:tcW w:w="5000" w:type="pct"/>
            <w:gridSpan w:val="3"/>
            <w:shd w:val="clear" w:color="auto" w:fill="auto"/>
          </w:tcPr>
          <w:p w14:paraId="4A9281E5" w14:textId="77777777" w:rsidR="00BD7E06" w:rsidRPr="00CB64CE" w:rsidRDefault="00BD7E06" w:rsidP="002C4C23">
            <w:pPr>
              <w:pStyle w:val="TableLeft"/>
              <w:rPr>
                <w:b/>
                <w:lang w:val="en-AU"/>
              </w:rPr>
            </w:pPr>
            <w:r w:rsidRPr="00CB64CE">
              <w:rPr>
                <w:b/>
                <w:lang w:val="en-AU"/>
              </w:rPr>
              <w:t>Respiratory, thoracic &amp; mediastinal disorders</w:t>
            </w:r>
          </w:p>
        </w:tc>
      </w:tr>
      <w:tr w:rsidR="00BD7E06" w:rsidRPr="00CB64CE" w14:paraId="48DA73E0" w14:textId="77777777" w:rsidTr="005A6AF7">
        <w:tc>
          <w:tcPr>
            <w:tcW w:w="1955" w:type="pct"/>
            <w:shd w:val="clear" w:color="auto" w:fill="auto"/>
          </w:tcPr>
          <w:p w14:paraId="71C861B6" w14:textId="77777777" w:rsidR="00BD7E06" w:rsidRPr="00CB64CE" w:rsidRDefault="00BD7E06" w:rsidP="002C4C23">
            <w:pPr>
              <w:pStyle w:val="TableLeft"/>
              <w:rPr>
                <w:lang w:val="en-AU"/>
              </w:rPr>
            </w:pPr>
            <w:r w:rsidRPr="00CB64CE">
              <w:rPr>
                <w:lang w:val="en-AU"/>
              </w:rPr>
              <w:t>Epistaxis</w:t>
            </w:r>
          </w:p>
        </w:tc>
        <w:tc>
          <w:tcPr>
            <w:tcW w:w="1455" w:type="pct"/>
            <w:shd w:val="clear" w:color="auto" w:fill="auto"/>
          </w:tcPr>
          <w:p w14:paraId="2F59821F" w14:textId="77777777" w:rsidR="00BD7E06" w:rsidRPr="00CB64CE" w:rsidRDefault="00BD7E06" w:rsidP="002C4C23">
            <w:pPr>
              <w:pStyle w:val="TableCenter"/>
              <w:rPr>
                <w:lang w:val="en-AU"/>
              </w:rPr>
            </w:pPr>
            <w:r w:rsidRPr="00CB64CE">
              <w:rPr>
                <w:lang w:val="en-AU"/>
              </w:rPr>
              <w:t>6</w:t>
            </w:r>
          </w:p>
        </w:tc>
        <w:tc>
          <w:tcPr>
            <w:tcW w:w="1590" w:type="pct"/>
            <w:shd w:val="clear" w:color="auto" w:fill="auto"/>
          </w:tcPr>
          <w:p w14:paraId="17E1B49C" w14:textId="77777777" w:rsidR="00BD7E06" w:rsidRPr="00CB64CE" w:rsidRDefault="00BD7E06" w:rsidP="002C4C23">
            <w:pPr>
              <w:pStyle w:val="TableCenter"/>
              <w:rPr>
                <w:lang w:val="en-AU"/>
              </w:rPr>
            </w:pPr>
            <w:r w:rsidRPr="00CB64CE">
              <w:rPr>
                <w:lang w:val="en-AU"/>
              </w:rPr>
              <w:t>-</w:t>
            </w:r>
          </w:p>
        </w:tc>
      </w:tr>
    </w:tbl>
    <w:p w14:paraId="7F9C42D8" w14:textId="77777777" w:rsidR="00BD7E06" w:rsidRPr="00CB64CE" w:rsidRDefault="00BD7E06" w:rsidP="002C4C23">
      <w:pPr>
        <w:pStyle w:val="TableFootnoteInfo"/>
        <w:rPr>
          <w:lang w:val="en-AU"/>
        </w:rPr>
      </w:pPr>
      <w:r w:rsidRPr="00CB64CE">
        <w:rPr>
          <w:vertAlign w:val="superscript"/>
          <w:lang w:val="en-AU"/>
        </w:rPr>
        <w:t>*</w:t>
      </w:r>
      <w:r w:rsidRPr="00CB64CE">
        <w:rPr>
          <w:lang w:val="en-AU"/>
        </w:rPr>
        <w:t>Per National Cancer Institute Common Terminology Criteria for Adverse Events (NCI CTCAE) version 4.03.</w:t>
      </w:r>
    </w:p>
    <w:p w14:paraId="28BD5CF2" w14:textId="77777777" w:rsidR="00BD7E06" w:rsidRPr="00CB64CE" w:rsidRDefault="00BD7E06" w:rsidP="002C4C23">
      <w:pPr>
        <w:pStyle w:val="TableFootnoteInfo"/>
        <w:rPr>
          <w:lang w:val="en-AU"/>
        </w:rPr>
      </w:pPr>
      <w:r w:rsidRPr="00CB64CE">
        <w:rPr>
          <w:vertAlign w:val="superscript"/>
          <w:lang w:val="en-AU"/>
        </w:rPr>
        <w:t>†</w:t>
      </w:r>
      <w:r w:rsidRPr="00CB64CE">
        <w:rPr>
          <w:lang w:val="en-AU"/>
        </w:rPr>
        <w:t>Bruising: Includes all preferred terms (PTs) containing ‘bruise,’ ‘contusion,’ ‘petechiae,’ or ‘ecchymosis’</w:t>
      </w:r>
    </w:p>
    <w:p w14:paraId="03A368CA" w14:textId="3BC193C4" w:rsidR="00BD7E06" w:rsidRPr="00CB64CE" w:rsidRDefault="002C4C23" w:rsidP="002C4C23">
      <w:pPr>
        <w:pStyle w:val="TableFootnoteInfo"/>
        <w:rPr>
          <w:lang w:val="en-AU"/>
        </w:rPr>
      </w:pPr>
      <w:r w:rsidRPr="00CB64CE">
        <w:rPr>
          <w:vertAlign w:val="superscript"/>
          <w:lang w:val="en-AU"/>
        </w:rPr>
        <w:t>†</w:t>
      </w:r>
      <w:r w:rsidR="00BD7E06" w:rsidRPr="00CB64CE">
        <w:rPr>
          <w:lang w:val="en-AU"/>
        </w:rPr>
        <w:t xml:space="preserve"> Rash: Includes all PTs containing ‘rash’</w:t>
      </w:r>
    </w:p>
    <w:p w14:paraId="2EF7BBB1" w14:textId="6310B2A4" w:rsidR="00BD7E06" w:rsidRPr="00CB64CE" w:rsidRDefault="002C4C23" w:rsidP="002C4C23">
      <w:pPr>
        <w:pStyle w:val="TableFootnoteInfo"/>
        <w:rPr>
          <w:lang w:val="en-AU"/>
        </w:rPr>
      </w:pPr>
      <w:r w:rsidRPr="00CB64CE">
        <w:rPr>
          <w:vertAlign w:val="superscript"/>
          <w:lang w:val="en-AU"/>
        </w:rPr>
        <w:t>†</w:t>
      </w:r>
      <w:r w:rsidR="00BD7E06" w:rsidRPr="00CB64CE">
        <w:rPr>
          <w:lang w:val="en-AU"/>
        </w:rPr>
        <w:t xml:space="preserve"> H</w:t>
      </w:r>
      <w:r w:rsidR="00A071BD" w:rsidRPr="00CB64CE">
        <w:rPr>
          <w:lang w:val="en-AU"/>
        </w:rPr>
        <w:t>a</w:t>
      </w:r>
      <w:r w:rsidR="00BD7E06" w:rsidRPr="00CB64CE">
        <w:rPr>
          <w:lang w:val="en-AU"/>
        </w:rPr>
        <w:t>emorrhage/h</w:t>
      </w:r>
      <w:r w:rsidR="00C75EE5" w:rsidRPr="00CB64CE">
        <w:rPr>
          <w:lang w:val="en-AU"/>
        </w:rPr>
        <w:t>a</w:t>
      </w:r>
      <w:r w:rsidR="00BD7E06" w:rsidRPr="00CB64CE">
        <w:rPr>
          <w:lang w:val="en-AU"/>
        </w:rPr>
        <w:t>ematoma: Includes all PTs containing ‘h</w:t>
      </w:r>
      <w:r w:rsidR="00A071BD" w:rsidRPr="00CB64CE">
        <w:rPr>
          <w:lang w:val="en-AU"/>
        </w:rPr>
        <w:t>a</w:t>
      </w:r>
      <w:r w:rsidR="00BD7E06" w:rsidRPr="00CB64CE">
        <w:rPr>
          <w:lang w:val="en-AU"/>
        </w:rPr>
        <w:t>emorrhage’ or ‘h</w:t>
      </w:r>
      <w:r w:rsidR="00A071BD" w:rsidRPr="00CB64CE">
        <w:rPr>
          <w:lang w:val="en-AU"/>
        </w:rPr>
        <w:t>a</w:t>
      </w:r>
      <w:r w:rsidR="00BD7E06" w:rsidRPr="00CB64CE">
        <w:rPr>
          <w:lang w:val="en-AU"/>
        </w:rPr>
        <w:t>ematoma’</w:t>
      </w:r>
    </w:p>
    <w:p w14:paraId="2910B794" w14:textId="77777777" w:rsidR="002C4C23" w:rsidRPr="00CB64CE" w:rsidRDefault="002C4C23" w:rsidP="002C4C23">
      <w:pPr>
        <w:pStyle w:val="Paragraph"/>
        <w:rPr>
          <w:lang w:val="en-AU"/>
        </w:rPr>
      </w:pPr>
    </w:p>
    <w:p w14:paraId="737B9FF7" w14:textId="7A9B1BEE" w:rsidR="002C4C23" w:rsidRPr="00CB64CE" w:rsidRDefault="002C4C23" w:rsidP="002C4C23">
      <w:pPr>
        <w:pStyle w:val="TableTitle"/>
        <w:rPr>
          <w:lang w:val="en-AU"/>
        </w:rPr>
      </w:pPr>
      <w:bookmarkStart w:id="12" w:name="_Ref13507454"/>
      <w:r w:rsidRPr="00CB64CE">
        <w:rPr>
          <w:lang w:val="en-AU"/>
        </w:rPr>
        <w:t>Table </w:t>
      </w:r>
      <w:r w:rsidRPr="00CB64CE">
        <w:rPr>
          <w:lang w:val="en-AU"/>
        </w:rPr>
        <w:fldChar w:fldCharType="begin"/>
      </w:r>
      <w:r w:rsidRPr="00CB64CE">
        <w:rPr>
          <w:lang w:val="en-AU"/>
        </w:rPr>
        <w:instrText xml:space="preserve"> SEQ Table \* ARABIC </w:instrText>
      </w:r>
      <w:r w:rsidRPr="00CB64CE">
        <w:rPr>
          <w:lang w:val="en-AU"/>
        </w:rPr>
        <w:fldChar w:fldCharType="separate"/>
      </w:r>
      <w:r w:rsidR="00187CFE" w:rsidRPr="00CB64CE">
        <w:rPr>
          <w:noProof/>
          <w:lang w:val="en-AU"/>
        </w:rPr>
        <w:t>6</w:t>
      </w:r>
      <w:r w:rsidRPr="00CB64CE">
        <w:rPr>
          <w:lang w:val="en-AU"/>
        </w:rPr>
        <w:fldChar w:fldCharType="end"/>
      </w:r>
      <w:bookmarkEnd w:id="12"/>
      <w:r w:rsidRPr="00CB64CE">
        <w:rPr>
          <w:lang w:val="en-AU"/>
        </w:rPr>
        <w:tab/>
        <w:t>Haematologic adverse reactions reported</w:t>
      </w:r>
      <w:r w:rsidRPr="00CB64CE">
        <w:rPr>
          <w:vertAlign w:val="superscript"/>
          <w:lang w:val="en-AU"/>
        </w:rPr>
        <w:t>*</w:t>
      </w:r>
      <w:r w:rsidRPr="00CB64CE">
        <w:rPr>
          <w:lang w:val="en-AU"/>
        </w:rPr>
        <w:t xml:space="preserve"> in ≥20% of patients with MCL in </w:t>
      </w:r>
      <w:r w:rsidR="00C60E1B" w:rsidRPr="00CB64CE">
        <w:rPr>
          <w:lang w:val="en-AU"/>
        </w:rPr>
        <w:t>ACE-</w:t>
      </w:r>
      <w:r w:rsidRPr="00CB64CE">
        <w:rPr>
          <w:lang w:val="en-AU"/>
        </w:rPr>
        <w:t>LY</w:t>
      </w:r>
      <w:r w:rsidRPr="00CB64CE">
        <w:rPr>
          <w:lang w:val="en-AU"/>
        </w:rPr>
        <w:noBreakHyphen/>
        <w:t>004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2698"/>
        <w:gridCol w:w="2990"/>
      </w:tblGrid>
      <w:tr w:rsidR="00BD7E06" w:rsidRPr="00CB64CE" w14:paraId="2206BEBC" w14:textId="77777777" w:rsidTr="00233000">
        <w:trPr>
          <w:tblHeader/>
        </w:trPr>
        <w:tc>
          <w:tcPr>
            <w:tcW w:w="3888" w:type="dxa"/>
            <w:vMerge w:val="restart"/>
            <w:shd w:val="clear" w:color="auto" w:fill="auto"/>
            <w:vAlign w:val="center"/>
          </w:tcPr>
          <w:p w14:paraId="317241E8" w14:textId="0BF7D189" w:rsidR="00BD7E06" w:rsidRPr="00CB64CE" w:rsidRDefault="00BD7E06" w:rsidP="00A071BD">
            <w:pPr>
              <w:pStyle w:val="TableHead"/>
              <w:jc w:val="left"/>
              <w:rPr>
                <w:lang w:val="en-AU"/>
              </w:rPr>
            </w:pPr>
            <w:r w:rsidRPr="00CB64CE">
              <w:rPr>
                <w:lang w:val="en-AU"/>
              </w:rPr>
              <w:t>H</w:t>
            </w:r>
            <w:r w:rsidR="00A071BD" w:rsidRPr="00CB64CE">
              <w:rPr>
                <w:lang w:val="en-AU"/>
              </w:rPr>
              <w:t>a</w:t>
            </w:r>
            <w:r w:rsidRPr="00CB64CE">
              <w:rPr>
                <w:lang w:val="en-AU"/>
              </w:rPr>
              <w:t>ematologic</w:t>
            </w:r>
          </w:p>
          <w:p w14:paraId="38530822" w14:textId="2A8B9299" w:rsidR="00BD7E06" w:rsidRPr="00CB64CE" w:rsidRDefault="00BD7E06" w:rsidP="00A071BD">
            <w:pPr>
              <w:pStyle w:val="TableHead"/>
              <w:jc w:val="left"/>
              <w:rPr>
                <w:lang w:val="en-AU"/>
              </w:rPr>
            </w:pPr>
            <w:r w:rsidRPr="00CB64CE">
              <w:rPr>
                <w:lang w:val="en-AU"/>
              </w:rPr>
              <w:t>Adverse Reactions</w:t>
            </w:r>
          </w:p>
        </w:tc>
        <w:tc>
          <w:tcPr>
            <w:tcW w:w="5688" w:type="dxa"/>
            <w:gridSpan w:val="2"/>
            <w:shd w:val="clear" w:color="auto" w:fill="auto"/>
            <w:vAlign w:val="center"/>
          </w:tcPr>
          <w:p w14:paraId="646BD312" w14:textId="77777777" w:rsidR="00BD7E06" w:rsidRPr="00CB64CE" w:rsidRDefault="00BD7E06" w:rsidP="00A071BD">
            <w:pPr>
              <w:pStyle w:val="TableHead"/>
              <w:rPr>
                <w:lang w:val="en-AU"/>
              </w:rPr>
            </w:pPr>
            <w:r w:rsidRPr="00CB64CE">
              <w:rPr>
                <w:lang w:val="en-AU"/>
              </w:rPr>
              <w:t>CALQUENCE 100 mg twice daily</w:t>
            </w:r>
          </w:p>
          <w:p w14:paraId="178D47C3" w14:textId="77777777" w:rsidR="00BD7E06" w:rsidRPr="00CB64CE" w:rsidRDefault="00BD7E06" w:rsidP="00A071BD">
            <w:pPr>
              <w:pStyle w:val="TableHead"/>
              <w:rPr>
                <w:lang w:val="en-AU"/>
              </w:rPr>
            </w:pPr>
            <w:r w:rsidRPr="00CB64CE">
              <w:rPr>
                <w:lang w:val="en-AU"/>
              </w:rPr>
              <w:t>N=124</w:t>
            </w:r>
          </w:p>
        </w:tc>
      </w:tr>
      <w:tr w:rsidR="00BD7E06" w:rsidRPr="00CB64CE" w14:paraId="5664D85C" w14:textId="77777777" w:rsidTr="00233000">
        <w:trPr>
          <w:tblHeader/>
        </w:trPr>
        <w:tc>
          <w:tcPr>
            <w:tcW w:w="3888" w:type="dxa"/>
            <w:vMerge/>
            <w:shd w:val="clear" w:color="auto" w:fill="auto"/>
            <w:vAlign w:val="center"/>
          </w:tcPr>
          <w:p w14:paraId="77D0034B" w14:textId="77777777" w:rsidR="00BD7E06" w:rsidRPr="00CB64CE" w:rsidRDefault="00BD7E06" w:rsidP="00A071BD">
            <w:pPr>
              <w:pStyle w:val="TableHead"/>
              <w:rPr>
                <w:lang w:val="en-AU"/>
              </w:rPr>
            </w:pPr>
          </w:p>
        </w:tc>
        <w:tc>
          <w:tcPr>
            <w:tcW w:w="2698" w:type="dxa"/>
            <w:shd w:val="clear" w:color="auto" w:fill="auto"/>
            <w:vAlign w:val="center"/>
          </w:tcPr>
          <w:p w14:paraId="021B3BA7" w14:textId="77777777" w:rsidR="00BD7E06" w:rsidRPr="00CB64CE" w:rsidRDefault="00BD7E06" w:rsidP="00A071BD">
            <w:pPr>
              <w:pStyle w:val="TableHead"/>
              <w:rPr>
                <w:lang w:val="en-AU"/>
              </w:rPr>
            </w:pPr>
            <w:r w:rsidRPr="00CB64CE">
              <w:rPr>
                <w:lang w:val="en-AU"/>
              </w:rPr>
              <w:t>All Grades (%)</w:t>
            </w:r>
          </w:p>
        </w:tc>
        <w:tc>
          <w:tcPr>
            <w:tcW w:w="2990" w:type="dxa"/>
            <w:shd w:val="clear" w:color="auto" w:fill="auto"/>
          </w:tcPr>
          <w:p w14:paraId="69CC1C41" w14:textId="2E4B67A8" w:rsidR="00BD7E06" w:rsidRPr="00CB64CE" w:rsidRDefault="00BD7E06" w:rsidP="00A071BD">
            <w:pPr>
              <w:pStyle w:val="TableHead"/>
              <w:rPr>
                <w:lang w:val="en-AU"/>
              </w:rPr>
            </w:pPr>
            <w:r w:rsidRPr="00CB64CE">
              <w:rPr>
                <w:lang w:val="en-AU"/>
              </w:rPr>
              <w:t>Grade ≥3 (%)</w:t>
            </w:r>
          </w:p>
        </w:tc>
      </w:tr>
      <w:tr w:rsidR="00BD7E06" w:rsidRPr="00CB64CE" w14:paraId="698D5278" w14:textId="77777777" w:rsidTr="00233000">
        <w:tc>
          <w:tcPr>
            <w:tcW w:w="3888" w:type="dxa"/>
            <w:shd w:val="clear" w:color="auto" w:fill="auto"/>
          </w:tcPr>
          <w:p w14:paraId="75CD1DBB" w14:textId="3AA5F6BF" w:rsidR="00BD7E06" w:rsidRPr="00CB64CE" w:rsidRDefault="00BD7E06" w:rsidP="00A071BD">
            <w:pPr>
              <w:pStyle w:val="TableLeft"/>
              <w:rPr>
                <w:lang w:val="en-AU"/>
              </w:rPr>
            </w:pPr>
            <w:r w:rsidRPr="00CB64CE">
              <w:rPr>
                <w:lang w:val="en-AU"/>
              </w:rPr>
              <w:t>H</w:t>
            </w:r>
            <w:r w:rsidR="00A071BD" w:rsidRPr="00CB64CE">
              <w:rPr>
                <w:lang w:val="en-AU"/>
              </w:rPr>
              <w:t>a</w:t>
            </w:r>
            <w:r w:rsidRPr="00CB64CE">
              <w:rPr>
                <w:lang w:val="en-AU"/>
              </w:rPr>
              <w:t>emoglobin decreased</w:t>
            </w:r>
          </w:p>
        </w:tc>
        <w:tc>
          <w:tcPr>
            <w:tcW w:w="2698" w:type="dxa"/>
            <w:shd w:val="clear" w:color="auto" w:fill="auto"/>
          </w:tcPr>
          <w:p w14:paraId="58FA86BE" w14:textId="77777777" w:rsidR="00BD7E06" w:rsidRPr="00CB64CE" w:rsidRDefault="00BD7E06" w:rsidP="00A071BD">
            <w:pPr>
              <w:pStyle w:val="TableCenter"/>
              <w:rPr>
                <w:lang w:val="en-AU"/>
              </w:rPr>
            </w:pPr>
            <w:r w:rsidRPr="00CB64CE">
              <w:rPr>
                <w:lang w:val="en-AU"/>
              </w:rPr>
              <w:t>46</w:t>
            </w:r>
          </w:p>
        </w:tc>
        <w:tc>
          <w:tcPr>
            <w:tcW w:w="2990" w:type="dxa"/>
            <w:shd w:val="clear" w:color="auto" w:fill="auto"/>
          </w:tcPr>
          <w:p w14:paraId="1E1011F3" w14:textId="77777777" w:rsidR="00BD7E06" w:rsidRPr="00CB64CE" w:rsidRDefault="00BD7E06" w:rsidP="00A071BD">
            <w:pPr>
              <w:pStyle w:val="TableCenter"/>
              <w:rPr>
                <w:lang w:val="en-AU"/>
              </w:rPr>
            </w:pPr>
            <w:r w:rsidRPr="00CB64CE">
              <w:rPr>
                <w:lang w:val="en-AU"/>
              </w:rPr>
              <w:t>10</w:t>
            </w:r>
          </w:p>
        </w:tc>
      </w:tr>
      <w:tr w:rsidR="00BD7E06" w:rsidRPr="00CB64CE" w14:paraId="2118A459" w14:textId="77777777" w:rsidTr="00233000">
        <w:tc>
          <w:tcPr>
            <w:tcW w:w="3888" w:type="dxa"/>
            <w:shd w:val="clear" w:color="auto" w:fill="auto"/>
          </w:tcPr>
          <w:p w14:paraId="6DA1B276" w14:textId="77777777" w:rsidR="00BD7E06" w:rsidRPr="00CB64CE" w:rsidRDefault="00BD7E06" w:rsidP="00A071BD">
            <w:pPr>
              <w:pStyle w:val="TableLeft"/>
              <w:rPr>
                <w:lang w:val="en-AU"/>
              </w:rPr>
            </w:pPr>
            <w:r w:rsidRPr="00CB64CE">
              <w:rPr>
                <w:lang w:val="en-AU"/>
              </w:rPr>
              <w:t>Platelets decreased</w:t>
            </w:r>
          </w:p>
        </w:tc>
        <w:tc>
          <w:tcPr>
            <w:tcW w:w="2698" w:type="dxa"/>
            <w:shd w:val="clear" w:color="auto" w:fill="auto"/>
          </w:tcPr>
          <w:p w14:paraId="6F485625" w14:textId="77777777" w:rsidR="00BD7E06" w:rsidRPr="00CB64CE" w:rsidRDefault="00BD7E06" w:rsidP="00A071BD">
            <w:pPr>
              <w:pStyle w:val="TableCenter"/>
              <w:rPr>
                <w:lang w:val="en-AU"/>
              </w:rPr>
            </w:pPr>
            <w:r w:rsidRPr="00CB64CE">
              <w:rPr>
                <w:lang w:val="en-AU"/>
              </w:rPr>
              <w:t>44</w:t>
            </w:r>
          </w:p>
        </w:tc>
        <w:tc>
          <w:tcPr>
            <w:tcW w:w="2990" w:type="dxa"/>
            <w:shd w:val="clear" w:color="auto" w:fill="auto"/>
          </w:tcPr>
          <w:p w14:paraId="451DBE41" w14:textId="77777777" w:rsidR="00BD7E06" w:rsidRPr="00CB64CE" w:rsidRDefault="00BD7E06" w:rsidP="00A071BD">
            <w:pPr>
              <w:pStyle w:val="TableCenter"/>
              <w:rPr>
                <w:lang w:val="en-AU"/>
              </w:rPr>
            </w:pPr>
            <w:r w:rsidRPr="00CB64CE">
              <w:rPr>
                <w:lang w:val="en-AU"/>
              </w:rPr>
              <w:t>12</w:t>
            </w:r>
          </w:p>
        </w:tc>
      </w:tr>
      <w:tr w:rsidR="00BD7E06" w:rsidRPr="00CB64CE" w14:paraId="3713EC59" w14:textId="77777777" w:rsidTr="00233000">
        <w:tc>
          <w:tcPr>
            <w:tcW w:w="3888" w:type="dxa"/>
            <w:shd w:val="clear" w:color="auto" w:fill="auto"/>
          </w:tcPr>
          <w:p w14:paraId="4965B0EA" w14:textId="77777777" w:rsidR="00BD7E06" w:rsidRPr="00CB64CE" w:rsidRDefault="00BD7E06" w:rsidP="00A071BD">
            <w:pPr>
              <w:pStyle w:val="TableLeft"/>
              <w:rPr>
                <w:lang w:val="en-AU"/>
              </w:rPr>
            </w:pPr>
            <w:r w:rsidRPr="00CB64CE">
              <w:rPr>
                <w:lang w:val="en-AU"/>
              </w:rPr>
              <w:t>Neutrophils decreased</w:t>
            </w:r>
          </w:p>
        </w:tc>
        <w:tc>
          <w:tcPr>
            <w:tcW w:w="2698" w:type="dxa"/>
            <w:shd w:val="clear" w:color="auto" w:fill="auto"/>
          </w:tcPr>
          <w:p w14:paraId="5D40DEE4" w14:textId="77777777" w:rsidR="00BD7E06" w:rsidRPr="00CB64CE" w:rsidRDefault="00BD7E06" w:rsidP="00A071BD">
            <w:pPr>
              <w:pStyle w:val="TableCenter"/>
              <w:rPr>
                <w:lang w:val="en-AU"/>
              </w:rPr>
            </w:pPr>
            <w:r w:rsidRPr="00CB64CE">
              <w:rPr>
                <w:lang w:val="en-AU"/>
              </w:rPr>
              <w:t>36</w:t>
            </w:r>
          </w:p>
        </w:tc>
        <w:tc>
          <w:tcPr>
            <w:tcW w:w="2990" w:type="dxa"/>
            <w:shd w:val="clear" w:color="auto" w:fill="auto"/>
          </w:tcPr>
          <w:p w14:paraId="1CB3C186" w14:textId="77777777" w:rsidR="00BD7E06" w:rsidRPr="00CB64CE" w:rsidRDefault="00BD7E06" w:rsidP="00A071BD">
            <w:pPr>
              <w:pStyle w:val="TableCenter"/>
              <w:rPr>
                <w:lang w:val="en-AU"/>
              </w:rPr>
            </w:pPr>
            <w:r w:rsidRPr="00CB64CE">
              <w:rPr>
                <w:lang w:val="en-AU"/>
              </w:rPr>
              <w:t>15</w:t>
            </w:r>
          </w:p>
        </w:tc>
      </w:tr>
    </w:tbl>
    <w:p w14:paraId="125EF4CA" w14:textId="77777777" w:rsidR="00BD7E06" w:rsidRPr="00CB64CE" w:rsidRDefault="00BD7E06" w:rsidP="00A071BD">
      <w:pPr>
        <w:pStyle w:val="TableFootnoteInfo"/>
        <w:rPr>
          <w:lang w:val="en-AU"/>
        </w:rPr>
      </w:pPr>
      <w:r w:rsidRPr="00CB64CE">
        <w:rPr>
          <w:vertAlign w:val="superscript"/>
          <w:lang w:val="en-AU"/>
        </w:rPr>
        <w:t>*</w:t>
      </w:r>
      <w:r w:rsidRPr="00CB64CE">
        <w:rPr>
          <w:lang w:val="en-AU"/>
        </w:rPr>
        <w:t>Per National Cancer Institute Common Terminology Criteria for Adverse Events (NCI CTCAE) version 4.03; based on laboratory measurements and adverse reactions.</w:t>
      </w:r>
    </w:p>
    <w:p w14:paraId="21FE27D9" w14:textId="77777777" w:rsidR="00A071BD" w:rsidRPr="00CB64CE" w:rsidRDefault="00A071BD" w:rsidP="002C4C23">
      <w:pPr>
        <w:pStyle w:val="Paragraph"/>
        <w:rPr>
          <w:lang w:val="en-AU"/>
        </w:rPr>
      </w:pPr>
    </w:p>
    <w:p w14:paraId="5FE1B6C8" w14:textId="4783AFDA" w:rsidR="00BD7E06" w:rsidRPr="00CB64CE" w:rsidRDefault="00BD7E06" w:rsidP="002C4C23">
      <w:pPr>
        <w:pStyle w:val="Paragraph"/>
        <w:rPr>
          <w:lang w:val="en-AU"/>
        </w:rPr>
      </w:pPr>
      <w:r w:rsidRPr="00CB64CE">
        <w:rPr>
          <w:lang w:val="en-AU"/>
        </w:rPr>
        <w:t>Increases in creatinine 1.5 to 3 times the upper limit of normal occurred in 4.8% of patients.</w:t>
      </w:r>
    </w:p>
    <w:p w14:paraId="2797DFAC" w14:textId="77777777" w:rsidR="00DF3302" w:rsidRPr="00CB64CE" w:rsidRDefault="00DF3302" w:rsidP="00DF3302">
      <w:pPr>
        <w:pStyle w:val="Heading3Unnumbered"/>
        <w:rPr>
          <w:lang w:val="en-AU"/>
        </w:rPr>
      </w:pPr>
      <w:r w:rsidRPr="00CB64CE">
        <w:rPr>
          <w:lang w:val="en-AU"/>
        </w:rPr>
        <w:t xml:space="preserve">Reporting suspected adverse </w:t>
      </w:r>
      <w:r w:rsidR="002803FC" w:rsidRPr="00CB64CE">
        <w:rPr>
          <w:lang w:val="en-AU"/>
        </w:rPr>
        <w:t>effects</w:t>
      </w:r>
    </w:p>
    <w:p w14:paraId="10840B78" w14:textId="77777777" w:rsidR="001D3AF3" w:rsidRPr="00CB64CE" w:rsidRDefault="00DF3302" w:rsidP="00446EDD">
      <w:pPr>
        <w:pStyle w:val="Paragraph"/>
        <w:rPr>
          <w:lang w:val="en-AU"/>
        </w:rPr>
      </w:pPr>
      <w:r w:rsidRPr="00CB64CE">
        <w:rPr>
          <w:lang w:val="en-AU"/>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r w:rsidR="00F06F31" w:rsidRPr="00CB64CE">
        <w:rPr>
          <w:lang w:val="en-AU"/>
        </w:rPr>
        <w:t>www.tga.gov.au/reporting-problems</w:t>
      </w:r>
      <w:r w:rsidRPr="00CB64CE">
        <w:rPr>
          <w:lang w:val="en-AU"/>
        </w:rPr>
        <w:t>.</w:t>
      </w:r>
    </w:p>
    <w:p w14:paraId="34B8C287" w14:textId="77777777" w:rsidR="001A3992" w:rsidRPr="00CB64CE" w:rsidRDefault="001A3992" w:rsidP="00EE3AC8">
      <w:pPr>
        <w:pStyle w:val="Heading2"/>
        <w:rPr>
          <w:lang w:val="en-AU"/>
        </w:rPr>
      </w:pPr>
      <w:r w:rsidRPr="00CB64CE">
        <w:rPr>
          <w:lang w:val="en-AU"/>
        </w:rPr>
        <w:t>Overdose</w:t>
      </w:r>
    </w:p>
    <w:p w14:paraId="1A37D559" w14:textId="77777777" w:rsidR="00A071BD" w:rsidRPr="00CB64CE" w:rsidRDefault="00A071BD" w:rsidP="00D87298">
      <w:pPr>
        <w:pStyle w:val="Paragraph"/>
        <w:rPr>
          <w:lang w:val="en-AU"/>
        </w:rPr>
      </w:pPr>
      <w:r w:rsidRPr="00CB64CE">
        <w:rPr>
          <w:lang w:val="en-AU"/>
        </w:rPr>
        <w:t>There is no specific treatment for acalabrutinib overdose and symptoms of overdose have not been established. In the event of an overdose, patients must be closely monitored for signs or symptoms of adverse reactions and appropriate symptomatic treatment instituted.</w:t>
      </w:r>
    </w:p>
    <w:p w14:paraId="16627C8E" w14:textId="02B2A385" w:rsidR="00D87298" w:rsidRPr="00CB64CE" w:rsidRDefault="00D87298" w:rsidP="00D87298">
      <w:pPr>
        <w:pStyle w:val="Paragraph"/>
        <w:rPr>
          <w:lang w:val="en-AU"/>
        </w:rPr>
      </w:pPr>
      <w:r w:rsidRPr="00CB64CE">
        <w:rPr>
          <w:lang w:val="en-AU"/>
        </w:rPr>
        <w:lastRenderedPageBreak/>
        <w:t>For information on the management of overdose, contact the Poison Information Centre on 131126 (Australia).</w:t>
      </w:r>
    </w:p>
    <w:p w14:paraId="5B511140" w14:textId="77777777" w:rsidR="001A3992" w:rsidRPr="00CB64CE" w:rsidRDefault="001A3992" w:rsidP="00881EA6">
      <w:pPr>
        <w:pStyle w:val="Heading1"/>
        <w:keepNext w:val="0"/>
        <w:rPr>
          <w:lang w:val="en-AU"/>
        </w:rPr>
      </w:pPr>
      <w:r w:rsidRPr="00CB64CE">
        <w:rPr>
          <w:lang w:val="en-AU"/>
        </w:rPr>
        <w:t>Pharmacological properties</w:t>
      </w:r>
    </w:p>
    <w:p w14:paraId="500FB0E5" w14:textId="77777777" w:rsidR="001A3992" w:rsidRPr="00CB64CE" w:rsidRDefault="007403BD" w:rsidP="00EE3AC8">
      <w:pPr>
        <w:pStyle w:val="Heading2"/>
        <w:rPr>
          <w:lang w:val="en-AU"/>
        </w:rPr>
      </w:pPr>
      <w:bookmarkStart w:id="13" w:name="_Ref13512425"/>
      <w:r w:rsidRPr="00CB64CE">
        <w:rPr>
          <w:lang w:val="en-AU"/>
        </w:rPr>
        <w:t>Pharmacodynamic properties</w:t>
      </w:r>
      <w:bookmarkEnd w:id="13"/>
    </w:p>
    <w:p w14:paraId="3F017A7D" w14:textId="56E78CE4" w:rsidR="001A3992" w:rsidRPr="00CB64CE" w:rsidRDefault="00B86C72" w:rsidP="0026491B">
      <w:pPr>
        <w:pStyle w:val="Heading3Unnumbered"/>
        <w:rPr>
          <w:lang w:val="en-AU"/>
        </w:rPr>
      </w:pPr>
      <w:r w:rsidRPr="00CB64CE">
        <w:rPr>
          <w:rStyle w:val="FootnoteReference"/>
          <w:lang w:val="en-AU"/>
        </w:rPr>
        <w:footnoteReference w:id="11"/>
      </w:r>
      <w:r w:rsidR="001A3992" w:rsidRPr="00CB64CE">
        <w:rPr>
          <w:lang w:val="en-AU"/>
        </w:rPr>
        <w:t>Mechanism of action</w:t>
      </w:r>
    </w:p>
    <w:p w14:paraId="0736B4FB" w14:textId="339B1BE1" w:rsidR="00C60E1B" w:rsidRPr="00CB64CE" w:rsidRDefault="00B86C72" w:rsidP="000B4880">
      <w:pPr>
        <w:pStyle w:val="Paragraph"/>
        <w:rPr>
          <w:lang w:val="en-AU"/>
        </w:rPr>
      </w:pPr>
      <w:r w:rsidRPr="00CB64CE">
        <w:rPr>
          <w:lang w:val="en-AU"/>
        </w:rPr>
        <w:t xml:space="preserve">Acalabrutinib is a small-molecule inhibitor of </w:t>
      </w:r>
      <w:r w:rsidR="004330C3" w:rsidRPr="00CB64CE">
        <w:rPr>
          <w:lang w:val="en-AU"/>
        </w:rPr>
        <w:t>Bruton tyrosine kinase (</w:t>
      </w:r>
      <w:r w:rsidRPr="00CB64CE">
        <w:rPr>
          <w:lang w:val="en-AU"/>
        </w:rPr>
        <w:t>BTK</w:t>
      </w:r>
      <w:r w:rsidR="004330C3" w:rsidRPr="00CB64CE">
        <w:rPr>
          <w:lang w:val="en-AU"/>
        </w:rPr>
        <w:t>)</w:t>
      </w:r>
      <w:r w:rsidRPr="00CB64CE">
        <w:rPr>
          <w:lang w:val="en-AU"/>
        </w:rPr>
        <w:t>. Acalabrutinib and its active metabolite, ACP-5862, form a covalent bond with a cysteine residue in the BTK active site, leading to inhibition of BTK enzymatic activity. BTK is a signalling molecule of the B cell antigen receptor (BCR) and cytokine receptor pathways. In B cells, BTK signalling results in activation of pathways necessary for B-cell proliferation, trafficking, chemotaxis, and adhesion. In nonclinical studies, acalabrutinib inhibited BTK-mediated activation of downstream signalling proteins CD86 and CD69 and inhibited malignant B-cell proliferation and survival.</w:t>
      </w:r>
    </w:p>
    <w:p w14:paraId="7F67518B" w14:textId="541D956A" w:rsidR="00444FD0" w:rsidRPr="00CB64CE" w:rsidRDefault="00B86C72" w:rsidP="00444FD0">
      <w:pPr>
        <w:pStyle w:val="Heading3Unnumbered"/>
        <w:rPr>
          <w:lang w:val="en-AU"/>
        </w:rPr>
      </w:pPr>
      <w:r w:rsidRPr="00CB64CE">
        <w:rPr>
          <w:rStyle w:val="FootnoteReference"/>
          <w:lang w:val="en-AU"/>
        </w:rPr>
        <w:footnoteReference w:id="12"/>
      </w:r>
      <w:r w:rsidR="00444FD0" w:rsidRPr="00CB64CE">
        <w:rPr>
          <w:lang w:val="en-AU"/>
        </w:rPr>
        <w:t>Pharmacodynamics</w:t>
      </w:r>
    </w:p>
    <w:p w14:paraId="39B0375C" w14:textId="1FE59AB8" w:rsidR="00444FD0" w:rsidRPr="00CB64CE" w:rsidRDefault="00444FD0" w:rsidP="00444FD0">
      <w:pPr>
        <w:pStyle w:val="Paragraph"/>
        <w:rPr>
          <w:lang w:val="en-AU"/>
        </w:rPr>
      </w:pPr>
      <w:r w:rsidRPr="00CB64CE">
        <w:rPr>
          <w:lang w:val="en-AU"/>
        </w:rPr>
        <w:t>In patients with B-cell malignancies dosed with 100</w:t>
      </w:r>
      <w:r w:rsidR="006F170B" w:rsidRPr="00CB64CE">
        <w:rPr>
          <w:lang w:val="en-AU"/>
        </w:rPr>
        <w:t> </w:t>
      </w:r>
      <w:r w:rsidRPr="00CB64CE">
        <w:rPr>
          <w:lang w:val="en-AU"/>
        </w:rPr>
        <w:t>mg twice daily, median steady state BTK occupancy of ≥95% in peripheral blood was maintained over 12 hours, resulting in inactivation of BTK throughout the recommended dosing interval.</w:t>
      </w:r>
    </w:p>
    <w:p w14:paraId="3848939F" w14:textId="5B01B0EF" w:rsidR="00444FD0" w:rsidRPr="00CB64CE" w:rsidRDefault="00444FD0" w:rsidP="006F170B">
      <w:pPr>
        <w:pStyle w:val="Heading4Unnumbered"/>
        <w:rPr>
          <w:lang w:val="en-AU"/>
        </w:rPr>
      </w:pPr>
      <w:r w:rsidRPr="00CB64CE">
        <w:rPr>
          <w:lang w:val="en-AU"/>
        </w:rPr>
        <w:t xml:space="preserve">Cardiac </w:t>
      </w:r>
      <w:r w:rsidR="00C60E1B" w:rsidRPr="00CB64CE">
        <w:rPr>
          <w:lang w:val="en-AU"/>
        </w:rPr>
        <w:t>e</w:t>
      </w:r>
      <w:r w:rsidRPr="00CB64CE">
        <w:rPr>
          <w:lang w:val="en-AU"/>
        </w:rPr>
        <w:t>lectrophysiology</w:t>
      </w:r>
    </w:p>
    <w:p w14:paraId="0287DAFF" w14:textId="12A2323F" w:rsidR="00444FD0" w:rsidRPr="00CB64CE" w:rsidRDefault="00444FD0" w:rsidP="00444FD0">
      <w:pPr>
        <w:pStyle w:val="Paragraph"/>
        <w:rPr>
          <w:lang w:val="en-AU"/>
        </w:rPr>
      </w:pPr>
      <w:r w:rsidRPr="00CB64CE">
        <w:rPr>
          <w:lang w:val="en-AU"/>
        </w:rPr>
        <w:t>The effect of acalabrutinib on the QTc interval was evaluated in a randomized, double-blind, double-dummy, placebo- and positive-controlled, 4-way crossover thorough QTc study in 48 healthy adult subjects. Administration of a single dose of acalabrutinib that is the 4-fold maximum recommended single dose did not prolong the QTc interval to any clinically relevant extent (i.e. ≥10</w:t>
      </w:r>
      <w:r w:rsidR="006F170B" w:rsidRPr="00CB64CE">
        <w:rPr>
          <w:lang w:val="en-AU"/>
        </w:rPr>
        <w:t> </w:t>
      </w:r>
      <w:r w:rsidRPr="00CB64CE">
        <w:rPr>
          <w:lang w:val="en-AU"/>
        </w:rPr>
        <w:t>ms).</w:t>
      </w:r>
    </w:p>
    <w:p w14:paraId="3ACFCDD1" w14:textId="1B86DC1E" w:rsidR="001A3992" w:rsidRPr="00CB64CE" w:rsidRDefault="009801F2" w:rsidP="0026491B">
      <w:pPr>
        <w:pStyle w:val="Heading3Unnumbered"/>
        <w:rPr>
          <w:lang w:val="en-AU"/>
        </w:rPr>
      </w:pPr>
      <w:r w:rsidRPr="00CB64CE">
        <w:rPr>
          <w:rStyle w:val="FootnoteReference"/>
          <w:lang w:val="en-AU"/>
        </w:rPr>
        <w:footnoteReference w:id="13"/>
      </w:r>
      <w:r w:rsidR="001A3992" w:rsidRPr="00CB64CE">
        <w:rPr>
          <w:lang w:val="en-AU"/>
        </w:rPr>
        <w:t>Clinical trials</w:t>
      </w:r>
    </w:p>
    <w:p w14:paraId="143D817E" w14:textId="681A1036" w:rsidR="00C60E1B" w:rsidRPr="00CB64CE" w:rsidRDefault="00E02660" w:rsidP="00C60E1B">
      <w:pPr>
        <w:pStyle w:val="Heading4Unnumbered"/>
        <w:rPr>
          <w:lang w:val="en-AU"/>
        </w:rPr>
      </w:pPr>
      <w:r w:rsidRPr="00CB64CE">
        <w:rPr>
          <w:rStyle w:val="FootnoteReference"/>
          <w:lang w:val="en-AU"/>
        </w:rPr>
        <w:footnoteReference w:id="14"/>
      </w:r>
      <w:r w:rsidR="00C60E1B" w:rsidRPr="00CB64CE">
        <w:rPr>
          <w:lang w:val="en-AU"/>
        </w:rPr>
        <w:t>Mantle cell lymphoma (MCL)</w:t>
      </w:r>
    </w:p>
    <w:p w14:paraId="1054F7E6" w14:textId="0C5A7515" w:rsidR="00BB2130" w:rsidRPr="00CB64CE" w:rsidRDefault="00BB2130" w:rsidP="00BB2130">
      <w:pPr>
        <w:pStyle w:val="Paragraph"/>
        <w:rPr>
          <w:lang w:val="en-AU"/>
        </w:rPr>
      </w:pPr>
      <w:r w:rsidRPr="00CB64CE">
        <w:rPr>
          <w:lang w:val="en-AU"/>
        </w:rPr>
        <w:t xml:space="preserve">The safety and efficacy of CALQUENCE in MCL were evaluated in an open-label, multi-centre, single-arm Phase 2 study (ACE-LY-004) of 124 previously treated patients. All patients received CALQUENCE 100 mg orally twice daily until disease progression or unacceptable toxicity. </w:t>
      </w:r>
      <w:r w:rsidRPr="00CB64CE">
        <w:rPr>
          <w:bCs/>
          <w:iCs/>
          <w:lang w:val="en-AU"/>
        </w:rPr>
        <w:t>The trial did not include patients who received prior treatment with BTK inhibitors.</w:t>
      </w:r>
      <w:r w:rsidRPr="00CB64CE">
        <w:rPr>
          <w:lang w:val="en-AU"/>
        </w:rPr>
        <w:t xml:space="preserve"> The primary endpoint was investigator-assessed overall response rate (ORR) per the Lugano classification for non-Hodgkin’s lymphoma (NHL). Duration of Response (DoR) was an additional outcome measure. Efficacy results are presented in </w:t>
      </w:r>
      <w:r w:rsidRPr="00CB64CE">
        <w:rPr>
          <w:lang w:val="en-AU"/>
        </w:rPr>
        <w:fldChar w:fldCharType="begin"/>
      </w:r>
      <w:r w:rsidRPr="00CB64CE">
        <w:rPr>
          <w:lang w:val="en-AU"/>
        </w:rPr>
        <w:instrText xml:space="preserve"> REF _Ref13669641 \h  \* MERGEFORMAT </w:instrText>
      </w:r>
      <w:r w:rsidRPr="00CB64CE">
        <w:rPr>
          <w:lang w:val="en-AU"/>
        </w:rPr>
      </w:r>
      <w:r w:rsidRPr="00CB64CE">
        <w:rPr>
          <w:lang w:val="en-AU"/>
        </w:rPr>
        <w:fldChar w:fldCharType="separate"/>
      </w:r>
      <w:r w:rsidR="00187CFE" w:rsidRPr="00CB64CE">
        <w:rPr>
          <w:lang w:val="en-AU"/>
        </w:rPr>
        <w:t>Table 7</w:t>
      </w:r>
      <w:r w:rsidRPr="00CB64CE">
        <w:rPr>
          <w:lang w:val="en-AU"/>
        </w:rPr>
        <w:fldChar w:fldCharType="end"/>
      </w:r>
      <w:r w:rsidRPr="00CB64CE">
        <w:rPr>
          <w:lang w:val="en-AU"/>
        </w:rPr>
        <w:t>.</w:t>
      </w:r>
    </w:p>
    <w:p w14:paraId="26B6E090" w14:textId="399FA781" w:rsidR="00BB2130" w:rsidRPr="00CB64CE" w:rsidRDefault="00BB2130" w:rsidP="00BB2130">
      <w:pPr>
        <w:pStyle w:val="Paragraph"/>
        <w:rPr>
          <w:lang w:val="en-AU"/>
        </w:rPr>
      </w:pPr>
      <w:r w:rsidRPr="00CB64CE">
        <w:rPr>
          <w:lang w:val="en-AU"/>
        </w:rPr>
        <w:t xml:space="preserve">The median age was 68 (range 42 to 90) years, 79.8% were male and 74.2% were Caucasian. At baseline, 92.8% of patients had an ECOG performance status of 0 or 1. The median time since diagnosis was 46.3 months and the median number of prior treatments was 2 (range 1 to 5), </w:t>
      </w:r>
      <w:r w:rsidRPr="00CB64CE">
        <w:rPr>
          <w:lang w:val="en-AU"/>
        </w:rPr>
        <w:lastRenderedPageBreak/>
        <w:t>including 17.7% with prior stem cell transplant. The most common prior regimens were CHOP-based (51.6%) and ARA-C (33.9%).  At baseline, 37.1% of patients had at least one tumour with a longest diameter ≥ 5 cm, 72.6% had extra nodal involvement including 50.8% with bone marrow involvement. The simplified MIPI score (which includes age, ECOG score, and baseline lactate dehydrogenase and white cell count) was intermediate in 43.5% and high in 16.9% of patients.</w:t>
      </w:r>
      <w:r w:rsidR="00F33926" w:rsidRPr="00CB64CE">
        <w:rPr>
          <w:lang w:val="en-AU"/>
        </w:rPr>
        <w:t xml:space="preserve"> The median dose intensity was 98.5%.</w:t>
      </w:r>
    </w:p>
    <w:p w14:paraId="3AC83089" w14:textId="2534115D" w:rsidR="006776B4" w:rsidRPr="00CB64CE" w:rsidRDefault="006776B4" w:rsidP="006776B4">
      <w:pPr>
        <w:pStyle w:val="TableTitle"/>
        <w:rPr>
          <w:lang w:val="en-AU"/>
        </w:rPr>
      </w:pPr>
      <w:bookmarkStart w:id="14" w:name="_Ref13669641"/>
      <w:r w:rsidRPr="00CB64CE">
        <w:rPr>
          <w:lang w:val="en-AU"/>
        </w:rPr>
        <w:t>Table </w:t>
      </w:r>
      <w:r w:rsidRPr="00CB64CE">
        <w:rPr>
          <w:lang w:val="en-AU"/>
        </w:rPr>
        <w:fldChar w:fldCharType="begin"/>
      </w:r>
      <w:r w:rsidRPr="00CB64CE">
        <w:rPr>
          <w:lang w:val="en-AU"/>
        </w:rPr>
        <w:instrText xml:space="preserve"> SEQ Table \* ARABIC </w:instrText>
      </w:r>
      <w:r w:rsidRPr="00CB64CE">
        <w:rPr>
          <w:lang w:val="en-AU"/>
        </w:rPr>
        <w:fldChar w:fldCharType="separate"/>
      </w:r>
      <w:r w:rsidR="00187CFE" w:rsidRPr="00CB64CE">
        <w:rPr>
          <w:noProof/>
          <w:lang w:val="en-AU"/>
        </w:rPr>
        <w:t>7</w:t>
      </w:r>
      <w:r w:rsidRPr="00CB64CE">
        <w:rPr>
          <w:lang w:val="en-AU"/>
        </w:rPr>
        <w:fldChar w:fldCharType="end"/>
      </w:r>
      <w:bookmarkEnd w:id="14"/>
      <w:r w:rsidRPr="00CB64CE">
        <w:rPr>
          <w:lang w:val="en-AU"/>
        </w:rPr>
        <w:tab/>
        <w:t xml:space="preserve">Efficacy </w:t>
      </w:r>
      <w:r w:rsidR="00D7365E" w:rsidRPr="00CB64CE">
        <w:rPr>
          <w:lang w:val="en-AU"/>
        </w:rPr>
        <w:t>r</w:t>
      </w:r>
      <w:r w:rsidRPr="00CB64CE">
        <w:rPr>
          <w:lang w:val="en-AU"/>
        </w:rPr>
        <w:t xml:space="preserve">esults in </w:t>
      </w:r>
      <w:r w:rsidR="00D7365E" w:rsidRPr="00CB64CE">
        <w:rPr>
          <w:lang w:val="en-AU"/>
        </w:rPr>
        <w:t>p</w:t>
      </w:r>
      <w:r w:rsidRPr="00CB64CE">
        <w:rPr>
          <w:lang w:val="en-AU"/>
        </w:rPr>
        <w:t xml:space="preserve">atients with MCL in </w:t>
      </w:r>
      <w:r w:rsidR="000B4880" w:rsidRPr="00CB64CE">
        <w:rPr>
          <w:lang w:val="en-AU"/>
        </w:rPr>
        <w:t>ACE-</w:t>
      </w:r>
      <w:r w:rsidRPr="00CB64CE">
        <w:rPr>
          <w:lang w:val="en-AU"/>
        </w:rPr>
        <w:t>LY-004</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t;&lt;Please Add a Table Title Here&gt;&gt;"/>
      </w:tblPr>
      <w:tblGrid>
        <w:gridCol w:w="3539"/>
        <w:gridCol w:w="2977"/>
        <w:gridCol w:w="3122"/>
      </w:tblGrid>
      <w:tr w:rsidR="00D7365E" w:rsidRPr="00CB64CE" w14:paraId="78A35512" w14:textId="77777777" w:rsidTr="008C07FF">
        <w:trPr>
          <w:cantSplit/>
          <w:tblHeader/>
        </w:trPr>
        <w:tc>
          <w:tcPr>
            <w:tcW w:w="3539" w:type="dxa"/>
            <w:vMerge w:val="restart"/>
            <w:shd w:val="clear" w:color="auto" w:fill="auto"/>
          </w:tcPr>
          <w:p w14:paraId="7BA77F04" w14:textId="77777777" w:rsidR="00D7365E" w:rsidRPr="00CB64CE" w:rsidRDefault="00D7365E" w:rsidP="006776B4">
            <w:pPr>
              <w:pStyle w:val="TableHead"/>
              <w:rPr>
                <w:lang w:val="en-AU"/>
              </w:rPr>
            </w:pPr>
          </w:p>
        </w:tc>
        <w:tc>
          <w:tcPr>
            <w:tcW w:w="2977" w:type="dxa"/>
            <w:shd w:val="clear" w:color="auto" w:fill="auto"/>
          </w:tcPr>
          <w:p w14:paraId="6C99901C" w14:textId="77777777" w:rsidR="00D7365E" w:rsidRPr="00CB64CE" w:rsidRDefault="00D7365E" w:rsidP="006776B4">
            <w:pPr>
              <w:pStyle w:val="TableHead"/>
              <w:rPr>
                <w:i/>
                <w:szCs w:val="24"/>
                <w:lang w:val="en-AU"/>
              </w:rPr>
            </w:pPr>
            <w:r w:rsidRPr="00CB64CE">
              <w:rPr>
                <w:szCs w:val="24"/>
                <w:lang w:val="en-AU"/>
              </w:rPr>
              <w:t>Investigator Assessed</w:t>
            </w:r>
          </w:p>
          <w:p w14:paraId="63C0C5DF" w14:textId="5A3A6B25" w:rsidR="00D7365E" w:rsidRPr="00CB64CE" w:rsidRDefault="00D7365E" w:rsidP="006776B4">
            <w:pPr>
              <w:pStyle w:val="TableHead"/>
              <w:rPr>
                <w:lang w:val="en-AU"/>
              </w:rPr>
            </w:pPr>
            <w:r w:rsidRPr="00CB64CE">
              <w:rPr>
                <w:szCs w:val="24"/>
                <w:lang w:val="en-AU"/>
              </w:rPr>
              <w:t>N=124</w:t>
            </w:r>
          </w:p>
        </w:tc>
        <w:tc>
          <w:tcPr>
            <w:tcW w:w="3122" w:type="dxa"/>
            <w:shd w:val="clear" w:color="auto" w:fill="auto"/>
          </w:tcPr>
          <w:p w14:paraId="0E2D56B7" w14:textId="77777777" w:rsidR="00D7365E" w:rsidRPr="00CB64CE" w:rsidRDefault="00D7365E" w:rsidP="006776B4">
            <w:pPr>
              <w:pStyle w:val="TableHead"/>
              <w:rPr>
                <w:i/>
                <w:szCs w:val="24"/>
                <w:lang w:val="en-AU"/>
              </w:rPr>
            </w:pPr>
            <w:r w:rsidRPr="00CB64CE">
              <w:rPr>
                <w:szCs w:val="24"/>
                <w:lang w:val="en-AU"/>
              </w:rPr>
              <w:t>Independent Review Committee (IRC) Assessed</w:t>
            </w:r>
          </w:p>
          <w:p w14:paraId="7573DAF1" w14:textId="7C647003" w:rsidR="00D7365E" w:rsidRPr="00CB64CE" w:rsidRDefault="00D7365E" w:rsidP="006776B4">
            <w:pPr>
              <w:pStyle w:val="TableHead"/>
              <w:rPr>
                <w:lang w:val="en-AU"/>
              </w:rPr>
            </w:pPr>
            <w:r w:rsidRPr="00CB64CE">
              <w:rPr>
                <w:szCs w:val="24"/>
                <w:lang w:val="en-AU"/>
              </w:rPr>
              <w:t>N=124</w:t>
            </w:r>
          </w:p>
        </w:tc>
      </w:tr>
      <w:tr w:rsidR="00D7365E" w:rsidRPr="00CB64CE" w14:paraId="716D7E2D" w14:textId="77777777" w:rsidTr="008C07FF">
        <w:trPr>
          <w:cantSplit/>
          <w:tblHeader/>
        </w:trPr>
        <w:tc>
          <w:tcPr>
            <w:tcW w:w="3539" w:type="dxa"/>
            <w:vMerge/>
            <w:shd w:val="clear" w:color="auto" w:fill="auto"/>
          </w:tcPr>
          <w:p w14:paraId="2A69F6B7" w14:textId="77777777" w:rsidR="00D7365E" w:rsidRPr="00CB64CE" w:rsidRDefault="00D7365E" w:rsidP="00D7365E">
            <w:pPr>
              <w:pStyle w:val="TableHead"/>
              <w:rPr>
                <w:lang w:val="en-AU"/>
              </w:rPr>
            </w:pPr>
          </w:p>
        </w:tc>
        <w:tc>
          <w:tcPr>
            <w:tcW w:w="2977" w:type="dxa"/>
            <w:shd w:val="clear" w:color="auto" w:fill="auto"/>
            <w:vAlign w:val="center"/>
          </w:tcPr>
          <w:p w14:paraId="3E2AA0F3" w14:textId="07B2AE94" w:rsidR="00D7365E" w:rsidRPr="00CB64CE" w:rsidRDefault="00D7365E" w:rsidP="00D7365E">
            <w:pPr>
              <w:pStyle w:val="TableHead"/>
              <w:rPr>
                <w:szCs w:val="24"/>
                <w:lang w:val="en-AU"/>
              </w:rPr>
            </w:pPr>
            <w:r w:rsidRPr="00CB64CE">
              <w:rPr>
                <w:lang w:val="en-AU"/>
              </w:rPr>
              <w:t>n (%)  (95% CI</w:t>
            </w:r>
            <w:r w:rsidRPr="00CB64CE">
              <w:rPr>
                <w:vertAlign w:val="superscript"/>
                <w:lang w:val="en-AU"/>
              </w:rPr>
              <w:t>*</w:t>
            </w:r>
            <w:r w:rsidRPr="00CB64CE">
              <w:rPr>
                <w:lang w:val="en-AU"/>
              </w:rPr>
              <w:t>)</w:t>
            </w:r>
          </w:p>
        </w:tc>
        <w:tc>
          <w:tcPr>
            <w:tcW w:w="3122" w:type="dxa"/>
            <w:shd w:val="clear" w:color="auto" w:fill="auto"/>
            <w:vAlign w:val="center"/>
          </w:tcPr>
          <w:p w14:paraId="046D5549" w14:textId="6CE01092" w:rsidR="00D7365E" w:rsidRPr="00CB64CE" w:rsidRDefault="00D7365E" w:rsidP="00D7365E">
            <w:pPr>
              <w:pStyle w:val="TableHead"/>
              <w:rPr>
                <w:szCs w:val="24"/>
                <w:lang w:val="en-AU"/>
              </w:rPr>
            </w:pPr>
            <w:r w:rsidRPr="00CB64CE">
              <w:rPr>
                <w:lang w:val="en-AU"/>
              </w:rPr>
              <w:t>n (%)  (95% CI</w:t>
            </w:r>
            <w:r w:rsidRPr="00CB64CE">
              <w:rPr>
                <w:vertAlign w:val="superscript"/>
                <w:lang w:val="en-AU"/>
              </w:rPr>
              <w:t>*</w:t>
            </w:r>
            <w:r w:rsidRPr="00CB64CE">
              <w:rPr>
                <w:lang w:val="en-AU"/>
              </w:rPr>
              <w:t>)</w:t>
            </w:r>
          </w:p>
        </w:tc>
      </w:tr>
      <w:tr w:rsidR="00D7365E" w:rsidRPr="00CB64CE" w14:paraId="0ED9D7EA" w14:textId="77777777" w:rsidTr="003A1F9B">
        <w:trPr>
          <w:cantSplit/>
        </w:trPr>
        <w:tc>
          <w:tcPr>
            <w:tcW w:w="9638" w:type="dxa"/>
            <w:gridSpan w:val="3"/>
            <w:shd w:val="clear" w:color="auto" w:fill="auto"/>
          </w:tcPr>
          <w:p w14:paraId="5679846B" w14:textId="372AC40D" w:rsidR="00D7365E" w:rsidRPr="00CB64CE" w:rsidRDefault="00D7365E" w:rsidP="00D7365E">
            <w:pPr>
              <w:pStyle w:val="TableLeft"/>
              <w:rPr>
                <w:b/>
                <w:lang w:val="en-AU"/>
              </w:rPr>
            </w:pPr>
            <w:r w:rsidRPr="00CB64CE">
              <w:rPr>
                <w:b/>
                <w:lang w:val="en-AU"/>
              </w:rPr>
              <w:t>Overall Response Rate</w:t>
            </w:r>
            <w:r w:rsidRPr="00CB64CE">
              <w:rPr>
                <w:b/>
                <w:vertAlign w:val="superscript"/>
                <w:lang w:val="en-AU"/>
              </w:rPr>
              <w:t xml:space="preserve"> </w:t>
            </w:r>
            <w:r w:rsidRPr="00CB64CE">
              <w:rPr>
                <w:b/>
                <w:lang w:val="en-AU"/>
              </w:rPr>
              <w:t>(ORR)</w:t>
            </w:r>
            <w:r w:rsidRPr="00CB64CE">
              <w:rPr>
                <w:b/>
                <w:vertAlign w:val="superscript"/>
                <w:lang w:val="en-AU"/>
              </w:rPr>
              <w:t>a</w:t>
            </w:r>
          </w:p>
        </w:tc>
      </w:tr>
      <w:tr w:rsidR="00D7365E" w:rsidRPr="00CB64CE" w14:paraId="115D4931" w14:textId="77777777" w:rsidTr="008C07FF">
        <w:trPr>
          <w:cantSplit/>
        </w:trPr>
        <w:tc>
          <w:tcPr>
            <w:tcW w:w="3539" w:type="dxa"/>
            <w:shd w:val="clear" w:color="auto" w:fill="auto"/>
          </w:tcPr>
          <w:p w14:paraId="563CD3B8" w14:textId="7C23393E" w:rsidR="00D7365E" w:rsidRPr="00CB64CE" w:rsidRDefault="00D7365E" w:rsidP="00D7365E">
            <w:pPr>
              <w:pStyle w:val="TableLeft"/>
              <w:rPr>
                <w:lang w:val="en-AU"/>
              </w:rPr>
            </w:pPr>
            <w:r w:rsidRPr="00CB64CE">
              <w:rPr>
                <w:szCs w:val="20"/>
                <w:lang w:val="en-AU"/>
              </w:rPr>
              <w:t xml:space="preserve">   Overall Response Rate </w:t>
            </w:r>
          </w:p>
        </w:tc>
        <w:tc>
          <w:tcPr>
            <w:tcW w:w="2977" w:type="dxa"/>
            <w:shd w:val="clear" w:color="auto" w:fill="auto"/>
            <w:vAlign w:val="center"/>
          </w:tcPr>
          <w:p w14:paraId="76931E05" w14:textId="3DC9F90C" w:rsidR="00D7365E" w:rsidRPr="00CB64CE" w:rsidRDefault="00D7365E" w:rsidP="00D7365E">
            <w:pPr>
              <w:pStyle w:val="TableCenter"/>
              <w:rPr>
                <w:lang w:val="en-AU"/>
              </w:rPr>
            </w:pPr>
            <w:r w:rsidRPr="00CB64CE">
              <w:rPr>
                <w:szCs w:val="20"/>
                <w:lang w:val="en-AU"/>
              </w:rPr>
              <w:t>100 (80.6%)  (72.6, 87.2)</w:t>
            </w:r>
          </w:p>
        </w:tc>
        <w:tc>
          <w:tcPr>
            <w:tcW w:w="3122" w:type="dxa"/>
            <w:shd w:val="clear" w:color="auto" w:fill="auto"/>
            <w:vAlign w:val="center"/>
          </w:tcPr>
          <w:p w14:paraId="04F3A067" w14:textId="019CDA6A" w:rsidR="00D7365E" w:rsidRPr="00CB64CE" w:rsidRDefault="00D7365E" w:rsidP="00D7365E">
            <w:pPr>
              <w:pStyle w:val="TableCenter"/>
              <w:rPr>
                <w:lang w:val="en-AU"/>
              </w:rPr>
            </w:pPr>
            <w:r w:rsidRPr="00CB64CE">
              <w:rPr>
                <w:szCs w:val="20"/>
                <w:lang w:val="en-AU"/>
              </w:rPr>
              <w:t>99 (79.8%)  (71.7, 86.5)</w:t>
            </w:r>
          </w:p>
        </w:tc>
      </w:tr>
      <w:tr w:rsidR="00D7365E" w:rsidRPr="00CB64CE" w14:paraId="4748B9A6" w14:textId="77777777" w:rsidTr="008C07FF">
        <w:trPr>
          <w:cantSplit/>
        </w:trPr>
        <w:tc>
          <w:tcPr>
            <w:tcW w:w="3539" w:type="dxa"/>
            <w:shd w:val="clear" w:color="auto" w:fill="auto"/>
          </w:tcPr>
          <w:p w14:paraId="42CD9200" w14:textId="67873A57" w:rsidR="00D7365E" w:rsidRPr="00CB64CE" w:rsidRDefault="00D7365E" w:rsidP="00D7365E">
            <w:pPr>
              <w:pStyle w:val="TableLeft"/>
              <w:rPr>
                <w:lang w:val="en-AU"/>
              </w:rPr>
            </w:pPr>
            <w:r w:rsidRPr="00CB64CE">
              <w:rPr>
                <w:szCs w:val="20"/>
                <w:lang w:val="en-AU"/>
              </w:rPr>
              <w:t xml:space="preserve">   Complete Response</w:t>
            </w:r>
          </w:p>
        </w:tc>
        <w:tc>
          <w:tcPr>
            <w:tcW w:w="2977" w:type="dxa"/>
            <w:shd w:val="clear" w:color="auto" w:fill="auto"/>
            <w:vAlign w:val="center"/>
          </w:tcPr>
          <w:p w14:paraId="6366E27D" w14:textId="35E466A6" w:rsidR="00D7365E" w:rsidRPr="00CB64CE" w:rsidRDefault="00D7365E" w:rsidP="00D7365E">
            <w:pPr>
              <w:pStyle w:val="TableCenter"/>
              <w:rPr>
                <w:lang w:val="en-AU"/>
              </w:rPr>
            </w:pPr>
            <w:r w:rsidRPr="00CB64CE">
              <w:rPr>
                <w:szCs w:val="20"/>
                <w:lang w:val="en-AU"/>
              </w:rPr>
              <w:t>49 (39.5%)  (30.9, 48.7)</w:t>
            </w:r>
          </w:p>
        </w:tc>
        <w:tc>
          <w:tcPr>
            <w:tcW w:w="3122" w:type="dxa"/>
            <w:shd w:val="clear" w:color="auto" w:fill="auto"/>
            <w:vAlign w:val="center"/>
          </w:tcPr>
          <w:p w14:paraId="7D0BC31A" w14:textId="18E89D6E" w:rsidR="00D7365E" w:rsidRPr="00CB64CE" w:rsidRDefault="00D7365E" w:rsidP="00D7365E">
            <w:pPr>
              <w:pStyle w:val="TableCenter"/>
              <w:rPr>
                <w:lang w:val="en-AU"/>
              </w:rPr>
            </w:pPr>
            <w:r w:rsidRPr="00CB64CE">
              <w:rPr>
                <w:szCs w:val="20"/>
                <w:lang w:val="en-AU"/>
              </w:rPr>
              <w:t>49 (39.5%)  (30.9, 48.7)</w:t>
            </w:r>
          </w:p>
        </w:tc>
      </w:tr>
      <w:tr w:rsidR="00D7365E" w:rsidRPr="00CB64CE" w14:paraId="0887C5AB" w14:textId="77777777" w:rsidTr="008C07FF">
        <w:trPr>
          <w:cantSplit/>
        </w:trPr>
        <w:tc>
          <w:tcPr>
            <w:tcW w:w="3539" w:type="dxa"/>
            <w:shd w:val="clear" w:color="auto" w:fill="auto"/>
          </w:tcPr>
          <w:p w14:paraId="4C070339" w14:textId="384C2634" w:rsidR="00D7365E" w:rsidRPr="00CB64CE" w:rsidRDefault="00D7365E" w:rsidP="00D7365E">
            <w:pPr>
              <w:pStyle w:val="TableLeft"/>
              <w:rPr>
                <w:lang w:val="en-AU"/>
              </w:rPr>
            </w:pPr>
            <w:r w:rsidRPr="00CB64CE">
              <w:rPr>
                <w:szCs w:val="20"/>
                <w:lang w:val="en-AU"/>
              </w:rPr>
              <w:t xml:space="preserve">   Partial Response</w:t>
            </w:r>
          </w:p>
        </w:tc>
        <w:tc>
          <w:tcPr>
            <w:tcW w:w="2977" w:type="dxa"/>
            <w:shd w:val="clear" w:color="auto" w:fill="auto"/>
            <w:vAlign w:val="center"/>
          </w:tcPr>
          <w:p w14:paraId="44138D74" w14:textId="473748D9" w:rsidR="00D7365E" w:rsidRPr="00CB64CE" w:rsidRDefault="00D7365E" w:rsidP="00D7365E">
            <w:pPr>
              <w:pStyle w:val="TableCenter"/>
              <w:rPr>
                <w:lang w:val="en-AU"/>
              </w:rPr>
            </w:pPr>
            <w:r w:rsidRPr="00CB64CE">
              <w:rPr>
                <w:szCs w:val="20"/>
                <w:lang w:val="en-AU"/>
              </w:rPr>
              <w:t>51 (41.1%)  (32.4, 50.3)</w:t>
            </w:r>
          </w:p>
        </w:tc>
        <w:tc>
          <w:tcPr>
            <w:tcW w:w="3122" w:type="dxa"/>
            <w:shd w:val="clear" w:color="auto" w:fill="auto"/>
            <w:vAlign w:val="center"/>
          </w:tcPr>
          <w:p w14:paraId="3D267C9F" w14:textId="292B05E6" w:rsidR="00D7365E" w:rsidRPr="00CB64CE" w:rsidRDefault="00D7365E" w:rsidP="00D7365E">
            <w:pPr>
              <w:pStyle w:val="TableCenter"/>
              <w:rPr>
                <w:lang w:val="en-AU"/>
              </w:rPr>
            </w:pPr>
            <w:r w:rsidRPr="00CB64CE">
              <w:rPr>
                <w:szCs w:val="20"/>
                <w:lang w:val="en-AU"/>
              </w:rPr>
              <w:t>50 (40.3%)  (31.6, 49.5)</w:t>
            </w:r>
          </w:p>
        </w:tc>
      </w:tr>
      <w:tr w:rsidR="00D7365E" w:rsidRPr="00CB64CE" w14:paraId="24A4EDB5" w14:textId="77777777" w:rsidTr="008C07FF">
        <w:trPr>
          <w:cantSplit/>
        </w:trPr>
        <w:tc>
          <w:tcPr>
            <w:tcW w:w="3539" w:type="dxa"/>
            <w:shd w:val="clear" w:color="auto" w:fill="auto"/>
          </w:tcPr>
          <w:p w14:paraId="23BFA450" w14:textId="728E19B3" w:rsidR="00D7365E" w:rsidRPr="00CB64CE" w:rsidRDefault="00D7365E" w:rsidP="00D7365E">
            <w:pPr>
              <w:pStyle w:val="TableLeft"/>
              <w:rPr>
                <w:lang w:val="en-AU"/>
              </w:rPr>
            </w:pPr>
            <w:r w:rsidRPr="00CB64CE">
              <w:rPr>
                <w:szCs w:val="20"/>
                <w:lang w:val="en-AU"/>
              </w:rPr>
              <w:t xml:space="preserve">   Stable Disease</w:t>
            </w:r>
          </w:p>
        </w:tc>
        <w:tc>
          <w:tcPr>
            <w:tcW w:w="2977" w:type="dxa"/>
            <w:shd w:val="clear" w:color="auto" w:fill="auto"/>
            <w:vAlign w:val="center"/>
          </w:tcPr>
          <w:p w14:paraId="0A0F58C6" w14:textId="507CDD5D" w:rsidR="00D7365E" w:rsidRPr="00CB64CE" w:rsidRDefault="00D7365E" w:rsidP="00D7365E">
            <w:pPr>
              <w:pStyle w:val="TableCenter"/>
              <w:rPr>
                <w:lang w:val="en-AU"/>
              </w:rPr>
            </w:pPr>
            <w:r w:rsidRPr="00CB64CE">
              <w:rPr>
                <w:szCs w:val="20"/>
                <w:lang w:val="en-AU"/>
              </w:rPr>
              <w:t>11 (8.9%)  (4.5, 15.3)</w:t>
            </w:r>
          </w:p>
        </w:tc>
        <w:tc>
          <w:tcPr>
            <w:tcW w:w="3122" w:type="dxa"/>
            <w:shd w:val="clear" w:color="auto" w:fill="auto"/>
            <w:vAlign w:val="center"/>
          </w:tcPr>
          <w:p w14:paraId="09CD50E4" w14:textId="61452401" w:rsidR="00D7365E" w:rsidRPr="00CB64CE" w:rsidRDefault="00D7365E" w:rsidP="00D7365E">
            <w:pPr>
              <w:pStyle w:val="TableCenter"/>
              <w:rPr>
                <w:lang w:val="en-AU"/>
              </w:rPr>
            </w:pPr>
            <w:r w:rsidRPr="00CB64CE">
              <w:rPr>
                <w:szCs w:val="20"/>
                <w:lang w:val="en-AU"/>
              </w:rPr>
              <w:t>9 (7.3%)  (3.4, 13.3)</w:t>
            </w:r>
          </w:p>
        </w:tc>
      </w:tr>
      <w:tr w:rsidR="00D7365E" w:rsidRPr="00CB64CE" w14:paraId="5C78D631" w14:textId="77777777" w:rsidTr="008C07FF">
        <w:trPr>
          <w:cantSplit/>
        </w:trPr>
        <w:tc>
          <w:tcPr>
            <w:tcW w:w="3539" w:type="dxa"/>
            <w:shd w:val="clear" w:color="auto" w:fill="auto"/>
          </w:tcPr>
          <w:p w14:paraId="30D90145" w14:textId="348337CB" w:rsidR="00D7365E" w:rsidRPr="00CB64CE" w:rsidRDefault="00D7365E" w:rsidP="00D7365E">
            <w:pPr>
              <w:pStyle w:val="TableLeft"/>
              <w:rPr>
                <w:lang w:val="en-AU"/>
              </w:rPr>
            </w:pPr>
            <w:r w:rsidRPr="00CB64CE">
              <w:rPr>
                <w:szCs w:val="20"/>
                <w:lang w:val="en-AU"/>
              </w:rPr>
              <w:t xml:space="preserve">   Progressive Disease</w:t>
            </w:r>
          </w:p>
        </w:tc>
        <w:tc>
          <w:tcPr>
            <w:tcW w:w="2977" w:type="dxa"/>
            <w:shd w:val="clear" w:color="auto" w:fill="auto"/>
            <w:vAlign w:val="center"/>
          </w:tcPr>
          <w:p w14:paraId="10127D59" w14:textId="29004322" w:rsidR="00D7365E" w:rsidRPr="00CB64CE" w:rsidRDefault="00D7365E" w:rsidP="00D7365E">
            <w:pPr>
              <w:pStyle w:val="TableCenter"/>
              <w:rPr>
                <w:lang w:val="en-AU"/>
              </w:rPr>
            </w:pPr>
            <w:r w:rsidRPr="00CB64CE">
              <w:rPr>
                <w:szCs w:val="20"/>
                <w:lang w:val="en-AU"/>
              </w:rPr>
              <w:t>10 (8.1%)  (3.9, 14.3)</w:t>
            </w:r>
          </w:p>
        </w:tc>
        <w:tc>
          <w:tcPr>
            <w:tcW w:w="3122" w:type="dxa"/>
            <w:shd w:val="clear" w:color="auto" w:fill="auto"/>
            <w:vAlign w:val="center"/>
          </w:tcPr>
          <w:p w14:paraId="305F8B89" w14:textId="0A1C47C5" w:rsidR="00D7365E" w:rsidRPr="00CB64CE" w:rsidRDefault="00D7365E" w:rsidP="00D7365E">
            <w:pPr>
              <w:pStyle w:val="TableCenter"/>
              <w:rPr>
                <w:lang w:val="en-AU"/>
              </w:rPr>
            </w:pPr>
            <w:r w:rsidRPr="00CB64CE">
              <w:rPr>
                <w:szCs w:val="20"/>
                <w:lang w:val="en-AU"/>
              </w:rPr>
              <w:t>11 (8.9%)  (4.9, 15.3)</w:t>
            </w:r>
          </w:p>
        </w:tc>
      </w:tr>
      <w:tr w:rsidR="00D7365E" w:rsidRPr="00CB64CE" w14:paraId="0D8A243D" w14:textId="77777777" w:rsidTr="008C07FF">
        <w:trPr>
          <w:cantSplit/>
        </w:trPr>
        <w:tc>
          <w:tcPr>
            <w:tcW w:w="3539" w:type="dxa"/>
            <w:shd w:val="clear" w:color="auto" w:fill="auto"/>
          </w:tcPr>
          <w:p w14:paraId="7295836C" w14:textId="79FA10ED" w:rsidR="00D7365E" w:rsidRPr="00CB64CE" w:rsidRDefault="00D7365E" w:rsidP="00D7365E">
            <w:pPr>
              <w:pStyle w:val="TableLeft"/>
              <w:rPr>
                <w:lang w:val="en-AU"/>
              </w:rPr>
            </w:pPr>
            <w:r w:rsidRPr="00CB64CE">
              <w:rPr>
                <w:szCs w:val="20"/>
                <w:lang w:val="en-AU"/>
              </w:rPr>
              <w:t xml:space="preserve">   Non-Evaluable</w:t>
            </w:r>
            <w:r w:rsidRPr="00CB64CE">
              <w:rPr>
                <w:rFonts w:eastAsia="+mn-ea"/>
                <w:szCs w:val="20"/>
                <w:lang w:val="en-AU"/>
              </w:rPr>
              <w:t>†</w:t>
            </w:r>
          </w:p>
        </w:tc>
        <w:tc>
          <w:tcPr>
            <w:tcW w:w="2977" w:type="dxa"/>
            <w:shd w:val="clear" w:color="auto" w:fill="auto"/>
            <w:vAlign w:val="center"/>
          </w:tcPr>
          <w:p w14:paraId="6CDFC3F6" w14:textId="0968556D" w:rsidR="00D7365E" w:rsidRPr="00CB64CE" w:rsidRDefault="00D7365E" w:rsidP="00D7365E">
            <w:pPr>
              <w:pStyle w:val="TableCenter"/>
              <w:rPr>
                <w:lang w:val="en-AU"/>
              </w:rPr>
            </w:pPr>
            <w:r w:rsidRPr="00CB64CE">
              <w:rPr>
                <w:szCs w:val="20"/>
                <w:lang w:val="en-AU"/>
              </w:rPr>
              <w:t>3 (2.4%)  (0.5, 6.9)</w:t>
            </w:r>
          </w:p>
        </w:tc>
        <w:tc>
          <w:tcPr>
            <w:tcW w:w="3122" w:type="dxa"/>
            <w:shd w:val="clear" w:color="auto" w:fill="auto"/>
            <w:vAlign w:val="center"/>
          </w:tcPr>
          <w:p w14:paraId="5F6DACC6" w14:textId="02A1FDDC" w:rsidR="00D7365E" w:rsidRPr="00CB64CE" w:rsidRDefault="00D7365E" w:rsidP="00D7365E">
            <w:pPr>
              <w:pStyle w:val="TableCenter"/>
              <w:rPr>
                <w:lang w:val="en-AU"/>
              </w:rPr>
            </w:pPr>
            <w:r w:rsidRPr="00CB64CE">
              <w:rPr>
                <w:szCs w:val="20"/>
                <w:lang w:val="en-AU"/>
              </w:rPr>
              <w:t>5 (4.0%)  (1.3, 9.2)</w:t>
            </w:r>
          </w:p>
        </w:tc>
      </w:tr>
      <w:tr w:rsidR="00D7365E" w:rsidRPr="00CB64CE" w14:paraId="4EF6F3BA" w14:textId="77777777" w:rsidTr="003A1F9B">
        <w:trPr>
          <w:cantSplit/>
        </w:trPr>
        <w:tc>
          <w:tcPr>
            <w:tcW w:w="9638" w:type="dxa"/>
            <w:gridSpan w:val="3"/>
            <w:shd w:val="clear" w:color="auto" w:fill="auto"/>
          </w:tcPr>
          <w:p w14:paraId="1B34ADA9" w14:textId="654ED706" w:rsidR="00D7365E" w:rsidRPr="00CB64CE" w:rsidRDefault="00D7365E" w:rsidP="00D7365E">
            <w:pPr>
              <w:pStyle w:val="TableLeft"/>
              <w:rPr>
                <w:b/>
                <w:lang w:val="en-AU"/>
              </w:rPr>
            </w:pPr>
            <w:r w:rsidRPr="00CB64CE">
              <w:rPr>
                <w:b/>
                <w:lang w:val="en-AU"/>
              </w:rPr>
              <w:t>Duration of Response (DoR)</w:t>
            </w:r>
          </w:p>
        </w:tc>
      </w:tr>
      <w:tr w:rsidR="00D7365E" w:rsidRPr="00CB64CE" w14:paraId="1BD87D49" w14:textId="77777777" w:rsidTr="008C07FF">
        <w:trPr>
          <w:cantSplit/>
        </w:trPr>
        <w:tc>
          <w:tcPr>
            <w:tcW w:w="3539" w:type="dxa"/>
            <w:shd w:val="clear" w:color="auto" w:fill="auto"/>
          </w:tcPr>
          <w:p w14:paraId="72F0FD69" w14:textId="4BC48C26" w:rsidR="00D7365E" w:rsidRPr="00CB64CE" w:rsidRDefault="008C07FF" w:rsidP="00D7365E">
            <w:pPr>
              <w:pStyle w:val="TableLeft"/>
              <w:rPr>
                <w:lang w:val="en-AU"/>
              </w:rPr>
            </w:pPr>
            <w:r w:rsidRPr="00CB64CE">
              <w:rPr>
                <w:lang w:val="en-AU"/>
              </w:rPr>
              <w:t xml:space="preserve">   </w:t>
            </w:r>
            <w:r w:rsidR="00D7365E" w:rsidRPr="00CB64CE">
              <w:rPr>
                <w:lang w:val="en-AU"/>
              </w:rPr>
              <w:t xml:space="preserve">Median </w:t>
            </w:r>
            <w:r w:rsidRPr="00CB64CE">
              <w:rPr>
                <w:lang w:val="en-AU"/>
              </w:rPr>
              <w:t>(</w:t>
            </w:r>
            <w:r w:rsidR="00D7365E" w:rsidRPr="00CB64CE">
              <w:rPr>
                <w:lang w:val="en-AU"/>
              </w:rPr>
              <w:t>months</w:t>
            </w:r>
            <w:r w:rsidRPr="00CB64CE">
              <w:rPr>
                <w:lang w:val="en-AU"/>
              </w:rPr>
              <w:t>)</w:t>
            </w:r>
          </w:p>
        </w:tc>
        <w:tc>
          <w:tcPr>
            <w:tcW w:w="2977" w:type="dxa"/>
            <w:shd w:val="clear" w:color="auto" w:fill="auto"/>
          </w:tcPr>
          <w:p w14:paraId="223692FE" w14:textId="3341CF71" w:rsidR="00D7365E" w:rsidRPr="00CB64CE" w:rsidRDefault="00D7365E" w:rsidP="00D7365E">
            <w:pPr>
              <w:pStyle w:val="TableCenter"/>
              <w:rPr>
                <w:lang w:val="en-AU"/>
              </w:rPr>
            </w:pPr>
            <w:r w:rsidRPr="00CB64CE">
              <w:rPr>
                <w:lang w:val="en-AU"/>
              </w:rPr>
              <w:t>NR [1+ to 20+]</w:t>
            </w:r>
          </w:p>
        </w:tc>
        <w:tc>
          <w:tcPr>
            <w:tcW w:w="3122" w:type="dxa"/>
            <w:shd w:val="clear" w:color="auto" w:fill="auto"/>
          </w:tcPr>
          <w:p w14:paraId="22B1D8D7" w14:textId="7EBFF9F0" w:rsidR="00D7365E" w:rsidRPr="00CB64CE" w:rsidRDefault="00D7365E" w:rsidP="00D7365E">
            <w:pPr>
              <w:pStyle w:val="TableCenter"/>
              <w:rPr>
                <w:lang w:val="en-AU"/>
              </w:rPr>
            </w:pPr>
            <w:r w:rsidRPr="00CB64CE">
              <w:rPr>
                <w:lang w:val="en-AU"/>
              </w:rPr>
              <w:t>NR [0+ to 20+]</w:t>
            </w:r>
          </w:p>
        </w:tc>
      </w:tr>
      <w:tr w:rsidR="008C07FF" w:rsidRPr="00CB64CE" w14:paraId="570C4888" w14:textId="77777777" w:rsidTr="008C07FF">
        <w:trPr>
          <w:cantSplit/>
        </w:trPr>
        <w:tc>
          <w:tcPr>
            <w:tcW w:w="9638" w:type="dxa"/>
            <w:gridSpan w:val="3"/>
            <w:shd w:val="clear" w:color="auto" w:fill="auto"/>
          </w:tcPr>
          <w:p w14:paraId="29F27F59" w14:textId="53B2687E" w:rsidR="008C07FF" w:rsidRPr="00CB64CE" w:rsidRDefault="008C07FF" w:rsidP="008C07FF">
            <w:pPr>
              <w:pStyle w:val="TableCenter"/>
              <w:jc w:val="left"/>
              <w:rPr>
                <w:b/>
                <w:lang w:val="en-AU"/>
              </w:rPr>
            </w:pPr>
            <w:r w:rsidRPr="00CB64CE">
              <w:rPr>
                <w:b/>
                <w:szCs w:val="20"/>
                <w:lang w:val="en-AU"/>
              </w:rPr>
              <w:t>Landmark DOR</w:t>
            </w:r>
          </w:p>
        </w:tc>
      </w:tr>
      <w:tr w:rsidR="008C07FF" w:rsidRPr="00CB64CE" w14:paraId="393212D3" w14:textId="77777777" w:rsidTr="00D513A6">
        <w:trPr>
          <w:cantSplit/>
        </w:trPr>
        <w:tc>
          <w:tcPr>
            <w:tcW w:w="3539" w:type="dxa"/>
            <w:shd w:val="clear" w:color="auto" w:fill="auto"/>
          </w:tcPr>
          <w:p w14:paraId="1523733A" w14:textId="2B33279E" w:rsidR="008C07FF" w:rsidRPr="00CB64CE" w:rsidRDefault="008C07FF" w:rsidP="008C07FF">
            <w:pPr>
              <w:pStyle w:val="TableLeft"/>
              <w:rPr>
                <w:lang w:val="en-AU"/>
              </w:rPr>
            </w:pPr>
            <w:r w:rsidRPr="00CB64CE">
              <w:rPr>
                <w:szCs w:val="20"/>
                <w:lang w:val="en-AU"/>
              </w:rPr>
              <w:t xml:space="preserve">   12 months estimate (%) (95% CI)</w:t>
            </w:r>
          </w:p>
        </w:tc>
        <w:tc>
          <w:tcPr>
            <w:tcW w:w="2977" w:type="dxa"/>
            <w:shd w:val="clear" w:color="auto" w:fill="auto"/>
            <w:vAlign w:val="center"/>
          </w:tcPr>
          <w:p w14:paraId="0C08281A" w14:textId="64839C0F" w:rsidR="008C07FF" w:rsidRPr="00CB64CE" w:rsidRDefault="008C07FF" w:rsidP="008C07FF">
            <w:pPr>
              <w:pStyle w:val="TableCenter"/>
              <w:rPr>
                <w:lang w:val="en-AU"/>
              </w:rPr>
            </w:pPr>
            <w:r w:rsidRPr="00CB64CE">
              <w:rPr>
                <w:szCs w:val="20"/>
                <w:lang w:val="en-AU"/>
              </w:rPr>
              <w:t>72.1 (61.6, 80.2)</w:t>
            </w:r>
          </w:p>
        </w:tc>
        <w:tc>
          <w:tcPr>
            <w:tcW w:w="3122" w:type="dxa"/>
            <w:shd w:val="clear" w:color="auto" w:fill="auto"/>
            <w:vAlign w:val="center"/>
          </w:tcPr>
          <w:p w14:paraId="2FF7317B" w14:textId="2806C61D" w:rsidR="008C07FF" w:rsidRPr="00CB64CE" w:rsidRDefault="008C07FF" w:rsidP="008C07FF">
            <w:pPr>
              <w:pStyle w:val="TableCenter"/>
              <w:rPr>
                <w:lang w:val="en-AU"/>
              </w:rPr>
            </w:pPr>
            <w:r w:rsidRPr="00CB64CE">
              <w:rPr>
                <w:szCs w:val="20"/>
                <w:lang w:val="en-AU"/>
              </w:rPr>
              <w:t>72.3 (61.9, 80.2)</w:t>
            </w:r>
          </w:p>
        </w:tc>
      </w:tr>
      <w:tr w:rsidR="008C07FF" w:rsidRPr="00CB64CE" w14:paraId="2A7BFA2B" w14:textId="77777777" w:rsidTr="00D513A6">
        <w:trPr>
          <w:cantSplit/>
        </w:trPr>
        <w:tc>
          <w:tcPr>
            <w:tcW w:w="3539" w:type="dxa"/>
            <w:shd w:val="clear" w:color="auto" w:fill="auto"/>
          </w:tcPr>
          <w:p w14:paraId="0E0281D1" w14:textId="26EB1822" w:rsidR="008C07FF" w:rsidRPr="00CB64CE" w:rsidRDefault="008C07FF" w:rsidP="008C07FF">
            <w:pPr>
              <w:pStyle w:val="TableLeft"/>
              <w:rPr>
                <w:lang w:val="en-AU"/>
              </w:rPr>
            </w:pPr>
            <w:r w:rsidRPr="00CB64CE">
              <w:rPr>
                <w:szCs w:val="20"/>
                <w:lang w:val="en-AU"/>
              </w:rPr>
              <w:t xml:space="preserve">   18 months estimate (%) (95% CI)</w:t>
            </w:r>
          </w:p>
        </w:tc>
        <w:tc>
          <w:tcPr>
            <w:tcW w:w="2977" w:type="dxa"/>
            <w:shd w:val="clear" w:color="auto" w:fill="auto"/>
            <w:vAlign w:val="center"/>
          </w:tcPr>
          <w:p w14:paraId="113AE16E" w14:textId="2409A2C6" w:rsidR="008C07FF" w:rsidRPr="00CB64CE" w:rsidRDefault="008C07FF" w:rsidP="008C07FF">
            <w:pPr>
              <w:pStyle w:val="TableCenter"/>
              <w:rPr>
                <w:lang w:val="en-AU"/>
              </w:rPr>
            </w:pPr>
            <w:r w:rsidRPr="00CB64CE">
              <w:rPr>
                <w:szCs w:val="20"/>
                <w:lang w:val="en-AU"/>
              </w:rPr>
              <w:t>63.3 (49.4, 74.3)</w:t>
            </w:r>
          </w:p>
        </w:tc>
        <w:tc>
          <w:tcPr>
            <w:tcW w:w="3122" w:type="dxa"/>
            <w:shd w:val="clear" w:color="auto" w:fill="auto"/>
            <w:vAlign w:val="center"/>
          </w:tcPr>
          <w:p w14:paraId="1AE6FCC6" w14:textId="20B65847" w:rsidR="008C07FF" w:rsidRPr="00CB64CE" w:rsidRDefault="008C07FF" w:rsidP="008C07FF">
            <w:pPr>
              <w:pStyle w:val="TableCenter"/>
              <w:rPr>
                <w:lang w:val="en-AU"/>
              </w:rPr>
            </w:pPr>
            <w:r w:rsidRPr="00CB64CE">
              <w:rPr>
                <w:szCs w:val="20"/>
                <w:lang w:val="en-AU"/>
              </w:rPr>
              <w:t>56.0 (38.2, 70.6)</w:t>
            </w:r>
          </w:p>
        </w:tc>
      </w:tr>
    </w:tbl>
    <w:p w14:paraId="13F56FDA" w14:textId="77777777" w:rsidR="006776B4" w:rsidRPr="00CB64CE" w:rsidRDefault="006776B4" w:rsidP="00E24779">
      <w:pPr>
        <w:pStyle w:val="TableFootnoteLetter"/>
        <w:numPr>
          <w:ilvl w:val="0"/>
          <w:numId w:val="14"/>
        </w:numPr>
        <w:rPr>
          <w:lang w:val="en-AU"/>
        </w:rPr>
      </w:pPr>
      <w:r w:rsidRPr="00CB64CE">
        <w:rPr>
          <w:lang w:val="en-AU"/>
        </w:rPr>
        <w:t xml:space="preserve">*Per 2014 Lugano Classification. </w:t>
      </w:r>
    </w:p>
    <w:p w14:paraId="0D6E89EE" w14:textId="77777777" w:rsidR="008C07FF" w:rsidRPr="00CB64CE" w:rsidRDefault="008C07FF" w:rsidP="008C07FF">
      <w:pPr>
        <w:pStyle w:val="TableFootnoteInfo"/>
        <w:rPr>
          <w:lang w:val="en-AU"/>
        </w:rPr>
      </w:pPr>
      <w:r w:rsidRPr="00CB64CE">
        <w:rPr>
          <w:lang w:val="en-AU"/>
        </w:rPr>
        <w:t>CI=Confidence Interval; NR = Not Reached</w:t>
      </w:r>
    </w:p>
    <w:p w14:paraId="64AE2F00" w14:textId="77777777" w:rsidR="008C07FF" w:rsidRPr="00CB64CE" w:rsidRDefault="008C07FF" w:rsidP="008C07FF">
      <w:pPr>
        <w:pStyle w:val="TableFootnoteInfo"/>
        <w:rPr>
          <w:lang w:val="en-AU"/>
        </w:rPr>
      </w:pPr>
      <w:r w:rsidRPr="00CB64CE">
        <w:rPr>
          <w:lang w:val="en-AU"/>
        </w:rPr>
        <w:t>*95% exact binomial confidence interval.</w:t>
      </w:r>
    </w:p>
    <w:p w14:paraId="75DCDBB6" w14:textId="77777777" w:rsidR="008C07FF" w:rsidRPr="00CB64CE" w:rsidRDefault="008C07FF" w:rsidP="008C07FF">
      <w:pPr>
        <w:pStyle w:val="TableFootnoteInfo"/>
        <w:rPr>
          <w:lang w:val="en-AU"/>
        </w:rPr>
      </w:pPr>
      <w:r w:rsidRPr="00CB64CE">
        <w:rPr>
          <w:lang w:val="en-AU"/>
        </w:rPr>
        <w:t xml:space="preserve">†Includes subjects without any adequate post-baseline disease assessment </w:t>
      </w:r>
    </w:p>
    <w:p w14:paraId="78B86A5E" w14:textId="77777777" w:rsidR="00B814CD" w:rsidRPr="00CB64CE" w:rsidRDefault="00B814CD" w:rsidP="00B814CD">
      <w:pPr>
        <w:pStyle w:val="Paragraph"/>
        <w:rPr>
          <w:lang w:val="en-AU"/>
        </w:rPr>
      </w:pPr>
    </w:p>
    <w:p w14:paraId="5C8ADA46" w14:textId="77777777" w:rsidR="006776B4" w:rsidRPr="00CB64CE" w:rsidRDefault="006776B4" w:rsidP="00B86C72">
      <w:pPr>
        <w:pStyle w:val="Heading4Unnumbered"/>
        <w:rPr>
          <w:lang w:val="en-AU"/>
        </w:rPr>
      </w:pPr>
      <w:r w:rsidRPr="00CB64CE">
        <w:rPr>
          <w:lang w:val="en-AU"/>
        </w:rPr>
        <w:t>Lymphocytosis</w:t>
      </w:r>
    </w:p>
    <w:p w14:paraId="247E623E" w14:textId="438C715B" w:rsidR="005A6AF7" w:rsidRPr="00CB64CE" w:rsidRDefault="006776B4" w:rsidP="00B86C72">
      <w:pPr>
        <w:pStyle w:val="Paragraph"/>
        <w:rPr>
          <w:lang w:val="en-AU"/>
        </w:rPr>
      </w:pPr>
      <w:r w:rsidRPr="00CB64CE">
        <w:rPr>
          <w:lang w:val="en-AU"/>
        </w:rPr>
        <w:t xml:space="preserve">Upon initiation of CALQUENCE, a temporary increase in lymphocyte counts (defined as absolute lymphocyte count (ALC) increased ≥ 50% from baseline and a post baseline assessment ≥5x109) in 31.5% of patients in </w:t>
      </w:r>
      <w:r w:rsidR="000B4880" w:rsidRPr="00CB64CE">
        <w:rPr>
          <w:lang w:val="en-AU"/>
        </w:rPr>
        <w:t>ACE-</w:t>
      </w:r>
      <w:r w:rsidRPr="00CB64CE">
        <w:rPr>
          <w:lang w:val="en-AU"/>
        </w:rPr>
        <w:t>LY-004. The median time to onset of lymphocytosis was 1.1 weeks and the median duration of lymphocytosis was 6.7 weeks.</w:t>
      </w:r>
    </w:p>
    <w:p w14:paraId="441B3BD0" w14:textId="2C7EACBE" w:rsidR="001A3992" w:rsidRPr="00CB64CE" w:rsidRDefault="00B86C72" w:rsidP="007968B4">
      <w:pPr>
        <w:pStyle w:val="Heading2"/>
        <w:rPr>
          <w:lang w:val="en-AU"/>
        </w:rPr>
      </w:pPr>
      <w:bookmarkStart w:id="15" w:name="_Ref13512319"/>
      <w:r w:rsidRPr="00CB64CE">
        <w:rPr>
          <w:rStyle w:val="FootnoteReference"/>
          <w:lang w:val="en-AU"/>
        </w:rPr>
        <w:footnoteReference w:id="15"/>
      </w:r>
      <w:r w:rsidR="007403BD" w:rsidRPr="00CB64CE">
        <w:rPr>
          <w:lang w:val="en-AU"/>
        </w:rPr>
        <w:t>Pharmacokinetic properties</w:t>
      </w:r>
      <w:bookmarkEnd w:id="15"/>
    </w:p>
    <w:p w14:paraId="10921609" w14:textId="2F7E73E1" w:rsidR="006F170B" w:rsidRPr="00CB64CE" w:rsidRDefault="006F170B" w:rsidP="006F170B">
      <w:pPr>
        <w:pStyle w:val="Paragraph"/>
        <w:rPr>
          <w:lang w:val="en-AU"/>
        </w:rPr>
      </w:pPr>
      <w:r w:rsidRPr="00CB64CE">
        <w:rPr>
          <w:lang w:val="en-AU"/>
        </w:rPr>
        <w:t>The pharmacokinetics (PK) of acalabrutinib was studied in healthy subjects and patients with B-cell malignancies. Acalabrutinib exhibits almost linear PK across a dose range of 75 to 250</w:t>
      </w:r>
      <w:r w:rsidR="00D75E6B" w:rsidRPr="00CB64CE">
        <w:rPr>
          <w:lang w:val="en-AU"/>
        </w:rPr>
        <w:t> </w:t>
      </w:r>
      <w:r w:rsidRPr="00CB64CE">
        <w:rPr>
          <w:lang w:val="en-AU"/>
        </w:rPr>
        <w:t xml:space="preserve">mg (0.75 to 2.5 times the approved recommended single dose) and exhibits dose-proportionality. </w:t>
      </w:r>
      <w:r w:rsidR="0088215D" w:rsidRPr="00CB64CE">
        <w:rPr>
          <w:lang w:val="en-AU"/>
        </w:rPr>
        <w:t>At the recommended dose of 100 mg twice daily, t</w:t>
      </w:r>
      <w:r w:rsidRPr="00CB64CE">
        <w:rPr>
          <w:lang w:val="en-AU"/>
        </w:rPr>
        <w:t>he daily area under the plasma drug concentration over time curve (AUC) was 1111</w:t>
      </w:r>
      <w:r w:rsidR="00D75E6B" w:rsidRPr="00CB64CE">
        <w:rPr>
          <w:lang w:val="en-AU"/>
        </w:rPr>
        <w:t> </w:t>
      </w:r>
      <w:r w:rsidRPr="00CB64CE">
        <w:rPr>
          <w:lang w:val="en-AU"/>
        </w:rPr>
        <w:t>ng•h/mL and maximum plasma concentration (C</w:t>
      </w:r>
      <w:r w:rsidRPr="00CB64CE">
        <w:rPr>
          <w:vertAlign w:val="subscript"/>
          <w:lang w:val="en-AU"/>
        </w:rPr>
        <w:t>max</w:t>
      </w:r>
      <w:r w:rsidRPr="00CB64CE">
        <w:rPr>
          <w:lang w:val="en-AU"/>
        </w:rPr>
        <w:t>) of acalabrutinib was 323</w:t>
      </w:r>
      <w:r w:rsidR="00D75E6B" w:rsidRPr="00CB64CE">
        <w:rPr>
          <w:lang w:val="en-AU"/>
        </w:rPr>
        <w:t> </w:t>
      </w:r>
      <w:r w:rsidRPr="00CB64CE">
        <w:rPr>
          <w:lang w:val="en-AU"/>
        </w:rPr>
        <w:t>ng/mL</w:t>
      </w:r>
      <w:r w:rsidR="0088215D" w:rsidRPr="00CB64CE">
        <w:rPr>
          <w:lang w:val="en-AU"/>
        </w:rPr>
        <w:t>.</w:t>
      </w:r>
    </w:p>
    <w:p w14:paraId="1A91F30F" w14:textId="77777777" w:rsidR="001A3992" w:rsidRPr="00CB64CE" w:rsidRDefault="001A3992" w:rsidP="0026491B">
      <w:pPr>
        <w:pStyle w:val="Heading3Unnumbered"/>
        <w:rPr>
          <w:lang w:val="en-AU"/>
        </w:rPr>
      </w:pPr>
      <w:r w:rsidRPr="00CB64CE">
        <w:rPr>
          <w:lang w:val="en-AU"/>
        </w:rPr>
        <w:lastRenderedPageBreak/>
        <w:t>Absorption</w:t>
      </w:r>
    </w:p>
    <w:p w14:paraId="1DB2EEE9" w14:textId="77777777" w:rsidR="008D17AB" w:rsidRPr="00CB64CE" w:rsidRDefault="008D17AB" w:rsidP="008D17AB">
      <w:pPr>
        <w:rPr>
          <w:rFonts w:eastAsia="Calibri"/>
          <w:lang w:val="en-AU"/>
        </w:rPr>
      </w:pPr>
      <w:r w:rsidRPr="00CB64CE">
        <w:rPr>
          <w:rFonts w:eastAsia="Calibri"/>
          <w:lang w:val="en-AU"/>
        </w:rPr>
        <w:t>The median time to peak acalabrutinib plasma concentrations (T</w:t>
      </w:r>
      <w:r w:rsidRPr="00CB64CE">
        <w:rPr>
          <w:rFonts w:eastAsia="Calibri"/>
          <w:vertAlign w:val="subscript"/>
          <w:lang w:val="en-AU"/>
        </w:rPr>
        <w:t>max</w:t>
      </w:r>
      <w:r w:rsidRPr="00CB64CE">
        <w:rPr>
          <w:rFonts w:eastAsia="Calibri"/>
          <w:lang w:val="en-AU"/>
        </w:rPr>
        <w:t>) was 0.75 hours. The absolute bioavailability of CALQUENCE was 25%.</w:t>
      </w:r>
    </w:p>
    <w:p w14:paraId="14ED23B7" w14:textId="77777777" w:rsidR="001A3992" w:rsidRPr="00CB64CE" w:rsidRDefault="001A3992" w:rsidP="0026491B">
      <w:pPr>
        <w:pStyle w:val="Heading3Unnumbered"/>
        <w:rPr>
          <w:lang w:val="en-AU"/>
        </w:rPr>
      </w:pPr>
      <w:r w:rsidRPr="00CB64CE">
        <w:rPr>
          <w:lang w:val="en-AU"/>
        </w:rPr>
        <w:t>Distribution</w:t>
      </w:r>
    </w:p>
    <w:p w14:paraId="32921BD4" w14:textId="77089CC8" w:rsidR="006F170B" w:rsidRPr="00CB64CE" w:rsidRDefault="006F170B" w:rsidP="006F170B">
      <w:pPr>
        <w:pStyle w:val="Paragraph"/>
        <w:rPr>
          <w:lang w:val="en-AU"/>
        </w:rPr>
      </w:pPr>
      <w:r w:rsidRPr="00CB64CE">
        <w:rPr>
          <w:lang w:val="en-AU"/>
        </w:rPr>
        <w:t>Reversible binding of acalabrutinib to human plasma protein was 97.5%. The in vitro mean blood-to-plasma ratio was 0.7. The mean steady-state volume of distribution (Vss) was approximately 34</w:t>
      </w:r>
      <w:r w:rsidR="00964E90" w:rsidRPr="00CB64CE">
        <w:rPr>
          <w:lang w:val="en-AU"/>
        </w:rPr>
        <w:t> </w:t>
      </w:r>
      <w:r w:rsidRPr="00CB64CE">
        <w:rPr>
          <w:lang w:val="en-AU"/>
        </w:rPr>
        <w:t xml:space="preserve">L. </w:t>
      </w:r>
    </w:p>
    <w:p w14:paraId="40FB096D" w14:textId="77777777" w:rsidR="00623032" w:rsidRPr="00CB64CE" w:rsidRDefault="00623032" w:rsidP="00623032">
      <w:pPr>
        <w:pStyle w:val="Heading3Unnumbered"/>
        <w:rPr>
          <w:lang w:val="en-AU"/>
        </w:rPr>
      </w:pPr>
      <w:r w:rsidRPr="00CB64CE">
        <w:rPr>
          <w:lang w:val="en-AU"/>
        </w:rPr>
        <w:t>Metabolism</w:t>
      </w:r>
    </w:p>
    <w:p w14:paraId="754718CF" w14:textId="77777777" w:rsidR="00623032" w:rsidRPr="00CB64CE" w:rsidRDefault="00623032" w:rsidP="00623032">
      <w:pPr>
        <w:pStyle w:val="Paragraph"/>
        <w:rPr>
          <w:rFonts w:eastAsia="Calibri"/>
          <w:lang w:val="en-AU"/>
        </w:rPr>
      </w:pPr>
      <w:r w:rsidRPr="00CB64CE">
        <w:rPr>
          <w:rFonts w:eastAsia="Calibri"/>
          <w:i/>
          <w:lang w:val="en-AU"/>
        </w:rPr>
        <w:t>In vitro</w:t>
      </w:r>
      <w:r w:rsidRPr="00CB64CE">
        <w:rPr>
          <w:rFonts w:eastAsia="Calibri"/>
          <w:lang w:val="en-AU"/>
        </w:rPr>
        <w:t xml:space="preserve">, acalabrutinib is predominantly metabolized by CYP3A enzymes, and to a minor extent by glutathione conjugation and amide hydrolysis.  </w:t>
      </w:r>
      <w:r w:rsidRPr="00CB64CE">
        <w:rPr>
          <w:lang w:val="en-AU"/>
        </w:rPr>
        <w:t>ACP-5862 was identified as the major metabolite in plasma with a geometric mean exposure (AUC) that was approximately 2- to 3-fold higher than the exposure of acalabrutinib.  ACP-5862 is approximately 50% less potent than acalabrutinib with regard to BTK inhibition.</w:t>
      </w:r>
    </w:p>
    <w:p w14:paraId="79A583A5" w14:textId="2A7DEAF4" w:rsidR="00623032" w:rsidRPr="00CB64CE" w:rsidRDefault="00623032" w:rsidP="00623032">
      <w:pPr>
        <w:pStyle w:val="Paragraph"/>
        <w:rPr>
          <w:rFonts w:eastAsia="Calibri"/>
          <w:lang w:val="en-AU"/>
        </w:rPr>
      </w:pPr>
      <w:r w:rsidRPr="00CB64CE">
        <w:rPr>
          <w:rFonts w:eastAsia="Calibri"/>
          <w:i/>
          <w:lang w:val="en-AU"/>
        </w:rPr>
        <w:t>In vitro</w:t>
      </w:r>
      <w:r w:rsidRPr="00CB64CE">
        <w:rPr>
          <w:rFonts w:eastAsia="Calibri"/>
          <w:lang w:val="en-AU"/>
        </w:rPr>
        <w:t xml:space="preserve">, acalabrutinib is a weak inhibitor of CYP3A4/5, CYP2C8 and CYP2C9, but does not inhibit CYP1A2, CYP2B6, CYP2C19, and CYP2D6.  The active metabolite (ACP-5862) is a weak inhibitor of CYP2C8, CYP2C9 and CYP2C19, but does not inhibit CYP1A2, CYP2B6, CYP2D6 or CYP3A4/5 </w:t>
      </w:r>
      <w:r w:rsidRPr="00CB64CE">
        <w:rPr>
          <w:rFonts w:eastAsia="Calibri"/>
          <w:i/>
          <w:lang w:val="en-AU"/>
        </w:rPr>
        <w:t>in vitro</w:t>
      </w:r>
      <w:r w:rsidRPr="00CB64CE">
        <w:rPr>
          <w:rFonts w:eastAsia="Calibri"/>
          <w:lang w:val="en-AU"/>
        </w:rPr>
        <w:t>. Acalabrutinib is a weak inducer of CYP1A2, CYP2B6 and CYP3A4 mRNA; the active metabolite (ACP-5862) weakly induces CYP3A4.</w:t>
      </w:r>
    </w:p>
    <w:p w14:paraId="06B6128D" w14:textId="77777777" w:rsidR="00CD2DFA" w:rsidRPr="00CB64CE" w:rsidRDefault="00CD2DFA" w:rsidP="00CD2DFA">
      <w:pPr>
        <w:pStyle w:val="Heading4"/>
        <w:numPr>
          <w:ilvl w:val="0"/>
          <w:numId w:val="0"/>
        </w:numPr>
        <w:ind w:left="992" w:hanging="992"/>
        <w:rPr>
          <w:rFonts w:eastAsia="SimSun"/>
          <w:lang w:val="en-AU" w:eastAsia="zh-CN"/>
        </w:rPr>
      </w:pPr>
      <w:r w:rsidRPr="00CB64CE">
        <w:rPr>
          <w:rFonts w:eastAsia="SimSun"/>
          <w:lang w:val="en-AU" w:eastAsia="zh-CN"/>
        </w:rPr>
        <w:t>Interactions with transport proteins</w:t>
      </w:r>
    </w:p>
    <w:p w14:paraId="11F253D6" w14:textId="77777777" w:rsidR="00CD2DFA" w:rsidRPr="00CB64CE" w:rsidRDefault="00CD2DFA" w:rsidP="00CD2DFA">
      <w:pPr>
        <w:pStyle w:val="Paragraph"/>
        <w:rPr>
          <w:rFonts w:eastAsia="SimSun"/>
          <w:b/>
          <w:lang w:val="en-AU" w:eastAsia="zh-CN"/>
        </w:rPr>
      </w:pPr>
      <w:r w:rsidRPr="00CB64CE">
        <w:rPr>
          <w:rFonts w:eastAsia="SimSun"/>
          <w:i/>
          <w:iCs/>
          <w:lang w:val="en-AU" w:eastAsia="zh-CN"/>
        </w:rPr>
        <w:t>In vitro</w:t>
      </w:r>
      <w:r w:rsidRPr="00CB64CE">
        <w:rPr>
          <w:rFonts w:eastAsia="SimSun"/>
          <w:lang w:val="en-AU" w:eastAsia="zh-CN"/>
        </w:rPr>
        <w:t xml:space="preserve">, acalabrutinib is not a substrate </w:t>
      </w:r>
      <w:r w:rsidRPr="00CB64CE">
        <w:rPr>
          <w:rFonts w:eastAsia="Calibri"/>
          <w:lang w:val="en-AU"/>
        </w:rPr>
        <w:t xml:space="preserve">of renal uptake transporters OAT1, OAT3, and OCT2, or hepatic transporters OATP1B1 and OATP1B3. </w:t>
      </w:r>
      <w:r w:rsidRPr="00CB64CE">
        <w:rPr>
          <w:rFonts w:eastAsia="SimSun"/>
          <w:lang w:val="en-AU" w:eastAsia="zh-CN"/>
        </w:rPr>
        <w:t>Acalabrutinib does not inhibit OAT1, OAT3, OCT2, OATP1B1, and OATP1B3 at clinically relevant concentrations.</w:t>
      </w:r>
    </w:p>
    <w:p w14:paraId="1886FD74" w14:textId="77777777" w:rsidR="00CD2DFA" w:rsidRPr="00CB64CE" w:rsidRDefault="00CD2DFA" w:rsidP="00CD2DFA">
      <w:pPr>
        <w:pStyle w:val="Heading4"/>
        <w:numPr>
          <w:ilvl w:val="0"/>
          <w:numId w:val="0"/>
        </w:numPr>
        <w:ind w:left="992" w:hanging="992"/>
        <w:rPr>
          <w:rFonts w:eastAsia="SimSun"/>
          <w:lang w:val="en-AU" w:eastAsia="zh-CN"/>
        </w:rPr>
      </w:pPr>
      <w:r w:rsidRPr="00CB64CE">
        <w:rPr>
          <w:rFonts w:eastAsia="SimSun"/>
          <w:lang w:val="en-AU" w:eastAsia="zh-CN"/>
        </w:rPr>
        <w:t>Effects of acalabrutinib on P-gp and BCRP</w:t>
      </w:r>
    </w:p>
    <w:p w14:paraId="0DB61446" w14:textId="5389FC8E" w:rsidR="00CD2DFA" w:rsidRPr="00CB64CE" w:rsidRDefault="00CD2DFA" w:rsidP="00CD2DFA">
      <w:pPr>
        <w:pStyle w:val="Paragraph"/>
        <w:rPr>
          <w:rFonts w:eastAsia="Calibri"/>
          <w:lang w:val="en-AU"/>
        </w:rPr>
      </w:pPr>
      <w:r w:rsidRPr="00CB64CE">
        <w:rPr>
          <w:rFonts w:eastAsia="Calibri"/>
          <w:i/>
          <w:lang w:val="en-AU"/>
        </w:rPr>
        <w:t>In vitro,</w:t>
      </w:r>
      <w:r w:rsidRPr="00CB64CE">
        <w:rPr>
          <w:rFonts w:eastAsia="Calibri"/>
          <w:lang w:val="en-AU"/>
        </w:rPr>
        <w:t xml:space="preserve"> acalabrutinib is a substrate of P-glycoprotein (P-gp) and breast cancer resistance protein </w:t>
      </w:r>
      <w:r w:rsidR="00D75E6B" w:rsidRPr="00CB64CE">
        <w:rPr>
          <w:rFonts w:eastAsia="Calibri"/>
          <w:lang w:val="en-AU"/>
        </w:rPr>
        <w:t>BCRP but</w:t>
      </w:r>
      <w:r w:rsidRPr="00CB64CE">
        <w:rPr>
          <w:rFonts w:eastAsia="Calibri"/>
          <w:lang w:val="en-AU"/>
        </w:rPr>
        <w:t xml:space="preserve"> does not inhibit P-gp.  Acalabrutinib may inhibit intestinal BCRP substrates (see Section </w:t>
      </w:r>
      <w:r w:rsidRPr="00CB64CE">
        <w:rPr>
          <w:rFonts w:eastAsia="Calibri"/>
          <w:lang w:val="en-AU"/>
        </w:rPr>
        <w:fldChar w:fldCharType="begin"/>
      </w:r>
      <w:r w:rsidRPr="00CB64CE">
        <w:rPr>
          <w:rFonts w:eastAsia="Calibri"/>
          <w:lang w:val="en-AU"/>
        </w:rPr>
        <w:instrText xml:space="preserve"> REF _Ref13512738 \r \h  \* MERGEFORMAT </w:instrText>
      </w:r>
      <w:r w:rsidRPr="00CB64CE">
        <w:rPr>
          <w:rFonts w:eastAsia="Calibri"/>
          <w:lang w:val="en-AU"/>
        </w:rPr>
      </w:r>
      <w:r w:rsidRPr="00CB64CE">
        <w:rPr>
          <w:rFonts w:eastAsia="Calibri"/>
          <w:lang w:val="en-AU"/>
        </w:rPr>
        <w:fldChar w:fldCharType="separate"/>
      </w:r>
      <w:r w:rsidR="00187CFE" w:rsidRPr="00CB64CE">
        <w:rPr>
          <w:rFonts w:eastAsia="Calibri"/>
          <w:lang w:val="en-AU"/>
        </w:rPr>
        <w:t>4.5</w:t>
      </w:r>
      <w:r w:rsidRPr="00CB64CE">
        <w:rPr>
          <w:rFonts w:eastAsia="Calibri"/>
          <w:lang w:val="en-AU"/>
        </w:rPr>
        <w:fldChar w:fldCharType="end"/>
      </w:r>
      <w:r w:rsidRPr="00CB64CE">
        <w:rPr>
          <w:rFonts w:eastAsia="Calibri"/>
          <w:lang w:val="en-AU"/>
        </w:rPr>
        <w:t xml:space="preserve"> </w:t>
      </w:r>
      <w:r w:rsidRPr="00CB64CE">
        <w:rPr>
          <w:rFonts w:eastAsia="Calibri"/>
          <w:lang w:val="en-AU"/>
        </w:rPr>
        <w:fldChar w:fldCharType="begin"/>
      </w:r>
      <w:r w:rsidRPr="00CB64CE">
        <w:rPr>
          <w:rFonts w:eastAsia="Calibri"/>
          <w:lang w:val="en-AU"/>
        </w:rPr>
        <w:instrText xml:space="preserve"> REF _Ref13512738 \h  \* MERGEFORMAT </w:instrText>
      </w:r>
      <w:r w:rsidRPr="00CB64CE">
        <w:rPr>
          <w:rFonts w:eastAsia="Calibri"/>
          <w:lang w:val="en-AU"/>
        </w:rPr>
      </w:r>
      <w:r w:rsidRPr="00CB64CE">
        <w:rPr>
          <w:rFonts w:eastAsia="Calibri"/>
          <w:lang w:val="en-AU"/>
        </w:rPr>
        <w:fldChar w:fldCharType="separate"/>
      </w:r>
      <w:r w:rsidR="00187CFE" w:rsidRPr="00CB64CE">
        <w:rPr>
          <w:lang w:val="en-AU"/>
        </w:rPr>
        <w:t>Interactions with other medicines and other forms of interactions</w:t>
      </w:r>
      <w:r w:rsidRPr="00CB64CE">
        <w:rPr>
          <w:rFonts w:eastAsia="Calibri"/>
          <w:lang w:val="en-AU"/>
        </w:rPr>
        <w:fldChar w:fldCharType="end"/>
      </w:r>
      <w:r w:rsidRPr="00CB64CE">
        <w:rPr>
          <w:rFonts w:eastAsia="Calibri"/>
          <w:lang w:val="en-AU"/>
        </w:rPr>
        <w:t>).</w:t>
      </w:r>
    </w:p>
    <w:p w14:paraId="594FCA3B" w14:textId="77777777" w:rsidR="006F170B" w:rsidRPr="00CB64CE" w:rsidRDefault="006F170B" w:rsidP="006F170B">
      <w:pPr>
        <w:pStyle w:val="Heading3Unnumbered"/>
        <w:rPr>
          <w:lang w:val="en-AU"/>
        </w:rPr>
      </w:pPr>
      <w:r w:rsidRPr="00CB64CE">
        <w:rPr>
          <w:lang w:val="en-AU"/>
        </w:rPr>
        <w:t>Elimination</w:t>
      </w:r>
    </w:p>
    <w:p w14:paraId="650E24CE" w14:textId="0F077CDB" w:rsidR="006F170B" w:rsidRPr="00CB64CE" w:rsidRDefault="006F170B" w:rsidP="00821BB9">
      <w:pPr>
        <w:pStyle w:val="Paragraph"/>
        <w:rPr>
          <w:lang w:val="en-AU"/>
        </w:rPr>
      </w:pPr>
      <w:r w:rsidRPr="00CB64CE">
        <w:rPr>
          <w:lang w:val="en-AU"/>
        </w:rPr>
        <w:t>Following a single oral dose of 100 mg acalabrutinib, the median terminal elimination half-life (t</w:t>
      </w:r>
      <w:r w:rsidR="00821BB9" w:rsidRPr="00CB64CE">
        <w:rPr>
          <w:vertAlign w:val="subscript"/>
          <w:lang w:val="en-AU"/>
        </w:rPr>
        <w:t>½</w:t>
      </w:r>
      <w:r w:rsidRPr="00CB64CE">
        <w:rPr>
          <w:lang w:val="en-AU"/>
        </w:rPr>
        <w:t>) of acalabrutinib was 0.9 (range: 0.6 to 2.8) hours. The t</w:t>
      </w:r>
      <w:r w:rsidR="00964E90" w:rsidRPr="00CB64CE">
        <w:rPr>
          <w:vertAlign w:val="subscript"/>
          <w:lang w:val="en-AU"/>
        </w:rPr>
        <w:t>½</w:t>
      </w:r>
      <w:r w:rsidR="00964E90" w:rsidRPr="00CB64CE">
        <w:rPr>
          <w:lang w:val="en-AU"/>
        </w:rPr>
        <w:t xml:space="preserve"> </w:t>
      </w:r>
      <w:r w:rsidRPr="00CB64CE">
        <w:rPr>
          <w:lang w:val="en-AU"/>
        </w:rPr>
        <w:t>of the active metabolite, ACP-5862, was 6.9 hours.</w:t>
      </w:r>
    </w:p>
    <w:p w14:paraId="6DCFAE2E" w14:textId="16A1B6D6" w:rsidR="006F170B" w:rsidRPr="00CB64CE" w:rsidRDefault="006F170B" w:rsidP="00821BB9">
      <w:pPr>
        <w:pStyle w:val="Paragraph"/>
        <w:rPr>
          <w:lang w:val="en-AU"/>
        </w:rPr>
      </w:pPr>
      <w:r w:rsidRPr="00CB64CE">
        <w:rPr>
          <w:lang w:val="en-AU"/>
        </w:rPr>
        <w:t>Acalabrutinib mean apparent oral clearance (CL/F) was 159</w:t>
      </w:r>
      <w:r w:rsidR="00964E90" w:rsidRPr="00CB64CE">
        <w:rPr>
          <w:lang w:val="en-AU"/>
        </w:rPr>
        <w:t> </w:t>
      </w:r>
      <w:r w:rsidRPr="00CB64CE">
        <w:rPr>
          <w:lang w:val="en-AU"/>
        </w:rPr>
        <w:t>L/hr with similar PK between patients and healthy subjects, based on population PK analysis.</w:t>
      </w:r>
    </w:p>
    <w:p w14:paraId="54EFF5F3" w14:textId="7079B481" w:rsidR="00821BB9" w:rsidRPr="00CB64CE" w:rsidRDefault="00821BB9" w:rsidP="00821BB9">
      <w:pPr>
        <w:pStyle w:val="Paragraph"/>
        <w:rPr>
          <w:lang w:val="en-AU"/>
        </w:rPr>
      </w:pPr>
      <w:r w:rsidRPr="00CB64CE">
        <w:rPr>
          <w:lang w:val="en-AU"/>
        </w:rPr>
        <w:t>Following administration of a single 100 mg radiolabelled [</w:t>
      </w:r>
      <w:r w:rsidRPr="00CB64CE">
        <w:rPr>
          <w:vertAlign w:val="superscript"/>
          <w:lang w:val="en-AU"/>
        </w:rPr>
        <w:t>14</w:t>
      </w:r>
      <w:r w:rsidRPr="00CB64CE">
        <w:rPr>
          <w:lang w:val="en-AU"/>
        </w:rPr>
        <w:t>C]-acalabrutinib dose in healthy subjects, 84% of the dose was recovered in the faeces and 12% of the dose was recovered in the urine, with less than 1% of the dose excreted as unchanged acalabrutinib.</w:t>
      </w:r>
    </w:p>
    <w:p w14:paraId="22CA6843" w14:textId="0413D9D1" w:rsidR="006F170B" w:rsidRPr="00CB64CE" w:rsidRDefault="00E336BB" w:rsidP="006F170B">
      <w:pPr>
        <w:pStyle w:val="Heading3Unnumbered"/>
        <w:rPr>
          <w:lang w:val="en-AU"/>
        </w:rPr>
      </w:pPr>
      <w:r w:rsidRPr="00CB64CE">
        <w:rPr>
          <w:rStyle w:val="FootnoteReference"/>
          <w:lang w:val="en-AU"/>
        </w:rPr>
        <w:lastRenderedPageBreak/>
        <w:footnoteReference w:id="16"/>
      </w:r>
      <w:r w:rsidR="006F170B" w:rsidRPr="00CB64CE">
        <w:rPr>
          <w:lang w:val="en-AU"/>
        </w:rPr>
        <w:t>Specific populations</w:t>
      </w:r>
    </w:p>
    <w:p w14:paraId="4A0EA9EE" w14:textId="18B237AC" w:rsidR="006F170B" w:rsidRPr="00CB64CE" w:rsidRDefault="006F170B" w:rsidP="006F170B">
      <w:pPr>
        <w:pStyle w:val="Heading4Unnumbered"/>
        <w:rPr>
          <w:lang w:val="en-AU"/>
        </w:rPr>
      </w:pPr>
      <w:r w:rsidRPr="00CB64CE">
        <w:rPr>
          <w:lang w:val="en-AU"/>
        </w:rPr>
        <w:t>Age, race, and body weight</w:t>
      </w:r>
    </w:p>
    <w:p w14:paraId="2F99F644" w14:textId="77777777" w:rsidR="006F170B" w:rsidRPr="00CB64CE" w:rsidRDefault="006F170B" w:rsidP="006F170B">
      <w:pPr>
        <w:pStyle w:val="Paragraph"/>
        <w:rPr>
          <w:lang w:val="en-AU"/>
        </w:rPr>
      </w:pPr>
      <w:r w:rsidRPr="00CB64CE">
        <w:rPr>
          <w:lang w:val="en-AU"/>
        </w:rPr>
        <w:t>Age (42 to 90 years), sex, race (Caucasian, African American), and body weight did not have clinically meaningful effects on the PK of acalabrutinib, based on population PK analysis.</w:t>
      </w:r>
    </w:p>
    <w:p w14:paraId="40894A45" w14:textId="3DD66744" w:rsidR="006F170B" w:rsidRPr="00CB64CE" w:rsidRDefault="006F170B" w:rsidP="006F170B">
      <w:pPr>
        <w:pStyle w:val="Heading4Unnumbered"/>
        <w:rPr>
          <w:lang w:val="en-AU"/>
        </w:rPr>
      </w:pPr>
      <w:r w:rsidRPr="00CB64CE">
        <w:rPr>
          <w:lang w:val="en-AU"/>
        </w:rPr>
        <w:t xml:space="preserve">Renal </w:t>
      </w:r>
      <w:r w:rsidR="005A6AF7" w:rsidRPr="00CB64CE">
        <w:rPr>
          <w:lang w:val="en-AU"/>
        </w:rPr>
        <w:t>i</w:t>
      </w:r>
      <w:r w:rsidRPr="00CB64CE">
        <w:rPr>
          <w:lang w:val="en-AU"/>
        </w:rPr>
        <w:t>mpairment</w:t>
      </w:r>
    </w:p>
    <w:p w14:paraId="6DF3226A" w14:textId="69A03175" w:rsidR="006F170B" w:rsidRPr="00CB64CE" w:rsidRDefault="006F170B" w:rsidP="006F170B">
      <w:pPr>
        <w:pStyle w:val="Paragraph"/>
        <w:rPr>
          <w:lang w:val="en-AU"/>
        </w:rPr>
      </w:pPr>
      <w:r w:rsidRPr="00CB64CE">
        <w:rPr>
          <w:lang w:val="en-AU"/>
        </w:rPr>
        <w:t>Acalabrutinib undergoes minimal renal elimination.  Based on population PK analysis, no clinically relevant PK difference was observed in 368 patients with mild or moderate renal impairment (eGFR ≥30</w:t>
      </w:r>
      <w:r w:rsidR="00C75EE5" w:rsidRPr="00CB64CE">
        <w:rPr>
          <w:lang w:val="en-AU"/>
        </w:rPr>
        <w:t> </w:t>
      </w:r>
      <w:r w:rsidRPr="00CB64CE">
        <w:rPr>
          <w:lang w:val="en-AU"/>
        </w:rPr>
        <w:t>mL/min/1.73</w:t>
      </w:r>
      <w:r w:rsidR="004D350D" w:rsidRPr="00CB64CE">
        <w:rPr>
          <w:lang w:val="en-AU"/>
        </w:rPr>
        <w:t> </w:t>
      </w:r>
      <w:r w:rsidRPr="00CB64CE">
        <w:rPr>
          <w:lang w:val="en-AU"/>
        </w:rPr>
        <w:t>m</w:t>
      </w:r>
      <w:r w:rsidRPr="00CB64CE">
        <w:rPr>
          <w:vertAlign w:val="superscript"/>
          <w:lang w:val="en-AU"/>
        </w:rPr>
        <w:t>2</w:t>
      </w:r>
      <w:r w:rsidRPr="00CB64CE">
        <w:rPr>
          <w:lang w:val="en-AU"/>
        </w:rPr>
        <w:t>, as estimated by MDRD (modification of diet in renal disease equation)). Acalabrutinib PK has not been evaluated in patients with severe renal impairment (eGFR &lt;29</w:t>
      </w:r>
      <w:r w:rsidR="00964E90" w:rsidRPr="00CB64CE">
        <w:rPr>
          <w:lang w:val="en-AU"/>
        </w:rPr>
        <w:t> </w:t>
      </w:r>
      <w:r w:rsidRPr="00CB64CE">
        <w:rPr>
          <w:lang w:val="en-AU"/>
        </w:rPr>
        <w:t>mL/min/1.73</w:t>
      </w:r>
      <w:r w:rsidR="004D350D" w:rsidRPr="00CB64CE">
        <w:rPr>
          <w:lang w:val="en-AU"/>
        </w:rPr>
        <w:t> </w:t>
      </w:r>
      <w:r w:rsidRPr="00CB64CE">
        <w:rPr>
          <w:lang w:val="en-AU"/>
        </w:rPr>
        <w:t>m</w:t>
      </w:r>
      <w:r w:rsidRPr="00CB64CE">
        <w:rPr>
          <w:vertAlign w:val="superscript"/>
          <w:lang w:val="en-AU"/>
        </w:rPr>
        <w:t>2</w:t>
      </w:r>
      <w:r w:rsidRPr="00CB64CE">
        <w:rPr>
          <w:lang w:val="en-AU"/>
        </w:rPr>
        <w:t>, MDRD) or renal impairment requiring dialysis.</w:t>
      </w:r>
    </w:p>
    <w:p w14:paraId="237C252F" w14:textId="67D53766" w:rsidR="006F170B" w:rsidRPr="00CB64CE" w:rsidRDefault="006F170B" w:rsidP="006F170B">
      <w:pPr>
        <w:pStyle w:val="Heading4Unnumbered"/>
        <w:rPr>
          <w:lang w:val="en-AU"/>
        </w:rPr>
      </w:pPr>
      <w:r w:rsidRPr="00CB64CE">
        <w:rPr>
          <w:lang w:val="en-AU"/>
        </w:rPr>
        <w:t xml:space="preserve">Hepatic </w:t>
      </w:r>
      <w:r w:rsidR="005A6AF7" w:rsidRPr="00CB64CE">
        <w:rPr>
          <w:lang w:val="en-AU"/>
        </w:rPr>
        <w:t>i</w:t>
      </w:r>
      <w:r w:rsidRPr="00CB64CE">
        <w:rPr>
          <w:lang w:val="en-AU"/>
        </w:rPr>
        <w:t>mpairment</w:t>
      </w:r>
    </w:p>
    <w:p w14:paraId="6CAB4C78" w14:textId="77777777" w:rsidR="006F170B" w:rsidRPr="00CB64CE" w:rsidRDefault="006F170B" w:rsidP="006F170B">
      <w:pPr>
        <w:pStyle w:val="Paragraph"/>
        <w:rPr>
          <w:lang w:val="en-AU"/>
        </w:rPr>
      </w:pPr>
      <w:r w:rsidRPr="00CB64CE">
        <w:rPr>
          <w:lang w:val="en-AU"/>
        </w:rPr>
        <w:t>Acalabrutinib is metabolized in the liver. In a hepatic impairment study, compared to subjects with normal liver function (n=6), acalabrutinib exposure (AUC) was increased by less than two-fold in subjects with mild (n=6) (Child-Pugh A) and moderate (n=6) (Child-Pugh B) hepatic impairment, respectively. Based on a population PK analysis, no clinically relevant PK difference was observed in subjects with mild (n=41) or moderate (n=3) hepatic impairment (total bilirubin between 1.5 to 3 times the upper limit of normal [ULN] and any AST) relative to subjects with normal (n=527) hepatic function (total bilirubin and AST within ULN). Acalabrutinib PK has not been evaluated in patients with severe hepatic impairment (Child-Pugh C or total bilirubin between 3 and 10 times ULN and any AST).</w:t>
      </w:r>
    </w:p>
    <w:p w14:paraId="02A193FB" w14:textId="1BFABA68" w:rsidR="006F170B" w:rsidRPr="00CB64CE" w:rsidRDefault="006F170B" w:rsidP="00C31C0D">
      <w:pPr>
        <w:pStyle w:val="Heading3Unnumbered"/>
        <w:rPr>
          <w:lang w:val="en-AU"/>
        </w:rPr>
      </w:pPr>
      <w:r w:rsidRPr="00CB64CE">
        <w:rPr>
          <w:lang w:val="en-AU"/>
        </w:rPr>
        <w:t xml:space="preserve">Drug interaction </w:t>
      </w:r>
      <w:r w:rsidR="005A6AF7" w:rsidRPr="00CB64CE">
        <w:rPr>
          <w:lang w:val="en-AU"/>
        </w:rPr>
        <w:t>s</w:t>
      </w:r>
      <w:r w:rsidRPr="00CB64CE">
        <w:rPr>
          <w:lang w:val="en-AU"/>
        </w:rPr>
        <w:t>tudies</w:t>
      </w:r>
    </w:p>
    <w:p w14:paraId="0BB6A561" w14:textId="124F94D9" w:rsidR="006F170B" w:rsidRPr="00CB64CE" w:rsidRDefault="006F170B" w:rsidP="00C31C0D">
      <w:pPr>
        <w:pStyle w:val="Heading4Unnumbered"/>
        <w:rPr>
          <w:lang w:val="en-AU"/>
        </w:rPr>
      </w:pPr>
      <w:r w:rsidRPr="00CB64CE">
        <w:rPr>
          <w:lang w:val="en-AU"/>
        </w:rPr>
        <w:t xml:space="preserve">Effect of CYP3A </w:t>
      </w:r>
      <w:r w:rsidR="005A6AF7" w:rsidRPr="00CB64CE">
        <w:rPr>
          <w:lang w:val="en-AU"/>
        </w:rPr>
        <w:t>i</w:t>
      </w:r>
      <w:r w:rsidRPr="00CB64CE">
        <w:rPr>
          <w:lang w:val="en-AU"/>
        </w:rPr>
        <w:t xml:space="preserve">nhibitors on </w:t>
      </w:r>
      <w:r w:rsidR="005A6AF7" w:rsidRPr="00CB64CE">
        <w:rPr>
          <w:lang w:val="en-AU"/>
        </w:rPr>
        <w:t>a</w:t>
      </w:r>
      <w:r w:rsidRPr="00CB64CE">
        <w:rPr>
          <w:lang w:val="en-AU"/>
        </w:rPr>
        <w:t>calabrutinib</w:t>
      </w:r>
    </w:p>
    <w:p w14:paraId="78F33F9F" w14:textId="77777777" w:rsidR="006F170B" w:rsidRPr="00CB64CE" w:rsidRDefault="006F170B" w:rsidP="00C31C0D">
      <w:pPr>
        <w:pStyle w:val="Paragraph"/>
        <w:rPr>
          <w:lang w:val="en-AU"/>
        </w:rPr>
      </w:pPr>
      <w:r w:rsidRPr="00CB64CE">
        <w:rPr>
          <w:lang w:val="en-AU"/>
        </w:rPr>
        <w:t>Co-administration with a strong CYP3A inhibitor (200 mg itraconazole once daily for 5 days) increased the acalabrutinib C</w:t>
      </w:r>
      <w:r w:rsidRPr="00CB64CE">
        <w:rPr>
          <w:vertAlign w:val="subscript"/>
          <w:lang w:val="en-AU"/>
        </w:rPr>
        <w:t>max</w:t>
      </w:r>
      <w:r w:rsidRPr="00CB64CE">
        <w:rPr>
          <w:lang w:val="en-AU"/>
        </w:rPr>
        <w:t xml:space="preserve"> by 3.9-fold and AUC by 5.1-fold in healthy subjects.</w:t>
      </w:r>
    </w:p>
    <w:p w14:paraId="26DCAF3D" w14:textId="40DF0D35" w:rsidR="006F170B" w:rsidRPr="00CB64CE" w:rsidRDefault="006F170B" w:rsidP="00C31C0D">
      <w:pPr>
        <w:pStyle w:val="Paragraph"/>
        <w:rPr>
          <w:lang w:val="en-AU"/>
        </w:rPr>
      </w:pPr>
      <w:r w:rsidRPr="00CB64CE">
        <w:rPr>
          <w:lang w:val="en-AU"/>
        </w:rPr>
        <w:t>Physiologically based pharmacokinetic (PBPK) simulations with acalabrutinib and moderate CYP3A inhibitors (erythromycin, fluconazole, diltiazem) showed that co-administration increased acalabrutinib C</w:t>
      </w:r>
      <w:r w:rsidRPr="00CB64CE">
        <w:rPr>
          <w:vertAlign w:val="subscript"/>
          <w:lang w:val="en-AU"/>
        </w:rPr>
        <w:t>max</w:t>
      </w:r>
      <w:r w:rsidRPr="00CB64CE">
        <w:rPr>
          <w:lang w:val="en-AU"/>
        </w:rPr>
        <w:t xml:space="preserve"> and AUC increased by 2- to almost 3-fold </w:t>
      </w:r>
      <w:r w:rsidR="00762D48" w:rsidRPr="00CB64CE">
        <w:rPr>
          <w:lang w:val="en-AU"/>
        </w:rPr>
        <w:t>(</w:t>
      </w:r>
      <w:r w:rsidRPr="00CB64CE">
        <w:rPr>
          <w:lang w:val="en-AU"/>
        </w:rPr>
        <w:t xml:space="preserve">see </w:t>
      </w:r>
      <w:r w:rsidR="00762D48" w:rsidRPr="00CB64CE">
        <w:rPr>
          <w:lang w:val="en-AU"/>
        </w:rPr>
        <w:t xml:space="preserve">Section </w:t>
      </w:r>
      <w:r w:rsidR="00762D48" w:rsidRPr="00CB64CE">
        <w:rPr>
          <w:lang w:val="en-AU"/>
        </w:rPr>
        <w:fldChar w:fldCharType="begin"/>
      </w:r>
      <w:r w:rsidR="00762D48" w:rsidRPr="00CB64CE">
        <w:rPr>
          <w:lang w:val="en-AU"/>
        </w:rPr>
        <w:instrText xml:space="preserve"> REF _Ref13512738 \r \h </w:instrText>
      </w:r>
      <w:r w:rsidR="00E336BB" w:rsidRPr="00CB64CE">
        <w:rPr>
          <w:lang w:val="en-AU"/>
        </w:rPr>
        <w:instrText xml:space="preserve"> \* MERGEFORMAT </w:instrText>
      </w:r>
      <w:r w:rsidR="00762D48" w:rsidRPr="00CB64CE">
        <w:rPr>
          <w:lang w:val="en-AU"/>
        </w:rPr>
      </w:r>
      <w:r w:rsidR="00762D48" w:rsidRPr="00CB64CE">
        <w:rPr>
          <w:lang w:val="en-AU"/>
        </w:rPr>
        <w:fldChar w:fldCharType="separate"/>
      </w:r>
      <w:r w:rsidR="00187CFE" w:rsidRPr="00CB64CE">
        <w:rPr>
          <w:lang w:val="en-AU"/>
        </w:rPr>
        <w:t>4.5</w:t>
      </w:r>
      <w:r w:rsidR="00762D48" w:rsidRPr="00CB64CE">
        <w:rPr>
          <w:lang w:val="en-AU"/>
        </w:rPr>
        <w:fldChar w:fldCharType="end"/>
      </w:r>
      <w:r w:rsidR="00762D48" w:rsidRPr="00CB64CE">
        <w:rPr>
          <w:lang w:val="en-AU"/>
        </w:rPr>
        <w:t xml:space="preserve"> </w:t>
      </w:r>
      <w:r w:rsidR="00762D48" w:rsidRPr="00CB64CE">
        <w:rPr>
          <w:lang w:val="en-AU"/>
        </w:rPr>
        <w:fldChar w:fldCharType="begin"/>
      </w:r>
      <w:r w:rsidR="00762D48" w:rsidRPr="00CB64CE">
        <w:rPr>
          <w:lang w:val="en-AU"/>
        </w:rPr>
        <w:instrText xml:space="preserve"> REF _Ref13512738 \h </w:instrText>
      </w:r>
      <w:r w:rsidR="00E336BB" w:rsidRPr="00CB64CE">
        <w:rPr>
          <w:lang w:val="en-AU"/>
        </w:rPr>
        <w:instrText xml:space="preserve"> \* MERGEFORMAT </w:instrText>
      </w:r>
      <w:r w:rsidR="00762D48" w:rsidRPr="00CB64CE">
        <w:rPr>
          <w:lang w:val="en-AU"/>
        </w:rPr>
      </w:r>
      <w:r w:rsidR="00762D48" w:rsidRPr="00CB64CE">
        <w:rPr>
          <w:lang w:val="en-AU"/>
        </w:rPr>
        <w:fldChar w:fldCharType="separate"/>
      </w:r>
      <w:r w:rsidR="00187CFE" w:rsidRPr="00CB64CE">
        <w:rPr>
          <w:lang w:val="en-AU"/>
        </w:rPr>
        <w:t>Interactions with other medicines and other forms of interactions</w:t>
      </w:r>
      <w:r w:rsidR="00762D48" w:rsidRPr="00CB64CE">
        <w:rPr>
          <w:lang w:val="en-AU"/>
        </w:rPr>
        <w:fldChar w:fldCharType="end"/>
      </w:r>
      <w:r w:rsidR="00762D48" w:rsidRPr="00CB64CE">
        <w:rPr>
          <w:lang w:val="en-AU"/>
        </w:rPr>
        <w:t>)</w:t>
      </w:r>
      <w:r w:rsidRPr="00CB64CE">
        <w:rPr>
          <w:lang w:val="en-AU"/>
        </w:rPr>
        <w:t>.</w:t>
      </w:r>
    </w:p>
    <w:p w14:paraId="7B3B84DC" w14:textId="66DD9299" w:rsidR="006F170B" w:rsidRPr="00CB64CE" w:rsidRDefault="006F170B" w:rsidP="00C31C0D">
      <w:pPr>
        <w:pStyle w:val="Heading4Unnumbered"/>
        <w:rPr>
          <w:lang w:val="en-AU"/>
        </w:rPr>
      </w:pPr>
      <w:r w:rsidRPr="00CB64CE">
        <w:rPr>
          <w:lang w:val="en-AU"/>
        </w:rPr>
        <w:t xml:space="preserve">Effect of CYP3A </w:t>
      </w:r>
      <w:r w:rsidR="005A6AF7" w:rsidRPr="00CB64CE">
        <w:rPr>
          <w:lang w:val="en-AU"/>
        </w:rPr>
        <w:t>i</w:t>
      </w:r>
      <w:r w:rsidRPr="00CB64CE">
        <w:rPr>
          <w:lang w:val="en-AU"/>
        </w:rPr>
        <w:t xml:space="preserve">nducers on </w:t>
      </w:r>
      <w:r w:rsidR="005A6AF7" w:rsidRPr="00CB64CE">
        <w:rPr>
          <w:lang w:val="en-AU"/>
        </w:rPr>
        <w:t>a</w:t>
      </w:r>
      <w:r w:rsidRPr="00CB64CE">
        <w:rPr>
          <w:lang w:val="en-AU"/>
        </w:rPr>
        <w:t>calabrutinib</w:t>
      </w:r>
    </w:p>
    <w:p w14:paraId="78FCFA53" w14:textId="798E87AC" w:rsidR="00762D48" w:rsidRPr="00CB64CE" w:rsidRDefault="006F170B" w:rsidP="00C31C0D">
      <w:pPr>
        <w:pStyle w:val="Paragraph"/>
        <w:rPr>
          <w:lang w:val="en-AU"/>
        </w:rPr>
      </w:pPr>
      <w:r w:rsidRPr="00CB64CE">
        <w:rPr>
          <w:lang w:val="en-AU"/>
        </w:rPr>
        <w:t>Co-administration with a strong CYP3A inducer (600 mg rifampin once daily for 9 days) decreased acalabrutinib C</w:t>
      </w:r>
      <w:r w:rsidRPr="00CB64CE">
        <w:rPr>
          <w:vertAlign w:val="subscript"/>
          <w:lang w:val="en-AU"/>
        </w:rPr>
        <w:t>max</w:t>
      </w:r>
      <w:r w:rsidRPr="00CB64CE">
        <w:rPr>
          <w:lang w:val="en-AU"/>
        </w:rPr>
        <w:t xml:space="preserve"> by 68% and AUC by 77% in healthy subjects </w:t>
      </w:r>
      <w:r w:rsidR="00762D48" w:rsidRPr="00CB64CE">
        <w:rPr>
          <w:lang w:val="en-AU"/>
        </w:rPr>
        <w:t xml:space="preserve">(see Section </w:t>
      </w:r>
      <w:r w:rsidR="00762D48" w:rsidRPr="00CB64CE">
        <w:rPr>
          <w:lang w:val="en-AU"/>
        </w:rPr>
        <w:fldChar w:fldCharType="begin"/>
      </w:r>
      <w:r w:rsidR="00762D48" w:rsidRPr="00CB64CE">
        <w:rPr>
          <w:lang w:val="en-AU"/>
        </w:rPr>
        <w:instrText xml:space="preserve"> REF _Ref13512738 \r \h </w:instrText>
      </w:r>
      <w:r w:rsidR="00E336BB" w:rsidRPr="00CB64CE">
        <w:rPr>
          <w:lang w:val="en-AU"/>
        </w:rPr>
        <w:instrText xml:space="preserve"> \* MERGEFORMAT </w:instrText>
      </w:r>
      <w:r w:rsidR="00762D48" w:rsidRPr="00CB64CE">
        <w:rPr>
          <w:lang w:val="en-AU"/>
        </w:rPr>
      </w:r>
      <w:r w:rsidR="00762D48" w:rsidRPr="00CB64CE">
        <w:rPr>
          <w:lang w:val="en-AU"/>
        </w:rPr>
        <w:fldChar w:fldCharType="separate"/>
      </w:r>
      <w:r w:rsidR="00187CFE" w:rsidRPr="00CB64CE">
        <w:rPr>
          <w:lang w:val="en-AU"/>
        </w:rPr>
        <w:t>4.5</w:t>
      </w:r>
      <w:r w:rsidR="00762D48" w:rsidRPr="00CB64CE">
        <w:rPr>
          <w:lang w:val="en-AU"/>
        </w:rPr>
        <w:fldChar w:fldCharType="end"/>
      </w:r>
      <w:r w:rsidR="00762D48" w:rsidRPr="00CB64CE">
        <w:rPr>
          <w:lang w:val="en-AU"/>
        </w:rPr>
        <w:t xml:space="preserve"> </w:t>
      </w:r>
      <w:r w:rsidR="00762D48" w:rsidRPr="00CB64CE">
        <w:rPr>
          <w:lang w:val="en-AU"/>
        </w:rPr>
        <w:fldChar w:fldCharType="begin"/>
      </w:r>
      <w:r w:rsidR="00762D48" w:rsidRPr="00CB64CE">
        <w:rPr>
          <w:lang w:val="en-AU"/>
        </w:rPr>
        <w:instrText xml:space="preserve"> REF _Ref13512738 \h </w:instrText>
      </w:r>
      <w:r w:rsidR="00E336BB" w:rsidRPr="00CB64CE">
        <w:rPr>
          <w:lang w:val="en-AU"/>
        </w:rPr>
        <w:instrText xml:space="preserve"> \* MERGEFORMAT </w:instrText>
      </w:r>
      <w:r w:rsidR="00762D48" w:rsidRPr="00CB64CE">
        <w:rPr>
          <w:lang w:val="en-AU"/>
        </w:rPr>
      </w:r>
      <w:r w:rsidR="00762D48" w:rsidRPr="00CB64CE">
        <w:rPr>
          <w:lang w:val="en-AU"/>
        </w:rPr>
        <w:fldChar w:fldCharType="separate"/>
      </w:r>
      <w:r w:rsidR="00187CFE" w:rsidRPr="00CB64CE">
        <w:rPr>
          <w:lang w:val="en-AU"/>
        </w:rPr>
        <w:t>Interactions with other medicines and other forms of interactions</w:t>
      </w:r>
      <w:r w:rsidR="00762D48" w:rsidRPr="00CB64CE">
        <w:rPr>
          <w:lang w:val="en-AU"/>
        </w:rPr>
        <w:fldChar w:fldCharType="end"/>
      </w:r>
      <w:r w:rsidR="00762D48" w:rsidRPr="00CB64CE">
        <w:rPr>
          <w:lang w:val="en-AU"/>
        </w:rPr>
        <w:t>).</w:t>
      </w:r>
    </w:p>
    <w:p w14:paraId="78176395" w14:textId="041A1DFC" w:rsidR="006F170B" w:rsidRPr="00CB64CE" w:rsidRDefault="006F170B" w:rsidP="00C31C0D">
      <w:pPr>
        <w:pStyle w:val="Heading4Unnumbered"/>
        <w:rPr>
          <w:lang w:val="en-AU"/>
        </w:rPr>
      </w:pPr>
      <w:r w:rsidRPr="00CB64CE">
        <w:rPr>
          <w:lang w:val="en-AU"/>
        </w:rPr>
        <w:t xml:space="preserve">Gastric </w:t>
      </w:r>
      <w:r w:rsidR="005A6AF7" w:rsidRPr="00CB64CE">
        <w:rPr>
          <w:lang w:val="en-AU"/>
        </w:rPr>
        <w:t>a</w:t>
      </w:r>
      <w:r w:rsidRPr="00CB64CE">
        <w:rPr>
          <w:lang w:val="en-AU"/>
        </w:rPr>
        <w:t xml:space="preserve">cid </w:t>
      </w:r>
      <w:r w:rsidR="005A6AF7" w:rsidRPr="00CB64CE">
        <w:rPr>
          <w:lang w:val="en-AU"/>
        </w:rPr>
        <w:t>r</w:t>
      </w:r>
      <w:r w:rsidRPr="00CB64CE">
        <w:rPr>
          <w:lang w:val="en-AU"/>
        </w:rPr>
        <w:t xml:space="preserve">educing </w:t>
      </w:r>
      <w:r w:rsidR="005A6AF7" w:rsidRPr="00CB64CE">
        <w:rPr>
          <w:lang w:val="en-AU"/>
        </w:rPr>
        <w:t>medicines</w:t>
      </w:r>
    </w:p>
    <w:p w14:paraId="075126F7" w14:textId="37AE5A17" w:rsidR="00762D48" w:rsidRPr="00CB64CE" w:rsidRDefault="006F170B" w:rsidP="00C31C0D">
      <w:pPr>
        <w:pStyle w:val="Paragraph"/>
        <w:rPr>
          <w:lang w:val="en-AU"/>
        </w:rPr>
      </w:pPr>
      <w:r w:rsidRPr="00CB64CE">
        <w:rPr>
          <w:lang w:val="en-AU"/>
        </w:rPr>
        <w:t xml:space="preserve">Acalabrutinib solubility decreases with increasing pH. Co-administration with an antacid (1 g calcium carbonate) decreased acalabrutinib AUC by 53% in healthy subjects. Co-administration with a proton pump inhibitor (40 mg omeprazole for 5 days) decreased acalabrutinib AUC by 43% </w:t>
      </w:r>
      <w:r w:rsidR="00762D48" w:rsidRPr="00CB64CE">
        <w:rPr>
          <w:lang w:val="en-AU"/>
        </w:rPr>
        <w:t xml:space="preserve">(see Section </w:t>
      </w:r>
      <w:r w:rsidR="00762D48" w:rsidRPr="00CB64CE">
        <w:rPr>
          <w:lang w:val="en-AU"/>
        </w:rPr>
        <w:fldChar w:fldCharType="begin"/>
      </w:r>
      <w:r w:rsidR="00762D48" w:rsidRPr="00CB64CE">
        <w:rPr>
          <w:lang w:val="en-AU"/>
        </w:rPr>
        <w:instrText xml:space="preserve"> REF _Ref13512738 \r \h </w:instrText>
      </w:r>
      <w:r w:rsidR="00E336BB" w:rsidRPr="00CB64CE">
        <w:rPr>
          <w:lang w:val="en-AU"/>
        </w:rPr>
        <w:instrText xml:space="preserve"> \* MERGEFORMAT </w:instrText>
      </w:r>
      <w:r w:rsidR="00762D48" w:rsidRPr="00CB64CE">
        <w:rPr>
          <w:lang w:val="en-AU"/>
        </w:rPr>
      </w:r>
      <w:r w:rsidR="00762D48" w:rsidRPr="00CB64CE">
        <w:rPr>
          <w:lang w:val="en-AU"/>
        </w:rPr>
        <w:fldChar w:fldCharType="separate"/>
      </w:r>
      <w:r w:rsidR="00187CFE" w:rsidRPr="00CB64CE">
        <w:rPr>
          <w:lang w:val="en-AU"/>
        </w:rPr>
        <w:t>4.5</w:t>
      </w:r>
      <w:r w:rsidR="00762D48" w:rsidRPr="00CB64CE">
        <w:rPr>
          <w:lang w:val="en-AU"/>
        </w:rPr>
        <w:fldChar w:fldCharType="end"/>
      </w:r>
      <w:r w:rsidR="00762D48" w:rsidRPr="00CB64CE">
        <w:rPr>
          <w:lang w:val="en-AU"/>
        </w:rPr>
        <w:t xml:space="preserve"> </w:t>
      </w:r>
      <w:r w:rsidR="00762D48" w:rsidRPr="00CB64CE">
        <w:rPr>
          <w:lang w:val="en-AU"/>
        </w:rPr>
        <w:fldChar w:fldCharType="begin"/>
      </w:r>
      <w:r w:rsidR="00762D48" w:rsidRPr="00CB64CE">
        <w:rPr>
          <w:lang w:val="en-AU"/>
        </w:rPr>
        <w:instrText xml:space="preserve"> REF _Ref13512738 \h </w:instrText>
      </w:r>
      <w:r w:rsidR="00E336BB" w:rsidRPr="00CB64CE">
        <w:rPr>
          <w:lang w:val="en-AU"/>
        </w:rPr>
        <w:instrText xml:space="preserve"> \* MERGEFORMAT </w:instrText>
      </w:r>
      <w:r w:rsidR="00762D48" w:rsidRPr="00CB64CE">
        <w:rPr>
          <w:lang w:val="en-AU"/>
        </w:rPr>
      </w:r>
      <w:r w:rsidR="00762D48" w:rsidRPr="00CB64CE">
        <w:rPr>
          <w:lang w:val="en-AU"/>
        </w:rPr>
        <w:fldChar w:fldCharType="separate"/>
      </w:r>
      <w:r w:rsidR="00187CFE" w:rsidRPr="00CB64CE">
        <w:rPr>
          <w:lang w:val="en-AU"/>
        </w:rPr>
        <w:t>Interactions with other medicines and other forms of interactions</w:t>
      </w:r>
      <w:r w:rsidR="00762D48" w:rsidRPr="00CB64CE">
        <w:rPr>
          <w:lang w:val="en-AU"/>
        </w:rPr>
        <w:fldChar w:fldCharType="end"/>
      </w:r>
      <w:r w:rsidR="00762D48" w:rsidRPr="00CB64CE">
        <w:rPr>
          <w:lang w:val="en-AU"/>
        </w:rPr>
        <w:t>).</w:t>
      </w:r>
    </w:p>
    <w:p w14:paraId="7CF10F9F" w14:textId="395344BF" w:rsidR="001A3992" w:rsidRPr="00CB64CE" w:rsidRDefault="00E336BB" w:rsidP="00EE3AC8">
      <w:pPr>
        <w:pStyle w:val="Heading2"/>
        <w:rPr>
          <w:lang w:val="en-AU"/>
        </w:rPr>
      </w:pPr>
      <w:r w:rsidRPr="00CB64CE">
        <w:rPr>
          <w:rStyle w:val="FootnoteReference"/>
          <w:lang w:val="en-AU"/>
        </w:rPr>
        <w:lastRenderedPageBreak/>
        <w:footnoteReference w:id="17"/>
      </w:r>
      <w:r w:rsidR="001A3992" w:rsidRPr="00CB64CE">
        <w:rPr>
          <w:lang w:val="en-AU"/>
        </w:rPr>
        <w:t>Preclinical safety data</w:t>
      </w:r>
    </w:p>
    <w:p w14:paraId="6C27B78C" w14:textId="77777777" w:rsidR="001A3992" w:rsidRPr="00CB64CE" w:rsidRDefault="001A3992" w:rsidP="0026491B">
      <w:pPr>
        <w:pStyle w:val="Heading3Unnumbered"/>
        <w:rPr>
          <w:lang w:val="en-AU"/>
        </w:rPr>
      </w:pPr>
      <w:r w:rsidRPr="00CB64CE">
        <w:rPr>
          <w:lang w:val="en-AU"/>
        </w:rPr>
        <w:t>Genotoxicity</w:t>
      </w:r>
    </w:p>
    <w:p w14:paraId="0E2662B3" w14:textId="77777777" w:rsidR="00234644" w:rsidRPr="00CB64CE" w:rsidRDefault="00234644" w:rsidP="00234644">
      <w:pPr>
        <w:pStyle w:val="Paragraph"/>
        <w:rPr>
          <w:lang w:val="en-AU"/>
        </w:rPr>
      </w:pPr>
      <w:r w:rsidRPr="00CB64CE">
        <w:rPr>
          <w:lang w:val="en-AU"/>
        </w:rPr>
        <w:t>Acalabrutinib was not mutagenic in an in vitro bacterial reverse mutation (AMES) assay or clastogenic in an in vitro human lymphocyte chromosomal aberration assay or in an in vivo rat bone marrow micronucleus assay.</w:t>
      </w:r>
    </w:p>
    <w:p w14:paraId="579AF1A6" w14:textId="77777777" w:rsidR="001A3992" w:rsidRPr="00CB64CE" w:rsidRDefault="001A3992" w:rsidP="0026491B">
      <w:pPr>
        <w:pStyle w:val="Heading3Unnumbered"/>
        <w:rPr>
          <w:lang w:val="en-AU"/>
        </w:rPr>
      </w:pPr>
      <w:r w:rsidRPr="00CB64CE">
        <w:rPr>
          <w:lang w:val="en-AU"/>
        </w:rPr>
        <w:t>Carcinogenicity</w:t>
      </w:r>
    </w:p>
    <w:p w14:paraId="1EB14860" w14:textId="77777777" w:rsidR="00234644" w:rsidRPr="00CB64CE" w:rsidRDefault="00234644" w:rsidP="00234644">
      <w:pPr>
        <w:pStyle w:val="Paragraph"/>
        <w:rPr>
          <w:lang w:val="en-AU"/>
        </w:rPr>
      </w:pPr>
      <w:r w:rsidRPr="00CB64CE">
        <w:rPr>
          <w:lang w:val="en-AU"/>
        </w:rPr>
        <w:t>Carcinogenicity studies have not been conducted with acalabrutinib.</w:t>
      </w:r>
    </w:p>
    <w:p w14:paraId="2C17B0C4" w14:textId="77777777" w:rsidR="001A3992" w:rsidRPr="00CB64CE" w:rsidRDefault="001A3992" w:rsidP="00EE3AC8">
      <w:pPr>
        <w:pStyle w:val="Heading1"/>
        <w:rPr>
          <w:lang w:val="en-AU"/>
        </w:rPr>
      </w:pPr>
      <w:r w:rsidRPr="00CB64CE">
        <w:rPr>
          <w:lang w:val="en-AU"/>
        </w:rPr>
        <w:t>Pharmaceutical particulars</w:t>
      </w:r>
    </w:p>
    <w:p w14:paraId="23E50980" w14:textId="26072BE8" w:rsidR="001A3992" w:rsidRPr="00CB64CE" w:rsidRDefault="00B34560" w:rsidP="00EE3AC8">
      <w:pPr>
        <w:pStyle w:val="Heading2"/>
        <w:rPr>
          <w:lang w:val="en-AU"/>
        </w:rPr>
      </w:pPr>
      <w:bookmarkStart w:id="16" w:name="_Ref505768678"/>
      <w:r w:rsidRPr="00CB64CE">
        <w:rPr>
          <w:rStyle w:val="FootnoteReference"/>
          <w:lang w:val="en-AU"/>
        </w:rPr>
        <w:footnoteReference w:id="18"/>
      </w:r>
      <w:r w:rsidR="001A3992" w:rsidRPr="00CB64CE">
        <w:rPr>
          <w:lang w:val="en-AU"/>
        </w:rPr>
        <w:t>List of exci</w:t>
      </w:r>
      <w:r w:rsidR="00795D99" w:rsidRPr="00CB64CE">
        <w:rPr>
          <w:lang w:val="en-AU"/>
        </w:rPr>
        <w:t>pients</w:t>
      </w:r>
      <w:bookmarkEnd w:id="16"/>
    </w:p>
    <w:p w14:paraId="5950C7DB" w14:textId="0FFDEB0B" w:rsidR="00C5769D" w:rsidRPr="00CB64CE" w:rsidRDefault="00C5769D" w:rsidP="00377BF3">
      <w:pPr>
        <w:pStyle w:val="Paragraph"/>
        <w:rPr>
          <w:lang w:val="en-AU"/>
        </w:rPr>
      </w:pPr>
      <w:r w:rsidRPr="00CB64CE">
        <w:rPr>
          <w:i/>
          <w:lang w:val="en-AU"/>
        </w:rPr>
        <w:t>Capsule content:</w:t>
      </w:r>
      <w:r w:rsidRPr="00CB64CE">
        <w:rPr>
          <w:lang w:val="en-AU"/>
        </w:rPr>
        <w:t xml:space="preserve"> </w:t>
      </w:r>
      <w:r w:rsidR="00FA6399" w:rsidRPr="00CB64CE">
        <w:rPr>
          <w:lang w:val="en-AU"/>
        </w:rPr>
        <w:t>silicified microcrystalline cellulose</w:t>
      </w:r>
      <w:r w:rsidRPr="00CB64CE">
        <w:rPr>
          <w:lang w:val="en-AU"/>
        </w:rPr>
        <w:t xml:space="preserve">, </w:t>
      </w:r>
      <w:proofErr w:type="spellStart"/>
      <w:r w:rsidRPr="00CB64CE">
        <w:rPr>
          <w:lang w:val="en-AU"/>
        </w:rPr>
        <w:t>pregelatini</w:t>
      </w:r>
      <w:r w:rsidR="00377BF3" w:rsidRPr="00CB64CE">
        <w:rPr>
          <w:lang w:val="en-AU"/>
        </w:rPr>
        <w:t>s</w:t>
      </w:r>
      <w:r w:rsidRPr="00CB64CE">
        <w:rPr>
          <w:lang w:val="en-AU"/>
        </w:rPr>
        <w:t>ed</w:t>
      </w:r>
      <w:proofErr w:type="spellEnd"/>
      <w:r w:rsidRPr="00CB64CE">
        <w:rPr>
          <w:lang w:val="en-AU"/>
        </w:rPr>
        <w:t xml:space="preserve"> starch, magnesium stearate (E572), and sodium starch glycol</w:t>
      </w:r>
      <w:r w:rsidR="00377BF3" w:rsidRPr="00CB64CE">
        <w:rPr>
          <w:lang w:val="en-AU"/>
        </w:rPr>
        <w:t>l</w:t>
      </w:r>
      <w:r w:rsidRPr="00CB64CE">
        <w:rPr>
          <w:lang w:val="en-AU"/>
        </w:rPr>
        <w:t>ate Type A.</w:t>
      </w:r>
    </w:p>
    <w:p w14:paraId="0B1008AF" w14:textId="6D2DCBAF" w:rsidR="00C5769D" w:rsidRPr="00CB64CE" w:rsidRDefault="00C5769D" w:rsidP="00377BF3">
      <w:pPr>
        <w:pStyle w:val="Paragraph"/>
        <w:rPr>
          <w:lang w:val="en-AU"/>
        </w:rPr>
      </w:pPr>
      <w:r w:rsidRPr="00CB64CE">
        <w:rPr>
          <w:i/>
          <w:lang w:val="en-AU"/>
        </w:rPr>
        <w:t>Capsule:</w:t>
      </w:r>
      <w:r w:rsidRPr="00CB64CE">
        <w:rPr>
          <w:lang w:val="en-AU"/>
        </w:rPr>
        <w:t xml:space="preserve"> </w:t>
      </w:r>
      <w:r w:rsidR="00377BF3" w:rsidRPr="00CB64CE">
        <w:rPr>
          <w:lang w:val="en-AU"/>
        </w:rPr>
        <w:t xml:space="preserve">Shell: </w:t>
      </w:r>
      <w:r w:rsidRPr="00CB64CE">
        <w:rPr>
          <w:lang w:val="en-AU"/>
        </w:rPr>
        <w:t xml:space="preserve">gelatin, titanium dioxide (E171), iron oxide </w:t>
      </w:r>
      <w:r w:rsidR="00FA6399" w:rsidRPr="00CB64CE">
        <w:rPr>
          <w:lang w:val="en-AU"/>
        </w:rPr>
        <w:t xml:space="preserve">yellow </w:t>
      </w:r>
      <w:r w:rsidRPr="00CB64CE">
        <w:rPr>
          <w:lang w:val="en-AU"/>
        </w:rPr>
        <w:t xml:space="preserve">(E172) and </w:t>
      </w:r>
      <w:r w:rsidR="00377BF3" w:rsidRPr="00CB64CE">
        <w:rPr>
          <w:lang w:val="en-AU"/>
        </w:rPr>
        <w:t xml:space="preserve">indigo carmine aluminium lake </w:t>
      </w:r>
      <w:r w:rsidRPr="00CB64CE">
        <w:rPr>
          <w:lang w:val="en-AU"/>
        </w:rPr>
        <w:t>(E132)</w:t>
      </w:r>
      <w:r w:rsidR="00377BF3" w:rsidRPr="00CB64CE">
        <w:rPr>
          <w:lang w:val="en-AU"/>
        </w:rPr>
        <w:t>; Ink</w:t>
      </w:r>
      <w:r w:rsidR="00B55882" w:rsidRPr="00CB64CE">
        <w:rPr>
          <w:lang w:val="en-AU"/>
        </w:rPr>
        <w:t>:  shellac</w:t>
      </w:r>
      <w:r w:rsidR="004330C3" w:rsidRPr="00CB64CE">
        <w:rPr>
          <w:lang w:val="en-AU"/>
        </w:rPr>
        <w:t xml:space="preserve">, </w:t>
      </w:r>
      <w:r w:rsidR="00B55882" w:rsidRPr="00CB64CE">
        <w:rPr>
          <w:lang w:val="en-AU"/>
        </w:rPr>
        <w:t xml:space="preserve"> iron oxide </w:t>
      </w:r>
      <w:r w:rsidR="00FA6399" w:rsidRPr="00CB64CE">
        <w:rPr>
          <w:lang w:val="en-AU"/>
        </w:rPr>
        <w:t xml:space="preserve">black </w:t>
      </w:r>
      <w:r w:rsidR="00B55882" w:rsidRPr="00CB64CE">
        <w:rPr>
          <w:lang w:val="en-AU"/>
        </w:rPr>
        <w:t>(</w:t>
      </w:r>
      <w:r w:rsidR="00E336BB" w:rsidRPr="00CB64CE">
        <w:rPr>
          <w:lang w:val="en-AU"/>
        </w:rPr>
        <w:t>E172</w:t>
      </w:r>
      <w:r w:rsidR="00B55882" w:rsidRPr="00CB64CE">
        <w:rPr>
          <w:lang w:val="en-AU"/>
        </w:rPr>
        <w:t>)</w:t>
      </w:r>
      <w:r w:rsidR="00187CFE" w:rsidRPr="00CB64CE">
        <w:rPr>
          <w:lang w:val="en-AU"/>
        </w:rPr>
        <w:t xml:space="preserve"> and propylene glycol.</w:t>
      </w:r>
    </w:p>
    <w:p w14:paraId="6A4C0F54" w14:textId="77777777" w:rsidR="001A3992" w:rsidRPr="00CB64CE" w:rsidRDefault="001A3992" w:rsidP="00EE3AC8">
      <w:pPr>
        <w:pStyle w:val="Heading2"/>
        <w:rPr>
          <w:lang w:val="en-AU"/>
        </w:rPr>
      </w:pPr>
      <w:r w:rsidRPr="00CB64CE">
        <w:rPr>
          <w:lang w:val="en-AU"/>
        </w:rPr>
        <w:t>Incompatib</w:t>
      </w:r>
      <w:r w:rsidR="00795D99" w:rsidRPr="00CB64CE">
        <w:rPr>
          <w:lang w:val="en-AU"/>
        </w:rPr>
        <w:t>ilities</w:t>
      </w:r>
    </w:p>
    <w:p w14:paraId="6B70AADA" w14:textId="5B49D16B" w:rsidR="007A2548" w:rsidRPr="00CB64CE" w:rsidRDefault="007A2548" w:rsidP="007A2548">
      <w:pPr>
        <w:pStyle w:val="Paragraph"/>
        <w:rPr>
          <w:lang w:val="en-AU"/>
        </w:rPr>
      </w:pPr>
      <w:r w:rsidRPr="00CB64CE">
        <w:rPr>
          <w:lang w:val="en-AU"/>
        </w:rPr>
        <w:t>Incompatibilities were either not assessed or not identified as part of the registration of this medicine</w:t>
      </w:r>
      <w:r w:rsidR="00234644" w:rsidRPr="00CB64CE">
        <w:rPr>
          <w:lang w:val="en-AU"/>
        </w:rPr>
        <w:t>.</w:t>
      </w:r>
    </w:p>
    <w:p w14:paraId="5C576DEC" w14:textId="77777777" w:rsidR="001A3992" w:rsidRPr="00CB64CE" w:rsidRDefault="001A3992" w:rsidP="00EE3AC8">
      <w:pPr>
        <w:pStyle w:val="Heading2"/>
        <w:rPr>
          <w:lang w:val="en-AU"/>
        </w:rPr>
      </w:pPr>
      <w:r w:rsidRPr="00CB64CE">
        <w:rPr>
          <w:lang w:val="en-AU"/>
        </w:rPr>
        <w:t>Shelf life</w:t>
      </w:r>
    </w:p>
    <w:p w14:paraId="55772CF6" w14:textId="77777777" w:rsidR="007A2548" w:rsidRPr="00CB64CE" w:rsidRDefault="007A2548" w:rsidP="007403BD">
      <w:pPr>
        <w:pStyle w:val="Paragraph"/>
        <w:rPr>
          <w:lang w:val="en-AU"/>
        </w:rPr>
      </w:pPr>
      <w:r w:rsidRPr="00CB64CE">
        <w:rPr>
          <w:lang w:val="en-AU"/>
        </w:rPr>
        <w:t>In Australia, information on the shelf life can be found on the public summary of the Australian Register of Therapeutic Goods (ARTG). The expiry date can be found on the packaging.</w:t>
      </w:r>
    </w:p>
    <w:p w14:paraId="5804BE85" w14:textId="67F8E23C" w:rsidR="001A3992" w:rsidRPr="00CB64CE" w:rsidRDefault="00B34560" w:rsidP="00795D99">
      <w:pPr>
        <w:pStyle w:val="Heading2"/>
        <w:rPr>
          <w:lang w:val="en-AU"/>
        </w:rPr>
      </w:pPr>
      <w:r w:rsidRPr="00CB64CE">
        <w:rPr>
          <w:rStyle w:val="FootnoteReference"/>
          <w:lang w:val="en-AU"/>
        </w:rPr>
        <w:footnoteReference w:id="19"/>
      </w:r>
      <w:r w:rsidR="00795D99" w:rsidRPr="00CB64CE">
        <w:rPr>
          <w:lang w:val="en-AU"/>
        </w:rPr>
        <w:t>Special precautions for storage</w:t>
      </w:r>
    </w:p>
    <w:p w14:paraId="32E6D7FA" w14:textId="4F26DBE4" w:rsidR="007A2548" w:rsidRPr="00CB64CE" w:rsidRDefault="005B4E19" w:rsidP="007403BD">
      <w:pPr>
        <w:pStyle w:val="Paragraph"/>
        <w:rPr>
          <w:lang w:val="en-AU"/>
        </w:rPr>
      </w:pPr>
      <w:r w:rsidRPr="00CB64CE">
        <w:rPr>
          <w:lang w:val="en-AU"/>
        </w:rPr>
        <w:t xml:space="preserve">Store below </w:t>
      </w:r>
      <w:r w:rsidR="00662B23" w:rsidRPr="00CB64CE">
        <w:rPr>
          <w:lang w:val="en-AU"/>
        </w:rPr>
        <w:t>30°C.</w:t>
      </w:r>
    </w:p>
    <w:p w14:paraId="5CF87240" w14:textId="4A19A30B" w:rsidR="001A3992" w:rsidRPr="00CB64CE" w:rsidRDefault="00B34560" w:rsidP="00EE3AC8">
      <w:pPr>
        <w:pStyle w:val="Heading2"/>
        <w:rPr>
          <w:lang w:val="en-AU"/>
        </w:rPr>
      </w:pPr>
      <w:r w:rsidRPr="00CB64CE">
        <w:rPr>
          <w:rStyle w:val="FootnoteReference"/>
          <w:lang w:val="en-AU"/>
        </w:rPr>
        <w:footnoteReference w:id="20"/>
      </w:r>
      <w:r w:rsidR="001A3992" w:rsidRPr="00CB64CE">
        <w:rPr>
          <w:lang w:val="en-AU"/>
        </w:rPr>
        <w:t>N</w:t>
      </w:r>
      <w:r w:rsidR="00795D99" w:rsidRPr="00CB64CE">
        <w:rPr>
          <w:lang w:val="en-AU"/>
        </w:rPr>
        <w:t>ature and contents of container</w:t>
      </w:r>
    </w:p>
    <w:p w14:paraId="635F3B24" w14:textId="10EBE3E0" w:rsidR="006A727B" w:rsidRPr="00CB64CE" w:rsidRDefault="00FA6399" w:rsidP="006A727B">
      <w:pPr>
        <w:pStyle w:val="Paragraph"/>
        <w:rPr>
          <w:lang w:val="en-AU"/>
        </w:rPr>
      </w:pPr>
      <w:r w:rsidRPr="00CB64CE">
        <w:rPr>
          <w:lang w:val="en-AU"/>
        </w:rPr>
        <w:t>Polyamide-aluminium-polyvinylchloride/aluminium</w:t>
      </w:r>
      <w:r w:rsidR="008B48AA" w:rsidRPr="00CB64CE">
        <w:rPr>
          <w:lang w:val="en-AU"/>
        </w:rPr>
        <w:t xml:space="preserve"> blisters. Cartons of 56 capsules</w:t>
      </w:r>
    </w:p>
    <w:p w14:paraId="017DE959" w14:textId="77777777" w:rsidR="001A3992" w:rsidRPr="00CB64CE" w:rsidRDefault="001A3992" w:rsidP="00EE3AC8">
      <w:pPr>
        <w:pStyle w:val="Heading2"/>
        <w:rPr>
          <w:lang w:val="en-AU"/>
        </w:rPr>
      </w:pPr>
      <w:r w:rsidRPr="00CB64CE">
        <w:rPr>
          <w:lang w:val="en-AU"/>
        </w:rPr>
        <w:t>S</w:t>
      </w:r>
      <w:r w:rsidR="00795D99" w:rsidRPr="00CB64CE">
        <w:rPr>
          <w:lang w:val="en-AU"/>
        </w:rPr>
        <w:t>pecial precautions for disposal</w:t>
      </w:r>
    </w:p>
    <w:p w14:paraId="45CD0FEB" w14:textId="03836BC1" w:rsidR="006A727B" w:rsidRPr="00CB64CE" w:rsidRDefault="006A727B" w:rsidP="007706C9">
      <w:pPr>
        <w:pStyle w:val="Paragraph"/>
        <w:rPr>
          <w:lang w:val="en-AU"/>
        </w:rPr>
      </w:pPr>
      <w:r w:rsidRPr="00CB64CE">
        <w:rPr>
          <w:lang w:val="en-AU"/>
        </w:rPr>
        <w:t>In Australia, any unused medicine or waste material should be disposed of by taking to your local pharmacy</w:t>
      </w:r>
      <w:r w:rsidR="00BE789F" w:rsidRPr="00CB64CE">
        <w:rPr>
          <w:lang w:val="en-AU"/>
        </w:rPr>
        <w:t>.</w:t>
      </w:r>
    </w:p>
    <w:p w14:paraId="66E8937E" w14:textId="77777777" w:rsidR="001A3992" w:rsidRPr="00CB64CE" w:rsidRDefault="001A3992" w:rsidP="00EE3AC8">
      <w:pPr>
        <w:pStyle w:val="Heading2"/>
        <w:rPr>
          <w:lang w:val="en-AU"/>
        </w:rPr>
      </w:pPr>
      <w:r w:rsidRPr="00CB64CE">
        <w:rPr>
          <w:lang w:val="en-AU"/>
        </w:rPr>
        <w:lastRenderedPageBreak/>
        <w:t>Physicochemical properties</w:t>
      </w:r>
    </w:p>
    <w:p w14:paraId="036F42E9" w14:textId="052AE840" w:rsidR="00062AE5" w:rsidRPr="00CB64CE" w:rsidRDefault="00117ADE" w:rsidP="00062AE5">
      <w:pPr>
        <w:pStyle w:val="Heading3Unnumbered"/>
        <w:rPr>
          <w:lang w:val="en-AU"/>
        </w:rPr>
      </w:pPr>
      <w:r w:rsidRPr="00CB64CE">
        <w:rPr>
          <w:rStyle w:val="FootnoteReference"/>
          <w:lang w:val="en-AU"/>
        </w:rPr>
        <w:footnoteReference w:id="21"/>
      </w:r>
      <w:r w:rsidR="00062AE5" w:rsidRPr="00CB64CE">
        <w:rPr>
          <w:lang w:val="en-AU"/>
        </w:rPr>
        <w:t>Chemical structure</w:t>
      </w:r>
    </w:p>
    <w:p w14:paraId="1D4D7C27" w14:textId="77B8E978" w:rsidR="004C7F1B" w:rsidRPr="00CB64CE" w:rsidRDefault="004C7F1B" w:rsidP="004C7F1B">
      <w:pPr>
        <w:pStyle w:val="FigureTitle"/>
        <w:rPr>
          <w:lang w:val="en-AU"/>
        </w:rPr>
      </w:pPr>
      <w:r w:rsidRPr="00CB64CE">
        <w:rPr>
          <w:lang w:val="en-AU"/>
        </w:rPr>
        <w:t>Figure </w:t>
      </w:r>
      <w:r w:rsidRPr="00CB64CE">
        <w:rPr>
          <w:lang w:val="en-AU"/>
        </w:rPr>
        <w:fldChar w:fldCharType="begin"/>
      </w:r>
      <w:r w:rsidRPr="00CB64CE">
        <w:rPr>
          <w:lang w:val="en-AU"/>
        </w:rPr>
        <w:instrText xml:space="preserve"> SEQ Figure \* ARABIC </w:instrText>
      </w:r>
      <w:r w:rsidRPr="00CB64CE">
        <w:rPr>
          <w:lang w:val="en-AU"/>
        </w:rPr>
        <w:fldChar w:fldCharType="separate"/>
      </w:r>
      <w:r w:rsidR="00187CFE" w:rsidRPr="00CB64CE">
        <w:rPr>
          <w:noProof/>
          <w:lang w:val="en-AU"/>
        </w:rPr>
        <w:t>1</w:t>
      </w:r>
      <w:r w:rsidRPr="00CB64CE">
        <w:rPr>
          <w:lang w:val="en-AU"/>
        </w:rPr>
        <w:fldChar w:fldCharType="end"/>
      </w:r>
      <w:r w:rsidRPr="00CB64CE">
        <w:rPr>
          <w:lang w:val="en-AU"/>
        </w:rPr>
        <w:tab/>
        <w:t>Chemical structure</w:t>
      </w:r>
      <w:r w:rsidR="008B48AA" w:rsidRPr="00CB64CE">
        <w:rPr>
          <w:lang w:val="en-AU"/>
        </w:rPr>
        <w:t xml:space="preserve"> </w:t>
      </w:r>
      <w:r w:rsidRPr="00CB64CE">
        <w:rPr>
          <w:lang w:val="en-AU"/>
        </w:rPr>
        <w:t xml:space="preserve">of </w:t>
      </w:r>
      <w:r w:rsidR="008B48AA" w:rsidRPr="00CB64CE">
        <w:rPr>
          <w:lang w:val="en-AU"/>
        </w:rPr>
        <w:t>acalabrutinib</w:t>
      </w:r>
    </w:p>
    <w:p w14:paraId="40A09924" w14:textId="699E84A9" w:rsidR="004C7F1B" w:rsidRPr="00CB64CE" w:rsidRDefault="008B48AA" w:rsidP="004C7F1B">
      <w:pPr>
        <w:pStyle w:val="Paragraph"/>
        <w:rPr>
          <w:lang w:val="en-AU"/>
        </w:rPr>
      </w:pPr>
      <w:r w:rsidRPr="00CB64CE">
        <w:rPr>
          <w:lang w:val="en-AU"/>
        </w:rPr>
        <w:object w:dxaOrig="3331" w:dyaOrig="4815" w14:anchorId="33C00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5pt;height:240.4pt" o:ole="">
            <v:imagedata r:id="rId8" o:title=""/>
          </v:shape>
          <o:OLEObject Type="Embed" ProgID="ISISServer" ShapeID="_x0000_i1025" DrawAspect="Content" ObjectID="_1644748266" r:id="rId9">
            <o:FieldCodes>\s</o:FieldCodes>
          </o:OLEObject>
        </w:object>
      </w:r>
    </w:p>
    <w:p w14:paraId="6C1FE406" w14:textId="77777777" w:rsidR="00062AE5" w:rsidRPr="00CB64CE" w:rsidRDefault="001A3992" w:rsidP="00062AE5">
      <w:pPr>
        <w:pStyle w:val="Heading3Unnumbered"/>
        <w:rPr>
          <w:lang w:val="en-AU"/>
        </w:rPr>
      </w:pPr>
      <w:r w:rsidRPr="00CB64CE">
        <w:rPr>
          <w:lang w:val="en-AU"/>
        </w:rPr>
        <w:t>CAS number</w:t>
      </w:r>
    </w:p>
    <w:p w14:paraId="1E7BB43E" w14:textId="4ED10451" w:rsidR="006A727B" w:rsidRPr="00CB64CE" w:rsidRDefault="003A1F9B" w:rsidP="006A727B">
      <w:pPr>
        <w:pStyle w:val="Paragraph"/>
        <w:rPr>
          <w:lang w:val="en-AU"/>
        </w:rPr>
      </w:pPr>
      <w:r w:rsidRPr="00CB64CE">
        <w:rPr>
          <w:lang w:val="en-AU"/>
        </w:rPr>
        <w:t>CAS 1420477-60-6</w:t>
      </w:r>
    </w:p>
    <w:p w14:paraId="0ABE5DF5" w14:textId="77777777" w:rsidR="001A3992" w:rsidRPr="00CB64CE" w:rsidRDefault="001A3992" w:rsidP="00EE3AC8">
      <w:pPr>
        <w:pStyle w:val="Heading1"/>
        <w:rPr>
          <w:lang w:val="en-AU"/>
        </w:rPr>
      </w:pPr>
      <w:r w:rsidRPr="00CB64CE">
        <w:rPr>
          <w:lang w:val="en-AU"/>
        </w:rPr>
        <w:t>Medicine schedule (Poisons Standard)</w:t>
      </w:r>
    </w:p>
    <w:p w14:paraId="2ECF28C8" w14:textId="32E631F7" w:rsidR="0041004D" w:rsidRPr="00CB64CE" w:rsidRDefault="0041004D" w:rsidP="002D3489">
      <w:pPr>
        <w:pStyle w:val="Paragraph"/>
        <w:rPr>
          <w:lang w:val="en-AU"/>
        </w:rPr>
      </w:pPr>
      <w:r w:rsidRPr="00CB64CE">
        <w:rPr>
          <w:lang w:val="en-AU"/>
        </w:rPr>
        <w:t>Prescription only medicine (Schedule 4)</w:t>
      </w:r>
    </w:p>
    <w:p w14:paraId="5C5C3AA6" w14:textId="77777777" w:rsidR="00285173" w:rsidRPr="00CB64CE" w:rsidRDefault="001A3992" w:rsidP="00EE3AC8">
      <w:pPr>
        <w:pStyle w:val="Heading1"/>
        <w:rPr>
          <w:lang w:val="en-AU"/>
        </w:rPr>
      </w:pPr>
      <w:r w:rsidRPr="00CB64CE">
        <w:rPr>
          <w:lang w:val="en-AU"/>
        </w:rPr>
        <w:t>Sponsor</w:t>
      </w:r>
    </w:p>
    <w:p w14:paraId="267DBDA3" w14:textId="77777777" w:rsidR="0041004D" w:rsidRPr="00CB64CE" w:rsidRDefault="0041004D" w:rsidP="0041004D">
      <w:pPr>
        <w:pStyle w:val="Paragraph"/>
        <w:rPr>
          <w:lang w:val="en-AU"/>
        </w:rPr>
      </w:pPr>
      <w:r w:rsidRPr="00CB64CE">
        <w:rPr>
          <w:lang w:val="en-AU"/>
        </w:rPr>
        <w:t>AstraZeneca Pty Ltd</w:t>
      </w:r>
      <w:r w:rsidRPr="00CB64CE">
        <w:rPr>
          <w:lang w:val="en-AU"/>
        </w:rPr>
        <w:br/>
        <w:t>ABN 54 009 682 311</w:t>
      </w:r>
      <w:r w:rsidRPr="00CB64CE">
        <w:rPr>
          <w:lang w:val="en-AU"/>
        </w:rPr>
        <w:br/>
        <w:t>66 Talavera Road</w:t>
      </w:r>
      <w:r w:rsidRPr="00CB64CE">
        <w:rPr>
          <w:lang w:val="en-AU"/>
        </w:rPr>
        <w:br/>
        <w:t>MACQUARIE PARK NSW 2113</w:t>
      </w:r>
    </w:p>
    <w:p w14:paraId="40E0CD36" w14:textId="77777777" w:rsidR="0041004D" w:rsidRPr="00CB64CE" w:rsidRDefault="0041004D" w:rsidP="0041004D">
      <w:pPr>
        <w:pStyle w:val="Paragraph"/>
        <w:rPr>
          <w:lang w:val="en-AU"/>
        </w:rPr>
      </w:pPr>
      <w:r w:rsidRPr="00CB64CE">
        <w:rPr>
          <w:lang w:val="en-AU"/>
        </w:rPr>
        <w:t>Telephone: 1800 805 342</w:t>
      </w:r>
    </w:p>
    <w:p w14:paraId="0B2D76E6" w14:textId="77777777" w:rsidR="00285173" w:rsidRPr="00CB64CE" w:rsidRDefault="00285173" w:rsidP="00EE3AC8">
      <w:pPr>
        <w:pStyle w:val="Heading1"/>
        <w:rPr>
          <w:lang w:val="en-AU"/>
        </w:rPr>
      </w:pPr>
      <w:r w:rsidRPr="00CB64CE">
        <w:rPr>
          <w:lang w:val="en-AU"/>
        </w:rPr>
        <w:t xml:space="preserve">Date of first </w:t>
      </w:r>
      <w:r w:rsidR="00795D99" w:rsidRPr="00CB64CE">
        <w:rPr>
          <w:lang w:val="en-AU"/>
        </w:rPr>
        <w:t>approval</w:t>
      </w:r>
    </w:p>
    <w:p w14:paraId="5C092D96" w14:textId="1C7E25CD" w:rsidR="00E00336" w:rsidRPr="00CB64CE" w:rsidRDefault="00F769B5" w:rsidP="002D3489">
      <w:pPr>
        <w:pStyle w:val="Paragraph"/>
        <w:rPr>
          <w:lang w:val="en-AU"/>
        </w:rPr>
      </w:pPr>
      <w:r>
        <w:rPr>
          <w:lang w:val="en-AU"/>
        </w:rPr>
        <w:t>21 November 2019</w:t>
      </w:r>
    </w:p>
    <w:p w14:paraId="6726B98B" w14:textId="77777777" w:rsidR="00285173" w:rsidRPr="00CB64CE" w:rsidRDefault="00285173" w:rsidP="00EE3AC8">
      <w:pPr>
        <w:pStyle w:val="Heading1"/>
        <w:rPr>
          <w:lang w:val="en-AU"/>
        </w:rPr>
      </w:pPr>
      <w:r w:rsidRPr="00CB64CE">
        <w:rPr>
          <w:lang w:val="en-AU"/>
        </w:rPr>
        <w:t>Date o</w:t>
      </w:r>
      <w:r w:rsidR="00795D99" w:rsidRPr="00CB64CE">
        <w:rPr>
          <w:lang w:val="en-AU"/>
        </w:rPr>
        <w:t>f revision</w:t>
      </w:r>
    </w:p>
    <w:p w14:paraId="136AD1CB" w14:textId="06FE7F42" w:rsidR="00513B1A" w:rsidRPr="00CB64CE" w:rsidRDefault="001812B5" w:rsidP="00513B1A">
      <w:pPr>
        <w:pStyle w:val="Paragraph"/>
        <w:rPr>
          <w:lang w:val="en-AU"/>
        </w:rPr>
      </w:pPr>
      <w:r w:rsidRPr="00CB64CE">
        <w:rPr>
          <w:lang w:val="en-AU"/>
        </w:rPr>
        <w:t>Not applicable</w:t>
      </w:r>
      <w:r w:rsidR="00BE789F" w:rsidRPr="00CB64CE">
        <w:rPr>
          <w:lang w:val="en-AU"/>
        </w:rPr>
        <w:t>.</w:t>
      </w:r>
    </w:p>
    <w:p w14:paraId="03FF1751" w14:textId="77777777" w:rsidR="00285173" w:rsidRPr="00CB64CE" w:rsidRDefault="00285173" w:rsidP="0026491B">
      <w:pPr>
        <w:pStyle w:val="Heading2Unnumbered"/>
        <w:rPr>
          <w:lang w:val="en-AU"/>
        </w:rPr>
      </w:pPr>
      <w:r w:rsidRPr="00CB64CE">
        <w:rPr>
          <w:lang w:val="en-AU"/>
        </w:rPr>
        <w:lastRenderedPageBreak/>
        <w:t>Summary table of changes</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t;&lt;Please Add a Table Title Here&gt;&gt;"/>
      </w:tblPr>
      <w:tblGrid>
        <w:gridCol w:w="1129"/>
        <w:gridCol w:w="8509"/>
      </w:tblGrid>
      <w:tr w:rsidR="008A35FB" w:rsidRPr="00CB64CE" w14:paraId="52CE5ECC" w14:textId="77777777" w:rsidTr="008A35FB">
        <w:trPr>
          <w:cantSplit/>
          <w:tblHeader/>
        </w:trPr>
        <w:tc>
          <w:tcPr>
            <w:tcW w:w="1129" w:type="dxa"/>
            <w:shd w:val="clear" w:color="auto" w:fill="auto"/>
          </w:tcPr>
          <w:p w14:paraId="6C2E253C" w14:textId="77777777" w:rsidR="008A35FB" w:rsidRPr="00CB64CE" w:rsidRDefault="008A35FB" w:rsidP="008A35FB">
            <w:pPr>
              <w:pStyle w:val="TableHead"/>
              <w:jc w:val="left"/>
              <w:rPr>
                <w:lang w:val="en-AU"/>
              </w:rPr>
            </w:pPr>
            <w:r w:rsidRPr="00CB64CE">
              <w:rPr>
                <w:lang w:val="en-AU"/>
              </w:rPr>
              <w:t>Section changed</w:t>
            </w:r>
          </w:p>
        </w:tc>
        <w:tc>
          <w:tcPr>
            <w:tcW w:w="8509" w:type="dxa"/>
            <w:shd w:val="clear" w:color="auto" w:fill="auto"/>
          </w:tcPr>
          <w:p w14:paraId="41577272" w14:textId="77777777" w:rsidR="008A35FB" w:rsidRPr="00CB64CE" w:rsidRDefault="008A35FB" w:rsidP="008A35FB">
            <w:pPr>
              <w:pStyle w:val="TableHead"/>
              <w:jc w:val="left"/>
              <w:rPr>
                <w:lang w:val="en-AU"/>
              </w:rPr>
            </w:pPr>
            <w:r w:rsidRPr="00CB64CE">
              <w:rPr>
                <w:lang w:val="en-AU"/>
              </w:rPr>
              <w:t>Summary of new information</w:t>
            </w:r>
          </w:p>
        </w:tc>
      </w:tr>
      <w:tr w:rsidR="001812B5" w:rsidRPr="00CB64CE" w14:paraId="3A91F0E0" w14:textId="77777777" w:rsidTr="00257099">
        <w:trPr>
          <w:cantSplit/>
        </w:trPr>
        <w:tc>
          <w:tcPr>
            <w:tcW w:w="1129" w:type="dxa"/>
            <w:shd w:val="clear" w:color="auto" w:fill="auto"/>
          </w:tcPr>
          <w:p w14:paraId="52179AB7" w14:textId="4FFF68B7" w:rsidR="001812B5" w:rsidRPr="00CB64CE" w:rsidRDefault="001812B5" w:rsidP="00257099">
            <w:pPr>
              <w:pStyle w:val="TableLeft"/>
              <w:rPr>
                <w:lang w:val="en-AU"/>
              </w:rPr>
            </w:pPr>
            <w:r w:rsidRPr="00CB64CE">
              <w:rPr>
                <w:lang w:val="en-AU"/>
              </w:rPr>
              <w:t>N/A</w:t>
            </w:r>
          </w:p>
        </w:tc>
        <w:tc>
          <w:tcPr>
            <w:tcW w:w="8509" w:type="dxa"/>
            <w:shd w:val="clear" w:color="auto" w:fill="auto"/>
          </w:tcPr>
          <w:p w14:paraId="6E9739D1" w14:textId="2D9FBAE4" w:rsidR="001812B5" w:rsidRPr="00CB64CE" w:rsidRDefault="001812B5" w:rsidP="00257099">
            <w:pPr>
              <w:pStyle w:val="TableLeft"/>
              <w:rPr>
                <w:lang w:val="en-AU"/>
              </w:rPr>
            </w:pPr>
            <w:r w:rsidRPr="00CB64CE">
              <w:rPr>
                <w:lang w:val="en-AU"/>
              </w:rPr>
              <w:t>New product</w:t>
            </w:r>
          </w:p>
        </w:tc>
      </w:tr>
    </w:tbl>
    <w:p w14:paraId="7297D442" w14:textId="77777777" w:rsidR="00513B1A" w:rsidRPr="00CB64CE" w:rsidRDefault="00513B1A" w:rsidP="00513B1A">
      <w:pPr>
        <w:pStyle w:val="Paragraph"/>
        <w:rPr>
          <w:lang w:val="en-AU"/>
        </w:rPr>
      </w:pPr>
    </w:p>
    <w:p w14:paraId="45B6D812" w14:textId="3F91455D" w:rsidR="00513B1A" w:rsidRPr="00CB64CE" w:rsidRDefault="00C05992" w:rsidP="00513B1A">
      <w:pPr>
        <w:pStyle w:val="Paragraph"/>
        <w:rPr>
          <w:sz w:val="20"/>
          <w:szCs w:val="20"/>
          <w:lang w:val="en-AU"/>
        </w:rPr>
      </w:pPr>
      <w:r w:rsidRPr="00CB64CE">
        <w:rPr>
          <w:sz w:val="20"/>
          <w:szCs w:val="20"/>
          <w:lang w:val="en-AU"/>
        </w:rPr>
        <w:t>CALQUENCE</w:t>
      </w:r>
      <w:r w:rsidR="00513B1A" w:rsidRPr="00CB64CE">
        <w:rPr>
          <w:sz w:val="20"/>
          <w:szCs w:val="20"/>
          <w:lang w:val="en-AU"/>
        </w:rPr>
        <w:t xml:space="preserve"> is a </w:t>
      </w:r>
      <w:r w:rsidRPr="00CB64CE">
        <w:rPr>
          <w:sz w:val="20"/>
          <w:szCs w:val="20"/>
          <w:lang w:val="en-AU"/>
        </w:rPr>
        <w:t xml:space="preserve">registered </w:t>
      </w:r>
      <w:r w:rsidR="00513B1A" w:rsidRPr="00CB64CE">
        <w:rPr>
          <w:sz w:val="20"/>
          <w:szCs w:val="20"/>
          <w:lang w:val="en-AU"/>
        </w:rPr>
        <w:t>trade mark of the AstraZeneca group of companies</w:t>
      </w:r>
      <w:r w:rsidRPr="00CB64CE">
        <w:rPr>
          <w:sz w:val="20"/>
          <w:szCs w:val="20"/>
          <w:lang w:val="en-AU"/>
        </w:rPr>
        <w:t>.</w:t>
      </w:r>
    </w:p>
    <w:p w14:paraId="128BFA31" w14:textId="24CB2849" w:rsidR="00513B1A" w:rsidRPr="00CB64CE" w:rsidRDefault="00513B1A" w:rsidP="00513B1A">
      <w:pPr>
        <w:pStyle w:val="Paragraph"/>
        <w:rPr>
          <w:sz w:val="20"/>
          <w:szCs w:val="20"/>
          <w:lang w:val="en-AU"/>
        </w:rPr>
      </w:pPr>
      <w:r w:rsidRPr="00CB64CE">
        <w:rPr>
          <w:sz w:val="20"/>
          <w:szCs w:val="20"/>
          <w:vertAlign w:val="superscript"/>
          <w:lang w:val="en-AU"/>
        </w:rPr>
        <w:t>©</w:t>
      </w:r>
      <w:r w:rsidRPr="00CB64CE">
        <w:rPr>
          <w:sz w:val="20"/>
          <w:szCs w:val="20"/>
          <w:lang w:val="en-AU"/>
        </w:rPr>
        <w:t xml:space="preserve"> AstraZeneca, </w:t>
      </w:r>
      <w:r w:rsidR="00BE789F" w:rsidRPr="00CB64CE">
        <w:rPr>
          <w:sz w:val="20"/>
          <w:szCs w:val="20"/>
          <w:lang w:val="en-AU"/>
        </w:rPr>
        <w:t>2020</w:t>
      </w:r>
    </w:p>
    <w:p w14:paraId="1F09E080" w14:textId="1E1F2937" w:rsidR="008A35FB" w:rsidRPr="00D75E6B" w:rsidRDefault="00CB6D00" w:rsidP="00BE789F">
      <w:pPr>
        <w:pStyle w:val="Paragraph"/>
        <w:rPr>
          <w:sz w:val="20"/>
          <w:szCs w:val="20"/>
          <w:lang w:val="en-AU"/>
        </w:rPr>
      </w:pPr>
      <w:r w:rsidRPr="00971AB5">
        <w:rPr>
          <w:sz w:val="20"/>
          <w:szCs w:val="20"/>
          <w:lang w:val="en-AU"/>
        </w:rPr>
        <w:t xml:space="preserve">Doc ID-004140280 </w:t>
      </w:r>
      <w:r w:rsidR="00BE789F" w:rsidRPr="00971AB5">
        <w:rPr>
          <w:sz w:val="20"/>
          <w:szCs w:val="20"/>
          <w:lang w:val="en-AU"/>
        </w:rPr>
        <w:t>v</w:t>
      </w:r>
      <w:r w:rsidRPr="00971AB5">
        <w:rPr>
          <w:sz w:val="20"/>
          <w:szCs w:val="20"/>
          <w:lang w:val="en-AU"/>
        </w:rPr>
        <w:t>2</w:t>
      </w:r>
    </w:p>
    <w:sectPr w:rsidR="008A35FB" w:rsidRPr="00D75E6B" w:rsidSect="0080644B">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B0A23" w14:textId="77777777" w:rsidR="00E30924" w:rsidRDefault="00E30924" w:rsidP="001A3992">
      <w:pPr>
        <w:spacing w:after="0" w:line="240" w:lineRule="auto"/>
      </w:pPr>
      <w:r>
        <w:separator/>
      </w:r>
    </w:p>
  </w:endnote>
  <w:endnote w:type="continuationSeparator" w:id="0">
    <w:p w14:paraId="52AC3822" w14:textId="77777777" w:rsidR="00E30924" w:rsidRDefault="00E30924"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4496A" w14:textId="77777777" w:rsidR="000C0228" w:rsidRDefault="000C0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8A842" w14:textId="0CE6E034" w:rsidR="00E40969" w:rsidRDefault="00E40969" w:rsidP="00C85696">
    <w:pPr>
      <w:pStyle w:val="Footer"/>
      <w:jc w:val="center"/>
    </w:pPr>
    <w:r w:rsidRPr="00136256">
      <w:fldChar w:fldCharType="begin"/>
    </w:r>
    <w:r w:rsidRPr="00136256">
      <w:instrText xml:space="preserve"> PAGE </w:instrText>
    </w:r>
    <w:r w:rsidRPr="00136256">
      <w:fldChar w:fldCharType="separate"/>
    </w:r>
    <w:r w:rsidR="00802C2B">
      <w:rPr>
        <w:noProof/>
      </w:rPr>
      <w:t>2</w:t>
    </w:r>
    <w:r w:rsidRPr="00136256">
      <w:fldChar w:fldCharType="end"/>
    </w:r>
    <w:r w:rsidRPr="00136256">
      <w:t xml:space="preserve"> </w:t>
    </w:r>
    <w:r>
      <w:t xml:space="preserve">of </w:t>
    </w:r>
    <w:r>
      <w:fldChar w:fldCharType="begin"/>
    </w:r>
    <w:r>
      <w:instrText xml:space="preserve"> NUMPAGES </w:instrText>
    </w:r>
    <w:r>
      <w:fldChar w:fldCharType="separate"/>
    </w:r>
    <w:r w:rsidR="00802C2B">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618D4" w14:textId="77777777" w:rsidR="000C0228" w:rsidRDefault="000C0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643BF" w14:textId="77777777" w:rsidR="00E30924" w:rsidRDefault="00E30924" w:rsidP="001A3992">
      <w:pPr>
        <w:spacing w:after="0" w:line="240" w:lineRule="auto"/>
      </w:pPr>
      <w:r>
        <w:separator/>
      </w:r>
    </w:p>
  </w:footnote>
  <w:footnote w:type="continuationSeparator" w:id="0">
    <w:p w14:paraId="3F9EDFFE" w14:textId="77777777" w:rsidR="00E30924" w:rsidRDefault="00E30924" w:rsidP="001A3992">
      <w:pPr>
        <w:spacing w:after="0" w:line="240" w:lineRule="auto"/>
      </w:pPr>
      <w:r>
        <w:continuationSeparator/>
      </w:r>
    </w:p>
  </w:footnote>
  <w:footnote w:id="1">
    <w:p w14:paraId="677C48F1" w14:textId="77777777" w:rsidR="00E40969" w:rsidRPr="001611F9" w:rsidRDefault="00E40969" w:rsidP="00B34560">
      <w:pPr>
        <w:pStyle w:val="FootnoteText"/>
        <w:rPr>
          <w:lang w:val="en-AU"/>
        </w:rPr>
      </w:pPr>
      <w:r>
        <w:rPr>
          <w:rStyle w:val="FootnoteReference"/>
        </w:rPr>
        <w:footnoteRef/>
      </w:r>
      <w:r>
        <w:t xml:space="preserve"> </w:t>
      </w:r>
      <w:r>
        <w:rPr>
          <w:lang w:val="en-AU"/>
        </w:rPr>
        <w:t>3.2.P.1</w:t>
      </w:r>
    </w:p>
  </w:footnote>
  <w:footnote w:id="2">
    <w:p w14:paraId="666CC9FA" w14:textId="28213C5C" w:rsidR="00E40969" w:rsidRPr="001611F9" w:rsidRDefault="00E40969">
      <w:pPr>
        <w:pStyle w:val="FootnoteText"/>
        <w:rPr>
          <w:lang w:val="en-AU"/>
        </w:rPr>
      </w:pPr>
      <w:r>
        <w:rPr>
          <w:rStyle w:val="FootnoteReference"/>
        </w:rPr>
        <w:footnoteRef/>
      </w:r>
      <w:r>
        <w:t xml:space="preserve"> </w:t>
      </w:r>
      <w:r>
        <w:rPr>
          <w:lang w:val="en-AU"/>
        </w:rPr>
        <w:t>3.2.P.1</w:t>
      </w:r>
    </w:p>
  </w:footnote>
  <w:footnote w:id="3">
    <w:p w14:paraId="249278BA" w14:textId="65E776A2" w:rsidR="00E40969" w:rsidRPr="005560F5" w:rsidRDefault="00E40969">
      <w:pPr>
        <w:pStyle w:val="FootnoteText"/>
        <w:rPr>
          <w:lang w:val="en-AU"/>
        </w:rPr>
      </w:pPr>
      <w:r>
        <w:rPr>
          <w:rStyle w:val="FootnoteReference"/>
        </w:rPr>
        <w:footnoteRef/>
      </w:r>
      <w:r>
        <w:t xml:space="preserve"> </w:t>
      </w:r>
      <w:r>
        <w:rPr>
          <w:lang w:val="en-AU"/>
        </w:rPr>
        <w:t>As per TGA provisional determination; in line with US PI indication</w:t>
      </w:r>
    </w:p>
  </w:footnote>
  <w:footnote w:id="4">
    <w:p w14:paraId="70079477" w14:textId="4AD77458" w:rsidR="00E40969" w:rsidRPr="00B34560" w:rsidRDefault="00E40969">
      <w:pPr>
        <w:pStyle w:val="FootnoteText"/>
        <w:rPr>
          <w:lang w:val="en-AU"/>
        </w:rPr>
      </w:pPr>
      <w:r>
        <w:rPr>
          <w:rStyle w:val="FootnoteReference"/>
        </w:rPr>
        <w:footnoteRef/>
      </w:r>
      <w:r>
        <w:t xml:space="preserve"> </w:t>
      </w:r>
      <w:r>
        <w:rPr>
          <w:lang w:val="en-AU"/>
        </w:rPr>
        <w:t>US PI text or inline with US PI text (note – special populations text located in different sections of the US PI)</w:t>
      </w:r>
    </w:p>
  </w:footnote>
  <w:footnote w:id="5">
    <w:p w14:paraId="3A3F164F" w14:textId="3D9C5CFC" w:rsidR="00E40969" w:rsidRPr="00B34560" w:rsidRDefault="00E40969">
      <w:pPr>
        <w:pStyle w:val="FootnoteText"/>
        <w:rPr>
          <w:lang w:val="en-AU"/>
        </w:rPr>
      </w:pPr>
      <w:r>
        <w:rPr>
          <w:rStyle w:val="FootnoteReference"/>
        </w:rPr>
        <w:footnoteRef/>
      </w:r>
      <w:r>
        <w:t xml:space="preserve"> </w:t>
      </w:r>
      <w:r>
        <w:rPr>
          <w:lang w:val="en-AU"/>
        </w:rPr>
        <w:t>US PI</w:t>
      </w:r>
    </w:p>
  </w:footnote>
  <w:footnote w:id="6">
    <w:p w14:paraId="53E257C5" w14:textId="7E12FFFD" w:rsidR="00E40969" w:rsidRPr="00E91307" w:rsidRDefault="00E40969">
      <w:pPr>
        <w:pStyle w:val="FootnoteText"/>
        <w:rPr>
          <w:lang w:val="en-AU"/>
        </w:rPr>
      </w:pPr>
      <w:r>
        <w:rPr>
          <w:rStyle w:val="FootnoteReference"/>
        </w:rPr>
        <w:footnoteRef/>
      </w:r>
      <w:r>
        <w:t xml:space="preserve"> </w:t>
      </w:r>
      <w:r>
        <w:rPr>
          <w:lang w:val="en-AU"/>
        </w:rPr>
        <w:t xml:space="preserve">The majority of the warnings and precautions text is from the US PI or in line with US PI text.  Please note that the safety database numbers differ to the clinical overview/clinical summary documents (and the Core Data Sheet) as they are based </w:t>
      </w:r>
      <w:r w:rsidRPr="009477DC">
        <w:rPr>
          <w:lang w:val="en-AU"/>
        </w:rPr>
        <w:t>on the US 90 Day safety update report (</w:t>
      </w:r>
      <w:r>
        <w:rPr>
          <w:lang w:val="en-AU"/>
        </w:rPr>
        <w:t xml:space="preserve">see </w:t>
      </w:r>
      <w:r w:rsidRPr="009477DC">
        <w:rPr>
          <w:lang w:val="en-AU"/>
        </w:rPr>
        <w:t>Module 2.7.4</w:t>
      </w:r>
      <w:r>
        <w:rPr>
          <w:lang w:val="en-AU"/>
        </w:rPr>
        <w:t>,</w:t>
      </w:r>
      <w:r w:rsidRPr="009477DC">
        <w:rPr>
          <w:lang w:val="en-AU"/>
        </w:rPr>
        <w:t xml:space="preserve"> 90 Day safety update)</w:t>
      </w:r>
    </w:p>
  </w:footnote>
  <w:footnote w:id="7">
    <w:p w14:paraId="4B37601C" w14:textId="3846A58A" w:rsidR="00E40969" w:rsidRPr="009530D9" w:rsidRDefault="00E40969">
      <w:pPr>
        <w:pStyle w:val="FootnoteText"/>
        <w:rPr>
          <w:lang w:val="en-AU"/>
        </w:rPr>
      </w:pPr>
      <w:r>
        <w:rPr>
          <w:rStyle w:val="FootnoteReference"/>
        </w:rPr>
        <w:footnoteRef/>
      </w:r>
      <w:r>
        <w:t xml:space="preserve"> </w:t>
      </w:r>
      <w:r>
        <w:rPr>
          <w:lang w:val="en-AU"/>
        </w:rPr>
        <w:t>US PI text or in line with US PI text</w:t>
      </w:r>
    </w:p>
  </w:footnote>
  <w:footnote w:id="8">
    <w:p w14:paraId="13E1E6B1" w14:textId="22E2F5B8" w:rsidR="00E40969" w:rsidRPr="0084232B" w:rsidRDefault="00E40969">
      <w:pPr>
        <w:pStyle w:val="FootnoteText"/>
        <w:rPr>
          <w:lang w:val="en-AU"/>
        </w:rPr>
      </w:pPr>
      <w:r>
        <w:rPr>
          <w:rStyle w:val="FootnoteReference"/>
        </w:rPr>
        <w:footnoteRef/>
      </w:r>
      <w:r>
        <w:t xml:space="preserve"> </w:t>
      </w:r>
      <w:r>
        <w:rPr>
          <w:lang w:val="en-AU"/>
        </w:rPr>
        <w:t>US PI with Australian pregnancy categorisation.</w:t>
      </w:r>
    </w:p>
  </w:footnote>
  <w:footnote w:id="9">
    <w:p w14:paraId="4944AD32" w14:textId="626E2111" w:rsidR="00E40969" w:rsidRPr="00C32699" w:rsidRDefault="00E40969">
      <w:pPr>
        <w:pStyle w:val="FootnoteText"/>
        <w:rPr>
          <w:lang w:val="en-AU"/>
        </w:rPr>
      </w:pPr>
      <w:r>
        <w:rPr>
          <w:rStyle w:val="FootnoteReference"/>
        </w:rPr>
        <w:footnoteRef/>
      </w:r>
      <w:r>
        <w:t xml:space="preserve"> Australian Pregnancy Category C proposed as while t</w:t>
      </w:r>
      <w:r w:rsidRPr="00C32699">
        <w:t xml:space="preserve">here is evidence of decreased fetal body weight and delayed skeletal ossification, </w:t>
      </w:r>
      <w:r>
        <w:t xml:space="preserve">there is no </w:t>
      </w:r>
      <w:r w:rsidRPr="00C32699">
        <w:t>evidence of fetal malformations</w:t>
      </w:r>
      <w:r>
        <w:t>.</w:t>
      </w:r>
    </w:p>
  </w:footnote>
  <w:footnote w:id="10">
    <w:p w14:paraId="50D16021" w14:textId="15A66FAA" w:rsidR="00E40969" w:rsidRPr="0084232B" w:rsidRDefault="00E40969">
      <w:pPr>
        <w:pStyle w:val="FootnoteText"/>
        <w:rPr>
          <w:lang w:val="en-AU"/>
        </w:rPr>
      </w:pPr>
      <w:r>
        <w:rPr>
          <w:rStyle w:val="FootnoteReference"/>
        </w:rPr>
        <w:footnoteRef/>
      </w:r>
      <w:r>
        <w:t xml:space="preserve"> </w:t>
      </w:r>
      <w:r>
        <w:rPr>
          <w:lang w:val="en-AU"/>
        </w:rPr>
        <w:t xml:space="preserve">US PI; Module 2.5, Module 2.7.4 </w:t>
      </w:r>
      <w:r w:rsidRPr="001960AA">
        <w:rPr>
          <w:lang w:val="en-AU"/>
        </w:rPr>
        <w:t>and Module 5.3.5.2 Clinical study report (CSR) ACE-LY-004</w:t>
      </w:r>
    </w:p>
  </w:footnote>
  <w:footnote w:id="11">
    <w:p w14:paraId="0C14DF06" w14:textId="0E228421" w:rsidR="00E40969" w:rsidRPr="00B86C72" w:rsidRDefault="00E40969">
      <w:pPr>
        <w:pStyle w:val="FootnoteText"/>
        <w:rPr>
          <w:lang w:val="en-AU"/>
        </w:rPr>
      </w:pPr>
      <w:r>
        <w:rPr>
          <w:rStyle w:val="FootnoteReference"/>
        </w:rPr>
        <w:footnoteRef/>
      </w:r>
      <w:r>
        <w:t xml:space="preserve"> </w:t>
      </w:r>
      <w:r>
        <w:rPr>
          <w:lang w:val="en-AU"/>
        </w:rPr>
        <w:t>US PI</w:t>
      </w:r>
    </w:p>
  </w:footnote>
  <w:footnote w:id="12">
    <w:p w14:paraId="33A335AF" w14:textId="436BCE31" w:rsidR="00E40969" w:rsidRPr="00B86C72" w:rsidRDefault="00E40969">
      <w:pPr>
        <w:pStyle w:val="FootnoteText"/>
        <w:rPr>
          <w:lang w:val="en-AU"/>
        </w:rPr>
      </w:pPr>
      <w:r>
        <w:rPr>
          <w:rStyle w:val="FootnoteReference"/>
        </w:rPr>
        <w:footnoteRef/>
      </w:r>
      <w:r>
        <w:t xml:space="preserve"> </w:t>
      </w:r>
      <w:r>
        <w:rPr>
          <w:lang w:val="en-AU"/>
        </w:rPr>
        <w:t>US PI</w:t>
      </w:r>
    </w:p>
  </w:footnote>
  <w:footnote w:id="13">
    <w:p w14:paraId="1FB73288" w14:textId="67D1889D" w:rsidR="00E40969" w:rsidRPr="009801F2" w:rsidRDefault="00E40969">
      <w:pPr>
        <w:pStyle w:val="FootnoteText"/>
        <w:rPr>
          <w:lang w:val="en-AU"/>
        </w:rPr>
      </w:pPr>
      <w:r>
        <w:rPr>
          <w:rStyle w:val="FootnoteReference"/>
        </w:rPr>
        <w:footnoteRef/>
      </w:r>
      <w:r>
        <w:t xml:space="preserve"> </w:t>
      </w:r>
      <w:r>
        <w:rPr>
          <w:lang w:val="en-AU"/>
        </w:rPr>
        <w:t>In line with US PI</w:t>
      </w:r>
    </w:p>
  </w:footnote>
  <w:footnote w:id="14">
    <w:p w14:paraId="4AECE63F" w14:textId="268D5E41" w:rsidR="00E40969" w:rsidRPr="00E02660" w:rsidRDefault="00E40969">
      <w:pPr>
        <w:pStyle w:val="FootnoteText"/>
        <w:rPr>
          <w:lang w:val="en-AU"/>
        </w:rPr>
      </w:pPr>
      <w:r>
        <w:rPr>
          <w:rStyle w:val="FootnoteReference"/>
        </w:rPr>
        <w:footnoteRef/>
      </w:r>
      <w:r>
        <w:t xml:space="preserve"> </w:t>
      </w:r>
      <w:r>
        <w:rPr>
          <w:lang w:val="en-AU"/>
        </w:rPr>
        <w:t xml:space="preserve">Module 2.5, Module 2.7.3 and </w:t>
      </w:r>
      <w:r w:rsidRPr="001960AA">
        <w:rPr>
          <w:lang w:val="en-AU"/>
        </w:rPr>
        <w:t xml:space="preserve">Module 5.3.5.2 </w:t>
      </w:r>
      <w:r>
        <w:rPr>
          <w:lang w:val="en-AU"/>
        </w:rPr>
        <w:t>CSR</w:t>
      </w:r>
      <w:r w:rsidRPr="001960AA">
        <w:rPr>
          <w:lang w:val="en-AU"/>
        </w:rPr>
        <w:t xml:space="preserve"> ACE-LY-004</w:t>
      </w:r>
    </w:p>
  </w:footnote>
  <w:footnote w:id="15">
    <w:p w14:paraId="12B5C8DF" w14:textId="269FDC2B" w:rsidR="00E40969" w:rsidRPr="00B86C72" w:rsidRDefault="00E40969">
      <w:pPr>
        <w:pStyle w:val="FootnoteText"/>
        <w:rPr>
          <w:lang w:val="en-AU"/>
        </w:rPr>
      </w:pPr>
      <w:r>
        <w:rPr>
          <w:rStyle w:val="FootnoteReference"/>
        </w:rPr>
        <w:footnoteRef/>
      </w:r>
      <w:r>
        <w:t xml:space="preserve"> </w:t>
      </w:r>
      <w:r>
        <w:rPr>
          <w:lang w:val="en-AU"/>
        </w:rPr>
        <w:t>US PI text, or text consistent with the US PI</w:t>
      </w:r>
    </w:p>
  </w:footnote>
  <w:footnote w:id="16">
    <w:p w14:paraId="0897DFF3" w14:textId="3E19470E" w:rsidR="00E40969" w:rsidRPr="00E336BB" w:rsidRDefault="00E40969">
      <w:pPr>
        <w:pStyle w:val="FootnoteText"/>
        <w:rPr>
          <w:lang w:val="en-AU"/>
        </w:rPr>
      </w:pPr>
      <w:r>
        <w:rPr>
          <w:rStyle w:val="FootnoteReference"/>
        </w:rPr>
        <w:footnoteRef/>
      </w:r>
      <w:r>
        <w:t xml:space="preserve"> </w:t>
      </w:r>
      <w:r>
        <w:rPr>
          <w:lang w:val="en-AU"/>
        </w:rPr>
        <w:t>US PI</w:t>
      </w:r>
    </w:p>
  </w:footnote>
  <w:footnote w:id="17">
    <w:p w14:paraId="4A811686" w14:textId="62F01D9D" w:rsidR="00E40969" w:rsidRPr="00E336BB" w:rsidRDefault="00E40969">
      <w:pPr>
        <w:pStyle w:val="FootnoteText"/>
        <w:rPr>
          <w:lang w:val="en-AU"/>
        </w:rPr>
      </w:pPr>
      <w:r>
        <w:rPr>
          <w:rStyle w:val="FootnoteReference"/>
        </w:rPr>
        <w:footnoteRef/>
      </w:r>
      <w:r>
        <w:t xml:space="preserve"> </w:t>
      </w:r>
      <w:r>
        <w:rPr>
          <w:lang w:val="en-AU"/>
        </w:rPr>
        <w:t>US PI</w:t>
      </w:r>
    </w:p>
  </w:footnote>
  <w:footnote w:id="18">
    <w:p w14:paraId="7C2C1B66" w14:textId="6089582F" w:rsidR="00E40969" w:rsidRPr="001611F9" w:rsidRDefault="00E40969" w:rsidP="00B34560">
      <w:pPr>
        <w:pStyle w:val="FootnoteText"/>
        <w:rPr>
          <w:lang w:val="en-AU"/>
        </w:rPr>
      </w:pPr>
      <w:r>
        <w:rPr>
          <w:rStyle w:val="FootnoteReference"/>
        </w:rPr>
        <w:footnoteRef/>
      </w:r>
      <w:r>
        <w:t xml:space="preserve"> Module </w:t>
      </w:r>
      <w:r>
        <w:rPr>
          <w:lang w:val="en-AU"/>
        </w:rPr>
        <w:t>3.2.P.1 with Australian Approved Name (AAN) terminology</w:t>
      </w:r>
    </w:p>
  </w:footnote>
  <w:footnote w:id="19">
    <w:p w14:paraId="520C0438" w14:textId="44E4A7EC" w:rsidR="00E40969" w:rsidRPr="00B34560" w:rsidRDefault="00E40969">
      <w:pPr>
        <w:pStyle w:val="FootnoteText"/>
        <w:rPr>
          <w:lang w:val="en-AU"/>
        </w:rPr>
      </w:pPr>
      <w:r>
        <w:rPr>
          <w:rStyle w:val="FootnoteReference"/>
        </w:rPr>
        <w:footnoteRef/>
      </w:r>
      <w:r>
        <w:t xml:space="preserve"> </w:t>
      </w:r>
      <w:r>
        <w:rPr>
          <w:lang w:val="en-AU"/>
        </w:rPr>
        <w:t>Module 3.2.P.8.1</w:t>
      </w:r>
    </w:p>
  </w:footnote>
  <w:footnote w:id="20">
    <w:p w14:paraId="5490C957" w14:textId="04C8A5AD" w:rsidR="00E40969" w:rsidRPr="00B34560" w:rsidRDefault="00E40969">
      <w:pPr>
        <w:pStyle w:val="FootnoteText"/>
        <w:rPr>
          <w:lang w:val="en-AU"/>
        </w:rPr>
      </w:pPr>
      <w:r>
        <w:rPr>
          <w:rStyle w:val="FootnoteReference"/>
        </w:rPr>
        <w:footnoteRef/>
      </w:r>
      <w:r>
        <w:t xml:space="preserve"> </w:t>
      </w:r>
      <w:r>
        <w:rPr>
          <w:lang w:val="en-AU"/>
        </w:rPr>
        <w:t>Module 3.2.P.7</w:t>
      </w:r>
    </w:p>
  </w:footnote>
  <w:footnote w:id="21">
    <w:p w14:paraId="5A1CA3E2" w14:textId="77777777" w:rsidR="00E40969" w:rsidRPr="008B48AA" w:rsidRDefault="00E40969" w:rsidP="00117ADE">
      <w:pPr>
        <w:pStyle w:val="FootnoteText"/>
        <w:rPr>
          <w:lang w:val="en-AU"/>
        </w:rPr>
      </w:pPr>
      <w:r>
        <w:rPr>
          <w:rStyle w:val="FootnoteReference"/>
        </w:rPr>
        <w:footnoteRef/>
      </w:r>
      <w:r>
        <w:t xml:space="preserve"> </w:t>
      </w:r>
      <w:r>
        <w:rPr>
          <w:lang w:val="en-AU"/>
        </w:rPr>
        <w:t>Module 3.2.S.1.2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97A74" w14:textId="77777777" w:rsidR="000C0228" w:rsidRDefault="000C0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0C0228" w:rsidRPr="002E7F61" w14:paraId="1C3F3363" w14:textId="77777777" w:rsidTr="00C55BF0">
      <w:trPr>
        <w:trHeight w:val="590"/>
      </w:trPr>
      <w:tc>
        <w:tcPr>
          <w:tcW w:w="8720" w:type="dxa"/>
          <w:shd w:val="clear" w:color="auto" w:fill="E4F2E0"/>
        </w:tcPr>
        <w:p w14:paraId="34898EFC" w14:textId="77777777" w:rsidR="000C0228" w:rsidRPr="002E7F61" w:rsidRDefault="000C0228" w:rsidP="000C0228">
          <w:pPr>
            <w:pStyle w:val="Footer"/>
            <w:rPr>
              <w:b/>
              <w:sz w:val="18"/>
              <w:szCs w:val="18"/>
            </w:rPr>
          </w:pPr>
          <w:r w:rsidRPr="002E7F61">
            <w:rPr>
              <w:b/>
              <w:sz w:val="18"/>
              <w:szCs w:val="18"/>
            </w:rPr>
            <w:t>Attachment 1</w:t>
          </w:r>
          <w:r>
            <w:t xml:space="preserve"> </w:t>
          </w:r>
          <w:r w:rsidRPr="00680D2D">
            <w:rPr>
              <w:b/>
              <w:sz w:val="18"/>
              <w:szCs w:val="18"/>
            </w:rPr>
            <w:t xml:space="preserve">AusPAR - CALQUENCE - </w:t>
          </w:r>
          <w:proofErr w:type="spellStart"/>
          <w:r w:rsidRPr="00680D2D">
            <w:rPr>
              <w:b/>
              <w:sz w:val="18"/>
              <w:szCs w:val="18"/>
            </w:rPr>
            <w:t>Acalabrutinib</w:t>
          </w:r>
          <w:proofErr w:type="spellEnd"/>
          <w:r w:rsidRPr="00680D2D">
            <w:rPr>
              <w:b/>
              <w:sz w:val="18"/>
              <w:szCs w:val="18"/>
            </w:rPr>
            <w:t xml:space="preserve"> - AstraZeneca Pty Ltd - PM-2019-03536-1-6</w:t>
          </w:r>
          <w:r>
            <w:rPr>
              <w:b/>
              <w:sz w:val="18"/>
              <w:szCs w:val="18"/>
            </w:rPr>
            <w:t xml:space="preserve"> </w:t>
          </w:r>
          <w:r w:rsidRPr="00680D2D">
            <w:rPr>
              <w:b/>
              <w:sz w:val="18"/>
              <w:szCs w:val="18"/>
            </w:rPr>
            <w:t>FINAL 17 February 2020</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 w:val="18"/>
                <w:szCs w:val="18"/>
              </w:rPr>
              <w:t>https://www.tga.gov.au/product-information-pi</w:t>
            </w:r>
          </w:hyperlink>
          <w:r w:rsidRPr="00FF2AA4">
            <w:rPr>
              <w:b/>
              <w:sz w:val="18"/>
              <w:szCs w:val="18"/>
              <w:u w:val="single"/>
            </w:rPr>
            <w:t>&gt;</w:t>
          </w:r>
        </w:p>
      </w:tc>
    </w:tr>
  </w:tbl>
  <w:p w14:paraId="22D24AB0" w14:textId="77777777" w:rsidR="000C0228" w:rsidRDefault="000C0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138FE" w14:textId="77777777" w:rsidR="000C0228" w:rsidRDefault="000C0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07B"/>
    <w:multiLevelType w:val="multilevel"/>
    <w:tmpl w:val="241253C8"/>
    <w:name w:val="ListBullet"/>
    <w:lvl w:ilvl="0">
      <w:start w:val="1"/>
      <w:numFmt w:val="bullet"/>
      <w:pStyle w:val="ListBullet"/>
      <w:lvlText w:val=""/>
      <w:lvlJc w:val="left"/>
      <w:pPr>
        <w:ind w:left="425" w:hanging="425"/>
      </w:pPr>
      <w:rPr>
        <w:rFonts w:ascii="Symbol" w:hAnsi="Symbol" w:hint="default"/>
        <w:b w:val="0"/>
        <w:i w:val="0"/>
        <w:caps w:val="0"/>
        <w:sz w:val="24"/>
        <w:u w:val="none"/>
        <w:vertAlign w:val="baseline"/>
      </w:rPr>
    </w:lvl>
    <w:lvl w:ilvl="1">
      <w:start w:val="1"/>
      <w:numFmt w:val="bullet"/>
      <w:pStyle w:val="ListBullet2"/>
      <w:lvlText w:val=""/>
      <w:lvlJc w:val="left"/>
      <w:pPr>
        <w:ind w:left="850" w:hanging="425"/>
      </w:pPr>
      <w:rPr>
        <w:rFonts w:ascii="Symbol" w:hAnsi="Symbol" w:hint="default"/>
        <w:color w:val="auto"/>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 w15:restartNumberingAfterBreak="0">
    <w:nsid w:val="062556DB"/>
    <w:multiLevelType w:val="multilevel"/>
    <w:tmpl w:val="C6DA3D6A"/>
    <w:name w:val="ListNumber"/>
    <w:lvl w:ilvl="0">
      <w:start w:val="1"/>
      <w:numFmt w:val="decimal"/>
      <w:pStyle w:val="ListNumber"/>
      <w:lvlText w:val="%1"/>
      <w:lvlJc w:val="left"/>
      <w:pPr>
        <w:ind w:left="425" w:hanging="425"/>
      </w:pPr>
      <w:rPr>
        <w:rFonts w:hint="default"/>
        <w:b w:val="0"/>
        <w:i w:val="0"/>
        <w:caps w:val="0"/>
        <w:sz w:val="24"/>
        <w:u w:val="none"/>
        <w:vertAlign w:val="baseline"/>
      </w:rPr>
    </w:lvl>
    <w:lvl w:ilvl="1">
      <w:start w:val="1"/>
      <w:numFmt w:val="lowerLetter"/>
      <w:pStyle w:val="ListNumber2"/>
      <w:lvlText w:val="(%2)"/>
      <w:lvlJc w:val="left"/>
      <w:pPr>
        <w:ind w:left="850" w:hanging="425"/>
      </w:pPr>
      <w:rPr>
        <w:rFonts w:ascii="Times New Roman" w:hAnsi="Times New Roman" w:hint="default"/>
      </w:rPr>
    </w:lvl>
    <w:lvl w:ilvl="2">
      <w:start w:val="1"/>
      <w:numFmt w:val="lowerRoman"/>
      <w:pStyle w:val="ListNumber3"/>
      <w:lvlText w:val="(%3)"/>
      <w:lvlJc w:val="left"/>
      <w:pPr>
        <w:ind w:left="1275" w:hanging="425"/>
      </w:pPr>
      <w:rPr>
        <w:rFonts w:ascii="Times New Roman" w:hAnsi="Times New Roman"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 w15:restartNumberingAfterBreak="0">
    <w:nsid w:val="126562D4"/>
    <w:multiLevelType w:val="multilevel"/>
    <w:tmpl w:val="786C40EC"/>
    <w:name w:val="TableFootnotes"/>
    <w:lvl w:ilvl="0">
      <w:start w:val="1"/>
      <w:numFmt w:val="lowerLetter"/>
      <w:pStyle w:val="TableFootnoteLetter"/>
      <w:lvlText w:val="%1"/>
      <w:lvlJc w:val="left"/>
      <w:pPr>
        <w:tabs>
          <w:tab w:val="num" w:pos="425"/>
        </w:tabs>
        <w:ind w:left="425" w:hanging="425"/>
      </w:pPr>
      <w:rPr>
        <w:rFonts w:ascii="Times New Roman" w:hAnsi="Times New Roman" w:hint="default"/>
        <w:b w:val="0"/>
        <w:i w:val="0"/>
        <w:caps w:val="0"/>
        <w:sz w:val="20"/>
        <w:u w:val="none"/>
        <w:vertAlign w:val="superscript"/>
      </w:rPr>
    </w:lvl>
    <w:lvl w:ilvl="1">
      <w:start w:val="1"/>
      <w:numFmt w:val="none"/>
      <w:lvlText w:val=""/>
      <w:lvlJc w:val="left"/>
      <w:pPr>
        <w:tabs>
          <w:tab w:val="num" w:pos="1134"/>
        </w:tabs>
        <w:ind w:left="425" w:hanging="425"/>
      </w:pPr>
      <w:rPr>
        <w:rFonts w:hint="default"/>
      </w:rPr>
    </w:lvl>
    <w:lvl w:ilvl="2">
      <w:start w:val="1"/>
      <w:numFmt w:val="none"/>
      <w:lvlText w:val=""/>
      <w:lvlJc w:val="left"/>
      <w:pPr>
        <w:tabs>
          <w:tab w:val="num" w:pos="1134"/>
        </w:tabs>
        <w:ind w:left="425" w:hanging="425"/>
      </w:pPr>
      <w:rPr>
        <w:rFonts w:hint="default"/>
      </w:rPr>
    </w:lvl>
    <w:lvl w:ilvl="3">
      <w:start w:val="1"/>
      <w:numFmt w:val="none"/>
      <w:lvlText w:val=""/>
      <w:lvlJc w:val="left"/>
      <w:pPr>
        <w:tabs>
          <w:tab w:val="num" w:pos="1134"/>
        </w:tabs>
        <w:ind w:left="425" w:hanging="425"/>
      </w:pPr>
      <w:rPr>
        <w:rFonts w:hint="default"/>
      </w:rPr>
    </w:lvl>
    <w:lvl w:ilvl="4">
      <w:start w:val="1"/>
      <w:numFmt w:val="none"/>
      <w:lvlText w:val=""/>
      <w:lvlJc w:val="left"/>
      <w:pPr>
        <w:tabs>
          <w:tab w:val="num" w:pos="1134"/>
        </w:tabs>
        <w:ind w:left="425" w:hanging="425"/>
      </w:pPr>
      <w:rPr>
        <w:rFonts w:hint="default"/>
      </w:rPr>
    </w:lvl>
    <w:lvl w:ilvl="5">
      <w:start w:val="1"/>
      <w:numFmt w:val="none"/>
      <w:lvlText w:val=""/>
      <w:lvlJc w:val="left"/>
      <w:pPr>
        <w:tabs>
          <w:tab w:val="num" w:pos="1134"/>
        </w:tabs>
        <w:ind w:left="425" w:hanging="425"/>
      </w:pPr>
      <w:rPr>
        <w:rFonts w:hint="default"/>
      </w:rPr>
    </w:lvl>
    <w:lvl w:ilvl="6">
      <w:start w:val="1"/>
      <w:numFmt w:val="none"/>
      <w:lvlText w:val=""/>
      <w:lvlJc w:val="left"/>
      <w:pPr>
        <w:tabs>
          <w:tab w:val="num" w:pos="1134"/>
        </w:tabs>
        <w:ind w:left="425" w:hanging="425"/>
      </w:pPr>
      <w:rPr>
        <w:rFonts w:hint="default"/>
      </w:rPr>
    </w:lvl>
    <w:lvl w:ilvl="7">
      <w:start w:val="1"/>
      <w:numFmt w:val="none"/>
      <w:lvlText w:val=""/>
      <w:lvlJc w:val="left"/>
      <w:pPr>
        <w:tabs>
          <w:tab w:val="num" w:pos="1134"/>
        </w:tabs>
        <w:ind w:left="425" w:hanging="425"/>
      </w:pPr>
      <w:rPr>
        <w:rFonts w:hint="default"/>
      </w:rPr>
    </w:lvl>
    <w:lvl w:ilvl="8">
      <w:start w:val="1"/>
      <w:numFmt w:val="none"/>
      <w:lvlRestart w:val="1"/>
      <w:lvlText w:val=""/>
      <w:lvlJc w:val="left"/>
      <w:pPr>
        <w:tabs>
          <w:tab w:val="num" w:pos="1134"/>
        </w:tabs>
        <w:ind w:left="425" w:hanging="425"/>
      </w:pPr>
      <w:rPr>
        <w:rFonts w:hint="default"/>
      </w:rPr>
    </w:lvl>
  </w:abstractNum>
  <w:abstractNum w:abstractNumId="3" w15:restartNumberingAfterBreak="0">
    <w:nsid w:val="12A441C1"/>
    <w:multiLevelType w:val="singleLevel"/>
    <w:tmpl w:val="1FA422F0"/>
    <w:lvl w:ilvl="0">
      <w:start w:val="1"/>
      <w:numFmt w:val="bullet"/>
      <w:pStyle w:val="ListHyphen"/>
      <w:lvlText w:val="-"/>
      <w:lvlJc w:val="left"/>
      <w:pPr>
        <w:tabs>
          <w:tab w:val="num" w:pos="720"/>
        </w:tabs>
        <w:ind w:left="720" w:hanging="360"/>
      </w:pPr>
      <w:rPr>
        <w:rFonts w:ascii="Times New Roman" w:hAnsi="Times New Roman" w:cs="Times New Roman"/>
        <w:b w:val="0"/>
        <w:i w:val="0"/>
        <w:caps w:val="0"/>
        <w:sz w:val="24"/>
        <w:u w:val="none"/>
        <w:vertAlign w:val="baseline"/>
      </w:rPr>
    </w:lvl>
  </w:abstractNum>
  <w:abstractNum w:abstractNumId="4" w15:restartNumberingAfterBreak="0">
    <w:nsid w:val="15AE6FEE"/>
    <w:multiLevelType w:val="multilevel"/>
    <w:tmpl w:val="01940AA0"/>
    <w:name w:val="ListBulletSmall1"/>
    <w:lvl w:ilvl="0">
      <w:start w:val="1"/>
      <w:numFmt w:val="bullet"/>
      <w:pStyle w:val="ListBulletSmall"/>
      <w:lvlText w:val="•"/>
      <w:lvlJc w:val="left"/>
      <w:pPr>
        <w:ind w:left="425" w:hanging="425"/>
      </w:pPr>
      <w:rPr>
        <w:rFonts w:ascii="Times New Roman" w:hAnsi="Times New Roman" w:cs="Times New Roman" w:hint="default"/>
        <w:b w:val="0"/>
        <w:i w:val="0"/>
        <w:caps w:val="0"/>
        <w:sz w:val="20"/>
        <w:u w:val="none"/>
        <w:vertAlign w:val="baseline"/>
      </w:rPr>
    </w:lvl>
    <w:lvl w:ilvl="1">
      <w:start w:val="1"/>
      <w:numFmt w:val="bullet"/>
      <w:pStyle w:val="ListBulletSmall2"/>
      <w:lvlText w:val=""/>
      <w:lvlJc w:val="left"/>
      <w:pPr>
        <w:ind w:left="850" w:hanging="425"/>
      </w:pPr>
      <w:rPr>
        <w:rFonts w:ascii="Symbol" w:hAnsi="Symbol"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bullet"/>
      <w:lvlText w:val="o"/>
      <w:lvlJc w:val="left"/>
      <w:pPr>
        <w:tabs>
          <w:tab w:val="num" w:pos="2060"/>
        </w:tabs>
        <w:ind w:left="2125" w:hanging="425"/>
      </w:pPr>
      <w:rPr>
        <w:rFonts w:ascii="Courier New" w:hAnsi="Courier New" w:cs="Courier New" w:hint="default"/>
      </w:rPr>
    </w:lvl>
    <w:lvl w:ilvl="5">
      <w:start w:val="1"/>
      <w:numFmt w:val="bullet"/>
      <w:lvlText w:val=""/>
      <w:lvlJc w:val="left"/>
      <w:pPr>
        <w:tabs>
          <w:tab w:val="num" w:pos="2485"/>
        </w:tabs>
        <w:ind w:left="2550" w:hanging="425"/>
      </w:pPr>
      <w:rPr>
        <w:rFonts w:ascii="Wingdings" w:hAnsi="Wingdings" w:hint="default"/>
      </w:rPr>
    </w:lvl>
    <w:lvl w:ilvl="6">
      <w:start w:val="1"/>
      <w:numFmt w:val="bullet"/>
      <w:lvlText w:val=""/>
      <w:lvlJc w:val="left"/>
      <w:pPr>
        <w:tabs>
          <w:tab w:val="num" w:pos="2910"/>
        </w:tabs>
        <w:ind w:left="2975" w:hanging="425"/>
      </w:pPr>
      <w:rPr>
        <w:rFonts w:ascii="Symbol" w:hAnsi="Symbol" w:hint="default"/>
      </w:rPr>
    </w:lvl>
    <w:lvl w:ilvl="7">
      <w:start w:val="1"/>
      <w:numFmt w:val="bullet"/>
      <w:lvlText w:val="o"/>
      <w:lvlJc w:val="left"/>
      <w:pPr>
        <w:tabs>
          <w:tab w:val="num" w:pos="3335"/>
        </w:tabs>
        <w:ind w:left="3400" w:hanging="425"/>
      </w:pPr>
      <w:rPr>
        <w:rFonts w:ascii="Courier New" w:hAnsi="Courier New" w:cs="Courier New" w:hint="default"/>
      </w:rPr>
    </w:lvl>
    <w:lvl w:ilvl="8">
      <w:start w:val="1"/>
      <w:numFmt w:val="bullet"/>
      <w:lvlText w:val=""/>
      <w:lvlJc w:val="left"/>
      <w:pPr>
        <w:tabs>
          <w:tab w:val="num" w:pos="3760"/>
        </w:tabs>
        <w:ind w:left="3825" w:hanging="425"/>
      </w:pPr>
      <w:rPr>
        <w:rFonts w:ascii="Wingdings" w:hAnsi="Wingdings" w:hint="default"/>
      </w:rPr>
    </w:lvl>
  </w:abstractNum>
  <w:abstractNum w:abstractNumId="5" w15:restartNumberingAfterBreak="0">
    <w:nsid w:val="24BB49B4"/>
    <w:multiLevelType w:val="hybridMultilevel"/>
    <w:tmpl w:val="269C7D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A72716"/>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32913332"/>
    <w:multiLevelType w:val="multilevel"/>
    <w:tmpl w:val="969A274A"/>
    <w:name w:val="HousestyleHeadings"/>
    <w:lvl w:ilvl="0">
      <w:start w:val="1"/>
      <w:numFmt w:val="decimal"/>
      <w:pStyle w:val="Heading1"/>
      <w:lvlText w:val="%1"/>
      <w:lvlJc w:val="left"/>
      <w:pPr>
        <w:tabs>
          <w:tab w:val="num" w:pos="1134"/>
        </w:tabs>
        <w:ind w:left="1134" w:hanging="1134"/>
      </w:pPr>
      <w:rPr>
        <w:rFonts w:ascii="Times New Roman" w:hAnsi="Times New Roman" w:hint="default"/>
      </w:rPr>
    </w:lvl>
    <w:lvl w:ilvl="1">
      <w:start w:val="1"/>
      <w:numFmt w:val="decimal"/>
      <w:pStyle w:val="Heading2"/>
      <w:lvlText w:val="%1.%2"/>
      <w:lvlJc w:val="left"/>
      <w:pPr>
        <w:tabs>
          <w:tab w:val="num" w:pos="1418"/>
        </w:tabs>
        <w:ind w:left="1418" w:hanging="1134"/>
      </w:pPr>
      <w:rPr>
        <w:rFonts w:ascii="Times New Roman" w:hAnsi="Times New Roman" w:hint="default"/>
      </w:rPr>
    </w:lvl>
    <w:lvl w:ilvl="2">
      <w:start w:val="1"/>
      <w:numFmt w:val="decimal"/>
      <w:pStyle w:val="Heading3"/>
      <w:lvlText w:val="%1.%2.%3"/>
      <w:lvlJc w:val="left"/>
      <w:pPr>
        <w:tabs>
          <w:tab w:val="num" w:pos="1134"/>
        </w:tabs>
        <w:ind w:left="1134" w:hanging="1134"/>
      </w:pPr>
      <w:rPr>
        <w:rFonts w:ascii="Times New Roman" w:hAnsi="Times New Roman" w:hint="default"/>
      </w:rPr>
    </w:lvl>
    <w:lvl w:ilvl="3">
      <w:start w:val="1"/>
      <w:numFmt w:val="decimal"/>
      <w:pStyle w:val="Heading4"/>
      <w:lvlText w:val="%1.%2.%3.%4"/>
      <w:lvlJc w:val="left"/>
      <w:pPr>
        <w:tabs>
          <w:tab w:val="num" w:pos="1134"/>
        </w:tabs>
        <w:ind w:left="1134" w:hanging="1134"/>
      </w:pPr>
      <w:rPr>
        <w:rFonts w:ascii="Times New Roman" w:hAnsi="Times New Roman" w:hint="default"/>
      </w:rPr>
    </w:lvl>
    <w:lvl w:ilvl="4">
      <w:start w:val="1"/>
      <w:numFmt w:val="decimal"/>
      <w:pStyle w:val="Heading5"/>
      <w:lvlText w:val="%1.%2.%3.%4.%5"/>
      <w:lvlJc w:val="left"/>
      <w:pPr>
        <w:tabs>
          <w:tab w:val="num" w:pos="1134"/>
        </w:tabs>
        <w:ind w:left="1134" w:hanging="1134"/>
      </w:pPr>
      <w:rPr>
        <w:rFonts w:ascii="Times New Roman" w:hAnsi="Times New Roman" w:hint="default"/>
      </w:rPr>
    </w:lvl>
    <w:lvl w:ilvl="5">
      <w:start w:val="1"/>
      <w:numFmt w:val="decimal"/>
      <w:pStyle w:val="Heading6"/>
      <w:lvlText w:val="%1.%2.%3.%4.%5.%6"/>
      <w:lvlJc w:val="left"/>
      <w:pPr>
        <w:tabs>
          <w:tab w:val="num" w:pos="1134"/>
        </w:tabs>
        <w:ind w:left="1134" w:hanging="1134"/>
      </w:pPr>
      <w:rPr>
        <w:rFonts w:ascii="Times New Roman" w:hAnsi="Times New Roman" w:hint="default"/>
      </w:rPr>
    </w:lvl>
    <w:lvl w:ilvl="6">
      <w:start w:val="1"/>
      <w:numFmt w:val="decimal"/>
      <w:pStyle w:val="Heading7"/>
      <w:lvlText w:val="%1.%2.%3.%4.%5.%6.%7"/>
      <w:lvlJc w:val="left"/>
      <w:pPr>
        <w:tabs>
          <w:tab w:val="num" w:pos="1134"/>
        </w:tabs>
        <w:ind w:left="1134" w:hanging="1134"/>
      </w:pPr>
      <w:rPr>
        <w:rFonts w:ascii="Times New Roman" w:hAnsi="Times New Roman" w:hint="default"/>
      </w:rPr>
    </w:lvl>
    <w:lvl w:ilvl="7">
      <w:start w:val="1"/>
      <w:numFmt w:val="decimal"/>
      <w:pStyle w:val="Heading8"/>
      <w:lvlText w:val="%1.%2.%3.%4.%5.%6.%7.%8"/>
      <w:lvlJc w:val="left"/>
      <w:pPr>
        <w:tabs>
          <w:tab w:val="num" w:pos="1134"/>
        </w:tabs>
        <w:ind w:left="1134" w:hanging="1134"/>
      </w:pPr>
      <w:rPr>
        <w:rFonts w:ascii="Times New Roman" w:hAnsi="Times New Roman"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3A9E7E4D"/>
    <w:multiLevelType w:val="multilevel"/>
    <w:tmpl w:val="3C1EDB96"/>
    <w:name w:val="Appendix Alpha"/>
    <w:lvl w:ilvl="0">
      <w:start w:val="1"/>
      <w:numFmt w:val="upperLetter"/>
      <w:pStyle w:val="AppendixAlpha"/>
      <w:lvlText w:val="Appendix %1"/>
      <w:lvlJc w:val="left"/>
      <w:pPr>
        <w:tabs>
          <w:tab w:val="num" w:pos="1701"/>
        </w:tabs>
        <w:ind w:left="1701" w:hanging="1701"/>
      </w:pPr>
      <w:rPr>
        <w:rFonts w:ascii="Times New Roman Bold" w:hAnsi="Times New Roman Bold" w:cs="Times New Roman" w:hint="default"/>
        <w:b/>
        <w:i w:val="0"/>
        <w:caps w:val="0"/>
        <w:sz w:val="28"/>
        <w:u w:val="none"/>
        <w:vertAlign w:val="baseline"/>
      </w:rPr>
    </w:lvl>
    <w:lvl w:ilvl="1">
      <w:start w:val="1"/>
      <w:numFmt w:val="decimal"/>
      <w:pStyle w:val="AppendixAlphaSub1"/>
      <w:lvlText w:val="%1 %2"/>
      <w:lvlJc w:val="left"/>
      <w:pPr>
        <w:tabs>
          <w:tab w:val="num" w:pos="1134"/>
        </w:tabs>
        <w:ind w:left="1134" w:hanging="1134"/>
      </w:pPr>
      <w:rPr>
        <w:rFonts w:ascii="Times New Roman Bold" w:hAnsi="Times New Roman Bold" w:hint="default"/>
        <w:b/>
        <w:i w:val="0"/>
        <w:sz w:val="26"/>
      </w:rPr>
    </w:lvl>
    <w:lvl w:ilvl="2">
      <w:start w:val="1"/>
      <w:numFmt w:val="decimal"/>
      <w:pStyle w:val="AppendixAlphaSub2"/>
      <w:lvlText w:val="%1 %2.%3"/>
      <w:lvlJc w:val="left"/>
      <w:pPr>
        <w:tabs>
          <w:tab w:val="num" w:pos="1134"/>
        </w:tabs>
        <w:ind w:left="1134" w:hanging="1134"/>
      </w:pPr>
      <w:rPr>
        <w:rFonts w:ascii="Times New Roman Bold" w:hAnsi="Times New Roman Bold" w:hint="default"/>
        <w:b/>
        <w:i w:val="0"/>
        <w:sz w:val="24"/>
      </w:rPr>
    </w:lvl>
    <w:lvl w:ilvl="3">
      <w:start w:val="1"/>
      <w:numFmt w:val="decimal"/>
      <w:pStyle w:val="AppendixAlphaSub3"/>
      <w:lvlText w:val="%1 %2.%3.%4"/>
      <w:lvlJc w:val="left"/>
      <w:pPr>
        <w:tabs>
          <w:tab w:val="num" w:pos="1134"/>
        </w:tabs>
        <w:ind w:left="1134" w:hanging="1134"/>
      </w:pPr>
      <w:rPr>
        <w:rFonts w:ascii="Times New Roman Bold" w:hAnsi="Times New Roman Bold" w:hint="default"/>
        <w:b/>
        <w:i w:val="0"/>
        <w:sz w:val="24"/>
      </w:rPr>
    </w:lvl>
    <w:lvl w:ilvl="4">
      <w:start w:val="1"/>
      <w:numFmt w:val="decimal"/>
      <w:pStyle w:val="AppendixAlphaSub4"/>
      <w:lvlText w:val="%1 %2.%3.%4.%5"/>
      <w:lvlJc w:val="left"/>
      <w:pPr>
        <w:tabs>
          <w:tab w:val="num" w:pos="1134"/>
        </w:tabs>
        <w:ind w:left="1134" w:hanging="1134"/>
      </w:pPr>
      <w:rPr>
        <w:rFonts w:ascii="Times New Roman Bold" w:hAnsi="Times New Roman Bold" w:hint="default"/>
        <w:b/>
        <w:i/>
        <w:sz w:val="24"/>
      </w:rPr>
    </w:lvl>
    <w:lvl w:ilvl="5">
      <w:start w:val="1"/>
      <w:numFmt w:val="none"/>
      <w:lvlText w:val=""/>
      <w:lvlJc w:val="left"/>
      <w:pPr>
        <w:tabs>
          <w:tab w:val="num" w:pos="1985"/>
        </w:tabs>
        <w:ind w:left="992" w:hanging="992"/>
      </w:pPr>
      <w:rPr>
        <w:rFonts w:hint="default"/>
      </w:rPr>
    </w:lvl>
    <w:lvl w:ilvl="6">
      <w:start w:val="1"/>
      <w:numFmt w:val="none"/>
      <w:lvlText w:val=""/>
      <w:lvlJc w:val="left"/>
      <w:pPr>
        <w:tabs>
          <w:tab w:val="num" w:pos="1985"/>
        </w:tabs>
        <w:ind w:left="992" w:hanging="992"/>
      </w:pPr>
      <w:rPr>
        <w:rFonts w:hint="default"/>
      </w:rPr>
    </w:lvl>
    <w:lvl w:ilvl="7">
      <w:start w:val="1"/>
      <w:numFmt w:val="none"/>
      <w:lvlText w:val=""/>
      <w:lvlJc w:val="left"/>
      <w:pPr>
        <w:tabs>
          <w:tab w:val="num" w:pos="1985"/>
        </w:tabs>
        <w:ind w:left="992" w:hanging="992"/>
      </w:pPr>
      <w:rPr>
        <w:rFonts w:hint="default"/>
      </w:rPr>
    </w:lvl>
    <w:lvl w:ilvl="8">
      <w:start w:val="1"/>
      <w:numFmt w:val="none"/>
      <w:lvlText w:val=""/>
      <w:lvlJc w:val="left"/>
      <w:pPr>
        <w:tabs>
          <w:tab w:val="num" w:pos="1985"/>
        </w:tabs>
        <w:ind w:left="992" w:hanging="992"/>
      </w:pPr>
      <w:rPr>
        <w:rFonts w:hint="default"/>
      </w:rPr>
    </w:lvl>
  </w:abstractNum>
  <w:abstractNum w:abstractNumId="9" w15:restartNumberingAfterBreak="0">
    <w:nsid w:val="47E3142E"/>
    <w:multiLevelType w:val="singleLevel"/>
    <w:tmpl w:val="9900FDDE"/>
    <w:lvl w:ilvl="0">
      <w:start w:val="1"/>
      <w:numFmt w:val="decimal"/>
      <w:pStyle w:val="References"/>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10" w15:restartNumberingAfterBreak="0">
    <w:nsid w:val="556F4F4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BE70C3"/>
    <w:multiLevelType w:val="multilevel"/>
    <w:tmpl w:val="AD763C14"/>
    <w:name w:val="AppendixNum"/>
    <w:lvl w:ilvl="0">
      <w:start w:val="1"/>
      <w:numFmt w:val="decimal"/>
      <w:pStyle w:val="AppendixNumeric"/>
      <w:lvlText w:val="Appendix %1"/>
      <w:lvlJc w:val="left"/>
      <w:pPr>
        <w:tabs>
          <w:tab w:val="num" w:pos="1701"/>
        </w:tabs>
        <w:ind w:left="1701" w:hanging="1701"/>
      </w:pPr>
      <w:rPr>
        <w:rFonts w:ascii="Times New Roman Bold" w:hAnsi="Times New Roman Bold" w:cs="Times New Roman" w:hint="default"/>
        <w:b/>
        <w:i w:val="0"/>
        <w:caps w:val="0"/>
        <w:sz w:val="28"/>
        <w:u w:val="none"/>
        <w:vertAlign w:val="baseline"/>
      </w:rPr>
    </w:lvl>
    <w:lvl w:ilvl="1">
      <w:start w:val="1"/>
      <w:numFmt w:val="decimal"/>
      <w:lvlText w:val="App %1-%2"/>
      <w:lvlJc w:val="left"/>
      <w:pPr>
        <w:tabs>
          <w:tab w:val="num" w:pos="1134"/>
        </w:tabs>
        <w:ind w:left="1134" w:hanging="1134"/>
      </w:pPr>
      <w:rPr>
        <w:rFonts w:ascii="Times New Roman Bold" w:hAnsi="Times New Roman Bold" w:hint="default"/>
        <w:b/>
        <w:i w:val="0"/>
        <w:sz w:val="28"/>
      </w:rPr>
    </w:lvl>
    <w:lvl w:ilvl="2">
      <w:start w:val="1"/>
      <w:numFmt w:val="decimal"/>
      <w:lvlText w:val="App %1-%3.%2"/>
      <w:lvlJc w:val="left"/>
      <w:pPr>
        <w:tabs>
          <w:tab w:val="num" w:pos="1134"/>
        </w:tabs>
        <w:ind w:left="1134" w:hanging="1134"/>
      </w:pPr>
      <w:rPr>
        <w:rFonts w:ascii="Times New Roman Bold" w:hAnsi="Times New Roman Bold" w:hint="default"/>
        <w:b/>
        <w:i w:val="0"/>
        <w:sz w:val="26"/>
      </w:rPr>
    </w:lvl>
    <w:lvl w:ilvl="3">
      <w:start w:val="1"/>
      <w:numFmt w:val="decimal"/>
      <w:lvlText w:val="App %1-%2.%3.%4"/>
      <w:lvlJc w:val="left"/>
      <w:pPr>
        <w:tabs>
          <w:tab w:val="num" w:pos="1134"/>
        </w:tabs>
        <w:ind w:left="1134" w:hanging="1134"/>
      </w:pPr>
      <w:rPr>
        <w:rFonts w:ascii="Times New Roman Bold" w:hAnsi="Times New Roman Bold" w:hint="default"/>
        <w:b/>
        <w:i w:val="0"/>
        <w:sz w:val="24"/>
      </w:rPr>
    </w:lvl>
    <w:lvl w:ilvl="4">
      <w:start w:val="1"/>
      <w:numFmt w:val="decimal"/>
      <w:lvlText w:val="App %1-%2.%3.%4.%5"/>
      <w:lvlJc w:val="left"/>
      <w:pPr>
        <w:tabs>
          <w:tab w:val="num" w:pos="1134"/>
        </w:tabs>
        <w:ind w:left="1134" w:hanging="1134"/>
      </w:pPr>
      <w:rPr>
        <w:rFonts w:ascii="Times New Roman Bold" w:hAnsi="Times New Roman Bold" w:hint="default"/>
        <w:b/>
        <w:i/>
        <w:sz w:val="24"/>
      </w:rPr>
    </w:lvl>
    <w:lvl w:ilvl="5">
      <w:start w:val="1"/>
      <w:numFmt w:val="none"/>
      <w:lvlText w:val=""/>
      <w:lvlJc w:val="left"/>
      <w:pPr>
        <w:ind w:left="1985" w:hanging="1985"/>
      </w:pPr>
      <w:rPr>
        <w:rFonts w:hint="default"/>
      </w:rPr>
    </w:lvl>
    <w:lvl w:ilvl="6">
      <w:start w:val="1"/>
      <w:numFmt w:val="none"/>
      <w:lvlText w:val=""/>
      <w:lvlJc w:val="left"/>
      <w:pPr>
        <w:ind w:left="1985" w:hanging="1985"/>
      </w:pPr>
      <w:rPr>
        <w:rFonts w:hint="default"/>
      </w:rPr>
    </w:lvl>
    <w:lvl w:ilvl="7">
      <w:start w:val="1"/>
      <w:numFmt w:val="none"/>
      <w:lvlText w:val=""/>
      <w:lvlJc w:val="left"/>
      <w:pPr>
        <w:ind w:left="1985" w:hanging="1985"/>
      </w:pPr>
      <w:rPr>
        <w:rFonts w:hint="default"/>
      </w:rPr>
    </w:lvl>
    <w:lvl w:ilvl="8">
      <w:start w:val="1"/>
      <w:numFmt w:val="none"/>
      <w:lvlText w:val=""/>
      <w:lvlJc w:val="right"/>
      <w:pPr>
        <w:ind w:left="1985" w:hanging="1985"/>
      </w:pPr>
      <w:rPr>
        <w:rFonts w:hint="default"/>
      </w:rPr>
    </w:lvl>
  </w:abstractNum>
  <w:abstractNum w:abstractNumId="12" w15:restartNumberingAfterBreak="0">
    <w:nsid w:val="74C030A5"/>
    <w:multiLevelType w:val="multilevel"/>
    <w:tmpl w:val="99C4946C"/>
    <w:name w:val="ListNumberSmall"/>
    <w:lvl w:ilvl="0">
      <w:start w:val="1"/>
      <w:numFmt w:val="decimal"/>
      <w:pStyle w:val="ListNumberSmall"/>
      <w:lvlText w:val="%1"/>
      <w:lvlJc w:val="left"/>
      <w:pPr>
        <w:tabs>
          <w:tab w:val="num" w:pos="425"/>
        </w:tabs>
        <w:ind w:left="425" w:hanging="425"/>
      </w:pPr>
      <w:rPr>
        <w:rFonts w:ascii="Times New Roman" w:hAnsi="Times New Roman" w:hint="default"/>
        <w:sz w:val="20"/>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tabs>
          <w:tab w:val="num" w:pos="1276"/>
        </w:tabs>
        <w:ind w:left="1276"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C9D7603"/>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8"/>
  </w:num>
  <w:num w:numId="3">
    <w:abstractNumId w:val="7"/>
  </w:num>
  <w:num w:numId="4">
    <w:abstractNumId w:val="3"/>
  </w:num>
  <w:num w:numId="5">
    <w:abstractNumId w:val="9"/>
  </w:num>
  <w:num w:numId="6">
    <w:abstractNumId w:val="0"/>
  </w:num>
  <w:num w:numId="7">
    <w:abstractNumId w:val="4"/>
  </w:num>
  <w:num w:numId="8">
    <w:abstractNumId w:val="10"/>
  </w:num>
  <w:num w:numId="9">
    <w:abstractNumId w:val="13"/>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A6"/>
    <w:rsid w:val="000040C8"/>
    <w:rsid w:val="00012158"/>
    <w:rsid w:val="00015F87"/>
    <w:rsid w:val="00020AED"/>
    <w:rsid w:val="00020E43"/>
    <w:rsid w:val="000222A4"/>
    <w:rsid w:val="00025825"/>
    <w:rsid w:val="00025A18"/>
    <w:rsid w:val="0003397A"/>
    <w:rsid w:val="00042302"/>
    <w:rsid w:val="00043104"/>
    <w:rsid w:val="000537CB"/>
    <w:rsid w:val="00062AE5"/>
    <w:rsid w:val="00063EE1"/>
    <w:rsid w:val="00064A58"/>
    <w:rsid w:val="00067C1A"/>
    <w:rsid w:val="00082679"/>
    <w:rsid w:val="00085EB3"/>
    <w:rsid w:val="0009106C"/>
    <w:rsid w:val="000B4880"/>
    <w:rsid w:val="000C0228"/>
    <w:rsid w:val="000C6FB8"/>
    <w:rsid w:val="000D2048"/>
    <w:rsid w:val="000D225F"/>
    <w:rsid w:val="000D4D8D"/>
    <w:rsid w:val="000E766B"/>
    <w:rsid w:val="00110F9D"/>
    <w:rsid w:val="00117ADE"/>
    <w:rsid w:val="00136802"/>
    <w:rsid w:val="001611F9"/>
    <w:rsid w:val="00167EF2"/>
    <w:rsid w:val="001749DC"/>
    <w:rsid w:val="001803E7"/>
    <w:rsid w:val="001812B5"/>
    <w:rsid w:val="0018767C"/>
    <w:rsid w:val="00187CFE"/>
    <w:rsid w:val="001960AA"/>
    <w:rsid w:val="001A3992"/>
    <w:rsid w:val="001B114A"/>
    <w:rsid w:val="001B2435"/>
    <w:rsid w:val="001C394C"/>
    <w:rsid w:val="001D2CBC"/>
    <w:rsid w:val="001D3AF3"/>
    <w:rsid w:val="001D5929"/>
    <w:rsid w:val="001E488C"/>
    <w:rsid w:val="001F1798"/>
    <w:rsid w:val="001F620C"/>
    <w:rsid w:val="00233000"/>
    <w:rsid w:val="002335CD"/>
    <w:rsid w:val="0023409F"/>
    <w:rsid w:val="00234644"/>
    <w:rsid w:val="00247F94"/>
    <w:rsid w:val="00257099"/>
    <w:rsid w:val="00263E5C"/>
    <w:rsid w:val="0026491B"/>
    <w:rsid w:val="00267CAD"/>
    <w:rsid w:val="00273341"/>
    <w:rsid w:val="002803FC"/>
    <w:rsid w:val="00285173"/>
    <w:rsid w:val="00286FD5"/>
    <w:rsid w:val="002B028F"/>
    <w:rsid w:val="002C4C23"/>
    <w:rsid w:val="002D1062"/>
    <w:rsid w:val="002D3489"/>
    <w:rsid w:val="002E0AC9"/>
    <w:rsid w:val="002E277D"/>
    <w:rsid w:val="00304FF8"/>
    <w:rsid w:val="0032336B"/>
    <w:rsid w:val="00327E89"/>
    <w:rsid w:val="003432FC"/>
    <w:rsid w:val="00362F10"/>
    <w:rsid w:val="00375DF3"/>
    <w:rsid w:val="00376D26"/>
    <w:rsid w:val="00377337"/>
    <w:rsid w:val="00377BF3"/>
    <w:rsid w:val="003849D5"/>
    <w:rsid w:val="00387882"/>
    <w:rsid w:val="003A1F9B"/>
    <w:rsid w:val="003B7CFF"/>
    <w:rsid w:val="003D6988"/>
    <w:rsid w:val="003F1530"/>
    <w:rsid w:val="003F277D"/>
    <w:rsid w:val="00400A4A"/>
    <w:rsid w:val="00405743"/>
    <w:rsid w:val="0040687D"/>
    <w:rsid w:val="0041004D"/>
    <w:rsid w:val="00431ACD"/>
    <w:rsid w:val="004330C3"/>
    <w:rsid w:val="00444FD0"/>
    <w:rsid w:val="00446EDD"/>
    <w:rsid w:val="00450E0A"/>
    <w:rsid w:val="004570AD"/>
    <w:rsid w:val="00470DC2"/>
    <w:rsid w:val="004827B4"/>
    <w:rsid w:val="0049678D"/>
    <w:rsid w:val="004B104B"/>
    <w:rsid w:val="004B369D"/>
    <w:rsid w:val="004B6B19"/>
    <w:rsid w:val="004C7F1B"/>
    <w:rsid w:val="004D350D"/>
    <w:rsid w:val="004D6FC6"/>
    <w:rsid w:val="004E29DA"/>
    <w:rsid w:val="004F63F7"/>
    <w:rsid w:val="004F6D0B"/>
    <w:rsid w:val="00500C97"/>
    <w:rsid w:val="005015CD"/>
    <w:rsid w:val="00507BF2"/>
    <w:rsid w:val="00513B1A"/>
    <w:rsid w:val="005162A0"/>
    <w:rsid w:val="00524559"/>
    <w:rsid w:val="005255CB"/>
    <w:rsid w:val="00525979"/>
    <w:rsid w:val="005560F5"/>
    <w:rsid w:val="00567153"/>
    <w:rsid w:val="00585CC2"/>
    <w:rsid w:val="00587C9F"/>
    <w:rsid w:val="00590A10"/>
    <w:rsid w:val="0059298D"/>
    <w:rsid w:val="005A130D"/>
    <w:rsid w:val="005A6AF7"/>
    <w:rsid w:val="005B4E19"/>
    <w:rsid w:val="005B70F7"/>
    <w:rsid w:val="005D26C7"/>
    <w:rsid w:val="005D4B44"/>
    <w:rsid w:val="006018AE"/>
    <w:rsid w:val="00601EA9"/>
    <w:rsid w:val="006031A2"/>
    <w:rsid w:val="0061688C"/>
    <w:rsid w:val="00622E61"/>
    <w:rsid w:val="00623032"/>
    <w:rsid w:val="00641142"/>
    <w:rsid w:val="00662B23"/>
    <w:rsid w:val="006633FF"/>
    <w:rsid w:val="006669A4"/>
    <w:rsid w:val="006776B4"/>
    <w:rsid w:val="006A5AB0"/>
    <w:rsid w:val="006A727B"/>
    <w:rsid w:val="006B08AD"/>
    <w:rsid w:val="006D661C"/>
    <w:rsid w:val="006E4C1E"/>
    <w:rsid w:val="006F170B"/>
    <w:rsid w:val="00705CDF"/>
    <w:rsid w:val="0070649E"/>
    <w:rsid w:val="00717890"/>
    <w:rsid w:val="007228AC"/>
    <w:rsid w:val="0073542D"/>
    <w:rsid w:val="007403BD"/>
    <w:rsid w:val="007432C6"/>
    <w:rsid w:val="00743A93"/>
    <w:rsid w:val="00762D48"/>
    <w:rsid w:val="007706C9"/>
    <w:rsid w:val="007727B9"/>
    <w:rsid w:val="0077532F"/>
    <w:rsid w:val="0078337A"/>
    <w:rsid w:val="0078718D"/>
    <w:rsid w:val="00791028"/>
    <w:rsid w:val="00795D99"/>
    <w:rsid w:val="007968B4"/>
    <w:rsid w:val="007A117D"/>
    <w:rsid w:val="007A2548"/>
    <w:rsid w:val="007C66C8"/>
    <w:rsid w:val="007C6DBC"/>
    <w:rsid w:val="007F3B03"/>
    <w:rsid w:val="007F4AED"/>
    <w:rsid w:val="00802C2B"/>
    <w:rsid w:val="0080644B"/>
    <w:rsid w:val="00806C54"/>
    <w:rsid w:val="00821BB9"/>
    <w:rsid w:val="0084232B"/>
    <w:rsid w:val="00842B10"/>
    <w:rsid w:val="00860D2B"/>
    <w:rsid w:val="00866D40"/>
    <w:rsid w:val="00881EA6"/>
    <w:rsid w:val="0088215D"/>
    <w:rsid w:val="00892914"/>
    <w:rsid w:val="008958C0"/>
    <w:rsid w:val="00896DD0"/>
    <w:rsid w:val="008A35FB"/>
    <w:rsid w:val="008A63B0"/>
    <w:rsid w:val="008B48AA"/>
    <w:rsid w:val="008B7E6E"/>
    <w:rsid w:val="008C07FF"/>
    <w:rsid w:val="008C42AF"/>
    <w:rsid w:val="008C6D30"/>
    <w:rsid w:val="008D17AB"/>
    <w:rsid w:val="008D64CD"/>
    <w:rsid w:val="008E23F1"/>
    <w:rsid w:val="008E7A38"/>
    <w:rsid w:val="008E7F6B"/>
    <w:rsid w:val="009041DC"/>
    <w:rsid w:val="00905FE6"/>
    <w:rsid w:val="00906923"/>
    <w:rsid w:val="00914AD1"/>
    <w:rsid w:val="009249F4"/>
    <w:rsid w:val="009477DC"/>
    <w:rsid w:val="009530D9"/>
    <w:rsid w:val="00955C03"/>
    <w:rsid w:val="00960CD5"/>
    <w:rsid w:val="009610AE"/>
    <w:rsid w:val="00961723"/>
    <w:rsid w:val="00964E90"/>
    <w:rsid w:val="0096769B"/>
    <w:rsid w:val="00971AB5"/>
    <w:rsid w:val="00973315"/>
    <w:rsid w:val="00973972"/>
    <w:rsid w:val="00973A8E"/>
    <w:rsid w:val="00976CB2"/>
    <w:rsid w:val="009801F2"/>
    <w:rsid w:val="00986D09"/>
    <w:rsid w:val="00986EEB"/>
    <w:rsid w:val="009A1EFC"/>
    <w:rsid w:val="009A47F0"/>
    <w:rsid w:val="009D4136"/>
    <w:rsid w:val="009E5504"/>
    <w:rsid w:val="009F7A0E"/>
    <w:rsid w:val="00A06089"/>
    <w:rsid w:val="00A071BD"/>
    <w:rsid w:val="00A20280"/>
    <w:rsid w:val="00A32E10"/>
    <w:rsid w:val="00A47512"/>
    <w:rsid w:val="00A531C6"/>
    <w:rsid w:val="00A573C9"/>
    <w:rsid w:val="00A65CEB"/>
    <w:rsid w:val="00A80D00"/>
    <w:rsid w:val="00A91C97"/>
    <w:rsid w:val="00A96D06"/>
    <w:rsid w:val="00AA0B20"/>
    <w:rsid w:val="00AE4908"/>
    <w:rsid w:val="00AF0FA6"/>
    <w:rsid w:val="00AF3272"/>
    <w:rsid w:val="00B01DC8"/>
    <w:rsid w:val="00B141C2"/>
    <w:rsid w:val="00B14C54"/>
    <w:rsid w:val="00B14E3C"/>
    <w:rsid w:val="00B213E5"/>
    <w:rsid w:val="00B278FE"/>
    <w:rsid w:val="00B34560"/>
    <w:rsid w:val="00B536B6"/>
    <w:rsid w:val="00B55882"/>
    <w:rsid w:val="00B5658C"/>
    <w:rsid w:val="00B62D77"/>
    <w:rsid w:val="00B814CD"/>
    <w:rsid w:val="00B86C72"/>
    <w:rsid w:val="00B90E38"/>
    <w:rsid w:val="00B94D53"/>
    <w:rsid w:val="00BA3475"/>
    <w:rsid w:val="00BA3CAA"/>
    <w:rsid w:val="00BB2130"/>
    <w:rsid w:val="00BC0FE1"/>
    <w:rsid w:val="00BC7822"/>
    <w:rsid w:val="00BD1FF0"/>
    <w:rsid w:val="00BD32CE"/>
    <w:rsid w:val="00BD5606"/>
    <w:rsid w:val="00BD7E06"/>
    <w:rsid w:val="00BE2A26"/>
    <w:rsid w:val="00BE789F"/>
    <w:rsid w:val="00C05992"/>
    <w:rsid w:val="00C1707F"/>
    <w:rsid w:val="00C2179E"/>
    <w:rsid w:val="00C22C16"/>
    <w:rsid w:val="00C31C0D"/>
    <w:rsid w:val="00C32699"/>
    <w:rsid w:val="00C40A81"/>
    <w:rsid w:val="00C456C0"/>
    <w:rsid w:val="00C5769D"/>
    <w:rsid w:val="00C60E1B"/>
    <w:rsid w:val="00C75EE5"/>
    <w:rsid w:val="00C77EE8"/>
    <w:rsid w:val="00C85696"/>
    <w:rsid w:val="00C85970"/>
    <w:rsid w:val="00C93AEA"/>
    <w:rsid w:val="00CA490C"/>
    <w:rsid w:val="00CA697B"/>
    <w:rsid w:val="00CB26AA"/>
    <w:rsid w:val="00CB55DE"/>
    <w:rsid w:val="00CB64CE"/>
    <w:rsid w:val="00CB6D00"/>
    <w:rsid w:val="00CC6BAC"/>
    <w:rsid w:val="00CD2DFA"/>
    <w:rsid w:val="00CF0832"/>
    <w:rsid w:val="00CF4062"/>
    <w:rsid w:val="00CF40F6"/>
    <w:rsid w:val="00CF726B"/>
    <w:rsid w:val="00D02597"/>
    <w:rsid w:val="00D23E63"/>
    <w:rsid w:val="00D306DA"/>
    <w:rsid w:val="00D347D7"/>
    <w:rsid w:val="00D3504F"/>
    <w:rsid w:val="00D513A6"/>
    <w:rsid w:val="00D54F58"/>
    <w:rsid w:val="00D5772B"/>
    <w:rsid w:val="00D7365E"/>
    <w:rsid w:val="00D7518A"/>
    <w:rsid w:val="00D75E6B"/>
    <w:rsid w:val="00D82ADB"/>
    <w:rsid w:val="00D87298"/>
    <w:rsid w:val="00DA2DF9"/>
    <w:rsid w:val="00DA4F25"/>
    <w:rsid w:val="00DE2EBA"/>
    <w:rsid w:val="00DE6684"/>
    <w:rsid w:val="00DF1B38"/>
    <w:rsid w:val="00DF3302"/>
    <w:rsid w:val="00E00336"/>
    <w:rsid w:val="00E0056D"/>
    <w:rsid w:val="00E02660"/>
    <w:rsid w:val="00E03761"/>
    <w:rsid w:val="00E11216"/>
    <w:rsid w:val="00E14D82"/>
    <w:rsid w:val="00E24779"/>
    <w:rsid w:val="00E30924"/>
    <w:rsid w:val="00E336BB"/>
    <w:rsid w:val="00E40969"/>
    <w:rsid w:val="00E429E5"/>
    <w:rsid w:val="00E45826"/>
    <w:rsid w:val="00E554FD"/>
    <w:rsid w:val="00E74A56"/>
    <w:rsid w:val="00E83F8B"/>
    <w:rsid w:val="00E91307"/>
    <w:rsid w:val="00E95E35"/>
    <w:rsid w:val="00EA2111"/>
    <w:rsid w:val="00EA2F68"/>
    <w:rsid w:val="00EC60F8"/>
    <w:rsid w:val="00EC65B8"/>
    <w:rsid w:val="00ED0BA8"/>
    <w:rsid w:val="00ED27EC"/>
    <w:rsid w:val="00EE3AC8"/>
    <w:rsid w:val="00EE6FA3"/>
    <w:rsid w:val="00EF6C95"/>
    <w:rsid w:val="00F02A45"/>
    <w:rsid w:val="00F06656"/>
    <w:rsid w:val="00F06F31"/>
    <w:rsid w:val="00F075DF"/>
    <w:rsid w:val="00F26D2E"/>
    <w:rsid w:val="00F33926"/>
    <w:rsid w:val="00F416A5"/>
    <w:rsid w:val="00F52150"/>
    <w:rsid w:val="00F769B5"/>
    <w:rsid w:val="00F80001"/>
    <w:rsid w:val="00F80DBD"/>
    <w:rsid w:val="00F81FFB"/>
    <w:rsid w:val="00F86DC1"/>
    <w:rsid w:val="00F913F9"/>
    <w:rsid w:val="00FA6399"/>
    <w:rsid w:val="00FC1F47"/>
    <w:rsid w:val="00FC3D6B"/>
    <w:rsid w:val="00FC6AE3"/>
    <w:rsid w:val="00FF05D5"/>
    <w:rsid w:val="00FF4E1A"/>
    <w:rsid w:val="00FF5F1D"/>
    <w:rsid w:val="00FF6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D94540"/>
  <w15:docId w15:val="{1553CA20-3BFF-428E-B8DE-235C0E1E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8" w:unhideWhenUsed="1" w:qFormat="1"/>
    <w:lsdException w:name="heading 6" w:semiHidden="1" w:uiPriority="8" w:unhideWhenUsed="1" w:qFormat="1"/>
    <w:lsdException w:name="heading 7" w:semiHidden="1" w:unhideWhenUsed="1" w:qFormat="1"/>
    <w:lsdException w:name="heading 8" w:semiHidden="1"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69" w:unhideWhenUsed="1"/>
    <w:lsdException w:name="header" w:semiHidden="1" w:uiPriority="29"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40" w:unhideWhenUsed="1"/>
    <w:lsdException w:name="envelope address" w:semiHidden="1" w:uiPriority="69" w:unhideWhenUsed="1"/>
    <w:lsdException w:name="envelope return" w:semiHidden="1" w:uiPriority="69" w:unhideWhenUsed="1"/>
    <w:lsdException w:name="footnote reference" w:semiHidden="1" w:unhideWhenUsed="1"/>
    <w:lsdException w:name="annotation reference" w:semiHidden="1" w:uiPriority="69" w:unhideWhenUsed="1"/>
    <w:lsdException w:name="line number" w:semiHidden="1" w:unhideWhenUsed="1"/>
    <w:lsdException w:name="page number" w:semiHidden="1" w:unhideWhenUsed="1"/>
    <w:lsdException w:name="endnote reference" w:semiHidden="1" w:uiPriority="69" w:unhideWhenUsed="1"/>
    <w:lsdException w:name="endnote text" w:semiHidden="1" w:uiPriority="69"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iPriority="9" w:unhideWhenUsed="1" w:qFormat="1"/>
    <w:lsdException w:name="List Number 3" w:semiHidden="1" w:uiPriority="9" w:unhideWhenUsed="1" w:qFormat="1"/>
    <w:lsdException w:name="List Number 4" w:semiHidden="1" w:unhideWhenUsed="1"/>
    <w:lsdException w:name="List Number 5" w:semiHidden="1" w:unhideWhenUsed="1"/>
    <w:lsdException w:name="Title" w:uiPriority="25" w:qFormat="1"/>
    <w:lsdException w:name="Closing" w:semiHidden="1" w:uiPriority="69" w:unhideWhenUsed="1"/>
    <w:lsdException w:name="Signature" w:semiHidden="1" w:uiPriority="49" w:unhideWhenUsed="1"/>
    <w:lsdException w:name="Default Paragraph Font" w:semiHidden="1" w:uiPriority="1" w:unhideWhenUsed="1"/>
    <w:lsdException w:name="Body Text" w:semiHidden="1" w:uiPriority="69" w:unhideWhenUsed="1"/>
    <w:lsdException w:name="Body Text Indent" w:semiHidden="1" w:uiPriority="6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49" w:unhideWhenUsed="1"/>
    <w:lsdException w:name="Date" w:semiHidden="1" w:uiPriority="69" w:unhideWhenUsed="1"/>
    <w:lsdException w:name="Body Text First Indent" w:semiHidden="1" w:uiPriority="69" w:unhideWhenUsed="1"/>
    <w:lsdException w:name="Body Text First Indent 2" w:semiHidden="1" w:uiPriority="69" w:unhideWhenUsed="1"/>
    <w:lsdException w:name="Note Heading" w:semiHidden="1" w:unhideWhenUsed="1"/>
    <w:lsdException w:name="Body Text 2" w:semiHidden="1" w:uiPriority="69" w:unhideWhenUsed="1"/>
    <w:lsdException w:name="Body Text 3" w:semiHidden="1" w:uiPriority="69" w:unhideWhenUsed="1"/>
    <w:lsdException w:name="Body Text Indent 2" w:semiHidden="1" w:uiPriority="69" w:unhideWhenUsed="1"/>
    <w:lsdException w:name="Body Text Indent 3" w:semiHidden="1" w:uiPriority="69"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69" w:qFormat="1"/>
    <w:lsdException w:name="Document Map" w:semiHidden="1" w:uiPriority="69" w:unhideWhenUsed="1"/>
    <w:lsdException w:name="Plain Text" w:semiHidden="1" w:uiPriority="49" w:unhideWhenUsed="1"/>
    <w:lsdException w:name="E-mail Signature" w:semiHidden="1" w:uiPriority="6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6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69"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3B7CFF"/>
    <w:pPr>
      <w:spacing w:after="240"/>
    </w:pPr>
    <w:rPr>
      <w:rFonts w:ascii="Times New Roman" w:eastAsia="Times New Roman" w:hAnsi="Times New Roman" w:cs="Times New Roman"/>
      <w:sz w:val="24"/>
      <w:szCs w:val="24"/>
      <w:lang w:val="en-GB"/>
    </w:rPr>
  </w:style>
  <w:style w:type="paragraph" w:styleId="Heading1">
    <w:name w:val="heading 1"/>
    <w:next w:val="Paragraph"/>
    <w:link w:val="Heading1Char"/>
    <w:uiPriority w:val="4"/>
    <w:qFormat/>
    <w:rsid w:val="003B7CFF"/>
    <w:pPr>
      <w:keepNext/>
      <w:keepLines/>
      <w:numPr>
        <w:numId w:val="3"/>
      </w:numPr>
      <w:spacing w:before="240" w:after="240" w:line="240" w:lineRule="auto"/>
      <w:outlineLvl w:val="0"/>
    </w:pPr>
    <w:rPr>
      <w:rFonts w:ascii="Times New Roman" w:eastAsia="Times New Roman" w:hAnsi="Times New Roman" w:cs="Arial"/>
      <w:b/>
      <w:bCs/>
      <w:caps/>
      <w:kern w:val="32"/>
      <w:sz w:val="28"/>
      <w:szCs w:val="28"/>
      <w:lang w:val="en-GB"/>
    </w:rPr>
  </w:style>
  <w:style w:type="paragraph" w:styleId="Heading2">
    <w:name w:val="heading 2"/>
    <w:next w:val="Paragraph"/>
    <w:link w:val="Heading2Char"/>
    <w:uiPriority w:val="4"/>
    <w:qFormat/>
    <w:rsid w:val="00705CDF"/>
    <w:pPr>
      <w:keepNext/>
      <w:keepLines/>
      <w:numPr>
        <w:ilvl w:val="1"/>
        <w:numId w:val="3"/>
      </w:numPr>
      <w:tabs>
        <w:tab w:val="clear" w:pos="1418"/>
        <w:tab w:val="num" w:pos="1134"/>
      </w:tabs>
      <w:spacing w:before="60" w:after="120" w:line="240" w:lineRule="auto"/>
      <w:ind w:left="1134"/>
      <w:outlineLvl w:val="1"/>
    </w:pPr>
    <w:rPr>
      <w:rFonts w:ascii="Times New Roman Bold" w:eastAsia="Times New Roman" w:hAnsi="Times New Roman Bold" w:cs="Arial"/>
      <w:b/>
      <w:bCs/>
      <w:iCs/>
      <w:caps/>
      <w:sz w:val="24"/>
      <w:szCs w:val="26"/>
      <w:lang w:val="en-GB"/>
    </w:rPr>
  </w:style>
  <w:style w:type="paragraph" w:styleId="Heading3">
    <w:name w:val="heading 3"/>
    <w:next w:val="Paragraph"/>
    <w:link w:val="Heading3Char"/>
    <w:uiPriority w:val="4"/>
    <w:qFormat/>
    <w:rsid w:val="003B7CFF"/>
    <w:pPr>
      <w:keepNext/>
      <w:keepLines/>
      <w:numPr>
        <w:ilvl w:val="2"/>
        <w:numId w:val="3"/>
      </w:numPr>
      <w:spacing w:before="60" w:after="120" w:line="240" w:lineRule="auto"/>
      <w:outlineLvl w:val="2"/>
    </w:pPr>
    <w:rPr>
      <w:rFonts w:ascii="Times New Roman" w:eastAsia="Times New Roman" w:hAnsi="Times New Roman" w:cs="Arial"/>
      <w:b/>
      <w:bCs/>
      <w:sz w:val="26"/>
      <w:szCs w:val="24"/>
      <w:lang w:val="en-GB"/>
    </w:rPr>
  </w:style>
  <w:style w:type="paragraph" w:styleId="Heading4">
    <w:name w:val="heading 4"/>
    <w:next w:val="Paragraph"/>
    <w:link w:val="Heading4Char"/>
    <w:uiPriority w:val="4"/>
    <w:qFormat/>
    <w:rsid w:val="003B7CFF"/>
    <w:pPr>
      <w:keepNext/>
      <w:keepLines/>
      <w:numPr>
        <w:ilvl w:val="3"/>
        <w:numId w:val="3"/>
      </w:numPr>
      <w:spacing w:before="60" w:after="60" w:line="240" w:lineRule="auto"/>
      <w:outlineLvl w:val="3"/>
    </w:pPr>
    <w:rPr>
      <w:rFonts w:ascii="Times New Roman" w:eastAsia="Times New Roman" w:hAnsi="Times New Roman" w:cs="Times New Roman"/>
      <w:b/>
      <w:bCs/>
      <w:sz w:val="24"/>
      <w:lang w:val="en-GB"/>
    </w:rPr>
  </w:style>
  <w:style w:type="paragraph" w:styleId="Heading5">
    <w:name w:val="heading 5"/>
    <w:next w:val="Paragraph"/>
    <w:link w:val="Heading5Char"/>
    <w:uiPriority w:val="8"/>
    <w:qFormat/>
    <w:rsid w:val="003B7CFF"/>
    <w:pPr>
      <w:keepNext/>
      <w:keepLines/>
      <w:numPr>
        <w:ilvl w:val="4"/>
        <w:numId w:val="3"/>
      </w:numPr>
      <w:tabs>
        <w:tab w:val="left" w:pos="1440"/>
      </w:tabs>
      <w:spacing w:before="60" w:after="60" w:line="240" w:lineRule="auto"/>
      <w:outlineLvl w:val="4"/>
    </w:pPr>
    <w:rPr>
      <w:rFonts w:ascii="Times New Roman Bold" w:eastAsia="Times New Roman" w:hAnsi="Times New Roman Bold" w:cs="Arial"/>
      <w:b/>
      <w:bCs/>
      <w:iCs/>
      <w:lang w:val="en-US"/>
    </w:rPr>
  </w:style>
  <w:style w:type="paragraph" w:styleId="Heading6">
    <w:name w:val="heading 6"/>
    <w:next w:val="Paragraph"/>
    <w:link w:val="Heading6Char"/>
    <w:uiPriority w:val="8"/>
    <w:qFormat/>
    <w:rsid w:val="003B7CFF"/>
    <w:pPr>
      <w:keepNext/>
      <w:keepLines/>
      <w:numPr>
        <w:ilvl w:val="5"/>
        <w:numId w:val="3"/>
      </w:numPr>
      <w:tabs>
        <w:tab w:val="left" w:pos="1680"/>
      </w:tabs>
      <w:spacing w:before="60" w:after="60" w:line="240" w:lineRule="auto"/>
      <w:outlineLvl w:val="5"/>
    </w:pPr>
    <w:rPr>
      <w:rFonts w:ascii="Times New Roman" w:eastAsia="Times New Roman" w:hAnsi="Times New Roman" w:cs="Arial"/>
      <w:b/>
      <w:bCs/>
      <w:i/>
      <w:lang w:val="en-US"/>
    </w:rPr>
  </w:style>
  <w:style w:type="paragraph" w:styleId="Heading7">
    <w:name w:val="heading 7"/>
    <w:next w:val="Paragraph"/>
    <w:link w:val="Heading7Char"/>
    <w:uiPriority w:val="99"/>
    <w:semiHidden/>
    <w:qFormat/>
    <w:rsid w:val="003B7CFF"/>
    <w:pPr>
      <w:keepNext/>
      <w:keepLines/>
      <w:numPr>
        <w:ilvl w:val="6"/>
        <w:numId w:val="3"/>
      </w:numPr>
      <w:tabs>
        <w:tab w:val="left" w:pos="1920"/>
      </w:tabs>
      <w:spacing w:after="240" w:line="240" w:lineRule="auto"/>
      <w:outlineLvl w:val="6"/>
    </w:pPr>
    <w:rPr>
      <w:rFonts w:ascii="Times New Roman" w:eastAsia="Times New Roman" w:hAnsi="Times New Roman" w:cs="Arial"/>
      <w:i/>
      <w:sz w:val="24"/>
      <w:szCs w:val="24"/>
      <w:lang w:val="en-US"/>
    </w:rPr>
  </w:style>
  <w:style w:type="paragraph" w:styleId="Heading8">
    <w:name w:val="heading 8"/>
    <w:next w:val="Paragraph"/>
    <w:link w:val="Heading8Char"/>
    <w:uiPriority w:val="99"/>
    <w:semiHidden/>
    <w:qFormat/>
    <w:rsid w:val="003B7CFF"/>
    <w:pPr>
      <w:keepNext/>
      <w:keepLines/>
      <w:numPr>
        <w:ilvl w:val="7"/>
        <w:numId w:val="3"/>
      </w:numPr>
      <w:tabs>
        <w:tab w:val="left" w:pos="2160"/>
      </w:tabs>
      <w:spacing w:after="240" w:line="240" w:lineRule="auto"/>
      <w:outlineLvl w:val="7"/>
    </w:pPr>
    <w:rPr>
      <w:rFonts w:ascii="Times New Roman" w:eastAsia="Times New Roman" w:hAnsi="Times New Roman" w:cs="Arial"/>
      <w:i/>
      <w:iCs/>
      <w:sz w:val="24"/>
      <w:szCs w:val="24"/>
      <w:lang w:val="en-US"/>
    </w:rPr>
  </w:style>
  <w:style w:type="paragraph" w:styleId="Heading9">
    <w:name w:val="heading 9"/>
    <w:aliases w:val="-References"/>
    <w:next w:val="Paragraph"/>
    <w:link w:val="Heading9Char"/>
    <w:uiPriority w:val="7"/>
    <w:qFormat/>
    <w:rsid w:val="003B7CFF"/>
    <w:pPr>
      <w:keepNext/>
      <w:keepLines/>
      <w:numPr>
        <w:ilvl w:val="8"/>
        <w:numId w:val="3"/>
      </w:numPr>
      <w:spacing w:before="120" w:after="0" w:line="240" w:lineRule="auto"/>
      <w:outlineLvl w:val="8"/>
    </w:pPr>
    <w:rPr>
      <w:rFonts w:ascii="Times New Roman" w:eastAsia="Times New Roman" w:hAnsi="Times New Roman" w:cs="Arial"/>
      <w:b/>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3B7CFF"/>
    <w:rPr>
      <w:rFonts w:ascii="Times New Roman" w:eastAsia="Times New Roman" w:hAnsi="Times New Roman" w:cs="Arial"/>
      <w:b/>
      <w:bCs/>
      <w:caps/>
      <w:kern w:val="32"/>
      <w:sz w:val="28"/>
      <w:szCs w:val="28"/>
      <w:lang w:val="en-GB"/>
    </w:rPr>
  </w:style>
  <w:style w:type="character" w:customStyle="1" w:styleId="Heading2Char">
    <w:name w:val="Heading 2 Char"/>
    <w:basedOn w:val="DefaultParagraphFont"/>
    <w:link w:val="Heading2"/>
    <w:uiPriority w:val="4"/>
    <w:rsid w:val="00705CDF"/>
    <w:rPr>
      <w:rFonts w:ascii="Times New Roman Bold" w:eastAsia="Times New Roman" w:hAnsi="Times New Roman Bold" w:cs="Arial"/>
      <w:b/>
      <w:bCs/>
      <w:iCs/>
      <w:caps/>
      <w:sz w:val="24"/>
      <w:szCs w:val="26"/>
      <w:lang w:val="en-GB"/>
    </w:rPr>
  </w:style>
  <w:style w:type="character" w:customStyle="1" w:styleId="Heading3Char">
    <w:name w:val="Heading 3 Char"/>
    <w:basedOn w:val="DefaultParagraphFont"/>
    <w:link w:val="Heading3"/>
    <w:uiPriority w:val="4"/>
    <w:rsid w:val="003B7CFF"/>
    <w:rPr>
      <w:rFonts w:ascii="Times New Roman" w:eastAsia="Times New Roman" w:hAnsi="Times New Roman" w:cs="Arial"/>
      <w:b/>
      <w:bCs/>
      <w:sz w:val="26"/>
      <w:szCs w:val="24"/>
      <w:lang w:val="en-GB"/>
    </w:rPr>
  </w:style>
  <w:style w:type="character" w:customStyle="1" w:styleId="Heading4Char">
    <w:name w:val="Heading 4 Char"/>
    <w:basedOn w:val="DefaultParagraphFont"/>
    <w:link w:val="Heading4"/>
    <w:uiPriority w:val="4"/>
    <w:rsid w:val="003B7CFF"/>
    <w:rPr>
      <w:rFonts w:ascii="Times New Roman" w:eastAsia="Times New Roman" w:hAnsi="Times New Roman" w:cs="Times New Roman"/>
      <w:b/>
      <w:bCs/>
      <w:sz w:val="24"/>
      <w:lang w:val="en-GB"/>
    </w:rPr>
  </w:style>
  <w:style w:type="character" w:customStyle="1" w:styleId="Heading5Char">
    <w:name w:val="Heading 5 Char"/>
    <w:basedOn w:val="DefaultParagraphFont"/>
    <w:link w:val="Heading5"/>
    <w:uiPriority w:val="8"/>
    <w:rsid w:val="003B7CFF"/>
    <w:rPr>
      <w:rFonts w:ascii="Times New Roman Bold" w:eastAsia="Times New Roman" w:hAnsi="Times New Roman Bold" w:cs="Arial"/>
      <w:b/>
      <w:bCs/>
      <w:iCs/>
      <w:lang w:val="en-US"/>
    </w:rPr>
  </w:style>
  <w:style w:type="character" w:customStyle="1" w:styleId="Heading6Char">
    <w:name w:val="Heading 6 Char"/>
    <w:basedOn w:val="DefaultParagraphFont"/>
    <w:link w:val="Heading6"/>
    <w:uiPriority w:val="8"/>
    <w:rsid w:val="003B7CFF"/>
    <w:rPr>
      <w:rFonts w:ascii="Times New Roman" w:eastAsia="Times New Roman" w:hAnsi="Times New Roman" w:cs="Arial"/>
      <w:b/>
      <w:bCs/>
      <w:i/>
      <w:lang w:val="en-US"/>
    </w:rPr>
  </w:style>
  <w:style w:type="character" w:customStyle="1" w:styleId="Heading7Char">
    <w:name w:val="Heading 7 Char"/>
    <w:basedOn w:val="DefaultParagraphFont"/>
    <w:link w:val="Heading7"/>
    <w:uiPriority w:val="99"/>
    <w:semiHidden/>
    <w:rsid w:val="003B7CFF"/>
    <w:rPr>
      <w:rFonts w:ascii="Times New Roman" w:eastAsia="Times New Roman" w:hAnsi="Times New Roman" w:cs="Arial"/>
      <w:i/>
      <w:sz w:val="24"/>
      <w:szCs w:val="24"/>
      <w:lang w:val="en-US"/>
    </w:rPr>
  </w:style>
  <w:style w:type="character" w:customStyle="1" w:styleId="Heading8Char">
    <w:name w:val="Heading 8 Char"/>
    <w:basedOn w:val="DefaultParagraphFont"/>
    <w:link w:val="Heading8"/>
    <w:uiPriority w:val="99"/>
    <w:semiHidden/>
    <w:rsid w:val="003B7CFF"/>
    <w:rPr>
      <w:rFonts w:ascii="Times New Roman" w:eastAsia="Times New Roman" w:hAnsi="Times New Roman" w:cs="Arial"/>
      <w:i/>
      <w:iCs/>
      <w:sz w:val="24"/>
      <w:szCs w:val="24"/>
      <w:lang w:val="en-US"/>
    </w:rPr>
  </w:style>
  <w:style w:type="character" w:customStyle="1" w:styleId="Heading9Char">
    <w:name w:val="Heading 9 Char"/>
    <w:aliases w:val="-References Char"/>
    <w:basedOn w:val="DefaultParagraphFont"/>
    <w:link w:val="Heading9"/>
    <w:uiPriority w:val="7"/>
    <w:rsid w:val="003B7CFF"/>
    <w:rPr>
      <w:rFonts w:ascii="Times New Roman" w:eastAsia="Times New Roman" w:hAnsi="Times New Roman" w:cs="Arial"/>
      <w:b/>
      <w:szCs w:val="24"/>
      <w:lang w:val="en-GB"/>
    </w:rPr>
  </w:style>
  <w:style w:type="paragraph" w:styleId="ListParagraph">
    <w:name w:val="List Paragraph"/>
    <w:basedOn w:val="Normal"/>
    <w:uiPriority w:val="34"/>
    <w:rsid w:val="003B7CFF"/>
    <w:pPr>
      <w:contextualSpacing/>
    </w:pPr>
  </w:style>
  <w:style w:type="character" w:styleId="CommentReference">
    <w:name w:val="annotation reference"/>
    <w:uiPriority w:val="69"/>
    <w:semiHidden/>
    <w:rsid w:val="003B7CFF"/>
    <w:rPr>
      <w:sz w:val="16"/>
      <w:szCs w:val="16"/>
    </w:rPr>
  </w:style>
  <w:style w:type="paragraph" w:styleId="CommentText">
    <w:name w:val="annotation text"/>
    <w:basedOn w:val="Normal"/>
    <w:link w:val="CommentTextChar"/>
    <w:uiPriority w:val="69"/>
    <w:rsid w:val="003B7CFF"/>
    <w:rPr>
      <w:sz w:val="20"/>
      <w:szCs w:val="20"/>
    </w:rPr>
  </w:style>
  <w:style w:type="character" w:customStyle="1" w:styleId="CommentTextChar">
    <w:name w:val="Comment Text Char"/>
    <w:basedOn w:val="DefaultParagraphFont"/>
    <w:link w:val="CommentText"/>
    <w:uiPriority w:val="69"/>
    <w:rsid w:val="003B7CFF"/>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rsid w:val="003B7CFF"/>
    <w:rPr>
      <w:sz w:val="20"/>
      <w:szCs w:val="20"/>
    </w:rPr>
  </w:style>
  <w:style w:type="character" w:customStyle="1" w:styleId="FootnoteTextChar">
    <w:name w:val="Footnote Text Char"/>
    <w:basedOn w:val="DefaultParagraphFont"/>
    <w:link w:val="FootnoteText"/>
    <w:uiPriority w:val="99"/>
    <w:rsid w:val="003B7CFF"/>
    <w:rPr>
      <w:rFonts w:ascii="Times New Roman" w:eastAsia="Times New Roman" w:hAnsi="Times New Roman" w:cs="Times New Roman"/>
      <w:sz w:val="20"/>
      <w:szCs w:val="20"/>
      <w:lang w:val="en-GB"/>
    </w:rPr>
  </w:style>
  <w:style w:type="character" w:styleId="FootnoteReference">
    <w:name w:val="footnote reference"/>
    <w:uiPriority w:val="99"/>
    <w:rsid w:val="003B7CFF"/>
    <w:rPr>
      <w:vertAlign w:val="superscript"/>
    </w:rPr>
  </w:style>
  <w:style w:type="paragraph" w:styleId="ListBullet">
    <w:name w:val="List Bullet"/>
    <w:uiPriority w:val="9"/>
    <w:qFormat/>
    <w:rsid w:val="003B7CFF"/>
    <w:pPr>
      <w:numPr>
        <w:numId w:val="6"/>
      </w:numPr>
      <w:spacing w:before="60" w:after="60" w:line="240" w:lineRule="auto"/>
    </w:pPr>
    <w:rPr>
      <w:rFonts w:ascii="Times New Roman" w:eastAsia="Times New Roman" w:hAnsi="Times New Roman" w:cs="Times New Roman"/>
      <w:sz w:val="24"/>
      <w:szCs w:val="20"/>
      <w:lang w:val="en-GB"/>
    </w:rPr>
  </w:style>
  <w:style w:type="character" w:styleId="Hyperlink">
    <w:name w:val="Hyperlink"/>
    <w:uiPriority w:val="99"/>
    <w:rsid w:val="003B7CFF"/>
    <w:rPr>
      <w:color w:val="0000FF"/>
      <w:u w:val="non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Header"/>
    <w:link w:val="FooterChar"/>
    <w:rsid w:val="003B7CFF"/>
  </w:style>
  <w:style w:type="character" w:customStyle="1" w:styleId="FooterChar">
    <w:name w:val="Footer Char"/>
    <w:basedOn w:val="DefaultParagraphFont"/>
    <w:link w:val="Footer"/>
    <w:rsid w:val="003B7CF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69"/>
    <w:semiHidden/>
    <w:rsid w:val="003B7CFF"/>
    <w:rPr>
      <w:rFonts w:ascii="Arial Narrow" w:hAnsi="Arial Narrow" w:cs="Tahoma"/>
      <w:sz w:val="18"/>
      <w:szCs w:val="16"/>
    </w:rPr>
  </w:style>
  <w:style w:type="character" w:customStyle="1" w:styleId="BalloonTextChar">
    <w:name w:val="Balloon Text Char"/>
    <w:basedOn w:val="DefaultParagraphFont"/>
    <w:link w:val="BalloonText"/>
    <w:uiPriority w:val="69"/>
    <w:semiHidden/>
    <w:rsid w:val="003B7CFF"/>
    <w:rPr>
      <w:rFonts w:ascii="Arial Narrow" w:eastAsia="Times New Roman" w:hAnsi="Arial Narrow" w:cs="Tahoma"/>
      <w:sz w:val="18"/>
      <w:szCs w:val="16"/>
      <w:lang w:val="en-GB"/>
    </w:rPr>
  </w:style>
  <w:style w:type="paragraph" w:customStyle="1" w:styleId="AppendixNumeric">
    <w:name w:val="Appendix Numeric"/>
    <w:next w:val="Paragraph"/>
    <w:uiPriority w:val="20"/>
    <w:qFormat/>
    <w:rsid w:val="003B7CFF"/>
    <w:pPr>
      <w:pageBreakBefore/>
      <w:numPr>
        <w:numId w:val="1"/>
      </w:numPr>
      <w:spacing w:after="160" w:line="240" w:lineRule="auto"/>
    </w:pPr>
    <w:rPr>
      <w:rFonts w:ascii="Times New Roman" w:eastAsia="Times New Roman" w:hAnsi="Times New Roman" w:cs="Arial"/>
      <w:b/>
      <w:iCs/>
      <w:snapToGrid w:val="0"/>
      <w:sz w:val="28"/>
      <w:szCs w:val="26"/>
      <w:lang w:val="sv-SE"/>
    </w:rPr>
  </w:style>
  <w:style w:type="paragraph" w:customStyle="1" w:styleId="AppendixAlpha">
    <w:name w:val="Appendix Alpha"/>
    <w:basedOn w:val="AppendixNumeric"/>
    <w:next w:val="Paragraph"/>
    <w:uiPriority w:val="21"/>
    <w:qFormat/>
    <w:rsid w:val="003B7CFF"/>
    <w:pPr>
      <w:keepNext/>
      <w:keepLines/>
      <w:numPr>
        <w:numId w:val="2"/>
      </w:numPr>
    </w:pPr>
  </w:style>
  <w:style w:type="table" w:styleId="PlainTable1">
    <w:name w:val="Plain Table 1"/>
    <w:basedOn w:val="TableNormal"/>
    <w:uiPriority w:val="41"/>
    <w:rsid w:val="00EE3A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E3A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pproval">
    <w:name w:val="Approval"/>
    <w:basedOn w:val="Paragraph"/>
    <w:uiPriority w:val="24"/>
    <w:rsid w:val="003B7CFF"/>
  </w:style>
  <w:style w:type="paragraph" w:styleId="BodyText">
    <w:name w:val="Body Text"/>
    <w:basedOn w:val="Normal"/>
    <w:link w:val="BodyTextChar"/>
    <w:uiPriority w:val="69"/>
    <w:semiHidden/>
    <w:rsid w:val="003B7CFF"/>
    <w:pPr>
      <w:spacing w:after="120"/>
    </w:pPr>
  </w:style>
  <w:style w:type="character" w:customStyle="1" w:styleId="BodyTextChar">
    <w:name w:val="Body Text Char"/>
    <w:basedOn w:val="DefaultParagraphFont"/>
    <w:link w:val="BodyText"/>
    <w:uiPriority w:val="69"/>
    <w:semiHidden/>
    <w:rsid w:val="003B7CFF"/>
    <w:rPr>
      <w:rFonts w:ascii="Times New Roman" w:eastAsia="Times New Roman" w:hAnsi="Times New Roman" w:cs="Times New Roman"/>
      <w:sz w:val="24"/>
      <w:szCs w:val="24"/>
      <w:lang w:val="en-GB"/>
    </w:rPr>
  </w:style>
  <w:style w:type="paragraph" w:styleId="BodyText2">
    <w:name w:val="Body Text 2"/>
    <w:basedOn w:val="Normal"/>
    <w:link w:val="BodyText2Char"/>
    <w:uiPriority w:val="69"/>
    <w:semiHidden/>
    <w:rsid w:val="003B7CFF"/>
    <w:pPr>
      <w:spacing w:after="120" w:line="480" w:lineRule="auto"/>
    </w:pPr>
  </w:style>
  <w:style w:type="character" w:customStyle="1" w:styleId="BodyText2Char">
    <w:name w:val="Body Text 2 Char"/>
    <w:basedOn w:val="DefaultParagraphFont"/>
    <w:link w:val="BodyText2"/>
    <w:uiPriority w:val="69"/>
    <w:semiHidden/>
    <w:rsid w:val="003B7CFF"/>
    <w:rPr>
      <w:rFonts w:ascii="Times New Roman" w:eastAsia="Times New Roman" w:hAnsi="Times New Roman" w:cs="Times New Roman"/>
      <w:sz w:val="24"/>
      <w:szCs w:val="24"/>
      <w:lang w:val="en-GB"/>
    </w:rPr>
  </w:style>
  <w:style w:type="paragraph" w:styleId="BodyText3">
    <w:name w:val="Body Text 3"/>
    <w:basedOn w:val="Normal"/>
    <w:link w:val="BodyText3Char"/>
    <w:uiPriority w:val="69"/>
    <w:semiHidden/>
    <w:rsid w:val="003B7CFF"/>
    <w:pPr>
      <w:spacing w:after="120"/>
    </w:pPr>
    <w:rPr>
      <w:sz w:val="16"/>
      <w:szCs w:val="16"/>
    </w:rPr>
  </w:style>
  <w:style w:type="character" w:customStyle="1" w:styleId="BodyText3Char">
    <w:name w:val="Body Text 3 Char"/>
    <w:basedOn w:val="DefaultParagraphFont"/>
    <w:link w:val="BodyText3"/>
    <w:uiPriority w:val="69"/>
    <w:semiHidden/>
    <w:rsid w:val="003B7CFF"/>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uiPriority w:val="69"/>
    <w:semiHidden/>
    <w:rsid w:val="003B7CFF"/>
    <w:pPr>
      <w:ind w:firstLine="210"/>
    </w:pPr>
  </w:style>
  <w:style w:type="character" w:customStyle="1" w:styleId="BodyTextFirstIndentChar">
    <w:name w:val="Body Text First Indent Char"/>
    <w:basedOn w:val="BodyTextChar"/>
    <w:link w:val="BodyTextFirstIndent"/>
    <w:uiPriority w:val="69"/>
    <w:semiHidden/>
    <w:rsid w:val="003B7CFF"/>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69"/>
    <w:semiHidden/>
    <w:rsid w:val="003B7CFF"/>
    <w:pPr>
      <w:spacing w:after="120"/>
      <w:ind w:left="360"/>
    </w:pPr>
  </w:style>
  <w:style w:type="character" w:customStyle="1" w:styleId="BodyTextIndentChar">
    <w:name w:val="Body Text Indent Char"/>
    <w:basedOn w:val="DefaultParagraphFont"/>
    <w:link w:val="BodyTextIndent"/>
    <w:uiPriority w:val="69"/>
    <w:semiHidden/>
    <w:rsid w:val="003B7CFF"/>
    <w:rPr>
      <w:rFonts w:ascii="Times New Roman" w:eastAsia="Times New Roman" w:hAnsi="Times New Roman" w:cs="Times New Roman"/>
      <w:sz w:val="24"/>
      <w:szCs w:val="24"/>
      <w:lang w:val="en-GB"/>
    </w:rPr>
  </w:style>
  <w:style w:type="paragraph" w:styleId="BodyTextFirstIndent2">
    <w:name w:val="Body Text First Indent 2"/>
    <w:basedOn w:val="BodyTextIndent"/>
    <w:link w:val="BodyTextFirstIndent2Char"/>
    <w:uiPriority w:val="69"/>
    <w:semiHidden/>
    <w:rsid w:val="003B7CFF"/>
    <w:pPr>
      <w:ind w:firstLine="210"/>
    </w:pPr>
  </w:style>
  <w:style w:type="character" w:customStyle="1" w:styleId="BodyTextFirstIndent2Char">
    <w:name w:val="Body Text First Indent 2 Char"/>
    <w:basedOn w:val="BodyTextIndentChar"/>
    <w:link w:val="BodyTextFirstIndent2"/>
    <w:uiPriority w:val="69"/>
    <w:semiHidden/>
    <w:rsid w:val="003B7CFF"/>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69"/>
    <w:semiHidden/>
    <w:rsid w:val="003B7CFF"/>
    <w:pPr>
      <w:spacing w:after="120" w:line="480" w:lineRule="auto"/>
      <w:ind w:left="360"/>
    </w:pPr>
  </w:style>
  <w:style w:type="character" w:customStyle="1" w:styleId="BodyTextIndent2Char">
    <w:name w:val="Body Text Indent 2 Char"/>
    <w:basedOn w:val="DefaultParagraphFont"/>
    <w:link w:val="BodyTextIndent2"/>
    <w:uiPriority w:val="69"/>
    <w:semiHidden/>
    <w:rsid w:val="003B7CFF"/>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69"/>
    <w:semiHidden/>
    <w:rsid w:val="003B7CFF"/>
    <w:pPr>
      <w:spacing w:after="120"/>
      <w:ind w:left="360"/>
    </w:pPr>
    <w:rPr>
      <w:sz w:val="16"/>
      <w:szCs w:val="16"/>
    </w:rPr>
  </w:style>
  <w:style w:type="character" w:customStyle="1" w:styleId="BodyTextIndent3Char">
    <w:name w:val="Body Text Indent 3 Char"/>
    <w:basedOn w:val="DefaultParagraphFont"/>
    <w:link w:val="BodyTextIndent3"/>
    <w:uiPriority w:val="69"/>
    <w:semiHidden/>
    <w:rsid w:val="003B7CFF"/>
    <w:rPr>
      <w:rFonts w:ascii="Times New Roman" w:eastAsia="Times New Roman" w:hAnsi="Times New Roman" w:cs="Times New Roman"/>
      <w:sz w:val="16"/>
      <w:szCs w:val="16"/>
      <w:lang w:val="en-GB"/>
    </w:rPr>
  </w:style>
  <w:style w:type="numbering" w:styleId="111111">
    <w:name w:val="Outline List 2"/>
    <w:basedOn w:val="NoList"/>
    <w:uiPriority w:val="99"/>
    <w:semiHidden/>
    <w:unhideWhenUsed/>
    <w:rsid w:val="003B7CFF"/>
    <w:pPr>
      <w:numPr>
        <w:numId w:val="8"/>
      </w:numPr>
    </w:pPr>
  </w:style>
  <w:style w:type="numbering" w:styleId="1ai">
    <w:name w:val="Outline List 1"/>
    <w:basedOn w:val="NoList"/>
    <w:uiPriority w:val="99"/>
    <w:semiHidden/>
    <w:unhideWhenUsed/>
    <w:rsid w:val="003B7CFF"/>
    <w:pPr>
      <w:numPr>
        <w:numId w:val="9"/>
      </w:numPr>
    </w:pPr>
  </w:style>
  <w:style w:type="numbering" w:styleId="ArticleSection">
    <w:name w:val="Outline List 3"/>
    <w:basedOn w:val="NoList"/>
    <w:uiPriority w:val="99"/>
    <w:semiHidden/>
    <w:unhideWhenUsed/>
    <w:rsid w:val="003B7CFF"/>
    <w:pPr>
      <w:numPr>
        <w:numId w:val="10"/>
      </w:numPr>
    </w:pPr>
  </w:style>
  <w:style w:type="paragraph" w:styleId="Closing">
    <w:name w:val="Closing"/>
    <w:basedOn w:val="Normal"/>
    <w:link w:val="ClosingChar"/>
    <w:uiPriority w:val="69"/>
    <w:semiHidden/>
    <w:rsid w:val="003B7CFF"/>
    <w:pPr>
      <w:ind w:left="4320"/>
    </w:pPr>
  </w:style>
  <w:style w:type="character" w:customStyle="1" w:styleId="ClosingChar">
    <w:name w:val="Closing Char"/>
    <w:basedOn w:val="DefaultParagraphFont"/>
    <w:link w:val="Closing"/>
    <w:uiPriority w:val="69"/>
    <w:semiHidden/>
    <w:rsid w:val="003B7CFF"/>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69"/>
    <w:semiHidden/>
    <w:rsid w:val="003B7CFF"/>
    <w:rPr>
      <w:b/>
      <w:bCs/>
    </w:rPr>
  </w:style>
  <w:style w:type="character" w:customStyle="1" w:styleId="CommentSubjectChar">
    <w:name w:val="Comment Subject Char"/>
    <w:basedOn w:val="CommentTextChar"/>
    <w:link w:val="CommentSubject"/>
    <w:uiPriority w:val="69"/>
    <w:semiHidden/>
    <w:rsid w:val="003B7CFF"/>
    <w:rPr>
      <w:rFonts w:ascii="Times New Roman" w:eastAsia="Times New Roman" w:hAnsi="Times New Roman" w:cs="Times New Roman"/>
      <w:b/>
      <w:bCs/>
      <w:sz w:val="20"/>
      <w:szCs w:val="20"/>
      <w:lang w:val="en-GB"/>
    </w:rPr>
  </w:style>
  <w:style w:type="paragraph" w:customStyle="1" w:styleId="Confidentiality">
    <w:name w:val="Confidentiality"/>
    <w:uiPriority w:val="24"/>
    <w:rsid w:val="003B7CFF"/>
    <w:pPr>
      <w:spacing w:after="0" w:line="240" w:lineRule="auto"/>
    </w:pPr>
    <w:rPr>
      <w:rFonts w:ascii="Times New Roman" w:eastAsia="Times New Roman" w:hAnsi="Times New Roman" w:cs="Times New Roman"/>
      <w:sz w:val="24"/>
      <w:szCs w:val="20"/>
      <w:lang w:val="en-GB"/>
    </w:rPr>
  </w:style>
  <w:style w:type="paragraph" w:styleId="Date">
    <w:name w:val="Date"/>
    <w:basedOn w:val="Normal"/>
    <w:next w:val="Normal"/>
    <w:link w:val="DateChar"/>
    <w:uiPriority w:val="69"/>
    <w:semiHidden/>
    <w:rsid w:val="003B7CFF"/>
  </w:style>
  <w:style w:type="character" w:customStyle="1" w:styleId="DateChar">
    <w:name w:val="Date Char"/>
    <w:basedOn w:val="DefaultParagraphFont"/>
    <w:link w:val="Date"/>
    <w:uiPriority w:val="69"/>
    <w:semiHidden/>
    <w:rsid w:val="003B7CFF"/>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69"/>
    <w:semiHidden/>
    <w:rsid w:val="003B7CFF"/>
    <w:pPr>
      <w:shd w:val="clear" w:color="auto" w:fill="000080"/>
    </w:pPr>
    <w:rPr>
      <w:rFonts w:ascii="Tahoma" w:hAnsi="Tahoma" w:cs="Tahoma"/>
    </w:rPr>
  </w:style>
  <w:style w:type="character" w:customStyle="1" w:styleId="DocumentMapChar">
    <w:name w:val="Document Map Char"/>
    <w:basedOn w:val="DefaultParagraphFont"/>
    <w:link w:val="DocumentMap"/>
    <w:uiPriority w:val="69"/>
    <w:semiHidden/>
    <w:rsid w:val="003B7CFF"/>
    <w:rPr>
      <w:rFonts w:ascii="Tahoma" w:eastAsia="Times New Roman" w:hAnsi="Tahoma" w:cs="Tahoma"/>
      <w:sz w:val="24"/>
      <w:szCs w:val="24"/>
      <w:shd w:val="clear" w:color="auto" w:fill="000080"/>
      <w:lang w:val="en-GB"/>
    </w:rPr>
  </w:style>
  <w:style w:type="paragraph" w:styleId="E-mailSignature">
    <w:name w:val="E-mail Signature"/>
    <w:basedOn w:val="Normal"/>
    <w:link w:val="E-mailSignatureChar"/>
    <w:uiPriority w:val="69"/>
    <w:semiHidden/>
    <w:rsid w:val="003B7CFF"/>
  </w:style>
  <w:style w:type="character" w:customStyle="1" w:styleId="E-mailSignatureChar">
    <w:name w:val="E-mail Signature Char"/>
    <w:basedOn w:val="DefaultParagraphFont"/>
    <w:link w:val="E-mailSignature"/>
    <w:uiPriority w:val="69"/>
    <w:semiHidden/>
    <w:rsid w:val="003B7CFF"/>
    <w:rPr>
      <w:rFonts w:ascii="Times New Roman" w:eastAsia="Times New Roman" w:hAnsi="Times New Roman" w:cs="Times New Roman"/>
      <w:sz w:val="24"/>
      <w:szCs w:val="24"/>
      <w:lang w:val="en-GB"/>
    </w:rPr>
  </w:style>
  <w:style w:type="character" w:styleId="Emphasis">
    <w:name w:val="Emphasis"/>
    <w:uiPriority w:val="69"/>
    <w:qFormat/>
    <w:rsid w:val="003B7CFF"/>
    <w:rPr>
      <w:i/>
      <w:iCs/>
    </w:rPr>
  </w:style>
  <w:style w:type="character" w:styleId="EndnoteReference">
    <w:name w:val="endnote reference"/>
    <w:uiPriority w:val="69"/>
    <w:semiHidden/>
    <w:rsid w:val="003B7CFF"/>
    <w:rPr>
      <w:vertAlign w:val="superscript"/>
    </w:rPr>
  </w:style>
  <w:style w:type="paragraph" w:styleId="EndnoteText">
    <w:name w:val="endnote text"/>
    <w:basedOn w:val="Normal"/>
    <w:link w:val="EndnoteTextChar"/>
    <w:uiPriority w:val="69"/>
    <w:semiHidden/>
    <w:rsid w:val="003B7CFF"/>
    <w:rPr>
      <w:sz w:val="20"/>
      <w:szCs w:val="20"/>
    </w:rPr>
  </w:style>
  <w:style w:type="character" w:customStyle="1" w:styleId="EndnoteTextChar">
    <w:name w:val="Endnote Text Char"/>
    <w:basedOn w:val="DefaultParagraphFont"/>
    <w:link w:val="EndnoteText"/>
    <w:uiPriority w:val="69"/>
    <w:semiHidden/>
    <w:rsid w:val="003B7CFF"/>
    <w:rPr>
      <w:rFonts w:ascii="Times New Roman" w:eastAsia="Times New Roman" w:hAnsi="Times New Roman" w:cs="Times New Roman"/>
      <w:sz w:val="20"/>
      <w:szCs w:val="20"/>
      <w:lang w:val="en-GB"/>
    </w:rPr>
  </w:style>
  <w:style w:type="paragraph" w:styleId="EnvelopeAddress">
    <w:name w:val="envelope address"/>
    <w:basedOn w:val="Normal"/>
    <w:uiPriority w:val="69"/>
    <w:semiHidden/>
    <w:rsid w:val="003B7CFF"/>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69"/>
    <w:semiHidden/>
    <w:rsid w:val="003B7CFF"/>
    <w:rPr>
      <w:rFonts w:ascii="Arial" w:hAnsi="Arial" w:cs="Arial"/>
      <w:sz w:val="20"/>
      <w:szCs w:val="20"/>
    </w:rPr>
  </w:style>
  <w:style w:type="paragraph" w:customStyle="1" w:styleId="Equation">
    <w:name w:val="Equation"/>
    <w:next w:val="Paragraph"/>
    <w:uiPriority w:val="19"/>
    <w:rsid w:val="003B7CFF"/>
    <w:pPr>
      <w:keepLines/>
      <w:spacing w:after="120" w:line="240" w:lineRule="auto"/>
      <w:jc w:val="center"/>
    </w:pPr>
    <w:rPr>
      <w:rFonts w:ascii="Times New Roman" w:eastAsia="Times New Roman" w:hAnsi="Times New Roman" w:cs="Times New Roman"/>
      <w:color w:val="000000"/>
      <w:sz w:val="24"/>
      <w:szCs w:val="24"/>
      <w:lang w:val="en-US"/>
    </w:rPr>
  </w:style>
  <w:style w:type="paragraph" w:customStyle="1" w:styleId="EquationTitle">
    <w:name w:val="Equation Title"/>
    <w:next w:val="Equation"/>
    <w:uiPriority w:val="19"/>
    <w:rsid w:val="003B7CFF"/>
    <w:pPr>
      <w:keepNext/>
      <w:keepLines/>
      <w:spacing w:after="120" w:line="240" w:lineRule="auto"/>
      <w:ind w:left="1134" w:hanging="1134"/>
    </w:pPr>
    <w:rPr>
      <w:rFonts w:ascii="Times New Roman" w:eastAsia="Times New Roman" w:hAnsi="Times New Roman" w:cs="Times New Roman"/>
      <w:b/>
      <w:color w:val="000000"/>
      <w:sz w:val="24"/>
      <w:szCs w:val="24"/>
      <w:lang w:val="en-US"/>
    </w:rPr>
  </w:style>
  <w:style w:type="paragraph" w:customStyle="1" w:styleId="Figure">
    <w:name w:val="Figure"/>
    <w:next w:val="Paragraph"/>
    <w:uiPriority w:val="17"/>
    <w:rsid w:val="003B7CFF"/>
    <w:pPr>
      <w:spacing w:after="240" w:line="240" w:lineRule="auto"/>
      <w:jc w:val="center"/>
    </w:pPr>
    <w:rPr>
      <w:rFonts w:ascii="Times New Roman" w:eastAsia="Times New Roman" w:hAnsi="Times New Roman" w:cs="Times New Roman"/>
      <w:sz w:val="24"/>
      <w:szCs w:val="20"/>
      <w:lang w:val="en-GB"/>
    </w:rPr>
  </w:style>
  <w:style w:type="paragraph" w:customStyle="1" w:styleId="FigureEndofTextTitle">
    <w:name w:val="Figure End of Text Title"/>
    <w:next w:val="Figure"/>
    <w:uiPriority w:val="18"/>
    <w:rsid w:val="003B7CFF"/>
    <w:pPr>
      <w:spacing w:after="120" w:line="240" w:lineRule="auto"/>
    </w:pPr>
    <w:rPr>
      <w:rFonts w:ascii="Times New Roman" w:eastAsia="Times New Roman" w:hAnsi="Times New Roman" w:cs="Arial"/>
      <w:b/>
      <w:bCs/>
      <w:iCs/>
      <w:sz w:val="24"/>
      <w:szCs w:val="48"/>
      <w:lang w:val="en-GB"/>
    </w:rPr>
  </w:style>
  <w:style w:type="paragraph" w:customStyle="1" w:styleId="TableTitle">
    <w:name w:val="Table Title"/>
    <w:next w:val="Paragraph"/>
    <w:uiPriority w:val="10"/>
    <w:qFormat/>
    <w:rsid w:val="003B7CFF"/>
    <w:pPr>
      <w:keepNext/>
      <w:keepLines/>
      <w:tabs>
        <w:tab w:val="left" w:pos="1701"/>
      </w:tabs>
      <w:spacing w:after="120" w:line="240" w:lineRule="auto"/>
      <w:ind w:left="1701" w:hanging="1701"/>
    </w:pPr>
    <w:rPr>
      <w:rFonts w:ascii="Times New Roman" w:eastAsia="Times New Roman" w:hAnsi="Times New Roman" w:cs="Times New Roman"/>
      <w:b/>
      <w:color w:val="000000"/>
      <w:sz w:val="24"/>
      <w:szCs w:val="24"/>
      <w:lang w:val="en-GB"/>
    </w:rPr>
  </w:style>
  <w:style w:type="paragraph" w:customStyle="1" w:styleId="FigureTitle">
    <w:name w:val="Figure Title"/>
    <w:basedOn w:val="TableTitle"/>
    <w:next w:val="Figure"/>
    <w:uiPriority w:val="17"/>
    <w:qFormat/>
    <w:rsid w:val="003B7CFF"/>
  </w:style>
  <w:style w:type="paragraph" w:customStyle="1" w:styleId="FigureSummaryTitle">
    <w:name w:val="Figure Summary Title"/>
    <w:basedOn w:val="FigureTitle"/>
    <w:next w:val="Paragraph"/>
    <w:uiPriority w:val="99"/>
    <w:semiHidden/>
    <w:rsid w:val="003B7CFF"/>
  </w:style>
  <w:style w:type="character" w:styleId="FollowedHyperlink">
    <w:name w:val="FollowedHyperlink"/>
    <w:uiPriority w:val="99"/>
    <w:semiHidden/>
    <w:rsid w:val="003B7CFF"/>
    <w:rPr>
      <w:color w:val="800080"/>
      <w:u w:val="single"/>
    </w:rPr>
  </w:style>
  <w:style w:type="paragraph" w:styleId="Header">
    <w:name w:val="header"/>
    <w:link w:val="HeaderChar"/>
    <w:uiPriority w:val="29"/>
    <w:rsid w:val="003B7CFF"/>
    <w:pPr>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29"/>
    <w:rsid w:val="003B7CFF"/>
    <w:rPr>
      <w:rFonts w:ascii="Times New Roman" w:eastAsia="Times New Roman" w:hAnsi="Times New Roman" w:cs="Times New Roman"/>
      <w:sz w:val="20"/>
      <w:szCs w:val="20"/>
      <w:lang w:val="en-GB"/>
    </w:rPr>
  </w:style>
  <w:style w:type="paragraph" w:customStyle="1" w:styleId="Heading1NoTOC">
    <w:name w:val="Heading 1 No TOC"/>
    <w:basedOn w:val="Heading1"/>
    <w:next w:val="Paragraph"/>
    <w:uiPriority w:val="6"/>
    <w:qFormat/>
    <w:rsid w:val="003B7CFF"/>
    <w:pPr>
      <w:numPr>
        <w:numId w:val="0"/>
      </w:numPr>
      <w:outlineLvl w:val="9"/>
    </w:pPr>
    <w:rPr>
      <w:rFonts w:ascii="Times New Roman Bold" w:hAnsi="Times New Roman Bold"/>
      <w:bCs w:val="0"/>
      <w:szCs w:val="48"/>
    </w:rPr>
  </w:style>
  <w:style w:type="paragraph" w:customStyle="1" w:styleId="Heading1Unnumbered">
    <w:name w:val="Heading 1 Unnumbered"/>
    <w:basedOn w:val="Heading1"/>
    <w:next w:val="Paragraph"/>
    <w:uiPriority w:val="5"/>
    <w:qFormat/>
    <w:rsid w:val="00ED27EC"/>
    <w:pPr>
      <w:numPr>
        <w:numId w:val="0"/>
      </w:numPr>
      <w:tabs>
        <w:tab w:val="left" w:pos="0"/>
        <w:tab w:val="left" w:pos="1134"/>
      </w:tabs>
      <w:jc w:val="center"/>
      <w:outlineLvl w:val="4"/>
    </w:pPr>
    <w:rPr>
      <w:szCs w:val="48"/>
    </w:rPr>
  </w:style>
  <w:style w:type="paragraph" w:customStyle="1" w:styleId="Heading2NoTOC">
    <w:name w:val="Heading 2 No TOC"/>
    <w:basedOn w:val="Heading2"/>
    <w:next w:val="Paragraph"/>
    <w:uiPriority w:val="6"/>
    <w:qFormat/>
    <w:rsid w:val="003B7CFF"/>
    <w:pPr>
      <w:numPr>
        <w:ilvl w:val="0"/>
        <w:numId w:val="0"/>
      </w:numPr>
      <w:outlineLvl w:val="9"/>
    </w:pPr>
  </w:style>
  <w:style w:type="paragraph" w:customStyle="1" w:styleId="Heading2Unnumbered">
    <w:name w:val="Heading 2 Unnumbered"/>
    <w:basedOn w:val="Heading2"/>
    <w:next w:val="Paragraph"/>
    <w:uiPriority w:val="5"/>
    <w:qFormat/>
    <w:rsid w:val="003B7CFF"/>
    <w:pPr>
      <w:numPr>
        <w:ilvl w:val="0"/>
        <w:numId w:val="0"/>
      </w:numPr>
      <w:tabs>
        <w:tab w:val="left" w:pos="1134"/>
      </w:tabs>
      <w:outlineLvl w:val="5"/>
    </w:pPr>
  </w:style>
  <w:style w:type="paragraph" w:customStyle="1" w:styleId="Heading3NoTOC">
    <w:name w:val="Heading 3 No TOC"/>
    <w:basedOn w:val="Heading3"/>
    <w:next w:val="Paragraph"/>
    <w:uiPriority w:val="6"/>
    <w:qFormat/>
    <w:rsid w:val="003B7CFF"/>
    <w:pPr>
      <w:numPr>
        <w:ilvl w:val="0"/>
        <w:numId w:val="0"/>
      </w:numPr>
      <w:outlineLvl w:val="9"/>
    </w:pPr>
    <w:rPr>
      <w:sz w:val="24"/>
      <w:u w:val="single"/>
    </w:rPr>
  </w:style>
  <w:style w:type="paragraph" w:customStyle="1" w:styleId="Heading3Unnumbered">
    <w:name w:val="Heading 3 Unnumbered"/>
    <w:basedOn w:val="Heading3"/>
    <w:next w:val="Paragraph"/>
    <w:uiPriority w:val="5"/>
    <w:qFormat/>
    <w:rsid w:val="00EC60F8"/>
    <w:pPr>
      <w:numPr>
        <w:ilvl w:val="0"/>
        <w:numId w:val="0"/>
      </w:numPr>
      <w:tabs>
        <w:tab w:val="left" w:pos="1134"/>
      </w:tabs>
      <w:outlineLvl w:val="5"/>
    </w:pPr>
    <w:rPr>
      <w:sz w:val="24"/>
    </w:rPr>
  </w:style>
  <w:style w:type="paragraph" w:customStyle="1" w:styleId="Heading4NoTOC">
    <w:name w:val="Heading 4 No TOC"/>
    <w:basedOn w:val="Heading4"/>
    <w:next w:val="Paragraph"/>
    <w:uiPriority w:val="6"/>
    <w:qFormat/>
    <w:rsid w:val="003B7CFF"/>
    <w:pPr>
      <w:numPr>
        <w:ilvl w:val="0"/>
        <w:numId w:val="0"/>
      </w:numPr>
      <w:outlineLvl w:val="9"/>
    </w:pPr>
    <w:rPr>
      <w:b w:val="0"/>
      <w:u w:val="single"/>
    </w:rPr>
  </w:style>
  <w:style w:type="paragraph" w:customStyle="1" w:styleId="Heading4Unnumbered">
    <w:name w:val="Heading 4 Unnumbered"/>
    <w:basedOn w:val="Heading4"/>
    <w:next w:val="Paragraph"/>
    <w:uiPriority w:val="5"/>
    <w:qFormat/>
    <w:rsid w:val="003B7CFF"/>
    <w:pPr>
      <w:numPr>
        <w:ilvl w:val="0"/>
        <w:numId w:val="0"/>
      </w:numPr>
      <w:tabs>
        <w:tab w:val="left" w:pos="1134"/>
      </w:tabs>
      <w:outlineLvl w:val="6"/>
    </w:pPr>
    <w:rPr>
      <w:i/>
    </w:rPr>
  </w:style>
  <w:style w:type="paragraph" w:styleId="Bibliography">
    <w:name w:val="Bibliography"/>
    <w:basedOn w:val="Normal"/>
    <w:next w:val="Normal"/>
    <w:uiPriority w:val="37"/>
    <w:semiHidden/>
    <w:unhideWhenUsed/>
    <w:rsid w:val="003B7CFF"/>
  </w:style>
  <w:style w:type="paragraph" w:styleId="BlockText">
    <w:name w:val="Block Text"/>
    <w:basedOn w:val="Normal"/>
    <w:uiPriority w:val="99"/>
    <w:semiHidden/>
    <w:unhideWhenUsed/>
    <w:rsid w:val="003B7CF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Caption">
    <w:name w:val="caption"/>
    <w:basedOn w:val="TableTitle"/>
    <w:next w:val="Normal"/>
    <w:unhideWhenUsed/>
    <w:qFormat/>
    <w:rsid w:val="003B7CFF"/>
    <w:pPr>
      <w:spacing w:after="0"/>
    </w:pPr>
    <w:rPr>
      <w:rFonts w:ascii="Times New Roman Bold" w:hAnsi="Times New Roman Bold"/>
      <w:iCs/>
      <w:color w:val="auto"/>
      <w:szCs w:val="18"/>
    </w:rPr>
  </w:style>
  <w:style w:type="character" w:styleId="HTMLAcronym">
    <w:name w:val="HTML Acronym"/>
    <w:basedOn w:val="DefaultParagraphFont"/>
    <w:uiPriority w:val="99"/>
    <w:semiHidden/>
    <w:rsid w:val="003B7CFF"/>
  </w:style>
  <w:style w:type="paragraph" w:styleId="HTMLAddress">
    <w:name w:val="HTML Address"/>
    <w:basedOn w:val="Normal"/>
    <w:link w:val="HTMLAddressChar"/>
    <w:uiPriority w:val="99"/>
    <w:semiHidden/>
    <w:rsid w:val="003B7CFF"/>
    <w:rPr>
      <w:i/>
      <w:iCs/>
    </w:rPr>
  </w:style>
  <w:style w:type="character" w:customStyle="1" w:styleId="HTMLAddressChar">
    <w:name w:val="HTML Address Char"/>
    <w:basedOn w:val="DefaultParagraphFont"/>
    <w:link w:val="HTMLAddress"/>
    <w:uiPriority w:val="99"/>
    <w:semiHidden/>
    <w:rsid w:val="003B7CFF"/>
    <w:rPr>
      <w:rFonts w:ascii="Times New Roman" w:eastAsia="Times New Roman" w:hAnsi="Times New Roman" w:cs="Times New Roman"/>
      <w:i/>
      <w:iCs/>
      <w:sz w:val="24"/>
      <w:szCs w:val="24"/>
      <w:lang w:val="en-GB"/>
    </w:rPr>
  </w:style>
  <w:style w:type="character" w:styleId="HTMLCite">
    <w:name w:val="HTML Cite"/>
    <w:uiPriority w:val="99"/>
    <w:semiHidden/>
    <w:rsid w:val="003B7CFF"/>
    <w:rPr>
      <w:i/>
      <w:iCs/>
    </w:rPr>
  </w:style>
  <w:style w:type="character" w:styleId="HTMLCode">
    <w:name w:val="HTML Code"/>
    <w:uiPriority w:val="99"/>
    <w:semiHidden/>
    <w:rsid w:val="003B7CFF"/>
    <w:rPr>
      <w:rFonts w:ascii="Courier New" w:hAnsi="Courier New" w:cs="Courier New"/>
      <w:sz w:val="20"/>
      <w:szCs w:val="20"/>
    </w:rPr>
  </w:style>
  <w:style w:type="character" w:styleId="HTMLDefinition">
    <w:name w:val="HTML Definition"/>
    <w:uiPriority w:val="99"/>
    <w:semiHidden/>
    <w:rsid w:val="003B7CFF"/>
    <w:rPr>
      <w:i/>
      <w:iCs/>
    </w:rPr>
  </w:style>
  <w:style w:type="character" w:styleId="HTMLKeyboard">
    <w:name w:val="HTML Keyboard"/>
    <w:uiPriority w:val="99"/>
    <w:semiHidden/>
    <w:rsid w:val="003B7CFF"/>
    <w:rPr>
      <w:rFonts w:ascii="Courier New" w:hAnsi="Courier New" w:cs="Courier New"/>
      <w:sz w:val="20"/>
      <w:szCs w:val="20"/>
    </w:rPr>
  </w:style>
  <w:style w:type="paragraph" w:styleId="HTMLPreformatted">
    <w:name w:val="HTML Preformatted"/>
    <w:basedOn w:val="Normal"/>
    <w:link w:val="HTMLPreformattedChar"/>
    <w:uiPriority w:val="99"/>
    <w:semiHidden/>
    <w:rsid w:val="003B7CFF"/>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B7CFF"/>
    <w:rPr>
      <w:rFonts w:ascii="Courier New" w:eastAsia="Times New Roman" w:hAnsi="Courier New" w:cs="Courier New"/>
      <w:sz w:val="20"/>
      <w:szCs w:val="20"/>
      <w:lang w:val="en-GB"/>
    </w:rPr>
  </w:style>
  <w:style w:type="character" w:styleId="HTMLSample">
    <w:name w:val="HTML Sample"/>
    <w:uiPriority w:val="99"/>
    <w:semiHidden/>
    <w:rsid w:val="003B7CFF"/>
    <w:rPr>
      <w:rFonts w:ascii="Courier New" w:hAnsi="Courier New" w:cs="Courier New"/>
    </w:rPr>
  </w:style>
  <w:style w:type="character" w:styleId="HTMLTypewriter">
    <w:name w:val="HTML Typewriter"/>
    <w:uiPriority w:val="99"/>
    <w:semiHidden/>
    <w:rsid w:val="003B7CFF"/>
    <w:rPr>
      <w:rFonts w:ascii="Courier New" w:hAnsi="Courier New" w:cs="Courier New"/>
      <w:sz w:val="20"/>
      <w:szCs w:val="20"/>
    </w:rPr>
  </w:style>
  <w:style w:type="character" w:styleId="HTMLVariable">
    <w:name w:val="HTML Variable"/>
    <w:uiPriority w:val="99"/>
    <w:semiHidden/>
    <w:rsid w:val="003B7CFF"/>
    <w:rPr>
      <w:i/>
      <w:iCs/>
    </w:rPr>
  </w:style>
  <w:style w:type="paragraph" w:styleId="Index1">
    <w:name w:val="index 1"/>
    <w:basedOn w:val="Normal"/>
    <w:next w:val="Normal"/>
    <w:uiPriority w:val="99"/>
    <w:semiHidden/>
    <w:rsid w:val="003B7CFF"/>
    <w:pPr>
      <w:ind w:left="240" w:hanging="240"/>
    </w:pPr>
  </w:style>
  <w:style w:type="paragraph" w:styleId="Index2">
    <w:name w:val="index 2"/>
    <w:basedOn w:val="Normal"/>
    <w:next w:val="Normal"/>
    <w:uiPriority w:val="99"/>
    <w:semiHidden/>
    <w:rsid w:val="003B7CFF"/>
    <w:pPr>
      <w:ind w:left="480" w:hanging="240"/>
    </w:pPr>
  </w:style>
  <w:style w:type="paragraph" w:styleId="Index3">
    <w:name w:val="index 3"/>
    <w:basedOn w:val="Normal"/>
    <w:next w:val="Normal"/>
    <w:uiPriority w:val="99"/>
    <w:semiHidden/>
    <w:rsid w:val="003B7CFF"/>
    <w:pPr>
      <w:ind w:left="720" w:hanging="240"/>
    </w:pPr>
  </w:style>
  <w:style w:type="paragraph" w:styleId="Index4">
    <w:name w:val="index 4"/>
    <w:basedOn w:val="Normal"/>
    <w:next w:val="Normal"/>
    <w:uiPriority w:val="99"/>
    <w:semiHidden/>
    <w:rsid w:val="003B7CFF"/>
    <w:pPr>
      <w:ind w:left="960" w:hanging="240"/>
    </w:pPr>
  </w:style>
  <w:style w:type="paragraph" w:styleId="Index5">
    <w:name w:val="index 5"/>
    <w:basedOn w:val="Normal"/>
    <w:next w:val="Normal"/>
    <w:uiPriority w:val="99"/>
    <w:semiHidden/>
    <w:rsid w:val="003B7CFF"/>
    <w:pPr>
      <w:ind w:left="1200" w:hanging="240"/>
    </w:pPr>
  </w:style>
  <w:style w:type="paragraph" w:styleId="Index6">
    <w:name w:val="index 6"/>
    <w:basedOn w:val="Normal"/>
    <w:next w:val="Normal"/>
    <w:uiPriority w:val="99"/>
    <w:semiHidden/>
    <w:rsid w:val="003B7CFF"/>
    <w:pPr>
      <w:ind w:left="1440" w:hanging="240"/>
    </w:pPr>
  </w:style>
  <w:style w:type="paragraph" w:styleId="Index7">
    <w:name w:val="index 7"/>
    <w:basedOn w:val="Normal"/>
    <w:next w:val="Normal"/>
    <w:uiPriority w:val="99"/>
    <w:semiHidden/>
    <w:rsid w:val="003B7CFF"/>
    <w:pPr>
      <w:ind w:left="1680" w:hanging="240"/>
    </w:pPr>
  </w:style>
  <w:style w:type="paragraph" w:styleId="Index8">
    <w:name w:val="index 8"/>
    <w:basedOn w:val="Normal"/>
    <w:next w:val="Normal"/>
    <w:uiPriority w:val="99"/>
    <w:semiHidden/>
    <w:rsid w:val="003B7CFF"/>
    <w:pPr>
      <w:ind w:left="1920" w:hanging="240"/>
    </w:pPr>
  </w:style>
  <w:style w:type="paragraph" w:styleId="Index9">
    <w:name w:val="index 9"/>
    <w:basedOn w:val="Normal"/>
    <w:next w:val="Normal"/>
    <w:uiPriority w:val="99"/>
    <w:semiHidden/>
    <w:rsid w:val="003B7CFF"/>
    <w:pPr>
      <w:ind w:left="2160" w:hanging="240"/>
    </w:pPr>
  </w:style>
  <w:style w:type="paragraph" w:styleId="IndexHeading">
    <w:name w:val="index heading"/>
    <w:basedOn w:val="Normal"/>
    <w:next w:val="Index1"/>
    <w:uiPriority w:val="99"/>
    <w:semiHidden/>
    <w:rsid w:val="003B7CFF"/>
    <w:rPr>
      <w:rFonts w:ascii="Arial" w:hAnsi="Arial" w:cs="Arial"/>
      <w:b/>
      <w:bCs/>
    </w:rPr>
  </w:style>
  <w:style w:type="character" w:customStyle="1" w:styleId="Instructions">
    <w:name w:val="Instructions"/>
    <w:uiPriority w:val="22"/>
    <w:qFormat/>
    <w:rsid w:val="003B7CFF"/>
    <w:rPr>
      <w:i/>
      <w:vanish/>
      <w:color w:val="008080"/>
    </w:rPr>
  </w:style>
  <w:style w:type="character" w:styleId="LineNumber">
    <w:name w:val="line number"/>
    <w:basedOn w:val="DefaultParagraphFont"/>
    <w:uiPriority w:val="99"/>
    <w:semiHidden/>
    <w:rsid w:val="003B7CFF"/>
  </w:style>
  <w:style w:type="paragraph" w:styleId="List">
    <w:name w:val="List"/>
    <w:basedOn w:val="Normal"/>
    <w:uiPriority w:val="99"/>
    <w:semiHidden/>
    <w:rsid w:val="003B7CFF"/>
    <w:pPr>
      <w:ind w:left="360" w:hanging="360"/>
    </w:pPr>
  </w:style>
  <w:style w:type="paragraph" w:styleId="List2">
    <w:name w:val="List 2"/>
    <w:basedOn w:val="Normal"/>
    <w:uiPriority w:val="99"/>
    <w:semiHidden/>
    <w:rsid w:val="003B7CFF"/>
    <w:pPr>
      <w:ind w:left="720" w:hanging="360"/>
    </w:pPr>
  </w:style>
  <w:style w:type="paragraph" w:styleId="List3">
    <w:name w:val="List 3"/>
    <w:basedOn w:val="Normal"/>
    <w:uiPriority w:val="99"/>
    <w:semiHidden/>
    <w:rsid w:val="003B7CFF"/>
    <w:pPr>
      <w:ind w:left="1080" w:hanging="360"/>
    </w:pPr>
  </w:style>
  <w:style w:type="paragraph" w:styleId="List4">
    <w:name w:val="List 4"/>
    <w:basedOn w:val="Normal"/>
    <w:uiPriority w:val="99"/>
    <w:semiHidden/>
    <w:rsid w:val="003B7CFF"/>
    <w:pPr>
      <w:ind w:left="1440" w:hanging="360"/>
    </w:pPr>
  </w:style>
  <w:style w:type="paragraph" w:styleId="List5">
    <w:name w:val="List 5"/>
    <w:basedOn w:val="Normal"/>
    <w:uiPriority w:val="99"/>
    <w:semiHidden/>
    <w:rsid w:val="003B7CFF"/>
    <w:pPr>
      <w:ind w:left="1800" w:hanging="360"/>
    </w:pPr>
  </w:style>
  <w:style w:type="paragraph" w:styleId="ListBullet2">
    <w:name w:val="List Bullet 2"/>
    <w:basedOn w:val="Normal"/>
    <w:uiPriority w:val="9"/>
    <w:qFormat/>
    <w:rsid w:val="003B7CFF"/>
    <w:pPr>
      <w:numPr>
        <w:ilvl w:val="1"/>
        <w:numId w:val="6"/>
      </w:numPr>
      <w:spacing w:before="60" w:after="60"/>
    </w:pPr>
  </w:style>
  <w:style w:type="paragraph" w:styleId="ListBullet3">
    <w:name w:val="List Bullet 3"/>
    <w:basedOn w:val="Normal"/>
    <w:uiPriority w:val="9"/>
    <w:qFormat/>
    <w:rsid w:val="003B7CFF"/>
    <w:pPr>
      <w:numPr>
        <w:ilvl w:val="2"/>
        <w:numId w:val="6"/>
      </w:numPr>
      <w:spacing w:before="60" w:after="60"/>
    </w:pPr>
  </w:style>
  <w:style w:type="paragraph" w:styleId="ListBullet4">
    <w:name w:val="List Bullet 4"/>
    <w:basedOn w:val="Normal"/>
    <w:uiPriority w:val="99"/>
    <w:semiHidden/>
    <w:rsid w:val="003B7CFF"/>
    <w:pPr>
      <w:numPr>
        <w:ilvl w:val="3"/>
        <w:numId w:val="6"/>
      </w:numPr>
      <w:spacing w:before="60" w:after="60"/>
    </w:pPr>
  </w:style>
  <w:style w:type="paragraph" w:styleId="ListBullet5">
    <w:name w:val="List Bullet 5"/>
    <w:basedOn w:val="Normal"/>
    <w:uiPriority w:val="99"/>
    <w:semiHidden/>
    <w:rsid w:val="003B7CFF"/>
    <w:pPr>
      <w:tabs>
        <w:tab w:val="num" w:pos="1800"/>
      </w:tabs>
      <w:spacing w:after="60"/>
      <w:ind w:left="1797" w:hanging="357"/>
    </w:pPr>
  </w:style>
  <w:style w:type="paragraph" w:customStyle="1" w:styleId="ListBulletSmall">
    <w:name w:val="List Bullet Small"/>
    <w:basedOn w:val="ListBullet"/>
    <w:uiPriority w:val="9"/>
    <w:qFormat/>
    <w:rsid w:val="003B7CFF"/>
    <w:pPr>
      <w:numPr>
        <w:numId w:val="7"/>
      </w:numPr>
      <w:spacing w:before="40" w:after="40"/>
    </w:pPr>
    <w:rPr>
      <w:sz w:val="20"/>
      <w:szCs w:val="48"/>
    </w:rPr>
  </w:style>
  <w:style w:type="paragraph" w:customStyle="1" w:styleId="ListBulletSmall2">
    <w:name w:val="List Bullet Small 2"/>
    <w:basedOn w:val="ListBullet2"/>
    <w:uiPriority w:val="9"/>
    <w:qFormat/>
    <w:rsid w:val="003B7CFF"/>
    <w:pPr>
      <w:numPr>
        <w:numId w:val="7"/>
      </w:numPr>
      <w:spacing w:before="40" w:after="40"/>
    </w:pPr>
    <w:rPr>
      <w:sz w:val="20"/>
      <w:szCs w:val="48"/>
    </w:rPr>
  </w:style>
  <w:style w:type="paragraph" w:styleId="ListContinue">
    <w:name w:val="List Continue"/>
    <w:basedOn w:val="Normal"/>
    <w:uiPriority w:val="99"/>
    <w:semiHidden/>
    <w:rsid w:val="003B7CFF"/>
    <w:pPr>
      <w:spacing w:after="120"/>
      <w:ind w:left="360"/>
    </w:pPr>
  </w:style>
  <w:style w:type="paragraph" w:styleId="ListContinue2">
    <w:name w:val="List Continue 2"/>
    <w:basedOn w:val="Normal"/>
    <w:uiPriority w:val="99"/>
    <w:semiHidden/>
    <w:rsid w:val="003B7CFF"/>
    <w:pPr>
      <w:spacing w:after="120"/>
      <w:ind w:left="720"/>
    </w:pPr>
  </w:style>
  <w:style w:type="paragraph" w:styleId="ListContinue3">
    <w:name w:val="List Continue 3"/>
    <w:basedOn w:val="Normal"/>
    <w:uiPriority w:val="99"/>
    <w:semiHidden/>
    <w:rsid w:val="003B7CFF"/>
    <w:pPr>
      <w:spacing w:after="120"/>
      <w:ind w:left="1080"/>
    </w:pPr>
  </w:style>
  <w:style w:type="paragraph" w:styleId="ListContinue4">
    <w:name w:val="List Continue 4"/>
    <w:basedOn w:val="Normal"/>
    <w:uiPriority w:val="99"/>
    <w:semiHidden/>
    <w:rsid w:val="003B7CFF"/>
    <w:pPr>
      <w:spacing w:after="120"/>
      <w:ind w:left="1440"/>
    </w:pPr>
  </w:style>
  <w:style w:type="paragraph" w:styleId="ListContinue5">
    <w:name w:val="List Continue 5"/>
    <w:basedOn w:val="Normal"/>
    <w:uiPriority w:val="99"/>
    <w:semiHidden/>
    <w:rsid w:val="003B7CFF"/>
    <w:pPr>
      <w:spacing w:after="120"/>
      <w:ind w:left="1800"/>
    </w:pPr>
  </w:style>
  <w:style w:type="paragraph" w:customStyle="1" w:styleId="ListEnd">
    <w:name w:val="List End"/>
    <w:next w:val="Paragraph"/>
    <w:uiPriority w:val="10"/>
    <w:qFormat/>
    <w:rsid w:val="003B7CFF"/>
    <w:pPr>
      <w:spacing w:after="0" w:line="240" w:lineRule="auto"/>
    </w:pPr>
    <w:rPr>
      <w:rFonts w:ascii="Times New Roman" w:eastAsia="Times New Roman" w:hAnsi="Times New Roman" w:cs="Times New Roman"/>
      <w:sz w:val="24"/>
      <w:szCs w:val="20"/>
      <w:lang w:val="en-GB"/>
    </w:rPr>
  </w:style>
  <w:style w:type="paragraph" w:customStyle="1" w:styleId="ListHyphen">
    <w:name w:val="List Hyphen"/>
    <w:uiPriority w:val="99"/>
    <w:semiHidden/>
    <w:rsid w:val="003B7CFF"/>
    <w:pPr>
      <w:numPr>
        <w:numId w:val="4"/>
      </w:numPr>
      <w:spacing w:after="0" w:line="240" w:lineRule="auto"/>
    </w:pPr>
    <w:rPr>
      <w:rFonts w:ascii="Times New Roman" w:eastAsia="Times New Roman" w:hAnsi="Times New Roman" w:cs="Times New Roman"/>
      <w:sz w:val="24"/>
      <w:szCs w:val="20"/>
      <w:lang w:val="en-US"/>
    </w:rPr>
  </w:style>
  <w:style w:type="paragraph" w:styleId="ListNumber">
    <w:name w:val="List Number"/>
    <w:basedOn w:val="Normal"/>
    <w:uiPriority w:val="9"/>
    <w:qFormat/>
    <w:rsid w:val="003B7CFF"/>
    <w:pPr>
      <w:numPr>
        <w:numId w:val="11"/>
      </w:numPr>
      <w:spacing w:before="60" w:after="60"/>
    </w:pPr>
  </w:style>
  <w:style w:type="paragraph" w:styleId="ListNumber2">
    <w:name w:val="List Number 2"/>
    <w:basedOn w:val="ListNumber"/>
    <w:uiPriority w:val="9"/>
    <w:qFormat/>
    <w:rsid w:val="003B7CFF"/>
    <w:pPr>
      <w:numPr>
        <w:ilvl w:val="1"/>
      </w:numPr>
    </w:pPr>
  </w:style>
  <w:style w:type="paragraph" w:styleId="ListNumber3">
    <w:name w:val="List Number 3"/>
    <w:basedOn w:val="ListNumber"/>
    <w:uiPriority w:val="9"/>
    <w:qFormat/>
    <w:rsid w:val="003B7CFF"/>
    <w:pPr>
      <w:numPr>
        <w:ilvl w:val="2"/>
      </w:numPr>
    </w:pPr>
  </w:style>
  <w:style w:type="paragraph" w:styleId="ListNumber4">
    <w:name w:val="List Number 4"/>
    <w:basedOn w:val="Normal"/>
    <w:uiPriority w:val="99"/>
    <w:semiHidden/>
    <w:rsid w:val="003B7CFF"/>
    <w:pPr>
      <w:tabs>
        <w:tab w:val="num" w:pos="1440"/>
      </w:tabs>
      <w:spacing w:after="60"/>
      <w:ind w:left="1434" w:hanging="357"/>
    </w:pPr>
  </w:style>
  <w:style w:type="paragraph" w:styleId="ListNumber5">
    <w:name w:val="List Number 5"/>
    <w:basedOn w:val="Normal"/>
    <w:uiPriority w:val="99"/>
    <w:semiHidden/>
    <w:rsid w:val="003B7CFF"/>
    <w:pPr>
      <w:tabs>
        <w:tab w:val="num" w:pos="1800"/>
      </w:tabs>
      <w:spacing w:after="60"/>
      <w:ind w:left="1797" w:hanging="357"/>
    </w:pPr>
  </w:style>
  <w:style w:type="paragraph" w:styleId="MacroText">
    <w:name w:val="macro"/>
    <w:link w:val="MacroTextChar"/>
    <w:uiPriority w:val="99"/>
    <w:semiHidden/>
    <w:rsid w:val="003B7CF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US"/>
    </w:rPr>
  </w:style>
  <w:style w:type="character" w:customStyle="1" w:styleId="MacroTextChar">
    <w:name w:val="Macro Text Char"/>
    <w:basedOn w:val="DefaultParagraphFont"/>
    <w:link w:val="MacroText"/>
    <w:uiPriority w:val="99"/>
    <w:semiHidden/>
    <w:rsid w:val="003B7CFF"/>
    <w:rPr>
      <w:rFonts w:ascii="Courier New" w:eastAsia="Times New Roman" w:hAnsi="Courier New" w:cs="Courier New"/>
      <w:sz w:val="20"/>
      <w:szCs w:val="20"/>
      <w:lang w:val="en-US"/>
    </w:rPr>
  </w:style>
  <w:style w:type="paragraph" w:styleId="MessageHeader">
    <w:name w:val="Message Header"/>
    <w:basedOn w:val="Normal"/>
    <w:link w:val="MessageHeaderChar"/>
    <w:uiPriority w:val="99"/>
    <w:semiHidden/>
    <w:rsid w:val="003B7CF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3B7CFF"/>
    <w:rPr>
      <w:rFonts w:ascii="Arial" w:eastAsia="Times New Roman" w:hAnsi="Arial" w:cs="Arial"/>
      <w:sz w:val="24"/>
      <w:szCs w:val="24"/>
      <w:shd w:val="pct20" w:color="auto" w:fill="auto"/>
      <w:lang w:val="en-GB"/>
    </w:rPr>
  </w:style>
  <w:style w:type="paragraph" w:styleId="NormalWeb">
    <w:name w:val="Normal (Web)"/>
    <w:basedOn w:val="Normal"/>
    <w:uiPriority w:val="99"/>
    <w:semiHidden/>
    <w:rsid w:val="003B7CFF"/>
  </w:style>
  <w:style w:type="paragraph" w:styleId="NormalIndent">
    <w:name w:val="Normal Indent"/>
    <w:basedOn w:val="Normal"/>
    <w:uiPriority w:val="99"/>
    <w:semiHidden/>
    <w:rsid w:val="003B7CFF"/>
    <w:pPr>
      <w:ind w:left="720"/>
    </w:pPr>
  </w:style>
  <w:style w:type="paragraph" w:styleId="NoteHeading">
    <w:name w:val="Note Heading"/>
    <w:basedOn w:val="Normal"/>
    <w:next w:val="Normal"/>
    <w:link w:val="NoteHeadingChar"/>
    <w:uiPriority w:val="99"/>
    <w:semiHidden/>
    <w:rsid w:val="003B7CFF"/>
  </w:style>
  <w:style w:type="character" w:customStyle="1" w:styleId="NoteHeadingChar">
    <w:name w:val="Note Heading Char"/>
    <w:basedOn w:val="DefaultParagraphFont"/>
    <w:link w:val="NoteHeading"/>
    <w:uiPriority w:val="99"/>
    <w:semiHidden/>
    <w:rsid w:val="003B7CFF"/>
    <w:rPr>
      <w:rFonts w:ascii="Times New Roman" w:eastAsia="Times New Roman" w:hAnsi="Times New Roman" w:cs="Times New Roman"/>
      <w:sz w:val="24"/>
      <w:szCs w:val="24"/>
      <w:lang w:val="en-GB"/>
    </w:rPr>
  </w:style>
  <w:style w:type="character" w:styleId="PageNumber">
    <w:name w:val="page number"/>
    <w:basedOn w:val="DefaultParagraphFont"/>
    <w:uiPriority w:val="99"/>
    <w:semiHidden/>
    <w:rsid w:val="003B7CFF"/>
  </w:style>
  <w:style w:type="character" w:styleId="PlaceholderText">
    <w:name w:val="Placeholder Text"/>
    <w:basedOn w:val="DefaultParagraphFont"/>
    <w:uiPriority w:val="99"/>
    <w:semiHidden/>
    <w:rsid w:val="003B7CFF"/>
    <w:rPr>
      <w:color w:val="808080"/>
    </w:rPr>
  </w:style>
  <w:style w:type="paragraph" w:styleId="PlainText">
    <w:name w:val="Plain Text"/>
    <w:basedOn w:val="Normal"/>
    <w:link w:val="PlainTextChar"/>
    <w:uiPriority w:val="49"/>
    <w:semiHidden/>
    <w:rsid w:val="003B7CFF"/>
    <w:rPr>
      <w:rFonts w:ascii="Courier New" w:hAnsi="Courier New" w:cs="Courier New"/>
      <w:sz w:val="20"/>
      <w:szCs w:val="20"/>
    </w:rPr>
  </w:style>
  <w:style w:type="character" w:customStyle="1" w:styleId="PlainTextChar">
    <w:name w:val="Plain Text Char"/>
    <w:basedOn w:val="DefaultParagraphFont"/>
    <w:link w:val="PlainText"/>
    <w:uiPriority w:val="49"/>
    <w:semiHidden/>
    <w:rsid w:val="003B7CFF"/>
    <w:rPr>
      <w:rFonts w:ascii="Courier New" w:eastAsia="Times New Roman" w:hAnsi="Courier New" w:cs="Courier New"/>
      <w:sz w:val="20"/>
      <w:szCs w:val="20"/>
      <w:lang w:val="en-GB"/>
    </w:rPr>
  </w:style>
  <w:style w:type="paragraph" w:customStyle="1" w:styleId="References">
    <w:name w:val="References"/>
    <w:uiPriority w:val="24"/>
    <w:rsid w:val="003B7CFF"/>
    <w:pPr>
      <w:numPr>
        <w:numId w:val="5"/>
      </w:numPr>
      <w:tabs>
        <w:tab w:val="clear" w:pos="360"/>
        <w:tab w:val="left" w:pos="425"/>
      </w:tabs>
      <w:spacing w:after="240" w:line="240" w:lineRule="auto"/>
      <w:ind w:left="425" w:hanging="425"/>
    </w:pPr>
    <w:rPr>
      <w:rFonts w:ascii="Times New Roman" w:eastAsia="Times New Roman" w:hAnsi="Times New Roman" w:cs="Arial"/>
      <w:bCs/>
      <w:kern w:val="32"/>
      <w:sz w:val="24"/>
      <w:szCs w:val="24"/>
      <w:lang w:val="en-GB"/>
    </w:rPr>
  </w:style>
  <w:style w:type="paragraph" w:styleId="Salutation">
    <w:name w:val="Salutation"/>
    <w:basedOn w:val="Normal"/>
    <w:next w:val="Normal"/>
    <w:link w:val="SalutationChar"/>
    <w:uiPriority w:val="49"/>
    <w:semiHidden/>
    <w:rsid w:val="003B7CFF"/>
  </w:style>
  <w:style w:type="character" w:customStyle="1" w:styleId="SalutationChar">
    <w:name w:val="Salutation Char"/>
    <w:basedOn w:val="DefaultParagraphFont"/>
    <w:link w:val="Salutation"/>
    <w:uiPriority w:val="49"/>
    <w:semiHidden/>
    <w:rsid w:val="003B7CFF"/>
    <w:rPr>
      <w:rFonts w:ascii="Times New Roman" w:eastAsia="Times New Roman" w:hAnsi="Times New Roman" w:cs="Times New Roman"/>
      <w:sz w:val="24"/>
      <w:szCs w:val="24"/>
      <w:lang w:val="en-GB"/>
    </w:rPr>
  </w:style>
  <w:style w:type="paragraph" w:customStyle="1" w:styleId="Sequence">
    <w:name w:val="Sequence"/>
    <w:basedOn w:val="Normal"/>
    <w:next w:val="Paragraph"/>
    <w:uiPriority w:val="24"/>
    <w:rsid w:val="003B7CFF"/>
    <w:pPr>
      <w:keepNext/>
      <w:spacing w:after="0" w:line="240" w:lineRule="auto"/>
    </w:pPr>
    <w:rPr>
      <w:rFonts w:ascii="Courier New" w:hAnsi="Courier New"/>
      <w:sz w:val="20"/>
    </w:rPr>
  </w:style>
  <w:style w:type="paragraph" w:styleId="Signature">
    <w:name w:val="Signature"/>
    <w:basedOn w:val="Normal"/>
    <w:link w:val="SignatureChar"/>
    <w:uiPriority w:val="49"/>
    <w:semiHidden/>
    <w:rsid w:val="003B7CFF"/>
    <w:pPr>
      <w:ind w:left="4320"/>
    </w:pPr>
  </w:style>
  <w:style w:type="character" w:customStyle="1" w:styleId="SignatureChar">
    <w:name w:val="Signature Char"/>
    <w:basedOn w:val="DefaultParagraphFont"/>
    <w:link w:val="Signature"/>
    <w:uiPriority w:val="49"/>
    <w:semiHidden/>
    <w:rsid w:val="003B7CFF"/>
    <w:rPr>
      <w:rFonts w:ascii="Times New Roman" w:eastAsia="Times New Roman" w:hAnsi="Times New Roman" w:cs="Times New Roman"/>
      <w:sz w:val="24"/>
      <w:szCs w:val="24"/>
      <w:lang w:val="en-GB"/>
    </w:rPr>
  </w:style>
  <w:style w:type="character" w:styleId="Strong">
    <w:name w:val="Strong"/>
    <w:uiPriority w:val="49"/>
    <w:qFormat/>
    <w:rsid w:val="003B7CFF"/>
    <w:rPr>
      <w:b/>
      <w:bCs/>
    </w:rPr>
  </w:style>
  <w:style w:type="paragraph" w:styleId="Subtitle">
    <w:name w:val="Subtitle"/>
    <w:basedOn w:val="Normal"/>
    <w:next w:val="Normal"/>
    <w:link w:val="SubtitleChar"/>
    <w:uiPriority w:val="99"/>
    <w:rsid w:val="003B7CF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B7CFF"/>
    <w:rPr>
      <w:rFonts w:eastAsiaTheme="minorEastAsia"/>
      <w:color w:val="5A5A5A" w:themeColor="text1" w:themeTint="A5"/>
      <w:spacing w:val="15"/>
      <w:lang w:val="en-GB"/>
    </w:rPr>
  </w:style>
  <w:style w:type="table" w:styleId="TableGridLight">
    <w:name w:val="Grid Table Light"/>
    <w:basedOn w:val="TableNormal"/>
    <w:uiPriority w:val="40"/>
    <w:rsid w:val="00EE3A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AHeading">
    <w:name w:val="toa heading"/>
    <w:basedOn w:val="Normal"/>
    <w:next w:val="Normal"/>
    <w:uiPriority w:val="99"/>
    <w:semiHidden/>
    <w:unhideWhenUsed/>
    <w:rsid w:val="00EE3AC8"/>
    <w:pPr>
      <w:spacing w:before="120"/>
    </w:pPr>
    <w:rPr>
      <w:rFonts w:asciiTheme="majorHAnsi" w:eastAsiaTheme="majorEastAsia" w:hAnsiTheme="majorHAnsi" w:cstheme="majorBidi"/>
      <w:b/>
      <w:bCs/>
    </w:rPr>
  </w:style>
  <w:style w:type="character" w:customStyle="1" w:styleId="UnresolvedMention">
    <w:name w:val="Unresolved Mention"/>
    <w:basedOn w:val="DefaultParagraphFont"/>
    <w:uiPriority w:val="99"/>
    <w:semiHidden/>
    <w:unhideWhenUsed/>
    <w:rsid w:val="00EE3AC8"/>
    <w:rPr>
      <w:color w:val="808080"/>
      <w:shd w:val="clear" w:color="auto" w:fill="E6E6E6"/>
    </w:rPr>
  </w:style>
  <w:style w:type="paragraph" w:customStyle="1" w:styleId="TableCenter">
    <w:name w:val="Table Center"/>
    <w:basedOn w:val="Normal"/>
    <w:uiPriority w:val="12"/>
    <w:qFormat/>
    <w:rsid w:val="00C85970"/>
    <w:pPr>
      <w:spacing w:before="40" w:after="40" w:line="240" w:lineRule="auto"/>
      <w:jc w:val="center"/>
    </w:pPr>
    <w:rPr>
      <w:sz w:val="20"/>
    </w:rPr>
  </w:style>
  <w:style w:type="paragraph" w:customStyle="1" w:styleId="TableEndofTextTitle">
    <w:name w:val="Table End of Text Title"/>
    <w:next w:val="Paragraph"/>
    <w:uiPriority w:val="11"/>
    <w:qFormat/>
    <w:rsid w:val="003B7CFF"/>
    <w:pPr>
      <w:spacing w:after="120" w:line="240" w:lineRule="auto"/>
    </w:pPr>
    <w:rPr>
      <w:rFonts w:ascii="Times New Roman" w:eastAsia="Times New Roman" w:hAnsi="Times New Roman" w:cs="Times New Roman"/>
      <w:b/>
      <w:sz w:val="24"/>
      <w:szCs w:val="24"/>
      <w:lang w:val="en-GB"/>
    </w:rPr>
  </w:style>
  <w:style w:type="paragraph" w:customStyle="1" w:styleId="TableFixedWidth">
    <w:name w:val="Table Fixed Width"/>
    <w:uiPriority w:val="15"/>
    <w:qFormat/>
    <w:rsid w:val="003B7CFF"/>
    <w:pPr>
      <w:spacing w:after="0" w:line="240" w:lineRule="auto"/>
    </w:pPr>
    <w:rPr>
      <w:rFonts w:ascii="Courier New" w:eastAsia="Times New Roman" w:hAnsi="Courier New" w:cs="Times New Roman"/>
      <w:sz w:val="20"/>
      <w:szCs w:val="20"/>
      <w:lang w:val="en-GB"/>
    </w:rPr>
  </w:style>
  <w:style w:type="paragraph" w:styleId="NoSpacing">
    <w:name w:val="No Spacing"/>
    <w:uiPriority w:val="1"/>
    <w:qFormat/>
    <w:rsid w:val="003B7CFF"/>
    <w:pPr>
      <w:spacing w:after="0" w:line="240" w:lineRule="auto"/>
    </w:pPr>
    <w:rPr>
      <w:rFonts w:ascii="Times New Roman" w:eastAsia="Times New Roman" w:hAnsi="Times New Roman" w:cs="Times New Roman"/>
      <w:sz w:val="24"/>
      <w:szCs w:val="24"/>
      <w:lang w:val="en-GB"/>
    </w:rPr>
  </w:style>
  <w:style w:type="paragraph" w:customStyle="1" w:styleId="TableFootnoteInfo">
    <w:name w:val="Table Footnote Info"/>
    <w:basedOn w:val="Normal"/>
    <w:uiPriority w:val="14"/>
    <w:qFormat/>
    <w:rsid w:val="00DF3302"/>
    <w:pPr>
      <w:keepLines/>
      <w:spacing w:before="40" w:after="40" w:line="240" w:lineRule="auto"/>
    </w:pPr>
    <w:rPr>
      <w:sz w:val="18"/>
      <w:szCs w:val="48"/>
    </w:rPr>
  </w:style>
  <w:style w:type="paragraph" w:customStyle="1" w:styleId="TableFootnoteLetter">
    <w:name w:val="Table Footnote Letter"/>
    <w:basedOn w:val="Normal"/>
    <w:uiPriority w:val="13"/>
    <w:rsid w:val="00DF3302"/>
    <w:pPr>
      <w:keepLines/>
      <w:numPr>
        <w:numId w:val="12"/>
      </w:numPr>
      <w:spacing w:before="40" w:after="40" w:line="240" w:lineRule="auto"/>
    </w:pPr>
    <w:rPr>
      <w:sz w:val="18"/>
      <w:szCs w:val="20"/>
    </w:rPr>
  </w:style>
  <w:style w:type="paragraph" w:styleId="IntenseQuote">
    <w:name w:val="Intense Quote"/>
    <w:basedOn w:val="Normal"/>
    <w:next w:val="Normal"/>
    <w:link w:val="IntenseQuoteChar"/>
    <w:uiPriority w:val="30"/>
    <w:qFormat/>
    <w:rsid w:val="003B7CF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B7CFF"/>
    <w:rPr>
      <w:rFonts w:ascii="Times New Roman" w:eastAsia="Times New Roman" w:hAnsi="Times New Roman" w:cs="Times New Roman"/>
      <w:i/>
      <w:iCs/>
      <w:color w:val="4F81BD" w:themeColor="accent1"/>
      <w:sz w:val="24"/>
      <w:szCs w:val="24"/>
      <w:lang w:val="en-GB"/>
    </w:rPr>
  </w:style>
  <w:style w:type="table" w:styleId="LightList">
    <w:name w:val="Light List"/>
    <w:basedOn w:val="TableNormal"/>
    <w:uiPriority w:val="61"/>
    <w:rsid w:val="003B7CFF"/>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Head">
    <w:name w:val="Table Head"/>
    <w:basedOn w:val="TableText"/>
    <w:uiPriority w:val="11"/>
    <w:qFormat/>
    <w:rsid w:val="003B7CFF"/>
    <w:rPr>
      <w:b/>
      <w:szCs w:val="48"/>
    </w:rPr>
  </w:style>
  <w:style w:type="paragraph" w:customStyle="1" w:styleId="TableLeft">
    <w:name w:val="Table Left"/>
    <w:uiPriority w:val="12"/>
    <w:qFormat/>
    <w:rsid w:val="00C85970"/>
    <w:pPr>
      <w:spacing w:before="40" w:after="40" w:line="240" w:lineRule="auto"/>
    </w:pPr>
    <w:rPr>
      <w:rFonts w:ascii="Times New Roman" w:eastAsia="Times New Roman" w:hAnsi="Times New Roman" w:cs="Arial"/>
      <w:bCs/>
      <w:kern w:val="32"/>
      <w:sz w:val="20"/>
      <w:szCs w:val="24"/>
      <w:lang w:val="en-GB"/>
    </w:rPr>
  </w:style>
  <w:style w:type="paragraph" w:styleId="TableofFigures">
    <w:name w:val="table of figures"/>
    <w:basedOn w:val="Normal"/>
    <w:next w:val="Paragraph"/>
    <w:uiPriority w:val="40"/>
    <w:rsid w:val="003B7CFF"/>
    <w:pPr>
      <w:tabs>
        <w:tab w:val="left" w:pos="1701"/>
        <w:tab w:val="right" w:leader="dot" w:pos="9000"/>
      </w:tabs>
      <w:spacing w:before="60" w:after="0"/>
      <w:ind w:left="1701" w:right="357" w:hanging="1701"/>
    </w:pPr>
  </w:style>
  <w:style w:type="table" w:styleId="TableGrid">
    <w:name w:val="Table Grid"/>
    <w:basedOn w:val="TableNormal"/>
    <w:uiPriority w:val="59"/>
    <w:rsid w:val="003B7CFF"/>
    <w:pPr>
      <w:spacing w:after="0" w:line="240" w:lineRule="auto"/>
    </w:pPr>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Continued">
    <w:name w:val="Table Title Continued"/>
    <w:basedOn w:val="Normal"/>
    <w:uiPriority w:val="10"/>
    <w:qFormat/>
    <w:rsid w:val="003B7CFF"/>
    <w:pPr>
      <w:spacing w:after="120"/>
    </w:pPr>
    <w:rPr>
      <w:b/>
    </w:rPr>
  </w:style>
  <w:style w:type="paragraph" w:styleId="Title">
    <w:name w:val="Title"/>
    <w:link w:val="TitleChar"/>
    <w:uiPriority w:val="25"/>
    <w:rsid w:val="003B7CFF"/>
    <w:pPr>
      <w:spacing w:before="240" w:after="240" w:line="240" w:lineRule="auto"/>
      <w:jc w:val="center"/>
    </w:pPr>
    <w:rPr>
      <w:rFonts w:ascii="Times New Roman" w:eastAsia="Times New Roman" w:hAnsi="Times New Roman" w:cs="Arial"/>
      <w:b/>
      <w:bCs/>
      <w:kern w:val="28"/>
      <w:sz w:val="32"/>
      <w:szCs w:val="32"/>
      <w:lang w:val="en-GB"/>
    </w:rPr>
  </w:style>
  <w:style w:type="character" w:customStyle="1" w:styleId="TitleChar">
    <w:name w:val="Title Char"/>
    <w:basedOn w:val="DefaultParagraphFont"/>
    <w:link w:val="Title"/>
    <w:uiPriority w:val="25"/>
    <w:rsid w:val="003B7CFF"/>
    <w:rPr>
      <w:rFonts w:ascii="Times New Roman" w:eastAsia="Times New Roman" w:hAnsi="Times New Roman" w:cs="Arial"/>
      <w:b/>
      <w:bCs/>
      <w:kern w:val="28"/>
      <w:sz w:val="32"/>
      <w:szCs w:val="32"/>
      <w:lang w:val="en-GB"/>
    </w:rPr>
  </w:style>
  <w:style w:type="paragraph" w:styleId="TOC1">
    <w:name w:val="toc 1"/>
    <w:next w:val="Paragraph"/>
    <w:uiPriority w:val="39"/>
    <w:rsid w:val="003B7CFF"/>
    <w:pPr>
      <w:tabs>
        <w:tab w:val="left" w:pos="1134"/>
        <w:tab w:val="right" w:leader="dot" w:pos="9000"/>
      </w:tabs>
      <w:spacing w:before="120" w:after="0" w:line="240" w:lineRule="auto"/>
      <w:ind w:left="1134" w:right="357" w:hanging="1134"/>
    </w:pPr>
    <w:rPr>
      <w:rFonts w:ascii="Times New Roman" w:eastAsia="Times New Roman" w:hAnsi="Times New Roman" w:cs="Times New Roman"/>
      <w:caps/>
      <w:sz w:val="24"/>
      <w:szCs w:val="20"/>
      <w:lang w:val="en-GB"/>
    </w:rPr>
  </w:style>
  <w:style w:type="paragraph" w:styleId="TOC2">
    <w:name w:val="toc 2"/>
    <w:basedOn w:val="TOC1"/>
    <w:next w:val="Paragraph"/>
    <w:uiPriority w:val="39"/>
    <w:rsid w:val="003B7CFF"/>
    <w:pPr>
      <w:spacing w:before="60"/>
    </w:pPr>
    <w:rPr>
      <w:caps w:val="0"/>
      <w:szCs w:val="24"/>
    </w:rPr>
  </w:style>
  <w:style w:type="paragraph" w:styleId="TOC3">
    <w:name w:val="toc 3"/>
    <w:basedOn w:val="TOC1"/>
    <w:next w:val="Paragraph"/>
    <w:uiPriority w:val="39"/>
    <w:rsid w:val="003B7CFF"/>
    <w:pPr>
      <w:spacing w:before="0"/>
    </w:pPr>
    <w:rPr>
      <w:caps w:val="0"/>
      <w:szCs w:val="24"/>
    </w:rPr>
  </w:style>
  <w:style w:type="paragraph" w:styleId="TOC4">
    <w:name w:val="toc 4"/>
    <w:basedOn w:val="Normal"/>
    <w:next w:val="Paragraph"/>
    <w:uiPriority w:val="39"/>
    <w:rsid w:val="003B7CFF"/>
    <w:pPr>
      <w:tabs>
        <w:tab w:val="left" w:pos="1134"/>
        <w:tab w:val="right" w:leader="dot" w:pos="9000"/>
      </w:tabs>
      <w:spacing w:after="0" w:line="240" w:lineRule="auto"/>
      <w:ind w:left="1134" w:right="357" w:hanging="1134"/>
    </w:pPr>
  </w:style>
  <w:style w:type="paragraph" w:styleId="TOC5">
    <w:name w:val="toc 5"/>
    <w:basedOn w:val="TOC1"/>
    <w:next w:val="Normal"/>
    <w:uiPriority w:val="39"/>
    <w:rsid w:val="003B7CFF"/>
    <w:pPr>
      <w:tabs>
        <w:tab w:val="clear" w:pos="1134"/>
      </w:tabs>
      <w:ind w:left="0" w:firstLine="0"/>
    </w:pPr>
    <w:rPr>
      <w:noProof/>
    </w:rPr>
  </w:style>
  <w:style w:type="paragraph" w:styleId="TOC6">
    <w:name w:val="toc 6"/>
    <w:basedOn w:val="TOC2"/>
    <w:next w:val="Normal"/>
    <w:uiPriority w:val="39"/>
    <w:rsid w:val="003B7CFF"/>
    <w:pPr>
      <w:tabs>
        <w:tab w:val="clear" w:pos="1134"/>
      </w:tabs>
      <w:ind w:left="0" w:firstLine="0"/>
    </w:pPr>
    <w:rPr>
      <w:noProof/>
    </w:rPr>
  </w:style>
  <w:style w:type="paragraph" w:styleId="TOC7">
    <w:name w:val="toc 7"/>
    <w:basedOn w:val="Normal"/>
    <w:next w:val="Normal"/>
    <w:uiPriority w:val="39"/>
    <w:rsid w:val="003B7CFF"/>
    <w:pPr>
      <w:tabs>
        <w:tab w:val="right" w:leader="dot" w:pos="9000"/>
      </w:tabs>
      <w:spacing w:after="0" w:line="240" w:lineRule="auto"/>
      <w:ind w:right="357"/>
    </w:pPr>
    <w:rPr>
      <w:noProof/>
    </w:rPr>
  </w:style>
  <w:style w:type="paragraph" w:styleId="TOC8">
    <w:name w:val="toc 8"/>
    <w:basedOn w:val="TOC7"/>
    <w:next w:val="Normal"/>
    <w:uiPriority w:val="39"/>
    <w:rsid w:val="003B7CFF"/>
    <w:rPr>
      <w:i/>
    </w:rPr>
  </w:style>
  <w:style w:type="paragraph" w:styleId="TOC9">
    <w:name w:val="toc 9"/>
    <w:basedOn w:val="Normal"/>
    <w:next w:val="Normal"/>
    <w:uiPriority w:val="39"/>
    <w:rsid w:val="003B7CFF"/>
    <w:pPr>
      <w:tabs>
        <w:tab w:val="left" w:pos="1134"/>
        <w:tab w:val="right" w:leader="dot" w:pos="9000"/>
      </w:tabs>
      <w:ind w:left="1134" w:right="360" w:hanging="1134"/>
    </w:pPr>
  </w:style>
  <w:style w:type="paragraph" w:styleId="TOCHeading">
    <w:name w:val="TOC Heading"/>
    <w:basedOn w:val="TOCTitle"/>
    <w:next w:val="Normal"/>
    <w:uiPriority w:val="39"/>
    <w:rsid w:val="003B7CFF"/>
    <w:pPr>
      <w:spacing w:after="0"/>
    </w:pPr>
    <w:rPr>
      <w:rFonts w:asciiTheme="majorHAnsi" w:eastAsiaTheme="majorEastAsia" w:hAnsiTheme="majorHAnsi" w:cstheme="majorBidi"/>
      <w:bCs w:val="0"/>
      <w:caps w:val="0"/>
      <w:kern w:val="0"/>
      <w:szCs w:val="32"/>
    </w:rPr>
  </w:style>
  <w:style w:type="paragraph" w:customStyle="1" w:styleId="TOCSection">
    <w:name w:val="TOC Section"/>
    <w:basedOn w:val="Heading1"/>
    <w:uiPriority w:val="25"/>
    <w:rsid w:val="003B7CFF"/>
    <w:pPr>
      <w:numPr>
        <w:numId w:val="0"/>
      </w:numPr>
      <w:tabs>
        <w:tab w:val="left" w:pos="0"/>
        <w:tab w:val="left" w:pos="480"/>
      </w:tabs>
      <w:spacing w:after="120"/>
      <w:outlineLvl w:val="9"/>
    </w:pPr>
  </w:style>
  <w:style w:type="paragraph" w:customStyle="1" w:styleId="TOCTitle">
    <w:name w:val="TOC Title"/>
    <w:basedOn w:val="Title"/>
    <w:next w:val="TOC1"/>
    <w:uiPriority w:val="25"/>
    <w:rsid w:val="003B7CFF"/>
    <w:pPr>
      <w:pageBreakBefore/>
      <w:jc w:val="left"/>
    </w:pPr>
    <w:rPr>
      <w:caps/>
      <w:sz w:val="28"/>
      <w:szCs w:val="28"/>
    </w:rPr>
  </w:style>
  <w:style w:type="character" w:customStyle="1" w:styleId="UserTips">
    <w:name w:val="User Tips"/>
    <w:uiPriority w:val="22"/>
    <w:rsid w:val="003B7CFF"/>
    <w:rPr>
      <w:i/>
      <w:vanish/>
      <w:color w:val="FF0000"/>
    </w:rPr>
  </w:style>
  <w:style w:type="paragraph" w:customStyle="1" w:styleId="AppendixAlphaSub1">
    <w:name w:val="Appendix Alpha Sub 1"/>
    <w:basedOn w:val="AppendixAlpha"/>
    <w:next w:val="Paragraph"/>
    <w:uiPriority w:val="21"/>
    <w:qFormat/>
    <w:rsid w:val="003B7CFF"/>
    <w:pPr>
      <w:pageBreakBefore w:val="0"/>
      <w:numPr>
        <w:ilvl w:val="1"/>
      </w:numPr>
      <w:spacing w:before="120"/>
    </w:pPr>
  </w:style>
  <w:style w:type="paragraph" w:styleId="Quote">
    <w:name w:val="Quote"/>
    <w:basedOn w:val="Normal"/>
    <w:next w:val="Normal"/>
    <w:link w:val="QuoteChar"/>
    <w:uiPriority w:val="29"/>
    <w:qFormat/>
    <w:rsid w:val="003B7CF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B7CFF"/>
    <w:rPr>
      <w:rFonts w:ascii="Times New Roman" w:eastAsia="Times New Roman" w:hAnsi="Times New Roman" w:cs="Times New Roman"/>
      <w:i/>
      <w:iCs/>
      <w:color w:val="404040" w:themeColor="text1" w:themeTint="BF"/>
      <w:sz w:val="24"/>
      <w:szCs w:val="24"/>
      <w:lang w:val="en-GB"/>
    </w:rPr>
  </w:style>
  <w:style w:type="paragraph" w:customStyle="1" w:styleId="AppendixAlphaSub2">
    <w:name w:val="Appendix Alpha Sub 2"/>
    <w:basedOn w:val="AppendixAlphaSub1"/>
    <w:next w:val="Paragraph"/>
    <w:uiPriority w:val="21"/>
    <w:unhideWhenUsed/>
    <w:qFormat/>
    <w:rsid w:val="003B7CFF"/>
    <w:pPr>
      <w:numPr>
        <w:ilvl w:val="2"/>
      </w:numPr>
    </w:pPr>
    <w:rPr>
      <w:sz w:val="26"/>
    </w:rPr>
  </w:style>
  <w:style w:type="paragraph" w:customStyle="1" w:styleId="AppendixAlphaSub3">
    <w:name w:val="Appendix Alpha Sub 3"/>
    <w:basedOn w:val="AppendixAlphaSub1"/>
    <w:next w:val="Paragraph"/>
    <w:uiPriority w:val="21"/>
    <w:unhideWhenUsed/>
    <w:qFormat/>
    <w:rsid w:val="003B7CFF"/>
    <w:pPr>
      <w:numPr>
        <w:ilvl w:val="3"/>
      </w:numPr>
    </w:pPr>
    <w:rPr>
      <w:sz w:val="24"/>
    </w:rPr>
  </w:style>
  <w:style w:type="paragraph" w:customStyle="1" w:styleId="AppendixAlphaSub4">
    <w:name w:val="Appendix Alpha Sub 4"/>
    <w:basedOn w:val="AppendixAlphaSub1"/>
    <w:next w:val="Paragraph"/>
    <w:uiPriority w:val="21"/>
    <w:unhideWhenUsed/>
    <w:qFormat/>
    <w:rsid w:val="003B7CFF"/>
    <w:pPr>
      <w:numPr>
        <w:ilvl w:val="4"/>
      </w:numPr>
      <w:spacing w:after="60"/>
    </w:pPr>
    <w:rPr>
      <w:i/>
      <w:sz w:val="24"/>
    </w:rPr>
  </w:style>
  <w:style w:type="paragraph" w:customStyle="1" w:styleId="ListNumberSmall">
    <w:name w:val="List Number Small"/>
    <w:basedOn w:val="ListBulletSmall"/>
    <w:uiPriority w:val="9"/>
    <w:qFormat/>
    <w:rsid w:val="003B7CFF"/>
    <w:pPr>
      <w:numPr>
        <w:numId w:val="13"/>
      </w:numPr>
      <w:tabs>
        <w:tab w:val="left" w:pos="425"/>
      </w:tabs>
    </w:pPr>
  </w:style>
  <w:style w:type="paragraph" w:customStyle="1" w:styleId="TableHidden">
    <w:name w:val="Table Hidden"/>
    <w:basedOn w:val="Paragraph"/>
    <w:uiPriority w:val="23"/>
    <w:qFormat/>
    <w:rsid w:val="003B7CFF"/>
    <w:rPr>
      <w:vanish/>
    </w:rPr>
  </w:style>
  <w:style w:type="paragraph" w:customStyle="1" w:styleId="FigureTitleContinued">
    <w:name w:val="Figure Title Continued"/>
    <w:basedOn w:val="FigureTitle"/>
    <w:uiPriority w:val="17"/>
    <w:qFormat/>
    <w:rsid w:val="003B7CFF"/>
    <w:rPr>
      <w:lang w:val="sv-SE"/>
    </w:rPr>
  </w:style>
  <w:style w:type="paragraph" w:customStyle="1" w:styleId="Z-LineL1">
    <w:name w:val="Z-Line L 1"/>
    <w:basedOn w:val="Normal"/>
    <w:uiPriority w:val="42"/>
    <w:rsid w:val="003B7CFF"/>
    <w:pPr>
      <w:spacing w:before="60" w:after="0" w:line="240" w:lineRule="auto"/>
    </w:pPr>
    <w:rPr>
      <w:sz w:val="20"/>
      <w:szCs w:val="20"/>
    </w:rPr>
  </w:style>
  <w:style w:type="paragraph" w:customStyle="1" w:styleId="Z-LineL2">
    <w:name w:val="Z-Line L 2"/>
    <w:basedOn w:val="Normal"/>
    <w:uiPriority w:val="42"/>
    <w:rsid w:val="003B7CFF"/>
    <w:pPr>
      <w:spacing w:before="60" w:after="0" w:line="240" w:lineRule="auto"/>
    </w:pPr>
    <w:rPr>
      <w:sz w:val="20"/>
      <w:szCs w:val="20"/>
    </w:rPr>
  </w:style>
  <w:style w:type="paragraph" w:customStyle="1" w:styleId="Z-LineL3">
    <w:name w:val="Z-Line L 3"/>
    <w:basedOn w:val="Normal"/>
    <w:uiPriority w:val="42"/>
    <w:rsid w:val="003B7CFF"/>
    <w:pPr>
      <w:spacing w:before="60" w:after="0" w:line="240" w:lineRule="auto"/>
    </w:pPr>
    <w:rPr>
      <w:sz w:val="20"/>
      <w:szCs w:val="20"/>
    </w:rPr>
  </w:style>
  <w:style w:type="paragraph" w:customStyle="1" w:styleId="Z-LineL4">
    <w:name w:val="Z-Line L 4"/>
    <w:basedOn w:val="Normal"/>
    <w:uiPriority w:val="42"/>
    <w:rsid w:val="003B7CFF"/>
    <w:pPr>
      <w:spacing w:before="60" w:after="0" w:line="240" w:lineRule="auto"/>
    </w:pPr>
    <w:rPr>
      <w:sz w:val="20"/>
      <w:szCs w:val="20"/>
    </w:rPr>
  </w:style>
  <w:style w:type="paragraph" w:customStyle="1" w:styleId="Z-LineR1">
    <w:name w:val="Z-Line R 1"/>
    <w:basedOn w:val="Normal"/>
    <w:uiPriority w:val="42"/>
    <w:rsid w:val="003B7CFF"/>
    <w:pPr>
      <w:spacing w:before="60" w:after="0" w:line="240" w:lineRule="auto"/>
    </w:pPr>
    <w:rPr>
      <w:sz w:val="20"/>
      <w:szCs w:val="20"/>
    </w:rPr>
  </w:style>
  <w:style w:type="paragraph" w:customStyle="1" w:styleId="Z-LineR2">
    <w:name w:val="Z-Line R 2"/>
    <w:basedOn w:val="Normal"/>
    <w:uiPriority w:val="42"/>
    <w:rsid w:val="003B7CFF"/>
    <w:pPr>
      <w:spacing w:before="60" w:after="0" w:line="240" w:lineRule="auto"/>
    </w:pPr>
    <w:rPr>
      <w:sz w:val="20"/>
      <w:szCs w:val="20"/>
    </w:rPr>
  </w:style>
  <w:style w:type="paragraph" w:customStyle="1" w:styleId="Z-LineR3">
    <w:name w:val="Z-Line R 3"/>
    <w:basedOn w:val="Normal"/>
    <w:uiPriority w:val="42"/>
    <w:rsid w:val="003B7CFF"/>
    <w:pPr>
      <w:spacing w:before="60" w:after="0" w:line="240" w:lineRule="auto"/>
    </w:pPr>
    <w:rPr>
      <w:sz w:val="20"/>
      <w:szCs w:val="20"/>
    </w:rPr>
  </w:style>
  <w:style w:type="paragraph" w:customStyle="1" w:styleId="Z-LineR4">
    <w:name w:val="Z-Line R 4"/>
    <w:basedOn w:val="Normal"/>
    <w:uiPriority w:val="42"/>
    <w:rsid w:val="003B7CFF"/>
    <w:pPr>
      <w:spacing w:after="60" w:line="240" w:lineRule="auto"/>
    </w:pPr>
    <w:rPr>
      <w:sz w:val="20"/>
      <w:szCs w:val="20"/>
    </w:rPr>
  </w:style>
  <w:style w:type="paragraph" w:customStyle="1" w:styleId="Z-DocumentName">
    <w:name w:val="Z-Document Name"/>
    <w:basedOn w:val="Z-LineL1"/>
    <w:uiPriority w:val="42"/>
    <w:qFormat/>
    <w:rsid w:val="003B7CFF"/>
    <w:rPr>
      <w:b/>
    </w:rPr>
  </w:style>
  <w:style w:type="character" w:styleId="BookTitle">
    <w:name w:val="Book Title"/>
    <w:basedOn w:val="DefaultParagraphFont"/>
    <w:uiPriority w:val="33"/>
    <w:qFormat/>
    <w:rsid w:val="00EE3AC8"/>
    <w:rPr>
      <w:b/>
      <w:bCs/>
      <w:i/>
      <w:iCs/>
      <w:spacing w:val="5"/>
    </w:rPr>
  </w:style>
  <w:style w:type="table" w:styleId="ColorfulGrid">
    <w:name w:val="Colorful Grid"/>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E3A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E3AC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E3AC8"/>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E3AC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E3AC8"/>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E3AC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E3AC8"/>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E3A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E3AC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E3AC8"/>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E3AC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E3AC8"/>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E3AC8"/>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E3AC8"/>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E3A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E3A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E3AC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E3AC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E3AC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E3A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E3A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E3A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E3A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E3AC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E3AC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E3AC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E3A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E3A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E3A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E3AC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E3AC8"/>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E3AC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E3AC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E3AC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E3AC8"/>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E3A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E3AC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E3AC8"/>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E3AC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E3AC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E3AC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E3AC8"/>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EE3AC8"/>
    <w:rPr>
      <w:color w:val="2B579A"/>
      <w:shd w:val="clear" w:color="auto" w:fill="E6E6E6"/>
    </w:rPr>
  </w:style>
  <w:style w:type="character" w:styleId="IntenseEmphasis">
    <w:name w:val="Intense Emphasis"/>
    <w:basedOn w:val="DefaultParagraphFont"/>
    <w:uiPriority w:val="21"/>
    <w:qFormat/>
    <w:rsid w:val="00EE3AC8"/>
    <w:rPr>
      <w:i/>
      <w:iCs/>
      <w:color w:val="4F81BD" w:themeColor="accent1"/>
    </w:rPr>
  </w:style>
  <w:style w:type="character" w:styleId="IntenseReference">
    <w:name w:val="Intense Reference"/>
    <w:basedOn w:val="DefaultParagraphFont"/>
    <w:uiPriority w:val="32"/>
    <w:qFormat/>
    <w:rsid w:val="00EE3AC8"/>
    <w:rPr>
      <w:b/>
      <w:bCs/>
      <w:smallCaps/>
      <w:color w:val="4F81BD" w:themeColor="accent1"/>
      <w:spacing w:val="5"/>
    </w:rPr>
  </w:style>
  <w:style w:type="table" w:styleId="LightGrid-Accent1">
    <w:name w:val="Light Grid Accent 1"/>
    <w:basedOn w:val="TableNormal"/>
    <w:uiPriority w:val="62"/>
    <w:semiHidden/>
    <w:unhideWhenUsed/>
    <w:rsid w:val="00EE3A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E3AC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E3AC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E3AC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E3AC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E3AC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1">
    <w:name w:val="Light List Accent 1"/>
    <w:basedOn w:val="TableNormal"/>
    <w:uiPriority w:val="61"/>
    <w:semiHidden/>
    <w:unhideWhenUsed/>
    <w:rsid w:val="00EE3A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E3AC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E3AC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E3AC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E3AC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E3AC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E3A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E3AC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E3AC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E3AC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E3AC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E3AC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E3AC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E3A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E3AC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E3AC8"/>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E3AC8"/>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E3AC8"/>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E3AC8"/>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E3AC8"/>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E3A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E3AC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E3AC8"/>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E3AC8"/>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E3AC8"/>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E3AC8"/>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E3AC8"/>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E3A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E3A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E3AC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E3AC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E3AC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E3A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E3A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E3A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E3AC8"/>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E3AC8"/>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E3AC8"/>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E3AC8"/>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E3AC8"/>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E3AC8"/>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E3A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E3AC8"/>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E3AC8"/>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E3AC8"/>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E3AC8"/>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E3AC8"/>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E3AC8"/>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E3A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E3AC8"/>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E3AC8"/>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E3AC8"/>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E3AC8"/>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E3AC8"/>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E3AC8"/>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E3A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E3A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E3AC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E3AC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E3AC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E3A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E3AC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E3A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E3A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E3AC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E3AC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E3AC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E3A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E3AC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EE3AC8"/>
    <w:rPr>
      <w:color w:val="2B579A"/>
      <w:shd w:val="clear" w:color="auto" w:fill="E6E6E6"/>
    </w:rPr>
  </w:style>
  <w:style w:type="table" w:styleId="PlainTable3">
    <w:name w:val="Plain Table 3"/>
    <w:basedOn w:val="TableNormal"/>
    <w:uiPriority w:val="43"/>
    <w:rsid w:val="00EE3A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E3A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E3A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EE3AC8"/>
    <w:rPr>
      <w:u w:val="dotted"/>
    </w:rPr>
  </w:style>
  <w:style w:type="character" w:styleId="SubtleEmphasis">
    <w:name w:val="Subtle Emphasis"/>
    <w:basedOn w:val="DefaultParagraphFont"/>
    <w:uiPriority w:val="19"/>
    <w:qFormat/>
    <w:rsid w:val="00EE3AC8"/>
    <w:rPr>
      <w:i/>
      <w:iCs/>
      <w:color w:val="404040" w:themeColor="text1" w:themeTint="BF"/>
    </w:rPr>
  </w:style>
  <w:style w:type="character" w:styleId="SubtleReference">
    <w:name w:val="Subtle Reference"/>
    <w:basedOn w:val="DefaultParagraphFont"/>
    <w:uiPriority w:val="31"/>
    <w:qFormat/>
    <w:rsid w:val="00EE3AC8"/>
    <w:rPr>
      <w:smallCaps/>
      <w:color w:val="5A5A5A" w:themeColor="text1" w:themeTint="A5"/>
    </w:rPr>
  </w:style>
  <w:style w:type="paragraph" w:customStyle="1" w:styleId="Paragraph">
    <w:name w:val="Paragraph"/>
    <w:link w:val="ParagraphChar"/>
    <w:qFormat/>
    <w:rsid w:val="00F913F9"/>
    <w:pPr>
      <w:spacing w:after="240" w:line="240" w:lineRule="auto"/>
    </w:pPr>
    <w:rPr>
      <w:rFonts w:ascii="Times New Roman" w:eastAsia="Times New Roman" w:hAnsi="Times New Roman" w:cs="Times New Roman"/>
      <w:sz w:val="24"/>
      <w:szCs w:val="24"/>
      <w:lang w:val="en-GB"/>
    </w:rPr>
  </w:style>
  <w:style w:type="character" w:customStyle="1" w:styleId="ParagraphChar">
    <w:name w:val="Paragraph Char"/>
    <w:basedOn w:val="DefaultParagraphFont"/>
    <w:link w:val="Paragraph"/>
    <w:rsid w:val="00F913F9"/>
    <w:rPr>
      <w:rFonts w:ascii="Times New Roman" w:eastAsia="Times New Roman" w:hAnsi="Times New Roman" w:cs="Times New Roman"/>
      <w:sz w:val="24"/>
      <w:szCs w:val="24"/>
      <w:lang w:val="en-GB"/>
    </w:rPr>
  </w:style>
  <w:style w:type="table" w:styleId="Table3Deffects1">
    <w:name w:val="Table 3D effects 1"/>
    <w:basedOn w:val="TableNormal"/>
    <w:semiHidden/>
    <w:rsid w:val="003B7CFF"/>
    <w:pPr>
      <w:spacing w:after="0" w:line="240" w:lineRule="auto"/>
    </w:pPr>
    <w:rPr>
      <w:rFonts w:ascii="Times New Roman" w:eastAsia="Times New Roma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7CFF"/>
    <w:pPr>
      <w:spacing w:after="0" w:line="240" w:lineRule="auto"/>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7CFF"/>
    <w:pPr>
      <w:spacing w:after="0" w:line="240" w:lineRule="auto"/>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Text">
    <w:name w:val="Table Text"/>
    <w:semiHidden/>
    <w:rsid w:val="003B7CFF"/>
    <w:pPr>
      <w:spacing w:before="40" w:after="40" w:line="240" w:lineRule="auto"/>
      <w:jc w:val="center"/>
    </w:pPr>
    <w:rPr>
      <w:rFonts w:ascii="Times New Roman" w:eastAsia="Times New Roman" w:hAnsi="Times New Roman" w:cs="Times New Roman"/>
      <w:sz w:val="20"/>
      <w:szCs w:val="20"/>
      <w:lang w:val="en-GB"/>
    </w:rPr>
  </w:style>
  <w:style w:type="table" w:styleId="TableGrid1">
    <w:name w:val="Table Grid 1"/>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B7CFF"/>
    <w:pPr>
      <w:ind w:left="240" w:hanging="240"/>
    </w:pPr>
  </w:style>
  <w:style w:type="table" w:styleId="TableProfessional">
    <w:name w:val="Table Professional"/>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
    <w:name w:val="Table Row Head"/>
    <w:basedOn w:val="TableText"/>
    <w:semiHidden/>
    <w:rsid w:val="003B7CFF"/>
    <w:pPr>
      <w:tabs>
        <w:tab w:val="left" w:pos="360"/>
      </w:tabs>
      <w:jc w:val="left"/>
    </w:pPr>
  </w:style>
  <w:style w:type="table" w:styleId="TableSimple1">
    <w:name w:val="Table Simple 1"/>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SummaryHead">
    <w:name w:val="Table Summary Head"/>
    <w:basedOn w:val="TableText"/>
    <w:semiHidden/>
    <w:rsid w:val="003B7CFF"/>
  </w:style>
  <w:style w:type="paragraph" w:customStyle="1" w:styleId="TableSummaryTitle">
    <w:name w:val="Table Summary Title"/>
    <w:basedOn w:val="TableTitle"/>
    <w:next w:val="TableHead"/>
    <w:semiHidden/>
    <w:rsid w:val="003B7CFF"/>
    <w:pPr>
      <w:pageBreakBefore/>
    </w:pPr>
  </w:style>
  <w:style w:type="table" w:styleId="TableTheme">
    <w:name w:val="Table Theme"/>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B7CFF"/>
    <w:pPr>
      <w:spacing w:after="0" w:line="240" w:lineRule="auto"/>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7CFF"/>
    <w:pPr>
      <w:spacing w:after="0" w:line="240" w:lineRule="auto"/>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7CFF"/>
    <w:pPr>
      <w:spacing w:after="0" w:line="240" w:lineRule="auto"/>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TableText">
    <w:name w:val="A-Table Text"/>
    <w:rsid w:val="00BB2130"/>
    <w:pPr>
      <w:spacing w:before="60" w:after="60" w:line="240" w:lineRule="auto"/>
    </w:pPr>
    <w:rPr>
      <w:rFonts w:ascii="Times New Roman" w:eastAsia="Times New Roman" w:hAnsi="Times New Roman" w:cs="Times New Roman"/>
      <w:szCs w:val="20"/>
      <w:lang w:val="en-GB"/>
    </w:rPr>
  </w:style>
  <w:style w:type="paragraph" w:customStyle="1" w:styleId="A-TableTitle">
    <w:name w:val="A-Table Title"/>
    <w:next w:val="Normal"/>
    <w:rsid w:val="00BB2130"/>
    <w:pPr>
      <w:keepNext/>
      <w:tabs>
        <w:tab w:val="left" w:pos="1800"/>
      </w:tabs>
      <w:spacing w:after="120" w:line="280" w:lineRule="atLeast"/>
      <w:ind w:left="1800" w:hanging="1800"/>
    </w:pPr>
    <w:rPr>
      <w:rFonts w:ascii="Times New Roman" w:eastAsia="Times New Roman" w:hAnsi="Times New Roman" w:cs="Times New Roman"/>
      <w:b/>
      <w:sz w:val="24"/>
      <w:szCs w:val="20"/>
      <w:lang w:val="en-GB"/>
    </w:rPr>
  </w:style>
  <w:style w:type="paragraph" w:customStyle="1" w:styleId="A-TableFootnoteText">
    <w:name w:val="A-Table Footnote Text"/>
    <w:next w:val="Normal"/>
    <w:rsid w:val="00BB2130"/>
    <w:pPr>
      <w:tabs>
        <w:tab w:val="left" w:pos="432"/>
      </w:tabs>
      <w:spacing w:after="0" w:line="240" w:lineRule="auto"/>
      <w:ind w:left="432" w:hanging="432"/>
    </w:pPr>
    <w:rPr>
      <w:rFonts w:ascii="Times New Roman" w:eastAsia="Times New Roman" w:hAnsi="Times New Roman" w:cs="Times New Roman"/>
      <w:sz w:val="20"/>
      <w:szCs w:val="20"/>
      <w:lang w:val="en-GB"/>
    </w:rPr>
  </w:style>
  <w:style w:type="paragraph" w:customStyle="1" w:styleId="Default">
    <w:name w:val="Default"/>
    <w:rsid w:val="00025A18"/>
    <w:pPr>
      <w:autoSpaceDE w:val="0"/>
      <w:autoSpaceDN w:val="0"/>
      <w:adjustRightInd w:val="0"/>
      <w:spacing w:after="0" w:line="240" w:lineRule="auto"/>
    </w:pPr>
    <w:rPr>
      <w:rFonts w:ascii="Cambria" w:hAnsi="Cambria" w:cs="Cambria"/>
      <w:color w:val="000000"/>
      <w:sz w:val="24"/>
      <w:szCs w:val="24"/>
    </w:rPr>
  </w:style>
  <w:style w:type="character" w:customStyle="1" w:styleId="normaltextrun">
    <w:name w:val="normaltextrun"/>
    <w:basedOn w:val="DefaultParagraphFont"/>
    <w:rsid w:val="00F52150"/>
  </w:style>
  <w:style w:type="character" w:customStyle="1" w:styleId="eop">
    <w:name w:val="eop"/>
    <w:basedOn w:val="DefaultParagraphFont"/>
    <w:rsid w:val="00F52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rrob\Desktop\to%20ANGEL\pi-annotated-calquenc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CEE30-1650-43F3-BB4D-58009F1E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pi-annotated-calquence-nce</Template>
  <TotalTime>1</TotalTime>
  <Pages>15</Pages>
  <Words>4574</Words>
  <Characters>26486</Characters>
  <Application>Microsoft Office Word</Application>
  <DocSecurity>0</DocSecurity>
  <Lines>662</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Acalabrutinib</dc:title>
  <dc:subject>prescription medicines</dc:subject>
  <dc:creator/>
  <cp:lastModifiedBy>LACK, Janet</cp:lastModifiedBy>
  <cp:revision>3</cp:revision>
  <cp:lastPrinted>2017-11-13T05:13:00Z</cp:lastPrinted>
  <dcterms:created xsi:type="dcterms:W3CDTF">2020-03-03T02:44:00Z</dcterms:created>
  <dcterms:modified xsi:type="dcterms:W3CDTF">2020-03-03T02:45:00Z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ingCaptions">
    <vt:lpwstr>No</vt:lpwstr>
  </property>
  <property fmtid="{D5CDD505-2E9C-101B-9397-08002B2CF9AE}" pid="3" name="Prefix">
    <vt:lpwstr/>
  </property>
  <property fmtid="{D5CDD505-2E9C-101B-9397-08002B2CF9AE}" pid="4" name="ANGEL_Document_ID">
    <vt:lpwstr>ANGEL_DocID</vt:lpwstr>
  </property>
  <property fmtid="{D5CDD505-2E9C-101B-9397-08002B2CF9AE}" pid="5" name="ANGEL_Document_Status">
    <vt:lpwstr>ANGEL_Status </vt:lpwstr>
  </property>
  <property fmtid="{D5CDD505-2E9C-101B-9397-08002B2CF9AE}" pid="6" name="ANGEL_PPN">
    <vt:lpwstr>ANGEL_PPN</vt:lpwstr>
  </property>
  <property fmtid="{D5CDD505-2E9C-101B-9397-08002B2CF9AE}" pid="7" name="ANGEL_Product">
    <vt:lpwstr>ProductName</vt:lpwstr>
  </property>
  <property fmtid="{D5CDD505-2E9C-101B-9397-08002B2CF9AE}" pid="8" name="ANGEL_Study_Code">
    <vt:lpwstr>StudyCode</vt:lpwstr>
  </property>
  <property fmtid="{D5CDD505-2E9C-101B-9397-08002B2CF9AE}" pid="9" name="ANGEL_DosageForm">
    <vt:lpwstr>DosageForm</vt:lpwstr>
  </property>
  <property fmtid="{D5CDD505-2E9C-101B-9397-08002B2CF9AE}" pid="10" name="ANGEL_Version">
    <vt:lpwstr>ANGEL_Version</vt:lpwstr>
  </property>
  <property fmtid="{D5CDD505-2E9C-101B-9397-08002B2CF9AE}" pid="11" name="ANGEL_DocumentName">
    <vt:lpwstr>ANGEL_DocumentName</vt:lpwstr>
  </property>
</Properties>
</file>