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8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78"/>
      </w:tblGrid>
      <w:tr w:rsidR="008E7846" w:rsidRPr="00487162" w:rsidTr="00CC18FC">
        <w:trPr>
          <w:trHeight w:val="1764"/>
        </w:trPr>
        <w:tc>
          <w:tcPr>
            <w:tcW w:w="8978" w:type="dxa"/>
            <w:tcBorders>
              <w:top w:val="nil"/>
              <w:left w:val="nil"/>
              <w:bottom w:val="nil"/>
              <w:right w:val="nil"/>
            </w:tcBorders>
          </w:tcPr>
          <w:p w:rsidR="008E7846" w:rsidRDefault="00CC18FC" w:rsidP="0017078F">
            <w:pPr>
              <w:rPr>
                <w:rFonts w:ascii="Arial" w:hAnsi="Arial" w:cs="Arial"/>
                <w:b/>
                <w:color w:val="002C47"/>
                <w:sz w:val="36"/>
                <w:szCs w:val="36"/>
              </w:rPr>
            </w:pPr>
            <w:r>
              <w:rPr>
                <w:rFonts w:ascii="Arial" w:hAnsi="Arial" w:cs="Arial"/>
                <w:b/>
                <w:color w:val="002C47"/>
                <w:sz w:val="36"/>
                <w:szCs w:val="36"/>
              </w:rPr>
              <w:t xml:space="preserve">First </w:t>
            </w:r>
            <w:r w:rsidR="00D365A7">
              <w:rPr>
                <w:rFonts w:ascii="Arial" w:hAnsi="Arial" w:cs="Arial"/>
                <w:b/>
                <w:color w:val="002C47"/>
                <w:sz w:val="36"/>
                <w:szCs w:val="36"/>
              </w:rPr>
              <w:t>r</w:t>
            </w:r>
            <w:r>
              <w:rPr>
                <w:rFonts w:ascii="Arial" w:hAnsi="Arial" w:cs="Arial"/>
                <w:b/>
                <w:color w:val="002C47"/>
                <w:sz w:val="36"/>
                <w:szCs w:val="36"/>
              </w:rPr>
              <w:t xml:space="preserve">ound </w:t>
            </w:r>
            <w:r w:rsidR="00D365A7">
              <w:rPr>
                <w:rFonts w:ascii="Arial" w:hAnsi="Arial" w:cs="Arial"/>
                <w:b/>
                <w:color w:val="002C47"/>
                <w:sz w:val="36"/>
                <w:szCs w:val="36"/>
              </w:rPr>
              <w:t>e</w:t>
            </w:r>
            <w:r>
              <w:rPr>
                <w:rFonts w:ascii="Arial" w:hAnsi="Arial" w:cs="Arial"/>
                <w:b/>
                <w:color w:val="002C47"/>
                <w:sz w:val="36"/>
                <w:szCs w:val="36"/>
              </w:rPr>
              <w:t xml:space="preserve">valuation </w:t>
            </w:r>
            <w:r w:rsidR="00D365A7">
              <w:rPr>
                <w:rFonts w:ascii="Arial" w:hAnsi="Arial" w:cs="Arial"/>
                <w:b/>
                <w:color w:val="002C47"/>
                <w:sz w:val="36"/>
                <w:szCs w:val="36"/>
              </w:rPr>
              <w:t>d</w:t>
            </w:r>
            <w:r>
              <w:rPr>
                <w:rFonts w:ascii="Arial" w:hAnsi="Arial" w:cs="Arial"/>
                <w:b/>
                <w:color w:val="002C47"/>
                <w:sz w:val="36"/>
                <w:szCs w:val="36"/>
              </w:rPr>
              <w:t>ate: 30 December 2012</w:t>
            </w:r>
          </w:p>
          <w:p w:rsidR="00CC18FC" w:rsidRPr="0017078F" w:rsidRDefault="00CC18FC" w:rsidP="00D365A7">
            <w:pPr>
              <w:rPr>
                <w:rFonts w:ascii="Arial" w:hAnsi="Arial" w:cs="Arial"/>
                <w:b/>
                <w:color w:val="002C47"/>
                <w:sz w:val="36"/>
                <w:szCs w:val="36"/>
              </w:rPr>
            </w:pPr>
            <w:r>
              <w:rPr>
                <w:rFonts w:ascii="Arial" w:hAnsi="Arial" w:cs="Arial"/>
                <w:b/>
                <w:color w:val="002C47"/>
                <w:sz w:val="36"/>
                <w:szCs w:val="36"/>
              </w:rPr>
              <w:t xml:space="preserve">Second </w:t>
            </w:r>
            <w:r w:rsidR="00D365A7">
              <w:rPr>
                <w:rFonts w:ascii="Arial" w:hAnsi="Arial" w:cs="Arial"/>
                <w:b/>
                <w:color w:val="002C47"/>
                <w:sz w:val="36"/>
                <w:szCs w:val="36"/>
              </w:rPr>
              <w:t>r</w:t>
            </w:r>
            <w:r>
              <w:rPr>
                <w:rFonts w:ascii="Arial" w:hAnsi="Arial" w:cs="Arial"/>
                <w:b/>
                <w:color w:val="002C47"/>
                <w:sz w:val="36"/>
                <w:szCs w:val="36"/>
              </w:rPr>
              <w:t xml:space="preserve">ound </w:t>
            </w:r>
            <w:r w:rsidR="00D365A7">
              <w:rPr>
                <w:rFonts w:ascii="Arial" w:hAnsi="Arial" w:cs="Arial"/>
                <w:b/>
                <w:color w:val="002C47"/>
                <w:sz w:val="36"/>
                <w:szCs w:val="36"/>
              </w:rPr>
              <w:t>e</w:t>
            </w:r>
            <w:r>
              <w:rPr>
                <w:rFonts w:ascii="Arial" w:hAnsi="Arial" w:cs="Arial"/>
                <w:b/>
                <w:color w:val="002C47"/>
                <w:sz w:val="36"/>
                <w:szCs w:val="36"/>
              </w:rPr>
              <w:t xml:space="preserve">valuation </w:t>
            </w:r>
            <w:r w:rsidR="00D365A7">
              <w:rPr>
                <w:rFonts w:ascii="Arial" w:hAnsi="Arial" w:cs="Arial"/>
                <w:b/>
                <w:color w:val="002C47"/>
                <w:sz w:val="36"/>
                <w:szCs w:val="36"/>
              </w:rPr>
              <w:t>d</w:t>
            </w:r>
            <w:r>
              <w:rPr>
                <w:rFonts w:ascii="Arial" w:hAnsi="Arial" w:cs="Arial"/>
                <w:b/>
                <w:color w:val="002C47"/>
                <w:sz w:val="36"/>
                <w:szCs w:val="36"/>
              </w:rPr>
              <w:t>ate: 3 May 2013</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r>
              <w:rPr>
                <w:color w:val="FFFFFF" w:themeColor="background1"/>
              </w:rPr>
              <w:t>AusPAR Attachment 2</w:t>
            </w:r>
          </w:p>
        </w:tc>
      </w:tr>
      <w:tr w:rsidR="00E07F15" w:rsidRPr="00A964D1" w:rsidTr="00E07F15">
        <w:trPr>
          <w:trHeight w:val="868"/>
        </w:trPr>
        <w:tc>
          <w:tcPr>
            <w:tcW w:w="9079" w:type="dxa"/>
          </w:tcPr>
          <w:p w:rsidR="00E07F15" w:rsidRPr="00A964D1" w:rsidRDefault="00E07F15" w:rsidP="0039474B">
            <w:pPr>
              <w:pStyle w:val="Title"/>
              <w:rPr>
                <w:color w:val="FFFFFF" w:themeColor="background1"/>
              </w:rPr>
            </w:pPr>
            <w:r>
              <w:rPr>
                <w:color w:val="FFFFFF" w:themeColor="background1"/>
              </w:rPr>
              <w:t>Extract from the Clinical Evaluation Report</w:t>
            </w:r>
            <w:r w:rsidRPr="00A964D1">
              <w:rPr>
                <w:color w:val="FFFFFF" w:themeColor="background1"/>
              </w:rPr>
              <w:t xml:space="preserve"> for</w:t>
            </w:r>
            <w:r w:rsidR="00CC18FC" w:rsidRPr="00D365A7">
              <w:rPr>
                <w:color w:val="FFFFFF" w:themeColor="background1"/>
              </w:rPr>
              <w:t xml:space="preserve"> </w:t>
            </w:r>
            <w:proofErr w:type="spellStart"/>
            <w:r w:rsidR="0039474B">
              <w:rPr>
                <w:color w:val="FFFFFF" w:themeColor="background1"/>
              </w:rPr>
              <w:t>Adalimumab</w:t>
            </w:r>
            <w:proofErr w:type="spellEnd"/>
          </w:p>
        </w:tc>
      </w:tr>
      <w:tr w:rsidR="00E07F15" w:rsidRPr="00B64760" w:rsidTr="00E07F15">
        <w:tc>
          <w:tcPr>
            <w:tcW w:w="9079" w:type="dxa"/>
          </w:tcPr>
          <w:p w:rsidR="00E07F15" w:rsidRPr="008E7846" w:rsidRDefault="00E07F15" w:rsidP="00CC18FC">
            <w:pPr>
              <w:pStyle w:val="Subtitle"/>
              <w:rPr>
                <w:color w:val="FFFFFF" w:themeColor="background1"/>
              </w:rPr>
            </w:pPr>
            <w:r w:rsidRPr="008E7846">
              <w:rPr>
                <w:color w:val="FFFFFF" w:themeColor="background1"/>
              </w:rPr>
              <w:t xml:space="preserve">Proprietary Product Name: </w:t>
            </w:r>
            <w:proofErr w:type="spellStart"/>
            <w:r w:rsidR="00CC18FC">
              <w:rPr>
                <w:color w:val="FFFFFF" w:themeColor="background1"/>
              </w:rPr>
              <w:t>Humira</w:t>
            </w:r>
            <w:proofErr w:type="spellEnd"/>
          </w:p>
        </w:tc>
      </w:tr>
      <w:tr w:rsidR="00E07F15" w:rsidRPr="00B64760" w:rsidTr="00E07F15">
        <w:trPr>
          <w:trHeight w:val="486"/>
        </w:trPr>
        <w:tc>
          <w:tcPr>
            <w:tcW w:w="9079" w:type="dxa"/>
          </w:tcPr>
          <w:p w:rsidR="00E07F15" w:rsidRPr="008E7846" w:rsidRDefault="00E07F15" w:rsidP="00CC18FC">
            <w:pPr>
              <w:pStyle w:val="Subtitle"/>
              <w:rPr>
                <w:color w:val="FFFFFF" w:themeColor="background1"/>
              </w:rPr>
            </w:pPr>
            <w:r w:rsidRPr="008E7846">
              <w:rPr>
                <w:color w:val="FFFFFF" w:themeColor="background1"/>
              </w:rPr>
              <w:t xml:space="preserve">Sponsor: </w:t>
            </w:r>
            <w:r w:rsidR="00CC18FC" w:rsidRPr="00CC18FC">
              <w:rPr>
                <w:color w:val="FFFFFF" w:themeColor="background1"/>
              </w:rPr>
              <w:t>Abbott Australasia Pty Ltd (</w:t>
            </w:r>
            <w:proofErr w:type="spellStart"/>
            <w:r w:rsidR="00CC18FC" w:rsidRPr="00CC18FC">
              <w:rPr>
                <w:color w:val="FFFFFF" w:themeColor="background1"/>
              </w:rPr>
              <w:t>AbbVie</w:t>
            </w:r>
            <w:proofErr w:type="spellEnd"/>
            <w:r w:rsidR="00CC18FC" w:rsidRPr="00CC18FC">
              <w:rPr>
                <w:color w:val="FFFFFF" w:themeColor="background1"/>
              </w:rPr>
              <w:t xml:space="preserve">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FF5045">
      <w:pPr>
        <w:pStyle w:val="ListBullet"/>
        <w:numPr>
          <w:ilvl w:val="0"/>
          <w:numId w:val="1"/>
        </w:numPr>
        <w:ind w:left="357" w:hanging="357"/>
      </w:pPr>
      <w:r>
        <w:t xml:space="preserve">The Therapeutic Goods Administration (TGA) is </w:t>
      </w:r>
      <w:r w:rsidR="00E624A5">
        <w:t xml:space="preserve">part </w:t>
      </w:r>
      <w:r>
        <w:t>of the Australian</w:t>
      </w:r>
      <w:r w:rsidR="00A329E6">
        <w:t xml:space="preserve"> Government Department of Health</w:t>
      </w:r>
      <w:r>
        <w:t xml:space="preserve"> and is responsible for regulating medicines and medical devices.</w:t>
      </w:r>
    </w:p>
    <w:p w:rsidR="008E7846" w:rsidRDefault="00C811C0" w:rsidP="00FF5045">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FF5045">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FF5045">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FF5045">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7E6E27" w:rsidRPr="00607888">
          <w:rPr>
            <w:rStyle w:val="Hyperlink"/>
          </w:rPr>
          <w:t>http://www.tga.gov.au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B1425E" w:rsidRPr="00B1425E">
          <w:rPr>
            <w:rStyle w:val="Hyperlink"/>
          </w:rPr>
          <w:t>http://www.tga.gov.au/hp/information-medicines-pi.htm</w:t>
        </w:r>
      </w:hyperlink>
      <w:r w:rsidR="0017078F">
        <w:t>&gt;.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D365A7">
        <w:rPr>
          <w:rFonts w:cs="Arial"/>
          <w:lang w:val="en-GB"/>
        </w:rPr>
        <w:t>3</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1"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3C4F43" w:rsidRDefault="00DF4A7A">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83176393" w:history="1">
            <w:r w:rsidR="003C4F43" w:rsidRPr="00A67BCA">
              <w:rPr>
                <w:rStyle w:val="Hyperlink"/>
                <w:noProof/>
              </w:rPr>
              <w:t>List of abbreviations</w:t>
            </w:r>
            <w:r w:rsidR="003C4F43">
              <w:rPr>
                <w:noProof/>
                <w:webHidden/>
              </w:rPr>
              <w:tab/>
            </w:r>
            <w:r w:rsidR="003C4F43">
              <w:rPr>
                <w:noProof/>
                <w:webHidden/>
              </w:rPr>
              <w:fldChar w:fldCharType="begin"/>
            </w:r>
            <w:r w:rsidR="003C4F43">
              <w:rPr>
                <w:noProof/>
                <w:webHidden/>
              </w:rPr>
              <w:instrText xml:space="preserve"> PAGEREF _Toc383176393 \h </w:instrText>
            </w:r>
            <w:r w:rsidR="003C4F43">
              <w:rPr>
                <w:noProof/>
                <w:webHidden/>
              </w:rPr>
            </w:r>
            <w:r w:rsidR="003C4F43">
              <w:rPr>
                <w:noProof/>
                <w:webHidden/>
              </w:rPr>
              <w:fldChar w:fldCharType="separate"/>
            </w:r>
            <w:r w:rsidR="003C4F43">
              <w:rPr>
                <w:noProof/>
                <w:webHidden/>
              </w:rPr>
              <w:t>4</w:t>
            </w:r>
            <w:r w:rsidR="003C4F43">
              <w:rPr>
                <w:noProof/>
                <w:webHidden/>
              </w:rPr>
              <w:fldChar w:fldCharType="end"/>
            </w:r>
          </w:hyperlink>
        </w:p>
        <w:p w:rsidR="003C4F43" w:rsidRDefault="003C4F43">
          <w:pPr>
            <w:pStyle w:val="TOC2"/>
            <w:tabs>
              <w:tab w:val="left" w:pos="1100"/>
            </w:tabs>
            <w:rPr>
              <w:rFonts w:asciiTheme="minorHAnsi" w:eastAsiaTheme="minorEastAsia" w:hAnsiTheme="minorHAnsi" w:cstheme="minorBidi"/>
              <w:b w:val="0"/>
              <w:noProof/>
              <w:sz w:val="22"/>
              <w:lang w:eastAsia="en-AU"/>
            </w:rPr>
          </w:pPr>
          <w:hyperlink w:anchor="_Toc383176394" w:history="1">
            <w:r w:rsidRPr="00A67BCA">
              <w:rPr>
                <w:rStyle w:val="Hyperlink"/>
                <w:noProof/>
                <w:lang w:eastAsia="en-AU"/>
              </w:rPr>
              <w:t>1.</w:t>
            </w:r>
            <w:r>
              <w:rPr>
                <w:rFonts w:asciiTheme="minorHAnsi" w:eastAsiaTheme="minorEastAsia" w:hAnsiTheme="minorHAnsi" w:cstheme="minorBidi"/>
                <w:b w:val="0"/>
                <w:noProof/>
                <w:sz w:val="22"/>
                <w:lang w:eastAsia="en-AU"/>
              </w:rPr>
              <w:tab/>
            </w:r>
            <w:r w:rsidRPr="00A67BCA">
              <w:rPr>
                <w:rStyle w:val="Hyperlink"/>
                <w:noProof/>
                <w:lang w:eastAsia="en-AU"/>
              </w:rPr>
              <w:t>Clinical rationale</w:t>
            </w:r>
            <w:r>
              <w:rPr>
                <w:noProof/>
                <w:webHidden/>
              </w:rPr>
              <w:tab/>
            </w:r>
            <w:r>
              <w:rPr>
                <w:noProof/>
                <w:webHidden/>
              </w:rPr>
              <w:fldChar w:fldCharType="begin"/>
            </w:r>
            <w:r>
              <w:rPr>
                <w:noProof/>
                <w:webHidden/>
              </w:rPr>
              <w:instrText xml:space="preserve"> PAGEREF _Toc383176394 \h </w:instrText>
            </w:r>
            <w:r>
              <w:rPr>
                <w:noProof/>
                <w:webHidden/>
              </w:rPr>
            </w:r>
            <w:r>
              <w:rPr>
                <w:noProof/>
                <w:webHidden/>
              </w:rPr>
              <w:fldChar w:fldCharType="separate"/>
            </w:r>
            <w:r>
              <w:rPr>
                <w:noProof/>
                <w:webHidden/>
              </w:rPr>
              <w:t>8</w:t>
            </w:r>
            <w:r>
              <w:rPr>
                <w:noProof/>
                <w:webHidden/>
              </w:rPr>
              <w:fldChar w:fldCharType="end"/>
            </w:r>
          </w:hyperlink>
        </w:p>
        <w:p w:rsidR="003C4F43" w:rsidRDefault="003C4F43">
          <w:pPr>
            <w:pStyle w:val="TOC2"/>
            <w:tabs>
              <w:tab w:val="left" w:pos="1100"/>
            </w:tabs>
            <w:rPr>
              <w:rFonts w:asciiTheme="minorHAnsi" w:eastAsiaTheme="minorEastAsia" w:hAnsiTheme="minorHAnsi" w:cstheme="minorBidi"/>
              <w:b w:val="0"/>
              <w:noProof/>
              <w:sz w:val="22"/>
              <w:lang w:eastAsia="en-AU"/>
            </w:rPr>
          </w:pPr>
          <w:hyperlink w:anchor="_Toc383176395" w:history="1">
            <w:r w:rsidRPr="00A67BCA">
              <w:rPr>
                <w:rStyle w:val="Hyperlink"/>
                <w:noProof/>
                <w:lang w:eastAsia="en-AU"/>
              </w:rPr>
              <w:t>2.</w:t>
            </w:r>
            <w:r>
              <w:rPr>
                <w:rFonts w:asciiTheme="minorHAnsi" w:eastAsiaTheme="minorEastAsia" w:hAnsiTheme="minorHAnsi" w:cstheme="minorBidi"/>
                <w:b w:val="0"/>
                <w:noProof/>
                <w:sz w:val="22"/>
                <w:lang w:eastAsia="en-AU"/>
              </w:rPr>
              <w:tab/>
            </w:r>
            <w:r w:rsidRPr="00A67BCA">
              <w:rPr>
                <w:rStyle w:val="Hyperlink"/>
                <w:noProof/>
                <w:lang w:eastAsia="en-AU"/>
              </w:rPr>
              <w:t xml:space="preserve">Contents of the </w:t>
            </w:r>
            <w:r w:rsidRPr="00A67BCA">
              <w:rPr>
                <w:rStyle w:val="Hyperlink"/>
                <w:noProof/>
              </w:rPr>
              <w:t>clinical</w:t>
            </w:r>
            <w:r w:rsidRPr="00A67BCA">
              <w:rPr>
                <w:rStyle w:val="Hyperlink"/>
                <w:noProof/>
                <w:lang w:eastAsia="en-AU"/>
              </w:rPr>
              <w:t xml:space="preserve"> dossier</w:t>
            </w:r>
            <w:r>
              <w:rPr>
                <w:noProof/>
                <w:webHidden/>
              </w:rPr>
              <w:tab/>
            </w:r>
            <w:r>
              <w:rPr>
                <w:noProof/>
                <w:webHidden/>
              </w:rPr>
              <w:fldChar w:fldCharType="begin"/>
            </w:r>
            <w:r>
              <w:rPr>
                <w:noProof/>
                <w:webHidden/>
              </w:rPr>
              <w:instrText xml:space="preserve"> PAGEREF _Toc383176395 \h </w:instrText>
            </w:r>
            <w:r>
              <w:rPr>
                <w:noProof/>
                <w:webHidden/>
              </w:rPr>
            </w:r>
            <w:r>
              <w:rPr>
                <w:noProof/>
                <w:webHidden/>
              </w:rPr>
              <w:fldChar w:fldCharType="separate"/>
            </w:r>
            <w:r>
              <w:rPr>
                <w:noProof/>
                <w:webHidden/>
              </w:rPr>
              <w:t>8</w:t>
            </w:r>
            <w:r>
              <w:rPr>
                <w:noProof/>
                <w:webHidden/>
              </w:rPr>
              <w:fldChar w:fldCharType="end"/>
            </w:r>
          </w:hyperlink>
        </w:p>
        <w:p w:rsidR="003C4F43" w:rsidRDefault="003C4F43">
          <w:pPr>
            <w:pStyle w:val="TOC3"/>
            <w:tabs>
              <w:tab w:val="left" w:pos="1760"/>
            </w:tabs>
            <w:rPr>
              <w:rFonts w:asciiTheme="minorHAnsi" w:eastAsiaTheme="minorEastAsia" w:hAnsiTheme="minorHAnsi" w:cstheme="minorBidi"/>
              <w:noProof/>
              <w:lang w:eastAsia="en-AU"/>
            </w:rPr>
          </w:pPr>
          <w:hyperlink w:anchor="_Toc383176396" w:history="1">
            <w:r w:rsidRPr="00A67BCA">
              <w:rPr>
                <w:rStyle w:val="Hyperlink"/>
                <w:noProof/>
              </w:rPr>
              <w:t>2.1.</w:t>
            </w:r>
            <w:r>
              <w:rPr>
                <w:rFonts w:asciiTheme="minorHAnsi" w:eastAsiaTheme="minorEastAsia" w:hAnsiTheme="minorHAnsi" w:cstheme="minorBidi"/>
                <w:noProof/>
                <w:lang w:eastAsia="en-AU"/>
              </w:rPr>
              <w:tab/>
            </w:r>
            <w:r w:rsidRPr="00A67BCA">
              <w:rPr>
                <w:rStyle w:val="Hyperlink"/>
                <w:noProof/>
              </w:rPr>
              <w:t>Scope of the clinical dossier</w:t>
            </w:r>
            <w:r>
              <w:rPr>
                <w:noProof/>
                <w:webHidden/>
              </w:rPr>
              <w:tab/>
            </w:r>
            <w:r>
              <w:rPr>
                <w:noProof/>
                <w:webHidden/>
              </w:rPr>
              <w:fldChar w:fldCharType="begin"/>
            </w:r>
            <w:r>
              <w:rPr>
                <w:noProof/>
                <w:webHidden/>
              </w:rPr>
              <w:instrText xml:space="preserve"> PAGEREF _Toc383176396 \h </w:instrText>
            </w:r>
            <w:r>
              <w:rPr>
                <w:noProof/>
                <w:webHidden/>
              </w:rPr>
            </w:r>
            <w:r>
              <w:rPr>
                <w:noProof/>
                <w:webHidden/>
              </w:rPr>
              <w:fldChar w:fldCharType="separate"/>
            </w:r>
            <w:r>
              <w:rPr>
                <w:noProof/>
                <w:webHidden/>
              </w:rPr>
              <w:t>8</w:t>
            </w:r>
            <w:r>
              <w:rPr>
                <w:noProof/>
                <w:webHidden/>
              </w:rPr>
              <w:fldChar w:fldCharType="end"/>
            </w:r>
          </w:hyperlink>
        </w:p>
        <w:p w:rsidR="003C4F43" w:rsidRDefault="003C4F43">
          <w:pPr>
            <w:pStyle w:val="TOC3"/>
            <w:tabs>
              <w:tab w:val="left" w:pos="1760"/>
            </w:tabs>
            <w:rPr>
              <w:rFonts w:asciiTheme="minorHAnsi" w:eastAsiaTheme="minorEastAsia" w:hAnsiTheme="minorHAnsi" w:cstheme="minorBidi"/>
              <w:noProof/>
              <w:lang w:eastAsia="en-AU"/>
            </w:rPr>
          </w:pPr>
          <w:hyperlink w:anchor="_Toc383176397" w:history="1">
            <w:r w:rsidRPr="00A67BCA">
              <w:rPr>
                <w:rStyle w:val="Hyperlink"/>
                <w:noProof/>
              </w:rPr>
              <w:t>2.2.</w:t>
            </w:r>
            <w:r>
              <w:rPr>
                <w:rFonts w:asciiTheme="minorHAnsi" w:eastAsiaTheme="minorEastAsia" w:hAnsiTheme="minorHAnsi" w:cstheme="minorBidi"/>
                <w:noProof/>
                <w:lang w:eastAsia="en-AU"/>
              </w:rPr>
              <w:tab/>
            </w:r>
            <w:r w:rsidRPr="00A67BCA">
              <w:rPr>
                <w:rStyle w:val="Hyperlink"/>
                <w:noProof/>
              </w:rPr>
              <w:t>Paediatric data</w:t>
            </w:r>
            <w:r>
              <w:rPr>
                <w:noProof/>
                <w:webHidden/>
              </w:rPr>
              <w:tab/>
            </w:r>
            <w:r>
              <w:rPr>
                <w:noProof/>
                <w:webHidden/>
              </w:rPr>
              <w:fldChar w:fldCharType="begin"/>
            </w:r>
            <w:r>
              <w:rPr>
                <w:noProof/>
                <w:webHidden/>
              </w:rPr>
              <w:instrText xml:space="preserve"> PAGEREF _Toc383176397 \h </w:instrText>
            </w:r>
            <w:r>
              <w:rPr>
                <w:noProof/>
                <w:webHidden/>
              </w:rPr>
            </w:r>
            <w:r>
              <w:rPr>
                <w:noProof/>
                <w:webHidden/>
              </w:rPr>
              <w:fldChar w:fldCharType="separate"/>
            </w:r>
            <w:r>
              <w:rPr>
                <w:noProof/>
                <w:webHidden/>
              </w:rPr>
              <w:t>8</w:t>
            </w:r>
            <w:r>
              <w:rPr>
                <w:noProof/>
                <w:webHidden/>
              </w:rPr>
              <w:fldChar w:fldCharType="end"/>
            </w:r>
          </w:hyperlink>
        </w:p>
        <w:p w:rsidR="003C4F43" w:rsidRDefault="003C4F43">
          <w:pPr>
            <w:pStyle w:val="TOC3"/>
            <w:tabs>
              <w:tab w:val="left" w:pos="1760"/>
            </w:tabs>
            <w:rPr>
              <w:rFonts w:asciiTheme="minorHAnsi" w:eastAsiaTheme="minorEastAsia" w:hAnsiTheme="minorHAnsi" w:cstheme="minorBidi"/>
              <w:noProof/>
              <w:lang w:eastAsia="en-AU"/>
            </w:rPr>
          </w:pPr>
          <w:hyperlink w:anchor="_Toc383176398" w:history="1">
            <w:r w:rsidRPr="00A67BCA">
              <w:rPr>
                <w:rStyle w:val="Hyperlink"/>
                <w:noProof/>
              </w:rPr>
              <w:t>2.3.</w:t>
            </w:r>
            <w:r>
              <w:rPr>
                <w:rFonts w:asciiTheme="minorHAnsi" w:eastAsiaTheme="minorEastAsia" w:hAnsiTheme="minorHAnsi" w:cstheme="minorBidi"/>
                <w:noProof/>
                <w:lang w:eastAsia="en-AU"/>
              </w:rPr>
              <w:tab/>
            </w:r>
            <w:r w:rsidRPr="00A67BCA">
              <w:rPr>
                <w:rStyle w:val="Hyperlink"/>
                <w:noProof/>
              </w:rPr>
              <w:t>Good clinical practice</w:t>
            </w:r>
            <w:r>
              <w:rPr>
                <w:noProof/>
                <w:webHidden/>
              </w:rPr>
              <w:tab/>
            </w:r>
            <w:r>
              <w:rPr>
                <w:noProof/>
                <w:webHidden/>
              </w:rPr>
              <w:fldChar w:fldCharType="begin"/>
            </w:r>
            <w:r>
              <w:rPr>
                <w:noProof/>
                <w:webHidden/>
              </w:rPr>
              <w:instrText xml:space="preserve"> PAGEREF _Toc383176398 \h </w:instrText>
            </w:r>
            <w:r>
              <w:rPr>
                <w:noProof/>
                <w:webHidden/>
              </w:rPr>
            </w:r>
            <w:r>
              <w:rPr>
                <w:noProof/>
                <w:webHidden/>
              </w:rPr>
              <w:fldChar w:fldCharType="separate"/>
            </w:r>
            <w:r>
              <w:rPr>
                <w:noProof/>
                <w:webHidden/>
              </w:rPr>
              <w:t>8</w:t>
            </w:r>
            <w:r>
              <w:rPr>
                <w:noProof/>
                <w:webHidden/>
              </w:rPr>
              <w:fldChar w:fldCharType="end"/>
            </w:r>
          </w:hyperlink>
        </w:p>
        <w:p w:rsidR="003C4F43" w:rsidRDefault="003C4F43">
          <w:pPr>
            <w:pStyle w:val="TOC2"/>
            <w:tabs>
              <w:tab w:val="left" w:pos="1100"/>
            </w:tabs>
            <w:rPr>
              <w:rFonts w:asciiTheme="minorHAnsi" w:eastAsiaTheme="minorEastAsia" w:hAnsiTheme="minorHAnsi" w:cstheme="minorBidi"/>
              <w:b w:val="0"/>
              <w:noProof/>
              <w:sz w:val="22"/>
              <w:lang w:eastAsia="en-AU"/>
            </w:rPr>
          </w:pPr>
          <w:hyperlink w:anchor="_Toc383176399" w:history="1">
            <w:r w:rsidRPr="00A67BCA">
              <w:rPr>
                <w:rStyle w:val="Hyperlink"/>
                <w:noProof/>
              </w:rPr>
              <w:t>3.</w:t>
            </w:r>
            <w:r>
              <w:rPr>
                <w:rFonts w:asciiTheme="minorHAnsi" w:eastAsiaTheme="minorEastAsia" w:hAnsiTheme="minorHAnsi" w:cstheme="minorBidi"/>
                <w:b w:val="0"/>
                <w:noProof/>
                <w:sz w:val="22"/>
                <w:lang w:eastAsia="en-AU"/>
              </w:rPr>
              <w:tab/>
            </w:r>
            <w:r w:rsidRPr="00A67BCA">
              <w:rPr>
                <w:rStyle w:val="Hyperlink"/>
                <w:noProof/>
              </w:rPr>
              <w:t>Pharmacokinetics</w:t>
            </w:r>
            <w:r>
              <w:rPr>
                <w:noProof/>
                <w:webHidden/>
              </w:rPr>
              <w:tab/>
            </w:r>
            <w:r>
              <w:rPr>
                <w:noProof/>
                <w:webHidden/>
              </w:rPr>
              <w:fldChar w:fldCharType="begin"/>
            </w:r>
            <w:r>
              <w:rPr>
                <w:noProof/>
                <w:webHidden/>
              </w:rPr>
              <w:instrText xml:space="preserve"> PAGEREF _Toc383176399 \h </w:instrText>
            </w:r>
            <w:r>
              <w:rPr>
                <w:noProof/>
                <w:webHidden/>
              </w:rPr>
            </w:r>
            <w:r>
              <w:rPr>
                <w:noProof/>
                <w:webHidden/>
              </w:rPr>
              <w:fldChar w:fldCharType="separate"/>
            </w:r>
            <w:r>
              <w:rPr>
                <w:noProof/>
                <w:webHidden/>
              </w:rPr>
              <w:t>8</w:t>
            </w:r>
            <w:r>
              <w:rPr>
                <w:noProof/>
                <w:webHidden/>
              </w:rPr>
              <w:fldChar w:fldCharType="end"/>
            </w:r>
          </w:hyperlink>
        </w:p>
        <w:p w:rsidR="003C4F43" w:rsidRDefault="003C4F43">
          <w:pPr>
            <w:pStyle w:val="TOC2"/>
            <w:tabs>
              <w:tab w:val="left" w:pos="1100"/>
            </w:tabs>
            <w:rPr>
              <w:rFonts w:asciiTheme="minorHAnsi" w:eastAsiaTheme="minorEastAsia" w:hAnsiTheme="minorHAnsi" w:cstheme="minorBidi"/>
              <w:b w:val="0"/>
              <w:noProof/>
              <w:sz w:val="22"/>
              <w:lang w:eastAsia="en-AU"/>
            </w:rPr>
          </w:pPr>
          <w:hyperlink w:anchor="_Toc383176400" w:history="1">
            <w:r w:rsidRPr="00A67BCA">
              <w:rPr>
                <w:rStyle w:val="Hyperlink"/>
                <w:noProof/>
              </w:rPr>
              <w:t>4.</w:t>
            </w:r>
            <w:r>
              <w:rPr>
                <w:rFonts w:asciiTheme="minorHAnsi" w:eastAsiaTheme="minorEastAsia" w:hAnsiTheme="minorHAnsi" w:cstheme="minorBidi"/>
                <w:b w:val="0"/>
                <w:noProof/>
                <w:sz w:val="22"/>
                <w:lang w:eastAsia="en-AU"/>
              </w:rPr>
              <w:tab/>
            </w:r>
            <w:r w:rsidRPr="00A67BCA">
              <w:rPr>
                <w:rStyle w:val="Hyperlink"/>
                <w:noProof/>
              </w:rPr>
              <w:t>Pharmacodynamics</w:t>
            </w:r>
            <w:r>
              <w:rPr>
                <w:noProof/>
                <w:webHidden/>
              </w:rPr>
              <w:tab/>
            </w:r>
            <w:r>
              <w:rPr>
                <w:noProof/>
                <w:webHidden/>
              </w:rPr>
              <w:fldChar w:fldCharType="begin"/>
            </w:r>
            <w:r>
              <w:rPr>
                <w:noProof/>
                <w:webHidden/>
              </w:rPr>
              <w:instrText xml:space="preserve"> PAGEREF _Toc383176400 \h </w:instrText>
            </w:r>
            <w:r>
              <w:rPr>
                <w:noProof/>
                <w:webHidden/>
              </w:rPr>
            </w:r>
            <w:r>
              <w:rPr>
                <w:noProof/>
                <w:webHidden/>
              </w:rPr>
              <w:fldChar w:fldCharType="separate"/>
            </w:r>
            <w:r>
              <w:rPr>
                <w:noProof/>
                <w:webHidden/>
              </w:rPr>
              <w:t>9</w:t>
            </w:r>
            <w:r>
              <w:rPr>
                <w:noProof/>
                <w:webHidden/>
              </w:rPr>
              <w:fldChar w:fldCharType="end"/>
            </w:r>
          </w:hyperlink>
        </w:p>
        <w:p w:rsidR="003C4F43" w:rsidRDefault="003C4F43">
          <w:pPr>
            <w:pStyle w:val="TOC2"/>
            <w:tabs>
              <w:tab w:val="left" w:pos="1100"/>
            </w:tabs>
            <w:rPr>
              <w:rFonts w:asciiTheme="minorHAnsi" w:eastAsiaTheme="minorEastAsia" w:hAnsiTheme="minorHAnsi" w:cstheme="minorBidi"/>
              <w:b w:val="0"/>
              <w:noProof/>
              <w:sz w:val="22"/>
              <w:lang w:eastAsia="en-AU"/>
            </w:rPr>
          </w:pPr>
          <w:hyperlink w:anchor="_Toc383176401" w:history="1">
            <w:r w:rsidRPr="00A67BCA">
              <w:rPr>
                <w:rStyle w:val="Hyperlink"/>
                <w:noProof/>
              </w:rPr>
              <w:t>5.</w:t>
            </w:r>
            <w:r>
              <w:rPr>
                <w:rFonts w:asciiTheme="minorHAnsi" w:eastAsiaTheme="minorEastAsia" w:hAnsiTheme="minorHAnsi" w:cstheme="minorBidi"/>
                <w:b w:val="0"/>
                <w:noProof/>
                <w:sz w:val="22"/>
                <w:lang w:eastAsia="en-AU"/>
              </w:rPr>
              <w:tab/>
            </w:r>
            <w:r w:rsidRPr="00A67BCA">
              <w:rPr>
                <w:rStyle w:val="Hyperlink"/>
                <w:noProof/>
              </w:rPr>
              <w:t>Dosage selection for the pivotal studies</w:t>
            </w:r>
            <w:r>
              <w:rPr>
                <w:noProof/>
                <w:webHidden/>
              </w:rPr>
              <w:tab/>
            </w:r>
            <w:r>
              <w:rPr>
                <w:noProof/>
                <w:webHidden/>
              </w:rPr>
              <w:fldChar w:fldCharType="begin"/>
            </w:r>
            <w:r>
              <w:rPr>
                <w:noProof/>
                <w:webHidden/>
              </w:rPr>
              <w:instrText xml:space="preserve"> PAGEREF _Toc383176401 \h </w:instrText>
            </w:r>
            <w:r>
              <w:rPr>
                <w:noProof/>
                <w:webHidden/>
              </w:rPr>
            </w:r>
            <w:r>
              <w:rPr>
                <w:noProof/>
                <w:webHidden/>
              </w:rPr>
              <w:fldChar w:fldCharType="separate"/>
            </w:r>
            <w:r>
              <w:rPr>
                <w:noProof/>
                <w:webHidden/>
              </w:rPr>
              <w:t>9</w:t>
            </w:r>
            <w:r>
              <w:rPr>
                <w:noProof/>
                <w:webHidden/>
              </w:rPr>
              <w:fldChar w:fldCharType="end"/>
            </w:r>
          </w:hyperlink>
        </w:p>
        <w:p w:rsidR="003C4F43" w:rsidRDefault="003C4F43">
          <w:pPr>
            <w:pStyle w:val="TOC2"/>
            <w:tabs>
              <w:tab w:val="left" w:pos="1100"/>
            </w:tabs>
            <w:rPr>
              <w:rFonts w:asciiTheme="minorHAnsi" w:eastAsiaTheme="minorEastAsia" w:hAnsiTheme="minorHAnsi" w:cstheme="minorBidi"/>
              <w:b w:val="0"/>
              <w:noProof/>
              <w:sz w:val="22"/>
              <w:lang w:eastAsia="en-AU"/>
            </w:rPr>
          </w:pPr>
          <w:hyperlink w:anchor="_Toc383176402" w:history="1">
            <w:r w:rsidRPr="00A67BCA">
              <w:rPr>
                <w:rStyle w:val="Hyperlink"/>
                <w:noProof/>
              </w:rPr>
              <w:t>6.</w:t>
            </w:r>
            <w:r>
              <w:rPr>
                <w:rFonts w:asciiTheme="minorHAnsi" w:eastAsiaTheme="minorEastAsia" w:hAnsiTheme="minorHAnsi" w:cstheme="minorBidi"/>
                <w:b w:val="0"/>
                <w:noProof/>
                <w:sz w:val="22"/>
                <w:lang w:eastAsia="en-AU"/>
              </w:rPr>
              <w:tab/>
            </w:r>
            <w:r w:rsidRPr="00A67BCA">
              <w:rPr>
                <w:rStyle w:val="Hyperlink"/>
                <w:noProof/>
              </w:rPr>
              <w:t>Clinical efficacy</w:t>
            </w:r>
            <w:r>
              <w:rPr>
                <w:noProof/>
                <w:webHidden/>
              </w:rPr>
              <w:tab/>
            </w:r>
            <w:r>
              <w:rPr>
                <w:noProof/>
                <w:webHidden/>
              </w:rPr>
              <w:fldChar w:fldCharType="begin"/>
            </w:r>
            <w:r>
              <w:rPr>
                <w:noProof/>
                <w:webHidden/>
              </w:rPr>
              <w:instrText xml:space="preserve"> PAGEREF _Toc383176402 \h </w:instrText>
            </w:r>
            <w:r>
              <w:rPr>
                <w:noProof/>
                <w:webHidden/>
              </w:rPr>
            </w:r>
            <w:r>
              <w:rPr>
                <w:noProof/>
                <w:webHidden/>
              </w:rPr>
              <w:fldChar w:fldCharType="separate"/>
            </w:r>
            <w:r>
              <w:rPr>
                <w:noProof/>
                <w:webHidden/>
              </w:rPr>
              <w:t>9</w:t>
            </w:r>
            <w:r>
              <w:rPr>
                <w:noProof/>
                <w:webHidden/>
              </w:rPr>
              <w:fldChar w:fldCharType="end"/>
            </w:r>
          </w:hyperlink>
        </w:p>
        <w:p w:rsidR="003C4F43" w:rsidRDefault="003C4F43">
          <w:pPr>
            <w:pStyle w:val="TOC3"/>
            <w:tabs>
              <w:tab w:val="left" w:pos="1760"/>
            </w:tabs>
            <w:rPr>
              <w:rFonts w:asciiTheme="minorHAnsi" w:eastAsiaTheme="minorEastAsia" w:hAnsiTheme="minorHAnsi" w:cstheme="minorBidi"/>
              <w:noProof/>
              <w:lang w:eastAsia="en-AU"/>
            </w:rPr>
          </w:pPr>
          <w:hyperlink w:anchor="_Toc383176403" w:history="1">
            <w:r w:rsidRPr="00A67BCA">
              <w:rPr>
                <w:rStyle w:val="Hyperlink"/>
                <w:noProof/>
              </w:rPr>
              <w:t>6.1.</w:t>
            </w:r>
            <w:r>
              <w:rPr>
                <w:rFonts w:asciiTheme="minorHAnsi" w:eastAsiaTheme="minorEastAsia" w:hAnsiTheme="minorHAnsi" w:cstheme="minorBidi"/>
                <w:noProof/>
                <w:lang w:eastAsia="en-AU"/>
              </w:rPr>
              <w:tab/>
            </w:r>
            <w:r w:rsidRPr="00A67BCA">
              <w:rPr>
                <w:rStyle w:val="Hyperlink"/>
                <w:noProof/>
              </w:rPr>
              <w:t>Non-radiographic axial SpA</w:t>
            </w:r>
            <w:r>
              <w:rPr>
                <w:noProof/>
                <w:webHidden/>
              </w:rPr>
              <w:tab/>
            </w:r>
            <w:r>
              <w:rPr>
                <w:noProof/>
                <w:webHidden/>
              </w:rPr>
              <w:fldChar w:fldCharType="begin"/>
            </w:r>
            <w:r>
              <w:rPr>
                <w:noProof/>
                <w:webHidden/>
              </w:rPr>
              <w:instrText xml:space="preserve"> PAGEREF _Toc383176403 \h </w:instrText>
            </w:r>
            <w:r>
              <w:rPr>
                <w:noProof/>
                <w:webHidden/>
              </w:rPr>
            </w:r>
            <w:r>
              <w:rPr>
                <w:noProof/>
                <w:webHidden/>
              </w:rPr>
              <w:fldChar w:fldCharType="separate"/>
            </w:r>
            <w:r>
              <w:rPr>
                <w:noProof/>
                <w:webHidden/>
              </w:rPr>
              <w:t>9</w:t>
            </w:r>
            <w:r>
              <w:rPr>
                <w:noProof/>
                <w:webHidden/>
              </w:rPr>
              <w:fldChar w:fldCharType="end"/>
            </w:r>
          </w:hyperlink>
        </w:p>
        <w:p w:rsidR="003C4F43" w:rsidRDefault="003C4F43">
          <w:pPr>
            <w:pStyle w:val="TOC3"/>
            <w:tabs>
              <w:tab w:val="left" w:pos="1760"/>
            </w:tabs>
            <w:rPr>
              <w:rFonts w:asciiTheme="minorHAnsi" w:eastAsiaTheme="minorEastAsia" w:hAnsiTheme="minorHAnsi" w:cstheme="minorBidi"/>
              <w:noProof/>
              <w:lang w:eastAsia="en-AU"/>
            </w:rPr>
          </w:pPr>
          <w:hyperlink w:anchor="_Toc383176404" w:history="1">
            <w:r w:rsidRPr="00A67BCA">
              <w:rPr>
                <w:rStyle w:val="Hyperlink"/>
                <w:noProof/>
              </w:rPr>
              <w:t>6.2.</w:t>
            </w:r>
            <w:r>
              <w:rPr>
                <w:rFonts w:asciiTheme="minorHAnsi" w:eastAsiaTheme="minorEastAsia" w:hAnsiTheme="minorHAnsi" w:cstheme="minorBidi"/>
                <w:noProof/>
                <w:lang w:eastAsia="en-AU"/>
              </w:rPr>
              <w:tab/>
            </w:r>
            <w:r w:rsidRPr="00A67BCA">
              <w:rPr>
                <w:rStyle w:val="Hyperlink"/>
                <w:noProof/>
              </w:rPr>
              <w:t>Analyses performed across trials (pooled analyses and meta-analyses)</w:t>
            </w:r>
            <w:r>
              <w:rPr>
                <w:noProof/>
                <w:webHidden/>
              </w:rPr>
              <w:tab/>
            </w:r>
            <w:r>
              <w:rPr>
                <w:noProof/>
                <w:webHidden/>
              </w:rPr>
              <w:fldChar w:fldCharType="begin"/>
            </w:r>
            <w:r>
              <w:rPr>
                <w:noProof/>
                <w:webHidden/>
              </w:rPr>
              <w:instrText xml:space="preserve"> PAGEREF _Toc383176404 \h </w:instrText>
            </w:r>
            <w:r>
              <w:rPr>
                <w:noProof/>
                <w:webHidden/>
              </w:rPr>
            </w:r>
            <w:r>
              <w:rPr>
                <w:noProof/>
                <w:webHidden/>
              </w:rPr>
              <w:fldChar w:fldCharType="separate"/>
            </w:r>
            <w:r>
              <w:rPr>
                <w:noProof/>
                <w:webHidden/>
              </w:rPr>
              <w:t>16</w:t>
            </w:r>
            <w:r>
              <w:rPr>
                <w:noProof/>
                <w:webHidden/>
              </w:rPr>
              <w:fldChar w:fldCharType="end"/>
            </w:r>
          </w:hyperlink>
        </w:p>
        <w:p w:rsidR="003C4F43" w:rsidRDefault="003C4F43">
          <w:pPr>
            <w:pStyle w:val="TOC3"/>
            <w:tabs>
              <w:tab w:val="left" w:pos="1760"/>
            </w:tabs>
            <w:rPr>
              <w:rFonts w:asciiTheme="minorHAnsi" w:eastAsiaTheme="minorEastAsia" w:hAnsiTheme="minorHAnsi" w:cstheme="minorBidi"/>
              <w:noProof/>
              <w:lang w:eastAsia="en-AU"/>
            </w:rPr>
          </w:pPr>
          <w:hyperlink w:anchor="_Toc383176405" w:history="1">
            <w:r w:rsidRPr="00A67BCA">
              <w:rPr>
                <w:rStyle w:val="Hyperlink"/>
                <w:noProof/>
              </w:rPr>
              <w:t>6.3.</w:t>
            </w:r>
            <w:r>
              <w:rPr>
                <w:rFonts w:asciiTheme="minorHAnsi" w:eastAsiaTheme="minorEastAsia" w:hAnsiTheme="minorHAnsi" w:cstheme="minorBidi"/>
                <w:noProof/>
                <w:lang w:eastAsia="en-AU"/>
              </w:rPr>
              <w:tab/>
            </w:r>
            <w:r w:rsidRPr="00A67BCA">
              <w:rPr>
                <w:rStyle w:val="Hyperlink"/>
                <w:noProof/>
              </w:rPr>
              <w:t>Evaluator’s conclusions on clinical efficacy</w:t>
            </w:r>
            <w:r>
              <w:rPr>
                <w:noProof/>
                <w:webHidden/>
              </w:rPr>
              <w:tab/>
            </w:r>
            <w:r>
              <w:rPr>
                <w:noProof/>
                <w:webHidden/>
              </w:rPr>
              <w:fldChar w:fldCharType="begin"/>
            </w:r>
            <w:r>
              <w:rPr>
                <w:noProof/>
                <w:webHidden/>
              </w:rPr>
              <w:instrText xml:space="preserve"> PAGEREF _Toc383176405 \h </w:instrText>
            </w:r>
            <w:r>
              <w:rPr>
                <w:noProof/>
                <w:webHidden/>
              </w:rPr>
            </w:r>
            <w:r>
              <w:rPr>
                <w:noProof/>
                <w:webHidden/>
              </w:rPr>
              <w:fldChar w:fldCharType="separate"/>
            </w:r>
            <w:r>
              <w:rPr>
                <w:noProof/>
                <w:webHidden/>
              </w:rPr>
              <w:t>19</w:t>
            </w:r>
            <w:r>
              <w:rPr>
                <w:noProof/>
                <w:webHidden/>
              </w:rPr>
              <w:fldChar w:fldCharType="end"/>
            </w:r>
          </w:hyperlink>
        </w:p>
        <w:p w:rsidR="003C4F43" w:rsidRDefault="003C4F43">
          <w:pPr>
            <w:pStyle w:val="TOC2"/>
            <w:tabs>
              <w:tab w:val="left" w:pos="1100"/>
            </w:tabs>
            <w:rPr>
              <w:rFonts w:asciiTheme="minorHAnsi" w:eastAsiaTheme="minorEastAsia" w:hAnsiTheme="minorHAnsi" w:cstheme="minorBidi"/>
              <w:b w:val="0"/>
              <w:noProof/>
              <w:sz w:val="22"/>
              <w:lang w:eastAsia="en-AU"/>
            </w:rPr>
          </w:pPr>
          <w:hyperlink w:anchor="_Toc383176406" w:history="1">
            <w:r w:rsidRPr="00A67BCA">
              <w:rPr>
                <w:rStyle w:val="Hyperlink"/>
                <w:noProof/>
              </w:rPr>
              <w:t>7.</w:t>
            </w:r>
            <w:r>
              <w:rPr>
                <w:rFonts w:asciiTheme="minorHAnsi" w:eastAsiaTheme="minorEastAsia" w:hAnsiTheme="minorHAnsi" w:cstheme="minorBidi"/>
                <w:b w:val="0"/>
                <w:noProof/>
                <w:sz w:val="22"/>
                <w:lang w:eastAsia="en-AU"/>
              </w:rPr>
              <w:tab/>
            </w:r>
            <w:r w:rsidRPr="00A67BCA">
              <w:rPr>
                <w:rStyle w:val="Hyperlink"/>
                <w:noProof/>
              </w:rPr>
              <w:t>Clinical safety</w:t>
            </w:r>
            <w:r>
              <w:rPr>
                <w:noProof/>
                <w:webHidden/>
              </w:rPr>
              <w:tab/>
            </w:r>
            <w:r>
              <w:rPr>
                <w:noProof/>
                <w:webHidden/>
              </w:rPr>
              <w:fldChar w:fldCharType="begin"/>
            </w:r>
            <w:r>
              <w:rPr>
                <w:noProof/>
                <w:webHidden/>
              </w:rPr>
              <w:instrText xml:space="preserve"> PAGEREF _Toc383176406 \h </w:instrText>
            </w:r>
            <w:r>
              <w:rPr>
                <w:noProof/>
                <w:webHidden/>
              </w:rPr>
            </w:r>
            <w:r>
              <w:rPr>
                <w:noProof/>
                <w:webHidden/>
              </w:rPr>
              <w:fldChar w:fldCharType="separate"/>
            </w:r>
            <w:r>
              <w:rPr>
                <w:noProof/>
                <w:webHidden/>
              </w:rPr>
              <w:t>20</w:t>
            </w:r>
            <w:r>
              <w:rPr>
                <w:noProof/>
                <w:webHidden/>
              </w:rPr>
              <w:fldChar w:fldCharType="end"/>
            </w:r>
          </w:hyperlink>
        </w:p>
        <w:p w:rsidR="003C4F43" w:rsidRDefault="003C4F43">
          <w:pPr>
            <w:pStyle w:val="TOC3"/>
            <w:tabs>
              <w:tab w:val="left" w:pos="1760"/>
            </w:tabs>
            <w:rPr>
              <w:rFonts w:asciiTheme="minorHAnsi" w:eastAsiaTheme="minorEastAsia" w:hAnsiTheme="minorHAnsi" w:cstheme="minorBidi"/>
              <w:noProof/>
              <w:lang w:eastAsia="en-AU"/>
            </w:rPr>
          </w:pPr>
          <w:hyperlink w:anchor="_Toc383176407" w:history="1">
            <w:r w:rsidRPr="00A67BCA">
              <w:rPr>
                <w:rStyle w:val="Hyperlink"/>
                <w:noProof/>
              </w:rPr>
              <w:t>7.1.</w:t>
            </w:r>
            <w:r>
              <w:rPr>
                <w:rFonts w:asciiTheme="minorHAnsi" w:eastAsiaTheme="minorEastAsia" w:hAnsiTheme="minorHAnsi" w:cstheme="minorBidi"/>
                <w:noProof/>
                <w:lang w:eastAsia="en-AU"/>
              </w:rPr>
              <w:tab/>
            </w:r>
            <w:r w:rsidRPr="00A67BCA">
              <w:rPr>
                <w:rStyle w:val="Hyperlink"/>
                <w:noProof/>
              </w:rPr>
              <w:t>Studies providing evaluable safety data</w:t>
            </w:r>
            <w:r>
              <w:rPr>
                <w:noProof/>
                <w:webHidden/>
              </w:rPr>
              <w:tab/>
            </w:r>
            <w:r>
              <w:rPr>
                <w:noProof/>
                <w:webHidden/>
              </w:rPr>
              <w:fldChar w:fldCharType="begin"/>
            </w:r>
            <w:r>
              <w:rPr>
                <w:noProof/>
                <w:webHidden/>
              </w:rPr>
              <w:instrText xml:space="preserve"> PAGEREF _Toc383176407 \h </w:instrText>
            </w:r>
            <w:r>
              <w:rPr>
                <w:noProof/>
                <w:webHidden/>
              </w:rPr>
            </w:r>
            <w:r>
              <w:rPr>
                <w:noProof/>
                <w:webHidden/>
              </w:rPr>
              <w:fldChar w:fldCharType="separate"/>
            </w:r>
            <w:r>
              <w:rPr>
                <w:noProof/>
                <w:webHidden/>
              </w:rPr>
              <w:t>20</w:t>
            </w:r>
            <w:r>
              <w:rPr>
                <w:noProof/>
                <w:webHidden/>
              </w:rPr>
              <w:fldChar w:fldCharType="end"/>
            </w:r>
          </w:hyperlink>
        </w:p>
        <w:p w:rsidR="003C4F43" w:rsidRDefault="003C4F43">
          <w:pPr>
            <w:pStyle w:val="TOC3"/>
            <w:tabs>
              <w:tab w:val="left" w:pos="1760"/>
            </w:tabs>
            <w:rPr>
              <w:rFonts w:asciiTheme="minorHAnsi" w:eastAsiaTheme="minorEastAsia" w:hAnsiTheme="minorHAnsi" w:cstheme="minorBidi"/>
              <w:noProof/>
              <w:lang w:eastAsia="en-AU"/>
            </w:rPr>
          </w:pPr>
          <w:hyperlink w:anchor="_Toc383176408" w:history="1">
            <w:r w:rsidRPr="00A67BCA">
              <w:rPr>
                <w:rStyle w:val="Hyperlink"/>
                <w:noProof/>
              </w:rPr>
              <w:t>7.2.</w:t>
            </w:r>
            <w:r>
              <w:rPr>
                <w:rFonts w:asciiTheme="minorHAnsi" w:eastAsiaTheme="minorEastAsia" w:hAnsiTheme="minorHAnsi" w:cstheme="minorBidi"/>
                <w:noProof/>
                <w:lang w:eastAsia="en-AU"/>
              </w:rPr>
              <w:tab/>
            </w:r>
            <w:r w:rsidRPr="00A67BCA">
              <w:rPr>
                <w:rStyle w:val="Hyperlink"/>
                <w:noProof/>
              </w:rPr>
              <w:t>Pivotal studies that assessed safety as a primary outcome</w:t>
            </w:r>
            <w:r>
              <w:rPr>
                <w:noProof/>
                <w:webHidden/>
              </w:rPr>
              <w:tab/>
            </w:r>
            <w:r>
              <w:rPr>
                <w:noProof/>
                <w:webHidden/>
              </w:rPr>
              <w:fldChar w:fldCharType="begin"/>
            </w:r>
            <w:r>
              <w:rPr>
                <w:noProof/>
                <w:webHidden/>
              </w:rPr>
              <w:instrText xml:space="preserve"> PAGEREF _Toc383176408 \h </w:instrText>
            </w:r>
            <w:r>
              <w:rPr>
                <w:noProof/>
                <w:webHidden/>
              </w:rPr>
            </w:r>
            <w:r>
              <w:rPr>
                <w:noProof/>
                <w:webHidden/>
              </w:rPr>
              <w:fldChar w:fldCharType="separate"/>
            </w:r>
            <w:r>
              <w:rPr>
                <w:noProof/>
                <w:webHidden/>
              </w:rPr>
              <w:t>20</w:t>
            </w:r>
            <w:r>
              <w:rPr>
                <w:noProof/>
                <w:webHidden/>
              </w:rPr>
              <w:fldChar w:fldCharType="end"/>
            </w:r>
          </w:hyperlink>
        </w:p>
        <w:p w:rsidR="003C4F43" w:rsidRDefault="003C4F43">
          <w:pPr>
            <w:pStyle w:val="TOC3"/>
            <w:tabs>
              <w:tab w:val="left" w:pos="1760"/>
            </w:tabs>
            <w:rPr>
              <w:rFonts w:asciiTheme="minorHAnsi" w:eastAsiaTheme="minorEastAsia" w:hAnsiTheme="minorHAnsi" w:cstheme="minorBidi"/>
              <w:noProof/>
              <w:lang w:eastAsia="en-AU"/>
            </w:rPr>
          </w:pPr>
          <w:hyperlink w:anchor="_Toc383176409" w:history="1">
            <w:r w:rsidRPr="00A67BCA">
              <w:rPr>
                <w:rStyle w:val="Hyperlink"/>
                <w:noProof/>
              </w:rPr>
              <w:t>7.3.</w:t>
            </w:r>
            <w:r>
              <w:rPr>
                <w:rFonts w:asciiTheme="minorHAnsi" w:eastAsiaTheme="minorEastAsia" w:hAnsiTheme="minorHAnsi" w:cstheme="minorBidi"/>
                <w:noProof/>
                <w:lang w:eastAsia="en-AU"/>
              </w:rPr>
              <w:tab/>
            </w:r>
            <w:r w:rsidRPr="00A67BCA">
              <w:rPr>
                <w:rStyle w:val="Hyperlink"/>
                <w:noProof/>
              </w:rPr>
              <w:t>Patient exposure</w:t>
            </w:r>
            <w:r>
              <w:rPr>
                <w:noProof/>
                <w:webHidden/>
              </w:rPr>
              <w:tab/>
            </w:r>
            <w:r>
              <w:rPr>
                <w:noProof/>
                <w:webHidden/>
              </w:rPr>
              <w:fldChar w:fldCharType="begin"/>
            </w:r>
            <w:r>
              <w:rPr>
                <w:noProof/>
                <w:webHidden/>
              </w:rPr>
              <w:instrText xml:space="preserve"> PAGEREF _Toc383176409 \h </w:instrText>
            </w:r>
            <w:r>
              <w:rPr>
                <w:noProof/>
                <w:webHidden/>
              </w:rPr>
            </w:r>
            <w:r>
              <w:rPr>
                <w:noProof/>
                <w:webHidden/>
              </w:rPr>
              <w:fldChar w:fldCharType="separate"/>
            </w:r>
            <w:r>
              <w:rPr>
                <w:noProof/>
                <w:webHidden/>
              </w:rPr>
              <w:t>20</w:t>
            </w:r>
            <w:r>
              <w:rPr>
                <w:noProof/>
                <w:webHidden/>
              </w:rPr>
              <w:fldChar w:fldCharType="end"/>
            </w:r>
          </w:hyperlink>
        </w:p>
        <w:p w:rsidR="003C4F43" w:rsidRDefault="003C4F43">
          <w:pPr>
            <w:pStyle w:val="TOC3"/>
            <w:tabs>
              <w:tab w:val="left" w:pos="1760"/>
            </w:tabs>
            <w:rPr>
              <w:rFonts w:asciiTheme="minorHAnsi" w:eastAsiaTheme="minorEastAsia" w:hAnsiTheme="minorHAnsi" w:cstheme="minorBidi"/>
              <w:noProof/>
              <w:lang w:eastAsia="en-AU"/>
            </w:rPr>
          </w:pPr>
          <w:hyperlink w:anchor="_Toc383176410" w:history="1">
            <w:r w:rsidRPr="00A67BCA">
              <w:rPr>
                <w:rStyle w:val="Hyperlink"/>
                <w:noProof/>
              </w:rPr>
              <w:t>7.4.</w:t>
            </w:r>
            <w:r>
              <w:rPr>
                <w:rFonts w:asciiTheme="minorHAnsi" w:eastAsiaTheme="minorEastAsia" w:hAnsiTheme="minorHAnsi" w:cstheme="minorBidi"/>
                <w:noProof/>
                <w:lang w:eastAsia="en-AU"/>
              </w:rPr>
              <w:tab/>
            </w:r>
            <w:r w:rsidRPr="00A67BCA">
              <w:rPr>
                <w:rStyle w:val="Hyperlink"/>
                <w:noProof/>
              </w:rPr>
              <w:t>Adverse events</w:t>
            </w:r>
            <w:r>
              <w:rPr>
                <w:noProof/>
                <w:webHidden/>
              </w:rPr>
              <w:tab/>
            </w:r>
            <w:r>
              <w:rPr>
                <w:noProof/>
                <w:webHidden/>
              </w:rPr>
              <w:fldChar w:fldCharType="begin"/>
            </w:r>
            <w:r>
              <w:rPr>
                <w:noProof/>
                <w:webHidden/>
              </w:rPr>
              <w:instrText xml:space="preserve"> PAGEREF _Toc383176410 \h </w:instrText>
            </w:r>
            <w:r>
              <w:rPr>
                <w:noProof/>
                <w:webHidden/>
              </w:rPr>
            </w:r>
            <w:r>
              <w:rPr>
                <w:noProof/>
                <w:webHidden/>
              </w:rPr>
              <w:fldChar w:fldCharType="separate"/>
            </w:r>
            <w:r>
              <w:rPr>
                <w:noProof/>
                <w:webHidden/>
              </w:rPr>
              <w:t>20</w:t>
            </w:r>
            <w:r>
              <w:rPr>
                <w:noProof/>
                <w:webHidden/>
              </w:rPr>
              <w:fldChar w:fldCharType="end"/>
            </w:r>
          </w:hyperlink>
        </w:p>
        <w:p w:rsidR="003C4F43" w:rsidRDefault="003C4F43">
          <w:pPr>
            <w:pStyle w:val="TOC3"/>
            <w:tabs>
              <w:tab w:val="left" w:pos="1760"/>
            </w:tabs>
            <w:rPr>
              <w:rFonts w:asciiTheme="minorHAnsi" w:eastAsiaTheme="minorEastAsia" w:hAnsiTheme="minorHAnsi" w:cstheme="minorBidi"/>
              <w:noProof/>
              <w:lang w:eastAsia="en-AU"/>
            </w:rPr>
          </w:pPr>
          <w:hyperlink w:anchor="_Toc383176411" w:history="1">
            <w:r w:rsidRPr="00A67BCA">
              <w:rPr>
                <w:rStyle w:val="Hyperlink"/>
                <w:noProof/>
              </w:rPr>
              <w:t>7.5.</w:t>
            </w:r>
            <w:r>
              <w:rPr>
                <w:rFonts w:asciiTheme="minorHAnsi" w:eastAsiaTheme="minorEastAsia" w:hAnsiTheme="minorHAnsi" w:cstheme="minorBidi"/>
                <w:noProof/>
                <w:lang w:eastAsia="en-AU"/>
              </w:rPr>
              <w:tab/>
            </w:r>
            <w:r w:rsidRPr="00A67BCA">
              <w:rPr>
                <w:rStyle w:val="Hyperlink"/>
                <w:noProof/>
              </w:rPr>
              <w:t>Laboratory tests</w:t>
            </w:r>
            <w:r>
              <w:rPr>
                <w:noProof/>
                <w:webHidden/>
              </w:rPr>
              <w:tab/>
            </w:r>
            <w:r>
              <w:rPr>
                <w:noProof/>
                <w:webHidden/>
              </w:rPr>
              <w:fldChar w:fldCharType="begin"/>
            </w:r>
            <w:r>
              <w:rPr>
                <w:noProof/>
                <w:webHidden/>
              </w:rPr>
              <w:instrText xml:space="preserve"> PAGEREF _Toc383176411 \h </w:instrText>
            </w:r>
            <w:r>
              <w:rPr>
                <w:noProof/>
                <w:webHidden/>
              </w:rPr>
            </w:r>
            <w:r>
              <w:rPr>
                <w:noProof/>
                <w:webHidden/>
              </w:rPr>
              <w:fldChar w:fldCharType="separate"/>
            </w:r>
            <w:r>
              <w:rPr>
                <w:noProof/>
                <w:webHidden/>
              </w:rPr>
              <w:t>25</w:t>
            </w:r>
            <w:r>
              <w:rPr>
                <w:noProof/>
                <w:webHidden/>
              </w:rPr>
              <w:fldChar w:fldCharType="end"/>
            </w:r>
          </w:hyperlink>
        </w:p>
        <w:p w:rsidR="003C4F43" w:rsidRDefault="003C4F43">
          <w:pPr>
            <w:pStyle w:val="TOC3"/>
            <w:tabs>
              <w:tab w:val="left" w:pos="1760"/>
            </w:tabs>
            <w:rPr>
              <w:rFonts w:asciiTheme="minorHAnsi" w:eastAsiaTheme="minorEastAsia" w:hAnsiTheme="minorHAnsi" w:cstheme="minorBidi"/>
              <w:noProof/>
              <w:lang w:eastAsia="en-AU"/>
            </w:rPr>
          </w:pPr>
          <w:hyperlink w:anchor="_Toc383176412" w:history="1">
            <w:r w:rsidRPr="00A67BCA">
              <w:rPr>
                <w:rStyle w:val="Hyperlink"/>
                <w:noProof/>
              </w:rPr>
              <w:t>7.6.</w:t>
            </w:r>
            <w:r>
              <w:rPr>
                <w:rFonts w:asciiTheme="minorHAnsi" w:eastAsiaTheme="minorEastAsia" w:hAnsiTheme="minorHAnsi" w:cstheme="minorBidi"/>
                <w:noProof/>
                <w:lang w:eastAsia="en-AU"/>
              </w:rPr>
              <w:tab/>
            </w:r>
            <w:r w:rsidRPr="00A67BCA">
              <w:rPr>
                <w:rStyle w:val="Hyperlink"/>
                <w:noProof/>
              </w:rPr>
              <w:t>Postmarketing experience</w:t>
            </w:r>
            <w:r>
              <w:rPr>
                <w:noProof/>
                <w:webHidden/>
              </w:rPr>
              <w:tab/>
            </w:r>
            <w:r>
              <w:rPr>
                <w:noProof/>
                <w:webHidden/>
              </w:rPr>
              <w:fldChar w:fldCharType="begin"/>
            </w:r>
            <w:r>
              <w:rPr>
                <w:noProof/>
                <w:webHidden/>
              </w:rPr>
              <w:instrText xml:space="preserve"> PAGEREF _Toc383176412 \h </w:instrText>
            </w:r>
            <w:r>
              <w:rPr>
                <w:noProof/>
                <w:webHidden/>
              </w:rPr>
            </w:r>
            <w:r>
              <w:rPr>
                <w:noProof/>
                <w:webHidden/>
              </w:rPr>
              <w:fldChar w:fldCharType="separate"/>
            </w:r>
            <w:r>
              <w:rPr>
                <w:noProof/>
                <w:webHidden/>
              </w:rPr>
              <w:t>25</w:t>
            </w:r>
            <w:r>
              <w:rPr>
                <w:noProof/>
                <w:webHidden/>
              </w:rPr>
              <w:fldChar w:fldCharType="end"/>
            </w:r>
          </w:hyperlink>
        </w:p>
        <w:p w:rsidR="003C4F43" w:rsidRDefault="003C4F43">
          <w:pPr>
            <w:pStyle w:val="TOC3"/>
            <w:tabs>
              <w:tab w:val="left" w:pos="1760"/>
            </w:tabs>
            <w:rPr>
              <w:rFonts w:asciiTheme="minorHAnsi" w:eastAsiaTheme="minorEastAsia" w:hAnsiTheme="minorHAnsi" w:cstheme="minorBidi"/>
              <w:noProof/>
              <w:lang w:eastAsia="en-AU"/>
            </w:rPr>
          </w:pPr>
          <w:hyperlink w:anchor="_Toc383176413" w:history="1">
            <w:r w:rsidRPr="00A67BCA">
              <w:rPr>
                <w:rStyle w:val="Hyperlink"/>
                <w:noProof/>
              </w:rPr>
              <w:t>7.7.</w:t>
            </w:r>
            <w:r>
              <w:rPr>
                <w:rFonts w:asciiTheme="minorHAnsi" w:eastAsiaTheme="minorEastAsia" w:hAnsiTheme="minorHAnsi" w:cstheme="minorBidi"/>
                <w:noProof/>
                <w:lang w:eastAsia="en-AU"/>
              </w:rPr>
              <w:tab/>
            </w:r>
            <w:r w:rsidRPr="00A67BCA">
              <w:rPr>
                <w:rStyle w:val="Hyperlink"/>
                <w:noProof/>
              </w:rPr>
              <w:t>Evaluator’s overall conclusions on clinical safety</w:t>
            </w:r>
            <w:r>
              <w:rPr>
                <w:noProof/>
                <w:webHidden/>
              </w:rPr>
              <w:tab/>
            </w:r>
            <w:r>
              <w:rPr>
                <w:noProof/>
                <w:webHidden/>
              </w:rPr>
              <w:fldChar w:fldCharType="begin"/>
            </w:r>
            <w:r>
              <w:rPr>
                <w:noProof/>
                <w:webHidden/>
              </w:rPr>
              <w:instrText xml:space="preserve"> PAGEREF _Toc383176413 \h </w:instrText>
            </w:r>
            <w:r>
              <w:rPr>
                <w:noProof/>
                <w:webHidden/>
              </w:rPr>
            </w:r>
            <w:r>
              <w:rPr>
                <w:noProof/>
                <w:webHidden/>
              </w:rPr>
              <w:fldChar w:fldCharType="separate"/>
            </w:r>
            <w:r>
              <w:rPr>
                <w:noProof/>
                <w:webHidden/>
              </w:rPr>
              <w:t>25</w:t>
            </w:r>
            <w:r>
              <w:rPr>
                <w:noProof/>
                <w:webHidden/>
              </w:rPr>
              <w:fldChar w:fldCharType="end"/>
            </w:r>
          </w:hyperlink>
        </w:p>
        <w:p w:rsidR="003C4F43" w:rsidRDefault="003C4F43">
          <w:pPr>
            <w:pStyle w:val="TOC2"/>
            <w:tabs>
              <w:tab w:val="left" w:pos="1100"/>
            </w:tabs>
            <w:rPr>
              <w:rFonts w:asciiTheme="minorHAnsi" w:eastAsiaTheme="minorEastAsia" w:hAnsiTheme="minorHAnsi" w:cstheme="minorBidi"/>
              <w:b w:val="0"/>
              <w:noProof/>
              <w:sz w:val="22"/>
              <w:lang w:eastAsia="en-AU"/>
            </w:rPr>
          </w:pPr>
          <w:hyperlink w:anchor="_Toc383176414" w:history="1">
            <w:r w:rsidRPr="00A67BCA">
              <w:rPr>
                <w:rStyle w:val="Hyperlink"/>
                <w:noProof/>
              </w:rPr>
              <w:t>8.</w:t>
            </w:r>
            <w:r>
              <w:rPr>
                <w:rFonts w:asciiTheme="minorHAnsi" w:eastAsiaTheme="minorEastAsia" w:hAnsiTheme="minorHAnsi" w:cstheme="minorBidi"/>
                <w:b w:val="0"/>
                <w:noProof/>
                <w:sz w:val="22"/>
                <w:lang w:eastAsia="en-AU"/>
              </w:rPr>
              <w:tab/>
            </w:r>
            <w:r w:rsidRPr="00A67BCA">
              <w:rPr>
                <w:rStyle w:val="Hyperlink"/>
                <w:noProof/>
              </w:rPr>
              <w:t>First round benefit-risk assessment</w:t>
            </w:r>
            <w:r>
              <w:rPr>
                <w:noProof/>
                <w:webHidden/>
              </w:rPr>
              <w:tab/>
            </w:r>
            <w:r>
              <w:rPr>
                <w:noProof/>
                <w:webHidden/>
              </w:rPr>
              <w:fldChar w:fldCharType="begin"/>
            </w:r>
            <w:r>
              <w:rPr>
                <w:noProof/>
                <w:webHidden/>
              </w:rPr>
              <w:instrText xml:space="preserve"> PAGEREF _Toc383176414 \h </w:instrText>
            </w:r>
            <w:r>
              <w:rPr>
                <w:noProof/>
                <w:webHidden/>
              </w:rPr>
            </w:r>
            <w:r>
              <w:rPr>
                <w:noProof/>
                <w:webHidden/>
              </w:rPr>
              <w:fldChar w:fldCharType="separate"/>
            </w:r>
            <w:r>
              <w:rPr>
                <w:noProof/>
                <w:webHidden/>
              </w:rPr>
              <w:t>26</w:t>
            </w:r>
            <w:r>
              <w:rPr>
                <w:noProof/>
                <w:webHidden/>
              </w:rPr>
              <w:fldChar w:fldCharType="end"/>
            </w:r>
          </w:hyperlink>
        </w:p>
        <w:p w:rsidR="003C4F43" w:rsidRDefault="003C4F43">
          <w:pPr>
            <w:pStyle w:val="TOC3"/>
            <w:tabs>
              <w:tab w:val="left" w:pos="1760"/>
            </w:tabs>
            <w:rPr>
              <w:rFonts w:asciiTheme="minorHAnsi" w:eastAsiaTheme="minorEastAsia" w:hAnsiTheme="minorHAnsi" w:cstheme="minorBidi"/>
              <w:noProof/>
              <w:lang w:eastAsia="en-AU"/>
            </w:rPr>
          </w:pPr>
          <w:hyperlink w:anchor="_Toc383176415" w:history="1">
            <w:r w:rsidRPr="00A67BCA">
              <w:rPr>
                <w:rStyle w:val="Hyperlink"/>
                <w:noProof/>
              </w:rPr>
              <w:t>8.1.</w:t>
            </w:r>
            <w:r>
              <w:rPr>
                <w:rFonts w:asciiTheme="minorHAnsi" w:eastAsiaTheme="minorEastAsia" w:hAnsiTheme="minorHAnsi" w:cstheme="minorBidi"/>
                <w:noProof/>
                <w:lang w:eastAsia="en-AU"/>
              </w:rPr>
              <w:tab/>
            </w:r>
            <w:r w:rsidRPr="00A67BCA">
              <w:rPr>
                <w:rStyle w:val="Hyperlink"/>
                <w:noProof/>
              </w:rPr>
              <w:t>First round assessment of benefits</w:t>
            </w:r>
            <w:r>
              <w:rPr>
                <w:noProof/>
                <w:webHidden/>
              </w:rPr>
              <w:tab/>
            </w:r>
            <w:r>
              <w:rPr>
                <w:noProof/>
                <w:webHidden/>
              </w:rPr>
              <w:fldChar w:fldCharType="begin"/>
            </w:r>
            <w:r>
              <w:rPr>
                <w:noProof/>
                <w:webHidden/>
              </w:rPr>
              <w:instrText xml:space="preserve"> PAGEREF _Toc383176415 \h </w:instrText>
            </w:r>
            <w:r>
              <w:rPr>
                <w:noProof/>
                <w:webHidden/>
              </w:rPr>
            </w:r>
            <w:r>
              <w:rPr>
                <w:noProof/>
                <w:webHidden/>
              </w:rPr>
              <w:fldChar w:fldCharType="separate"/>
            </w:r>
            <w:r>
              <w:rPr>
                <w:noProof/>
                <w:webHidden/>
              </w:rPr>
              <w:t>26</w:t>
            </w:r>
            <w:r>
              <w:rPr>
                <w:noProof/>
                <w:webHidden/>
              </w:rPr>
              <w:fldChar w:fldCharType="end"/>
            </w:r>
          </w:hyperlink>
        </w:p>
        <w:p w:rsidR="003C4F43" w:rsidRDefault="003C4F43">
          <w:pPr>
            <w:pStyle w:val="TOC3"/>
            <w:tabs>
              <w:tab w:val="left" w:pos="1760"/>
            </w:tabs>
            <w:rPr>
              <w:rFonts w:asciiTheme="minorHAnsi" w:eastAsiaTheme="minorEastAsia" w:hAnsiTheme="minorHAnsi" w:cstheme="minorBidi"/>
              <w:noProof/>
              <w:lang w:eastAsia="en-AU"/>
            </w:rPr>
          </w:pPr>
          <w:hyperlink w:anchor="_Toc383176416" w:history="1">
            <w:r w:rsidRPr="00A67BCA">
              <w:rPr>
                <w:rStyle w:val="Hyperlink"/>
                <w:noProof/>
              </w:rPr>
              <w:t>8.2.</w:t>
            </w:r>
            <w:r>
              <w:rPr>
                <w:rFonts w:asciiTheme="minorHAnsi" w:eastAsiaTheme="minorEastAsia" w:hAnsiTheme="minorHAnsi" w:cstheme="minorBidi"/>
                <w:noProof/>
                <w:lang w:eastAsia="en-AU"/>
              </w:rPr>
              <w:tab/>
            </w:r>
            <w:r w:rsidRPr="00A67BCA">
              <w:rPr>
                <w:rStyle w:val="Hyperlink"/>
                <w:noProof/>
              </w:rPr>
              <w:t>First round assessment of risks</w:t>
            </w:r>
            <w:r>
              <w:rPr>
                <w:noProof/>
                <w:webHidden/>
              </w:rPr>
              <w:tab/>
            </w:r>
            <w:r>
              <w:rPr>
                <w:noProof/>
                <w:webHidden/>
              </w:rPr>
              <w:fldChar w:fldCharType="begin"/>
            </w:r>
            <w:r>
              <w:rPr>
                <w:noProof/>
                <w:webHidden/>
              </w:rPr>
              <w:instrText xml:space="preserve"> PAGEREF _Toc383176416 \h </w:instrText>
            </w:r>
            <w:r>
              <w:rPr>
                <w:noProof/>
                <w:webHidden/>
              </w:rPr>
            </w:r>
            <w:r>
              <w:rPr>
                <w:noProof/>
                <w:webHidden/>
              </w:rPr>
              <w:fldChar w:fldCharType="separate"/>
            </w:r>
            <w:r>
              <w:rPr>
                <w:noProof/>
                <w:webHidden/>
              </w:rPr>
              <w:t>26</w:t>
            </w:r>
            <w:r>
              <w:rPr>
                <w:noProof/>
                <w:webHidden/>
              </w:rPr>
              <w:fldChar w:fldCharType="end"/>
            </w:r>
          </w:hyperlink>
        </w:p>
        <w:p w:rsidR="003C4F43" w:rsidRDefault="003C4F43">
          <w:pPr>
            <w:pStyle w:val="TOC3"/>
            <w:tabs>
              <w:tab w:val="left" w:pos="1760"/>
            </w:tabs>
            <w:rPr>
              <w:rFonts w:asciiTheme="minorHAnsi" w:eastAsiaTheme="minorEastAsia" w:hAnsiTheme="minorHAnsi" w:cstheme="minorBidi"/>
              <w:noProof/>
              <w:lang w:eastAsia="en-AU"/>
            </w:rPr>
          </w:pPr>
          <w:hyperlink w:anchor="_Toc383176417" w:history="1">
            <w:r w:rsidRPr="00A67BCA">
              <w:rPr>
                <w:rStyle w:val="Hyperlink"/>
                <w:noProof/>
              </w:rPr>
              <w:t>8.3.</w:t>
            </w:r>
            <w:r>
              <w:rPr>
                <w:rFonts w:asciiTheme="minorHAnsi" w:eastAsiaTheme="minorEastAsia" w:hAnsiTheme="minorHAnsi" w:cstheme="minorBidi"/>
                <w:noProof/>
                <w:lang w:eastAsia="en-AU"/>
              </w:rPr>
              <w:tab/>
            </w:r>
            <w:r w:rsidRPr="00A67BCA">
              <w:rPr>
                <w:rStyle w:val="Hyperlink"/>
                <w:noProof/>
              </w:rPr>
              <w:t>First round assessment of benefit-risk balance</w:t>
            </w:r>
            <w:r>
              <w:rPr>
                <w:noProof/>
                <w:webHidden/>
              </w:rPr>
              <w:tab/>
            </w:r>
            <w:r>
              <w:rPr>
                <w:noProof/>
                <w:webHidden/>
              </w:rPr>
              <w:fldChar w:fldCharType="begin"/>
            </w:r>
            <w:r>
              <w:rPr>
                <w:noProof/>
                <w:webHidden/>
              </w:rPr>
              <w:instrText xml:space="preserve"> PAGEREF _Toc383176417 \h </w:instrText>
            </w:r>
            <w:r>
              <w:rPr>
                <w:noProof/>
                <w:webHidden/>
              </w:rPr>
            </w:r>
            <w:r>
              <w:rPr>
                <w:noProof/>
                <w:webHidden/>
              </w:rPr>
              <w:fldChar w:fldCharType="separate"/>
            </w:r>
            <w:r>
              <w:rPr>
                <w:noProof/>
                <w:webHidden/>
              </w:rPr>
              <w:t>27</w:t>
            </w:r>
            <w:r>
              <w:rPr>
                <w:noProof/>
                <w:webHidden/>
              </w:rPr>
              <w:fldChar w:fldCharType="end"/>
            </w:r>
          </w:hyperlink>
        </w:p>
        <w:p w:rsidR="003C4F43" w:rsidRDefault="003C4F43">
          <w:pPr>
            <w:pStyle w:val="TOC2"/>
            <w:tabs>
              <w:tab w:val="left" w:pos="1100"/>
            </w:tabs>
            <w:rPr>
              <w:rFonts w:asciiTheme="minorHAnsi" w:eastAsiaTheme="minorEastAsia" w:hAnsiTheme="minorHAnsi" w:cstheme="minorBidi"/>
              <w:b w:val="0"/>
              <w:noProof/>
              <w:sz w:val="22"/>
              <w:lang w:eastAsia="en-AU"/>
            </w:rPr>
          </w:pPr>
          <w:hyperlink w:anchor="_Toc383176418" w:history="1">
            <w:r w:rsidRPr="00A67BCA">
              <w:rPr>
                <w:rStyle w:val="Hyperlink"/>
                <w:noProof/>
              </w:rPr>
              <w:t>9.</w:t>
            </w:r>
            <w:r>
              <w:rPr>
                <w:rFonts w:asciiTheme="minorHAnsi" w:eastAsiaTheme="minorEastAsia" w:hAnsiTheme="minorHAnsi" w:cstheme="minorBidi"/>
                <w:b w:val="0"/>
                <w:noProof/>
                <w:sz w:val="22"/>
                <w:lang w:eastAsia="en-AU"/>
              </w:rPr>
              <w:tab/>
            </w:r>
            <w:r w:rsidRPr="00A67BCA">
              <w:rPr>
                <w:rStyle w:val="Hyperlink"/>
                <w:noProof/>
              </w:rPr>
              <w:t>First round recommendation regarding authorisation</w:t>
            </w:r>
            <w:r>
              <w:rPr>
                <w:noProof/>
                <w:webHidden/>
              </w:rPr>
              <w:tab/>
            </w:r>
            <w:r>
              <w:rPr>
                <w:noProof/>
                <w:webHidden/>
              </w:rPr>
              <w:fldChar w:fldCharType="begin"/>
            </w:r>
            <w:r>
              <w:rPr>
                <w:noProof/>
                <w:webHidden/>
              </w:rPr>
              <w:instrText xml:space="preserve"> PAGEREF _Toc383176418 \h </w:instrText>
            </w:r>
            <w:r>
              <w:rPr>
                <w:noProof/>
                <w:webHidden/>
              </w:rPr>
            </w:r>
            <w:r>
              <w:rPr>
                <w:noProof/>
                <w:webHidden/>
              </w:rPr>
              <w:fldChar w:fldCharType="separate"/>
            </w:r>
            <w:r>
              <w:rPr>
                <w:noProof/>
                <w:webHidden/>
              </w:rPr>
              <w:t>27</w:t>
            </w:r>
            <w:r>
              <w:rPr>
                <w:noProof/>
                <w:webHidden/>
              </w:rPr>
              <w:fldChar w:fldCharType="end"/>
            </w:r>
          </w:hyperlink>
        </w:p>
        <w:p w:rsidR="003C4F43" w:rsidRDefault="003C4F43">
          <w:pPr>
            <w:pStyle w:val="TOC2"/>
            <w:tabs>
              <w:tab w:val="left" w:pos="1320"/>
            </w:tabs>
            <w:rPr>
              <w:rFonts w:asciiTheme="minorHAnsi" w:eastAsiaTheme="minorEastAsia" w:hAnsiTheme="minorHAnsi" w:cstheme="minorBidi"/>
              <w:b w:val="0"/>
              <w:noProof/>
              <w:sz w:val="22"/>
              <w:lang w:eastAsia="en-AU"/>
            </w:rPr>
          </w:pPr>
          <w:hyperlink w:anchor="_Toc383176419" w:history="1">
            <w:r w:rsidRPr="00A67BCA">
              <w:rPr>
                <w:rStyle w:val="Hyperlink"/>
                <w:noProof/>
              </w:rPr>
              <w:t>10.</w:t>
            </w:r>
            <w:r>
              <w:rPr>
                <w:rFonts w:asciiTheme="minorHAnsi" w:eastAsiaTheme="minorEastAsia" w:hAnsiTheme="minorHAnsi" w:cstheme="minorBidi"/>
                <w:b w:val="0"/>
                <w:noProof/>
                <w:sz w:val="22"/>
                <w:lang w:eastAsia="en-AU"/>
              </w:rPr>
              <w:tab/>
            </w:r>
            <w:r w:rsidRPr="00A67BCA">
              <w:rPr>
                <w:rStyle w:val="Hyperlink"/>
                <w:noProof/>
              </w:rPr>
              <w:t>Clinical questions</w:t>
            </w:r>
            <w:r>
              <w:rPr>
                <w:noProof/>
                <w:webHidden/>
              </w:rPr>
              <w:tab/>
            </w:r>
            <w:r>
              <w:rPr>
                <w:noProof/>
                <w:webHidden/>
              </w:rPr>
              <w:fldChar w:fldCharType="begin"/>
            </w:r>
            <w:r>
              <w:rPr>
                <w:noProof/>
                <w:webHidden/>
              </w:rPr>
              <w:instrText xml:space="preserve"> PAGEREF _Toc383176419 \h </w:instrText>
            </w:r>
            <w:r>
              <w:rPr>
                <w:noProof/>
                <w:webHidden/>
              </w:rPr>
            </w:r>
            <w:r>
              <w:rPr>
                <w:noProof/>
                <w:webHidden/>
              </w:rPr>
              <w:fldChar w:fldCharType="separate"/>
            </w:r>
            <w:r>
              <w:rPr>
                <w:noProof/>
                <w:webHidden/>
              </w:rPr>
              <w:t>27</w:t>
            </w:r>
            <w:r>
              <w:rPr>
                <w:noProof/>
                <w:webHidden/>
              </w:rPr>
              <w:fldChar w:fldCharType="end"/>
            </w:r>
          </w:hyperlink>
        </w:p>
        <w:p w:rsidR="003C4F43" w:rsidRDefault="003C4F43">
          <w:pPr>
            <w:pStyle w:val="TOC2"/>
            <w:tabs>
              <w:tab w:val="left" w:pos="1320"/>
            </w:tabs>
            <w:rPr>
              <w:rFonts w:asciiTheme="minorHAnsi" w:eastAsiaTheme="minorEastAsia" w:hAnsiTheme="minorHAnsi" w:cstheme="minorBidi"/>
              <w:b w:val="0"/>
              <w:noProof/>
              <w:sz w:val="22"/>
              <w:lang w:eastAsia="en-AU"/>
            </w:rPr>
          </w:pPr>
          <w:hyperlink w:anchor="_Toc383176420" w:history="1">
            <w:r w:rsidRPr="00A67BCA">
              <w:rPr>
                <w:rStyle w:val="Hyperlink"/>
                <w:noProof/>
              </w:rPr>
              <w:t>11.</w:t>
            </w:r>
            <w:r>
              <w:rPr>
                <w:rFonts w:asciiTheme="minorHAnsi" w:eastAsiaTheme="minorEastAsia" w:hAnsiTheme="minorHAnsi" w:cstheme="minorBidi"/>
                <w:b w:val="0"/>
                <w:noProof/>
                <w:sz w:val="22"/>
                <w:lang w:eastAsia="en-AU"/>
              </w:rPr>
              <w:tab/>
            </w:r>
            <w:r w:rsidRPr="00A67BCA">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_Toc383176420 \h </w:instrText>
            </w:r>
            <w:r>
              <w:rPr>
                <w:noProof/>
                <w:webHidden/>
              </w:rPr>
            </w:r>
            <w:r>
              <w:rPr>
                <w:noProof/>
                <w:webHidden/>
              </w:rPr>
              <w:fldChar w:fldCharType="separate"/>
            </w:r>
            <w:r>
              <w:rPr>
                <w:noProof/>
                <w:webHidden/>
              </w:rPr>
              <w:t>27</w:t>
            </w:r>
            <w:r>
              <w:rPr>
                <w:noProof/>
                <w:webHidden/>
              </w:rPr>
              <w:fldChar w:fldCharType="end"/>
            </w:r>
          </w:hyperlink>
        </w:p>
        <w:p w:rsidR="003C4F43" w:rsidRDefault="003C4F43">
          <w:pPr>
            <w:pStyle w:val="TOC3"/>
            <w:tabs>
              <w:tab w:val="left" w:pos="1760"/>
            </w:tabs>
            <w:rPr>
              <w:rFonts w:asciiTheme="minorHAnsi" w:eastAsiaTheme="minorEastAsia" w:hAnsiTheme="minorHAnsi" w:cstheme="minorBidi"/>
              <w:noProof/>
              <w:lang w:eastAsia="en-AU"/>
            </w:rPr>
          </w:pPr>
          <w:hyperlink w:anchor="_Toc383176421" w:history="1">
            <w:r w:rsidRPr="00A67BCA">
              <w:rPr>
                <w:rStyle w:val="Hyperlink"/>
                <w:noProof/>
              </w:rPr>
              <w:t>11.1.</w:t>
            </w:r>
            <w:r>
              <w:rPr>
                <w:rFonts w:asciiTheme="minorHAnsi" w:eastAsiaTheme="minorEastAsia" w:hAnsiTheme="minorHAnsi" w:cstheme="minorBidi"/>
                <w:noProof/>
                <w:lang w:eastAsia="en-AU"/>
              </w:rPr>
              <w:tab/>
            </w:r>
            <w:r w:rsidRPr="00A67BCA">
              <w:rPr>
                <w:rStyle w:val="Hyperlink"/>
                <w:noProof/>
              </w:rPr>
              <w:t>Second round benefit-risk assessment</w:t>
            </w:r>
            <w:r>
              <w:rPr>
                <w:noProof/>
                <w:webHidden/>
              </w:rPr>
              <w:tab/>
            </w:r>
            <w:r>
              <w:rPr>
                <w:noProof/>
                <w:webHidden/>
              </w:rPr>
              <w:fldChar w:fldCharType="begin"/>
            </w:r>
            <w:r>
              <w:rPr>
                <w:noProof/>
                <w:webHidden/>
              </w:rPr>
              <w:instrText xml:space="preserve"> PAGEREF _Toc383176421 \h </w:instrText>
            </w:r>
            <w:r>
              <w:rPr>
                <w:noProof/>
                <w:webHidden/>
              </w:rPr>
            </w:r>
            <w:r>
              <w:rPr>
                <w:noProof/>
                <w:webHidden/>
              </w:rPr>
              <w:fldChar w:fldCharType="separate"/>
            </w:r>
            <w:r>
              <w:rPr>
                <w:noProof/>
                <w:webHidden/>
              </w:rPr>
              <w:t>27</w:t>
            </w:r>
            <w:r>
              <w:rPr>
                <w:noProof/>
                <w:webHidden/>
              </w:rPr>
              <w:fldChar w:fldCharType="end"/>
            </w:r>
          </w:hyperlink>
        </w:p>
        <w:p w:rsidR="003C4F43" w:rsidRDefault="003C4F43">
          <w:pPr>
            <w:pStyle w:val="TOC3"/>
            <w:tabs>
              <w:tab w:val="left" w:pos="1760"/>
            </w:tabs>
            <w:rPr>
              <w:rFonts w:asciiTheme="minorHAnsi" w:eastAsiaTheme="minorEastAsia" w:hAnsiTheme="minorHAnsi" w:cstheme="minorBidi"/>
              <w:noProof/>
              <w:lang w:eastAsia="en-AU"/>
            </w:rPr>
          </w:pPr>
          <w:hyperlink w:anchor="_Toc383176422" w:history="1">
            <w:r w:rsidRPr="00A67BCA">
              <w:rPr>
                <w:rStyle w:val="Hyperlink"/>
                <w:noProof/>
              </w:rPr>
              <w:t>11.2.</w:t>
            </w:r>
            <w:r>
              <w:rPr>
                <w:rFonts w:asciiTheme="minorHAnsi" w:eastAsiaTheme="minorEastAsia" w:hAnsiTheme="minorHAnsi" w:cstheme="minorBidi"/>
                <w:noProof/>
                <w:lang w:eastAsia="en-AU"/>
              </w:rPr>
              <w:tab/>
            </w:r>
            <w:r w:rsidRPr="00A67BCA">
              <w:rPr>
                <w:rStyle w:val="Hyperlink"/>
                <w:noProof/>
              </w:rPr>
              <w:t>Second round recommendation regarding authorisation</w:t>
            </w:r>
            <w:r>
              <w:rPr>
                <w:noProof/>
                <w:webHidden/>
              </w:rPr>
              <w:tab/>
            </w:r>
            <w:r>
              <w:rPr>
                <w:noProof/>
                <w:webHidden/>
              </w:rPr>
              <w:fldChar w:fldCharType="begin"/>
            </w:r>
            <w:r>
              <w:rPr>
                <w:noProof/>
                <w:webHidden/>
              </w:rPr>
              <w:instrText xml:space="preserve"> PAGEREF _Toc383176422 \h </w:instrText>
            </w:r>
            <w:r>
              <w:rPr>
                <w:noProof/>
                <w:webHidden/>
              </w:rPr>
            </w:r>
            <w:r>
              <w:rPr>
                <w:noProof/>
                <w:webHidden/>
              </w:rPr>
              <w:fldChar w:fldCharType="separate"/>
            </w:r>
            <w:r>
              <w:rPr>
                <w:noProof/>
                <w:webHidden/>
              </w:rPr>
              <w:t>28</w:t>
            </w:r>
            <w:r>
              <w:rPr>
                <w:noProof/>
                <w:webHidden/>
              </w:rPr>
              <w:fldChar w:fldCharType="end"/>
            </w:r>
          </w:hyperlink>
        </w:p>
        <w:p w:rsidR="003A7F6C" w:rsidRPr="00B811C6" w:rsidRDefault="003C4F43" w:rsidP="003C4F43">
          <w:pPr>
            <w:pStyle w:val="TOC2"/>
            <w:tabs>
              <w:tab w:val="left" w:pos="1320"/>
            </w:tabs>
          </w:pPr>
          <w:hyperlink w:anchor="_Toc383176423" w:history="1">
            <w:r w:rsidRPr="00A67BCA">
              <w:rPr>
                <w:rStyle w:val="Hyperlink"/>
                <w:noProof/>
              </w:rPr>
              <w:t>12.</w:t>
            </w:r>
            <w:r>
              <w:rPr>
                <w:rFonts w:asciiTheme="minorHAnsi" w:eastAsiaTheme="minorEastAsia" w:hAnsiTheme="minorHAnsi" w:cstheme="minorBidi"/>
                <w:b w:val="0"/>
                <w:noProof/>
                <w:sz w:val="22"/>
                <w:lang w:eastAsia="en-AU"/>
              </w:rPr>
              <w:tab/>
            </w:r>
            <w:r w:rsidRPr="00A67BCA">
              <w:rPr>
                <w:rStyle w:val="Hyperlink"/>
                <w:noProof/>
              </w:rPr>
              <w:t>References</w:t>
            </w:r>
            <w:r>
              <w:rPr>
                <w:noProof/>
                <w:webHidden/>
              </w:rPr>
              <w:tab/>
            </w:r>
            <w:r>
              <w:rPr>
                <w:noProof/>
                <w:webHidden/>
              </w:rPr>
              <w:fldChar w:fldCharType="begin"/>
            </w:r>
            <w:r>
              <w:rPr>
                <w:noProof/>
                <w:webHidden/>
              </w:rPr>
              <w:instrText xml:space="preserve"> PAGEREF _Toc383176423 \h </w:instrText>
            </w:r>
            <w:r>
              <w:rPr>
                <w:noProof/>
                <w:webHidden/>
              </w:rPr>
            </w:r>
            <w:r>
              <w:rPr>
                <w:noProof/>
                <w:webHidden/>
              </w:rPr>
              <w:fldChar w:fldCharType="separate"/>
            </w:r>
            <w:r>
              <w:rPr>
                <w:noProof/>
                <w:webHidden/>
              </w:rPr>
              <w:t>28</w:t>
            </w:r>
            <w:r>
              <w:rPr>
                <w:noProof/>
                <w:webHidden/>
              </w:rPr>
              <w:fldChar w:fldCharType="end"/>
            </w:r>
          </w:hyperlink>
          <w:r w:rsidR="00DF4A7A">
            <w:fldChar w:fldCharType="end"/>
          </w:r>
        </w:p>
        <w:bookmarkStart w:id="2" w:name="_GoBack" w:displacedByCustomXml="next"/>
        <w:bookmarkEnd w:id="2" w:displacedByCustomXml="next"/>
      </w:sdtContent>
    </w:sdt>
    <w:bookmarkStart w:id="3" w:name="_Toc314842482" w:displacedByCustomXml="prev"/>
    <w:p w:rsidR="00586F98" w:rsidRDefault="00586F98" w:rsidP="00E6784C">
      <w:pPr>
        <w:pStyle w:val="Heading2"/>
        <w:numPr>
          <w:ilvl w:val="0"/>
          <w:numId w:val="0"/>
        </w:numPr>
        <w:ind w:left="567" w:hanging="567"/>
      </w:pPr>
      <w:bookmarkStart w:id="4" w:name="_Toc351716269"/>
      <w:bookmarkStart w:id="5" w:name="_Toc351718881"/>
      <w:bookmarkStart w:id="6" w:name="_Toc355338616"/>
      <w:bookmarkStart w:id="7" w:name="_Toc383176393"/>
      <w:r>
        <w:lastRenderedPageBreak/>
        <w:t xml:space="preserve">List of </w:t>
      </w:r>
      <w:r w:rsidRPr="00E6784C">
        <w:t>abbreviations</w:t>
      </w:r>
      <w:bookmarkEnd w:id="4"/>
      <w:bookmarkEnd w:id="5"/>
      <w:bookmarkEnd w:id="6"/>
      <w:bookmarkEnd w:id="7"/>
    </w:p>
    <w:tbl>
      <w:tblPr>
        <w:tblStyle w:val="TableTGAblue"/>
        <w:tblW w:w="0" w:type="auto"/>
        <w:tblLook w:val="04A0" w:firstRow="1" w:lastRow="0" w:firstColumn="1" w:lastColumn="0" w:noHBand="0" w:noVBand="1"/>
      </w:tblPr>
      <w:tblGrid>
        <w:gridCol w:w="1890"/>
        <w:gridCol w:w="6911"/>
      </w:tblGrid>
      <w:tr w:rsidR="00586F98" w:rsidTr="00E6784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0" w:type="dxa"/>
          </w:tcPr>
          <w:p w:rsidR="00586F98" w:rsidRPr="00041BEC" w:rsidRDefault="00586F98" w:rsidP="00E6784C">
            <w:r w:rsidRPr="00041BEC">
              <w:t>Abbreviation</w:t>
            </w:r>
          </w:p>
        </w:tc>
        <w:tc>
          <w:tcPr>
            <w:tcW w:w="6911" w:type="dxa"/>
          </w:tcPr>
          <w:p w:rsidR="00586F98" w:rsidRPr="00041BEC" w:rsidRDefault="00586F98" w:rsidP="00E6784C">
            <w:pPr>
              <w:cnfStyle w:val="100000000000" w:firstRow="1" w:lastRow="0" w:firstColumn="0" w:lastColumn="0" w:oddVBand="0" w:evenVBand="0" w:oddHBand="0" w:evenHBand="0" w:firstRowFirstColumn="0" w:firstRowLastColumn="0" w:lastRowFirstColumn="0" w:lastRowLastColumn="0"/>
            </w:pPr>
            <w:r w:rsidRPr="00041BEC">
              <w:t>Meaning</w:t>
            </w:r>
          </w:p>
        </w:tc>
      </w:tr>
      <w:tr w:rsidR="00041BEC" w:rsidTr="00E6784C">
        <w:tc>
          <w:tcPr>
            <w:cnfStyle w:val="001000000000" w:firstRow="0" w:lastRow="0" w:firstColumn="1" w:lastColumn="0" w:oddVBand="0" w:evenVBand="0" w:oddHBand="0" w:evenHBand="0" w:firstRowFirstColumn="0" w:firstRowLastColumn="0" w:lastRowFirstColumn="0" w:lastRowLastColumn="0"/>
            <w:tcW w:w="1890" w:type="dxa"/>
          </w:tcPr>
          <w:p w:rsidR="00041BEC" w:rsidRPr="00041BEC" w:rsidRDefault="00041BEC" w:rsidP="00E6784C">
            <w:r w:rsidRPr="00041BEC">
              <w:t>AE</w:t>
            </w:r>
          </w:p>
        </w:tc>
        <w:tc>
          <w:tcPr>
            <w:tcW w:w="6911" w:type="dxa"/>
          </w:tcPr>
          <w:p w:rsidR="00041BEC" w:rsidRPr="00041BEC" w:rsidRDefault="00041BEC" w:rsidP="00E6784C">
            <w:pPr>
              <w:cnfStyle w:val="000000000000" w:firstRow="0" w:lastRow="0" w:firstColumn="0" w:lastColumn="0" w:oddVBand="0" w:evenVBand="0" w:oddHBand="0" w:evenHBand="0" w:firstRowFirstColumn="0" w:firstRowLastColumn="0" w:lastRowFirstColumn="0" w:lastRowLastColumn="0"/>
            </w:pPr>
            <w:r w:rsidRPr="00041BEC">
              <w:t>Adverse event</w:t>
            </w:r>
          </w:p>
        </w:tc>
      </w:tr>
      <w:tr w:rsidR="00041BEC" w:rsidTr="00E6784C">
        <w:tc>
          <w:tcPr>
            <w:cnfStyle w:val="001000000000" w:firstRow="0" w:lastRow="0" w:firstColumn="1" w:lastColumn="0" w:oddVBand="0" w:evenVBand="0" w:oddHBand="0" w:evenHBand="0" w:firstRowFirstColumn="0" w:firstRowLastColumn="0" w:lastRowFirstColumn="0" w:lastRowLastColumn="0"/>
            <w:tcW w:w="1890" w:type="dxa"/>
          </w:tcPr>
          <w:p w:rsidR="00041BEC" w:rsidRPr="00041BEC" w:rsidRDefault="00041BEC" w:rsidP="00E6784C">
            <w:r w:rsidRPr="00041BEC">
              <w:t>ALS</w:t>
            </w:r>
          </w:p>
        </w:tc>
        <w:tc>
          <w:tcPr>
            <w:tcW w:w="6911" w:type="dxa"/>
          </w:tcPr>
          <w:p w:rsidR="00041BEC" w:rsidRPr="00041BEC" w:rsidRDefault="00041BEC" w:rsidP="00E6784C">
            <w:pPr>
              <w:cnfStyle w:val="000000000000" w:firstRow="0" w:lastRow="0" w:firstColumn="0" w:lastColumn="0" w:oddVBand="0" w:evenVBand="0" w:oddHBand="0" w:evenHBand="0" w:firstRowFirstColumn="0" w:firstRowLastColumn="0" w:lastRowFirstColumn="0" w:lastRowLastColumn="0"/>
            </w:pPr>
            <w:r w:rsidRPr="00041BEC">
              <w:t>Amyotrophic lateral sclerosis</w:t>
            </w:r>
          </w:p>
        </w:tc>
      </w:tr>
      <w:tr w:rsidR="00041BEC" w:rsidTr="00E6784C">
        <w:tc>
          <w:tcPr>
            <w:cnfStyle w:val="001000000000" w:firstRow="0" w:lastRow="0" w:firstColumn="1" w:lastColumn="0" w:oddVBand="0" w:evenVBand="0" w:oddHBand="0" w:evenHBand="0" w:firstRowFirstColumn="0" w:firstRowLastColumn="0" w:lastRowFirstColumn="0" w:lastRowLastColumn="0"/>
            <w:tcW w:w="1890" w:type="dxa"/>
          </w:tcPr>
          <w:p w:rsidR="00041BEC" w:rsidRPr="00041BEC" w:rsidRDefault="00041BEC" w:rsidP="00E6784C">
            <w:r w:rsidRPr="00041BEC">
              <w:t>ALT</w:t>
            </w:r>
          </w:p>
        </w:tc>
        <w:tc>
          <w:tcPr>
            <w:tcW w:w="6911" w:type="dxa"/>
          </w:tcPr>
          <w:p w:rsidR="00041BEC" w:rsidRPr="00041BEC" w:rsidRDefault="00041BEC" w:rsidP="00E6784C">
            <w:pPr>
              <w:cnfStyle w:val="000000000000" w:firstRow="0" w:lastRow="0" w:firstColumn="0" w:lastColumn="0" w:oddVBand="0" w:evenVBand="0" w:oddHBand="0" w:evenHBand="0" w:firstRowFirstColumn="0" w:firstRowLastColumn="0" w:lastRowFirstColumn="0" w:lastRowLastColumn="0"/>
            </w:pPr>
            <w:r w:rsidRPr="00041BEC">
              <w:t>Alanine transaminase</w:t>
            </w:r>
          </w:p>
        </w:tc>
      </w:tr>
      <w:tr w:rsidR="00041BEC" w:rsidTr="00E6784C">
        <w:tc>
          <w:tcPr>
            <w:cnfStyle w:val="001000000000" w:firstRow="0" w:lastRow="0" w:firstColumn="1" w:lastColumn="0" w:oddVBand="0" w:evenVBand="0" w:oddHBand="0" w:evenHBand="0" w:firstRowFirstColumn="0" w:firstRowLastColumn="0" w:lastRowFirstColumn="0" w:lastRowLastColumn="0"/>
            <w:tcW w:w="1890" w:type="dxa"/>
          </w:tcPr>
          <w:p w:rsidR="00041BEC" w:rsidRPr="00041BEC" w:rsidRDefault="00041BEC" w:rsidP="00E6784C">
            <w:r w:rsidRPr="00041BEC">
              <w:t>ANA</w:t>
            </w:r>
          </w:p>
        </w:tc>
        <w:tc>
          <w:tcPr>
            <w:tcW w:w="6911" w:type="dxa"/>
          </w:tcPr>
          <w:p w:rsidR="00041BEC" w:rsidRPr="00041BEC" w:rsidRDefault="00041BEC" w:rsidP="00E6784C">
            <w:pPr>
              <w:cnfStyle w:val="000000000000" w:firstRow="0" w:lastRow="0" w:firstColumn="0" w:lastColumn="0" w:oddVBand="0" w:evenVBand="0" w:oddHBand="0" w:evenHBand="0" w:firstRowFirstColumn="0" w:firstRowLastColumn="0" w:lastRowFirstColumn="0" w:lastRowLastColumn="0"/>
            </w:pPr>
            <w:r w:rsidRPr="00041BEC">
              <w:t>Anti-nuclear antibody</w:t>
            </w:r>
          </w:p>
        </w:tc>
      </w:tr>
      <w:tr w:rsidR="00041BEC" w:rsidTr="00E6784C">
        <w:tc>
          <w:tcPr>
            <w:cnfStyle w:val="001000000000" w:firstRow="0" w:lastRow="0" w:firstColumn="1" w:lastColumn="0" w:oddVBand="0" w:evenVBand="0" w:oddHBand="0" w:evenHBand="0" w:firstRowFirstColumn="0" w:firstRowLastColumn="0" w:lastRowFirstColumn="0" w:lastRowLastColumn="0"/>
            <w:tcW w:w="1890" w:type="dxa"/>
          </w:tcPr>
          <w:p w:rsidR="00041BEC" w:rsidRPr="00041BEC" w:rsidRDefault="00041BEC" w:rsidP="00E6784C">
            <w:r w:rsidRPr="00041BEC">
              <w:t>AP</w:t>
            </w:r>
          </w:p>
        </w:tc>
        <w:tc>
          <w:tcPr>
            <w:tcW w:w="6911" w:type="dxa"/>
          </w:tcPr>
          <w:p w:rsidR="00041BEC" w:rsidRPr="00041BEC" w:rsidRDefault="00041BEC" w:rsidP="00E6784C">
            <w:pPr>
              <w:cnfStyle w:val="000000000000" w:firstRow="0" w:lastRow="0" w:firstColumn="0" w:lastColumn="0" w:oddVBand="0" w:evenVBand="0" w:oddHBand="0" w:evenHBand="0" w:firstRowFirstColumn="0" w:firstRowLastColumn="0" w:lastRowFirstColumn="0" w:lastRowLastColumn="0"/>
            </w:pPr>
            <w:r w:rsidRPr="00041BEC">
              <w:t>Antero-posterior</w:t>
            </w:r>
          </w:p>
        </w:tc>
      </w:tr>
      <w:tr w:rsidR="00041BEC" w:rsidTr="00E6784C">
        <w:tc>
          <w:tcPr>
            <w:cnfStyle w:val="001000000000" w:firstRow="0" w:lastRow="0" w:firstColumn="1" w:lastColumn="0" w:oddVBand="0" w:evenVBand="0" w:oddHBand="0" w:evenHBand="0" w:firstRowFirstColumn="0" w:firstRowLastColumn="0" w:lastRowFirstColumn="0" w:lastRowLastColumn="0"/>
            <w:tcW w:w="1890" w:type="dxa"/>
          </w:tcPr>
          <w:p w:rsidR="00041BEC" w:rsidRPr="00041BEC" w:rsidRDefault="00041BEC" w:rsidP="00E6784C">
            <w:r w:rsidRPr="00041BEC">
              <w:t>AS</w:t>
            </w:r>
          </w:p>
        </w:tc>
        <w:tc>
          <w:tcPr>
            <w:tcW w:w="6911" w:type="dxa"/>
          </w:tcPr>
          <w:p w:rsidR="00041BEC" w:rsidRPr="00041BEC" w:rsidRDefault="00041BEC" w:rsidP="00E6784C">
            <w:pPr>
              <w:cnfStyle w:val="000000000000" w:firstRow="0" w:lastRow="0" w:firstColumn="0" w:lastColumn="0" w:oddVBand="0" w:evenVBand="0" w:oddHBand="0" w:evenHBand="0" w:firstRowFirstColumn="0" w:firstRowLastColumn="0" w:lastRowFirstColumn="0" w:lastRowLastColumn="0"/>
            </w:pPr>
            <w:r w:rsidRPr="00041BEC">
              <w:t>Ankylosing spondylitis</w:t>
            </w:r>
          </w:p>
        </w:tc>
      </w:tr>
      <w:tr w:rsidR="00041BEC" w:rsidTr="00E6784C">
        <w:tc>
          <w:tcPr>
            <w:cnfStyle w:val="001000000000" w:firstRow="0" w:lastRow="0" w:firstColumn="1" w:lastColumn="0" w:oddVBand="0" w:evenVBand="0" w:oddHBand="0" w:evenHBand="0" w:firstRowFirstColumn="0" w:firstRowLastColumn="0" w:lastRowFirstColumn="0" w:lastRowLastColumn="0"/>
            <w:tcW w:w="1890" w:type="dxa"/>
          </w:tcPr>
          <w:p w:rsidR="00041BEC" w:rsidRPr="00041BEC" w:rsidRDefault="00041BEC" w:rsidP="00E6784C">
            <w:r w:rsidRPr="00041BEC">
              <w:t>ASAS</w:t>
            </w:r>
          </w:p>
        </w:tc>
        <w:tc>
          <w:tcPr>
            <w:tcW w:w="6911" w:type="dxa"/>
          </w:tcPr>
          <w:p w:rsidR="00041BEC" w:rsidRPr="00041BEC" w:rsidRDefault="00041BEC" w:rsidP="00E6784C">
            <w:pPr>
              <w:cnfStyle w:val="000000000000" w:firstRow="0" w:lastRow="0" w:firstColumn="0" w:lastColumn="0" w:oddVBand="0" w:evenVBand="0" w:oddHBand="0" w:evenHBand="0" w:firstRowFirstColumn="0" w:firstRowLastColumn="0" w:lastRowFirstColumn="0" w:lastRowLastColumn="0"/>
            </w:pPr>
            <w:r w:rsidRPr="00041BEC">
              <w:t xml:space="preserve">Assessments in </w:t>
            </w:r>
            <w:proofErr w:type="spellStart"/>
            <w:r w:rsidRPr="00041BEC">
              <w:t>Spondyloarthritis</w:t>
            </w:r>
            <w:proofErr w:type="spellEnd"/>
            <w:r w:rsidRPr="00041BEC">
              <w:t xml:space="preserve"> International Society</w:t>
            </w:r>
          </w:p>
        </w:tc>
      </w:tr>
      <w:tr w:rsidR="00041BEC" w:rsidTr="00E6784C">
        <w:tc>
          <w:tcPr>
            <w:cnfStyle w:val="001000000000" w:firstRow="0" w:lastRow="0" w:firstColumn="1" w:lastColumn="0" w:oddVBand="0" w:evenVBand="0" w:oddHBand="0" w:evenHBand="0" w:firstRowFirstColumn="0" w:firstRowLastColumn="0" w:lastRowFirstColumn="0" w:lastRowLastColumn="0"/>
            <w:tcW w:w="1890" w:type="dxa"/>
          </w:tcPr>
          <w:p w:rsidR="00041BEC" w:rsidRPr="00041BEC" w:rsidRDefault="00041BEC" w:rsidP="00E6784C">
            <w:r w:rsidRPr="00041BEC">
              <w:t>ASDAS</w:t>
            </w:r>
          </w:p>
        </w:tc>
        <w:tc>
          <w:tcPr>
            <w:tcW w:w="6911" w:type="dxa"/>
          </w:tcPr>
          <w:p w:rsidR="00041BEC" w:rsidRPr="00041BEC" w:rsidRDefault="00041BEC" w:rsidP="00E6784C">
            <w:pPr>
              <w:cnfStyle w:val="000000000000" w:firstRow="0" w:lastRow="0" w:firstColumn="0" w:lastColumn="0" w:oddVBand="0" w:evenVBand="0" w:oddHBand="0" w:evenHBand="0" w:firstRowFirstColumn="0" w:firstRowLastColumn="0" w:lastRowFirstColumn="0" w:lastRowLastColumn="0"/>
            </w:pPr>
            <w:r w:rsidRPr="00041BEC">
              <w:t>Ankylosing Spondylitis Disease Activity Score</w:t>
            </w:r>
          </w:p>
        </w:tc>
      </w:tr>
      <w:tr w:rsidR="00041BEC" w:rsidTr="00E6784C">
        <w:tc>
          <w:tcPr>
            <w:cnfStyle w:val="001000000000" w:firstRow="0" w:lastRow="0" w:firstColumn="1" w:lastColumn="0" w:oddVBand="0" w:evenVBand="0" w:oddHBand="0" w:evenHBand="0" w:firstRowFirstColumn="0" w:firstRowLastColumn="0" w:lastRowFirstColumn="0" w:lastRowLastColumn="0"/>
            <w:tcW w:w="1890" w:type="dxa"/>
          </w:tcPr>
          <w:p w:rsidR="00041BEC" w:rsidRPr="00041BEC" w:rsidRDefault="00041BEC" w:rsidP="00E6784C">
            <w:r w:rsidRPr="00041BEC">
              <w:t>AST</w:t>
            </w:r>
          </w:p>
        </w:tc>
        <w:tc>
          <w:tcPr>
            <w:tcW w:w="6911" w:type="dxa"/>
          </w:tcPr>
          <w:p w:rsidR="00041BEC" w:rsidRPr="00041BEC" w:rsidRDefault="00041BEC" w:rsidP="00E6784C">
            <w:pPr>
              <w:cnfStyle w:val="000000000000" w:firstRow="0" w:lastRow="0" w:firstColumn="0" w:lastColumn="0" w:oddVBand="0" w:evenVBand="0" w:oddHBand="0" w:evenHBand="0" w:firstRowFirstColumn="0" w:firstRowLastColumn="0" w:lastRowFirstColumn="0" w:lastRowLastColumn="0"/>
            </w:pPr>
            <w:r w:rsidRPr="00041BEC">
              <w:t>Aspartate transaminase</w:t>
            </w:r>
          </w:p>
        </w:tc>
      </w:tr>
      <w:tr w:rsidR="00041BEC" w:rsidTr="00E6784C">
        <w:tc>
          <w:tcPr>
            <w:cnfStyle w:val="001000000000" w:firstRow="0" w:lastRow="0" w:firstColumn="1" w:lastColumn="0" w:oddVBand="0" w:evenVBand="0" w:oddHBand="0" w:evenHBand="0" w:firstRowFirstColumn="0" w:firstRowLastColumn="0" w:lastRowFirstColumn="0" w:lastRowLastColumn="0"/>
            <w:tcW w:w="1890" w:type="dxa"/>
          </w:tcPr>
          <w:p w:rsidR="00041BEC" w:rsidRPr="00041BEC" w:rsidRDefault="00041BEC" w:rsidP="00E6784C">
            <w:r w:rsidRPr="00041BEC">
              <w:t>BASDAI</w:t>
            </w:r>
          </w:p>
        </w:tc>
        <w:tc>
          <w:tcPr>
            <w:tcW w:w="6911" w:type="dxa"/>
          </w:tcPr>
          <w:p w:rsidR="00041BEC" w:rsidRPr="00041BEC" w:rsidRDefault="00041BEC" w:rsidP="00E6784C">
            <w:pPr>
              <w:cnfStyle w:val="000000000000" w:firstRow="0" w:lastRow="0" w:firstColumn="0" w:lastColumn="0" w:oddVBand="0" w:evenVBand="0" w:oddHBand="0" w:evenHBand="0" w:firstRowFirstColumn="0" w:firstRowLastColumn="0" w:lastRowFirstColumn="0" w:lastRowLastColumn="0"/>
            </w:pPr>
            <w:r w:rsidRPr="00041BEC">
              <w:t>Bath Ankylosing Spondylitis disease activity index</w:t>
            </w:r>
          </w:p>
        </w:tc>
      </w:tr>
      <w:tr w:rsidR="00041BEC" w:rsidTr="00E6784C">
        <w:tc>
          <w:tcPr>
            <w:cnfStyle w:val="001000000000" w:firstRow="0" w:lastRow="0" w:firstColumn="1" w:lastColumn="0" w:oddVBand="0" w:evenVBand="0" w:oddHBand="0" w:evenHBand="0" w:firstRowFirstColumn="0" w:firstRowLastColumn="0" w:lastRowFirstColumn="0" w:lastRowLastColumn="0"/>
            <w:tcW w:w="1890" w:type="dxa"/>
          </w:tcPr>
          <w:p w:rsidR="00041BEC" w:rsidRPr="00041BEC" w:rsidRDefault="00041BEC" w:rsidP="00E6784C">
            <w:r w:rsidRPr="00041BEC">
              <w:t>BASFI</w:t>
            </w:r>
          </w:p>
        </w:tc>
        <w:tc>
          <w:tcPr>
            <w:tcW w:w="6911" w:type="dxa"/>
          </w:tcPr>
          <w:p w:rsidR="00041BEC" w:rsidRPr="00041BEC" w:rsidRDefault="00041BEC" w:rsidP="00E6784C">
            <w:pPr>
              <w:cnfStyle w:val="000000000000" w:firstRow="0" w:lastRow="0" w:firstColumn="0" w:lastColumn="0" w:oddVBand="0" w:evenVBand="0" w:oddHBand="0" w:evenHBand="0" w:firstRowFirstColumn="0" w:firstRowLastColumn="0" w:lastRowFirstColumn="0" w:lastRowLastColumn="0"/>
            </w:pPr>
            <w:r w:rsidRPr="00041BEC">
              <w:t>Bath Ankylosing Spondylitis functional index</w:t>
            </w:r>
          </w:p>
        </w:tc>
      </w:tr>
      <w:tr w:rsidR="00041BEC" w:rsidTr="00E6784C">
        <w:tc>
          <w:tcPr>
            <w:cnfStyle w:val="001000000000" w:firstRow="0" w:lastRow="0" w:firstColumn="1" w:lastColumn="0" w:oddVBand="0" w:evenVBand="0" w:oddHBand="0" w:evenHBand="0" w:firstRowFirstColumn="0" w:firstRowLastColumn="0" w:lastRowFirstColumn="0" w:lastRowLastColumn="0"/>
            <w:tcW w:w="1890" w:type="dxa"/>
          </w:tcPr>
          <w:p w:rsidR="00041BEC" w:rsidRPr="00041BEC" w:rsidRDefault="00041BEC" w:rsidP="00E6784C">
            <w:r w:rsidRPr="00041BEC">
              <w:t>BASMI</w:t>
            </w:r>
          </w:p>
        </w:tc>
        <w:tc>
          <w:tcPr>
            <w:tcW w:w="6911" w:type="dxa"/>
          </w:tcPr>
          <w:p w:rsidR="00041BEC" w:rsidRPr="00041BEC" w:rsidRDefault="00041BEC" w:rsidP="00E6784C">
            <w:pPr>
              <w:cnfStyle w:val="000000000000" w:firstRow="0" w:lastRow="0" w:firstColumn="0" w:lastColumn="0" w:oddVBand="0" w:evenVBand="0" w:oddHBand="0" w:evenHBand="0" w:firstRowFirstColumn="0" w:firstRowLastColumn="0" w:lastRowFirstColumn="0" w:lastRowLastColumn="0"/>
            </w:pPr>
            <w:r w:rsidRPr="00041BEC">
              <w:t>Bath Ankylosing Spondylitis Metrology Index</w:t>
            </w:r>
          </w:p>
        </w:tc>
      </w:tr>
      <w:tr w:rsidR="00041BEC" w:rsidTr="00E6784C">
        <w:tc>
          <w:tcPr>
            <w:cnfStyle w:val="001000000000" w:firstRow="0" w:lastRow="0" w:firstColumn="1" w:lastColumn="0" w:oddVBand="0" w:evenVBand="0" w:oddHBand="0" w:evenHBand="0" w:firstRowFirstColumn="0" w:firstRowLastColumn="0" w:lastRowFirstColumn="0" w:lastRowLastColumn="0"/>
            <w:tcW w:w="1890" w:type="dxa"/>
          </w:tcPr>
          <w:p w:rsidR="00041BEC" w:rsidRPr="00041BEC" w:rsidRDefault="00041BEC" w:rsidP="00E6784C">
            <w:r w:rsidRPr="00041BEC">
              <w:t>BCG</w:t>
            </w:r>
          </w:p>
        </w:tc>
        <w:tc>
          <w:tcPr>
            <w:tcW w:w="6911" w:type="dxa"/>
          </w:tcPr>
          <w:p w:rsidR="00041BEC" w:rsidRPr="00041BEC" w:rsidRDefault="00041BEC" w:rsidP="00E6784C">
            <w:pPr>
              <w:cnfStyle w:val="000000000000" w:firstRow="0" w:lastRow="0" w:firstColumn="0" w:lastColumn="0" w:oddVBand="0" w:evenVBand="0" w:oddHBand="0" w:evenHBand="0" w:firstRowFirstColumn="0" w:firstRowLastColumn="0" w:lastRowFirstColumn="0" w:lastRowLastColumn="0"/>
            </w:pPr>
            <w:proofErr w:type="spellStart"/>
            <w:r w:rsidRPr="00041BEC">
              <w:t>Bacille</w:t>
            </w:r>
            <w:proofErr w:type="spellEnd"/>
            <w:r w:rsidRPr="00041BEC">
              <w:t xml:space="preserve"> </w:t>
            </w:r>
            <w:proofErr w:type="spellStart"/>
            <w:r w:rsidRPr="00041BEC">
              <w:t>Calmette-Guérin</w:t>
            </w:r>
            <w:proofErr w:type="spellEnd"/>
          </w:p>
        </w:tc>
      </w:tr>
      <w:tr w:rsidR="00041BEC" w:rsidTr="00E6784C">
        <w:tc>
          <w:tcPr>
            <w:cnfStyle w:val="001000000000" w:firstRow="0" w:lastRow="0" w:firstColumn="1" w:lastColumn="0" w:oddVBand="0" w:evenVBand="0" w:oddHBand="0" w:evenHBand="0" w:firstRowFirstColumn="0" w:firstRowLastColumn="0" w:lastRowFirstColumn="0" w:lastRowLastColumn="0"/>
            <w:tcW w:w="1890" w:type="dxa"/>
          </w:tcPr>
          <w:p w:rsidR="00041BEC" w:rsidRPr="00041BEC" w:rsidRDefault="00041BEC" w:rsidP="00E6784C">
            <w:r w:rsidRPr="00041BEC">
              <w:t>BUN</w:t>
            </w:r>
          </w:p>
        </w:tc>
        <w:tc>
          <w:tcPr>
            <w:tcW w:w="6911" w:type="dxa"/>
          </w:tcPr>
          <w:p w:rsidR="00041BEC" w:rsidRPr="00041BEC" w:rsidRDefault="00041BEC" w:rsidP="00E6784C">
            <w:pPr>
              <w:cnfStyle w:val="000000000000" w:firstRow="0" w:lastRow="0" w:firstColumn="0" w:lastColumn="0" w:oddVBand="0" w:evenVBand="0" w:oddHBand="0" w:evenHBand="0" w:firstRowFirstColumn="0" w:firstRowLastColumn="0" w:lastRowFirstColumn="0" w:lastRowLastColumn="0"/>
            </w:pPr>
            <w:r w:rsidRPr="00041BEC">
              <w:t>Blood urea nitrogen</w:t>
            </w:r>
          </w:p>
        </w:tc>
      </w:tr>
      <w:tr w:rsidR="00041BEC" w:rsidTr="00E6784C">
        <w:tc>
          <w:tcPr>
            <w:cnfStyle w:val="001000000000" w:firstRow="0" w:lastRow="0" w:firstColumn="1" w:lastColumn="0" w:oddVBand="0" w:evenVBand="0" w:oddHBand="0" w:evenHBand="0" w:firstRowFirstColumn="0" w:firstRowLastColumn="0" w:lastRowFirstColumn="0" w:lastRowLastColumn="0"/>
            <w:tcW w:w="1890" w:type="dxa"/>
          </w:tcPr>
          <w:p w:rsidR="00041BEC" w:rsidRPr="00041BEC" w:rsidRDefault="00041BEC" w:rsidP="00E6784C">
            <w:r w:rsidRPr="00041BEC">
              <w:t>CD</w:t>
            </w:r>
          </w:p>
        </w:tc>
        <w:tc>
          <w:tcPr>
            <w:tcW w:w="6911" w:type="dxa"/>
          </w:tcPr>
          <w:p w:rsidR="00041BEC" w:rsidRPr="00041BEC" w:rsidRDefault="00041BEC" w:rsidP="00E6784C">
            <w:pPr>
              <w:cnfStyle w:val="000000000000" w:firstRow="0" w:lastRow="0" w:firstColumn="0" w:lastColumn="0" w:oddVBand="0" w:evenVBand="0" w:oddHBand="0" w:evenHBand="0" w:firstRowFirstColumn="0" w:firstRowLastColumn="0" w:lastRowFirstColumn="0" w:lastRowLastColumn="0"/>
            </w:pPr>
            <w:r w:rsidRPr="00041BEC">
              <w:t>Crohn's disease</w:t>
            </w:r>
          </w:p>
        </w:tc>
      </w:tr>
      <w:tr w:rsidR="00041BEC" w:rsidTr="00E6784C">
        <w:tc>
          <w:tcPr>
            <w:cnfStyle w:val="001000000000" w:firstRow="0" w:lastRow="0" w:firstColumn="1" w:lastColumn="0" w:oddVBand="0" w:evenVBand="0" w:oddHBand="0" w:evenHBand="0" w:firstRowFirstColumn="0" w:firstRowLastColumn="0" w:lastRowFirstColumn="0" w:lastRowLastColumn="0"/>
            <w:tcW w:w="1890" w:type="dxa"/>
          </w:tcPr>
          <w:p w:rsidR="00041BEC" w:rsidRPr="00041BEC" w:rsidRDefault="00041BEC" w:rsidP="00E6784C">
            <w:r w:rsidRPr="00041BEC">
              <w:t>CDC</w:t>
            </w:r>
          </w:p>
        </w:tc>
        <w:tc>
          <w:tcPr>
            <w:tcW w:w="6911" w:type="dxa"/>
          </w:tcPr>
          <w:p w:rsidR="00041BEC" w:rsidRPr="00041BEC" w:rsidRDefault="00041BEC" w:rsidP="00E6784C">
            <w:pPr>
              <w:cnfStyle w:val="000000000000" w:firstRow="0" w:lastRow="0" w:firstColumn="0" w:lastColumn="0" w:oddVBand="0" w:evenVBand="0" w:oddHBand="0" w:evenHBand="0" w:firstRowFirstColumn="0" w:firstRowLastColumn="0" w:lastRowFirstColumn="0" w:lastRowLastColumn="0"/>
            </w:pPr>
            <w:r w:rsidRPr="00041BEC">
              <w:t>Centers for Disease Control</w:t>
            </w:r>
          </w:p>
        </w:tc>
      </w:tr>
      <w:tr w:rsidR="00041BEC" w:rsidTr="00E6784C">
        <w:tc>
          <w:tcPr>
            <w:cnfStyle w:val="001000000000" w:firstRow="0" w:lastRow="0" w:firstColumn="1" w:lastColumn="0" w:oddVBand="0" w:evenVBand="0" w:oddHBand="0" w:evenHBand="0" w:firstRowFirstColumn="0" w:firstRowLastColumn="0" w:lastRowFirstColumn="0" w:lastRowLastColumn="0"/>
            <w:tcW w:w="1890" w:type="dxa"/>
          </w:tcPr>
          <w:p w:rsidR="00041BEC" w:rsidRPr="00041BEC" w:rsidRDefault="00041BEC" w:rsidP="00E6784C">
            <w:r w:rsidRPr="00041BEC">
              <w:t>CHF</w:t>
            </w:r>
          </w:p>
        </w:tc>
        <w:tc>
          <w:tcPr>
            <w:tcW w:w="6911" w:type="dxa"/>
          </w:tcPr>
          <w:p w:rsidR="00041BEC" w:rsidRPr="00041BEC" w:rsidRDefault="00041BEC" w:rsidP="00E6784C">
            <w:pPr>
              <w:cnfStyle w:val="000000000000" w:firstRow="0" w:lastRow="0" w:firstColumn="0" w:lastColumn="0" w:oddVBand="0" w:evenVBand="0" w:oddHBand="0" w:evenHBand="0" w:firstRowFirstColumn="0" w:firstRowLastColumn="0" w:lastRowFirstColumn="0" w:lastRowLastColumn="0"/>
            </w:pPr>
            <w:r w:rsidRPr="00041BEC">
              <w:t>Congestive heart failure</w:t>
            </w:r>
          </w:p>
        </w:tc>
      </w:tr>
      <w:tr w:rsidR="00041BEC" w:rsidTr="00E6784C">
        <w:tc>
          <w:tcPr>
            <w:cnfStyle w:val="001000000000" w:firstRow="0" w:lastRow="0" w:firstColumn="1" w:lastColumn="0" w:oddVBand="0" w:evenVBand="0" w:oddHBand="0" w:evenHBand="0" w:firstRowFirstColumn="0" w:firstRowLastColumn="0" w:lastRowFirstColumn="0" w:lastRowLastColumn="0"/>
            <w:tcW w:w="1890" w:type="dxa"/>
          </w:tcPr>
          <w:p w:rsidR="00041BEC" w:rsidRPr="00041BEC" w:rsidRDefault="00041BEC" w:rsidP="00E6784C">
            <w:r w:rsidRPr="00041BEC">
              <w:t>CNS</w:t>
            </w:r>
          </w:p>
        </w:tc>
        <w:tc>
          <w:tcPr>
            <w:tcW w:w="6911" w:type="dxa"/>
          </w:tcPr>
          <w:p w:rsidR="00041BEC" w:rsidRPr="00041BEC" w:rsidRDefault="00041BEC" w:rsidP="00E6784C">
            <w:pPr>
              <w:cnfStyle w:val="000000000000" w:firstRow="0" w:lastRow="0" w:firstColumn="0" w:lastColumn="0" w:oddVBand="0" w:evenVBand="0" w:oddHBand="0" w:evenHBand="0" w:firstRowFirstColumn="0" w:firstRowLastColumn="0" w:lastRowFirstColumn="0" w:lastRowLastColumn="0"/>
            </w:pPr>
            <w:r w:rsidRPr="00041BEC">
              <w:t>Central nervous system</w:t>
            </w:r>
          </w:p>
        </w:tc>
      </w:tr>
      <w:tr w:rsidR="00041BEC" w:rsidTr="00E6784C">
        <w:tc>
          <w:tcPr>
            <w:cnfStyle w:val="001000000000" w:firstRow="0" w:lastRow="0" w:firstColumn="1" w:lastColumn="0" w:oddVBand="0" w:evenVBand="0" w:oddHBand="0" w:evenHBand="0" w:firstRowFirstColumn="0" w:firstRowLastColumn="0" w:lastRowFirstColumn="0" w:lastRowLastColumn="0"/>
            <w:tcW w:w="1890" w:type="dxa"/>
          </w:tcPr>
          <w:p w:rsidR="00041BEC" w:rsidRPr="00041BEC" w:rsidRDefault="00041BEC" w:rsidP="00E6784C">
            <w:r w:rsidRPr="00041BEC">
              <w:t>CRP</w:t>
            </w:r>
          </w:p>
        </w:tc>
        <w:tc>
          <w:tcPr>
            <w:tcW w:w="6911" w:type="dxa"/>
          </w:tcPr>
          <w:p w:rsidR="00041BEC" w:rsidRPr="00041BEC" w:rsidRDefault="00041BEC" w:rsidP="00E6784C">
            <w:pPr>
              <w:cnfStyle w:val="000000000000" w:firstRow="0" w:lastRow="0" w:firstColumn="0" w:lastColumn="0" w:oddVBand="0" w:evenVBand="0" w:oddHBand="0" w:evenHBand="0" w:firstRowFirstColumn="0" w:firstRowLastColumn="0" w:lastRowFirstColumn="0" w:lastRowLastColumn="0"/>
            </w:pPr>
            <w:r w:rsidRPr="00041BEC">
              <w:t>C-reactive protein</w:t>
            </w:r>
          </w:p>
        </w:tc>
      </w:tr>
      <w:tr w:rsidR="00041BEC" w:rsidTr="00E6784C">
        <w:tc>
          <w:tcPr>
            <w:cnfStyle w:val="001000000000" w:firstRow="0" w:lastRow="0" w:firstColumn="1" w:lastColumn="0" w:oddVBand="0" w:evenVBand="0" w:oddHBand="0" w:evenHBand="0" w:firstRowFirstColumn="0" w:firstRowLastColumn="0" w:lastRowFirstColumn="0" w:lastRowLastColumn="0"/>
            <w:tcW w:w="1890" w:type="dxa"/>
          </w:tcPr>
          <w:p w:rsidR="00041BEC" w:rsidRPr="00041BEC" w:rsidRDefault="00041BEC" w:rsidP="00E6784C">
            <w:r w:rsidRPr="00041BEC">
              <w:t>CSR</w:t>
            </w:r>
          </w:p>
        </w:tc>
        <w:tc>
          <w:tcPr>
            <w:tcW w:w="6911" w:type="dxa"/>
          </w:tcPr>
          <w:p w:rsidR="00041BEC" w:rsidRPr="00041BEC" w:rsidRDefault="00041BEC" w:rsidP="00E6784C">
            <w:pPr>
              <w:cnfStyle w:val="000000000000" w:firstRow="0" w:lastRow="0" w:firstColumn="0" w:lastColumn="0" w:oddVBand="0" w:evenVBand="0" w:oddHBand="0" w:evenHBand="0" w:firstRowFirstColumn="0" w:firstRowLastColumn="0" w:lastRowFirstColumn="0" w:lastRowLastColumn="0"/>
            </w:pPr>
            <w:r w:rsidRPr="00041BEC">
              <w:t>Clinical study report</w:t>
            </w:r>
          </w:p>
        </w:tc>
      </w:tr>
      <w:tr w:rsidR="00041BEC" w:rsidTr="00E6784C">
        <w:tc>
          <w:tcPr>
            <w:cnfStyle w:val="001000000000" w:firstRow="0" w:lastRow="0" w:firstColumn="1" w:lastColumn="0" w:oddVBand="0" w:evenVBand="0" w:oddHBand="0" w:evenHBand="0" w:firstRowFirstColumn="0" w:firstRowLastColumn="0" w:lastRowFirstColumn="0" w:lastRowLastColumn="0"/>
            <w:tcW w:w="1890" w:type="dxa"/>
          </w:tcPr>
          <w:p w:rsidR="00041BEC" w:rsidRPr="00041BEC" w:rsidRDefault="00041BEC" w:rsidP="00E6784C">
            <w:r w:rsidRPr="00041BEC">
              <w:t>CTC</w:t>
            </w:r>
          </w:p>
        </w:tc>
        <w:tc>
          <w:tcPr>
            <w:tcW w:w="6911" w:type="dxa"/>
          </w:tcPr>
          <w:p w:rsidR="00041BEC" w:rsidRPr="00041BEC" w:rsidRDefault="00041BEC" w:rsidP="00E6784C">
            <w:pPr>
              <w:cnfStyle w:val="000000000000" w:firstRow="0" w:lastRow="0" w:firstColumn="0" w:lastColumn="0" w:oddVBand="0" w:evenVBand="0" w:oddHBand="0" w:evenHBand="0" w:firstRowFirstColumn="0" w:firstRowLastColumn="0" w:lastRowFirstColumn="0" w:lastRowLastColumn="0"/>
            </w:pPr>
            <w:r w:rsidRPr="00041BEC">
              <w:t>Common toxicity criteria</w:t>
            </w:r>
          </w:p>
        </w:tc>
      </w:tr>
      <w:tr w:rsidR="00041BEC" w:rsidTr="00E6784C">
        <w:tc>
          <w:tcPr>
            <w:cnfStyle w:val="001000000000" w:firstRow="0" w:lastRow="0" w:firstColumn="1" w:lastColumn="0" w:oddVBand="0" w:evenVBand="0" w:oddHBand="0" w:evenHBand="0" w:firstRowFirstColumn="0" w:firstRowLastColumn="0" w:lastRowFirstColumn="0" w:lastRowLastColumn="0"/>
            <w:tcW w:w="1890" w:type="dxa"/>
          </w:tcPr>
          <w:p w:rsidR="00041BEC" w:rsidRPr="00041BEC" w:rsidRDefault="00041BEC" w:rsidP="00E6784C">
            <w:r w:rsidRPr="00041BEC">
              <w:t>CTCAE</w:t>
            </w:r>
          </w:p>
        </w:tc>
        <w:tc>
          <w:tcPr>
            <w:tcW w:w="6911" w:type="dxa"/>
          </w:tcPr>
          <w:p w:rsidR="00041BEC" w:rsidRPr="00041BEC" w:rsidRDefault="00041BEC" w:rsidP="00E6784C">
            <w:pPr>
              <w:cnfStyle w:val="000000000000" w:firstRow="0" w:lastRow="0" w:firstColumn="0" w:lastColumn="0" w:oddVBand="0" w:evenVBand="0" w:oddHBand="0" w:evenHBand="0" w:firstRowFirstColumn="0" w:firstRowLastColumn="0" w:lastRowFirstColumn="0" w:lastRowLastColumn="0"/>
            </w:pPr>
            <w:r w:rsidRPr="00041BEC">
              <w:t>Common Terminology Criteria for Adverse Events</w:t>
            </w:r>
          </w:p>
        </w:tc>
      </w:tr>
      <w:tr w:rsidR="00041BEC" w:rsidTr="00E6784C">
        <w:tc>
          <w:tcPr>
            <w:cnfStyle w:val="001000000000" w:firstRow="0" w:lastRow="0" w:firstColumn="1" w:lastColumn="0" w:oddVBand="0" w:evenVBand="0" w:oddHBand="0" w:evenHBand="0" w:firstRowFirstColumn="0" w:firstRowLastColumn="0" w:lastRowFirstColumn="0" w:lastRowLastColumn="0"/>
            <w:tcW w:w="1890" w:type="dxa"/>
          </w:tcPr>
          <w:p w:rsidR="00041BEC" w:rsidRPr="00041BEC" w:rsidRDefault="00041BEC" w:rsidP="00E6784C">
            <w:r w:rsidRPr="00041BEC">
              <w:t>CTX-II</w:t>
            </w:r>
          </w:p>
        </w:tc>
        <w:tc>
          <w:tcPr>
            <w:tcW w:w="6911" w:type="dxa"/>
          </w:tcPr>
          <w:p w:rsidR="00041BEC" w:rsidRPr="00041BEC" w:rsidRDefault="00041BEC" w:rsidP="00E6784C">
            <w:pPr>
              <w:cnfStyle w:val="000000000000" w:firstRow="0" w:lastRow="0" w:firstColumn="0" w:lastColumn="0" w:oddVBand="0" w:evenVBand="0" w:oddHBand="0" w:evenHBand="0" w:firstRowFirstColumn="0" w:firstRowLastColumn="0" w:lastRowFirstColumn="0" w:lastRowLastColumn="0"/>
            </w:pPr>
            <w:r w:rsidRPr="00041BEC">
              <w:t>Type II collagen C-telopeptide</w:t>
            </w:r>
          </w:p>
        </w:tc>
      </w:tr>
      <w:tr w:rsidR="00041BEC" w:rsidTr="00E6784C">
        <w:tc>
          <w:tcPr>
            <w:cnfStyle w:val="001000000000" w:firstRow="0" w:lastRow="0" w:firstColumn="1" w:lastColumn="0" w:oddVBand="0" w:evenVBand="0" w:oddHBand="0" w:evenHBand="0" w:firstRowFirstColumn="0" w:firstRowLastColumn="0" w:lastRowFirstColumn="0" w:lastRowLastColumn="0"/>
            <w:tcW w:w="1890" w:type="dxa"/>
          </w:tcPr>
          <w:p w:rsidR="00041BEC" w:rsidRPr="00041BEC" w:rsidRDefault="00041BEC" w:rsidP="00E6784C">
            <w:r w:rsidRPr="00041BEC">
              <w:t>CVA</w:t>
            </w:r>
          </w:p>
        </w:tc>
        <w:tc>
          <w:tcPr>
            <w:tcW w:w="6911" w:type="dxa"/>
          </w:tcPr>
          <w:p w:rsidR="00041BEC" w:rsidRPr="00041BEC" w:rsidRDefault="00041BEC" w:rsidP="00E6784C">
            <w:pPr>
              <w:cnfStyle w:val="000000000000" w:firstRow="0" w:lastRow="0" w:firstColumn="0" w:lastColumn="0" w:oddVBand="0" w:evenVBand="0" w:oddHBand="0" w:evenHBand="0" w:firstRowFirstColumn="0" w:firstRowLastColumn="0" w:lastRowFirstColumn="0" w:lastRowLastColumn="0"/>
            </w:pPr>
            <w:r w:rsidRPr="00041BEC">
              <w:t>Cerebrovascular accident</w:t>
            </w:r>
          </w:p>
        </w:tc>
      </w:tr>
      <w:tr w:rsidR="00041BEC" w:rsidTr="00E6784C">
        <w:tc>
          <w:tcPr>
            <w:cnfStyle w:val="001000000000" w:firstRow="0" w:lastRow="0" w:firstColumn="1" w:lastColumn="0" w:oddVBand="0" w:evenVBand="0" w:oddHBand="0" w:evenHBand="0" w:firstRowFirstColumn="0" w:firstRowLastColumn="0" w:lastRowFirstColumn="0" w:lastRowLastColumn="0"/>
            <w:tcW w:w="1890" w:type="dxa"/>
          </w:tcPr>
          <w:p w:rsidR="00041BEC" w:rsidRPr="00041BEC" w:rsidRDefault="00041BEC" w:rsidP="00E6784C">
            <w:r w:rsidRPr="00041BEC">
              <w:lastRenderedPageBreak/>
              <w:t>CXR</w:t>
            </w:r>
          </w:p>
        </w:tc>
        <w:tc>
          <w:tcPr>
            <w:tcW w:w="6911" w:type="dxa"/>
          </w:tcPr>
          <w:p w:rsidR="00041BEC" w:rsidRPr="00041BEC" w:rsidRDefault="00041BEC" w:rsidP="00E6784C">
            <w:pPr>
              <w:cnfStyle w:val="000000000000" w:firstRow="0" w:lastRow="0" w:firstColumn="0" w:lastColumn="0" w:oddVBand="0" w:evenVBand="0" w:oddHBand="0" w:evenHBand="0" w:firstRowFirstColumn="0" w:firstRowLastColumn="0" w:lastRowFirstColumn="0" w:lastRowLastColumn="0"/>
            </w:pPr>
            <w:r w:rsidRPr="00041BEC">
              <w:t>Chest x-ray</w:t>
            </w:r>
          </w:p>
        </w:tc>
      </w:tr>
      <w:tr w:rsidR="00041BEC" w:rsidTr="00E6784C">
        <w:tc>
          <w:tcPr>
            <w:cnfStyle w:val="001000000000" w:firstRow="0" w:lastRow="0" w:firstColumn="1" w:lastColumn="0" w:oddVBand="0" w:evenVBand="0" w:oddHBand="0" w:evenHBand="0" w:firstRowFirstColumn="0" w:firstRowLastColumn="0" w:lastRowFirstColumn="0" w:lastRowLastColumn="0"/>
            <w:tcW w:w="1890" w:type="dxa"/>
          </w:tcPr>
          <w:p w:rsidR="00041BEC" w:rsidRPr="00041BEC" w:rsidRDefault="00041BEC" w:rsidP="00E6784C">
            <w:r w:rsidRPr="00041BEC">
              <w:t>DAE</w:t>
            </w:r>
          </w:p>
        </w:tc>
        <w:tc>
          <w:tcPr>
            <w:tcW w:w="6911" w:type="dxa"/>
          </w:tcPr>
          <w:p w:rsidR="00041BEC" w:rsidRPr="00041BEC" w:rsidRDefault="00041BEC" w:rsidP="00E6784C">
            <w:pPr>
              <w:cnfStyle w:val="000000000000" w:firstRow="0" w:lastRow="0" w:firstColumn="0" w:lastColumn="0" w:oddVBand="0" w:evenVBand="0" w:oddHBand="0" w:evenHBand="0" w:firstRowFirstColumn="0" w:firstRowLastColumn="0" w:lastRowFirstColumn="0" w:lastRowLastColumn="0"/>
            </w:pPr>
            <w:r w:rsidRPr="00041BEC">
              <w:t>Discontinuation due to adverse event</w:t>
            </w:r>
          </w:p>
        </w:tc>
      </w:tr>
      <w:tr w:rsidR="00041BEC" w:rsidTr="00E6784C">
        <w:tc>
          <w:tcPr>
            <w:cnfStyle w:val="001000000000" w:firstRow="0" w:lastRow="0" w:firstColumn="1" w:lastColumn="0" w:oddVBand="0" w:evenVBand="0" w:oddHBand="0" w:evenHBand="0" w:firstRowFirstColumn="0" w:firstRowLastColumn="0" w:lastRowFirstColumn="0" w:lastRowLastColumn="0"/>
            <w:tcW w:w="1890" w:type="dxa"/>
          </w:tcPr>
          <w:p w:rsidR="00041BEC" w:rsidRPr="00041BEC" w:rsidRDefault="00041BEC" w:rsidP="00E6784C">
            <w:r w:rsidRPr="00041BEC">
              <w:t>DB</w:t>
            </w:r>
          </w:p>
        </w:tc>
        <w:tc>
          <w:tcPr>
            <w:tcW w:w="6911" w:type="dxa"/>
          </w:tcPr>
          <w:p w:rsidR="00041BEC" w:rsidRPr="00041BEC" w:rsidRDefault="00041BEC" w:rsidP="00E6784C">
            <w:pPr>
              <w:cnfStyle w:val="000000000000" w:firstRow="0" w:lastRow="0" w:firstColumn="0" w:lastColumn="0" w:oddVBand="0" w:evenVBand="0" w:oddHBand="0" w:evenHBand="0" w:firstRowFirstColumn="0" w:firstRowLastColumn="0" w:lastRowFirstColumn="0" w:lastRowLastColumn="0"/>
            </w:pPr>
            <w:r w:rsidRPr="00041BEC">
              <w:t>Double-blind</w:t>
            </w:r>
          </w:p>
        </w:tc>
      </w:tr>
      <w:tr w:rsidR="00041BEC" w:rsidTr="00E6784C">
        <w:tc>
          <w:tcPr>
            <w:cnfStyle w:val="001000000000" w:firstRow="0" w:lastRow="0" w:firstColumn="1" w:lastColumn="0" w:oddVBand="0" w:evenVBand="0" w:oddHBand="0" w:evenHBand="0" w:firstRowFirstColumn="0" w:firstRowLastColumn="0" w:lastRowFirstColumn="0" w:lastRowLastColumn="0"/>
            <w:tcW w:w="1890" w:type="dxa"/>
          </w:tcPr>
          <w:p w:rsidR="00041BEC" w:rsidRPr="00041BEC" w:rsidRDefault="00041BEC" w:rsidP="00E6784C">
            <w:r w:rsidRPr="00041BEC">
              <w:t>DMARD</w:t>
            </w:r>
          </w:p>
        </w:tc>
        <w:tc>
          <w:tcPr>
            <w:tcW w:w="6911" w:type="dxa"/>
          </w:tcPr>
          <w:p w:rsidR="00041BEC" w:rsidRPr="00041BEC" w:rsidRDefault="00041BEC" w:rsidP="00E6784C">
            <w:pPr>
              <w:cnfStyle w:val="000000000000" w:firstRow="0" w:lastRow="0" w:firstColumn="0" w:lastColumn="0" w:oddVBand="0" w:evenVBand="0" w:oddHBand="0" w:evenHBand="0" w:firstRowFirstColumn="0" w:firstRowLastColumn="0" w:lastRowFirstColumn="0" w:lastRowLastColumn="0"/>
            </w:pPr>
            <w:r w:rsidRPr="00041BEC">
              <w:t>Disease-modifying anti-rheumatic drugs</w:t>
            </w:r>
          </w:p>
        </w:tc>
      </w:tr>
      <w:tr w:rsidR="00041BEC" w:rsidTr="00E6784C">
        <w:tc>
          <w:tcPr>
            <w:cnfStyle w:val="001000000000" w:firstRow="0" w:lastRow="0" w:firstColumn="1" w:lastColumn="0" w:oddVBand="0" w:evenVBand="0" w:oddHBand="0" w:evenHBand="0" w:firstRowFirstColumn="0" w:firstRowLastColumn="0" w:lastRowFirstColumn="0" w:lastRowLastColumn="0"/>
            <w:tcW w:w="1890" w:type="dxa"/>
          </w:tcPr>
          <w:p w:rsidR="00041BEC" w:rsidRPr="00041BEC" w:rsidRDefault="00041BEC" w:rsidP="00E6784C">
            <w:r w:rsidRPr="00041BEC">
              <w:t>ECG</w:t>
            </w:r>
          </w:p>
        </w:tc>
        <w:tc>
          <w:tcPr>
            <w:tcW w:w="6911" w:type="dxa"/>
          </w:tcPr>
          <w:p w:rsidR="00041BEC" w:rsidRPr="00041BEC" w:rsidRDefault="00041BEC" w:rsidP="00E6784C">
            <w:pPr>
              <w:cnfStyle w:val="000000000000" w:firstRow="0" w:lastRow="0" w:firstColumn="0" w:lastColumn="0" w:oddVBand="0" w:evenVBand="0" w:oddHBand="0" w:evenHBand="0" w:firstRowFirstColumn="0" w:firstRowLastColumn="0" w:lastRowFirstColumn="0" w:lastRowLastColumn="0"/>
            </w:pPr>
            <w:r w:rsidRPr="00041BEC">
              <w:t>Electrocardiogram</w:t>
            </w:r>
          </w:p>
        </w:tc>
      </w:tr>
      <w:tr w:rsidR="00041BEC" w:rsidTr="00E6784C">
        <w:tc>
          <w:tcPr>
            <w:cnfStyle w:val="001000000000" w:firstRow="0" w:lastRow="0" w:firstColumn="1" w:lastColumn="0" w:oddVBand="0" w:evenVBand="0" w:oddHBand="0" w:evenHBand="0" w:firstRowFirstColumn="0" w:firstRowLastColumn="0" w:lastRowFirstColumn="0" w:lastRowLastColumn="0"/>
            <w:tcW w:w="1890" w:type="dxa"/>
          </w:tcPr>
          <w:p w:rsidR="00041BEC" w:rsidRPr="00041BEC" w:rsidRDefault="00041BEC" w:rsidP="00E6784C">
            <w:proofErr w:type="spellStart"/>
            <w:r w:rsidRPr="00041BEC">
              <w:t>eow</w:t>
            </w:r>
            <w:proofErr w:type="spellEnd"/>
          </w:p>
        </w:tc>
        <w:tc>
          <w:tcPr>
            <w:tcW w:w="6911" w:type="dxa"/>
          </w:tcPr>
          <w:p w:rsidR="00041BEC" w:rsidRPr="00041BEC" w:rsidRDefault="00041BEC" w:rsidP="00E6784C">
            <w:pPr>
              <w:cnfStyle w:val="000000000000" w:firstRow="0" w:lastRow="0" w:firstColumn="0" w:lastColumn="0" w:oddVBand="0" w:evenVBand="0" w:oddHBand="0" w:evenHBand="0" w:firstRowFirstColumn="0" w:firstRowLastColumn="0" w:lastRowFirstColumn="0" w:lastRowLastColumn="0"/>
            </w:pPr>
            <w:r w:rsidRPr="00041BEC">
              <w:t>Every other week</w:t>
            </w:r>
          </w:p>
        </w:tc>
      </w:tr>
      <w:tr w:rsidR="00041BEC" w:rsidTr="00E6784C">
        <w:tc>
          <w:tcPr>
            <w:cnfStyle w:val="001000000000" w:firstRow="0" w:lastRow="0" w:firstColumn="1" w:lastColumn="0" w:oddVBand="0" w:evenVBand="0" w:oddHBand="0" w:evenHBand="0" w:firstRowFirstColumn="0" w:firstRowLastColumn="0" w:lastRowFirstColumn="0" w:lastRowLastColumn="0"/>
            <w:tcW w:w="1890" w:type="dxa"/>
          </w:tcPr>
          <w:p w:rsidR="00041BEC" w:rsidRPr="00041BEC" w:rsidRDefault="00041BEC" w:rsidP="00E6784C">
            <w:r w:rsidRPr="00041BEC">
              <w:t>EQ-5D</w:t>
            </w:r>
          </w:p>
        </w:tc>
        <w:tc>
          <w:tcPr>
            <w:tcW w:w="6911" w:type="dxa"/>
          </w:tcPr>
          <w:p w:rsidR="00041BEC" w:rsidRPr="00041BEC" w:rsidRDefault="00041BEC" w:rsidP="00E6784C">
            <w:pPr>
              <w:cnfStyle w:val="000000000000" w:firstRow="0" w:lastRow="0" w:firstColumn="0" w:lastColumn="0" w:oddVBand="0" w:evenVBand="0" w:oddHBand="0" w:evenHBand="0" w:firstRowFirstColumn="0" w:firstRowLastColumn="0" w:lastRowFirstColumn="0" w:lastRowLastColumn="0"/>
            </w:pPr>
            <w:r w:rsidRPr="00041BEC">
              <w:t>European Quality of Life – 5 Dimensions questionnair</w:t>
            </w:r>
            <w:r w:rsidR="00E20A7E">
              <w:t>e</w:t>
            </w:r>
          </w:p>
        </w:tc>
      </w:tr>
      <w:tr w:rsidR="00041BEC" w:rsidTr="00E6784C">
        <w:tc>
          <w:tcPr>
            <w:cnfStyle w:val="001000000000" w:firstRow="0" w:lastRow="0" w:firstColumn="1" w:lastColumn="0" w:oddVBand="0" w:evenVBand="0" w:oddHBand="0" w:evenHBand="0" w:firstRowFirstColumn="0" w:firstRowLastColumn="0" w:lastRowFirstColumn="0" w:lastRowLastColumn="0"/>
            <w:tcW w:w="1890" w:type="dxa"/>
          </w:tcPr>
          <w:p w:rsidR="00041BEC" w:rsidRPr="00041BEC" w:rsidRDefault="00041BEC" w:rsidP="00E6784C">
            <w:r w:rsidRPr="00041BEC">
              <w:t>F</w:t>
            </w:r>
          </w:p>
        </w:tc>
        <w:tc>
          <w:tcPr>
            <w:tcW w:w="6911" w:type="dxa"/>
          </w:tcPr>
          <w:p w:rsidR="00041BEC" w:rsidRPr="00041BEC" w:rsidRDefault="00041BEC" w:rsidP="00E6784C">
            <w:pPr>
              <w:cnfStyle w:val="000000000000" w:firstRow="0" w:lastRow="0" w:firstColumn="0" w:lastColumn="0" w:oddVBand="0" w:evenVBand="0" w:oddHBand="0" w:evenHBand="0" w:firstRowFirstColumn="0" w:firstRowLastColumn="0" w:lastRowFirstColumn="0" w:lastRowLastColumn="0"/>
            </w:pPr>
            <w:r w:rsidRPr="00041BEC">
              <w:t>Female</w:t>
            </w:r>
          </w:p>
        </w:tc>
      </w:tr>
      <w:tr w:rsidR="00041BEC" w:rsidTr="00E6784C">
        <w:tc>
          <w:tcPr>
            <w:cnfStyle w:val="001000000000" w:firstRow="0" w:lastRow="0" w:firstColumn="1" w:lastColumn="0" w:oddVBand="0" w:evenVBand="0" w:oddHBand="0" w:evenHBand="0" w:firstRowFirstColumn="0" w:firstRowLastColumn="0" w:lastRowFirstColumn="0" w:lastRowLastColumn="0"/>
            <w:tcW w:w="1890" w:type="dxa"/>
          </w:tcPr>
          <w:p w:rsidR="00041BEC" w:rsidRPr="00041BEC" w:rsidRDefault="00041BEC" w:rsidP="00E6784C">
            <w:r w:rsidRPr="00041BEC">
              <w:t>FAS</w:t>
            </w:r>
          </w:p>
        </w:tc>
        <w:tc>
          <w:tcPr>
            <w:tcW w:w="6911" w:type="dxa"/>
          </w:tcPr>
          <w:p w:rsidR="00041BEC" w:rsidRPr="00041BEC" w:rsidRDefault="00041BEC" w:rsidP="00E6784C">
            <w:pPr>
              <w:cnfStyle w:val="000000000000" w:firstRow="0" w:lastRow="0" w:firstColumn="0" w:lastColumn="0" w:oddVBand="0" w:evenVBand="0" w:oddHBand="0" w:evenHBand="0" w:firstRowFirstColumn="0" w:firstRowLastColumn="0" w:lastRowFirstColumn="0" w:lastRowLastColumn="0"/>
            </w:pPr>
            <w:r w:rsidRPr="00041BEC">
              <w:t>Full analysis set</w:t>
            </w:r>
          </w:p>
        </w:tc>
      </w:tr>
      <w:tr w:rsidR="00041BEC" w:rsidTr="00E6784C">
        <w:tc>
          <w:tcPr>
            <w:cnfStyle w:val="001000000000" w:firstRow="0" w:lastRow="0" w:firstColumn="1" w:lastColumn="0" w:oddVBand="0" w:evenVBand="0" w:oddHBand="0" w:evenHBand="0" w:firstRowFirstColumn="0" w:firstRowLastColumn="0" w:lastRowFirstColumn="0" w:lastRowLastColumn="0"/>
            <w:tcW w:w="1890" w:type="dxa"/>
          </w:tcPr>
          <w:p w:rsidR="00041BEC" w:rsidRPr="00041BEC" w:rsidRDefault="00041BEC" w:rsidP="00E6784C">
            <w:r w:rsidRPr="00041BEC">
              <w:t>FDA</w:t>
            </w:r>
          </w:p>
        </w:tc>
        <w:tc>
          <w:tcPr>
            <w:tcW w:w="6911" w:type="dxa"/>
          </w:tcPr>
          <w:p w:rsidR="00041BEC" w:rsidRPr="00041BEC" w:rsidRDefault="00041BEC" w:rsidP="00E6784C">
            <w:pPr>
              <w:cnfStyle w:val="000000000000" w:firstRow="0" w:lastRow="0" w:firstColumn="0" w:lastColumn="0" w:oddVBand="0" w:evenVBand="0" w:oddHBand="0" w:evenHBand="0" w:firstRowFirstColumn="0" w:firstRowLastColumn="0" w:lastRowFirstColumn="0" w:lastRowLastColumn="0"/>
            </w:pPr>
            <w:r w:rsidRPr="00041BEC">
              <w:t>Food and Drug Administration</w:t>
            </w:r>
          </w:p>
        </w:tc>
      </w:tr>
      <w:tr w:rsidR="00041BEC" w:rsidTr="00E6784C">
        <w:tc>
          <w:tcPr>
            <w:cnfStyle w:val="001000000000" w:firstRow="0" w:lastRow="0" w:firstColumn="1" w:lastColumn="0" w:oddVBand="0" w:evenVBand="0" w:oddHBand="0" w:evenHBand="0" w:firstRowFirstColumn="0" w:firstRowLastColumn="0" w:lastRowFirstColumn="0" w:lastRowLastColumn="0"/>
            <w:tcW w:w="1890" w:type="dxa"/>
          </w:tcPr>
          <w:p w:rsidR="00041BEC" w:rsidRPr="00041BEC" w:rsidRDefault="00041BEC" w:rsidP="00E6784C">
            <w:r w:rsidRPr="00041BEC">
              <w:t>GCP</w:t>
            </w:r>
          </w:p>
        </w:tc>
        <w:tc>
          <w:tcPr>
            <w:tcW w:w="6911" w:type="dxa"/>
          </w:tcPr>
          <w:p w:rsidR="00041BEC" w:rsidRPr="00041BEC" w:rsidRDefault="00041BEC" w:rsidP="00E6784C">
            <w:pPr>
              <w:cnfStyle w:val="000000000000" w:firstRow="0" w:lastRow="0" w:firstColumn="0" w:lastColumn="0" w:oddVBand="0" w:evenVBand="0" w:oddHBand="0" w:evenHBand="0" w:firstRowFirstColumn="0" w:firstRowLastColumn="0" w:lastRowFirstColumn="0" w:lastRowLastColumn="0"/>
            </w:pPr>
            <w:r w:rsidRPr="00041BEC">
              <w:t>Good Clinical Practice</w:t>
            </w:r>
          </w:p>
        </w:tc>
      </w:tr>
      <w:tr w:rsidR="00041BEC" w:rsidTr="00E6784C">
        <w:tc>
          <w:tcPr>
            <w:cnfStyle w:val="001000000000" w:firstRow="0" w:lastRow="0" w:firstColumn="1" w:lastColumn="0" w:oddVBand="0" w:evenVBand="0" w:oddHBand="0" w:evenHBand="0" w:firstRowFirstColumn="0" w:firstRowLastColumn="0" w:lastRowFirstColumn="0" w:lastRowLastColumn="0"/>
            <w:tcW w:w="1890" w:type="dxa"/>
          </w:tcPr>
          <w:p w:rsidR="00041BEC" w:rsidRPr="00041BEC" w:rsidRDefault="00041BEC" w:rsidP="00E6784C">
            <w:r w:rsidRPr="00041BEC">
              <w:t>HAQ-S</w:t>
            </w:r>
          </w:p>
        </w:tc>
        <w:tc>
          <w:tcPr>
            <w:tcW w:w="6911" w:type="dxa"/>
          </w:tcPr>
          <w:p w:rsidR="00041BEC" w:rsidRPr="00041BEC" w:rsidRDefault="00041BEC" w:rsidP="00E6784C">
            <w:pPr>
              <w:cnfStyle w:val="000000000000" w:firstRow="0" w:lastRow="0" w:firstColumn="0" w:lastColumn="0" w:oddVBand="0" w:evenVBand="0" w:oddHBand="0" w:evenHBand="0" w:firstRowFirstColumn="0" w:firstRowLastColumn="0" w:lastRowFirstColumn="0" w:lastRowLastColumn="0"/>
            </w:pPr>
            <w:r w:rsidRPr="00041BEC">
              <w:t xml:space="preserve">Health Assessment Questionnaire modified for </w:t>
            </w:r>
            <w:proofErr w:type="spellStart"/>
            <w:r w:rsidRPr="00041BEC">
              <w:t>spondyloarthropathies</w:t>
            </w:r>
            <w:proofErr w:type="spellEnd"/>
          </w:p>
        </w:tc>
      </w:tr>
      <w:tr w:rsidR="00041BEC" w:rsidTr="00E6784C">
        <w:tc>
          <w:tcPr>
            <w:cnfStyle w:val="001000000000" w:firstRow="0" w:lastRow="0" w:firstColumn="1" w:lastColumn="0" w:oddVBand="0" w:evenVBand="0" w:oddHBand="0" w:evenHBand="0" w:firstRowFirstColumn="0" w:firstRowLastColumn="0" w:lastRowFirstColumn="0" w:lastRowLastColumn="0"/>
            <w:tcW w:w="1890" w:type="dxa"/>
          </w:tcPr>
          <w:p w:rsidR="00041BEC" w:rsidRPr="00041BEC" w:rsidRDefault="00041BEC" w:rsidP="00E6784C">
            <w:r w:rsidRPr="00041BEC">
              <w:t>HCP</w:t>
            </w:r>
          </w:p>
        </w:tc>
        <w:tc>
          <w:tcPr>
            <w:tcW w:w="6911" w:type="dxa"/>
          </w:tcPr>
          <w:p w:rsidR="00041BEC" w:rsidRPr="00041BEC" w:rsidRDefault="00041BEC" w:rsidP="00E6784C">
            <w:pPr>
              <w:cnfStyle w:val="000000000000" w:firstRow="0" w:lastRow="0" w:firstColumn="0" w:lastColumn="0" w:oddVBand="0" w:evenVBand="0" w:oddHBand="0" w:evenHBand="0" w:firstRowFirstColumn="0" w:firstRowLastColumn="0" w:lastRowFirstColumn="0" w:lastRowLastColumn="0"/>
            </w:pPr>
            <w:r w:rsidRPr="00041BEC">
              <w:t>Heath care provider</w:t>
            </w:r>
          </w:p>
        </w:tc>
      </w:tr>
      <w:tr w:rsidR="00041BEC" w:rsidTr="00E6784C">
        <w:tc>
          <w:tcPr>
            <w:cnfStyle w:val="001000000000" w:firstRow="0" w:lastRow="0" w:firstColumn="1" w:lastColumn="0" w:oddVBand="0" w:evenVBand="0" w:oddHBand="0" w:evenHBand="0" w:firstRowFirstColumn="0" w:firstRowLastColumn="0" w:lastRowFirstColumn="0" w:lastRowLastColumn="0"/>
            <w:tcW w:w="1890" w:type="dxa"/>
          </w:tcPr>
          <w:p w:rsidR="00041BEC" w:rsidRPr="00041BEC" w:rsidRDefault="00041BEC" w:rsidP="00E6784C">
            <w:r w:rsidRPr="00041BEC">
              <w:t>HCRU</w:t>
            </w:r>
          </w:p>
        </w:tc>
        <w:tc>
          <w:tcPr>
            <w:tcW w:w="6911" w:type="dxa"/>
          </w:tcPr>
          <w:p w:rsidR="00041BEC" w:rsidRPr="00041BEC" w:rsidRDefault="00041BEC" w:rsidP="00E6784C">
            <w:pPr>
              <w:cnfStyle w:val="000000000000" w:firstRow="0" w:lastRow="0" w:firstColumn="0" w:lastColumn="0" w:oddVBand="0" w:evenVBand="0" w:oddHBand="0" w:evenHBand="0" w:firstRowFirstColumn="0" w:firstRowLastColumn="0" w:lastRowFirstColumn="0" w:lastRowLastColumn="0"/>
            </w:pPr>
            <w:r w:rsidRPr="00041BEC">
              <w:t>Health care resource utilization</w:t>
            </w:r>
          </w:p>
        </w:tc>
      </w:tr>
      <w:tr w:rsidR="00041BEC" w:rsidTr="00E6784C">
        <w:tc>
          <w:tcPr>
            <w:cnfStyle w:val="001000000000" w:firstRow="0" w:lastRow="0" w:firstColumn="1" w:lastColumn="0" w:oddVBand="0" w:evenVBand="0" w:oddHBand="0" w:evenHBand="0" w:firstRowFirstColumn="0" w:firstRowLastColumn="0" w:lastRowFirstColumn="0" w:lastRowLastColumn="0"/>
            <w:tcW w:w="1890" w:type="dxa"/>
          </w:tcPr>
          <w:p w:rsidR="00041BEC" w:rsidRPr="00041BEC" w:rsidRDefault="00041BEC" w:rsidP="00E6784C">
            <w:r w:rsidRPr="00041BEC">
              <w:t>HLA-B27</w:t>
            </w:r>
          </w:p>
        </w:tc>
        <w:tc>
          <w:tcPr>
            <w:tcW w:w="6911" w:type="dxa"/>
          </w:tcPr>
          <w:p w:rsidR="00041BEC" w:rsidRPr="00041BEC" w:rsidRDefault="00041BEC" w:rsidP="00E6784C">
            <w:pPr>
              <w:cnfStyle w:val="000000000000" w:firstRow="0" w:lastRow="0" w:firstColumn="0" w:lastColumn="0" w:oddVBand="0" w:evenVBand="0" w:oddHBand="0" w:evenHBand="0" w:firstRowFirstColumn="0" w:firstRowLastColumn="0" w:lastRowFirstColumn="0" w:lastRowLastColumn="0"/>
            </w:pPr>
            <w:r w:rsidRPr="00041BEC">
              <w:t>Human leukocyte antigen-B27</w:t>
            </w:r>
          </w:p>
        </w:tc>
      </w:tr>
      <w:tr w:rsidR="00041BEC" w:rsidTr="00E6784C">
        <w:tc>
          <w:tcPr>
            <w:cnfStyle w:val="001000000000" w:firstRow="0" w:lastRow="0" w:firstColumn="1" w:lastColumn="0" w:oddVBand="0" w:evenVBand="0" w:oddHBand="0" w:evenHBand="0" w:firstRowFirstColumn="0" w:firstRowLastColumn="0" w:lastRowFirstColumn="0" w:lastRowLastColumn="0"/>
            <w:tcW w:w="1890" w:type="dxa"/>
          </w:tcPr>
          <w:p w:rsidR="00041BEC" w:rsidRPr="00041BEC" w:rsidRDefault="00041BEC" w:rsidP="00E6784C">
            <w:r w:rsidRPr="00041BEC">
              <w:t>hs-CRP</w:t>
            </w:r>
          </w:p>
        </w:tc>
        <w:tc>
          <w:tcPr>
            <w:tcW w:w="6911" w:type="dxa"/>
          </w:tcPr>
          <w:p w:rsidR="00041BEC" w:rsidRPr="00041BEC" w:rsidRDefault="00041BEC" w:rsidP="00E6784C">
            <w:pPr>
              <w:cnfStyle w:val="000000000000" w:firstRow="0" w:lastRow="0" w:firstColumn="0" w:lastColumn="0" w:oddVBand="0" w:evenVBand="0" w:oddHBand="0" w:evenHBand="0" w:firstRowFirstColumn="0" w:firstRowLastColumn="0" w:lastRowFirstColumn="0" w:lastRowLastColumn="0"/>
            </w:pPr>
            <w:r w:rsidRPr="00041BEC">
              <w:t>High sensitivity C-reactive protein</w:t>
            </w:r>
          </w:p>
        </w:tc>
      </w:tr>
      <w:tr w:rsidR="00041BEC" w:rsidTr="00E6784C">
        <w:tc>
          <w:tcPr>
            <w:cnfStyle w:val="001000000000" w:firstRow="0" w:lastRow="0" w:firstColumn="1" w:lastColumn="0" w:oddVBand="0" w:evenVBand="0" w:oddHBand="0" w:evenHBand="0" w:firstRowFirstColumn="0" w:firstRowLastColumn="0" w:lastRowFirstColumn="0" w:lastRowLastColumn="0"/>
            <w:tcW w:w="1890" w:type="dxa"/>
          </w:tcPr>
          <w:p w:rsidR="00041BEC" w:rsidRPr="00041BEC" w:rsidRDefault="00041BEC" w:rsidP="00E6784C">
            <w:r w:rsidRPr="00041BEC">
              <w:t>HSTCL</w:t>
            </w:r>
          </w:p>
        </w:tc>
        <w:tc>
          <w:tcPr>
            <w:tcW w:w="6911" w:type="dxa"/>
          </w:tcPr>
          <w:p w:rsidR="00041BEC" w:rsidRPr="00041BEC" w:rsidRDefault="00041BEC" w:rsidP="00E6784C">
            <w:pPr>
              <w:cnfStyle w:val="000000000000" w:firstRow="0" w:lastRow="0" w:firstColumn="0" w:lastColumn="0" w:oddVBand="0" w:evenVBand="0" w:oddHBand="0" w:evenHBand="0" w:firstRowFirstColumn="0" w:firstRowLastColumn="0" w:lastRowFirstColumn="0" w:lastRowLastColumn="0"/>
            </w:pPr>
            <w:proofErr w:type="spellStart"/>
            <w:r w:rsidRPr="00041BEC">
              <w:t>Hepatosplenic</w:t>
            </w:r>
            <w:proofErr w:type="spellEnd"/>
            <w:r w:rsidRPr="00041BEC">
              <w:t xml:space="preserve"> T-cell lymphoma</w:t>
            </w:r>
          </w:p>
        </w:tc>
      </w:tr>
      <w:tr w:rsidR="00041BEC" w:rsidTr="00E6784C">
        <w:tc>
          <w:tcPr>
            <w:cnfStyle w:val="001000000000" w:firstRow="0" w:lastRow="0" w:firstColumn="1" w:lastColumn="0" w:oddVBand="0" w:evenVBand="0" w:oddHBand="0" w:evenHBand="0" w:firstRowFirstColumn="0" w:firstRowLastColumn="0" w:lastRowFirstColumn="0" w:lastRowLastColumn="0"/>
            <w:tcW w:w="1890" w:type="dxa"/>
          </w:tcPr>
          <w:p w:rsidR="00041BEC" w:rsidRPr="00041BEC" w:rsidRDefault="00041BEC" w:rsidP="00E6784C">
            <w:r w:rsidRPr="00041BEC">
              <w:t>IBD</w:t>
            </w:r>
          </w:p>
        </w:tc>
        <w:tc>
          <w:tcPr>
            <w:tcW w:w="6911" w:type="dxa"/>
          </w:tcPr>
          <w:p w:rsidR="00041BEC" w:rsidRPr="00041BEC" w:rsidRDefault="00041BEC" w:rsidP="00E6784C">
            <w:pPr>
              <w:cnfStyle w:val="000000000000" w:firstRow="0" w:lastRow="0" w:firstColumn="0" w:lastColumn="0" w:oddVBand="0" w:evenVBand="0" w:oddHBand="0" w:evenHBand="0" w:firstRowFirstColumn="0" w:firstRowLastColumn="0" w:lastRowFirstColumn="0" w:lastRowLastColumn="0"/>
            </w:pPr>
            <w:r w:rsidRPr="00041BEC">
              <w:t>Inflammatory bowel disease</w:t>
            </w:r>
          </w:p>
        </w:tc>
      </w:tr>
      <w:tr w:rsidR="00041BEC" w:rsidTr="00E6784C">
        <w:tc>
          <w:tcPr>
            <w:cnfStyle w:val="001000000000" w:firstRow="0" w:lastRow="0" w:firstColumn="1" w:lastColumn="0" w:oddVBand="0" w:evenVBand="0" w:oddHBand="0" w:evenHBand="0" w:firstRowFirstColumn="0" w:firstRowLastColumn="0" w:lastRowFirstColumn="0" w:lastRowLastColumn="0"/>
            <w:tcW w:w="1890" w:type="dxa"/>
          </w:tcPr>
          <w:p w:rsidR="00041BEC" w:rsidRPr="00041BEC" w:rsidRDefault="00041BEC" w:rsidP="00E6784C">
            <w:r w:rsidRPr="00041BEC">
              <w:t>ICF</w:t>
            </w:r>
          </w:p>
        </w:tc>
        <w:tc>
          <w:tcPr>
            <w:tcW w:w="6911" w:type="dxa"/>
          </w:tcPr>
          <w:p w:rsidR="00041BEC" w:rsidRPr="00041BEC" w:rsidRDefault="00041BEC" w:rsidP="00E6784C">
            <w:pPr>
              <w:cnfStyle w:val="000000000000" w:firstRow="0" w:lastRow="0" w:firstColumn="0" w:lastColumn="0" w:oddVBand="0" w:evenVBand="0" w:oddHBand="0" w:evenHBand="0" w:firstRowFirstColumn="0" w:firstRowLastColumn="0" w:lastRowFirstColumn="0" w:lastRowLastColumn="0"/>
            </w:pPr>
            <w:r w:rsidRPr="00041BEC">
              <w:t>Informed consent form</w:t>
            </w:r>
          </w:p>
        </w:tc>
      </w:tr>
      <w:tr w:rsidR="00041BEC" w:rsidTr="00E6784C">
        <w:tc>
          <w:tcPr>
            <w:cnfStyle w:val="001000000000" w:firstRow="0" w:lastRow="0" w:firstColumn="1" w:lastColumn="0" w:oddVBand="0" w:evenVBand="0" w:oddHBand="0" w:evenHBand="0" w:firstRowFirstColumn="0" w:firstRowLastColumn="0" w:lastRowFirstColumn="0" w:lastRowLastColumn="0"/>
            <w:tcW w:w="1890" w:type="dxa"/>
          </w:tcPr>
          <w:p w:rsidR="00041BEC" w:rsidRPr="00041BEC" w:rsidRDefault="00041BEC" w:rsidP="00E6784C">
            <w:r w:rsidRPr="00041BEC">
              <w:t>ICH</w:t>
            </w:r>
          </w:p>
        </w:tc>
        <w:tc>
          <w:tcPr>
            <w:tcW w:w="6911" w:type="dxa"/>
          </w:tcPr>
          <w:p w:rsidR="00041BEC" w:rsidRPr="00041BEC" w:rsidRDefault="00041BEC" w:rsidP="00E6784C">
            <w:pPr>
              <w:cnfStyle w:val="000000000000" w:firstRow="0" w:lastRow="0" w:firstColumn="0" w:lastColumn="0" w:oddVBand="0" w:evenVBand="0" w:oddHBand="0" w:evenHBand="0" w:firstRowFirstColumn="0" w:firstRowLastColumn="0" w:lastRowFirstColumn="0" w:lastRowLastColumn="0"/>
            </w:pPr>
            <w:r w:rsidRPr="00041BEC">
              <w:t>International Conference on Harmonisation</w:t>
            </w:r>
          </w:p>
        </w:tc>
      </w:tr>
      <w:tr w:rsidR="00041BEC" w:rsidTr="00E6784C">
        <w:tc>
          <w:tcPr>
            <w:cnfStyle w:val="001000000000" w:firstRow="0" w:lastRow="0" w:firstColumn="1" w:lastColumn="0" w:oddVBand="0" w:evenVBand="0" w:oddHBand="0" w:evenHBand="0" w:firstRowFirstColumn="0" w:firstRowLastColumn="0" w:lastRowFirstColumn="0" w:lastRowLastColumn="0"/>
            <w:tcW w:w="1890" w:type="dxa"/>
          </w:tcPr>
          <w:p w:rsidR="00041BEC" w:rsidRPr="00041BEC" w:rsidRDefault="00041BEC" w:rsidP="00E6784C">
            <w:r w:rsidRPr="00041BEC">
              <w:t>IEC</w:t>
            </w:r>
          </w:p>
        </w:tc>
        <w:tc>
          <w:tcPr>
            <w:tcW w:w="6911" w:type="dxa"/>
          </w:tcPr>
          <w:p w:rsidR="00041BEC" w:rsidRPr="00041BEC" w:rsidRDefault="00041BEC" w:rsidP="00E6784C">
            <w:pPr>
              <w:cnfStyle w:val="000000000000" w:firstRow="0" w:lastRow="0" w:firstColumn="0" w:lastColumn="0" w:oddVBand="0" w:evenVBand="0" w:oddHBand="0" w:evenHBand="0" w:firstRowFirstColumn="0" w:firstRowLastColumn="0" w:lastRowFirstColumn="0" w:lastRowLastColumn="0"/>
            </w:pPr>
            <w:r w:rsidRPr="00041BEC">
              <w:t>Independent ethics committee</w:t>
            </w:r>
          </w:p>
        </w:tc>
      </w:tr>
      <w:tr w:rsidR="00041BEC" w:rsidTr="00E6784C">
        <w:tc>
          <w:tcPr>
            <w:cnfStyle w:val="001000000000" w:firstRow="0" w:lastRow="0" w:firstColumn="1" w:lastColumn="0" w:oddVBand="0" w:evenVBand="0" w:oddHBand="0" w:evenHBand="0" w:firstRowFirstColumn="0" w:firstRowLastColumn="0" w:lastRowFirstColumn="0" w:lastRowLastColumn="0"/>
            <w:tcW w:w="1890" w:type="dxa"/>
          </w:tcPr>
          <w:p w:rsidR="00041BEC" w:rsidRPr="00041BEC" w:rsidRDefault="00041BEC" w:rsidP="00E6784C">
            <w:r w:rsidRPr="00041BEC">
              <w:t>IRB</w:t>
            </w:r>
          </w:p>
        </w:tc>
        <w:tc>
          <w:tcPr>
            <w:tcW w:w="6911" w:type="dxa"/>
          </w:tcPr>
          <w:p w:rsidR="00041BEC" w:rsidRPr="00041BEC" w:rsidRDefault="00041BEC" w:rsidP="00E6784C">
            <w:pPr>
              <w:cnfStyle w:val="000000000000" w:firstRow="0" w:lastRow="0" w:firstColumn="0" w:lastColumn="0" w:oddVBand="0" w:evenVBand="0" w:oddHBand="0" w:evenHBand="0" w:firstRowFirstColumn="0" w:firstRowLastColumn="0" w:lastRowFirstColumn="0" w:lastRowLastColumn="0"/>
            </w:pPr>
            <w:r w:rsidRPr="00041BEC">
              <w:t>Institutional review board</w:t>
            </w:r>
          </w:p>
        </w:tc>
      </w:tr>
      <w:tr w:rsidR="00041BEC" w:rsidTr="00E6784C">
        <w:tc>
          <w:tcPr>
            <w:cnfStyle w:val="001000000000" w:firstRow="0" w:lastRow="0" w:firstColumn="1" w:lastColumn="0" w:oddVBand="0" w:evenVBand="0" w:oddHBand="0" w:evenHBand="0" w:firstRowFirstColumn="0" w:firstRowLastColumn="0" w:lastRowFirstColumn="0" w:lastRowLastColumn="0"/>
            <w:tcW w:w="1890" w:type="dxa"/>
          </w:tcPr>
          <w:p w:rsidR="00041BEC" w:rsidRPr="00041BEC" w:rsidRDefault="00041BEC" w:rsidP="00E6784C">
            <w:r w:rsidRPr="00041BEC">
              <w:t>ITT</w:t>
            </w:r>
          </w:p>
        </w:tc>
        <w:tc>
          <w:tcPr>
            <w:tcW w:w="6911" w:type="dxa"/>
          </w:tcPr>
          <w:p w:rsidR="00041BEC" w:rsidRPr="00041BEC" w:rsidRDefault="00041BEC" w:rsidP="00E6784C">
            <w:pPr>
              <w:cnfStyle w:val="000000000000" w:firstRow="0" w:lastRow="0" w:firstColumn="0" w:lastColumn="0" w:oddVBand="0" w:evenVBand="0" w:oddHBand="0" w:evenHBand="0" w:firstRowFirstColumn="0" w:firstRowLastColumn="0" w:lastRowFirstColumn="0" w:lastRowLastColumn="0"/>
            </w:pPr>
            <w:r w:rsidRPr="00041BEC">
              <w:t>Intent-to-treat</w:t>
            </w:r>
          </w:p>
        </w:tc>
      </w:tr>
      <w:tr w:rsidR="00041BEC" w:rsidTr="00E6784C">
        <w:tc>
          <w:tcPr>
            <w:cnfStyle w:val="001000000000" w:firstRow="0" w:lastRow="0" w:firstColumn="1" w:lastColumn="0" w:oddVBand="0" w:evenVBand="0" w:oddHBand="0" w:evenHBand="0" w:firstRowFirstColumn="0" w:firstRowLastColumn="0" w:lastRowFirstColumn="0" w:lastRowLastColumn="0"/>
            <w:tcW w:w="1890" w:type="dxa"/>
          </w:tcPr>
          <w:p w:rsidR="00041BEC" w:rsidRPr="00041BEC" w:rsidRDefault="00041BEC" w:rsidP="00E6784C">
            <w:r w:rsidRPr="00041BEC">
              <w:t>IV</w:t>
            </w:r>
          </w:p>
        </w:tc>
        <w:tc>
          <w:tcPr>
            <w:tcW w:w="6911" w:type="dxa"/>
          </w:tcPr>
          <w:p w:rsidR="00041BEC" w:rsidRPr="00041BEC" w:rsidRDefault="00041BEC" w:rsidP="00E6784C">
            <w:pPr>
              <w:cnfStyle w:val="000000000000" w:firstRow="0" w:lastRow="0" w:firstColumn="0" w:lastColumn="0" w:oddVBand="0" w:evenVBand="0" w:oddHBand="0" w:evenHBand="0" w:firstRowFirstColumn="0" w:firstRowLastColumn="0" w:lastRowFirstColumn="0" w:lastRowLastColumn="0"/>
            </w:pPr>
            <w:r w:rsidRPr="00041BEC">
              <w:t>Intravenous</w:t>
            </w:r>
          </w:p>
        </w:tc>
      </w:tr>
      <w:tr w:rsidR="00041BEC" w:rsidTr="00E6784C">
        <w:tc>
          <w:tcPr>
            <w:cnfStyle w:val="001000000000" w:firstRow="0" w:lastRow="0" w:firstColumn="1" w:lastColumn="0" w:oddVBand="0" w:evenVBand="0" w:oddHBand="0" w:evenHBand="0" w:firstRowFirstColumn="0" w:firstRowLastColumn="0" w:lastRowFirstColumn="0" w:lastRowLastColumn="0"/>
            <w:tcW w:w="1890" w:type="dxa"/>
          </w:tcPr>
          <w:p w:rsidR="00041BEC" w:rsidRPr="00041BEC" w:rsidRDefault="00041BEC" w:rsidP="00E6784C">
            <w:r w:rsidRPr="00041BEC">
              <w:t>IVRS</w:t>
            </w:r>
          </w:p>
        </w:tc>
        <w:tc>
          <w:tcPr>
            <w:tcW w:w="6911" w:type="dxa"/>
          </w:tcPr>
          <w:p w:rsidR="00041BEC" w:rsidRPr="00041BEC" w:rsidRDefault="00041BEC" w:rsidP="00E6784C">
            <w:pPr>
              <w:cnfStyle w:val="000000000000" w:firstRow="0" w:lastRow="0" w:firstColumn="0" w:lastColumn="0" w:oddVBand="0" w:evenVBand="0" w:oddHBand="0" w:evenHBand="0" w:firstRowFirstColumn="0" w:firstRowLastColumn="0" w:lastRowFirstColumn="0" w:lastRowLastColumn="0"/>
            </w:pPr>
            <w:r w:rsidRPr="00041BEC">
              <w:t>Interactive voice response system</w:t>
            </w:r>
          </w:p>
        </w:tc>
      </w:tr>
      <w:tr w:rsidR="00041BEC" w:rsidTr="00E6784C">
        <w:tc>
          <w:tcPr>
            <w:cnfStyle w:val="001000000000" w:firstRow="0" w:lastRow="0" w:firstColumn="1" w:lastColumn="0" w:oddVBand="0" w:evenVBand="0" w:oddHBand="0" w:evenHBand="0" w:firstRowFirstColumn="0" w:firstRowLastColumn="0" w:lastRowFirstColumn="0" w:lastRowLastColumn="0"/>
            <w:tcW w:w="1890" w:type="dxa"/>
          </w:tcPr>
          <w:p w:rsidR="00041BEC" w:rsidRPr="00041BEC" w:rsidRDefault="00041BEC" w:rsidP="00E6784C">
            <w:r w:rsidRPr="00041BEC">
              <w:lastRenderedPageBreak/>
              <w:t>IWRS</w:t>
            </w:r>
          </w:p>
        </w:tc>
        <w:tc>
          <w:tcPr>
            <w:tcW w:w="6911" w:type="dxa"/>
          </w:tcPr>
          <w:p w:rsidR="00041BEC" w:rsidRPr="00041BEC" w:rsidRDefault="00041BEC" w:rsidP="00E6784C">
            <w:pPr>
              <w:cnfStyle w:val="000000000000" w:firstRow="0" w:lastRow="0" w:firstColumn="0" w:lastColumn="0" w:oddVBand="0" w:evenVBand="0" w:oddHBand="0" w:evenHBand="0" w:firstRowFirstColumn="0" w:firstRowLastColumn="0" w:lastRowFirstColumn="0" w:lastRowLastColumn="0"/>
            </w:pPr>
            <w:r w:rsidRPr="00041BEC">
              <w:t>Interactive web response system</w:t>
            </w:r>
          </w:p>
        </w:tc>
      </w:tr>
      <w:tr w:rsidR="00041BEC" w:rsidTr="00E6784C">
        <w:tc>
          <w:tcPr>
            <w:cnfStyle w:val="001000000000" w:firstRow="0" w:lastRow="0" w:firstColumn="1" w:lastColumn="0" w:oddVBand="0" w:evenVBand="0" w:oddHBand="0" w:evenHBand="0" w:firstRowFirstColumn="0" w:firstRowLastColumn="0" w:lastRowFirstColumn="0" w:lastRowLastColumn="0"/>
            <w:tcW w:w="1890" w:type="dxa"/>
          </w:tcPr>
          <w:p w:rsidR="00041BEC" w:rsidRPr="00041BEC" w:rsidRDefault="00041BEC" w:rsidP="00E6784C">
            <w:r w:rsidRPr="00041BEC">
              <w:t>LOCF</w:t>
            </w:r>
          </w:p>
        </w:tc>
        <w:tc>
          <w:tcPr>
            <w:tcW w:w="6911" w:type="dxa"/>
          </w:tcPr>
          <w:p w:rsidR="00041BEC" w:rsidRPr="00041BEC" w:rsidRDefault="00041BEC" w:rsidP="00E6784C">
            <w:pPr>
              <w:cnfStyle w:val="000000000000" w:firstRow="0" w:lastRow="0" w:firstColumn="0" w:lastColumn="0" w:oddVBand="0" w:evenVBand="0" w:oddHBand="0" w:evenHBand="0" w:firstRowFirstColumn="0" w:firstRowLastColumn="0" w:lastRowFirstColumn="0" w:lastRowLastColumn="0"/>
            </w:pPr>
            <w:r w:rsidRPr="00041BEC">
              <w:t>Last observation carried forward</w:t>
            </w:r>
          </w:p>
        </w:tc>
      </w:tr>
      <w:tr w:rsidR="00041BEC" w:rsidTr="00E6784C">
        <w:tc>
          <w:tcPr>
            <w:cnfStyle w:val="001000000000" w:firstRow="0" w:lastRow="0" w:firstColumn="1" w:lastColumn="0" w:oddVBand="0" w:evenVBand="0" w:oddHBand="0" w:evenHBand="0" w:firstRowFirstColumn="0" w:firstRowLastColumn="0" w:lastRowFirstColumn="0" w:lastRowLastColumn="0"/>
            <w:tcW w:w="1890" w:type="dxa"/>
          </w:tcPr>
          <w:p w:rsidR="00041BEC" w:rsidRPr="00041BEC" w:rsidRDefault="00041BEC" w:rsidP="00E6784C">
            <w:r w:rsidRPr="00041BEC">
              <w:t>LFT</w:t>
            </w:r>
          </w:p>
        </w:tc>
        <w:tc>
          <w:tcPr>
            <w:tcW w:w="6911" w:type="dxa"/>
          </w:tcPr>
          <w:p w:rsidR="00041BEC" w:rsidRPr="00041BEC" w:rsidRDefault="00041BEC" w:rsidP="00E6784C">
            <w:pPr>
              <w:cnfStyle w:val="000000000000" w:firstRow="0" w:lastRow="0" w:firstColumn="0" w:lastColumn="0" w:oddVBand="0" w:evenVBand="0" w:oddHBand="0" w:evenHBand="0" w:firstRowFirstColumn="0" w:firstRowLastColumn="0" w:lastRowFirstColumn="0" w:lastRowLastColumn="0"/>
            </w:pPr>
            <w:r w:rsidRPr="00041BEC">
              <w:t>Liver function test</w:t>
            </w:r>
          </w:p>
        </w:tc>
      </w:tr>
      <w:tr w:rsidR="00041BEC" w:rsidTr="00E6784C">
        <w:tc>
          <w:tcPr>
            <w:cnfStyle w:val="001000000000" w:firstRow="0" w:lastRow="0" w:firstColumn="1" w:lastColumn="0" w:oddVBand="0" w:evenVBand="0" w:oddHBand="0" w:evenHBand="0" w:firstRowFirstColumn="0" w:firstRowLastColumn="0" w:lastRowFirstColumn="0" w:lastRowLastColumn="0"/>
            <w:tcW w:w="1890" w:type="dxa"/>
          </w:tcPr>
          <w:p w:rsidR="00041BEC" w:rsidRPr="00041BEC" w:rsidRDefault="00041BEC" w:rsidP="00E6784C">
            <w:r w:rsidRPr="00041BEC">
              <w:t>M</w:t>
            </w:r>
          </w:p>
        </w:tc>
        <w:tc>
          <w:tcPr>
            <w:tcW w:w="6911" w:type="dxa"/>
          </w:tcPr>
          <w:p w:rsidR="00041BEC" w:rsidRPr="00041BEC" w:rsidRDefault="00041BEC" w:rsidP="00E6784C">
            <w:pPr>
              <w:cnfStyle w:val="000000000000" w:firstRow="0" w:lastRow="0" w:firstColumn="0" w:lastColumn="0" w:oddVBand="0" w:evenVBand="0" w:oddHBand="0" w:evenHBand="0" w:firstRowFirstColumn="0" w:firstRowLastColumn="0" w:lastRowFirstColumn="0" w:lastRowLastColumn="0"/>
            </w:pPr>
            <w:r w:rsidRPr="00041BEC">
              <w:t>Male</w:t>
            </w:r>
          </w:p>
        </w:tc>
      </w:tr>
      <w:tr w:rsidR="00041BEC" w:rsidTr="00E6784C">
        <w:tc>
          <w:tcPr>
            <w:cnfStyle w:val="001000000000" w:firstRow="0" w:lastRow="0" w:firstColumn="1" w:lastColumn="0" w:oddVBand="0" w:evenVBand="0" w:oddHBand="0" w:evenHBand="0" w:firstRowFirstColumn="0" w:firstRowLastColumn="0" w:lastRowFirstColumn="0" w:lastRowLastColumn="0"/>
            <w:tcW w:w="1890" w:type="dxa"/>
          </w:tcPr>
          <w:p w:rsidR="00041BEC" w:rsidRPr="00041BEC" w:rsidRDefault="00041BEC" w:rsidP="00E6784C">
            <w:r w:rsidRPr="00041BEC">
              <w:t>MASES</w:t>
            </w:r>
          </w:p>
        </w:tc>
        <w:tc>
          <w:tcPr>
            <w:tcW w:w="6911" w:type="dxa"/>
          </w:tcPr>
          <w:p w:rsidR="00041BEC" w:rsidRPr="00041BEC" w:rsidRDefault="00041BEC" w:rsidP="00E6784C">
            <w:pPr>
              <w:cnfStyle w:val="000000000000" w:firstRow="0" w:lastRow="0" w:firstColumn="0" w:lastColumn="0" w:oddVBand="0" w:evenVBand="0" w:oddHBand="0" w:evenHBand="0" w:firstRowFirstColumn="0" w:firstRowLastColumn="0" w:lastRowFirstColumn="0" w:lastRowLastColumn="0"/>
            </w:pPr>
            <w:r w:rsidRPr="00041BEC">
              <w:t xml:space="preserve">Maastricht </w:t>
            </w:r>
            <w:proofErr w:type="spellStart"/>
            <w:r w:rsidRPr="00041BEC">
              <w:t>Ankylosing</w:t>
            </w:r>
            <w:proofErr w:type="spellEnd"/>
            <w:r w:rsidRPr="00041BEC">
              <w:t xml:space="preserve"> Spondylitis </w:t>
            </w:r>
            <w:proofErr w:type="spellStart"/>
            <w:r w:rsidRPr="00041BEC">
              <w:t>Enthesitis</w:t>
            </w:r>
            <w:proofErr w:type="spellEnd"/>
            <w:r w:rsidRPr="00041BEC">
              <w:t xml:space="preserve"> Score</w:t>
            </w:r>
          </w:p>
        </w:tc>
      </w:tr>
      <w:tr w:rsidR="00041BEC" w:rsidTr="00E6784C">
        <w:tc>
          <w:tcPr>
            <w:cnfStyle w:val="001000000000" w:firstRow="0" w:lastRow="0" w:firstColumn="1" w:lastColumn="0" w:oddVBand="0" w:evenVBand="0" w:oddHBand="0" w:evenHBand="0" w:firstRowFirstColumn="0" w:firstRowLastColumn="0" w:lastRowFirstColumn="0" w:lastRowLastColumn="0"/>
            <w:tcW w:w="1890" w:type="dxa"/>
          </w:tcPr>
          <w:p w:rsidR="00041BEC" w:rsidRPr="00041BEC" w:rsidRDefault="00041BEC" w:rsidP="00E6784C">
            <w:r w:rsidRPr="00041BEC">
              <w:t>MedDRA</w:t>
            </w:r>
          </w:p>
        </w:tc>
        <w:tc>
          <w:tcPr>
            <w:tcW w:w="6911" w:type="dxa"/>
          </w:tcPr>
          <w:p w:rsidR="00041BEC" w:rsidRPr="00041BEC" w:rsidRDefault="00041BEC" w:rsidP="00E6784C">
            <w:pPr>
              <w:cnfStyle w:val="000000000000" w:firstRow="0" w:lastRow="0" w:firstColumn="0" w:lastColumn="0" w:oddVBand="0" w:evenVBand="0" w:oddHBand="0" w:evenHBand="0" w:firstRowFirstColumn="0" w:firstRowLastColumn="0" w:lastRowFirstColumn="0" w:lastRowLastColumn="0"/>
            </w:pPr>
            <w:r w:rsidRPr="00041BEC">
              <w:t>Medical Dictionary for Regulatory Activities</w:t>
            </w:r>
          </w:p>
        </w:tc>
      </w:tr>
      <w:tr w:rsidR="00041BEC" w:rsidTr="00E6784C">
        <w:tc>
          <w:tcPr>
            <w:cnfStyle w:val="001000000000" w:firstRow="0" w:lastRow="0" w:firstColumn="1" w:lastColumn="0" w:oddVBand="0" w:evenVBand="0" w:oddHBand="0" w:evenHBand="0" w:firstRowFirstColumn="0" w:firstRowLastColumn="0" w:lastRowFirstColumn="0" w:lastRowLastColumn="0"/>
            <w:tcW w:w="1890" w:type="dxa"/>
          </w:tcPr>
          <w:p w:rsidR="00041BEC" w:rsidRPr="00041BEC" w:rsidRDefault="00041BEC" w:rsidP="00E6784C">
            <w:r w:rsidRPr="00041BEC">
              <w:t>MI</w:t>
            </w:r>
          </w:p>
        </w:tc>
        <w:tc>
          <w:tcPr>
            <w:tcW w:w="6911" w:type="dxa"/>
          </w:tcPr>
          <w:p w:rsidR="00041BEC" w:rsidRPr="00041BEC" w:rsidRDefault="00041BEC" w:rsidP="00E6784C">
            <w:pPr>
              <w:cnfStyle w:val="000000000000" w:firstRow="0" w:lastRow="0" w:firstColumn="0" w:lastColumn="0" w:oddVBand="0" w:evenVBand="0" w:oddHBand="0" w:evenHBand="0" w:firstRowFirstColumn="0" w:firstRowLastColumn="0" w:lastRowFirstColumn="0" w:lastRowLastColumn="0"/>
            </w:pPr>
            <w:r w:rsidRPr="00041BEC">
              <w:t>Myocardial infarction</w:t>
            </w:r>
          </w:p>
        </w:tc>
      </w:tr>
      <w:tr w:rsidR="00041BEC" w:rsidTr="00E6784C">
        <w:tc>
          <w:tcPr>
            <w:cnfStyle w:val="001000000000" w:firstRow="0" w:lastRow="0" w:firstColumn="1" w:lastColumn="0" w:oddVBand="0" w:evenVBand="0" w:oddHBand="0" w:evenHBand="0" w:firstRowFirstColumn="0" w:firstRowLastColumn="0" w:lastRowFirstColumn="0" w:lastRowLastColumn="0"/>
            <w:tcW w:w="1890" w:type="dxa"/>
          </w:tcPr>
          <w:p w:rsidR="00041BEC" w:rsidRPr="00041BEC" w:rsidRDefault="00041BEC" w:rsidP="00E6784C">
            <w:r w:rsidRPr="00041BEC">
              <w:t>MMP-3</w:t>
            </w:r>
          </w:p>
        </w:tc>
        <w:tc>
          <w:tcPr>
            <w:tcW w:w="6911" w:type="dxa"/>
          </w:tcPr>
          <w:p w:rsidR="00041BEC" w:rsidRPr="00041BEC" w:rsidRDefault="00041BEC" w:rsidP="00E6784C">
            <w:pPr>
              <w:cnfStyle w:val="000000000000" w:firstRow="0" w:lastRow="0" w:firstColumn="0" w:lastColumn="0" w:oddVBand="0" w:evenVBand="0" w:oddHBand="0" w:evenHBand="0" w:firstRowFirstColumn="0" w:firstRowLastColumn="0" w:lastRowFirstColumn="0" w:lastRowLastColumn="0"/>
            </w:pPr>
            <w:r w:rsidRPr="00041BEC">
              <w:t>Matrix metalloproteinase 3</w:t>
            </w:r>
          </w:p>
        </w:tc>
      </w:tr>
      <w:tr w:rsidR="00041BEC" w:rsidTr="00E6784C">
        <w:tc>
          <w:tcPr>
            <w:cnfStyle w:val="001000000000" w:firstRow="0" w:lastRow="0" w:firstColumn="1" w:lastColumn="0" w:oddVBand="0" w:evenVBand="0" w:oddHBand="0" w:evenHBand="0" w:firstRowFirstColumn="0" w:firstRowLastColumn="0" w:lastRowFirstColumn="0" w:lastRowLastColumn="0"/>
            <w:tcW w:w="1890" w:type="dxa"/>
          </w:tcPr>
          <w:p w:rsidR="00041BEC" w:rsidRPr="00041BEC" w:rsidRDefault="00041BEC" w:rsidP="00E6784C">
            <w:r w:rsidRPr="00041BEC">
              <w:t>MOS</w:t>
            </w:r>
          </w:p>
        </w:tc>
        <w:tc>
          <w:tcPr>
            <w:tcW w:w="6911" w:type="dxa"/>
          </w:tcPr>
          <w:p w:rsidR="00041BEC" w:rsidRPr="00041BEC" w:rsidRDefault="00041BEC" w:rsidP="00E6784C">
            <w:pPr>
              <w:cnfStyle w:val="000000000000" w:firstRow="0" w:lastRow="0" w:firstColumn="0" w:lastColumn="0" w:oddVBand="0" w:evenVBand="0" w:oddHBand="0" w:evenHBand="0" w:firstRowFirstColumn="0" w:firstRowLastColumn="0" w:lastRowFirstColumn="0" w:lastRowLastColumn="0"/>
            </w:pPr>
            <w:r w:rsidRPr="00041BEC">
              <w:t>Medical outcomes study</w:t>
            </w:r>
          </w:p>
        </w:tc>
      </w:tr>
      <w:tr w:rsidR="00041BEC" w:rsidTr="00E6784C">
        <w:tc>
          <w:tcPr>
            <w:cnfStyle w:val="001000000000" w:firstRow="0" w:lastRow="0" w:firstColumn="1" w:lastColumn="0" w:oddVBand="0" w:evenVBand="0" w:oddHBand="0" w:evenHBand="0" w:firstRowFirstColumn="0" w:firstRowLastColumn="0" w:lastRowFirstColumn="0" w:lastRowLastColumn="0"/>
            <w:tcW w:w="1890" w:type="dxa"/>
          </w:tcPr>
          <w:p w:rsidR="00041BEC" w:rsidRPr="00041BEC" w:rsidRDefault="00041BEC" w:rsidP="00E6784C">
            <w:r w:rsidRPr="00041BEC">
              <w:t>MRI</w:t>
            </w:r>
          </w:p>
        </w:tc>
        <w:tc>
          <w:tcPr>
            <w:tcW w:w="6911" w:type="dxa"/>
          </w:tcPr>
          <w:p w:rsidR="00041BEC" w:rsidRPr="00041BEC" w:rsidRDefault="00041BEC" w:rsidP="00E6784C">
            <w:pPr>
              <w:cnfStyle w:val="000000000000" w:firstRow="0" w:lastRow="0" w:firstColumn="0" w:lastColumn="0" w:oddVBand="0" w:evenVBand="0" w:oddHBand="0" w:evenHBand="0" w:firstRowFirstColumn="0" w:firstRowLastColumn="0" w:lastRowFirstColumn="0" w:lastRowLastColumn="0"/>
            </w:pPr>
            <w:r w:rsidRPr="00041BEC">
              <w:t>Magnetic resonance imaging</w:t>
            </w:r>
          </w:p>
        </w:tc>
      </w:tr>
      <w:tr w:rsidR="00041BEC" w:rsidTr="00E6784C">
        <w:tc>
          <w:tcPr>
            <w:cnfStyle w:val="001000000000" w:firstRow="0" w:lastRow="0" w:firstColumn="1" w:lastColumn="0" w:oddVBand="0" w:evenVBand="0" w:oddHBand="0" w:evenHBand="0" w:firstRowFirstColumn="0" w:firstRowLastColumn="0" w:lastRowFirstColumn="0" w:lastRowLastColumn="0"/>
            <w:tcW w:w="1890" w:type="dxa"/>
          </w:tcPr>
          <w:p w:rsidR="00041BEC" w:rsidRPr="00041BEC" w:rsidRDefault="00041BEC" w:rsidP="00E6784C">
            <w:r w:rsidRPr="00041BEC">
              <w:t>MTX</w:t>
            </w:r>
          </w:p>
        </w:tc>
        <w:tc>
          <w:tcPr>
            <w:tcW w:w="6911" w:type="dxa"/>
          </w:tcPr>
          <w:p w:rsidR="00041BEC" w:rsidRPr="00041BEC" w:rsidRDefault="00041BEC" w:rsidP="00E6784C">
            <w:pPr>
              <w:cnfStyle w:val="000000000000" w:firstRow="0" w:lastRow="0" w:firstColumn="0" w:lastColumn="0" w:oddVBand="0" w:evenVBand="0" w:oddHBand="0" w:evenHBand="0" w:firstRowFirstColumn="0" w:firstRowLastColumn="0" w:lastRowFirstColumn="0" w:lastRowLastColumn="0"/>
            </w:pPr>
            <w:r w:rsidRPr="00041BEC">
              <w:t>Methotrexate</w:t>
            </w:r>
          </w:p>
        </w:tc>
      </w:tr>
      <w:tr w:rsidR="00041BEC" w:rsidTr="00E6784C">
        <w:tc>
          <w:tcPr>
            <w:cnfStyle w:val="001000000000" w:firstRow="0" w:lastRow="0" w:firstColumn="1" w:lastColumn="0" w:oddVBand="0" w:evenVBand="0" w:oddHBand="0" w:evenHBand="0" w:firstRowFirstColumn="0" w:firstRowLastColumn="0" w:lastRowFirstColumn="0" w:lastRowLastColumn="0"/>
            <w:tcW w:w="1890" w:type="dxa"/>
          </w:tcPr>
          <w:p w:rsidR="00041BEC" w:rsidRPr="00041BEC" w:rsidRDefault="00041BEC" w:rsidP="00E6784C">
            <w:r w:rsidRPr="00041BEC">
              <w:t>NMSC</w:t>
            </w:r>
          </w:p>
        </w:tc>
        <w:tc>
          <w:tcPr>
            <w:tcW w:w="6911" w:type="dxa"/>
          </w:tcPr>
          <w:p w:rsidR="00041BEC" w:rsidRPr="00041BEC" w:rsidRDefault="00041BEC" w:rsidP="00E6784C">
            <w:pPr>
              <w:cnfStyle w:val="000000000000" w:firstRow="0" w:lastRow="0" w:firstColumn="0" w:lastColumn="0" w:oddVBand="0" w:evenVBand="0" w:oddHBand="0" w:evenHBand="0" w:firstRowFirstColumn="0" w:firstRowLastColumn="0" w:lastRowFirstColumn="0" w:lastRowLastColumn="0"/>
            </w:pPr>
            <w:r w:rsidRPr="00041BEC">
              <w:t>Non-melanoma skin cancer</w:t>
            </w:r>
          </w:p>
        </w:tc>
      </w:tr>
      <w:tr w:rsidR="00041BEC" w:rsidTr="00E6784C">
        <w:tc>
          <w:tcPr>
            <w:cnfStyle w:val="001000000000" w:firstRow="0" w:lastRow="0" w:firstColumn="1" w:lastColumn="0" w:oddVBand="0" w:evenVBand="0" w:oddHBand="0" w:evenHBand="0" w:firstRowFirstColumn="0" w:firstRowLastColumn="0" w:lastRowFirstColumn="0" w:lastRowLastColumn="0"/>
            <w:tcW w:w="1890" w:type="dxa"/>
          </w:tcPr>
          <w:p w:rsidR="00041BEC" w:rsidRPr="00041BEC" w:rsidRDefault="00041BEC" w:rsidP="00E6784C">
            <w:r w:rsidRPr="00041BEC">
              <w:t>nr-</w:t>
            </w:r>
            <w:proofErr w:type="spellStart"/>
            <w:r w:rsidRPr="00041BEC">
              <w:t>axSpA</w:t>
            </w:r>
            <w:proofErr w:type="spellEnd"/>
          </w:p>
        </w:tc>
        <w:tc>
          <w:tcPr>
            <w:tcW w:w="6911" w:type="dxa"/>
          </w:tcPr>
          <w:p w:rsidR="00041BEC" w:rsidRPr="00041BEC" w:rsidRDefault="00041BEC" w:rsidP="00E6784C">
            <w:pPr>
              <w:cnfStyle w:val="000000000000" w:firstRow="0" w:lastRow="0" w:firstColumn="0" w:lastColumn="0" w:oddVBand="0" w:evenVBand="0" w:oddHBand="0" w:evenHBand="0" w:firstRowFirstColumn="0" w:firstRowLastColumn="0" w:lastRowFirstColumn="0" w:lastRowLastColumn="0"/>
            </w:pPr>
            <w:r w:rsidRPr="00041BEC">
              <w:t xml:space="preserve">Non-radiographic axial </w:t>
            </w:r>
            <w:proofErr w:type="spellStart"/>
            <w:r w:rsidRPr="00041BEC">
              <w:t>SpA</w:t>
            </w:r>
            <w:proofErr w:type="spellEnd"/>
          </w:p>
        </w:tc>
      </w:tr>
      <w:tr w:rsidR="00041BEC" w:rsidTr="00E6784C">
        <w:tc>
          <w:tcPr>
            <w:cnfStyle w:val="001000000000" w:firstRow="0" w:lastRow="0" w:firstColumn="1" w:lastColumn="0" w:oddVBand="0" w:evenVBand="0" w:oddHBand="0" w:evenHBand="0" w:firstRowFirstColumn="0" w:firstRowLastColumn="0" w:lastRowFirstColumn="0" w:lastRowLastColumn="0"/>
            <w:tcW w:w="1890" w:type="dxa"/>
          </w:tcPr>
          <w:p w:rsidR="00041BEC" w:rsidRPr="00041BEC" w:rsidRDefault="00041BEC" w:rsidP="00E6784C">
            <w:r w:rsidRPr="00041BEC">
              <w:t>NRI</w:t>
            </w:r>
          </w:p>
        </w:tc>
        <w:tc>
          <w:tcPr>
            <w:tcW w:w="6911" w:type="dxa"/>
          </w:tcPr>
          <w:p w:rsidR="00041BEC" w:rsidRPr="00041BEC" w:rsidRDefault="00041BEC" w:rsidP="00E6784C">
            <w:pPr>
              <w:cnfStyle w:val="000000000000" w:firstRow="0" w:lastRow="0" w:firstColumn="0" w:lastColumn="0" w:oddVBand="0" w:evenVBand="0" w:oddHBand="0" w:evenHBand="0" w:firstRowFirstColumn="0" w:firstRowLastColumn="0" w:lastRowFirstColumn="0" w:lastRowLastColumn="0"/>
            </w:pPr>
            <w:r w:rsidRPr="00041BEC">
              <w:t>Non-responder imputation</w:t>
            </w:r>
          </w:p>
        </w:tc>
      </w:tr>
      <w:tr w:rsidR="00041BEC" w:rsidTr="00E6784C">
        <w:tc>
          <w:tcPr>
            <w:cnfStyle w:val="001000000000" w:firstRow="0" w:lastRow="0" w:firstColumn="1" w:lastColumn="0" w:oddVBand="0" w:evenVBand="0" w:oddHBand="0" w:evenHBand="0" w:firstRowFirstColumn="0" w:firstRowLastColumn="0" w:lastRowFirstColumn="0" w:lastRowLastColumn="0"/>
            <w:tcW w:w="1890" w:type="dxa"/>
          </w:tcPr>
          <w:p w:rsidR="00041BEC" w:rsidRPr="00041BEC" w:rsidRDefault="00041BEC" w:rsidP="00E6784C">
            <w:r w:rsidRPr="00041BEC">
              <w:t>NSAID</w:t>
            </w:r>
          </w:p>
        </w:tc>
        <w:tc>
          <w:tcPr>
            <w:tcW w:w="6911" w:type="dxa"/>
          </w:tcPr>
          <w:p w:rsidR="00041BEC" w:rsidRPr="00041BEC" w:rsidRDefault="00041BEC" w:rsidP="00E6784C">
            <w:pPr>
              <w:cnfStyle w:val="000000000000" w:firstRow="0" w:lastRow="0" w:firstColumn="0" w:lastColumn="0" w:oddVBand="0" w:evenVBand="0" w:oddHBand="0" w:evenHBand="0" w:firstRowFirstColumn="0" w:firstRowLastColumn="0" w:lastRowFirstColumn="0" w:lastRowLastColumn="0"/>
            </w:pPr>
            <w:proofErr w:type="spellStart"/>
            <w:r w:rsidRPr="00041BEC">
              <w:t>Nonsteroidal</w:t>
            </w:r>
            <w:proofErr w:type="spellEnd"/>
            <w:r w:rsidRPr="00041BEC">
              <w:t xml:space="preserve"> anti-inflammatory drug</w:t>
            </w:r>
          </w:p>
        </w:tc>
      </w:tr>
      <w:tr w:rsidR="00041BEC" w:rsidTr="00E6784C">
        <w:tc>
          <w:tcPr>
            <w:cnfStyle w:val="001000000000" w:firstRow="0" w:lastRow="0" w:firstColumn="1" w:lastColumn="0" w:oddVBand="0" w:evenVBand="0" w:oddHBand="0" w:evenHBand="0" w:firstRowFirstColumn="0" w:firstRowLastColumn="0" w:lastRowFirstColumn="0" w:lastRowLastColumn="0"/>
            <w:tcW w:w="1890" w:type="dxa"/>
          </w:tcPr>
          <w:p w:rsidR="00041BEC" w:rsidRPr="00041BEC" w:rsidRDefault="00041BEC" w:rsidP="00E6784C">
            <w:r w:rsidRPr="00041BEC">
              <w:t>NYHA</w:t>
            </w:r>
          </w:p>
        </w:tc>
        <w:tc>
          <w:tcPr>
            <w:tcW w:w="6911" w:type="dxa"/>
          </w:tcPr>
          <w:p w:rsidR="00041BEC" w:rsidRPr="00041BEC" w:rsidRDefault="00041BEC" w:rsidP="00E6784C">
            <w:pPr>
              <w:cnfStyle w:val="000000000000" w:firstRow="0" w:lastRow="0" w:firstColumn="0" w:lastColumn="0" w:oddVBand="0" w:evenVBand="0" w:oddHBand="0" w:evenHBand="0" w:firstRowFirstColumn="0" w:firstRowLastColumn="0" w:lastRowFirstColumn="0" w:lastRowLastColumn="0"/>
            </w:pPr>
            <w:r w:rsidRPr="00041BEC">
              <w:t>New York Heart Association</w:t>
            </w:r>
          </w:p>
        </w:tc>
      </w:tr>
      <w:tr w:rsidR="00041BEC" w:rsidTr="00E6784C">
        <w:tc>
          <w:tcPr>
            <w:cnfStyle w:val="001000000000" w:firstRow="0" w:lastRow="0" w:firstColumn="1" w:lastColumn="0" w:oddVBand="0" w:evenVBand="0" w:oddHBand="0" w:evenHBand="0" w:firstRowFirstColumn="0" w:firstRowLastColumn="0" w:lastRowFirstColumn="0" w:lastRowLastColumn="0"/>
            <w:tcW w:w="1890" w:type="dxa"/>
          </w:tcPr>
          <w:p w:rsidR="00041BEC" w:rsidRPr="00041BEC" w:rsidRDefault="00041BEC" w:rsidP="00E6784C">
            <w:r w:rsidRPr="00041BEC">
              <w:t>OC</w:t>
            </w:r>
          </w:p>
        </w:tc>
        <w:tc>
          <w:tcPr>
            <w:tcW w:w="6911" w:type="dxa"/>
          </w:tcPr>
          <w:p w:rsidR="00041BEC" w:rsidRPr="00041BEC" w:rsidRDefault="00041BEC" w:rsidP="00E6784C">
            <w:pPr>
              <w:cnfStyle w:val="000000000000" w:firstRow="0" w:lastRow="0" w:firstColumn="0" w:lastColumn="0" w:oddVBand="0" w:evenVBand="0" w:oddHBand="0" w:evenHBand="0" w:firstRowFirstColumn="0" w:firstRowLastColumn="0" w:lastRowFirstColumn="0" w:lastRowLastColumn="0"/>
            </w:pPr>
            <w:r w:rsidRPr="00041BEC">
              <w:t>Observed case</w:t>
            </w:r>
          </w:p>
        </w:tc>
      </w:tr>
      <w:tr w:rsidR="00041BEC" w:rsidTr="00E6784C">
        <w:tc>
          <w:tcPr>
            <w:cnfStyle w:val="001000000000" w:firstRow="0" w:lastRow="0" w:firstColumn="1" w:lastColumn="0" w:oddVBand="0" w:evenVBand="0" w:oddHBand="0" w:evenHBand="0" w:firstRowFirstColumn="0" w:firstRowLastColumn="0" w:lastRowFirstColumn="0" w:lastRowLastColumn="0"/>
            <w:tcW w:w="1890" w:type="dxa"/>
          </w:tcPr>
          <w:p w:rsidR="00041BEC" w:rsidRPr="00041BEC" w:rsidRDefault="00041BEC" w:rsidP="00E6784C">
            <w:r w:rsidRPr="00041BEC">
              <w:t>OL</w:t>
            </w:r>
          </w:p>
        </w:tc>
        <w:tc>
          <w:tcPr>
            <w:tcW w:w="6911" w:type="dxa"/>
          </w:tcPr>
          <w:p w:rsidR="00041BEC" w:rsidRPr="00041BEC" w:rsidRDefault="00041BEC" w:rsidP="00E6784C">
            <w:pPr>
              <w:cnfStyle w:val="000000000000" w:firstRow="0" w:lastRow="0" w:firstColumn="0" w:lastColumn="0" w:oddVBand="0" w:evenVBand="0" w:oddHBand="0" w:evenHBand="0" w:firstRowFirstColumn="0" w:firstRowLastColumn="0" w:lastRowFirstColumn="0" w:lastRowLastColumn="0"/>
            </w:pPr>
            <w:r w:rsidRPr="00041BEC">
              <w:t>Open-label</w:t>
            </w:r>
          </w:p>
        </w:tc>
      </w:tr>
      <w:tr w:rsidR="00041BEC" w:rsidTr="00E6784C">
        <w:tc>
          <w:tcPr>
            <w:cnfStyle w:val="001000000000" w:firstRow="0" w:lastRow="0" w:firstColumn="1" w:lastColumn="0" w:oddVBand="0" w:evenVBand="0" w:oddHBand="0" w:evenHBand="0" w:firstRowFirstColumn="0" w:firstRowLastColumn="0" w:lastRowFirstColumn="0" w:lastRowLastColumn="0"/>
            <w:tcW w:w="1890" w:type="dxa"/>
          </w:tcPr>
          <w:p w:rsidR="00041BEC" w:rsidRPr="00041BEC" w:rsidRDefault="00041BEC" w:rsidP="00E6784C">
            <w:r w:rsidRPr="00041BEC">
              <w:t>PA</w:t>
            </w:r>
          </w:p>
        </w:tc>
        <w:tc>
          <w:tcPr>
            <w:tcW w:w="6911" w:type="dxa"/>
          </w:tcPr>
          <w:p w:rsidR="00041BEC" w:rsidRPr="00041BEC" w:rsidRDefault="00041BEC" w:rsidP="00E6784C">
            <w:pPr>
              <w:cnfStyle w:val="000000000000" w:firstRow="0" w:lastRow="0" w:firstColumn="0" w:lastColumn="0" w:oddVBand="0" w:evenVBand="0" w:oddHBand="0" w:evenHBand="0" w:firstRowFirstColumn="0" w:firstRowLastColumn="0" w:lastRowFirstColumn="0" w:lastRowLastColumn="0"/>
            </w:pPr>
            <w:r w:rsidRPr="00041BEC">
              <w:t>Posterior-anterior</w:t>
            </w:r>
          </w:p>
        </w:tc>
      </w:tr>
      <w:tr w:rsidR="00041BEC" w:rsidTr="00E6784C">
        <w:tc>
          <w:tcPr>
            <w:cnfStyle w:val="001000000000" w:firstRow="0" w:lastRow="0" w:firstColumn="1" w:lastColumn="0" w:oddVBand="0" w:evenVBand="0" w:oddHBand="0" w:evenHBand="0" w:firstRowFirstColumn="0" w:firstRowLastColumn="0" w:lastRowFirstColumn="0" w:lastRowLastColumn="0"/>
            <w:tcW w:w="1890" w:type="dxa"/>
          </w:tcPr>
          <w:p w:rsidR="00041BEC" w:rsidRPr="00041BEC" w:rsidRDefault="00041BEC" w:rsidP="00E6784C">
            <w:r w:rsidRPr="00041BEC">
              <w:t>PASS</w:t>
            </w:r>
          </w:p>
        </w:tc>
        <w:tc>
          <w:tcPr>
            <w:tcW w:w="6911" w:type="dxa"/>
          </w:tcPr>
          <w:p w:rsidR="00041BEC" w:rsidRPr="00041BEC" w:rsidRDefault="00041BEC" w:rsidP="00E6784C">
            <w:pPr>
              <w:cnfStyle w:val="000000000000" w:firstRow="0" w:lastRow="0" w:firstColumn="0" w:lastColumn="0" w:oddVBand="0" w:evenVBand="0" w:oddHBand="0" w:evenHBand="0" w:firstRowFirstColumn="0" w:firstRowLastColumn="0" w:lastRowFirstColumn="0" w:lastRowLastColumn="0"/>
            </w:pPr>
            <w:r w:rsidRPr="00041BEC">
              <w:t>Patient acceptable symptom state</w:t>
            </w:r>
          </w:p>
        </w:tc>
      </w:tr>
      <w:tr w:rsidR="00041BEC" w:rsidTr="00E6784C">
        <w:tc>
          <w:tcPr>
            <w:cnfStyle w:val="001000000000" w:firstRow="0" w:lastRow="0" w:firstColumn="1" w:lastColumn="0" w:oddVBand="0" w:evenVBand="0" w:oddHBand="0" w:evenHBand="0" w:firstRowFirstColumn="0" w:firstRowLastColumn="0" w:lastRowFirstColumn="0" w:lastRowLastColumn="0"/>
            <w:tcW w:w="1890" w:type="dxa"/>
          </w:tcPr>
          <w:p w:rsidR="00041BEC" w:rsidRPr="00041BEC" w:rsidRDefault="00041BEC" w:rsidP="00E6784C">
            <w:r w:rsidRPr="00041BEC">
              <w:t>PGA</w:t>
            </w:r>
          </w:p>
        </w:tc>
        <w:tc>
          <w:tcPr>
            <w:tcW w:w="6911" w:type="dxa"/>
          </w:tcPr>
          <w:p w:rsidR="00041BEC" w:rsidRPr="00041BEC" w:rsidRDefault="00041BEC" w:rsidP="00E6784C">
            <w:pPr>
              <w:cnfStyle w:val="000000000000" w:firstRow="0" w:lastRow="0" w:firstColumn="0" w:lastColumn="0" w:oddVBand="0" w:evenVBand="0" w:oddHBand="0" w:evenHBand="0" w:firstRowFirstColumn="0" w:firstRowLastColumn="0" w:lastRowFirstColumn="0" w:lastRowLastColumn="0"/>
            </w:pPr>
            <w:r w:rsidRPr="00041BEC">
              <w:t>Physician's Global Assessment of Disease Activity</w:t>
            </w:r>
          </w:p>
        </w:tc>
      </w:tr>
      <w:tr w:rsidR="00041BEC" w:rsidTr="00E6784C">
        <w:tc>
          <w:tcPr>
            <w:cnfStyle w:val="001000000000" w:firstRow="0" w:lastRow="0" w:firstColumn="1" w:lastColumn="0" w:oddVBand="0" w:evenVBand="0" w:oddHBand="0" w:evenHBand="0" w:firstRowFirstColumn="0" w:firstRowLastColumn="0" w:lastRowFirstColumn="0" w:lastRowLastColumn="0"/>
            <w:tcW w:w="1890" w:type="dxa"/>
          </w:tcPr>
          <w:p w:rsidR="00041BEC" w:rsidRPr="00041BEC" w:rsidRDefault="00041BEC" w:rsidP="00E6784C">
            <w:r w:rsidRPr="00041BEC">
              <w:t>PML</w:t>
            </w:r>
          </w:p>
        </w:tc>
        <w:tc>
          <w:tcPr>
            <w:tcW w:w="6911" w:type="dxa"/>
          </w:tcPr>
          <w:p w:rsidR="00041BEC" w:rsidRPr="00041BEC" w:rsidRDefault="00041BEC" w:rsidP="00E6784C">
            <w:pPr>
              <w:cnfStyle w:val="000000000000" w:firstRow="0" w:lastRow="0" w:firstColumn="0" w:lastColumn="0" w:oddVBand="0" w:evenVBand="0" w:oddHBand="0" w:evenHBand="0" w:firstRowFirstColumn="0" w:firstRowLastColumn="0" w:lastRowFirstColumn="0" w:lastRowLastColumn="0"/>
            </w:pPr>
            <w:r w:rsidRPr="00041BEC">
              <w:t>Progressive multifocal leukoencephalopathy</w:t>
            </w:r>
          </w:p>
        </w:tc>
      </w:tr>
      <w:tr w:rsidR="00041BEC" w:rsidTr="00E6784C">
        <w:tc>
          <w:tcPr>
            <w:cnfStyle w:val="001000000000" w:firstRow="0" w:lastRow="0" w:firstColumn="1" w:lastColumn="0" w:oddVBand="0" w:evenVBand="0" w:oddHBand="0" w:evenHBand="0" w:firstRowFirstColumn="0" w:firstRowLastColumn="0" w:lastRowFirstColumn="0" w:lastRowLastColumn="0"/>
            <w:tcW w:w="1890" w:type="dxa"/>
          </w:tcPr>
          <w:p w:rsidR="00041BEC" w:rsidRPr="00041BEC" w:rsidRDefault="00041BEC" w:rsidP="00E6784C">
            <w:r w:rsidRPr="00041BEC">
              <w:t>POR</w:t>
            </w:r>
          </w:p>
        </w:tc>
        <w:tc>
          <w:tcPr>
            <w:tcW w:w="6911" w:type="dxa"/>
          </w:tcPr>
          <w:p w:rsidR="00041BEC" w:rsidRPr="00041BEC" w:rsidRDefault="00041BEC" w:rsidP="00E6784C">
            <w:pPr>
              <w:cnfStyle w:val="000000000000" w:firstRow="0" w:lastRow="0" w:firstColumn="0" w:lastColumn="0" w:oddVBand="0" w:evenVBand="0" w:oddHBand="0" w:evenHBand="0" w:firstRowFirstColumn="0" w:firstRowLastColumn="0" w:lastRowFirstColumn="0" w:lastRowLastColumn="0"/>
            </w:pPr>
            <w:r w:rsidRPr="00041BEC">
              <w:t>Proof of receipt</w:t>
            </w:r>
          </w:p>
        </w:tc>
      </w:tr>
      <w:tr w:rsidR="00041BEC" w:rsidTr="00E6784C">
        <w:tc>
          <w:tcPr>
            <w:cnfStyle w:val="001000000000" w:firstRow="0" w:lastRow="0" w:firstColumn="1" w:lastColumn="0" w:oddVBand="0" w:evenVBand="0" w:oddHBand="0" w:evenHBand="0" w:firstRowFirstColumn="0" w:firstRowLastColumn="0" w:lastRowFirstColumn="0" w:lastRowLastColumn="0"/>
            <w:tcW w:w="1890" w:type="dxa"/>
          </w:tcPr>
          <w:p w:rsidR="00041BEC" w:rsidRPr="00041BEC" w:rsidRDefault="00041BEC" w:rsidP="00E6784C">
            <w:r w:rsidRPr="00041BEC">
              <w:t>PPD</w:t>
            </w:r>
          </w:p>
        </w:tc>
        <w:tc>
          <w:tcPr>
            <w:tcW w:w="6911" w:type="dxa"/>
          </w:tcPr>
          <w:p w:rsidR="00041BEC" w:rsidRPr="00041BEC" w:rsidRDefault="00041BEC" w:rsidP="00E6784C">
            <w:pPr>
              <w:cnfStyle w:val="000000000000" w:firstRow="0" w:lastRow="0" w:firstColumn="0" w:lastColumn="0" w:oddVBand="0" w:evenVBand="0" w:oddHBand="0" w:evenHBand="0" w:firstRowFirstColumn="0" w:firstRowLastColumn="0" w:lastRowFirstColumn="0" w:lastRowLastColumn="0"/>
            </w:pPr>
            <w:r w:rsidRPr="00041BEC">
              <w:t>Purified protein derivative</w:t>
            </w:r>
          </w:p>
        </w:tc>
      </w:tr>
      <w:tr w:rsidR="00041BEC" w:rsidTr="00E6784C">
        <w:tc>
          <w:tcPr>
            <w:cnfStyle w:val="001000000000" w:firstRow="0" w:lastRow="0" w:firstColumn="1" w:lastColumn="0" w:oddVBand="0" w:evenVBand="0" w:oddHBand="0" w:evenHBand="0" w:firstRowFirstColumn="0" w:firstRowLastColumn="0" w:lastRowFirstColumn="0" w:lastRowLastColumn="0"/>
            <w:tcW w:w="1890" w:type="dxa"/>
          </w:tcPr>
          <w:p w:rsidR="00041BEC" w:rsidRPr="00041BEC" w:rsidRDefault="00041BEC" w:rsidP="00E6784C">
            <w:r w:rsidRPr="00041BEC">
              <w:t>PPP</w:t>
            </w:r>
          </w:p>
        </w:tc>
        <w:tc>
          <w:tcPr>
            <w:tcW w:w="6911" w:type="dxa"/>
          </w:tcPr>
          <w:p w:rsidR="00041BEC" w:rsidRPr="00041BEC" w:rsidRDefault="00041BEC" w:rsidP="00E6784C">
            <w:pPr>
              <w:cnfStyle w:val="000000000000" w:firstRow="0" w:lastRow="0" w:firstColumn="0" w:lastColumn="0" w:oddVBand="0" w:evenVBand="0" w:oddHBand="0" w:evenHBand="0" w:firstRowFirstColumn="0" w:firstRowLastColumn="0" w:lastRowFirstColumn="0" w:lastRowLastColumn="0"/>
            </w:pPr>
            <w:r w:rsidRPr="00041BEC">
              <w:t>Per-protocol population</w:t>
            </w:r>
          </w:p>
        </w:tc>
      </w:tr>
      <w:tr w:rsidR="00041BEC" w:rsidTr="00E6784C">
        <w:tc>
          <w:tcPr>
            <w:cnfStyle w:val="001000000000" w:firstRow="0" w:lastRow="0" w:firstColumn="1" w:lastColumn="0" w:oddVBand="0" w:evenVBand="0" w:oddHBand="0" w:evenHBand="0" w:firstRowFirstColumn="0" w:firstRowLastColumn="0" w:lastRowFirstColumn="0" w:lastRowLastColumn="0"/>
            <w:tcW w:w="1890" w:type="dxa"/>
          </w:tcPr>
          <w:p w:rsidR="00041BEC" w:rsidRPr="00041BEC" w:rsidRDefault="00041BEC" w:rsidP="00E6784C">
            <w:r w:rsidRPr="00041BEC">
              <w:lastRenderedPageBreak/>
              <w:t>Ps</w:t>
            </w:r>
          </w:p>
        </w:tc>
        <w:tc>
          <w:tcPr>
            <w:tcW w:w="6911" w:type="dxa"/>
          </w:tcPr>
          <w:p w:rsidR="00041BEC" w:rsidRPr="00041BEC" w:rsidRDefault="00041BEC" w:rsidP="00E6784C">
            <w:pPr>
              <w:cnfStyle w:val="000000000000" w:firstRow="0" w:lastRow="0" w:firstColumn="0" w:lastColumn="0" w:oddVBand="0" w:evenVBand="0" w:oddHBand="0" w:evenHBand="0" w:firstRowFirstColumn="0" w:firstRowLastColumn="0" w:lastRowFirstColumn="0" w:lastRowLastColumn="0"/>
            </w:pPr>
            <w:r w:rsidRPr="00041BEC">
              <w:t>Psoriasis</w:t>
            </w:r>
          </w:p>
        </w:tc>
      </w:tr>
      <w:tr w:rsidR="00041BEC" w:rsidTr="00E6784C">
        <w:tc>
          <w:tcPr>
            <w:cnfStyle w:val="001000000000" w:firstRow="0" w:lastRow="0" w:firstColumn="1" w:lastColumn="0" w:oddVBand="0" w:evenVBand="0" w:oddHBand="0" w:evenHBand="0" w:firstRowFirstColumn="0" w:firstRowLastColumn="0" w:lastRowFirstColumn="0" w:lastRowLastColumn="0"/>
            <w:tcW w:w="1890" w:type="dxa"/>
          </w:tcPr>
          <w:p w:rsidR="00041BEC" w:rsidRPr="00041BEC" w:rsidRDefault="00041BEC" w:rsidP="00E6784C">
            <w:proofErr w:type="spellStart"/>
            <w:r w:rsidRPr="00041BEC">
              <w:t>PsA</w:t>
            </w:r>
            <w:proofErr w:type="spellEnd"/>
          </w:p>
        </w:tc>
        <w:tc>
          <w:tcPr>
            <w:tcW w:w="6911" w:type="dxa"/>
          </w:tcPr>
          <w:p w:rsidR="00041BEC" w:rsidRPr="00041BEC" w:rsidRDefault="00041BEC" w:rsidP="00E6784C">
            <w:pPr>
              <w:cnfStyle w:val="000000000000" w:firstRow="0" w:lastRow="0" w:firstColumn="0" w:lastColumn="0" w:oddVBand="0" w:evenVBand="0" w:oddHBand="0" w:evenHBand="0" w:firstRowFirstColumn="0" w:firstRowLastColumn="0" w:lastRowFirstColumn="0" w:lastRowLastColumn="0"/>
            </w:pPr>
            <w:r w:rsidRPr="00041BEC">
              <w:t>Psoriatic arthritis</w:t>
            </w:r>
          </w:p>
        </w:tc>
      </w:tr>
      <w:tr w:rsidR="00041BEC" w:rsidTr="00E6784C">
        <w:tc>
          <w:tcPr>
            <w:cnfStyle w:val="001000000000" w:firstRow="0" w:lastRow="0" w:firstColumn="1" w:lastColumn="0" w:oddVBand="0" w:evenVBand="0" w:oddHBand="0" w:evenHBand="0" w:firstRowFirstColumn="0" w:firstRowLastColumn="0" w:lastRowFirstColumn="0" w:lastRowLastColumn="0"/>
            <w:tcW w:w="1890" w:type="dxa"/>
          </w:tcPr>
          <w:p w:rsidR="00041BEC" w:rsidRPr="00041BEC" w:rsidRDefault="00041BEC" w:rsidP="00E6784C">
            <w:r w:rsidRPr="00041BEC">
              <w:t>PT</w:t>
            </w:r>
          </w:p>
        </w:tc>
        <w:tc>
          <w:tcPr>
            <w:tcW w:w="6911" w:type="dxa"/>
          </w:tcPr>
          <w:p w:rsidR="00041BEC" w:rsidRPr="00041BEC" w:rsidRDefault="00041BEC" w:rsidP="00E6784C">
            <w:pPr>
              <w:cnfStyle w:val="000000000000" w:firstRow="0" w:lastRow="0" w:firstColumn="0" w:lastColumn="0" w:oddVBand="0" w:evenVBand="0" w:oddHBand="0" w:evenHBand="0" w:firstRowFirstColumn="0" w:firstRowLastColumn="0" w:lastRowFirstColumn="0" w:lastRowLastColumn="0"/>
            </w:pPr>
            <w:r w:rsidRPr="00041BEC">
              <w:t>Preferred term</w:t>
            </w:r>
          </w:p>
        </w:tc>
      </w:tr>
      <w:tr w:rsidR="00041BEC" w:rsidTr="00E6784C">
        <w:tc>
          <w:tcPr>
            <w:cnfStyle w:val="001000000000" w:firstRow="0" w:lastRow="0" w:firstColumn="1" w:lastColumn="0" w:oddVBand="0" w:evenVBand="0" w:oddHBand="0" w:evenHBand="0" w:firstRowFirstColumn="0" w:firstRowLastColumn="0" w:lastRowFirstColumn="0" w:lastRowLastColumn="0"/>
            <w:tcW w:w="1890" w:type="dxa"/>
          </w:tcPr>
          <w:p w:rsidR="00041BEC" w:rsidRPr="00041BEC" w:rsidRDefault="00041BEC" w:rsidP="00E6784C">
            <w:r w:rsidRPr="00041BEC">
              <w:t>PTGA</w:t>
            </w:r>
          </w:p>
        </w:tc>
        <w:tc>
          <w:tcPr>
            <w:tcW w:w="6911" w:type="dxa"/>
          </w:tcPr>
          <w:p w:rsidR="00041BEC" w:rsidRPr="00041BEC" w:rsidRDefault="00041BEC" w:rsidP="00E6784C">
            <w:pPr>
              <w:cnfStyle w:val="000000000000" w:firstRow="0" w:lastRow="0" w:firstColumn="0" w:lastColumn="0" w:oddVBand="0" w:evenVBand="0" w:oddHBand="0" w:evenHBand="0" w:firstRowFirstColumn="0" w:firstRowLastColumn="0" w:lastRowFirstColumn="0" w:lastRowLastColumn="0"/>
            </w:pPr>
            <w:r w:rsidRPr="00041BEC">
              <w:t>Patient's Global Assessment</w:t>
            </w:r>
          </w:p>
        </w:tc>
      </w:tr>
      <w:tr w:rsidR="00041BEC" w:rsidTr="00E6784C">
        <w:tc>
          <w:tcPr>
            <w:cnfStyle w:val="001000000000" w:firstRow="0" w:lastRow="0" w:firstColumn="1" w:lastColumn="0" w:oddVBand="0" w:evenVBand="0" w:oddHBand="0" w:evenHBand="0" w:firstRowFirstColumn="0" w:firstRowLastColumn="0" w:lastRowFirstColumn="0" w:lastRowLastColumn="0"/>
            <w:tcW w:w="1890" w:type="dxa"/>
          </w:tcPr>
          <w:p w:rsidR="00041BEC" w:rsidRPr="00041BEC" w:rsidRDefault="00041BEC" w:rsidP="00E6784C">
            <w:r w:rsidRPr="00041BEC">
              <w:t>PY</w:t>
            </w:r>
          </w:p>
        </w:tc>
        <w:tc>
          <w:tcPr>
            <w:tcW w:w="6911" w:type="dxa"/>
          </w:tcPr>
          <w:p w:rsidR="00041BEC" w:rsidRPr="00041BEC" w:rsidRDefault="00041BEC" w:rsidP="00E6784C">
            <w:pPr>
              <w:cnfStyle w:val="000000000000" w:firstRow="0" w:lastRow="0" w:firstColumn="0" w:lastColumn="0" w:oddVBand="0" w:evenVBand="0" w:oddHBand="0" w:evenHBand="0" w:firstRowFirstColumn="0" w:firstRowLastColumn="0" w:lastRowFirstColumn="0" w:lastRowLastColumn="0"/>
            </w:pPr>
            <w:r w:rsidRPr="00041BEC">
              <w:t>Patient-year</w:t>
            </w:r>
          </w:p>
        </w:tc>
      </w:tr>
      <w:tr w:rsidR="00041BEC" w:rsidTr="00E6784C">
        <w:tc>
          <w:tcPr>
            <w:cnfStyle w:val="001000000000" w:firstRow="0" w:lastRow="0" w:firstColumn="1" w:lastColumn="0" w:oddVBand="0" w:evenVBand="0" w:oddHBand="0" w:evenHBand="0" w:firstRowFirstColumn="0" w:firstRowLastColumn="0" w:lastRowFirstColumn="0" w:lastRowLastColumn="0"/>
            <w:tcW w:w="1890" w:type="dxa"/>
          </w:tcPr>
          <w:p w:rsidR="00041BEC" w:rsidRPr="00041BEC" w:rsidRDefault="00041BEC" w:rsidP="00E6784C">
            <w:r w:rsidRPr="00041BEC">
              <w:t>RBC</w:t>
            </w:r>
          </w:p>
        </w:tc>
        <w:tc>
          <w:tcPr>
            <w:tcW w:w="6911" w:type="dxa"/>
          </w:tcPr>
          <w:p w:rsidR="00041BEC" w:rsidRPr="00041BEC" w:rsidRDefault="00041BEC" w:rsidP="00E6784C">
            <w:pPr>
              <w:cnfStyle w:val="000000000000" w:firstRow="0" w:lastRow="0" w:firstColumn="0" w:lastColumn="0" w:oddVBand="0" w:evenVBand="0" w:oddHBand="0" w:evenHBand="0" w:firstRowFirstColumn="0" w:firstRowLastColumn="0" w:lastRowFirstColumn="0" w:lastRowLastColumn="0"/>
            </w:pPr>
            <w:r w:rsidRPr="00041BEC">
              <w:t>Red blood cell</w:t>
            </w:r>
          </w:p>
        </w:tc>
      </w:tr>
      <w:tr w:rsidR="00041BEC" w:rsidTr="00E6784C">
        <w:tc>
          <w:tcPr>
            <w:cnfStyle w:val="001000000000" w:firstRow="0" w:lastRow="0" w:firstColumn="1" w:lastColumn="0" w:oddVBand="0" w:evenVBand="0" w:oddHBand="0" w:evenHBand="0" w:firstRowFirstColumn="0" w:firstRowLastColumn="0" w:lastRowFirstColumn="0" w:lastRowLastColumn="0"/>
            <w:tcW w:w="1890" w:type="dxa"/>
          </w:tcPr>
          <w:p w:rsidR="00041BEC" w:rsidRPr="00041BEC" w:rsidRDefault="00041BEC" w:rsidP="00E6784C">
            <w:r w:rsidRPr="00041BEC">
              <w:t>RPLS</w:t>
            </w:r>
          </w:p>
        </w:tc>
        <w:tc>
          <w:tcPr>
            <w:tcW w:w="6911" w:type="dxa"/>
          </w:tcPr>
          <w:p w:rsidR="00041BEC" w:rsidRPr="00041BEC" w:rsidRDefault="00041BEC" w:rsidP="00E6784C">
            <w:pPr>
              <w:cnfStyle w:val="000000000000" w:firstRow="0" w:lastRow="0" w:firstColumn="0" w:lastColumn="0" w:oddVBand="0" w:evenVBand="0" w:oddHBand="0" w:evenHBand="0" w:firstRowFirstColumn="0" w:firstRowLastColumn="0" w:lastRowFirstColumn="0" w:lastRowLastColumn="0"/>
            </w:pPr>
            <w:r w:rsidRPr="00041BEC">
              <w:t>Reversible posterior leukoencephalopathy syndrome</w:t>
            </w:r>
          </w:p>
        </w:tc>
      </w:tr>
      <w:tr w:rsidR="00041BEC" w:rsidTr="00E6784C">
        <w:tc>
          <w:tcPr>
            <w:cnfStyle w:val="001000000000" w:firstRow="0" w:lastRow="0" w:firstColumn="1" w:lastColumn="0" w:oddVBand="0" w:evenVBand="0" w:oddHBand="0" w:evenHBand="0" w:firstRowFirstColumn="0" w:firstRowLastColumn="0" w:lastRowFirstColumn="0" w:lastRowLastColumn="0"/>
            <w:tcW w:w="1890" w:type="dxa"/>
          </w:tcPr>
          <w:p w:rsidR="00041BEC" w:rsidRPr="00041BEC" w:rsidRDefault="00041BEC" w:rsidP="00E6784C">
            <w:r w:rsidRPr="00041BEC">
              <w:t>SAE</w:t>
            </w:r>
          </w:p>
        </w:tc>
        <w:tc>
          <w:tcPr>
            <w:tcW w:w="6911" w:type="dxa"/>
          </w:tcPr>
          <w:p w:rsidR="00041BEC" w:rsidRPr="00041BEC" w:rsidRDefault="00041BEC" w:rsidP="00E6784C">
            <w:pPr>
              <w:cnfStyle w:val="000000000000" w:firstRow="0" w:lastRow="0" w:firstColumn="0" w:lastColumn="0" w:oddVBand="0" w:evenVBand="0" w:oddHBand="0" w:evenHBand="0" w:firstRowFirstColumn="0" w:firstRowLastColumn="0" w:lastRowFirstColumn="0" w:lastRowLastColumn="0"/>
            </w:pPr>
            <w:r w:rsidRPr="00041BEC">
              <w:t>Serious adverse event</w:t>
            </w:r>
          </w:p>
        </w:tc>
      </w:tr>
      <w:tr w:rsidR="00041BEC" w:rsidTr="00E6784C">
        <w:tc>
          <w:tcPr>
            <w:cnfStyle w:val="001000000000" w:firstRow="0" w:lastRow="0" w:firstColumn="1" w:lastColumn="0" w:oddVBand="0" w:evenVBand="0" w:oddHBand="0" w:evenHBand="0" w:firstRowFirstColumn="0" w:firstRowLastColumn="0" w:lastRowFirstColumn="0" w:lastRowLastColumn="0"/>
            <w:tcW w:w="1890" w:type="dxa"/>
          </w:tcPr>
          <w:p w:rsidR="00041BEC" w:rsidRPr="00041BEC" w:rsidRDefault="00041BEC" w:rsidP="00E6784C">
            <w:r w:rsidRPr="00041BEC">
              <w:t>SAP</w:t>
            </w:r>
          </w:p>
        </w:tc>
        <w:tc>
          <w:tcPr>
            <w:tcW w:w="6911" w:type="dxa"/>
          </w:tcPr>
          <w:p w:rsidR="00041BEC" w:rsidRPr="00041BEC" w:rsidRDefault="00041BEC" w:rsidP="00E6784C">
            <w:pPr>
              <w:cnfStyle w:val="000000000000" w:firstRow="0" w:lastRow="0" w:firstColumn="0" w:lastColumn="0" w:oddVBand="0" w:evenVBand="0" w:oddHBand="0" w:evenHBand="0" w:firstRowFirstColumn="0" w:firstRowLastColumn="0" w:lastRowFirstColumn="0" w:lastRowLastColumn="0"/>
            </w:pPr>
            <w:r w:rsidRPr="00041BEC">
              <w:t>Statistical analysis plan</w:t>
            </w:r>
          </w:p>
        </w:tc>
      </w:tr>
      <w:tr w:rsidR="00041BEC" w:rsidTr="00E6784C">
        <w:tc>
          <w:tcPr>
            <w:cnfStyle w:val="001000000000" w:firstRow="0" w:lastRow="0" w:firstColumn="1" w:lastColumn="0" w:oddVBand="0" w:evenVBand="0" w:oddHBand="0" w:evenHBand="0" w:firstRowFirstColumn="0" w:firstRowLastColumn="0" w:lastRowFirstColumn="0" w:lastRowLastColumn="0"/>
            <w:tcW w:w="1890" w:type="dxa"/>
          </w:tcPr>
          <w:p w:rsidR="00041BEC" w:rsidRPr="00041BEC" w:rsidRDefault="00041BEC" w:rsidP="00E6784C">
            <w:r w:rsidRPr="00041BEC">
              <w:t>SC</w:t>
            </w:r>
          </w:p>
        </w:tc>
        <w:tc>
          <w:tcPr>
            <w:tcW w:w="6911" w:type="dxa"/>
          </w:tcPr>
          <w:p w:rsidR="00041BEC" w:rsidRPr="00041BEC" w:rsidRDefault="00041BEC" w:rsidP="00E6784C">
            <w:pPr>
              <w:cnfStyle w:val="000000000000" w:firstRow="0" w:lastRow="0" w:firstColumn="0" w:lastColumn="0" w:oddVBand="0" w:evenVBand="0" w:oddHBand="0" w:evenHBand="0" w:firstRowFirstColumn="0" w:firstRowLastColumn="0" w:lastRowFirstColumn="0" w:lastRowLastColumn="0"/>
            </w:pPr>
            <w:r w:rsidRPr="00041BEC">
              <w:t>Subcutaneous</w:t>
            </w:r>
          </w:p>
        </w:tc>
      </w:tr>
      <w:tr w:rsidR="00041BEC" w:rsidTr="00E6784C">
        <w:tc>
          <w:tcPr>
            <w:cnfStyle w:val="001000000000" w:firstRow="0" w:lastRow="0" w:firstColumn="1" w:lastColumn="0" w:oddVBand="0" w:evenVBand="0" w:oddHBand="0" w:evenHBand="0" w:firstRowFirstColumn="0" w:firstRowLastColumn="0" w:lastRowFirstColumn="0" w:lastRowLastColumn="0"/>
            <w:tcW w:w="1890" w:type="dxa"/>
          </w:tcPr>
          <w:p w:rsidR="00041BEC" w:rsidRPr="00041BEC" w:rsidRDefault="00041BEC" w:rsidP="00E6784C">
            <w:r w:rsidRPr="00041BEC">
              <w:t>SF-36</w:t>
            </w:r>
            <w:r w:rsidRPr="00041BEC">
              <w:rPr>
                <w:rFonts w:eastAsia="SymbolMT"/>
              </w:rPr>
              <w:t>™</w:t>
            </w:r>
            <w:r w:rsidRPr="00041BEC">
              <w:t>V2</w:t>
            </w:r>
          </w:p>
        </w:tc>
        <w:tc>
          <w:tcPr>
            <w:tcW w:w="6911" w:type="dxa"/>
          </w:tcPr>
          <w:p w:rsidR="00041BEC" w:rsidRPr="00041BEC" w:rsidRDefault="00041BEC" w:rsidP="00E6784C">
            <w:pPr>
              <w:cnfStyle w:val="000000000000" w:firstRow="0" w:lastRow="0" w:firstColumn="0" w:lastColumn="0" w:oddVBand="0" w:evenVBand="0" w:oddHBand="0" w:evenHBand="0" w:firstRowFirstColumn="0" w:firstRowLastColumn="0" w:lastRowFirstColumn="0" w:lastRowLastColumn="0"/>
            </w:pPr>
            <w:r w:rsidRPr="00041BEC">
              <w:t>Short Form-36 Health Status Survey</w:t>
            </w:r>
            <w:r w:rsidRPr="00041BEC">
              <w:rPr>
                <w:rFonts w:eastAsia="SymbolMT"/>
              </w:rPr>
              <w:t xml:space="preserve">™ </w:t>
            </w:r>
            <w:r w:rsidRPr="00041BEC">
              <w:t>Version 2</w:t>
            </w:r>
          </w:p>
        </w:tc>
      </w:tr>
      <w:tr w:rsidR="00041BEC" w:rsidTr="00E6784C">
        <w:tc>
          <w:tcPr>
            <w:cnfStyle w:val="001000000000" w:firstRow="0" w:lastRow="0" w:firstColumn="1" w:lastColumn="0" w:oddVBand="0" w:evenVBand="0" w:oddHBand="0" w:evenHBand="0" w:firstRowFirstColumn="0" w:firstRowLastColumn="0" w:lastRowFirstColumn="0" w:lastRowLastColumn="0"/>
            <w:tcW w:w="1890" w:type="dxa"/>
          </w:tcPr>
          <w:p w:rsidR="00041BEC" w:rsidRPr="00041BEC" w:rsidRDefault="00041BEC" w:rsidP="00E6784C">
            <w:r w:rsidRPr="00041BEC">
              <w:t>SGOT</w:t>
            </w:r>
          </w:p>
        </w:tc>
        <w:tc>
          <w:tcPr>
            <w:tcW w:w="6911" w:type="dxa"/>
          </w:tcPr>
          <w:p w:rsidR="00041BEC" w:rsidRPr="00041BEC" w:rsidRDefault="00041BEC" w:rsidP="00E6784C">
            <w:pPr>
              <w:cnfStyle w:val="000000000000" w:firstRow="0" w:lastRow="0" w:firstColumn="0" w:lastColumn="0" w:oddVBand="0" w:evenVBand="0" w:oddHBand="0" w:evenHBand="0" w:firstRowFirstColumn="0" w:firstRowLastColumn="0" w:lastRowFirstColumn="0" w:lastRowLastColumn="0"/>
            </w:pPr>
            <w:r w:rsidRPr="00041BEC">
              <w:t>Serum glutamic-oxaloacetic transaminase</w:t>
            </w:r>
          </w:p>
        </w:tc>
      </w:tr>
      <w:tr w:rsidR="00041BEC" w:rsidTr="00E6784C">
        <w:tc>
          <w:tcPr>
            <w:cnfStyle w:val="001000000000" w:firstRow="0" w:lastRow="0" w:firstColumn="1" w:lastColumn="0" w:oddVBand="0" w:evenVBand="0" w:oddHBand="0" w:evenHBand="0" w:firstRowFirstColumn="0" w:firstRowLastColumn="0" w:lastRowFirstColumn="0" w:lastRowLastColumn="0"/>
            <w:tcW w:w="1890" w:type="dxa"/>
          </w:tcPr>
          <w:p w:rsidR="00041BEC" w:rsidRPr="00041BEC" w:rsidRDefault="00041BEC" w:rsidP="00E6784C">
            <w:r w:rsidRPr="00041BEC">
              <w:t>SGPT</w:t>
            </w:r>
          </w:p>
        </w:tc>
        <w:tc>
          <w:tcPr>
            <w:tcW w:w="6911" w:type="dxa"/>
          </w:tcPr>
          <w:p w:rsidR="00041BEC" w:rsidRPr="00041BEC" w:rsidRDefault="00041BEC" w:rsidP="00E6784C">
            <w:pPr>
              <w:cnfStyle w:val="000000000000" w:firstRow="0" w:lastRow="0" w:firstColumn="0" w:lastColumn="0" w:oddVBand="0" w:evenVBand="0" w:oddHBand="0" w:evenHBand="0" w:firstRowFirstColumn="0" w:firstRowLastColumn="0" w:lastRowFirstColumn="0" w:lastRowLastColumn="0"/>
            </w:pPr>
            <w:r w:rsidRPr="00041BEC">
              <w:t>Serum glutamic-pyruvic transaminase</w:t>
            </w:r>
          </w:p>
        </w:tc>
      </w:tr>
      <w:tr w:rsidR="00041BEC" w:rsidTr="00E6784C">
        <w:tc>
          <w:tcPr>
            <w:cnfStyle w:val="001000000000" w:firstRow="0" w:lastRow="0" w:firstColumn="1" w:lastColumn="0" w:oddVBand="0" w:evenVBand="0" w:oddHBand="0" w:evenHBand="0" w:firstRowFirstColumn="0" w:firstRowLastColumn="0" w:lastRowFirstColumn="0" w:lastRowLastColumn="0"/>
            <w:tcW w:w="1890" w:type="dxa"/>
          </w:tcPr>
          <w:p w:rsidR="00041BEC" w:rsidRPr="00041BEC" w:rsidRDefault="00041BEC" w:rsidP="00E6784C">
            <w:r w:rsidRPr="00041BEC">
              <w:t>SJC</w:t>
            </w:r>
          </w:p>
        </w:tc>
        <w:tc>
          <w:tcPr>
            <w:tcW w:w="6911" w:type="dxa"/>
          </w:tcPr>
          <w:p w:rsidR="00041BEC" w:rsidRPr="00041BEC" w:rsidRDefault="00041BEC" w:rsidP="00E6784C">
            <w:pPr>
              <w:cnfStyle w:val="000000000000" w:firstRow="0" w:lastRow="0" w:firstColumn="0" w:lastColumn="0" w:oddVBand="0" w:evenVBand="0" w:oddHBand="0" w:evenHBand="0" w:firstRowFirstColumn="0" w:firstRowLastColumn="0" w:lastRowFirstColumn="0" w:lastRowLastColumn="0"/>
            </w:pPr>
            <w:r w:rsidRPr="00041BEC">
              <w:t>Swollen joint count</w:t>
            </w:r>
          </w:p>
        </w:tc>
      </w:tr>
      <w:tr w:rsidR="00041BEC" w:rsidTr="00E6784C">
        <w:tc>
          <w:tcPr>
            <w:cnfStyle w:val="001000000000" w:firstRow="0" w:lastRow="0" w:firstColumn="1" w:lastColumn="0" w:oddVBand="0" w:evenVBand="0" w:oddHBand="0" w:evenHBand="0" w:firstRowFirstColumn="0" w:firstRowLastColumn="0" w:lastRowFirstColumn="0" w:lastRowLastColumn="0"/>
            <w:tcW w:w="1890" w:type="dxa"/>
          </w:tcPr>
          <w:p w:rsidR="00041BEC" w:rsidRPr="00041BEC" w:rsidRDefault="00041BEC" w:rsidP="00E6784C">
            <w:r w:rsidRPr="00041BEC">
              <w:t>SOC</w:t>
            </w:r>
          </w:p>
        </w:tc>
        <w:tc>
          <w:tcPr>
            <w:tcW w:w="6911" w:type="dxa"/>
          </w:tcPr>
          <w:p w:rsidR="00041BEC" w:rsidRPr="00041BEC" w:rsidRDefault="00041BEC" w:rsidP="00E6784C">
            <w:pPr>
              <w:cnfStyle w:val="000000000000" w:firstRow="0" w:lastRow="0" w:firstColumn="0" w:lastColumn="0" w:oddVBand="0" w:evenVBand="0" w:oddHBand="0" w:evenHBand="0" w:firstRowFirstColumn="0" w:firstRowLastColumn="0" w:lastRowFirstColumn="0" w:lastRowLastColumn="0"/>
            </w:pPr>
            <w:r w:rsidRPr="00041BEC">
              <w:t>System organ class</w:t>
            </w:r>
          </w:p>
        </w:tc>
      </w:tr>
      <w:tr w:rsidR="00041BEC" w:rsidTr="00E6784C">
        <w:tc>
          <w:tcPr>
            <w:cnfStyle w:val="001000000000" w:firstRow="0" w:lastRow="0" w:firstColumn="1" w:lastColumn="0" w:oddVBand="0" w:evenVBand="0" w:oddHBand="0" w:evenHBand="0" w:firstRowFirstColumn="0" w:firstRowLastColumn="0" w:lastRowFirstColumn="0" w:lastRowLastColumn="0"/>
            <w:tcW w:w="1890" w:type="dxa"/>
          </w:tcPr>
          <w:p w:rsidR="00041BEC" w:rsidRPr="00041BEC" w:rsidRDefault="00041BEC" w:rsidP="00E6784C">
            <w:proofErr w:type="spellStart"/>
            <w:r w:rsidRPr="00041BEC">
              <w:t>SpA</w:t>
            </w:r>
            <w:proofErr w:type="spellEnd"/>
          </w:p>
        </w:tc>
        <w:tc>
          <w:tcPr>
            <w:tcW w:w="6911" w:type="dxa"/>
          </w:tcPr>
          <w:p w:rsidR="00041BEC" w:rsidRPr="00041BEC" w:rsidRDefault="00041BEC" w:rsidP="00E6784C">
            <w:pPr>
              <w:cnfStyle w:val="000000000000" w:firstRow="0" w:lastRow="0" w:firstColumn="0" w:lastColumn="0" w:oddVBand="0" w:evenVBand="0" w:oddHBand="0" w:evenHBand="0" w:firstRowFirstColumn="0" w:firstRowLastColumn="0" w:lastRowFirstColumn="0" w:lastRowLastColumn="0"/>
            </w:pPr>
            <w:proofErr w:type="spellStart"/>
            <w:r w:rsidRPr="00041BEC">
              <w:t>Spondyloarthritis</w:t>
            </w:r>
            <w:proofErr w:type="spellEnd"/>
          </w:p>
        </w:tc>
      </w:tr>
      <w:tr w:rsidR="00041BEC" w:rsidTr="00E6784C">
        <w:tc>
          <w:tcPr>
            <w:cnfStyle w:val="001000000000" w:firstRow="0" w:lastRow="0" w:firstColumn="1" w:lastColumn="0" w:oddVBand="0" w:evenVBand="0" w:oddHBand="0" w:evenHBand="0" w:firstRowFirstColumn="0" w:firstRowLastColumn="0" w:lastRowFirstColumn="0" w:lastRowLastColumn="0"/>
            <w:tcW w:w="1890" w:type="dxa"/>
          </w:tcPr>
          <w:p w:rsidR="00041BEC" w:rsidRPr="00041BEC" w:rsidRDefault="00041BEC" w:rsidP="00E6784C">
            <w:r w:rsidRPr="00041BEC">
              <w:t>SPARCC</w:t>
            </w:r>
          </w:p>
        </w:tc>
        <w:tc>
          <w:tcPr>
            <w:tcW w:w="6911" w:type="dxa"/>
          </w:tcPr>
          <w:p w:rsidR="00041BEC" w:rsidRPr="00041BEC" w:rsidRDefault="00041BEC" w:rsidP="00E6784C">
            <w:pPr>
              <w:cnfStyle w:val="000000000000" w:firstRow="0" w:lastRow="0" w:firstColumn="0" w:lastColumn="0" w:oddVBand="0" w:evenVBand="0" w:oddHBand="0" w:evenHBand="0" w:firstRowFirstColumn="0" w:firstRowLastColumn="0" w:lastRowFirstColumn="0" w:lastRowLastColumn="0"/>
            </w:pPr>
            <w:proofErr w:type="spellStart"/>
            <w:r w:rsidRPr="00041BEC">
              <w:t>Spondyloarthritis</w:t>
            </w:r>
            <w:proofErr w:type="spellEnd"/>
            <w:r w:rsidRPr="00041BEC">
              <w:t xml:space="preserve"> Research Consortium of Canada</w:t>
            </w:r>
          </w:p>
        </w:tc>
      </w:tr>
      <w:tr w:rsidR="00041BEC" w:rsidTr="00E6784C">
        <w:tc>
          <w:tcPr>
            <w:cnfStyle w:val="001000000000" w:firstRow="0" w:lastRow="0" w:firstColumn="1" w:lastColumn="0" w:oddVBand="0" w:evenVBand="0" w:oddHBand="0" w:evenHBand="0" w:firstRowFirstColumn="0" w:firstRowLastColumn="0" w:lastRowFirstColumn="0" w:lastRowLastColumn="0"/>
            <w:tcW w:w="1890" w:type="dxa"/>
          </w:tcPr>
          <w:p w:rsidR="00041BEC" w:rsidRPr="00041BEC" w:rsidRDefault="00041BEC" w:rsidP="00E6784C">
            <w:r w:rsidRPr="00041BEC">
              <w:t>SSZ</w:t>
            </w:r>
          </w:p>
        </w:tc>
        <w:tc>
          <w:tcPr>
            <w:tcW w:w="6911" w:type="dxa"/>
          </w:tcPr>
          <w:p w:rsidR="00041BEC" w:rsidRPr="00041BEC" w:rsidRDefault="00041BEC" w:rsidP="00E6784C">
            <w:pPr>
              <w:cnfStyle w:val="000000000000" w:firstRow="0" w:lastRow="0" w:firstColumn="0" w:lastColumn="0" w:oddVBand="0" w:evenVBand="0" w:oddHBand="0" w:evenHBand="0" w:firstRowFirstColumn="0" w:firstRowLastColumn="0" w:lastRowFirstColumn="0" w:lastRowLastColumn="0"/>
            </w:pPr>
            <w:r w:rsidRPr="00041BEC">
              <w:t>Sulfasalazine</w:t>
            </w:r>
          </w:p>
        </w:tc>
      </w:tr>
      <w:tr w:rsidR="00041BEC" w:rsidTr="00E6784C">
        <w:tc>
          <w:tcPr>
            <w:cnfStyle w:val="001000000000" w:firstRow="0" w:lastRow="0" w:firstColumn="1" w:lastColumn="0" w:oddVBand="0" w:evenVBand="0" w:oddHBand="0" w:evenHBand="0" w:firstRowFirstColumn="0" w:firstRowLastColumn="0" w:lastRowFirstColumn="0" w:lastRowLastColumn="0"/>
            <w:tcW w:w="1890" w:type="dxa"/>
          </w:tcPr>
          <w:p w:rsidR="00041BEC" w:rsidRPr="00041BEC" w:rsidRDefault="00041BEC" w:rsidP="00E6784C">
            <w:r w:rsidRPr="00041BEC">
              <w:t>TB</w:t>
            </w:r>
          </w:p>
        </w:tc>
        <w:tc>
          <w:tcPr>
            <w:tcW w:w="6911" w:type="dxa"/>
          </w:tcPr>
          <w:p w:rsidR="00041BEC" w:rsidRPr="00041BEC" w:rsidRDefault="00041BEC" w:rsidP="00E6784C">
            <w:pPr>
              <w:cnfStyle w:val="000000000000" w:firstRow="0" w:lastRow="0" w:firstColumn="0" w:lastColumn="0" w:oddVBand="0" w:evenVBand="0" w:oddHBand="0" w:evenHBand="0" w:firstRowFirstColumn="0" w:firstRowLastColumn="0" w:lastRowFirstColumn="0" w:lastRowLastColumn="0"/>
            </w:pPr>
            <w:r w:rsidRPr="00041BEC">
              <w:t>Tuberculosis</w:t>
            </w:r>
          </w:p>
        </w:tc>
      </w:tr>
      <w:tr w:rsidR="00041BEC" w:rsidTr="00E6784C">
        <w:tc>
          <w:tcPr>
            <w:cnfStyle w:val="001000000000" w:firstRow="0" w:lastRow="0" w:firstColumn="1" w:lastColumn="0" w:oddVBand="0" w:evenVBand="0" w:oddHBand="0" w:evenHBand="0" w:firstRowFirstColumn="0" w:firstRowLastColumn="0" w:lastRowFirstColumn="0" w:lastRowLastColumn="0"/>
            <w:tcW w:w="1890" w:type="dxa"/>
          </w:tcPr>
          <w:p w:rsidR="00041BEC" w:rsidRPr="00041BEC" w:rsidRDefault="00041BEC" w:rsidP="00E6784C">
            <w:r w:rsidRPr="00041BEC">
              <w:t>TEAE</w:t>
            </w:r>
          </w:p>
        </w:tc>
        <w:tc>
          <w:tcPr>
            <w:tcW w:w="6911" w:type="dxa"/>
          </w:tcPr>
          <w:p w:rsidR="00041BEC" w:rsidRPr="00041BEC" w:rsidRDefault="00041BEC" w:rsidP="00E6784C">
            <w:pPr>
              <w:cnfStyle w:val="000000000000" w:firstRow="0" w:lastRow="0" w:firstColumn="0" w:lastColumn="0" w:oddVBand="0" w:evenVBand="0" w:oddHBand="0" w:evenHBand="0" w:firstRowFirstColumn="0" w:firstRowLastColumn="0" w:lastRowFirstColumn="0" w:lastRowLastColumn="0"/>
            </w:pPr>
            <w:r w:rsidRPr="00041BEC">
              <w:t>Treatment-emergent adverse event</w:t>
            </w:r>
          </w:p>
        </w:tc>
      </w:tr>
      <w:tr w:rsidR="00041BEC" w:rsidTr="00E6784C">
        <w:tc>
          <w:tcPr>
            <w:cnfStyle w:val="001000000000" w:firstRow="0" w:lastRow="0" w:firstColumn="1" w:lastColumn="0" w:oddVBand="0" w:evenVBand="0" w:oddHBand="0" w:evenHBand="0" w:firstRowFirstColumn="0" w:firstRowLastColumn="0" w:lastRowFirstColumn="0" w:lastRowLastColumn="0"/>
            <w:tcW w:w="1890" w:type="dxa"/>
          </w:tcPr>
          <w:p w:rsidR="00041BEC" w:rsidRPr="00041BEC" w:rsidRDefault="00041BEC" w:rsidP="00E6784C">
            <w:r w:rsidRPr="00041BEC">
              <w:t>TJC</w:t>
            </w:r>
          </w:p>
        </w:tc>
        <w:tc>
          <w:tcPr>
            <w:tcW w:w="6911" w:type="dxa"/>
          </w:tcPr>
          <w:p w:rsidR="00041BEC" w:rsidRPr="00041BEC" w:rsidRDefault="00041BEC" w:rsidP="00E6784C">
            <w:pPr>
              <w:cnfStyle w:val="000000000000" w:firstRow="0" w:lastRow="0" w:firstColumn="0" w:lastColumn="0" w:oddVBand="0" w:evenVBand="0" w:oddHBand="0" w:evenHBand="0" w:firstRowFirstColumn="0" w:firstRowLastColumn="0" w:lastRowFirstColumn="0" w:lastRowLastColumn="0"/>
            </w:pPr>
            <w:r w:rsidRPr="00041BEC">
              <w:t>Tender joint count</w:t>
            </w:r>
          </w:p>
        </w:tc>
      </w:tr>
      <w:tr w:rsidR="00041BEC" w:rsidTr="00E6784C">
        <w:tc>
          <w:tcPr>
            <w:cnfStyle w:val="001000000000" w:firstRow="0" w:lastRow="0" w:firstColumn="1" w:lastColumn="0" w:oddVBand="0" w:evenVBand="0" w:oddHBand="0" w:evenHBand="0" w:firstRowFirstColumn="0" w:firstRowLastColumn="0" w:lastRowFirstColumn="0" w:lastRowLastColumn="0"/>
            <w:tcW w:w="1890" w:type="dxa"/>
          </w:tcPr>
          <w:p w:rsidR="00041BEC" w:rsidRPr="00041BEC" w:rsidRDefault="00041BEC" w:rsidP="00E6784C">
            <w:r w:rsidRPr="00041BEC">
              <w:t>TNF</w:t>
            </w:r>
          </w:p>
        </w:tc>
        <w:tc>
          <w:tcPr>
            <w:tcW w:w="6911" w:type="dxa"/>
          </w:tcPr>
          <w:p w:rsidR="00041BEC" w:rsidRPr="00041BEC" w:rsidRDefault="00041BEC" w:rsidP="00E6784C">
            <w:pPr>
              <w:cnfStyle w:val="000000000000" w:firstRow="0" w:lastRow="0" w:firstColumn="0" w:lastColumn="0" w:oddVBand="0" w:evenVBand="0" w:oddHBand="0" w:evenHBand="0" w:firstRowFirstColumn="0" w:firstRowLastColumn="0" w:lastRowFirstColumn="0" w:lastRowLastColumn="0"/>
            </w:pPr>
            <w:r w:rsidRPr="00041BEC">
              <w:t>Tumor necrosis factor</w:t>
            </w:r>
          </w:p>
        </w:tc>
      </w:tr>
      <w:tr w:rsidR="00041BEC" w:rsidTr="00E6784C">
        <w:tc>
          <w:tcPr>
            <w:cnfStyle w:val="001000000000" w:firstRow="0" w:lastRow="0" w:firstColumn="1" w:lastColumn="0" w:oddVBand="0" w:evenVBand="0" w:oddHBand="0" w:evenHBand="0" w:firstRowFirstColumn="0" w:firstRowLastColumn="0" w:lastRowFirstColumn="0" w:lastRowLastColumn="0"/>
            <w:tcW w:w="1890" w:type="dxa"/>
          </w:tcPr>
          <w:p w:rsidR="00041BEC" w:rsidRPr="00041BEC" w:rsidRDefault="00041BEC" w:rsidP="00E6784C">
            <w:r w:rsidRPr="00041BEC">
              <w:t>UC</w:t>
            </w:r>
          </w:p>
        </w:tc>
        <w:tc>
          <w:tcPr>
            <w:tcW w:w="6911" w:type="dxa"/>
          </w:tcPr>
          <w:p w:rsidR="00041BEC" w:rsidRPr="00041BEC" w:rsidRDefault="00041BEC" w:rsidP="00E6784C">
            <w:pPr>
              <w:cnfStyle w:val="000000000000" w:firstRow="0" w:lastRow="0" w:firstColumn="0" w:lastColumn="0" w:oddVBand="0" w:evenVBand="0" w:oddHBand="0" w:evenHBand="0" w:firstRowFirstColumn="0" w:firstRowLastColumn="0" w:lastRowFirstColumn="0" w:lastRowLastColumn="0"/>
            </w:pPr>
            <w:r w:rsidRPr="00041BEC">
              <w:t>Ulcerative colitis</w:t>
            </w:r>
          </w:p>
        </w:tc>
      </w:tr>
      <w:tr w:rsidR="00041BEC" w:rsidTr="00E6784C">
        <w:tc>
          <w:tcPr>
            <w:cnfStyle w:val="001000000000" w:firstRow="0" w:lastRow="0" w:firstColumn="1" w:lastColumn="0" w:oddVBand="0" w:evenVBand="0" w:oddHBand="0" w:evenHBand="0" w:firstRowFirstColumn="0" w:firstRowLastColumn="0" w:lastRowFirstColumn="0" w:lastRowLastColumn="0"/>
            <w:tcW w:w="1890" w:type="dxa"/>
          </w:tcPr>
          <w:p w:rsidR="00041BEC" w:rsidRPr="00041BEC" w:rsidRDefault="00041BEC" w:rsidP="00E6784C">
            <w:r w:rsidRPr="00041BEC">
              <w:t>ULN</w:t>
            </w:r>
          </w:p>
        </w:tc>
        <w:tc>
          <w:tcPr>
            <w:tcW w:w="6911" w:type="dxa"/>
          </w:tcPr>
          <w:p w:rsidR="00041BEC" w:rsidRPr="00041BEC" w:rsidRDefault="00041BEC" w:rsidP="00E6784C">
            <w:pPr>
              <w:cnfStyle w:val="000000000000" w:firstRow="0" w:lastRow="0" w:firstColumn="0" w:lastColumn="0" w:oddVBand="0" w:evenVBand="0" w:oddHBand="0" w:evenHBand="0" w:firstRowFirstColumn="0" w:firstRowLastColumn="0" w:lastRowFirstColumn="0" w:lastRowLastColumn="0"/>
            </w:pPr>
            <w:r w:rsidRPr="00041BEC">
              <w:t>Upper limit of normal</w:t>
            </w:r>
          </w:p>
        </w:tc>
      </w:tr>
      <w:tr w:rsidR="00041BEC" w:rsidTr="00E6784C">
        <w:tc>
          <w:tcPr>
            <w:cnfStyle w:val="001000000000" w:firstRow="0" w:lastRow="0" w:firstColumn="1" w:lastColumn="0" w:oddVBand="0" w:evenVBand="0" w:oddHBand="0" w:evenHBand="0" w:firstRowFirstColumn="0" w:firstRowLastColumn="0" w:lastRowFirstColumn="0" w:lastRowLastColumn="0"/>
            <w:tcW w:w="1890" w:type="dxa"/>
          </w:tcPr>
          <w:p w:rsidR="00041BEC" w:rsidRPr="00041BEC" w:rsidRDefault="00041BEC" w:rsidP="00E6784C">
            <w:r w:rsidRPr="00041BEC">
              <w:t>US</w:t>
            </w:r>
          </w:p>
        </w:tc>
        <w:tc>
          <w:tcPr>
            <w:tcW w:w="6911" w:type="dxa"/>
          </w:tcPr>
          <w:p w:rsidR="00041BEC" w:rsidRPr="00041BEC" w:rsidRDefault="00041BEC" w:rsidP="00E6784C">
            <w:pPr>
              <w:cnfStyle w:val="000000000000" w:firstRow="0" w:lastRow="0" w:firstColumn="0" w:lastColumn="0" w:oddVBand="0" w:evenVBand="0" w:oddHBand="0" w:evenHBand="0" w:firstRowFirstColumn="0" w:firstRowLastColumn="0" w:lastRowFirstColumn="0" w:lastRowLastColumn="0"/>
            </w:pPr>
            <w:r w:rsidRPr="00041BEC">
              <w:t>United States</w:t>
            </w:r>
          </w:p>
        </w:tc>
      </w:tr>
      <w:tr w:rsidR="00041BEC" w:rsidTr="00E6784C">
        <w:tc>
          <w:tcPr>
            <w:cnfStyle w:val="001000000000" w:firstRow="0" w:lastRow="0" w:firstColumn="1" w:lastColumn="0" w:oddVBand="0" w:evenVBand="0" w:oddHBand="0" w:evenHBand="0" w:firstRowFirstColumn="0" w:firstRowLastColumn="0" w:lastRowFirstColumn="0" w:lastRowLastColumn="0"/>
            <w:tcW w:w="1890" w:type="dxa"/>
          </w:tcPr>
          <w:p w:rsidR="00041BEC" w:rsidRPr="00041BEC" w:rsidRDefault="00041BEC" w:rsidP="00E6784C">
            <w:r w:rsidRPr="00041BEC">
              <w:lastRenderedPageBreak/>
              <w:t>VAS</w:t>
            </w:r>
          </w:p>
        </w:tc>
        <w:tc>
          <w:tcPr>
            <w:tcW w:w="6911" w:type="dxa"/>
          </w:tcPr>
          <w:p w:rsidR="00041BEC" w:rsidRPr="00041BEC" w:rsidRDefault="00041BEC" w:rsidP="00E6784C">
            <w:pPr>
              <w:cnfStyle w:val="000000000000" w:firstRow="0" w:lastRow="0" w:firstColumn="0" w:lastColumn="0" w:oddVBand="0" w:evenVBand="0" w:oddHBand="0" w:evenHBand="0" w:firstRowFirstColumn="0" w:firstRowLastColumn="0" w:lastRowFirstColumn="0" w:lastRowLastColumn="0"/>
            </w:pPr>
            <w:r w:rsidRPr="00041BEC">
              <w:t>Visual analog scale</w:t>
            </w:r>
          </w:p>
        </w:tc>
      </w:tr>
      <w:tr w:rsidR="00041BEC" w:rsidTr="00E6784C">
        <w:tc>
          <w:tcPr>
            <w:cnfStyle w:val="001000000000" w:firstRow="0" w:lastRow="0" w:firstColumn="1" w:lastColumn="0" w:oddVBand="0" w:evenVBand="0" w:oddHBand="0" w:evenHBand="0" w:firstRowFirstColumn="0" w:firstRowLastColumn="0" w:lastRowFirstColumn="0" w:lastRowLastColumn="0"/>
            <w:tcW w:w="1890" w:type="dxa"/>
          </w:tcPr>
          <w:p w:rsidR="00041BEC" w:rsidRPr="00041BEC" w:rsidRDefault="00041BEC" w:rsidP="00E6784C">
            <w:r w:rsidRPr="00041BEC">
              <w:t>WBC</w:t>
            </w:r>
          </w:p>
        </w:tc>
        <w:tc>
          <w:tcPr>
            <w:tcW w:w="6911" w:type="dxa"/>
          </w:tcPr>
          <w:p w:rsidR="00041BEC" w:rsidRPr="00041BEC" w:rsidRDefault="00041BEC" w:rsidP="00E6784C">
            <w:pPr>
              <w:cnfStyle w:val="000000000000" w:firstRow="0" w:lastRow="0" w:firstColumn="0" w:lastColumn="0" w:oddVBand="0" w:evenVBand="0" w:oddHBand="0" w:evenHBand="0" w:firstRowFirstColumn="0" w:firstRowLastColumn="0" w:lastRowFirstColumn="0" w:lastRowLastColumn="0"/>
            </w:pPr>
            <w:r w:rsidRPr="00041BEC">
              <w:t>White blood cell</w:t>
            </w:r>
          </w:p>
        </w:tc>
      </w:tr>
      <w:tr w:rsidR="00041BEC" w:rsidTr="00E6784C">
        <w:tc>
          <w:tcPr>
            <w:cnfStyle w:val="001000000000" w:firstRow="0" w:lastRow="0" w:firstColumn="1" w:lastColumn="0" w:oddVBand="0" w:evenVBand="0" w:oddHBand="0" w:evenHBand="0" w:firstRowFirstColumn="0" w:firstRowLastColumn="0" w:lastRowFirstColumn="0" w:lastRowLastColumn="0"/>
            <w:tcW w:w="1890" w:type="dxa"/>
          </w:tcPr>
          <w:p w:rsidR="00041BEC" w:rsidRPr="00041BEC" w:rsidRDefault="00041BEC" w:rsidP="00E6784C">
            <w:r w:rsidRPr="00041BEC">
              <w:t>WPAI-SHP</w:t>
            </w:r>
          </w:p>
        </w:tc>
        <w:tc>
          <w:tcPr>
            <w:tcW w:w="6911" w:type="dxa"/>
          </w:tcPr>
          <w:p w:rsidR="00041BEC" w:rsidRPr="00041BEC" w:rsidRDefault="00041BEC" w:rsidP="00E6784C">
            <w:pPr>
              <w:cnfStyle w:val="000000000000" w:firstRow="0" w:lastRow="0" w:firstColumn="0" w:lastColumn="0" w:oddVBand="0" w:evenVBand="0" w:oddHBand="0" w:evenHBand="0" w:firstRowFirstColumn="0" w:firstRowLastColumn="0" w:lastRowFirstColumn="0" w:lastRowLastColumn="0"/>
            </w:pPr>
            <w:r w:rsidRPr="00041BEC">
              <w:t>Work Productivity and Activity Impairment – Specific Health Problem Questionnaire</w:t>
            </w:r>
          </w:p>
        </w:tc>
      </w:tr>
      <w:tr w:rsidR="00041BEC" w:rsidTr="00E6784C">
        <w:tc>
          <w:tcPr>
            <w:cnfStyle w:val="001000000000" w:firstRow="0" w:lastRow="0" w:firstColumn="1" w:lastColumn="0" w:oddVBand="0" w:evenVBand="0" w:oddHBand="0" w:evenHBand="0" w:firstRowFirstColumn="0" w:firstRowLastColumn="0" w:lastRowFirstColumn="0" w:lastRowLastColumn="0"/>
            <w:tcW w:w="1890" w:type="dxa"/>
          </w:tcPr>
          <w:p w:rsidR="00041BEC" w:rsidRPr="00041BEC" w:rsidRDefault="00041BEC" w:rsidP="00E6784C">
            <w:r w:rsidRPr="00041BEC">
              <w:t>VEGF</w:t>
            </w:r>
            <w:r w:rsidRPr="00041BEC">
              <w:rPr>
                <w:vertAlign w:val="subscript"/>
              </w:rPr>
              <w:t>A</w:t>
            </w:r>
          </w:p>
        </w:tc>
        <w:tc>
          <w:tcPr>
            <w:tcW w:w="6911" w:type="dxa"/>
          </w:tcPr>
          <w:p w:rsidR="00041BEC" w:rsidRPr="00041BEC" w:rsidRDefault="00041BEC" w:rsidP="00E6784C">
            <w:pPr>
              <w:cnfStyle w:val="000000000000" w:firstRow="0" w:lastRow="0" w:firstColumn="0" w:lastColumn="0" w:oddVBand="0" w:evenVBand="0" w:oddHBand="0" w:evenHBand="0" w:firstRowFirstColumn="0" w:firstRowLastColumn="0" w:lastRowFirstColumn="0" w:lastRowLastColumn="0"/>
            </w:pPr>
            <w:r w:rsidRPr="00041BEC">
              <w:t>Vascular endothelial growth factor A</w:t>
            </w:r>
          </w:p>
        </w:tc>
      </w:tr>
    </w:tbl>
    <w:p w:rsidR="00586F98" w:rsidRDefault="00586F98" w:rsidP="00E6784C">
      <w:pPr>
        <w:pStyle w:val="Heading2"/>
        <w:rPr>
          <w:lang w:eastAsia="en-AU"/>
        </w:rPr>
      </w:pPr>
      <w:bookmarkStart w:id="8" w:name="_Toc351718900"/>
      <w:bookmarkStart w:id="9" w:name="_Toc355338635"/>
      <w:bookmarkStart w:id="10" w:name="_Toc383176394"/>
      <w:r>
        <w:rPr>
          <w:lang w:eastAsia="en-AU"/>
        </w:rPr>
        <w:t>Clinical rationale</w:t>
      </w:r>
      <w:bookmarkEnd w:id="10"/>
    </w:p>
    <w:p w:rsidR="00041BEC" w:rsidRPr="00E6784C" w:rsidRDefault="00041BEC" w:rsidP="00E6784C">
      <w:r w:rsidRPr="00041BEC">
        <w:rPr>
          <w:lang w:eastAsia="en-AU"/>
        </w:rPr>
        <w:t xml:space="preserve">The </w:t>
      </w:r>
      <w:r w:rsidR="00E20A7E">
        <w:rPr>
          <w:lang w:eastAsia="en-AU"/>
        </w:rPr>
        <w:t>s</w:t>
      </w:r>
      <w:r w:rsidRPr="00041BEC">
        <w:rPr>
          <w:lang w:eastAsia="en-AU"/>
        </w:rPr>
        <w:t>ponsor justifie</w:t>
      </w:r>
      <w:r w:rsidR="00E20A7E">
        <w:rPr>
          <w:lang w:eastAsia="en-AU"/>
        </w:rPr>
        <w:t>d</w:t>
      </w:r>
      <w:r w:rsidRPr="00041BEC">
        <w:rPr>
          <w:lang w:eastAsia="en-AU"/>
        </w:rPr>
        <w:t xml:space="preserve"> the development of adalimumab for the treatment of Non-Radiographic Axial </w:t>
      </w:r>
      <w:proofErr w:type="spellStart"/>
      <w:r w:rsidRPr="00041BEC">
        <w:rPr>
          <w:lang w:eastAsia="en-AU"/>
        </w:rPr>
        <w:t>Spondyloarthritis</w:t>
      </w:r>
      <w:proofErr w:type="spellEnd"/>
      <w:r w:rsidRPr="00041BEC">
        <w:rPr>
          <w:lang w:eastAsia="en-AU"/>
        </w:rPr>
        <w:t xml:space="preserve"> (nr-</w:t>
      </w:r>
      <w:proofErr w:type="spellStart"/>
      <w:r w:rsidRPr="00041BEC">
        <w:rPr>
          <w:lang w:eastAsia="en-AU"/>
        </w:rPr>
        <w:t>axSpA</w:t>
      </w:r>
      <w:proofErr w:type="spellEnd"/>
      <w:r w:rsidRPr="00041BEC">
        <w:rPr>
          <w:lang w:eastAsia="en-AU"/>
        </w:rPr>
        <w:t>) with the following argument: “</w:t>
      </w:r>
      <w:r w:rsidRPr="00E20A7E">
        <w:rPr>
          <w:i/>
          <w:lang w:eastAsia="en-AU"/>
        </w:rPr>
        <w:t>Currently, there is an unmet medical need in patients with nr-</w:t>
      </w:r>
      <w:proofErr w:type="spellStart"/>
      <w:r w:rsidRPr="00E20A7E">
        <w:rPr>
          <w:i/>
          <w:lang w:eastAsia="en-AU"/>
        </w:rPr>
        <w:t>axSpA</w:t>
      </w:r>
      <w:proofErr w:type="spellEnd"/>
      <w:r w:rsidRPr="00E20A7E">
        <w:rPr>
          <w:i/>
          <w:lang w:eastAsia="en-AU"/>
        </w:rPr>
        <w:t xml:space="preserve"> who have disease features similar to patients with Ankylosing Spondylitis (AS), but who do not fulfil the modified New York criteria for AS by virtue of not having evidence of structural damage in the form of radiographic </w:t>
      </w:r>
      <w:proofErr w:type="spellStart"/>
      <w:r w:rsidRPr="00E20A7E">
        <w:rPr>
          <w:i/>
          <w:lang w:eastAsia="en-AU"/>
        </w:rPr>
        <w:t>sacroiliitis</w:t>
      </w:r>
      <w:proofErr w:type="spellEnd"/>
      <w:r w:rsidRPr="00041BEC">
        <w:rPr>
          <w:lang w:eastAsia="en-AU"/>
        </w:rPr>
        <w:t>.”</w:t>
      </w:r>
      <w:r w:rsidR="00E20A7E">
        <w:rPr>
          <w:lang w:eastAsia="en-AU"/>
        </w:rPr>
        <w:t xml:space="preserve"> </w:t>
      </w:r>
      <w:r w:rsidRPr="00041BEC">
        <w:rPr>
          <w:lang w:eastAsia="en-AU"/>
        </w:rPr>
        <w:t xml:space="preserve">This patient group does not respond to traditional </w:t>
      </w:r>
      <w:r w:rsidR="00E20A7E" w:rsidRPr="00E20A7E">
        <w:rPr>
          <w:lang w:eastAsia="en-AU"/>
        </w:rPr>
        <w:t xml:space="preserve">Disease-modifying anti-rheumatic drugs </w:t>
      </w:r>
      <w:r w:rsidR="00E20A7E">
        <w:rPr>
          <w:lang w:eastAsia="en-AU"/>
        </w:rPr>
        <w:t>(</w:t>
      </w:r>
      <w:r w:rsidRPr="00041BEC">
        <w:rPr>
          <w:lang w:eastAsia="en-AU"/>
        </w:rPr>
        <w:t>DMARDs</w:t>
      </w:r>
      <w:r w:rsidR="00E20A7E">
        <w:rPr>
          <w:lang w:eastAsia="en-AU"/>
        </w:rPr>
        <w:t>)</w:t>
      </w:r>
      <w:r w:rsidRPr="00041BEC">
        <w:rPr>
          <w:lang w:eastAsia="en-AU"/>
        </w:rPr>
        <w:t xml:space="preserve"> such as </w:t>
      </w:r>
      <w:r w:rsidR="00E20A7E" w:rsidRPr="00E20A7E">
        <w:rPr>
          <w:lang w:eastAsia="en-AU"/>
        </w:rPr>
        <w:t xml:space="preserve">Methotrexate </w:t>
      </w:r>
      <w:r w:rsidR="00E20A7E">
        <w:rPr>
          <w:lang w:eastAsia="en-AU"/>
        </w:rPr>
        <w:t>(</w:t>
      </w:r>
      <w:r w:rsidRPr="00041BEC">
        <w:rPr>
          <w:lang w:eastAsia="en-AU"/>
        </w:rPr>
        <w:t>MTX</w:t>
      </w:r>
      <w:r w:rsidR="00E20A7E">
        <w:rPr>
          <w:lang w:eastAsia="en-AU"/>
        </w:rPr>
        <w:t>)</w:t>
      </w:r>
      <w:r w:rsidRPr="00041BEC">
        <w:rPr>
          <w:lang w:eastAsia="en-AU"/>
        </w:rPr>
        <w:t xml:space="preserve"> and sulfasalazine.</w:t>
      </w:r>
      <w:r w:rsidR="00E20A7E">
        <w:rPr>
          <w:lang w:eastAsia="en-AU"/>
        </w:rPr>
        <w:t xml:space="preserve"> </w:t>
      </w:r>
      <w:proofErr w:type="spellStart"/>
      <w:r w:rsidR="00E20A7E" w:rsidRPr="00E20A7E">
        <w:rPr>
          <w:lang w:eastAsia="en-AU"/>
        </w:rPr>
        <w:t>Nonsteroidal</w:t>
      </w:r>
      <w:proofErr w:type="spellEnd"/>
      <w:r w:rsidR="00E20A7E" w:rsidRPr="00E20A7E">
        <w:rPr>
          <w:lang w:eastAsia="en-AU"/>
        </w:rPr>
        <w:t xml:space="preserve"> anti-inflammatory drug </w:t>
      </w:r>
      <w:r w:rsidR="00E20A7E">
        <w:rPr>
          <w:lang w:eastAsia="en-AU"/>
        </w:rPr>
        <w:t>(</w:t>
      </w:r>
      <w:r w:rsidRPr="00041BEC">
        <w:rPr>
          <w:lang w:eastAsia="en-AU"/>
        </w:rPr>
        <w:t>NSAIDs</w:t>
      </w:r>
      <w:r w:rsidR="00E20A7E">
        <w:rPr>
          <w:lang w:eastAsia="en-AU"/>
        </w:rPr>
        <w:t>)</w:t>
      </w:r>
      <w:r w:rsidR="00E60281">
        <w:rPr>
          <w:lang w:eastAsia="en-AU"/>
        </w:rPr>
        <w:t xml:space="preserve"> </w:t>
      </w:r>
      <w:r w:rsidRPr="00041BEC">
        <w:rPr>
          <w:lang w:eastAsia="en-AU"/>
        </w:rPr>
        <w:t>provide some symptom relief but do not control the disease.</w:t>
      </w:r>
      <w:r w:rsidR="00E20A7E">
        <w:rPr>
          <w:lang w:eastAsia="en-AU"/>
        </w:rPr>
        <w:t xml:space="preserve"> </w:t>
      </w:r>
      <w:r w:rsidRPr="00041BEC">
        <w:rPr>
          <w:lang w:eastAsia="en-AU"/>
        </w:rPr>
        <w:t xml:space="preserve">Whilst adalimumab and other anti-TNF therapies have been approved for the indication of </w:t>
      </w:r>
      <w:r w:rsidR="00E20A7E" w:rsidRPr="00041BEC">
        <w:rPr>
          <w:sz w:val="20"/>
          <w:szCs w:val="20"/>
        </w:rPr>
        <w:t>Ankylosing spondylitis</w:t>
      </w:r>
      <w:r w:rsidR="00E20A7E" w:rsidRPr="00041BEC">
        <w:rPr>
          <w:lang w:eastAsia="en-AU"/>
        </w:rPr>
        <w:t xml:space="preserve"> </w:t>
      </w:r>
      <w:r w:rsidR="00E20A7E">
        <w:rPr>
          <w:lang w:eastAsia="en-AU"/>
        </w:rPr>
        <w:t>(</w:t>
      </w:r>
      <w:r w:rsidRPr="00041BEC">
        <w:rPr>
          <w:lang w:eastAsia="en-AU"/>
        </w:rPr>
        <w:t>AS</w:t>
      </w:r>
      <w:r w:rsidR="00E20A7E">
        <w:rPr>
          <w:lang w:eastAsia="en-AU"/>
        </w:rPr>
        <w:t>)</w:t>
      </w:r>
      <w:r w:rsidRPr="00041BEC">
        <w:rPr>
          <w:lang w:eastAsia="en-AU"/>
        </w:rPr>
        <w:t>, patients with nr-</w:t>
      </w:r>
      <w:proofErr w:type="spellStart"/>
      <w:r w:rsidRPr="00041BEC">
        <w:rPr>
          <w:lang w:eastAsia="en-AU"/>
        </w:rPr>
        <w:t>axSpA</w:t>
      </w:r>
      <w:proofErr w:type="spellEnd"/>
      <w:r w:rsidRPr="00041BEC">
        <w:rPr>
          <w:lang w:eastAsia="en-AU"/>
        </w:rPr>
        <w:t xml:space="preserve"> do not have access to (approved) treatments other than NSAIDs.</w:t>
      </w:r>
    </w:p>
    <w:p w:rsidR="00586F98" w:rsidRDefault="00586F98" w:rsidP="00E6784C">
      <w:pPr>
        <w:pStyle w:val="Heading2"/>
        <w:rPr>
          <w:lang w:eastAsia="en-AU"/>
        </w:rPr>
      </w:pPr>
      <w:bookmarkStart w:id="11" w:name="_Toc383176395"/>
      <w:r>
        <w:rPr>
          <w:lang w:eastAsia="en-AU"/>
        </w:rPr>
        <w:t xml:space="preserve">Contents of the </w:t>
      </w:r>
      <w:r w:rsidRPr="00E6784C">
        <w:t>clinical</w:t>
      </w:r>
      <w:r>
        <w:rPr>
          <w:lang w:eastAsia="en-AU"/>
        </w:rPr>
        <w:t xml:space="preserve"> dossier</w:t>
      </w:r>
      <w:bookmarkEnd w:id="8"/>
      <w:bookmarkEnd w:id="9"/>
      <w:bookmarkEnd w:id="11"/>
    </w:p>
    <w:p w:rsidR="00586F98" w:rsidRDefault="00586F98" w:rsidP="00E6784C">
      <w:pPr>
        <w:pStyle w:val="Heading3"/>
      </w:pPr>
      <w:bookmarkStart w:id="12" w:name="_Toc383176396"/>
      <w:r>
        <w:t xml:space="preserve">Scope of the clinical </w:t>
      </w:r>
      <w:r w:rsidRPr="00E6784C">
        <w:t>dossier</w:t>
      </w:r>
      <w:bookmarkEnd w:id="12"/>
    </w:p>
    <w:p w:rsidR="00041BEC" w:rsidRPr="00041BEC" w:rsidRDefault="00041BEC" w:rsidP="00E6784C">
      <w:r w:rsidRPr="00041BEC">
        <w:t>The submission contained the following clinical information:</w:t>
      </w:r>
    </w:p>
    <w:p w:rsidR="00041BEC" w:rsidRPr="00041BEC" w:rsidRDefault="00041BEC" w:rsidP="00E6784C">
      <w:pPr>
        <w:pStyle w:val="ListBullet"/>
      </w:pPr>
      <w:r w:rsidRPr="00041BEC">
        <w:t>One</w:t>
      </w:r>
      <w:r w:rsidR="00E20A7E">
        <w:t xml:space="preserve"> </w:t>
      </w:r>
      <w:r w:rsidRPr="00041BEC">
        <w:t>efficacy/safety study: Study M10-</w:t>
      </w:r>
      <w:r w:rsidRPr="00E6784C">
        <w:t>791</w:t>
      </w:r>
      <w:r w:rsidRPr="00041BEC">
        <w:t>.</w:t>
      </w:r>
    </w:p>
    <w:p w:rsidR="00041BEC" w:rsidRDefault="00041BEC" w:rsidP="00E6784C">
      <w:pPr>
        <w:pStyle w:val="ListBullet"/>
      </w:pPr>
      <w:r w:rsidRPr="00041BEC">
        <w:t xml:space="preserve">Three files containing tabulations of </w:t>
      </w:r>
      <w:r w:rsidRPr="00E6784C">
        <w:t>pooled</w:t>
      </w:r>
      <w:r w:rsidRPr="00041BEC">
        <w:t xml:space="preserve"> safety data</w:t>
      </w:r>
      <w:r w:rsidR="00E6784C">
        <w:t>.</w:t>
      </w:r>
    </w:p>
    <w:p w:rsidR="00586F98" w:rsidRDefault="00586F98" w:rsidP="00E6784C">
      <w:pPr>
        <w:pStyle w:val="Heading3"/>
      </w:pPr>
      <w:bookmarkStart w:id="13" w:name="_Toc383176397"/>
      <w:r>
        <w:t>Paediatric data</w:t>
      </w:r>
      <w:bookmarkEnd w:id="13"/>
    </w:p>
    <w:p w:rsidR="00041BEC" w:rsidRPr="008533A0" w:rsidRDefault="00041BEC" w:rsidP="00E6784C">
      <w:r w:rsidRPr="008533A0">
        <w:t>The submission did not include paediatric data.</w:t>
      </w:r>
      <w:r w:rsidR="00E20A7E">
        <w:t xml:space="preserve"> </w:t>
      </w:r>
      <w:r w:rsidRPr="008533A0">
        <w:t xml:space="preserve">There are no plans for a paediatric development program for </w:t>
      </w:r>
      <w:proofErr w:type="spellStart"/>
      <w:r w:rsidRPr="008533A0">
        <w:t>non radiographic</w:t>
      </w:r>
      <w:proofErr w:type="spellEnd"/>
      <w:r w:rsidRPr="008533A0">
        <w:t xml:space="preserve"> axial </w:t>
      </w:r>
      <w:proofErr w:type="spellStart"/>
      <w:r w:rsidRPr="008533A0">
        <w:t>spondyloarthritis</w:t>
      </w:r>
      <w:proofErr w:type="spellEnd"/>
      <w:r w:rsidRPr="008533A0">
        <w:t>.</w:t>
      </w:r>
    </w:p>
    <w:p w:rsidR="00586F98" w:rsidRDefault="00586F98" w:rsidP="00E6784C">
      <w:pPr>
        <w:pStyle w:val="Heading3"/>
      </w:pPr>
      <w:bookmarkStart w:id="14" w:name="_Toc383176398"/>
      <w:r>
        <w:t>Good clinical practice</w:t>
      </w:r>
      <w:bookmarkEnd w:id="14"/>
    </w:p>
    <w:p w:rsidR="00041BEC" w:rsidRPr="00F45A5D" w:rsidRDefault="00041BEC" w:rsidP="00E6784C">
      <w:bookmarkStart w:id="15" w:name="_Toc241374282"/>
      <w:r w:rsidRPr="00F45A5D">
        <w:t>The studies presented in the present application were conducted in accordance with Good Clinical Practice.</w:t>
      </w:r>
    </w:p>
    <w:p w:rsidR="00586F98" w:rsidRDefault="00586F98" w:rsidP="00E6784C">
      <w:pPr>
        <w:pStyle w:val="Heading2"/>
      </w:pPr>
      <w:bookmarkStart w:id="16" w:name="_Toc355338639"/>
      <w:bookmarkStart w:id="17" w:name="_Toc383176399"/>
      <w:bookmarkEnd w:id="15"/>
      <w:r>
        <w:t>Pharmacokinetics</w:t>
      </w:r>
      <w:bookmarkEnd w:id="16"/>
      <w:bookmarkEnd w:id="17"/>
    </w:p>
    <w:p w:rsidR="00586F98" w:rsidRPr="00041BEC" w:rsidRDefault="00041BEC" w:rsidP="00E6784C">
      <w:r w:rsidRPr="00F45A5D">
        <w:t>There were no new pharmacokinetic data contained in the dossier.</w:t>
      </w:r>
    </w:p>
    <w:p w:rsidR="00586F98" w:rsidRDefault="00586F98" w:rsidP="00E6784C">
      <w:pPr>
        <w:pStyle w:val="Heading2"/>
      </w:pPr>
      <w:bookmarkStart w:id="18" w:name="_Toc383176400"/>
      <w:r w:rsidRPr="00E6784C">
        <w:lastRenderedPageBreak/>
        <w:t>Pharmacodynamics</w:t>
      </w:r>
      <w:bookmarkEnd w:id="18"/>
    </w:p>
    <w:p w:rsidR="00C22678" w:rsidRPr="00041BEC" w:rsidRDefault="00041BEC" w:rsidP="00E6784C">
      <w:r w:rsidRPr="00F45A5D">
        <w:t>There were no new pharmacodynamic data contained in the dossier.</w:t>
      </w:r>
    </w:p>
    <w:p w:rsidR="00586F98" w:rsidRDefault="00C22678" w:rsidP="00E6784C">
      <w:pPr>
        <w:pStyle w:val="Heading2"/>
      </w:pPr>
      <w:bookmarkStart w:id="19" w:name="_Toc383176401"/>
      <w:r>
        <w:t xml:space="preserve">Dosage selection </w:t>
      </w:r>
      <w:r w:rsidRPr="00E6784C">
        <w:t>for</w:t>
      </w:r>
      <w:r>
        <w:t xml:space="preserve"> the pivotal studies</w:t>
      </w:r>
      <w:bookmarkEnd w:id="19"/>
    </w:p>
    <w:p w:rsidR="00041BEC" w:rsidRPr="00041BEC" w:rsidRDefault="00E20A7E" w:rsidP="00E6784C">
      <w:r>
        <w:t>The s</w:t>
      </w:r>
      <w:r w:rsidR="00041BEC" w:rsidRPr="00F45A5D">
        <w:t>ponsor did not conduct dose finding studies for the present application.</w:t>
      </w:r>
      <w:r>
        <w:t xml:space="preserve"> </w:t>
      </w:r>
      <w:r w:rsidR="00041BEC" w:rsidRPr="00F45A5D">
        <w:t>The dose selected for development appears to be based on the approved dose for the indication of AS.</w:t>
      </w:r>
    </w:p>
    <w:p w:rsidR="00C22678" w:rsidRDefault="00C22678" w:rsidP="00E6784C">
      <w:pPr>
        <w:pStyle w:val="Heading2"/>
      </w:pPr>
      <w:bookmarkStart w:id="20" w:name="_Toc383176402"/>
      <w:r>
        <w:t>Clinical efficacy</w:t>
      </w:r>
      <w:bookmarkEnd w:id="20"/>
    </w:p>
    <w:p w:rsidR="00041BEC" w:rsidRPr="00041BEC" w:rsidRDefault="00041BEC" w:rsidP="00E6784C">
      <w:pPr>
        <w:pStyle w:val="Heading3"/>
      </w:pPr>
      <w:bookmarkStart w:id="21" w:name="_Ref271199564"/>
      <w:bookmarkStart w:id="22" w:name="_Toc272414651"/>
      <w:bookmarkStart w:id="23" w:name="_Toc290846273"/>
      <w:bookmarkStart w:id="24" w:name="_Toc355289313"/>
      <w:bookmarkStart w:id="25" w:name="_Toc383176403"/>
      <w:r w:rsidRPr="00041BEC">
        <w:t>Non-</w:t>
      </w:r>
      <w:r w:rsidR="00E6784C">
        <w:t>r</w:t>
      </w:r>
      <w:r w:rsidRPr="00041BEC">
        <w:t xml:space="preserve">adiographic </w:t>
      </w:r>
      <w:r w:rsidR="00E6784C">
        <w:t>a</w:t>
      </w:r>
      <w:r w:rsidRPr="00E6784C">
        <w:t>xial</w:t>
      </w:r>
      <w:r w:rsidRPr="00041BEC">
        <w:t xml:space="preserve"> </w:t>
      </w:r>
      <w:proofErr w:type="spellStart"/>
      <w:r w:rsidRPr="00041BEC">
        <w:t>SpA</w:t>
      </w:r>
      <w:bookmarkEnd w:id="21"/>
      <w:bookmarkEnd w:id="22"/>
      <w:bookmarkEnd w:id="23"/>
      <w:bookmarkEnd w:id="24"/>
      <w:bookmarkEnd w:id="25"/>
      <w:proofErr w:type="spellEnd"/>
    </w:p>
    <w:p w:rsidR="00041BEC" w:rsidRPr="00041BEC" w:rsidRDefault="00041BEC" w:rsidP="00E6784C">
      <w:pPr>
        <w:pStyle w:val="Heading4"/>
      </w:pPr>
      <w:bookmarkStart w:id="26" w:name="_Ref271037274"/>
      <w:bookmarkStart w:id="27" w:name="_Toc272414652"/>
      <w:bookmarkStart w:id="28" w:name="_Toc290846274"/>
      <w:bookmarkStart w:id="29" w:name="_Toc355289314"/>
      <w:r w:rsidRPr="00041BEC">
        <w:t xml:space="preserve">Pivotal efficacy </w:t>
      </w:r>
      <w:r w:rsidRPr="00E6784C">
        <w:t>studies</w:t>
      </w:r>
      <w:bookmarkEnd w:id="26"/>
      <w:bookmarkEnd w:id="27"/>
      <w:bookmarkEnd w:id="28"/>
      <w:bookmarkEnd w:id="29"/>
    </w:p>
    <w:p w:rsidR="00041BEC" w:rsidRPr="00041BEC" w:rsidRDefault="00041BEC" w:rsidP="00E6784C">
      <w:pPr>
        <w:pStyle w:val="Heading5"/>
      </w:pPr>
      <w:bookmarkStart w:id="30" w:name="_Toc355289315"/>
      <w:r w:rsidRPr="00041BEC">
        <w:t>Study M10-791</w:t>
      </w:r>
      <w:bookmarkEnd w:id="30"/>
    </w:p>
    <w:p w:rsidR="00041BEC" w:rsidRPr="00041BEC" w:rsidRDefault="00041BEC" w:rsidP="00E6784C">
      <w:pPr>
        <w:pStyle w:val="Heading6"/>
      </w:pPr>
      <w:r w:rsidRPr="00041BEC">
        <w:t>Study design, objectives, locations and dates</w:t>
      </w:r>
    </w:p>
    <w:p w:rsidR="00041BEC" w:rsidRPr="00041BEC" w:rsidRDefault="00041BEC" w:rsidP="00E6784C">
      <w:r w:rsidRPr="00041BEC">
        <w:t>Study M10-</w:t>
      </w:r>
      <w:proofErr w:type="gramStart"/>
      <w:r w:rsidRPr="00041BEC">
        <w:t>791  was</w:t>
      </w:r>
      <w:proofErr w:type="gramEnd"/>
      <w:r w:rsidRPr="00041BEC">
        <w:t xml:space="preserve"> a multicentre, randomised, double blind, placebo controlled, parallel group efficacy and safety study of 12 weeks duration followed by an open-label follow on phase.</w:t>
      </w:r>
      <w:r w:rsidR="00E20A7E">
        <w:t xml:space="preserve"> </w:t>
      </w:r>
      <w:r w:rsidRPr="00041BEC">
        <w:t>The study was conducted at 37 study sites in Australia, Belgium, Canada, Czech Republic, France, Germany, The Netherlands, Spain, United Kingdom, and the United States from 11 August 2009 to 19 October 2011.</w:t>
      </w:r>
    </w:p>
    <w:p w:rsidR="00041BEC" w:rsidRPr="00041BEC" w:rsidRDefault="00041BEC" w:rsidP="00E6784C">
      <w:pPr>
        <w:pStyle w:val="Heading6"/>
      </w:pPr>
      <w:r w:rsidRPr="00041BEC">
        <w:t xml:space="preserve">Inclusion </w:t>
      </w:r>
      <w:r w:rsidRPr="00E6784C">
        <w:t>and</w:t>
      </w:r>
      <w:r w:rsidRPr="00041BEC">
        <w:t xml:space="preserve"> exclusion criteria</w:t>
      </w:r>
    </w:p>
    <w:p w:rsidR="00041BEC" w:rsidRPr="00041BEC" w:rsidRDefault="00041BEC" w:rsidP="00E6784C">
      <w:r w:rsidRPr="00041BEC">
        <w:t>The inclusion criteria included:</w:t>
      </w:r>
    </w:p>
    <w:p w:rsidR="00041BEC" w:rsidRPr="00041BEC" w:rsidRDefault="00041BEC" w:rsidP="00E6784C">
      <w:pPr>
        <w:pStyle w:val="ListBullet"/>
      </w:pPr>
      <w:r w:rsidRPr="00041BEC">
        <w:t xml:space="preserve">Subject was </w:t>
      </w:r>
      <w:r w:rsidR="00E20A7E">
        <w:t>≥</w:t>
      </w:r>
      <w:r w:rsidRPr="00041BEC">
        <w:t xml:space="preserve">18 years of </w:t>
      </w:r>
      <w:r w:rsidRPr="00E6784C">
        <w:t>age</w:t>
      </w:r>
    </w:p>
    <w:p w:rsidR="00041BEC" w:rsidRPr="00041BEC" w:rsidRDefault="00041BEC" w:rsidP="00E6784C">
      <w:pPr>
        <w:pStyle w:val="ListBullet"/>
      </w:pPr>
      <w:r w:rsidRPr="00041BEC">
        <w:t xml:space="preserve">Subject must have had an </w:t>
      </w:r>
      <w:r w:rsidRPr="00E6784C">
        <w:t>inadequate</w:t>
      </w:r>
      <w:r w:rsidRPr="00041BEC">
        <w:t xml:space="preserve"> response to NSAIDs, intolerance to one of more NSAID, or had a contraindicatio</w:t>
      </w:r>
      <w:r w:rsidR="00E20A7E">
        <w:t>n for NSAIDs as defined by the study i</w:t>
      </w:r>
      <w:r w:rsidRPr="00041BEC">
        <w:t>nvestigator</w:t>
      </w:r>
    </w:p>
    <w:p w:rsidR="00041BEC" w:rsidRPr="00041BEC" w:rsidRDefault="00041BEC" w:rsidP="00E6784C">
      <w:pPr>
        <w:pStyle w:val="ListBullet"/>
      </w:pPr>
      <w:r w:rsidRPr="00041BEC">
        <w:t xml:space="preserve">Chronic back pain of at </w:t>
      </w:r>
      <w:r w:rsidRPr="00E6784C">
        <w:t>least</w:t>
      </w:r>
      <w:r w:rsidRPr="00041BEC">
        <w:t xml:space="preserve"> 3 months duration with onset at age &lt; 45 years</w:t>
      </w:r>
    </w:p>
    <w:p w:rsidR="00041BEC" w:rsidRPr="00041BEC" w:rsidRDefault="00041BEC" w:rsidP="00E6784C">
      <w:pPr>
        <w:pStyle w:val="ListBullet"/>
      </w:pPr>
      <w:r w:rsidRPr="00041BEC">
        <w:t xml:space="preserve">MRI evidence of active </w:t>
      </w:r>
      <w:r w:rsidRPr="00E6784C">
        <w:t>inflammatory</w:t>
      </w:r>
      <w:r w:rsidRPr="00041BEC">
        <w:t xml:space="preserve"> lesions of sacroiliac joints (past or present) with definite bone marrow oedema/</w:t>
      </w:r>
      <w:proofErr w:type="spellStart"/>
      <w:r w:rsidRPr="00041BEC">
        <w:t>osteitis</w:t>
      </w:r>
      <w:proofErr w:type="spellEnd"/>
      <w:r w:rsidRPr="00041BEC">
        <w:t xml:space="preserve">, suggestive of </w:t>
      </w:r>
      <w:proofErr w:type="spellStart"/>
      <w:r w:rsidRPr="00041BEC">
        <w:t>sacroiliitis</w:t>
      </w:r>
      <w:proofErr w:type="spellEnd"/>
      <w:r w:rsidRPr="00041BEC">
        <w:t xml:space="preserve"> associated with </w:t>
      </w:r>
      <w:proofErr w:type="spellStart"/>
      <w:r w:rsidRPr="00041BEC">
        <w:t>SpA</w:t>
      </w:r>
      <w:proofErr w:type="spellEnd"/>
      <w:r w:rsidRPr="00041BEC">
        <w:t xml:space="preserve"> plus one or more of the clinical criteria listed below:</w:t>
      </w:r>
    </w:p>
    <w:p w:rsidR="00041BEC" w:rsidRPr="00041BEC" w:rsidRDefault="00041BEC" w:rsidP="00E6784C">
      <w:pPr>
        <w:pStyle w:val="ListBullet"/>
        <w:numPr>
          <w:ilvl w:val="0"/>
          <w:numId w:val="0"/>
        </w:numPr>
        <w:ind w:left="360"/>
      </w:pPr>
      <w:r w:rsidRPr="00041BEC">
        <w:t>OR</w:t>
      </w:r>
    </w:p>
    <w:p w:rsidR="00041BEC" w:rsidRPr="00041BEC" w:rsidRDefault="00041BEC" w:rsidP="00E6784C">
      <w:pPr>
        <w:pStyle w:val="ListBullet"/>
        <w:numPr>
          <w:ilvl w:val="0"/>
          <w:numId w:val="0"/>
        </w:numPr>
        <w:ind w:left="360"/>
      </w:pPr>
      <w:r w:rsidRPr="00041BEC">
        <w:t>Positive HLA-B27 plus two or more of the clinical criteria listed below other than HLA-B27 positivity:</w:t>
      </w:r>
    </w:p>
    <w:p w:rsidR="00041BEC" w:rsidRPr="00041BEC" w:rsidRDefault="00041BEC" w:rsidP="00E6784C">
      <w:pPr>
        <w:pStyle w:val="ListBullet2"/>
      </w:pPr>
      <w:r w:rsidRPr="00041BEC">
        <w:t>Inflammatory back pain defined as the presence at Screening of at least four out of the following five parameters: 1) age at onset &lt; 40 yrs, 2) insidious onset, 3) improvement with exercise, 4) no improvement with rest, 5) night pain with improvement upon getting up</w:t>
      </w:r>
    </w:p>
    <w:p w:rsidR="00041BEC" w:rsidRPr="00041BEC" w:rsidRDefault="00041BEC" w:rsidP="00E6784C">
      <w:pPr>
        <w:pStyle w:val="ListBullet2"/>
      </w:pPr>
      <w:r w:rsidRPr="00041BEC">
        <w:t>Arthritis (past or present)</w:t>
      </w:r>
    </w:p>
    <w:p w:rsidR="00041BEC" w:rsidRPr="00041BEC" w:rsidRDefault="00041BEC" w:rsidP="00E6784C">
      <w:pPr>
        <w:pStyle w:val="ListBullet2"/>
      </w:pPr>
      <w:r w:rsidRPr="00041BEC">
        <w:t xml:space="preserve">Heel </w:t>
      </w:r>
      <w:proofErr w:type="spellStart"/>
      <w:r w:rsidRPr="00041BEC">
        <w:t>enthesitis</w:t>
      </w:r>
      <w:proofErr w:type="spellEnd"/>
      <w:r w:rsidRPr="00041BEC">
        <w:t xml:space="preserve"> (past or present)</w:t>
      </w:r>
    </w:p>
    <w:p w:rsidR="00041BEC" w:rsidRPr="00041BEC" w:rsidRDefault="00041BEC" w:rsidP="00E20A7E">
      <w:pPr>
        <w:pStyle w:val="ListBullet2"/>
      </w:pPr>
      <w:r w:rsidRPr="00041BEC">
        <w:t>Anterior uveitis confirmed by an ophthalmologist (past or present)</w:t>
      </w:r>
    </w:p>
    <w:p w:rsidR="00041BEC" w:rsidRPr="00041BEC" w:rsidRDefault="00041BEC" w:rsidP="00E6784C">
      <w:pPr>
        <w:pStyle w:val="ListBullet2"/>
      </w:pPr>
      <w:proofErr w:type="spellStart"/>
      <w:r w:rsidRPr="00041BEC">
        <w:t>Dactylitis</w:t>
      </w:r>
      <w:proofErr w:type="spellEnd"/>
      <w:r w:rsidRPr="00041BEC">
        <w:t xml:space="preserve"> (past or present)</w:t>
      </w:r>
    </w:p>
    <w:p w:rsidR="00041BEC" w:rsidRPr="00041BEC" w:rsidRDefault="00041BEC" w:rsidP="00E20A7E">
      <w:pPr>
        <w:pStyle w:val="ListBullet2"/>
      </w:pPr>
      <w:r w:rsidRPr="00041BEC">
        <w:t>Crohn's Disease (CD) or ulcerative colitis (UC) (past or present)</w:t>
      </w:r>
    </w:p>
    <w:p w:rsidR="00041BEC" w:rsidRPr="00041BEC" w:rsidRDefault="00041BEC" w:rsidP="00E6784C">
      <w:pPr>
        <w:pStyle w:val="ListBullet2"/>
      </w:pPr>
      <w:r w:rsidRPr="00041BEC">
        <w:lastRenderedPageBreak/>
        <w:t xml:space="preserve">Good prior </w:t>
      </w:r>
      <w:r w:rsidRPr="00E6784C">
        <w:t>response</w:t>
      </w:r>
      <w:r w:rsidRPr="00041BEC">
        <w:t xml:space="preserve"> to an NSAID – back pain was not present anymore or much better 24 to 48 hours after a full dose of an NSAID</w:t>
      </w:r>
    </w:p>
    <w:p w:rsidR="00041BEC" w:rsidRPr="00041BEC" w:rsidRDefault="00041BEC" w:rsidP="00E6784C">
      <w:pPr>
        <w:pStyle w:val="ListBullet2"/>
      </w:pPr>
      <w:r w:rsidRPr="00041BEC">
        <w:t xml:space="preserve">Family history of </w:t>
      </w:r>
      <w:proofErr w:type="spellStart"/>
      <w:r w:rsidRPr="00041BEC">
        <w:t>SpA</w:t>
      </w:r>
      <w:proofErr w:type="spellEnd"/>
    </w:p>
    <w:p w:rsidR="00041BEC" w:rsidRPr="00041BEC" w:rsidRDefault="00041BEC" w:rsidP="00E20A7E">
      <w:pPr>
        <w:pStyle w:val="ListBullet2"/>
      </w:pPr>
      <w:r w:rsidRPr="00041BEC">
        <w:t>Positive HLA-B27</w:t>
      </w:r>
    </w:p>
    <w:p w:rsidR="00041BEC" w:rsidRPr="00041BEC" w:rsidRDefault="00041BEC" w:rsidP="00E6784C">
      <w:pPr>
        <w:pStyle w:val="ListBullet2"/>
      </w:pPr>
      <w:r w:rsidRPr="00041BEC">
        <w:t>Elevated CRP</w:t>
      </w:r>
    </w:p>
    <w:p w:rsidR="00041BEC" w:rsidRPr="00041BEC" w:rsidRDefault="00041BEC" w:rsidP="00E6784C">
      <w:pPr>
        <w:pStyle w:val="ListBullet"/>
      </w:pPr>
      <w:r w:rsidRPr="00041BEC">
        <w:t xml:space="preserve">Baseline disease </w:t>
      </w:r>
      <w:r w:rsidRPr="00E6784C">
        <w:t>activity</w:t>
      </w:r>
      <w:r w:rsidRPr="00041BEC">
        <w:t xml:space="preserve"> as defined by having a Total Back Pain VAS score </w:t>
      </w:r>
      <w:r w:rsidR="00E20A7E">
        <w:t>≥</w:t>
      </w:r>
      <w:r w:rsidRPr="00041BEC">
        <w:t xml:space="preserve">40 mm and BASDAI </w:t>
      </w:r>
      <w:r w:rsidR="00E20A7E">
        <w:t>≥</w:t>
      </w:r>
      <w:r w:rsidR="00E6784C">
        <w:t>4</w:t>
      </w:r>
    </w:p>
    <w:p w:rsidR="00041BEC" w:rsidRPr="00041BEC" w:rsidRDefault="00041BEC" w:rsidP="00E6784C">
      <w:pPr>
        <w:pStyle w:val="ListBullet"/>
      </w:pPr>
      <w:r w:rsidRPr="00041BEC">
        <w:t xml:space="preserve">If female, </w:t>
      </w:r>
      <w:r w:rsidRPr="00E6784C">
        <w:t>subject</w:t>
      </w:r>
      <w:r w:rsidRPr="00041BEC">
        <w:t xml:space="preserve"> is either not of childbearing potential, defined as postmenopausal for at least 1 year or surgically sterile or practicing an approved method of birth cont</w:t>
      </w:r>
      <w:r w:rsidR="00E6784C">
        <w:t>rol</w:t>
      </w:r>
    </w:p>
    <w:p w:rsidR="00041BEC" w:rsidRPr="00041BEC" w:rsidRDefault="00041BEC" w:rsidP="00E6784C">
      <w:pPr>
        <w:pStyle w:val="ListBullet"/>
      </w:pPr>
      <w:r w:rsidRPr="00041BEC">
        <w:t xml:space="preserve">In good health as determined by the </w:t>
      </w:r>
      <w:r w:rsidR="00E20A7E" w:rsidRPr="00E20A7E">
        <w:t xml:space="preserve">Principal investigator </w:t>
      </w:r>
      <w:r w:rsidR="00E20A7E">
        <w:t xml:space="preserve"> (</w:t>
      </w:r>
      <w:r w:rsidRPr="00041BEC">
        <w:t>PI</w:t>
      </w:r>
      <w:r w:rsidR="00E20A7E">
        <w:t>)</w:t>
      </w:r>
      <w:r w:rsidRPr="00041BEC">
        <w:t xml:space="preserve"> based upon the </w:t>
      </w:r>
      <w:r w:rsidRPr="00E6784C">
        <w:t>results</w:t>
      </w:r>
      <w:r w:rsidRPr="00041BEC">
        <w:t xml:space="preserve"> of medical history, laboratory profile, physical examination, </w:t>
      </w:r>
      <w:r w:rsidR="00E20A7E" w:rsidRPr="00E20A7E">
        <w:t xml:space="preserve">Chest x-ray </w:t>
      </w:r>
      <w:r w:rsidR="00E20A7E">
        <w:t xml:space="preserve"> (</w:t>
      </w:r>
      <w:r w:rsidRPr="00041BEC">
        <w:t>CXR</w:t>
      </w:r>
      <w:r w:rsidR="00E20A7E">
        <w:t>)</w:t>
      </w:r>
      <w:r w:rsidRPr="00041BEC">
        <w:t xml:space="preserve"> and a 12-lead </w:t>
      </w:r>
      <w:r w:rsidR="00E20A7E">
        <w:t>electrocardiogram (</w:t>
      </w:r>
      <w:r w:rsidRPr="00041BEC">
        <w:t>ECG</w:t>
      </w:r>
      <w:r w:rsidR="00E20A7E">
        <w:t>)</w:t>
      </w:r>
      <w:r w:rsidRPr="00041BEC">
        <w:t xml:space="preserve"> performed at Screening;</w:t>
      </w:r>
    </w:p>
    <w:p w:rsidR="00041BEC" w:rsidRPr="00041BEC" w:rsidRDefault="00041BEC" w:rsidP="00E6784C">
      <w:pPr>
        <w:pStyle w:val="ListBullet"/>
      </w:pPr>
      <w:r w:rsidRPr="00041BEC">
        <w:t xml:space="preserve">Negative </w:t>
      </w:r>
      <w:r w:rsidR="00E20A7E" w:rsidRPr="00126334">
        <w:t>Purified protein derivative</w:t>
      </w:r>
      <w:r w:rsidR="00E20A7E">
        <w:t xml:space="preserve"> (</w:t>
      </w:r>
      <w:r w:rsidRPr="00041BEC">
        <w:t>PPD test</w:t>
      </w:r>
      <w:r w:rsidR="00E20A7E">
        <w:t>)</w:t>
      </w:r>
      <w:r w:rsidRPr="00041BEC">
        <w:t xml:space="preserve"> (or equivalent) and CXR, or </w:t>
      </w:r>
      <w:r w:rsidRPr="00E6784C">
        <w:t>currently</w:t>
      </w:r>
      <w:r w:rsidRPr="00041BEC">
        <w:t xml:space="preserve"> receiving, or have documented completion of a course of anti-</w:t>
      </w:r>
      <w:r w:rsidR="00E20A7E" w:rsidRPr="00E20A7E">
        <w:rPr>
          <w:rFonts w:ascii="Times New Roman" w:eastAsia="Times New Roman" w:hAnsi="Times New Roman"/>
          <w:kern w:val="16"/>
          <w:sz w:val="24"/>
          <w:szCs w:val="24"/>
          <w:lang w:eastAsia="en-AU"/>
        </w:rPr>
        <w:t xml:space="preserve"> </w:t>
      </w:r>
      <w:r w:rsidR="00E20A7E" w:rsidRPr="00E20A7E">
        <w:t xml:space="preserve">Tuberculosis </w:t>
      </w:r>
      <w:r w:rsidR="00E20A7E">
        <w:t xml:space="preserve"> (</w:t>
      </w:r>
      <w:r w:rsidRPr="00041BEC">
        <w:t>TB</w:t>
      </w:r>
      <w:r w:rsidR="00E20A7E">
        <w:t>)</w:t>
      </w:r>
      <w:r w:rsidRPr="00041BEC">
        <w:t xml:space="preserve"> therapy</w:t>
      </w:r>
    </w:p>
    <w:p w:rsidR="00041BEC" w:rsidRPr="00041BEC" w:rsidRDefault="00041BEC" w:rsidP="00E6784C">
      <w:r w:rsidRPr="00041BEC">
        <w:t>The exclusion criteria included:</w:t>
      </w:r>
    </w:p>
    <w:p w:rsidR="00041BEC" w:rsidRPr="00041BEC" w:rsidRDefault="00041BEC" w:rsidP="00E6784C">
      <w:pPr>
        <w:pStyle w:val="ListBullet"/>
      </w:pPr>
      <w:r w:rsidRPr="00041BEC">
        <w:t>Diagnosis of AS (as defined by the modified New York criteria) at or prior to the screening visit</w:t>
      </w:r>
    </w:p>
    <w:p w:rsidR="00041BEC" w:rsidRPr="00041BEC" w:rsidRDefault="00041BEC" w:rsidP="00E6784C">
      <w:pPr>
        <w:pStyle w:val="ListBullet"/>
      </w:pPr>
      <w:r w:rsidRPr="00041BEC">
        <w:t xml:space="preserve">Past or present diagnosis of </w:t>
      </w:r>
      <w:r w:rsidR="00E20A7E" w:rsidRPr="00E20A7E">
        <w:t xml:space="preserve">Psoriasis </w:t>
      </w:r>
      <w:r w:rsidR="00E20A7E">
        <w:t xml:space="preserve"> (</w:t>
      </w:r>
      <w:r w:rsidRPr="00041BEC">
        <w:t>Ps</w:t>
      </w:r>
      <w:r w:rsidR="00E20A7E">
        <w:t>)</w:t>
      </w:r>
      <w:r w:rsidRPr="00041BEC">
        <w:t xml:space="preserve"> or </w:t>
      </w:r>
      <w:r w:rsidR="00E20A7E" w:rsidRPr="00E20A7E">
        <w:t xml:space="preserve">Psoriatic arthritis </w:t>
      </w:r>
      <w:r w:rsidR="00E20A7E">
        <w:t xml:space="preserve"> (</w:t>
      </w:r>
      <w:proofErr w:type="spellStart"/>
      <w:r w:rsidRPr="00041BEC">
        <w:t>PsA</w:t>
      </w:r>
      <w:proofErr w:type="spellEnd"/>
      <w:r w:rsidR="00E20A7E">
        <w:t>)</w:t>
      </w:r>
    </w:p>
    <w:p w:rsidR="00041BEC" w:rsidRPr="00041BEC" w:rsidRDefault="00041BEC" w:rsidP="00E6784C">
      <w:pPr>
        <w:pStyle w:val="ListBullet"/>
      </w:pPr>
      <w:r w:rsidRPr="00041BEC">
        <w:t xml:space="preserve">Prior exposure to any biologic therapy with a potential therapeutic impact on </w:t>
      </w:r>
      <w:proofErr w:type="spellStart"/>
      <w:r w:rsidR="00E20A7E" w:rsidRPr="00E20A7E">
        <w:t>Spondyloarthritis</w:t>
      </w:r>
      <w:proofErr w:type="spellEnd"/>
      <w:r w:rsidR="00E20A7E" w:rsidRPr="00E20A7E">
        <w:t xml:space="preserve"> </w:t>
      </w:r>
      <w:r w:rsidR="00E20A7E">
        <w:t xml:space="preserve"> (</w:t>
      </w:r>
      <w:proofErr w:type="spellStart"/>
      <w:r w:rsidRPr="00041BEC">
        <w:t>SpA</w:t>
      </w:r>
      <w:proofErr w:type="spellEnd"/>
      <w:r w:rsidR="00E20A7E">
        <w:t>)</w:t>
      </w:r>
      <w:r w:rsidRPr="00041BEC">
        <w:t xml:space="preserve"> including anti-</w:t>
      </w:r>
      <w:proofErr w:type="spellStart"/>
      <w:r w:rsidR="00E20A7E" w:rsidRPr="00E20A7E">
        <w:t>Tumor</w:t>
      </w:r>
      <w:proofErr w:type="spellEnd"/>
      <w:r w:rsidR="00E20A7E" w:rsidRPr="00E20A7E">
        <w:t xml:space="preserve"> necrosis factor </w:t>
      </w:r>
      <w:r w:rsidR="00E20A7E">
        <w:t xml:space="preserve"> (</w:t>
      </w:r>
      <w:r w:rsidRPr="00041BEC">
        <w:t>TNF</w:t>
      </w:r>
      <w:r w:rsidR="00E20A7E">
        <w:t>)</w:t>
      </w:r>
      <w:r w:rsidRPr="00041BEC">
        <w:t xml:space="preserve"> therapy</w:t>
      </w:r>
    </w:p>
    <w:p w:rsidR="00041BEC" w:rsidRPr="00041BEC" w:rsidRDefault="00041BEC" w:rsidP="00E6784C">
      <w:pPr>
        <w:pStyle w:val="ListBullet"/>
      </w:pPr>
      <w:r w:rsidRPr="00041BEC">
        <w:t>If entering the study on concomitant DMARDs, subject was not on stable dose of MTX (</w:t>
      </w:r>
      <w:r w:rsidR="00E20A7E">
        <w:t>≤</w:t>
      </w:r>
      <w:r w:rsidRPr="00041BEC">
        <w:t xml:space="preserve">25 mg per week) and/or </w:t>
      </w:r>
      <w:r w:rsidR="00E20A7E" w:rsidRPr="00E20A7E">
        <w:t xml:space="preserve">Sulfasalazine </w:t>
      </w:r>
      <w:r w:rsidR="00E20A7E">
        <w:t xml:space="preserve"> (</w:t>
      </w:r>
      <w:r w:rsidRPr="00041BEC">
        <w:t>SSZ</w:t>
      </w:r>
      <w:r w:rsidR="00E20A7E">
        <w:t>)</w:t>
      </w:r>
      <w:r w:rsidRPr="00041BEC">
        <w:t xml:space="preserve"> (</w:t>
      </w:r>
      <w:r w:rsidR="00E20A7E">
        <w:t>≤</w:t>
      </w:r>
      <w:r w:rsidRPr="00041BEC">
        <w:t xml:space="preserve">3 g per day) and/or </w:t>
      </w:r>
      <w:proofErr w:type="spellStart"/>
      <w:r w:rsidRPr="00041BEC">
        <w:t>hydroxychloroquine</w:t>
      </w:r>
      <w:proofErr w:type="spellEnd"/>
      <w:r w:rsidRPr="00041BEC">
        <w:t xml:space="preserve"> (</w:t>
      </w:r>
      <w:r w:rsidR="00E20A7E">
        <w:t>≤</w:t>
      </w:r>
      <w:r w:rsidRPr="00041BEC">
        <w:t>400 mg per day) for 28 days prior to the Baseline visit</w:t>
      </w:r>
    </w:p>
    <w:p w:rsidR="00041BEC" w:rsidRPr="00041BEC" w:rsidRDefault="00041BEC" w:rsidP="00E6784C">
      <w:pPr>
        <w:pStyle w:val="ListBullet"/>
      </w:pPr>
      <w:r w:rsidRPr="00041BEC">
        <w:t>If entered the study on concomitant oral corticosteroids, subject was not on stable dose of prednisone (</w:t>
      </w:r>
      <w:r w:rsidR="00E20A7E">
        <w:t>≤</w:t>
      </w:r>
      <w:r w:rsidRPr="00041BEC">
        <w:t>10 mg per/day) or oral corticosteroid equivalents for at least 14 days prior to the Baseline visit</w:t>
      </w:r>
    </w:p>
    <w:p w:rsidR="00041BEC" w:rsidRPr="00041BEC" w:rsidRDefault="00041BEC" w:rsidP="00E6784C">
      <w:pPr>
        <w:pStyle w:val="ListBullet"/>
      </w:pPr>
      <w:r w:rsidRPr="00041BEC">
        <w:t xml:space="preserve">Subject had received cyclosporine or other second line anti-rheumatic therapy (except MTX, SSZ, </w:t>
      </w:r>
      <w:proofErr w:type="spellStart"/>
      <w:r w:rsidRPr="00041BEC">
        <w:t>hydroxychloroquine</w:t>
      </w:r>
      <w:proofErr w:type="spellEnd"/>
      <w:r w:rsidRPr="00041BEC">
        <w:t>, or azathioprine) within 28 days prior to the Baseline visit</w:t>
      </w:r>
    </w:p>
    <w:p w:rsidR="00041BEC" w:rsidRPr="00041BEC" w:rsidRDefault="00041BEC" w:rsidP="00E6784C">
      <w:pPr>
        <w:pStyle w:val="ListBullet"/>
      </w:pPr>
      <w:r w:rsidRPr="00041BEC">
        <w:t>Subject had been treated with intra-articular joint injection(s) or spinal/paraspinal injection(s) of corticosteroids in the preceding 28 days prior to the Baseline visit</w:t>
      </w:r>
    </w:p>
    <w:p w:rsidR="00041BEC" w:rsidRPr="00041BEC" w:rsidRDefault="00041BEC" w:rsidP="00E6784C">
      <w:pPr>
        <w:pStyle w:val="ListBullet"/>
      </w:pPr>
      <w:r w:rsidRPr="00041BEC">
        <w:t>Infection(s) requiring treatment with intravenous antibiotics, antivirals or antifungals within 30 days prior to the Baseline visit or oral antibiotics, antivirals or antifungals within 14 days prior to the Baseline visit</w:t>
      </w:r>
    </w:p>
    <w:p w:rsidR="00041BEC" w:rsidRPr="00041BEC" w:rsidRDefault="00041BEC" w:rsidP="00E6784C">
      <w:pPr>
        <w:pStyle w:val="ListBullet"/>
      </w:pPr>
      <w:r w:rsidRPr="00041BEC">
        <w:t>Subject with extra-articular manifestations (</w:t>
      </w:r>
      <w:r w:rsidR="00E20A7E">
        <w:t>for example,</w:t>
      </w:r>
      <w:r w:rsidRPr="00041BEC">
        <w:t xml:space="preserve"> </w:t>
      </w:r>
      <w:r w:rsidR="00E20A7E" w:rsidRPr="00E20A7E">
        <w:t xml:space="preserve">Inflammatory bowel disease </w:t>
      </w:r>
      <w:r w:rsidR="00E20A7E">
        <w:t>(</w:t>
      </w:r>
      <w:r w:rsidRPr="00041BEC">
        <w:t>IBD</w:t>
      </w:r>
      <w:r w:rsidR="00E20A7E">
        <w:t>) and</w:t>
      </w:r>
      <w:r w:rsidRPr="00041BEC">
        <w:t xml:space="preserve"> uveitis) that were not clinically stable for at least 30 days prior to study entry</w:t>
      </w:r>
    </w:p>
    <w:p w:rsidR="00041BEC" w:rsidRPr="00041BEC" w:rsidRDefault="00041BEC" w:rsidP="00E6784C">
      <w:pPr>
        <w:pStyle w:val="ListBullet"/>
      </w:pPr>
      <w:r w:rsidRPr="00041BEC">
        <w:t xml:space="preserve">Subject had a history of inflammatory arthritis of a different etiology other than axial </w:t>
      </w:r>
      <w:proofErr w:type="spellStart"/>
      <w:r w:rsidRPr="00041BEC">
        <w:t>SpA</w:t>
      </w:r>
      <w:proofErr w:type="spellEnd"/>
      <w:r w:rsidRPr="00041BEC">
        <w:t xml:space="preserve"> (</w:t>
      </w:r>
      <w:r w:rsidR="00E20A7E">
        <w:t>for example</w:t>
      </w:r>
      <w:r w:rsidRPr="00041BEC">
        <w:t xml:space="preserve"> rheumatoid arthritis, gout, systemic lupus erythematosus, polyarticular or systemic juvenile idiopathic arthritis)</w:t>
      </w:r>
    </w:p>
    <w:p w:rsidR="00041BEC" w:rsidRPr="00041BEC" w:rsidRDefault="00041BEC" w:rsidP="00E6784C">
      <w:pPr>
        <w:pStyle w:val="ListBullet"/>
      </w:pPr>
      <w:r w:rsidRPr="00041BEC">
        <w:t xml:space="preserve">History of </w:t>
      </w:r>
      <w:r w:rsidR="00E20A7E">
        <w:t>central nervous system (</w:t>
      </w:r>
      <w:r w:rsidRPr="00041BEC">
        <w:t>CNS</w:t>
      </w:r>
      <w:r w:rsidR="00E20A7E">
        <w:t>)</w:t>
      </w:r>
      <w:r w:rsidRPr="00041BEC">
        <w:t xml:space="preserve"> demyelinating disease or neurologic symptoms suggestive of CNS demyelinating disease</w:t>
      </w:r>
    </w:p>
    <w:p w:rsidR="00041BEC" w:rsidRPr="00041BEC" w:rsidRDefault="00041BEC" w:rsidP="00E6784C">
      <w:pPr>
        <w:pStyle w:val="ListBullet"/>
      </w:pPr>
      <w:r w:rsidRPr="00041BEC">
        <w:t xml:space="preserve">History of </w:t>
      </w:r>
      <w:proofErr w:type="spellStart"/>
      <w:r w:rsidRPr="00041BEC">
        <w:t>listeriosis</w:t>
      </w:r>
      <w:proofErr w:type="spellEnd"/>
      <w:r w:rsidRPr="00041BEC">
        <w:t xml:space="preserve">, </w:t>
      </w:r>
      <w:proofErr w:type="spellStart"/>
      <w:r w:rsidRPr="00041BEC">
        <w:t>histoplasmosis</w:t>
      </w:r>
      <w:proofErr w:type="spellEnd"/>
      <w:r w:rsidRPr="00041BEC">
        <w:t>, chronic or active hepatitis B infection, human immunodeficiency virus infection, immunodeficiency syndrome, chronic recurring infections or active TB</w:t>
      </w:r>
    </w:p>
    <w:p w:rsidR="00041BEC" w:rsidRPr="00041BEC" w:rsidRDefault="00041BEC" w:rsidP="00E6784C">
      <w:pPr>
        <w:pStyle w:val="ListBullet"/>
      </w:pPr>
      <w:r w:rsidRPr="00041BEC">
        <w:lastRenderedPageBreak/>
        <w:t>History of moderate to severe congestive heart failure (</w:t>
      </w:r>
      <w:r w:rsidR="00E20A7E" w:rsidRPr="00E20A7E">
        <w:t xml:space="preserve">New York Heart Association </w:t>
      </w:r>
      <w:r w:rsidR="00E20A7E">
        <w:t xml:space="preserve"> (</w:t>
      </w:r>
      <w:r w:rsidRPr="00041BEC">
        <w:t>NYHA</w:t>
      </w:r>
      <w:r w:rsidR="00E20A7E">
        <w:t>)</w:t>
      </w:r>
      <w:r w:rsidRPr="00041BEC">
        <w:t xml:space="preserve"> class III or IV), recent </w:t>
      </w:r>
      <w:r w:rsidR="00E20A7E" w:rsidRPr="00E20A7E">
        <w:t xml:space="preserve">Cerebrovascular accident </w:t>
      </w:r>
      <w:r w:rsidR="00E20A7E">
        <w:t>(</w:t>
      </w:r>
      <w:r w:rsidRPr="00041BEC">
        <w:t>CVA</w:t>
      </w:r>
      <w:r w:rsidR="00E20A7E">
        <w:t>)</w:t>
      </w:r>
      <w:r w:rsidRPr="00041BEC">
        <w:t xml:space="preserve"> and any other condition which, in the opinion of the investigator, would put the subject at risk by participation in the protocol</w:t>
      </w:r>
    </w:p>
    <w:p w:rsidR="00041BEC" w:rsidRPr="00041BEC" w:rsidRDefault="00041BEC" w:rsidP="00E6784C">
      <w:pPr>
        <w:pStyle w:val="ListBullet"/>
      </w:pPr>
      <w:r w:rsidRPr="00041BEC">
        <w:t>Evidence of dysplasia or history of malignancy (including lymphoma and leukaemia) other than a successfully treated non-metastatic cutaneous squamous cell, basal cell carcinoma, or locali</w:t>
      </w:r>
      <w:r w:rsidR="00E20A7E">
        <w:t>s</w:t>
      </w:r>
      <w:r w:rsidRPr="00041BEC">
        <w:t>ed carcinoma</w:t>
      </w:r>
      <w:r w:rsidRPr="00E20A7E">
        <w:rPr>
          <w:i/>
        </w:rPr>
        <w:t xml:space="preserve"> in situ</w:t>
      </w:r>
      <w:r w:rsidRPr="00041BEC">
        <w:t xml:space="preserve"> of the cervix</w:t>
      </w:r>
    </w:p>
    <w:p w:rsidR="00041BEC" w:rsidRPr="00041BEC" w:rsidRDefault="00041BEC" w:rsidP="00E6784C">
      <w:pPr>
        <w:pStyle w:val="ListBullet"/>
      </w:pPr>
      <w:r w:rsidRPr="00041BEC">
        <w:t>Female subjects who are pregnant or breastfeeding or considering becoming pregnant during the study</w:t>
      </w:r>
    </w:p>
    <w:p w:rsidR="00041BEC" w:rsidRPr="00041BEC" w:rsidRDefault="00041BEC" w:rsidP="00E6784C">
      <w:pPr>
        <w:pStyle w:val="ListBullet"/>
      </w:pPr>
      <w:r w:rsidRPr="00041BEC">
        <w:t>History of clinically significant drug or alcohol abuse in the last 12 months</w:t>
      </w:r>
    </w:p>
    <w:p w:rsidR="00041BEC" w:rsidRPr="00041BEC" w:rsidRDefault="00041BEC" w:rsidP="00E6784C">
      <w:pPr>
        <w:pStyle w:val="ListBullet"/>
      </w:pPr>
      <w:r w:rsidRPr="00041BEC">
        <w:t>Clinically significant abnormal screening laboratory results as evaluated by the investigator</w:t>
      </w:r>
    </w:p>
    <w:p w:rsidR="00041BEC" w:rsidRPr="00041BEC" w:rsidRDefault="00041BEC" w:rsidP="00E6784C">
      <w:pPr>
        <w:pStyle w:val="ListBullet"/>
      </w:pPr>
      <w:r w:rsidRPr="00041BEC">
        <w:t>If entering the study on concomitant azathioprine, subject not on stable dose (</w:t>
      </w:r>
      <w:r w:rsidR="00E20A7E">
        <w:t>≤</w:t>
      </w:r>
      <w:r w:rsidRPr="00041BEC">
        <w:t>150 mg/day) for 28 days prior to the Baseline visit or on azathioprine and another concomitant immunosuppressive drug at study entry</w:t>
      </w:r>
    </w:p>
    <w:p w:rsidR="00041BEC" w:rsidRPr="00041BEC" w:rsidRDefault="00041BEC" w:rsidP="00E6784C">
      <w:pPr>
        <w:pStyle w:val="ListBullet"/>
      </w:pPr>
      <w:r w:rsidRPr="00041BEC">
        <w:t>If entering the study on concomitant NSAIDs and/or analgesics, subject on opioid analgesics (other than tramadol) within 14 days prior to Baseline visit or subject not on stable doses of NSAIDs and/or analgesics for 14 days prior to the Baseline visit</w:t>
      </w:r>
    </w:p>
    <w:p w:rsidR="00041BEC" w:rsidRPr="00041BEC" w:rsidRDefault="00041BEC" w:rsidP="00E6784C">
      <w:pPr>
        <w:pStyle w:val="ListBullet"/>
      </w:pPr>
      <w:r w:rsidRPr="00041BEC">
        <w:t>Spinal surgery within 2 months prior to Baseline</w:t>
      </w:r>
    </w:p>
    <w:p w:rsidR="00041BEC" w:rsidRPr="00041BEC" w:rsidRDefault="00041BEC" w:rsidP="00E6784C">
      <w:pPr>
        <w:pStyle w:val="Heading6"/>
      </w:pPr>
      <w:r w:rsidRPr="00041BEC">
        <w:t>Study treatments</w:t>
      </w:r>
    </w:p>
    <w:p w:rsidR="00041BEC" w:rsidRPr="00041BEC" w:rsidRDefault="00041BEC" w:rsidP="00E6784C">
      <w:r w:rsidRPr="00041BEC">
        <w:t>The study treatments were:</w:t>
      </w:r>
    </w:p>
    <w:p w:rsidR="00041BEC" w:rsidRPr="00041BEC" w:rsidRDefault="00E6784C" w:rsidP="00E6784C">
      <w:pPr>
        <w:pStyle w:val="Numberbullet0"/>
      </w:pPr>
      <w:proofErr w:type="spellStart"/>
      <w:r>
        <w:t>Adalimumab</w:t>
      </w:r>
      <w:proofErr w:type="spellEnd"/>
      <w:r>
        <w:t xml:space="preserve"> 40 mg</w:t>
      </w:r>
    </w:p>
    <w:p w:rsidR="00041BEC" w:rsidRPr="00041BEC" w:rsidRDefault="00E20A7E" w:rsidP="00E6784C">
      <w:pPr>
        <w:pStyle w:val="Numberbullet0"/>
      </w:pPr>
      <w:r>
        <w:t>P</w:t>
      </w:r>
      <w:r w:rsidR="00041BEC" w:rsidRPr="00041BEC">
        <w:t>lacebo</w:t>
      </w:r>
    </w:p>
    <w:p w:rsidR="00041BEC" w:rsidRPr="00041BEC" w:rsidRDefault="00041BEC" w:rsidP="00E6784C">
      <w:r w:rsidRPr="00041BEC">
        <w:t>Study treatments were self-administered subcutaneously every 2 weeks.</w:t>
      </w:r>
      <w:r w:rsidR="00E20A7E">
        <w:t xml:space="preserve"> </w:t>
      </w:r>
      <w:r w:rsidRPr="00041BEC">
        <w:t>After Week 12 all subjects were treated with adalimumab 40 mg every 2 weeks in an open-label manner.</w:t>
      </w:r>
    </w:p>
    <w:p w:rsidR="00041BEC" w:rsidRPr="00041BEC" w:rsidRDefault="00041BEC" w:rsidP="00E6784C">
      <w:r w:rsidRPr="00041BEC">
        <w:t xml:space="preserve">Subjects could continue on stable doses of MTX, SSZ, </w:t>
      </w:r>
      <w:proofErr w:type="spellStart"/>
      <w:r w:rsidRPr="00041BEC">
        <w:t>hydroxychloroquine</w:t>
      </w:r>
      <w:proofErr w:type="spellEnd"/>
      <w:r w:rsidRPr="00041BEC">
        <w:t>, azathioprine, prednisone and/or NSAIDs.</w:t>
      </w:r>
      <w:r w:rsidR="00E20A7E">
        <w:t xml:space="preserve"> </w:t>
      </w:r>
      <w:r w:rsidRPr="00041BEC">
        <w:t xml:space="preserve">Doses of these concomitant medications were to remain stable for the first 24 weeks of participation (except as medically required due to an </w:t>
      </w:r>
      <w:r w:rsidR="00E20A7E">
        <w:t>adverse event (</w:t>
      </w:r>
      <w:r w:rsidRPr="00041BEC">
        <w:t>AE</w:t>
      </w:r>
      <w:r w:rsidR="00E20A7E">
        <w:t>)</w:t>
      </w:r>
      <w:r w:rsidRPr="00041BEC">
        <w:t>).</w:t>
      </w:r>
      <w:r w:rsidR="00E20A7E">
        <w:t xml:space="preserve"> </w:t>
      </w:r>
      <w:r w:rsidRPr="00041BEC">
        <w:t>Dose adjustments or induction of treatment with these agents were permitted after Week 24.</w:t>
      </w:r>
      <w:r w:rsidR="00E20A7E">
        <w:t xml:space="preserve"> </w:t>
      </w:r>
      <w:r w:rsidRPr="00041BEC">
        <w:t>Subjects on stable doses of analgesics were allowed to continue during the study.</w:t>
      </w:r>
      <w:r w:rsidR="00E20A7E">
        <w:t xml:space="preserve"> </w:t>
      </w:r>
      <w:r w:rsidRPr="00041BEC">
        <w:t>However, opioid analgesics (except for tramadol) were prohibited from Baseline to Week 24.</w:t>
      </w:r>
      <w:r w:rsidR="00E20A7E">
        <w:t xml:space="preserve"> </w:t>
      </w:r>
      <w:r w:rsidRPr="00041BEC">
        <w:t>Only one intra-articular corticosteroid injection for a peripheral joint was to be allowed during the first 24 weeks of the study.</w:t>
      </w:r>
    </w:p>
    <w:p w:rsidR="00041BEC" w:rsidRPr="00041BEC" w:rsidRDefault="00041BEC" w:rsidP="00E6784C">
      <w:r w:rsidRPr="00041BEC">
        <w:t>Prohibited medications included:</w:t>
      </w:r>
    </w:p>
    <w:p w:rsidR="00041BEC" w:rsidRPr="00041BEC" w:rsidRDefault="00041BEC" w:rsidP="00E6784C">
      <w:pPr>
        <w:pStyle w:val="ListBullet"/>
      </w:pPr>
      <w:r w:rsidRPr="00041BEC">
        <w:t xml:space="preserve">All biologic therapy with a potential therapeutic impact on </w:t>
      </w:r>
      <w:proofErr w:type="spellStart"/>
      <w:r w:rsidRPr="00041BEC">
        <w:t>SpA</w:t>
      </w:r>
      <w:proofErr w:type="spellEnd"/>
      <w:r w:rsidRPr="00041BEC">
        <w:t xml:space="preserve"> including but not limited to: Enbrel® (</w:t>
      </w:r>
      <w:proofErr w:type="spellStart"/>
      <w:r w:rsidRPr="00E6784C">
        <w:t>etanercept</w:t>
      </w:r>
      <w:proofErr w:type="spellEnd"/>
      <w:r w:rsidRPr="00041BEC">
        <w:t xml:space="preserve">), </w:t>
      </w:r>
      <w:proofErr w:type="spellStart"/>
      <w:r w:rsidRPr="00041BEC">
        <w:t>Remicade</w:t>
      </w:r>
      <w:proofErr w:type="spellEnd"/>
      <w:r w:rsidRPr="00041BEC">
        <w:t xml:space="preserve">® (infliximab), </w:t>
      </w:r>
      <w:proofErr w:type="spellStart"/>
      <w:r w:rsidRPr="00041BEC">
        <w:t>Orencia</w:t>
      </w:r>
      <w:proofErr w:type="spellEnd"/>
      <w:r w:rsidRPr="00041BEC">
        <w:t>® (</w:t>
      </w:r>
      <w:proofErr w:type="spellStart"/>
      <w:r w:rsidRPr="00041BEC">
        <w:t>abatacept</w:t>
      </w:r>
      <w:proofErr w:type="spellEnd"/>
      <w:r w:rsidRPr="00041BEC">
        <w:t xml:space="preserve">), Kineret® (anakinra), Rituxan® (rituximab), </w:t>
      </w:r>
      <w:proofErr w:type="spellStart"/>
      <w:r w:rsidRPr="00041BEC">
        <w:t>Tysabri</w:t>
      </w:r>
      <w:proofErr w:type="spellEnd"/>
      <w:r w:rsidRPr="00041BEC">
        <w:t>® (</w:t>
      </w:r>
      <w:proofErr w:type="spellStart"/>
      <w:r w:rsidRPr="00041BEC">
        <w:t>natalizumab</w:t>
      </w:r>
      <w:proofErr w:type="spellEnd"/>
      <w:r w:rsidRPr="00041BEC">
        <w:t xml:space="preserve">), </w:t>
      </w:r>
      <w:proofErr w:type="spellStart"/>
      <w:r w:rsidRPr="00041BEC">
        <w:t>Actemra</w:t>
      </w:r>
      <w:proofErr w:type="spellEnd"/>
      <w:r w:rsidRPr="00041BEC">
        <w:t>® (</w:t>
      </w:r>
      <w:proofErr w:type="spellStart"/>
      <w:r w:rsidRPr="00041BEC">
        <w:t>tocilizumab</w:t>
      </w:r>
      <w:proofErr w:type="spellEnd"/>
      <w:r w:rsidRPr="00041BEC">
        <w:t xml:space="preserve">), </w:t>
      </w:r>
      <w:proofErr w:type="spellStart"/>
      <w:r w:rsidRPr="00041BEC">
        <w:t>Raptiva</w:t>
      </w:r>
      <w:proofErr w:type="spellEnd"/>
      <w:r w:rsidRPr="00041BEC">
        <w:t>® (</w:t>
      </w:r>
      <w:proofErr w:type="spellStart"/>
      <w:r w:rsidRPr="00041BEC">
        <w:t>efalizumab</w:t>
      </w:r>
      <w:proofErr w:type="spellEnd"/>
      <w:r w:rsidRPr="00041BEC">
        <w:t xml:space="preserve">), </w:t>
      </w:r>
      <w:proofErr w:type="spellStart"/>
      <w:r w:rsidRPr="00041BEC">
        <w:t>Simponi</w:t>
      </w:r>
      <w:proofErr w:type="spellEnd"/>
      <w:r w:rsidRPr="00041BEC">
        <w:t>® (</w:t>
      </w:r>
      <w:proofErr w:type="spellStart"/>
      <w:r w:rsidRPr="00041BEC">
        <w:t>golimumab</w:t>
      </w:r>
      <w:proofErr w:type="spellEnd"/>
      <w:r w:rsidRPr="00041BEC">
        <w:t xml:space="preserve">), and </w:t>
      </w:r>
      <w:proofErr w:type="spellStart"/>
      <w:r w:rsidRPr="00041BEC">
        <w:t>Cimzia</w:t>
      </w:r>
      <w:proofErr w:type="spellEnd"/>
      <w:r w:rsidRPr="00041BEC">
        <w:t>® (</w:t>
      </w:r>
      <w:proofErr w:type="spellStart"/>
      <w:r w:rsidRPr="00041BEC">
        <w:t>certolizumab</w:t>
      </w:r>
      <w:proofErr w:type="spellEnd"/>
      <w:r w:rsidRPr="00041BEC">
        <w:t>)</w:t>
      </w:r>
    </w:p>
    <w:p w:rsidR="00041BEC" w:rsidRPr="00041BEC" w:rsidRDefault="00E6784C" w:rsidP="00E6784C">
      <w:pPr>
        <w:pStyle w:val="ListBullet"/>
      </w:pPr>
      <w:r>
        <w:t>Live vaccines</w:t>
      </w:r>
    </w:p>
    <w:p w:rsidR="00041BEC" w:rsidRPr="00041BEC" w:rsidRDefault="00041BEC" w:rsidP="00E20A7E">
      <w:pPr>
        <w:pStyle w:val="ListBullet"/>
      </w:pPr>
      <w:proofErr w:type="spellStart"/>
      <w:r w:rsidRPr="00041BEC">
        <w:t>Rifampin</w:t>
      </w:r>
      <w:proofErr w:type="spellEnd"/>
      <w:r w:rsidRPr="00041BEC">
        <w:t>/pyrazinamide combination</w:t>
      </w:r>
    </w:p>
    <w:p w:rsidR="00041BEC" w:rsidRPr="00041BEC" w:rsidRDefault="00041BEC" w:rsidP="00E6784C">
      <w:pPr>
        <w:pStyle w:val="ListBullet"/>
      </w:pPr>
      <w:r w:rsidRPr="00041BEC">
        <w:t xml:space="preserve">All other </w:t>
      </w:r>
      <w:r w:rsidRPr="00E6784C">
        <w:t>second</w:t>
      </w:r>
      <w:r w:rsidRPr="00041BEC">
        <w:t xml:space="preserve">-line anti-rheumatic therapies other than MTX, SSZ, azathioprine, or </w:t>
      </w:r>
      <w:proofErr w:type="spellStart"/>
      <w:r w:rsidRPr="00041BEC">
        <w:t>hydroxychloroquine</w:t>
      </w:r>
      <w:proofErr w:type="spellEnd"/>
    </w:p>
    <w:p w:rsidR="00041BEC" w:rsidRPr="00041BEC" w:rsidRDefault="00041BEC" w:rsidP="00E6784C">
      <w:pPr>
        <w:pStyle w:val="ListBullet"/>
      </w:pPr>
      <w:r w:rsidRPr="00041BEC">
        <w:t xml:space="preserve">Opioid </w:t>
      </w:r>
      <w:r w:rsidRPr="00E6784C">
        <w:t>analgesics</w:t>
      </w:r>
      <w:r w:rsidRPr="00041BEC">
        <w:t xml:space="preserve"> (other than tramadol) until Week 24, and at any time during the study high potency opiates such as methadone, hydromorphone, and morphine</w:t>
      </w:r>
    </w:p>
    <w:p w:rsidR="00041BEC" w:rsidRPr="00041BEC" w:rsidRDefault="00041BEC" w:rsidP="00E6784C">
      <w:pPr>
        <w:pStyle w:val="Heading6"/>
      </w:pPr>
      <w:r w:rsidRPr="00041BEC">
        <w:lastRenderedPageBreak/>
        <w:t xml:space="preserve">Efficacy variables </w:t>
      </w:r>
      <w:r w:rsidRPr="00E6784C">
        <w:t>and</w:t>
      </w:r>
      <w:r w:rsidRPr="00041BEC">
        <w:t xml:space="preserve"> outcomes</w:t>
      </w:r>
    </w:p>
    <w:p w:rsidR="00041BEC" w:rsidRPr="00041BEC" w:rsidRDefault="00041BEC" w:rsidP="00E6784C">
      <w:r w:rsidRPr="00041BEC">
        <w:t xml:space="preserve">The primary efficacy outcome measure was </w:t>
      </w:r>
      <w:r w:rsidR="00EF43B9" w:rsidRPr="00EF43B9">
        <w:t xml:space="preserve">Assessments in </w:t>
      </w:r>
      <w:proofErr w:type="spellStart"/>
      <w:r w:rsidR="00EF43B9" w:rsidRPr="00EF43B9">
        <w:t>Spondyloarthritis</w:t>
      </w:r>
      <w:proofErr w:type="spellEnd"/>
      <w:r w:rsidR="00EF43B9" w:rsidRPr="00EF43B9">
        <w:t xml:space="preserve"> International Society </w:t>
      </w:r>
      <w:r w:rsidR="00EF43B9">
        <w:t>(</w:t>
      </w:r>
      <w:r w:rsidRPr="00041BEC">
        <w:t>ASAS40</w:t>
      </w:r>
      <w:r w:rsidR="00EF43B9">
        <w:t>)</w:t>
      </w:r>
      <w:r w:rsidRPr="00041BEC">
        <w:t xml:space="preserve"> response at Week 12.</w:t>
      </w:r>
      <w:r w:rsidR="00E20A7E">
        <w:t xml:space="preserve"> </w:t>
      </w:r>
      <w:r w:rsidRPr="00041BEC">
        <w:t xml:space="preserve">ASAS40 response was defined as improvement of </w:t>
      </w:r>
      <w:r w:rsidR="00E20A7E">
        <w:t>≥</w:t>
      </w:r>
      <w:r w:rsidRPr="00041BEC">
        <w:t xml:space="preserve">40% and absolute improvement of </w:t>
      </w:r>
      <w:r w:rsidR="00E20A7E">
        <w:t>≥</w:t>
      </w:r>
      <w:r w:rsidRPr="00041BEC">
        <w:t>20 units (on a scale of 0 to 100) from Baseline in three or more of the following four domains with no deterioration in the potential remaining domain:</w:t>
      </w:r>
    </w:p>
    <w:p w:rsidR="00041BEC" w:rsidRPr="00E20A7E" w:rsidRDefault="00041BEC" w:rsidP="00FF5045">
      <w:pPr>
        <w:pStyle w:val="Numberbullet0"/>
        <w:numPr>
          <w:ilvl w:val="0"/>
          <w:numId w:val="7"/>
        </w:numPr>
      </w:pPr>
      <w:r w:rsidRPr="00E20A7E">
        <w:t>Patient's Global Assessment</w:t>
      </w:r>
      <w:r w:rsidR="00E20A7E">
        <w:t>;</w:t>
      </w:r>
      <w:r w:rsidRPr="00E20A7E">
        <w:t xml:space="preserve"> </w:t>
      </w:r>
      <w:r w:rsidRPr="00E6784C">
        <w:t>Represented</w:t>
      </w:r>
      <w:r w:rsidRPr="00E20A7E">
        <w:t xml:space="preserve"> by the </w:t>
      </w:r>
      <w:r w:rsidR="00F52B4A" w:rsidRPr="00F52B4A">
        <w:t xml:space="preserve">Patient's Global Assessment </w:t>
      </w:r>
      <w:r w:rsidR="00F52B4A">
        <w:t>(</w:t>
      </w:r>
      <w:r w:rsidRPr="00E20A7E">
        <w:t>PTGA</w:t>
      </w:r>
      <w:r w:rsidR="00F52B4A">
        <w:t xml:space="preserve">) </w:t>
      </w:r>
      <w:r w:rsidRPr="00E20A7E">
        <w:t xml:space="preserve">disease activity </w:t>
      </w:r>
      <w:r w:rsidR="00E20A7E" w:rsidRPr="00E20A7E">
        <w:t xml:space="preserve">Visual analog scale </w:t>
      </w:r>
      <w:r w:rsidR="00E20A7E">
        <w:t xml:space="preserve"> (</w:t>
      </w:r>
      <w:r w:rsidRPr="00E20A7E">
        <w:t>VAS</w:t>
      </w:r>
      <w:r w:rsidR="00E20A7E">
        <w:t>)</w:t>
      </w:r>
      <w:r w:rsidRPr="00E20A7E">
        <w:t xml:space="preserve"> score (0 to 100 scale)</w:t>
      </w:r>
    </w:p>
    <w:p w:rsidR="00041BEC" w:rsidRPr="00E20A7E" w:rsidRDefault="00041BEC" w:rsidP="00FF5045">
      <w:pPr>
        <w:pStyle w:val="Numberbullet0"/>
        <w:numPr>
          <w:ilvl w:val="0"/>
          <w:numId w:val="7"/>
        </w:numPr>
      </w:pPr>
      <w:r w:rsidRPr="00E20A7E">
        <w:t>Pain</w:t>
      </w:r>
      <w:r w:rsidR="00EF43B9">
        <w:t>;</w:t>
      </w:r>
      <w:r w:rsidRPr="00E20A7E">
        <w:t xml:space="preserve"> Represented by the total </w:t>
      </w:r>
      <w:r w:rsidRPr="00E6784C">
        <w:t>back</w:t>
      </w:r>
      <w:r w:rsidRPr="00E20A7E">
        <w:t xml:space="preserve"> pain VAS score (0 to 100 scale)</w:t>
      </w:r>
    </w:p>
    <w:p w:rsidR="00041BEC" w:rsidRPr="00E20A7E" w:rsidRDefault="00041BEC" w:rsidP="00FF5045">
      <w:pPr>
        <w:pStyle w:val="Numberbullet0"/>
        <w:numPr>
          <w:ilvl w:val="0"/>
          <w:numId w:val="7"/>
        </w:numPr>
      </w:pPr>
      <w:r w:rsidRPr="00E20A7E">
        <w:t>Function</w:t>
      </w:r>
      <w:r w:rsidR="00EF43B9">
        <w:t>;</w:t>
      </w:r>
      <w:r w:rsidRPr="00E20A7E">
        <w:t xml:space="preserve"> Represented by the </w:t>
      </w:r>
      <w:r w:rsidR="00EF43B9" w:rsidRPr="00E6784C">
        <w:t>Bath</w:t>
      </w:r>
      <w:r w:rsidR="00EF43B9" w:rsidRPr="00EF43B9">
        <w:t xml:space="preserve"> Ankylosing Spondylitis functional index </w:t>
      </w:r>
      <w:r w:rsidR="00EF43B9">
        <w:t xml:space="preserve"> (</w:t>
      </w:r>
      <w:r w:rsidRPr="00E20A7E">
        <w:t>BASFI</w:t>
      </w:r>
      <w:r w:rsidR="00EF43B9">
        <w:t>)</w:t>
      </w:r>
      <w:r w:rsidRPr="00E20A7E">
        <w:t xml:space="preserve"> score (0 to 100 scale)</w:t>
      </w:r>
    </w:p>
    <w:p w:rsidR="00041BEC" w:rsidRPr="00E20A7E" w:rsidRDefault="00041BEC" w:rsidP="00FF5045">
      <w:pPr>
        <w:pStyle w:val="Numberbullet0"/>
        <w:numPr>
          <w:ilvl w:val="0"/>
          <w:numId w:val="7"/>
        </w:numPr>
      </w:pPr>
      <w:r w:rsidRPr="00E20A7E">
        <w:t>Inflammation</w:t>
      </w:r>
      <w:r w:rsidR="00E20A7E">
        <w:t>;</w:t>
      </w:r>
      <w:r w:rsidRPr="00E20A7E">
        <w:t xml:space="preserve"> Represented by the mean of the two morning stiffness-related BASDAI VAS scores (</w:t>
      </w:r>
      <w:r w:rsidR="00E20A7E">
        <w:t>that is,</w:t>
      </w:r>
      <w:r w:rsidRPr="00E20A7E">
        <w:t xml:space="preserve"> the average of items 5 and 6 of the BASDAI)</w:t>
      </w:r>
    </w:p>
    <w:p w:rsidR="00041BEC" w:rsidRPr="00041BEC" w:rsidRDefault="00041BEC" w:rsidP="00E6784C">
      <w:r w:rsidRPr="00041BEC">
        <w:t>The secondary efficacy outcome measures were:</w:t>
      </w:r>
    </w:p>
    <w:p w:rsidR="00041BEC" w:rsidRPr="00041BEC" w:rsidRDefault="00041BEC" w:rsidP="00E6784C">
      <w:pPr>
        <w:pStyle w:val="ListBullet"/>
      </w:pPr>
      <w:r w:rsidRPr="00041BEC">
        <w:t xml:space="preserve">ASAS20 response (improvement </w:t>
      </w:r>
      <w:r w:rsidRPr="00E6784C">
        <w:t>of</w:t>
      </w:r>
      <w:r w:rsidRPr="00041BEC">
        <w:t xml:space="preserve"> </w:t>
      </w:r>
      <w:r w:rsidR="00EF43B9">
        <w:t>≥</w:t>
      </w:r>
      <w:r w:rsidRPr="00041BEC">
        <w:t xml:space="preserve">20% and absolute improvement of </w:t>
      </w:r>
      <w:r w:rsidR="00EF43B9">
        <w:t>≥</w:t>
      </w:r>
      <w:r w:rsidRPr="00041BEC">
        <w:t>10 units from Baseline in three o</w:t>
      </w:r>
      <w:r w:rsidR="00E6784C">
        <w:t>r more of the four ASAS domains</w:t>
      </w:r>
    </w:p>
    <w:p w:rsidR="00041BEC" w:rsidRPr="00041BEC" w:rsidRDefault="00041BEC" w:rsidP="00E6784C">
      <w:pPr>
        <w:pStyle w:val="ListBullet"/>
      </w:pPr>
      <w:r w:rsidRPr="00041BEC">
        <w:t xml:space="preserve">BASDAI50 (50% improvement from Baseline in </w:t>
      </w:r>
      <w:r w:rsidRPr="00E6784C">
        <w:t>BASDAI</w:t>
      </w:r>
      <w:r w:rsidRPr="00041BEC">
        <w:t>)</w:t>
      </w:r>
    </w:p>
    <w:p w:rsidR="00041BEC" w:rsidRPr="00041BEC" w:rsidRDefault="00041BEC" w:rsidP="00E6784C">
      <w:pPr>
        <w:pStyle w:val="ListBullet"/>
      </w:pPr>
      <w:r w:rsidRPr="00041BEC">
        <w:t xml:space="preserve">Mean change in </w:t>
      </w:r>
      <w:r w:rsidR="00EF43B9" w:rsidRPr="00EF43B9">
        <w:t xml:space="preserve">Short Form-36 Health Status </w:t>
      </w:r>
      <w:r w:rsidR="00EF43B9" w:rsidRPr="00E6784C">
        <w:t>Survey</w:t>
      </w:r>
      <w:r w:rsidR="00EF43B9" w:rsidRPr="00EF43B9">
        <w:t>™ Version 2</w:t>
      </w:r>
      <w:r w:rsidR="00EF43B9">
        <w:t xml:space="preserve"> (</w:t>
      </w:r>
      <w:r w:rsidRPr="00041BEC">
        <w:t>SF-36v2</w:t>
      </w:r>
      <w:r w:rsidR="00F52B4A">
        <w:t>)</w:t>
      </w:r>
      <w:r w:rsidRPr="00041BEC">
        <w:t xml:space="preserve"> physical component</w:t>
      </w:r>
    </w:p>
    <w:p w:rsidR="00041BEC" w:rsidRPr="00041BEC" w:rsidRDefault="00041BEC" w:rsidP="00E6784C">
      <w:pPr>
        <w:pStyle w:val="ListBullet"/>
      </w:pPr>
      <w:r w:rsidRPr="00041BEC">
        <w:t>ASAS partial remission (absolute score of &lt;20 units for each of the four ASAS domains)</w:t>
      </w:r>
    </w:p>
    <w:p w:rsidR="00041BEC" w:rsidRPr="00041BEC" w:rsidRDefault="00041BEC" w:rsidP="00EF43B9">
      <w:pPr>
        <w:pStyle w:val="ListBullet"/>
      </w:pPr>
      <w:r w:rsidRPr="00041BEC">
        <w:t xml:space="preserve">ASAS5/6 response (20% improvement in five out of the following six domains: BASFI, total back pain, </w:t>
      </w:r>
      <w:r w:rsidR="00F52B4A" w:rsidRPr="00F52B4A">
        <w:t xml:space="preserve">Patient's Global Assessment </w:t>
      </w:r>
      <w:r w:rsidR="00F52B4A">
        <w:t>(</w:t>
      </w:r>
      <w:r w:rsidRPr="00041BEC">
        <w:t>PTGA</w:t>
      </w:r>
      <w:r w:rsidR="00F52B4A">
        <w:t xml:space="preserve">) </w:t>
      </w:r>
      <w:r w:rsidRPr="00041BEC">
        <w:t xml:space="preserve">disease activity, inflammation [questions 5 and 6 of the BASDAI], lateral lumbar flexion from BASMI, and acute phase reactant [pooled </w:t>
      </w:r>
      <w:r w:rsidR="00F52B4A" w:rsidRPr="00F52B4A">
        <w:t xml:space="preserve">C-reactive protein </w:t>
      </w:r>
      <w:r w:rsidR="00F52B4A">
        <w:t>(</w:t>
      </w:r>
      <w:r w:rsidRPr="00041BEC">
        <w:t>CRP</w:t>
      </w:r>
      <w:r w:rsidR="00F52B4A">
        <w:t>)</w:t>
      </w:r>
      <w:r w:rsidRPr="00041BEC">
        <w:t>])</w:t>
      </w:r>
    </w:p>
    <w:p w:rsidR="00041BEC" w:rsidRPr="00041BEC" w:rsidRDefault="00041BEC" w:rsidP="00E6784C">
      <w:pPr>
        <w:pStyle w:val="ListBullet"/>
      </w:pPr>
      <w:r w:rsidRPr="00041BEC">
        <w:t xml:space="preserve">Mean change in </w:t>
      </w:r>
      <w:r w:rsidR="00F52B4A" w:rsidRPr="00F52B4A">
        <w:t xml:space="preserve">Health Assessment Questionnaire modified for </w:t>
      </w:r>
      <w:proofErr w:type="spellStart"/>
      <w:r w:rsidR="00F52B4A" w:rsidRPr="00F52B4A">
        <w:t>spondyloarthropathies</w:t>
      </w:r>
      <w:proofErr w:type="spellEnd"/>
      <w:r w:rsidR="00F52B4A" w:rsidRPr="00F52B4A">
        <w:t xml:space="preserve"> </w:t>
      </w:r>
      <w:r w:rsidR="00F52B4A">
        <w:t>(</w:t>
      </w:r>
      <w:r w:rsidRPr="00041BEC">
        <w:t>HAQ-S</w:t>
      </w:r>
      <w:r w:rsidR="00F52B4A">
        <w:t>)</w:t>
      </w:r>
    </w:p>
    <w:p w:rsidR="00041BEC" w:rsidRPr="00041BEC" w:rsidRDefault="00041BEC" w:rsidP="00E6784C">
      <w:pPr>
        <w:pStyle w:val="ListBullet"/>
      </w:pPr>
      <w:r w:rsidRPr="00041BEC">
        <w:t xml:space="preserve">Mean change in </w:t>
      </w:r>
      <w:r w:rsidR="00F52B4A" w:rsidRPr="00F52B4A">
        <w:t xml:space="preserve">High sensitivity C-reactive protein </w:t>
      </w:r>
      <w:r w:rsidR="00F52B4A">
        <w:t>(</w:t>
      </w:r>
      <w:r w:rsidRPr="00041BEC">
        <w:t>hs-CRP</w:t>
      </w:r>
      <w:r w:rsidR="00F52B4A">
        <w:t>)</w:t>
      </w:r>
    </w:p>
    <w:p w:rsidR="00041BEC" w:rsidRPr="00041BEC" w:rsidRDefault="00041BEC" w:rsidP="00E6784C">
      <w:pPr>
        <w:pStyle w:val="ListBullet"/>
      </w:pPr>
      <w:r w:rsidRPr="00041BEC">
        <w:t xml:space="preserve">Mean change in </w:t>
      </w:r>
      <w:proofErr w:type="spellStart"/>
      <w:r w:rsidR="00E60281">
        <w:t>s</w:t>
      </w:r>
      <w:r w:rsidR="00F52B4A" w:rsidRPr="00F52B4A">
        <w:t>pondyloarthritis</w:t>
      </w:r>
      <w:proofErr w:type="spellEnd"/>
      <w:r w:rsidR="00F52B4A" w:rsidRPr="00F52B4A">
        <w:t xml:space="preserve"> Research </w:t>
      </w:r>
      <w:r w:rsidR="00F52B4A" w:rsidRPr="00E6784C">
        <w:t>Consortium</w:t>
      </w:r>
      <w:r w:rsidR="00F52B4A" w:rsidRPr="00F52B4A">
        <w:t xml:space="preserve"> of Canada </w:t>
      </w:r>
      <w:r w:rsidR="00F52B4A">
        <w:t>(S</w:t>
      </w:r>
      <w:r w:rsidRPr="00041BEC">
        <w:t>PARCC</w:t>
      </w:r>
      <w:r w:rsidR="00F52B4A">
        <w:t>)</w:t>
      </w:r>
      <w:r w:rsidRPr="00041BEC">
        <w:t xml:space="preserve"> </w:t>
      </w:r>
      <w:r w:rsidR="00F52B4A" w:rsidRPr="00F52B4A">
        <w:t xml:space="preserve">Magnetic resonance imaging </w:t>
      </w:r>
      <w:r w:rsidR="00F52B4A">
        <w:t>(</w:t>
      </w:r>
      <w:r w:rsidRPr="00041BEC">
        <w:t>MRI</w:t>
      </w:r>
      <w:r w:rsidR="00F52B4A">
        <w:t>)</w:t>
      </w:r>
      <w:r w:rsidRPr="00041BEC">
        <w:t xml:space="preserve"> score for sacroiliac joints</w:t>
      </w:r>
    </w:p>
    <w:p w:rsidR="00041BEC" w:rsidRPr="00041BEC" w:rsidRDefault="00041BEC" w:rsidP="00E6784C">
      <w:pPr>
        <w:pStyle w:val="ListBullet"/>
      </w:pPr>
      <w:r w:rsidRPr="00041BEC">
        <w:t>Mean change in SPARCC MRI score for the spine</w:t>
      </w:r>
    </w:p>
    <w:p w:rsidR="00041BEC" w:rsidRPr="00041BEC" w:rsidRDefault="00041BEC" w:rsidP="00E6784C">
      <w:r w:rsidRPr="00041BEC">
        <w:t>Non-ranked secondary efficacy outcome measures were:</w:t>
      </w:r>
    </w:p>
    <w:p w:rsidR="00041BEC" w:rsidRPr="00041BEC" w:rsidRDefault="00041BEC" w:rsidP="00E6784C">
      <w:pPr>
        <w:pStyle w:val="ListBullet"/>
      </w:pPr>
      <w:r w:rsidRPr="00041BEC">
        <w:t xml:space="preserve">ASAS50 response (improvement of </w:t>
      </w:r>
      <w:r w:rsidR="00F52B4A">
        <w:t>≥</w:t>
      </w:r>
      <w:r w:rsidRPr="00041BEC">
        <w:t xml:space="preserve">50% and absolute improvement of </w:t>
      </w:r>
      <w:r w:rsidR="00F52B4A">
        <w:t>≥</w:t>
      </w:r>
      <w:r w:rsidRPr="00041BEC">
        <w:t>20 units from Baseline in thr</w:t>
      </w:r>
      <w:r w:rsidR="00E6784C">
        <w:t>ee or more of the four domains)</w:t>
      </w:r>
    </w:p>
    <w:p w:rsidR="00041BEC" w:rsidRPr="00041BEC" w:rsidRDefault="00041BEC" w:rsidP="00E6784C">
      <w:pPr>
        <w:pStyle w:val="ListBullet"/>
      </w:pPr>
      <w:r w:rsidRPr="00041BEC">
        <w:t xml:space="preserve">ASAS70 response (improvement of </w:t>
      </w:r>
      <w:r w:rsidR="00F52B4A">
        <w:t>≥</w:t>
      </w:r>
      <w:r w:rsidRPr="00041BEC">
        <w:t xml:space="preserve">70% and absolute improvement of </w:t>
      </w:r>
      <w:r w:rsidR="00F52B4A">
        <w:t>≥</w:t>
      </w:r>
      <w:r w:rsidRPr="00041BEC">
        <w:t>30 units from Baseline in three or more of the four domains)</w:t>
      </w:r>
    </w:p>
    <w:p w:rsidR="00041BEC" w:rsidRPr="00041BEC" w:rsidRDefault="00041BEC" w:rsidP="00E6784C">
      <w:pPr>
        <w:pStyle w:val="ListBullet"/>
      </w:pPr>
      <w:r w:rsidRPr="00041BEC">
        <w:t>ASDAS (a composite score of BASDAI questions 2, 3, and 6; PTGA-Disease Activity; and pooled CRP)</w:t>
      </w:r>
    </w:p>
    <w:p w:rsidR="00041BEC" w:rsidRPr="00041BEC" w:rsidRDefault="00F52B4A" w:rsidP="00E6784C">
      <w:pPr>
        <w:pStyle w:val="ListBullet"/>
      </w:pPr>
      <w:r w:rsidRPr="00F52B4A">
        <w:t xml:space="preserve">Swollen joint count </w:t>
      </w:r>
      <w:r>
        <w:t xml:space="preserve"> (</w:t>
      </w:r>
      <w:r w:rsidR="00041BEC" w:rsidRPr="00041BEC">
        <w:t>SJC</w:t>
      </w:r>
      <w:r>
        <w:t>)</w:t>
      </w:r>
      <w:r w:rsidR="00041BEC" w:rsidRPr="00041BEC">
        <w:t xml:space="preserve"> (66 joints)</w:t>
      </w:r>
    </w:p>
    <w:p w:rsidR="00041BEC" w:rsidRPr="00041BEC" w:rsidRDefault="00F52B4A" w:rsidP="00FF5045">
      <w:pPr>
        <w:numPr>
          <w:ilvl w:val="0"/>
          <w:numId w:val="6"/>
        </w:numPr>
      </w:pPr>
      <w:r w:rsidRPr="00F52B4A">
        <w:t xml:space="preserve">Tender joint count </w:t>
      </w:r>
      <w:r>
        <w:t xml:space="preserve"> (</w:t>
      </w:r>
      <w:r w:rsidR="00041BEC" w:rsidRPr="00041BEC">
        <w:t>TJC</w:t>
      </w:r>
      <w:r>
        <w:t>)</w:t>
      </w:r>
      <w:r w:rsidR="00041BEC" w:rsidRPr="00041BEC">
        <w:t xml:space="preserve"> (68 joints)</w:t>
      </w:r>
    </w:p>
    <w:p w:rsidR="00041BEC" w:rsidRPr="00041BEC" w:rsidRDefault="00F52B4A" w:rsidP="00E6784C">
      <w:pPr>
        <w:pStyle w:val="ListBullet"/>
      </w:pPr>
      <w:r w:rsidRPr="00F52B4A">
        <w:t xml:space="preserve">Bath Ankylosing Spondylitis disease activity index </w:t>
      </w:r>
      <w:r>
        <w:t xml:space="preserve"> (</w:t>
      </w:r>
      <w:r w:rsidR="00041BEC" w:rsidRPr="00041BEC">
        <w:t>BASDAI</w:t>
      </w:r>
      <w:r>
        <w:t>)</w:t>
      </w:r>
    </w:p>
    <w:p w:rsidR="00041BEC" w:rsidRPr="00041BEC" w:rsidRDefault="00041BEC" w:rsidP="00E6784C">
      <w:pPr>
        <w:pStyle w:val="ListBullet"/>
      </w:pPr>
      <w:r w:rsidRPr="00041BEC">
        <w:t>Inflammation (mean of BASDAI questions 5 and 6)</w:t>
      </w:r>
    </w:p>
    <w:p w:rsidR="00041BEC" w:rsidRPr="00041BEC" w:rsidRDefault="00F52B4A" w:rsidP="00E6784C">
      <w:pPr>
        <w:pStyle w:val="ListBullet"/>
      </w:pPr>
      <w:r w:rsidRPr="00F52B4A">
        <w:t xml:space="preserve">Bath Ankylosing Spondylitis Metrology Index </w:t>
      </w:r>
      <w:r>
        <w:t xml:space="preserve"> (</w:t>
      </w:r>
      <w:r w:rsidR="00041BEC" w:rsidRPr="00041BEC">
        <w:t>BASMI</w:t>
      </w:r>
      <w:r>
        <w:t>)</w:t>
      </w:r>
    </w:p>
    <w:p w:rsidR="00041BEC" w:rsidRPr="00041BEC" w:rsidRDefault="00041BEC" w:rsidP="00E6784C">
      <w:pPr>
        <w:pStyle w:val="ListBullet"/>
      </w:pPr>
      <w:r w:rsidRPr="00041BEC">
        <w:lastRenderedPageBreak/>
        <w:t>Chest expansion</w:t>
      </w:r>
    </w:p>
    <w:p w:rsidR="00041BEC" w:rsidRPr="00041BEC" w:rsidRDefault="00F52B4A" w:rsidP="00E6784C">
      <w:pPr>
        <w:pStyle w:val="ListBullet"/>
      </w:pPr>
      <w:r w:rsidRPr="00F52B4A">
        <w:t xml:space="preserve">Maastricht </w:t>
      </w:r>
      <w:proofErr w:type="spellStart"/>
      <w:r w:rsidRPr="00F52B4A">
        <w:t>Ankylosing</w:t>
      </w:r>
      <w:proofErr w:type="spellEnd"/>
      <w:r w:rsidRPr="00F52B4A">
        <w:t xml:space="preserve"> Spondylitis </w:t>
      </w:r>
      <w:proofErr w:type="spellStart"/>
      <w:r w:rsidRPr="00F52B4A">
        <w:t>Enthesitis</w:t>
      </w:r>
      <w:proofErr w:type="spellEnd"/>
      <w:r w:rsidRPr="00F52B4A">
        <w:t xml:space="preserve"> Score </w:t>
      </w:r>
      <w:r>
        <w:t xml:space="preserve"> (</w:t>
      </w:r>
      <w:r w:rsidR="00041BEC" w:rsidRPr="00041BEC">
        <w:t>MASES</w:t>
      </w:r>
      <w:r>
        <w:t>)</w:t>
      </w:r>
    </w:p>
    <w:p w:rsidR="00041BEC" w:rsidRPr="00041BEC" w:rsidRDefault="00041BEC" w:rsidP="00E6784C">
      <w:pPr>
        <w:pStyle w:val="ListBullet"/>
      </w:pPr>
      <w:r w:rsidRPr="00041BEC">
        <w:t xml:space="preserve">Plantar fascia </w:t>
      </w:r>
      <w:proofErr w:type="spellStart"/>
      <w:r w:rsidRPr="00041BEC">
        <w:t>enthesitis</w:t>
      </w:r>
      <w:proofErr w:type="spellEnd"/>
    </w:p>
    <w:p w:rsidR="00041BEC" w:rsidRPr="00041BEC" w:rsidRDefault="00041BEC" w:rsidP="00E6784C">
      <w:pPr>
        <w:pStyle w:val="ListBullet"/>
      </w:pPr>
      <w:proofErr w:type="spellStart"/>
      <w:r w:rsidRPr="00041BEC">
        <w:t>Dactylitis</w:t>
      </w:r>
      <w:proofErr w:type="spellEnd"/>
    </w:p>
    <w:p w:rsidR="00041BEC" w:rsidRPr="00041BEC" w:rsidRDefault="00041BEC" w:rsidP="00E6784C">
      <w:pPr>
        <w:pStyle w:val="ListBullet"/>
      </w:pPr>
      <w:r w:rsidRPr="00041BEC">
        <w:t>PGA (VAS)</w:t>
      </w:r>
    </w:p>
    <w:p w:rsidR="00041BEC" w:rsidRPr="00041BEC" w:rsidRDefault="00041BEC" w:rsidP="00E6784C">
      <w:pPr>
        <w:pStyle w:val="ListBullet"/>
      </w:pPr>
      <w:r w:rsidRPr="00041BEC">
        <w:t>Nocturnal pain VAS</w:t>
      </w:r>
    </w:p>
    <w:p w:rsidR="00041BEC" w:rsidRPr="00041BEC" w:rsidRDefault="00041BEC" w:rsidP="00E6784C">
      <w:pPr>
        <w:pStyle w:val="ListBullet"/>
      </w:pPr>
      <w:r w:rsidRPr="00041BEC">
        <w:t>Total back pain VAS</w:t>
      </w:r>
    </w:p>
    <w:p w:rsidR="00041BEC" w:rsidRPr="00041BEC" w:rsidRDefault="00041BEC" w:rsidP="00E6784C">
      <w:pPr>
        <w:pStyle w:val="ListBullet"/>
      </w:pPr>
      <w:r w:rsidRPr="00041BEC">
        <w:t>PTGA-disease activity (VAS)</w:t>
      </w:r>
    </w:p>
    <w:p w:rsidR="00041BEC" w:rsidRPr="00041BEC" w:rsidRDefault="00041BEC" w:rsidP="00E6784C">
      <w:pPr>
        <w:pStyle w:val="ListBullet"/>
      </w:pPr>
      <w:r w:rsidRPr="00041BEC">
        <w:t>PTGA-pain (VAS)</w:t>
      </w:r>
    </w:p>
    <w:p w:rsidR="00041BEC" w:rsidRPr="00041BEC" w:rsidRDefault="00041BEC" w:rsidP="00E6784C">
      <w:pPr>
        <w:pStyle w:val="ListBullet"/>
      </w:pPr>
      <w:r w:rsidRPr="00041BEC">
        <w:t>BASFI</w:t>
      </w:r>
    </w:p>
    <w:p w:rsidR="00041BEC" w:rsidRPr="00041BEC" w:rsidRDefault="00041BEC" w:rsidP="00E6784C">
      <w:r w:rsidRPr="00041BEC">
        <w:t>Health-Related Quality of Life outcome measures were:</w:t>
      </w:r>
    </w:p>
    <w:p w:rsidR="00041BEC" w:rsidRPr="00041BEC" w:rsidRDefault="00041BEC" w:rsidP="00E6784C">
      <w:pPr>
        <w:pStyle w:val="ListBullet"/>
      </w:pPr>
      <w:r w:rsidRPr="00041BEC">
        <w:t>HAQ-S</w:t>
      </w:r>
    </w:p>
    <w:p w:rsidR="00041BEC" w:rsidRPr="00041BEC" w:rsidRDefault="00041BEC" w:rsidP="00E6784C">
      <w:pPr>
        <w:pStyle w:val="ListBullet"/>
      </w:pPr>
      <w:r w:rsidRPr="00041BEC">
        <w:t>SF-36™v2</w:t>
      </w:r>
    </w:p>
    <w:p w:rsidR="00041BEC" w:rsidRPr="00041BEC" w:rsidRDefault="00F52B4A" w:rsidP="00E6784C">
      <w:pPr>
        <w:pStyle w:val="ListBullet"/>
      </w:pPr>
      <w:r w:rsidRPr="00F52B4A">
        <w:t xml:space="preserve">Work Productivity and Activity Impairment – Specific Health Problem Questionnaire </w:t>
      </w:r>
      <w:r>
        <w:t xml:space="preserve"> (</w:t>
      </w:r>
      <w:r w:rsidR="00041BEC" w:rsidRPr="00041BEC">
        <w:t>WPAI-SHP</w:t>
      </w:r>
      <w:r>
        <w:t>)</w:t>
      </w:r>
    </w:p>
    <w:p w:rsidR="00041BEC" w:rsidRPr="00041BEC" w:rsidRDefault="00F52B4A" w:rsidP="00E6784C">
      <w:pPr>
        <w:pStyle w:val="ListBullet"/>
      </w:pPr>
      <w:r w:rsidRPr="00F52B4A">
        <w:t>European Quality of Life – 5 Dimensions questionnair</w:t>
      </w:r>
      <w:r>
        <w:t>e</w:t>
      </w:r>
      <w:r w:rsidRPr="00F52B4A">
        <w:t xml:space="preserve"> </w:t>
      </w:r>
      <w:r>
        <w:t xml:space="preserve"> (</w:t>
      </w:r>
      <w:r w:rsidR="00041BEC" w:rsidRPr="00041BEC">
        <w:t>EQ-5D</w:t>
      </w:r>
      <w:r>
        <w:t>)</w:t>
      </w:r>
    </w:p>
    <w:p w:rsidR="00041BEC" w:rsidRPr="00041BEC" w:rsidRDefault="00F52B4A" w:rsidP="00E6784C">
      <w:pPr>
        <w:pStyle w:val="ListBullet"/>
      </w:pPr>
      <w:r w:rsidRPr="00F52B4A">
        <w:t xml:space="preserve">Patient acceptable symptom state </w:t>
      </w:r>
      <w:r>
        <w:t>(</w:t>
      </w:r>
      <w:r w:rsidR="00041BEC" w:rsidRPr="00041BEC">
        <w:t>PASS</w:t>
      </w:r>
      <w:r>
        <w:t>)</w:t>
      </w:r>
    </w:p>
    <w:p w:rsidR="00041BEC" w:rsidRPr="00041BEC" w:rsidRDefault="00F52B4A" w:rsidP="00E6784C">
      <w:pPr>
        <w:pStyle w:val="ListBullet"/>
      </w:pPr>
      <w:r w:rsidRPr="00F52B4A">
        <w:t xml:space="preserve">Medical outcomes study </w:t>
      </w:r>
      <w:r>
        <w:t>(</w:t>
      </w:r>
      <w:r w:rsidR="00041BEC" w:rsidRPr="00041BEC">
        <w:t>MOS</w:t>
      </w:r>
      <w:r>
        <w:t>)</w:t>
      </w:r>
      <w:r w:rsidR="00041BEC" w:rsidRPr="00041BEC">
        <w:t xml:space="preserve"> Sleep Scale</w:t>
      </w:r>
    </w:p>
    <w:p w:rsidR="00041BEC" w:rsidRPr="00041BEC" w:rsidRDefault="00041BEC" w:rsidP="00E6784C">
      <w:pPr>
        <w:pStyle w:val="ListBullet"/>
      </w:pPr>
      <w:r w:rsidRPr="00041BEC">
        <w:t>Health Care Resource Utilization (HCRU) survey</w:t>
      </w:r>
    </w:p>
    <w:p w:rsidR="00041BEC" w:rsidRPr="00041BEC" w:rsidRDefault="00041BEC" w:rsidP="00E6784C">
      <w:r w:rsidRPr="00041BEC">
        <w:t xml:space="preserve">Biochemical markers used as outcome measures were: serum </w:t>
      </w:r>
      <w:r w:rsidR="00F52B4A" w:rsidRPr="00F52B4A">
        <w:t>Matrix metalloproteinase 3</w:t>
      </w:r>
      <w:r w:rsidR="00F52B4A">
        <w:t xml:space="preserve"> (</w:t>
      </w:r>
      <w:r w:rsidRPr="00041BEC">
        <w:t>MMP-3</w:t>
      </w:r>
      <w:r w:rsidR="00F52B4A">
        <w:t>)</w:t>
      </w:r>
      <w:r w:rsidRPr="00041BEC">
        <w:t xml:space="preserve">, urine </w:t>
      </w:r>
      <w:r w:rsidR="00F52B4A" w:rsidRPr="00F52B4A">
        <w:t>Type II collagen C-telopeptide</w:t>
      </w:r>
      <w:r w:rsidR="00F52B4A">
        <w:t xml:space="preserve"> (</w:t>
      </w:r>
      <w:r w:rsidRPr="00041BEC">
        <w:t>CTX-II</w:t>
      </w:r>
      <w:r w:rsidR="00F52B4A">
        <w:t>)</w:t>
      </w:r>
      <w:r w:rsidRPr="00041BEC">
        <w:t xml:space="preserve"> and </w:t>
      </w:r>
      <w:r w:rsidR="00F52B4A" w:rsidRPr="00F52B4A">
        <w:t xml:space="preserve">Vascular endothelial growth factor </w:t>
      </w:r>
      <w:proofErr w:type="gramStart"/>
      <w:r w:rsidR="00F52B4A" w:rsidRPr="00F52B4A">
        <w:t xml:space="preserve">A </w:t>
      </w:r>
      <w:r w:rsidR="00F52B4A">
        <w:t xml:space="preserve"> (</w:t>
      </w:r>
      <w:proofErr w:type="gramEnd"/>
      <w:r w:rsidRPr="00041BEC">
        <w:t>VEGF</w:t>
      </w:r>
      <w:r w:rsidRPr="00041BEC">
        <w:rPr>
          <w:vertAlign w:val="subscript"/>
        </w:rPr>
        <w:t>A</w:t>
      </w:r>
      <w:r w:rsidR="00F52B4A">
        <w:t>).</w:t>
      </w:r>
      <w:r w:rsidR="00E20A7E">
        <w:t xml:space="preserve"> </w:t>
      </w:r>
      <w:r w:rsidRPr="00041BEC">
        <w:t>The safety outcome measures were: AEs, vital signs and clinical laboratory tests.</w:t>
      </w:r>
    </w:p>
    <w:p w:rsidR="00041BEC" w:rsidRPr="00041BEC" w:rsidRDefault="00041BEC" w:rsidP="00E6784C">
      <w:pPr>
        <w:pStyle w:val="Heading6"/>
      </w:pPr>
      <w:r w:rsidRPr="00041BEC">
        <w:t>Randomisation and blinding methods</w:t>
      </w:r>
    </w:p>
    <w:p w:rsidR="00041BEC" w:rsidRPr="00041BEC" w:rsidRDefault="00041BEC" w:rsidP="00E6784C">
      <w:r w:rsidRPr="00041BEC">
        <w:t>Randomisation was performed centrally in a ratio of 1:1 (active</w:t>
      </w:r>
      <w:proofErr w:type="gramStart"/>
      <w:r w:rsidRPr="00041BEC">
        <w:t>:placebo</w:t>
      </w:r>
      <w:proofErr w:type="gramEnd"/>
      <w:r w:rsidRPr="00041BEC">
        <w:t xml:space="preserve">) using an </w:t>
      </w:r>
      <w:r w:rsidR="00920993" w:rsidRPr="00920993">
        <w:t xml:space="preserve">Interactive voice response system </w:t>
      </w:r>
      <w:r w:rsidR="00920993">
        <w:t xml:space="preserve"> (</w:t>
      </w:r>
      <w:r w:rsidRPr="00041BEC">
        <w:t>IVRS</w:t>
      </w:r>
      <w:r w:rsidR="00920993">
        <w:t>)</w:t>
      </w:r>
      <w:r w:rsidRPr="00041BEC">
        <w:t>/</w:t>
      </w:r>
      <w:r w:rsidR="00920993" w:rsidRPr="00920993">
        <w:rPr>
          <w:rFonts w:ascii="Times New Roman" w:eastAsia="Times New Roman" w:hAnsi="Times New Roman"/>
          <w:kern w:val="16"/>
          <w:sz w:val="24"/>
          <w:szCs w:val="24"/>
          <w:lang w:eastAsia="en-AU"/>
        </w:rPr>
        <w:t xml:space="preserve"> </w:t>
      </w:r>
      <w:r w:rsidR="00920993" w:rsidRPr="00920993">
        <w:t xml:space="preserve">Interactive web response system </w:t>
      </w:r>
      <w:r w:rsidR="00920993">
        <w:t>(</w:t>
      </w:r>
      <w:r w:rsidRPr="00041BEC">
        <w:t>IWRS</w:t>
      </w:r>
      <w:r w:rsidR="00920993">
        <w:t>)</w:t>
      </w:r>
      <w:r w:rsidRPr="00041BEC">
        <w:t>.</w:t>
      </w:r>
      <w:r w:rsidR="00E20A7E">
        <w:t xml:space="preserve"> </w:t>
      </w:r>
      <w:r w:rsidRPr="00041BEC">
        <w:t>Active and placebo drug were identical in appearance and label</w:t>
      </w:r>
      <w:r w:rsidR="00920993">
        <w:t>l</w:t>
      </w:r>
      <w:r w:rsidRPr="00041BEC">
        <w:t>ing.</w:t>
      </w:r>
      <w:r w:rsidR="00E20A7E">
        <w:t xml:space="preserve"> </w:t>
      </w:r>
      <w:r w:rsidRPr="00041BEC">
        <w:t>Except for the active ingredient (adalimumab) the ingredients of active and placebo treatments were identical.</w:t>
      </w:r>
    </w:p>
    <w:p w:rsidR="00041BEC" w:rsidRPr="00041BEC" w:rsidRDefault="00041BEC" w:rsidP="00E6784C">
      <w:pPr>
        <w:pStyle w:val="Heading6"/>
      </w:pPr>
      <w:r w:rsidRPr="00041BEC">
        <w:t>Analysis populations</w:t>
      </w:r>
    </w:p>
    <w:p w:rsidR="00041BEC" w:rsidRPr="00041BEC" w:rsidRDefault="00041BEC" w:rsidP="00E6784C">
      <w:r w:rsidRPr="00041BEC">
        <w:t xml:space="preserve">The efficacy analysis was intended to be performed on the </w:t>
      </w:r>
      <w:r w:rsidR="00920993">
        <w:t>Intent-to-Treat (</w:t>
      </w:r>
      <w:r w:rsidRPr="00041BEC">
        <w:t>ITT</w:t>
      </w:r>
      <w:r w:rsidR="00920993">
        <w:t>)</w:t>
      </w:r>
      <w:r w:rsidRPr="00041BEC">
        <w:t xml:space="preserve"> population which include</w:t>
      </w:r>
      <w:r w:rsidR="00920993">
        <w:t>d all subjects who were randomis</w:t>
      </w:r>
      <w:r w:rsidRPr="00041BEC">
        <w:t>ed and received at least one dose of double blind study medication.</w:t>
      </w:r>
      <w:r w:rsidR="00E20A7E">
        <w:t xml:space="preserve"> </w:t>
      </w:r>
      <w:r w:rsidRPr="00041BEC">
        <w:t xml:space="preserve">Seven subjects were excluded from analysis because the </w:t>
      </w:r>
      <w:r w:rsidR="00920993">
        <w:t>study i</w:t>
      </w:r>
      <w:r w:rsidRPr="00041BEC">
        <w:t>nvestigator at one site did not follow the protocol.</w:t>
      </w:r>
      <w:r w:rsidR="00E20A7E">
        <w:t xml:space="preserve"> </w:t>
      </w:r>
      <w:r w:rsidRPr="00041BEC">
        <w:t xml:space="preserve">The remaining subjects were included in the </w:t>
      </w:r>
      <w:r w:rsidR="00920993" w:rsidRPr="00920993">
        <w:t>Full analysis set</w:t>
      </w:r>
      <w:r w:rsidR="00920993">
        <w:t xml:space="preserve"> (</w:t>
      </w:r>
      <w:r w:rsidRPr="00041BEC">
        <w:t>FAS</w:t>
      </w:r>
      <w:r w:rsidR="00920993">
        <w:t>)</w:t>
      </w:r>
      <w:r w:rsidRPr="00041BEC">
        <w:t xml:space="preserve"> which was subsequently used for the efficacy analysis.</w:t>
      </w:r>
      <w:r w:rsidR="00E20A7E">
        <w:t xml:space="preserve"> </w:t>
      </w:r>
      <w:r w:rsidRPr="00041BEC">
        <w:t>A confirmatory analysis was performed on the per-protocol population which included all ITT subjects that completed the double blind period and did not meet any major protocol violation during the double blind period.</w:t>
      </w:r>
      <w:r w:rsidR="00E20A7E">
        <w:t xml:space="preserve"> </w:t>
      </w:r>
      <w:r w:rsidRPr="00041BEC">
        <w:t>The safety population included all subjects who received at least one dose of double blind study drug.</w:t>
      </w:r>
    </w:p>
    <w:p w:rsidR="00041BEC" w:rsidRPr="00041BEC" w:rsidDel="0081373E" w:rsidRDefault="00041BEC" w:rsidP="00E6784C">
      <w:pPr>
        <w:pStyle w:val="Heading6"/>
      </w:pPr>
      <w:r w:rsidRPr="00041BEC" w:rsidDel="0081373E">
        <w:t xml:space="preserve">Sample </w:t>
      </w:r>
      <w:r w:rsidRPr="00E6784C" w:rsidDel="0081373E">
        <w:t>size</w:t>
      </w:r>
    </w:p>
    <w:p w:rsidR="00041BEC" w:rsidRPr="00041BEC" w:rsidDel="0081373E" w:rsidRDefault="00041BEC" w:rsidP="00E6784C">
      <w:r w:rsidRPr="00041BEC">
        <w:t>The sample size calculation used prior data from the ATLAS study, in which the ASAS40 responses at Week 12 were 13.1% for placebo and 39.9% for adalimumab.</w:t>
      </w:r>
      <w:r w:rsidR="00E20A7E">
        <w:t xml:space="preserve"> </w:t>
      </w:r>
      <w:r w:rsidRPr="00041BEC">
        <w:t xml:space="preserve">Hence, assuming an expected ASAS40 response rate of 15% in the placebo group and 35% in the adalimumab group, </w:t>
      </w:r>
      <w:r w:rsidRPr="00041BEC">
        <w:lastRenderedPageBreak/>
        <w:t>a total sample size of 194 subjects (97 in each group) would provide approximately 90% power with a 1:1 randomization ratio, based on a two-sided chi-square test with a significance level of 0.05.</w:t>
      </w:r>
    </w:p>
    <w:p w:rsidR="00041BEC" w:rsidRPr="00041BEC" w:rsidRDefault="00041BEC" w:rsidP="00E6784C">
      <w:pPr>
        <w:pStyle w:val="Heading6"/>
      </w:pPr>
      <w:r w:rsidRPr="00041BEC">
        <w:t xml:space="preserve">Statistical </w:t>
      </w:r>
      <w:r w:rsidRPr="00E6784C">
        <w:t>methods</w:t>
      </w:r>
    </w:p>
    <w:p w:rsidR="00041BEC" w:rsidRPr="00041BEC" w:rsidRDefault="00041BEC" w:rsidP="00E6784C">
      <w:r w:rsidRPr="00041BEC">
        <w:t>Hypothesis tests were performed using a two-sided Pearson's chi-square test with α of 0.05.</w:t>
      </w:r>
      <w:r w:rsidR="00E20A7E">
        <w:t xml:space="preserve"> </w:t>
      </w:r>
      <w:r w:rsidRPr="00041BEC">
        <w:t>Missing data were imputed using non-responder imputation (NRI) for categorical outcome variables (</w:t>
      </w:r>
      <w:r w:rsidR="00920993">
        <w:t>that is,</w:t>
      </w:r>
      <w:r w:rsidRPr="00041BEC">
        <w:t xml:space="preserve"> subjects with missing ASAS40 responses were to be imputed as non-responders); and </w:t>
      </w:r>
      <w:r w:rsidR="00920993" w:rsidRPr="00920993">
        <w:t>Last observation carried forward</w:t>
      </w:r>
      <w:r w:rsidR="00920993">
        <w:t xml:space="preserve"> (</w:t>
      </w:r>
      <w:r w:rsidRPr="00041BEC">
        <w:t>LOCF</w:t>
      </w:r>
      <w:r w:rsidR="00920993">
        <w:t>)</w:t>
      </w:r>
      <w:r w:rsidRPr="00041BEC">
        <w:t xml:space="preserve"> for continuous outcome variables.</w:t>
      </w:r>
      <w:r w:rsidR="00E20A7E">
        <w:t xml:space="preserve"> </w:t>
      </w:r>
      <w:r w:rsidRPr="00041BEC">
        <w:t xml:space="preserve">For continuous variables hypothesis tests were performed using 95% </w:t>
      </w:r>
      <w:r w:rsidR="00920993">
        <w:t>confidence interval (</w:t>
      </w:r>
      <w:r w:rsidRPr="00041BEC">
        <w:t>CI</w:t>
      </w:r>
      <w:r w:rsidR="00920993">
        <w:t>)</w:t>
      </w:r>
      <w:r w:rsidRPr="00041BEC">
        <w:t>.</w:t>
      </w:r>
      <w:r w:rsidR="00E20A7E">
        <w:t xml:space="preserve"> </w:t>
      </w:r>
      <w:r w:rsidRPr="00041BEC">
        <w:t>There was no adjustment for multiplicity for the primary efficacy outcome measure.</w:t>
      </w:r>
    </w:p>
    <w:p w:rsidR="00041BEC" w:rsidRPr="00041BEC" w:rsidRDefault="00041BEC" w:rsidP="00E6784C">
      <w:pPr>
        <w:pStyle w:val="Heading6"/>
      </w:pPr>
      <w:r w:rsidRPr="00041BEC">
        <w:t>Participant flow</w:t>
      </w:r>
    </w:p>
    <w:p w:rsidR="00041BEC" w:rsidRPr="00041BEC" w:rsidRDefault="00041BEC" w:rsidP="00E6784C">
      <w:r w:rsidRPr="00041BEC">
        <w:t>A total of 192 subjects were randomised but all seven subjects from one centre were ex</w:t>
      </w:r>
      <w:r w:rsidR="00920993">
        <w:t>cluded from the FAS because of study i</w:t>
      </w:r>
      <w:r w:rsidRPr="00041BEC">
        <w:t>nvestigator non-compliance with the protocol.</w:t>
      </w:r>
      <w:r w:rsidR="00E20A7E">
        <w:t xml:space="preserve"> </w:t>
      </w:r>
      <w:r w:rsidRPr="00041BEC">
        <w:t>Hence 185 subjects were randomised and included in the FAS: 91 in the adalimumab group and 94 in the placebo.</w:t>
      </w:r>
      <w:r w:rsidR="00E20A7E">
        <w:t xml:space="preserve"> </w:t>
      </w:r>
      <w:r w:rsidRPr="00041BEC">
        <w:t>All of these subjects were included in the FAS.</w:t>
      </w:r>
      <w:r w:rsidR="00E20A7E">
        <w:t xml:space="preserve"> </w:t>
      </w:r>
      <w:r w:rsidRPr="00041BEC">
        <w:t>There were 87 subjects in the adalimumab group and 92 in the placebo that completed to Week 12.</w:t>
      </w:r>
      <w:r w:rsidR="00E20A7E">
        <w:t xml:space="preserve"> </w:t>
      </w:r>
      <w:r w:rsidRPr="00041BEC">
        <w:t>There were 68 subjects in the adalimumab group and 74 in the placebo that completed to Week 68.</w:t>
      </w:r>
      <w:r w:rsidR="00E20A7E">
        <w:t xml:space="preserve"> </w:t>
      </w:r>
      <w:r w:rsidRPr="00041BEC">
        <w:t>The safety analysis included all 192 subjects that received study treatment.</w:t>
      </w:r>
    </w:p>
    <w:p w:rsidR="00041BEC" w:rsidRPr="00041BEC" w:rsidRDefault="00041BEC" w:rsidP="00E6784C">
      <w:pPr>
        <w:pStyle w:val="Heading6"/>
      </w:pPr>
      <w:r w:rsidRPr="00041BEC">
        <w:t>Major protocol violations/deviations</w:t>
      </w:r>
    </w:p>
    <w:p w:rsidR="00041BEC" w:rsidRPr="00041BEC" w:rsidRDefault="00041BEC" w:rsidP="00E6784C">
      <w:r w:rsidRPr="00041BEC">
        <w:t>Ten (11.0%) subjects in the adalimumab group and ten (10.6%) in the placebo had protocol deviations with regard to inclusion/exclusion criteria.</w:t>
      </w:r>
      <w:r w:rsidR="00E20A7E">
        <w:t xml:space="preserve"> </w:t>
      </w:r>
      <w:r w:rsidRPr="00041BEC">
        <w:t>One (1.1%) subjects in the adalimumab group and three (3.2%) in the placebo received excluded concomitant treatment.</w:t>
      </w:r>
    </w:p>
    <w:p w:rsidR="00041BEC" w:rsidRPr="00041BEC" w:rsidRDefault="00041BEC" w:rsidP="00E6784C">
      <w:pPr>
        <w:pStyle w:val="Heading6"/>
      </w:pPr>
      <w:r w:rsidRPr="00041BEC">
        <w:t>Baseline data</w:t>
      </w:r>
    </w:p>
    <w:p w:rsidR="00041BEC" w:rsidRPr="00041BEC" w:rsidRDefault="00041BEC" w:rsidP="00E6784C">
      <w:r w:rsidRPr="00041BEC">
        <w:t>There were 101 (54.6%) females, 84 (45.4%) males and the age range was 19 to 72 years.</w:t>
      </w:r>
      <w:r w:rsidR="00E20A7E">
        <w:t xml:space="preserve"> </w:t>
      </w:r>
      <w:r w:rsidRPr="00041BEC">
        <w:t>However, there were only two subjects over the age of 65 years.</w:t>
      </w:r>
      <w:r w:rsidR="00E20A7E">
        <w:t xml:space="preserve"> </w:t>
      </w:r>
      <w:r w:rsidRPr="00041BEC">
        <w:t>The treatment groups were similar in demographic characteristics.</w:t>
      </w:r>
      <w:r w:rsidR="00E20A7E">
        <w:t xml:space="preserve"> </w:t>
      </w:r>
      <w:r w:rsidRPr="00041BEC">
        <w:t xml:space="preserve">The treatment groups were similar in disease </w:t>
      </w:r>
      <w:proofErr w:type="gramStart"/>
      <w:r w:rsidRPr="00041BEC">
        <w:t>duration  and</w:t>
      </w:r>
      <w:proofErr w:type="gramEnd"/>
      <w:r w:rsidRPr="00041BEC">
        <w:t xml:space="preserve"> axial </w:t>
      </w:r>
      <w:proofErr w:type="spellStart"/>
      <w:r w:rsidRPr="00041BEC">
        <w:t>SpA</w:t>
      </w:r>
      <w:proofErr w:type="spellEnd"/>
      <w:r w:rsidRPr="00041BEC">
        <w:t xml:space="preserve"> related medical history.</w:t>
      </w:r>
      <w:r w:rsidR="00E20A7E">
        <w:t xml:space="preserve"> </w:t>
      </w:r>
      <w:r w:rsidRPr="00041BEC">
        <w:t xml:space="preserve">HLA-B27 was positive in </w:t>
      </w:r>
      <w:r w:rsidRPr="00041BEC">
        <w:rPr>
          <w:lang w:val="en-US"/>
        </w:rPr>
        <w:t>75 (82.4%) subjects in the adalimumab group and 69 (73.4%) in the placebo.</w:t>
      </w:r>
      <w:r w:rsidR="00E20A7E">
        <w:rPr>
          <w:lang w:val="en-US"/>
        </w:rPr>
        <w:t xml:space="preserve"> </w:t>
      </w:r>
      <w:r w:rsidRPr="00041BEC">
        <w:rPr>
          <w:lang w:val="en-US"/>
        </w:rPr>
        <w:t>MRI of the sacroiliac joints was positive in 46 (50.5%) subjects in the adalimumab group and 43 (45.7%) in the placebo.</w:t>
      </w:r>
      <w:r w:rsidR="00E20A7E">
        <w:rPr>
          <w:lang w:val="en-US"/>
        </w:rPr>
        <w:t xml:space="preserve"> </w:t>
      </w:r>
      <w:r w:rsidRPr="00041BEC">
        <w:rPr>
          <w:lang w:val="en-US"/>
        </w:rPr>
        <w:t>Prior treatment was similar for the two groups.</w:t>
      </w:r>
      <w:r w:rsidR="00E20A7E">
        <w:rPr>
          <w:lang w:val="en-US"/>
        </w:rPr>
        <w:t xml:space="preserve"> </w:t>
      </w:r>
      <w:r w:rsidRPr="00041BEC">
        <w:rPr>
          <w:lang w:val="en-US"/>
        </w:rPr>
        <w:t>Concomitant treatment was similar for the two groups.</w:t>
      </w:r>
      <w:r w:rsidR="00E20A7E">
        <w:rPr>
          <w:lang w:val="en-US"/>
        </w:rPr>
        <w:t xml:space="preserve"> </w:t>
      </w:r>
      <w:r w:rsidRPr="00041BEC">
        <w:rPr>
          <w:lang w:val="en-US"/>
        </w:rPr>
        <w:t>Nineteen (20.9%) subjects in the adalimumab group and 17 (18.1%) in the placebo had no concomitant DMARDs during the study (thus representing monotherapy).</w:t>
      </w:r>
    </w:p>
    <w:p w:rsidR="00041BEC" w:rsidRPr="00041BEC" w:rsidRDefault="00041BEC" w:rsidP="00E6784C">
      <w:pPr>
        <w:pStyle w:val="Heading5"/>
      </w:pPr>
      <w:r w:rsidRPr="00041BEC">
        <w:t>Results for the primary efficacy outcome</w:t>
      </w:r>
    </w:p>
    <w:p w:rsidR="00041BEC" w:rsidRDefault="00041BEC" w:rsidP="00E6784C">
      <w:pPr>
        <w:rPr>
          <w:lang w:val="en-US"/>
        </w:rPr>
      </w:pPr>
      <w:r w:rsidRPr="00041BEC">
        <w:t>The primary efficacy outcome demonstrated superiority for adalimumab relative to placebo at Week 12.</w:t>
      </w:r>
      <w:r w:rsidR="00E20A7E">
        <w:t xml:space="preserve"> </w:t>
      </w:r>
      <w:r w:rsidRPr="00041BEC">
        <w:t xml:space="preserve">In the FAS, there were </w:t>
      </w:r>
      <w:r w:rsidRPr="00041BEC">
        <w:rPr>
          <w:lang w:val="en-US"/>
        </w:rPr>
        <w:t xml:space="preserve">33 (36.3%) </w:t>
      </w:r>
      <w:proofErr w:type="gramStart"/>
      <w:r w:rsidRPr="00041BEC">
        <w:rPr>
          <w:lang w:val="en-US"/>
        </w:rPr>
        <w:t>ASAS40 responders in the adalimumab group and 14 (14.9)</w:t>
      </w:r>
      <w:r w:rsidR="005D2C30">
        <w:rPr>
          <w:lang w:val="en-US"/>
        </w:rPr>
        <w:t xml:space="preserve"> </w:t>
      </w:r>
      <w:r w:rsidR="00E60281">
        <w:rPr>
          <w:lang w:val="en-US"/>
        </w:rPr>
        <w:t xml:space="preserve">responders </w:t>
      </w:r>
      <w:r w:rsidRPr="00041BEC">
        <w:rPr>
          <w:lang w:val="en-US"/>
        </w:rPr>
        <w:t>in the placebo</w:t>
      </w:r>
      <w:r w:rsidR="00E60281">
        <w:rPr>
          <w:lang w:val="en-US"/>
        </w:rPr>
        <w:t xml:space="preserve"> group</w:t>
      </w:r>
      <w:r w:rsidRPr="00041BEC">
        <w:rPr>
          <w:lang w:val="en-US"/>
        </w:rPr>
        <w:t>, p &lt; 0.001.</w:t>
      </w:r>
      <w:proofErr w:type="gramEnd"/>
      <w:r w:rsidR="00E20A7E">
        <w:rPr>
          <w:lang w:val="en-US"/>
        </w:rPr>
        <w:t xml:space="preserve"> </w:t>
      </w:r>
      <w:r w:rsidRPr="00041BEC">
        <w:t xml:space="preserve">In the ITT population, there were </w:t>
      </w:r>
      <w:r w:rsidRPr="00041BEC">
        <w:rPr>
          <w:lang w:val="en-US"/>
        </w:rPr>
        <w:t>33 (34.7%) responders in the adalimumab group and 14 (14.4) in the placebo, p &lt; 0.001.</w:t>
      </w:r>
      <w:r w:rsidR="00E20A7E">
        <w:rPr>
          <w:lang w:val="en-US"/>
        </w:rPr>
        <w:t xml:space="preserve"> </w:t>
      </w:r>
      <w:r w:rsidRPr="00041BEC">
        <w:rPr>
          <w:lang w:val="en-US"/>
        </w:rPr>
        <w:t>The subgroup analyses indicated that subjects with abnormal pooled CRP at baseline had greater response than those with normal pooled CRP (Table</w:t>
      </w:r>
      <w:r w:rsidR="004C18D7">
        <w:rPr>
          <w:lang w:val="en-US"/>
        </w:rPr>
        <w:t xml:space="preserve"> 1</w:t>
      </w:r>
      <w:r w:rsidRPr="00041BEC">
        <w:rPr>
          <w:lang w:val="en-US"/>
        </w:rPr>
        <w:t>).</w:t>
      </w:r>
      <w:r w:rsidR="00E20A7E">
        <w:rPr>
          <w:lang w:val="en-US"/>
        </w:rPr>
        <w:t xml:space="preserve"> </w:t>
      </w:r>
      <w:r w:rsidRPr="00041BEC">
        <w:rPr>
          <w:lang w:val="en-US"/>
        </w:rPr>
        <w:t>Subjects with shorter duration of symptoms were more likely to respond to adalimumab.</w:t>
      </w:r>
      <w:r w:rsidR="00E20A7E">
        <w:rPr>
          <w:lang w:val="en-US"/>
        </w:rPr>
        <w:t xml:space="preserve"> </w:t>
      </w:r>
      <w:r w:rsidRPr="00041BEC">
        <w:rPr>
          <w:lang w:val="en-US"/>
        </w:rPr>
        <w:t>There was no effect for gender, age group, concomitant DMARDS or HLA-B27 status.</w:t>
      </w:r>
      <w:r w:rsidR="00E20A7E">
        <w:rPr>
          <w:lang w:val="en-US"/>
        </w:rPr>
        <w:t xml:space="preserve"> </w:t>
      </w:r>
      <w:r w:rsidRPr="00041BEC">
        <w:rPr>
          <w:lang w:val="en-US"/>
        </w:rPr>
        <w:t>For those subjects with no concomitant DMARDs at baseline (monotherapy) there were five (26.3%) responders in the adalimumab group and none in the placebo.</w:t>
      </w:r>
      <w:r w:rsidR="00E20A7E">
        <w:rPr>
          <w:lang w:val="en-US"/>
        </w:rPr>
        <w:t xml:space="preserve"> </w:t>
      </w:r>
      <w:r w:rsidRPr="00041BEC">
        <w:rPr>
          <w:lang w:val="en-US"/>
        </w:rPr>
        <w:t>In the group randomi</w:t>
      </w:r>
      <w:r w:rsidR="004C18D7">
        <w:rPr>
          <w:lang w:val="en-US"/>
        </w:rPr>
        <w:t>s</w:t>
      </w:r>
      <w:r w:rsidRPr="00041BEC">
        <w:rPr>
          <w:lang w:val="en-US"/>
        </w:rPr>
        <w:t>ed to adalimumab, ASAS40 response was maintained to endpoint: 40 (48.8%) subjects at Week 24, 42 (58.3%) at Week 52 and 48 (69.6%) at Week 68.</w:t>
      </w:r>
    </w:p>
    <w:p w:rsidR="004C18D7" w:rsidRPr="00E6784C" w:rsidRDefault="004C18D7" w:rsidP="00E6784C">
      <w:pPr>
        <w:pStyle w:val="TableTitle"/>
      </w:pPr>
      <w:proofErr w:type="gramStart"/>
      <w:r w:rsidRPr="004C18D7">
        <w:lastRenderedPageBreak/>
        <w:t xml:space="preserve">Table </w:t>
      </w:r>
      <w:r>
        <w:t>1.</w:t>
      </w:r>
      <w:proofErr w:type="gramEnd"/>
      <w:r>
        <w:t xml:space="preserve"> </w:t>
      </w:r>
      <w:r w:rsidRPr="004C18D7">
        <w:t>Subgroup Analysis of ASAS40 Response at Week 12 (NRI) (F</w:t>
      </w:r>
      <w:r w:rsidR="00E6784C">
        <w:t>ull Analysis Set)</w:t>
      </w:r>
    </w:p>
    <w:p w:rsidR="004C18D7" w:rsidRPr="004C18D7" w:rsidRDefault="004C18D7" w:rsidP="00E6784C">
      <w:r w:rsidRPr="004C18D7">
        <w:rPr>
          <w:noProof/>
          <w:lang w:eastAsia="en-AU"/>
        </w:rPr>
        <w:drawing>
          <wp:inline distT="0" distB="0" distL="0" distR="0" wp14:anchorId="4000B082" wp14:editId="75804A4F">
            <wp:extent cx="5486400" cy="6448425"/>
            <wp:effectExtent l="19050" t="0" r="0" b="0"/>
            <wp:docPr id="22" name="Picture 22" descr="Table 1. Subgroup Analysis of ASAS40 Response at Week 12 (NRI)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duotone>
                        <a:prstClr val="black"/>
                        <a:schemeClr val="bg1">
                          <a:tint val="45000"/>
                          <a:satMod val="400000"/>
                        </a:schemeClr>
                      </a:duotone>
                    </a:blip>
                    <a:srcRect/>
                    <a:stretch>
                      <a:fillRect/>
                    </a:stretch>
                  </pic:blipFill>
                  <pic:spPr bwMode="auto">
                    <a:xfrm>
                      <a:off x="0" y="0"/>
                      <a:ext cx="5486400" cy="6448425"/>
                    </a:xfrm>
                    <a:prstGeom prst="rect">
                      <a:avLst/>
                    </a:prstGeom>
                    <a:noFill/>
                    <a:ln w="9525">
                      <a:noFill/>
                      <a:miter lim="800000"/>
                      <a:headEnd/>
                      <a:tailEnd/>
                    </a:ln>
                  </pic:spPr>
                </pic:pic>
              </a:graphicData>
            </a:graphic>
          </wp:inline>
        </w:drawing>
      </w:r>
    </w:p>
    <w:p w:rsidR="004C18D7" w:rsidRPr="004C18D7" w:rsidRDefault="004C18D7" w:rsidP="00E6784C">
      <w:pPr>
        <w:pStyle w:val="TableTitle"/>
      </w:pPr>
      <w:proofErr w:type="gramStart"/>
      <w:r w:rsidRPr="004C18D7">
        <w:lastRenderedPageBreak/>
        <w:t xml:space="preserve">Table </w:t>
      </w:r>
      <w:r>
        <w:t>1.</w:t>
      </w:r>
      <w:proofErr w:type="gramEnd"/>
      <w:r>
        <w:t xml:space="preserve"> </w:t>
      </w:r>
      <w:r w:rsidRPr="004C18D7">
        <w:t>(</w:t>
      </w:r>
      <w:proofErr w:type="gramStart"/>
      <w:r w:rsidRPr="004C18D7">
        <w:t>cont</w:t>
      </w:r>
      <w:proofErr w:type="gramEnd"/>
      <w:r w:rsidRPr="004C18D7">
        <w:t>)</w:t>
      </w:r>
    </w:p>
    <w:p w:rsidR="004C18D7" w:rsidRPr="004C18D7" w:rsidRDefault="004C18D7" w:rsidP="00E6784C">
      <w:r w:rsidRPr="004C18D7">
        <w:rPr>
          <w:noProof/>
          <w:lang w:eastAsia="en-AU"/>
        </w:rPr>
        <w:drawing>
          <wp:inline distT="0" distB="0" distL="0" distR="0" wp14:anchorId="55AFA5CB" wp14:editId="4E784891">
            <wp:extent cx="5486400" cy="4981575"/>
            <wp:effectExtent l="19050" t="0" r="0" b="0"/>
            <wp:docPr id="23" name="Picture 23" descr="Table 1. continued. Subgroup Analysis of ASAS40 Response at Week 12 (NRI)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duotone>
                        <a:prstClr val="black"/>
                        <a:schemeClr val="bg1">
                          <a:tint val="45000"/>
                          <a:satMod val="400000"/>
                        </a:schemeClr>
                      </a:duotone>
                    </a:blip>
                    <a:srcRect/>
                    <a:stretch>
                      <a:fillRect/>
                    </a:stretch>
                  </pic:blipFill>
                  <pic:spPr bwMode="auto">
                    <a:xfrm>
                      <a:off x="0" y="0"/>
                      <a:ext cx="5486400" cy="4981575"/>
                    </a:xfrm>
                    <a:prstGeom prst="rect">
                      <a:avLst/>
                    </a:prstGeom>
                    <a:noFill/>
                    <a:ln w="9525">
                      <a:noFill/>
                      <a:miter lim="800000"/>
                      <a:headEnd/>
                      <a:tailEnd/>
                    </a:ln>
                  </pic:spPr>
                </pic:pic>
              </a:graphicData>
            </a:graphic>
          </wp:inline>
        </w:drawing>
      </w:r>
    </w:p>
    <w:p w:rsidR="00041BEC" w:rsidRPr="00041BEC" w:rsidRDefault="00041BEC" w:rsidP="00E6784C">
      <w:pPr>
        <w:pStyle w:val="Heading5"/>
      </w:pPr>
      <w:r w:rsidRPr="00041BEC">
        <w:t xml:space="preserve">Results </w:t>
      </w:r>
      <w:r w:rsidRPr="00E6784C">
        <w:t>for</w:t>
      </w:r>
      <w:r w:rsidRPr="00041BEC">
        <w:t xml:space="preserve"> other efficacy outcomes</w:t>
      </w:r>
    </w:p>
    <w:p w:rsidR="00041BEC" w:rsidRPr="00041BEC" w:rsidRDefault="00041BEC" w:rsidP="00E6784C">
      <w:r w:rsidRPr="00041BEC">
        <w:t xml:space="preserve">There was a statistically and clinically significant improvement in the adalimumab group relative to placebo at Week 12 for all the secondary efficacy outcome measures, and this improvement was maintained to endpoint (Week 52 or 68 depending on the outcome measure) (Table </w:t>
      </w:r>
      <w:r w:rsidR="004C18D7">
        <w:t>2</w:t>
      </w:r>
      <w:r w:rsidRPr="00041BEC">
        <w:t>).</w:t>
      </w:r>
      <w:r w:rsidR="00E20A7E">
        <w:t xml:space="preserve"> </w:t>
      </w:r>
      <w:r w:rsidRPr="00041BEC">
        <w:t>These measures included the quality of life outcome measures.</w:t>
      </w:r>
      <w:r w:rsidR="00E20A7E">
        <w:t xml:space="preserve"> </w:t>
      </w:r>
      <w:r w:rsidRPr="00041BEC">
        <w:t>However, there was no significant difference between the treatment groups in serum MMP-3, urine CTX-II and VEGF</w:t>
      </w:r>
      <w:r w:rsidRPr="00041BEC">
        <w:rPr>
          <w:vertAlign w:val="subscript"/>
        </w:rPr>
        <w:t>A</w:t>
      </w:r>
      <w:r w:rsidRPr="00041BEC">
        <w:t xml:space="preserve"> (Table 7.1.1.1.10).</w:t>
      </w:r>
    </w:p>
    <w:p w:rsidR="00041BEC" w:rsidRPr="00041BEC" w:rsidRDefault="00041BEC" w:rsidP="00E6784C">
      <w:r w:rsidRPr="00041BEC">
        <w:t xml:space="preserve">There were no analyses to investigate </w:t>
      </w:r>
      <w:r w:rsidRPr="00041BEC">
        <w:rPr>
          <w:lang w:val="en-US"/>
        </w:rPr>
        <w:t>drug-drug or drug-disease interactions; and drug dose, drug concentration and relationship to response.</w:t>
      </w:r>
    </w:p>
    <w:p w:rsidR="00041BEC" w:rsidRPr="00041BEC" w:rsidRDefault="00041BEC" w:rsidP="00E6784C">
      <w:pPr>
        <w:pStyle w:val="Heading3"/>
      </w:pPr>
      <w:bookmarkStart w:id="31" w:name="_Toc241374312"/>
      <w:bookmarkStart w:id="32" w:name="_Toc272414656"/>
      <w:bookmarkStart w:id="33" w:name="_Toc290846281"/>
      <w:bookmarkStart w:id="34" w:name="_Toc355289316"/>
      <w:bookmarkStart w:id="35" w:name="_Toc383176404"/>
      <w:r w:rsidRPr="00041BEC">
        <w:t>Analyses performed across trials (pooled analyses and meta-analyses)</w:t>
      </w:r>
      <w:bookmarkEnd w:id="31"/>
      <w:bookmarkEnd w:id="32"/>
      <w:bookmarkEnd w:id="33"/>
      <w:bookmarkEnd w:id="34"/>
      <w:bookmarkEnd w:id="35"/>
    </w:p>
    <w:p w:rsidR="00D17580" w:rsidRDefault="00041BEC" w:rsidP="00E6784C">
      <w:pPr>
        <w:sectPr w:rsidR="00D17580" w:rsidSect="00D17580">
          <w:headerReference w:type="even" r:id="rId17"/>
          <w:headerReference w:type="default" r:id="rId18"/>
          <w:footerReference w:type="default" r:id="rId19"/>
          <w:headerReference w:type="first" r:id="rId20"/>
          <w:footerReference w:type="first" r:id="rId21"/>
          <w:pgSz w:w="11906" w:h="16838" w:code="9"/>
          <w:pgMar w:top="1440" w:right="1440" w:bottom="1440" w:left="1440" w:header="907" w:footer="216" w:gutter="0"/>
          <w:cols w:space="708"/>
          <w:docGrid w:linePitch="360"/>
        </w:sectPr>
      </w:pPr>
      <w:r w:rsidRPr="00041BEC">
        <w:t>There were no pooled analyses of efficacy.</w:t>
      </w:r>
    </w:p>
    <w:p w:rsidR="004C18D7" w:rsidRPr="004C18D7" w:rsidRDefault="004C18D7" w:rsidP="00E6784C">
      <w:pPr>
        <w:pStyle w:val="TableTitle"/>
      </w:pPr>
      <w:proofErr w:type="gramStart"/>
      <w:r w:rsidRPr="004C18D7">
        <w:lastRenderedPageBreak/>
        <w:t xml:space="preserve">Table </w:t>
      </w:r>
      <w:r>
        <w:t>2.</w:t>
      </w:r>
      <w:proofErr w:type="gramEnd"/>
      <w:r>
        <w:t xml:space="preserve"> </w:t>
      </w:r>
      <w:r w:rsidRPr="004C18D7">
        <w:t>Summary of Supportive Secondary Efficacy End</w:t>
      </w:r>
      <w:r w:rsidR="00E6784C">
        <w:t>points (FAS, OL Population; OC)</w:t>
      </w:r>
    </w:p>
    <w:p w:rsidR="003C1A44" w:rsidRDefault="004C18D7" w:rsidP="003C1A44">
      <w:r w:rsidRPr="004C18D7">
        <w:rPr>
          <w:noProof/>
          <w:lang w:eastAsia="en-AU"/>
        </w:rPr>
        <w:drawing>
          <wp:inline distT="0" distB="0" distL="0" distR="0" wp14:anchorId="7784CB1F" wp14:editId="3C716C68">
            <wp:extent cx="7991475" cy="4314825"/>
            <wp:effectExtent l="19050" t="0" r="9525" b="0"/>
            <wp:docPr id="60" name="Picture 60" descr="Table 2. Summary of Supportive Secondary Efficacy Endpoints (FAS, OL Population; O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2" cstate="print">
                      <a:duotone>
                        <a:prstClr val="black"/>
                        <a:schemeClr val="bg1">
                          <a:tint val="45000"/>
                          <a:satMod val="400000"/>
                        </a:schemeClr>
                      </a:duotone>
                    </a:blip>
                    <a:srcRect l="810" t="1092" r="2083"/>
                    <a:stretch>
                      <a:fillRect/>
                    </a:stretch>
                  </pic:blipFill>
                  <pic:spPr bwMode="auto">
                    <a:xfrm>
                      <a:off x="0" y="0"/>
                      <a:ext cx="7991475" cy="4314825"/>
                    </a:xfrm>
                    <a:prstGeom prst="rect">
                      <a:avLst/>
                    </a:prstGeom>
                    <a:noFill/>
                    <a:ln w="9525">
                      <a:noFill/>
                      <a:miter lim="800000"/>
                      <a:headEnd/>
                      <a:tailEnd/>
                    </a:ln>
                  </pic:spPr>
                </pic:pic>
              </a:graphicData>
            </a:graphic>
          </wp:inline>
        </w:drawing>
      </w:r>
    </w:p>
    <w:p w:rsidR="003C1A44" w:rsidRPr="003C1A44" w:rsidRDefault="003C1A44" w:rsidP="00E6784C">
      <w:pPr>
        <w:pStyle w:val="TableTitle"/>
      </w:pPr>
      <w:proofErr w:type="gramStart"/>
      <w:r w:rsidRPr="004C18D7">
        <w:lastRenderedPageBreak/>
        <w:t xml:space="preserve">Table </w:t>
      </w:r>
      <w:r>
        <w:t>2.</w:t>
      </w:r>
      <w:proofErr w:type="gramEnd"/>
      <w:r>
        <w:t xml:space="preserve"> </w:t>
      </w:r>
      <w:r w:rsidRPr="003C1A44">
        <w:rPr>
          <w:bCs/>
        </w:rPr>
        <w:t>(</w:t>
      </w:r>
      <w:proofErr w:type="gramStart"/>
      <w:r w:rsidRPr="003C1A44">
        <w:rPr>
          <w:bCs/>
        </w:rPr>
        <w:t>cont</w:t>
      </w:r>
      <w:proofErr w:type="gramEnd"/>
      <w:r w:rsidRPr="003C1A44">
        <w:rPr>
          <w:bCs/>
        </w:rPr>
        <w:t>)</w:t>
      </w:r>
      <w:r w:rsidRPr="003C1A44">
        <w:t xml:space="preserve"> </w:t>
      </w:r>
      <w:r w:rsidRPr="004C18D7">
        <w:t>Summary of Supportive Secondary Efficacy Endpoints (FAS, OL Population; OC)</w:t>
      </w:r>
    </w:p>
    <w:p w:rsidR="00041BEC" w:rsidRDefault="003C1A44" w:rsidP="004C18D7">
      <w:r w:rsidRPr="003C1A44">
        <w:rPr>
          <w:noProof/>
          <w:lang w:eastAsia="en-AU"/>
        </w:rPr>
        <w:drawing>
          <wp:inline distT="0" distB="0" distL="0" distR="0" wp14:anchorId="6658AD44" wp14:editId="72FC0196">
            <wp:extent cx="8229600" cy="3924300"/>
            <wp:effectExtent l="19050" t="0" r="0" b="0"/>
            <wp:docPr id="73" name="Picture 73" descr="Table 2. (cont) Summary of Supportive Secondary Efficacy Endpoints (FAS, OL Population; 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3" cstate="print">
                      <a:duotone>
                        <a:prstClr val="black"/>
                        <a:schemeClr val="bg1">
                          <a:tint val="45000"/>
                          <a:satMod val="400000"/>
                        </a:schemeClr>
                      </a:duotone>
                    </a:blip>
                    <a:srcRect t="1418" b="1182"/>
                    <a:stretch>
                      <a:fillRect/>
                    </a:stretch>
                  </pic:blipFill>
                  <pic:spPr bwMode="auto">
                    <a:xfrm>
                      <a:off x="0" y="0"/>
                      <a:ext cx="8229600" cy="3924300"/>
                    </a:xfrm>
                    <a:prstGeom prst="rect">
                      <a:avLst/>
                    </a:prstGeom>
                    <a:noFill/>
                    <a:ln w="9525">
                      <a:noFill/>
                      <a:miter lim="800000"/>
                      <a:headEnd/>
                      <a:tailEnd/>
                    </a:ln>
                  </pic:spPr>
                </pic:pic>
              </a:graphicData>
            </a:graphic>
          </wp:inline>
        </w:drawing>
      </w:r>
    </w:p>
    <w:p w:rsidR="004C18D7" w:rsidRDefault="004C18D7" w:rsidP="004C18D7">
      <w:pPr>
        <w:pStyle w:val="Heading3"/>
        <w:sectPr w:rsidR="004C18D7" w:rsidSect="00D17580">
          <w:footerReference w:type="default" r:id="rId24"/>
          <w:type w:val="continuous"/>
          <w:pgSz w:w="16838" w:h="11906" w:orient="landscape" w:code="9"/>
          <w:pgMar w:top="1440" w:right="1440" w:bottom="1440" w:left="1440" w:header="907" w:footer="216" w:gutter="0"/>
          <w:cols w:space="708"/>
          <w:docGrid w:linePitch="360"/>
        </w:sectPr>
      </w:pPr>
      <w:bookmarkStart w:id="36" w:name="_Ref271126605"/>
      <w:bookmarkStart w:id="37" w:name="_Toc272414657"/>
      <w:bookmarkStart w:id="38" w:name="_Toc290846282"/>
      <w:bookmarkStart w:id="39" w:name="_Toc355289317"/>
    </w:p>
    <w:p w:rsidR="00E60281" w:rsidRDefault="00041BEC" w:rsidP="00E6784C">
      <w:pPr>
        <w:pStyle w:val="Heading3"/>
      </w:pPr>
      <w:bookmarkStart w:id="40" w:name="_Toc383176405"/>
      <w:r w:rsidRPr="00041BEC">
        <w:lastRenderedPageBreak/>
        <w:t>Evaluator’s conclusions on clinical efficacy</w:t>
      </w:r>
      <w:bookmarkEnd w:id="36"/>
      <w:bookmarkEnd w:id="37"/>
      <w:bookmarkEnd w:id="38"/>
      <w:bookmarkEnd w:id="40"/>
    </w:p>
    <w:p w:rsidR="00041BEC" w:rsidRPr="00D17580" w:rsidRDefault="00041BEC" w:rsidP="00E6784C">
      <w:pPr>
        <w:pStyle w:val="Heading4"/>
        <w:numPr>
          <w:ilvl w:val="0"/>
          <w:numId w:val="0"/>
        </w:numPr>
        <w:ind w:left="1134"/>
      </w:pPr>
      <w:r w:rsidRPr="00D17580">
        <w:t>Non-</w:t>
      </w:r>
      <w:r w:rsidR="00E6784C">
        <w:t>r</w:t>
      </w:r>
      <w:r w:rsidRPr="00D17580">
        <w:t xml:space="preserve">adiographic </w:t>
      </w:r>
      <w:r w:rsidR="00E6784C">
        <w:t>a</w:t>
      </w:r>
      <w:r w:rsidRPr="00D17580">
        <w:t xml:space="preserve">xial </w:t>
      </w:r>
      <w:proofErr w:type="spellStart"/>
      <w:r w:rsidRPr="00D17580">
        <w:t>SpA</w:t>
      </w:r>
      <w:bookmarkEnd w:id="39"/>
      <w:proofErr w:type="spellEnd"/>
    </w:p>
    <w:p w:rsidR="00041BEC" w:rsidRPr="00041BEC" w:rsidRDefault="00041BEC" w:rsidP="00E6784C">
      <w:r w:rsidRPr="00041BEC">
        <w:t>Efficacy has been demonstrated for adalimumab in comparison with placebo for the indication of nr-</w:t>
      </w:r>
      <w:proofErr w:type="spellStart"/>
      <w:r w:rsidRPr="00041BEC">
        <w:t>axSpA</w:t>
      </w:r>
      <w:proofErr w:type="spellEnd"/>
      <w:r w:rsidRPr="00041BEC">
        <w:t xml:space="preserve"> over a 12 week period.</w:t>
      </w:r>
      <w:r w:rsidR="00E20A7E">
        <w:t xml:space="preserve"> </w:t>
      </w:r>
      <w:r w:rsidRPr="00041BEC">
        <w:t>The response rate was both clinically and statistically significant.</w:t>
      </w:r>
      <w:r w:rsidR="00E20A7E">
        <w:t xml:space="preserve"> </w:t>
      </w:r>
      <w:r w:rsidRPr="00041BEC">
        <w:t>The response was maintained in an open label follow-on study for up to 68 weeks.</w:t>
      </w:r>
      <w:r w:rsidR="00E20A7E">
        <w:t xml:space="preserve"> </w:t>
      </w:r>
      <w:r w:rsidRPr="00041BEC">
        <w:t>Response was greater in subjects with elevated CRP at baseline and with shorter duration of symptoms.</w:t>
      </w:r>
      <w:r w:rsidR="00E20A7E">
        <w:t xml:space="preserve"> </w:t>
      </w:r>
      <w:r w:rsidRPr="00041BEC">
        <w:rPr>
          <w:lang w:val="en-US"/>
        </w:rPr>
        <w:t>For those subjects with no concomitant DMARDs at baseline (monotherapy) there were five (26.3%) responders in the adalimumab group and none in the placebo.</w:t>
      </w:r>
    </w:p>
    <w:p w:rsidR="00041BEC" w:rsidRDefault="00041BEC" w:rsidP="00E6784C">
      <w:r w:rsidRPr="00041BEC">
        <w:t xml:space="preserve">The ASAS worked on developing criteria for axial </w:t>
      </w:r>
      <w:proofErr w:type="spellStart"/>
      <w:r w:rsidRPr="00041BEC">
        <w:t>SpA</w:t>
      </w:r>
      <w:proofErr w:type="spellEnd"/>
      <w:r w:rsidRPr="00041BEC">
        <w:t xml:space="preserve"> that include patients with and without definite radiographic </w:t>
      </w:r>
      <w:proofErr w:type="spellStart"/>
      <w:r w:rsidRPr="00041BEC">
        <w:t>sacroiliitis</w:t>
      </w:r>
      <w:proofErr w:type="spellEnd"/>
      <w:r w:rsidRPr="00041BEC">
        <w:t xml:space="preserve"> because “</w:t>
      </w:r>
      <w:r w:rsidRPr="004C18D7">
        <w:rPr>
          <w:i/>
        </w:rPr>
        <w:t xml:space="preserve">radiographic changes may reflect the consequences of inflammation (structural damage) rather than inflammation itself, which may be readily detectable by magnetic resonance imaging (MRI), often years before the appearance of radiographic </w:t>
      </w:r>
      <w:proofErr w:type="spellStart"/>
      <w:r w:rsidRPr="004C18D7">
        <w:rPr>
          <w:i/>
        </w:rPr>
        <w:t>sacroiliitis</w:t>
      </w:r>
      <w:proofErr w:type="spellEnd"/>
      <w:r w:rsidRPr="00041BEC">
        <w:t>”</w:t>
      </w:r>
      <w:r w:rsidR="00D17580">
        <w:t>.</w:t>
      </w:r>
      <w:r w:rsidR="00D17580">
        <w:rPr>
          <w:rStyle w:val="FootnoteReference"/>
        </w:rPr>
        <w:footnoteReference w:id="1"/>
      </w:r>
      <w:r w:rsidR="00E20A7E">
        <w:t xml:space="preserve"> </w:t>
      </w:r>
      <w:r w:rsidRPr="00041BEC">
        <w:t xml:space="preserve">These criteria were developed using questionnaires, logistic regression, sensitivity and specificity analysis and were voted on by the members of the ASAS (Figure </w:t>
      </w:r>
      <w:r w:rsidR="003C1A44">
        <w:t>1</w:t>
      </w:r>
      <w:r w:rsidRPr="00041BEC">
        <w:t>).</w:t>
      </w:r>
    </w:p>
    <w:p w:rsidR="00E6784C" w:rsidRDefault="003C1A44" w:rsidP="00E6784C">
      <w:pPr>
        <w:pStyle w:val="FigureTitle"/>
      </w:pPr>
      <w:proofErr w:type="gramStart"/>
      <w:r w:rsidRPr="003C1A44">
        <w:t xml:space="preserve">Figure </w:t>
      </w:r>
      <w:r>
        <w:t>1.</w:t>
      </w:r>
      <w:proofErr w:type="gramEnd"/>
      <w:r>
        <w:t xml:space="preserve"> </w:t>
      </w:r>
      <w:r w:rsidRPr="003C1A44">
        <w:t xml:space="preserve">ASAS </w:t>
      </w:r>
      <w:r w:rsidRPr="00E6784C">
        <w:t>classification</w:t>
      </w:r>
      <w:r w:rsidRPr="003C1A44">
        <w:t xml:space="preserve"> criteria for Axial </w:t>
      </w:r>
      <w:proofErr w:type="spellStart"/>
      <w:r w:rsidRPr="003C1A44">
        <w:t>SpA</w:t>
      </w:r>
      <w:proofErr w:type="spellEnd"/>
      <w:r w:rsidRPr="003C1A44">
        <w:t xml:space="preserve"> (copied from Figure 2, </w:t>
      </w:r>
      <w:proofErr w:type="spellStart"/>
      <w:r w:rsidRPr="003C1A44">
        <w:t>Rudawaleit</w:t>
      </w:r>
      <w:proofErr w:type="spellEnd"/>
      <w:r w:rsidRPr="003C1A44">
        <w:t xml:space="preserve"> 2009a)</w:t>
      </w:r>
    </w:p>
    <w:p w:rsidR="003C1A44" w:rsidRPr="003C1A44" w:rsidRDefault="003C1A44" w:rsidP="00FF5045">
      <w:r w:rsidRPr="003C1A44">
        <w:rPr>
          <w:noProof/>
          <w:lang w:eastAsia="en-AU"/>
        </w:rPr>
        <w:drawing>
          <wp:inline distT="0" distB="0" distL="0" distR="0" wp14:anchorId="48D5C94F" wp14:editId="4C98B23E">
            <wp:extent cx="5688088" cy="3476625"/>
            <wp:effectExtent l="0" t="0" r="0" b="0"/>
            <wp:docPr id="86" name="Picture 86" descr="Figure 1. ASAS classification criteria for Axial SpA (copied from Figure 2, Rudawaleit 200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5" cstate="print">
                      <a:duotone>
                        <a:prstClr val="black"/>
                        <a:schemeClr val="bg1">
                          <a:tint val="45000"/>
                          <a:satMod val="400000"/>
                        </a:schemeClr>
                      </a:duotone>
                    </a:blip>
                    <a:srcRect l="2604" t="3911" r="1389" b="1676"/>
                    <a:stretch>
                      <a:fillRect/>
                    </a:stretch>
                  </pic:blipFill>
                  <pic:spPr bwMode="auto">
                    <a:xfrm>
                      <a:off x="0" y="0"/>
                      <a:ext cx="5688088" cy="3476625"/>
                    </a:xfrm>
                    <a:prstGeom prst="rect">
                      <a:avLst/>
                    </a:prstGeom>
                    <a:noFill/>
                    <a:ln w="9525">
                      <a:noFill/>
                      <a:miter lim="800000"/>
                      <a:headEnd/>
                      <a:tailEnd/>
                    </a:ln>
                  </pic:spPr>
                </pic:pic>
              </a:graphicData>
            </a:graphic>
          </wp:inline>
        </w:drawing>
      </w:r>
    </w:p>
    <w:p w:rsidR="00041BEC" w:rsidRPr="00041BEC" w:rsidRDefault="00041BEC" w:rsidP="00FF5045">
      <w:r w:rsidRPr="00041BEC">
        <w:t xml:space="preserve">Radiographic axial </w:t>
      </w:r>
      <w:proofErr w:type="spellStart"/>
      <w:r w:rsidRPr="00041BEC">
        <w:t>SpA</w:t>
      </w:r>
      <w:proofErr w:type="spellEnd"/>
      <w:r w:rsidRPr="00041BEC">
        <w:t xml:space="preserve"> is currently an indication for </w:t>
      </w:r>
      <w:proofErr w:type="spellStart"/>
      <w:r w:rsidRPr="00041BEC">
        <w:t>adalimumab</w:t>
      </w:r>
      <w:proofErr w:type="spellEnd"/>
      <w:r w:rsidRPr="00041BEC">
        <w:t xml:space="preserve"> but non-radiographic </w:t>
      </w:r>
      <w:proofErr w:type="spellStart"/>
      <w:r w:rsidRPr="00041BEC">
        <w:t>SpA</w:t>
      </w:r>
      <w:proofErr w:type="spellEnd"/>
      <w:r w:rsidRPr="00041BEC">
        <w:t xml:space="preserve"> is currently not an indication.</w:t>
      </w:r>
      <w:r w:rsidR="00E20A7E">
        <w:t xml:space="preserve"> </w:t>
      </w:r>
      <w:r w:rsidRPr="00041BEC">
        <w:t xml:space="preserve">In order to demonstrate the efficacy and safety of adalimumab in non-radiographic axial </w:t>
      </w:r>
      <w:proofErr w:type="spellStart"/>
      <w:r w:rsidRPr="00041BEC">
        <w:t>SpA</w:t>
      </w:r>
      <w:proofErr w:type="spellEnd"/>
      <w:r w:rsidRPr="00041BEC">
        <w:t xml:space="preserve"> subjects with AS, </w:t>
      </w:r>
      <w:proofErr w:type="spellStart"/>
      <w:r w:rsidRPr="00041BEC">
        <w:t>PsA</w:t>
      </w:r>
      <w:proofErr w:type="spellEnd"/>
      <w:r w:rsidRPr="00041BEC">
        <w:t xml:space="preserve"> and RA (all current indications) needed to be excluded from the study population.</w:t>
      </w:r>
      <w:r w:rsidR="00E20A7E">
        <w:t xml:space="preserve"> </w:t>
      </w:r>
      <w:r w:rsidRPr="00041BEC">
        <w:t>The inclusion criteria and exclusion criteria satisfactorily define the study population (and this study population is the same as that intended for treatment).</w:t>
      </w:r>
    </w:p>
    <w:p w:rsidR="00041BEC" w:rsidRPr="00041BEC" w:rsidRDefault="00041BEC" w:rsidP="00FF5045">
      <w:r w:rsidRPr="00041BEC">
        <w:lastRenderedPageBreak/>
        <w:t>The indication of nr-</w:t>
      </w:r>
      <w:proofErr w:type="spellStart"/>
      <w:r w:rsidRPr="00041BEC">
        <w:t>axSpA</w:t>
      </w:r>
      <w:proofErr w:type="spellEnd"/>
      <w:r w:rsidRPr="00041BEC">
        <w:t xml:space="preserve"> could be considered to be an extension of AS, which is currently an approved indication for adalimumab.</w:t>
      </w:r>
      <w:r w:rsidR="00E20A7E">
        <w:t xml:space="preserve"> </w:t>
      </w:r>
      <w:r w:rsidRPr="00041BEC">
        <w:t>This supports the dose regimen chosen for development for nr-</w:t>
      </w:r>
      <w:proofErr w:type="spellStart"/>
      <w:r w:rsidRPr="00041BEC">
        <w:t>axSpA</w:t>
      </w:r>
      <w:proofErr w:type="spellEnd"/>
      <w:r w:rsidRPr="00041BEC">
        <w:t>.</w:t>
      </w:r>
    </w:p>
    <w:p w:rsidR="00041BEC" w:rsidRPr="00041BEC" w:rsidRDefault="00041BEC" w:rsidP="00FF5045">
      <w:r w:rsidRPr="00041BEC">
        <w:t>The primary efficacy outcome measure was ASAS40 response.</w:t>
      </w:r>
      <w:r w:rsidR="00E20A7E">
        <w:t xml:space="preserve"> </w:t>
      </w:r>
      <w:r w:rsidRPr="00041BEC">
        <w:t>This measure was a previously validated outcome measure and was developed independent of the development program.</w:t>
      </w:r>
      <w:r w:rsidR="00E20A7E">
        <w:t xml:space="preserve"> </w:t>
      </w:r>
      <w:r w:rsidRPr="00041BEC">
        <w:t>There were a large number of secondary outcome measures, all of which can be rationally applied to nr-</w:t>
      </w:r>
      <w:proofErr w:type="spellStart"/>
      <w:r w:rsidRPr="00041BEC">
        <w:t>axSpA</w:t>
      </w:r>
      <w:proofErr w:type="spellEnd"/>
      <w:r w:rsidRPr="00041BEC">
        <w:t>.</w:t>
      </w:r>
      <w:r w:rsidR="00E20A7E">
        <w:t xml:space="preserve"> </w:t>
      </w:r>
      <w:r w:rsidRPr="00041BEC">
        <w:t>All of these outcome measures were supportive of efficacy compared with placebo over 12 weeks, and maintenance of efficacy for up to 68 weeks.</w:t>
      </w:r>
    </w:p>
    <w:p w:rsidR="00041BEC" w:rsidRPr="00041BEC" w:rsidRDefault="00041BEC" w:rsidP="00FF5045">
      <w:r w:rsidRPr="00041BEC">
        <w:t>The limitations of the efficacy data include:</w:t>
      </w:r>
    </w:p>
    <w:p w:rsidR="00041BEC" w:rsidRPr="00041BEC" w:rsidRDefault="00041BEC" w:rsidP="00FF5045">
      <w:pPr>
        <w:pStyle w:val="ListBullet"/>
      </w:pPr>
      <w:r w:rsidRPr="00041BEC">
        <w:t xml:space="preserve">Few </w:t>
      </w:r>
      <w:r w:rsidRPr="00FF5045">
        <w:t>elderly</w:t>
      </w:r>
      <w:r w:rsidRPr="00041BEC">
        <w:t xml:space="preserve"> subjects were included in Study M10-791 (only two subjects over the age of 65 years)</w:t>
      </w:r>
    </w:p>
    <w:p w:rsidR="00041BEC" w:rsidRPr="00041BEC" w:rsidRDefault="00041BEC" w:rsidP="00FF5045">
      <w:pPr>
        <w:pStyle w:val="ListBullet"/>
      </w:pPr>
      <w:r w:rsidRPr="00041BEC">
        <w:t xml:space="preserve">There </w:t>
      </w:r>
      <w:r w:rsidRPr="00FF5045">
        <w:t>were</w:t>
      </w:r>
      <w:r w:rsidRPr="00041BEC">
        <w:t xml:space="preserve"> no analyses to investigate </w:t>
      </w:r>
      <w:r w:rsidRPr="00041BEC">
        <w:rPr>
          <w:lang w:val="en-US"/>
        </w:rPr>
        <w:t>drug-drug or drug-disease interactions; and drug dose, drug concentration, and relationship to response.</w:t>
      </w:r>
    </w:p>
    <w:p w:rsidR="00041BEC" w:rsidRPr="00041BEC" w:rsidRDefault="00041BEC" w:rsidP="00FF5045">
      <w:pPr>
        <w:pStyle w:val="ListBullet"/>
      </w:pPr>
      <w:r w:rsidRPr="00041BEC">
        <w:t>Nr-</w:t>
      </w:r>
      <w:proofErr w:type="spellStart"/>
      <w:r w:rsidRPr="00041BEC">
        <w:t>axSpA</w:t>
      </w:r>
      <w:proofErr w:type="spellEnd"/>
      <w:r w:rsidRPr="00041BEC">
        <w:t xml:space="preserve"> is a chronic condition and there were no </w:t>
      </w:r>
      <w:r w:rsidRPr="00FF5045">
        <w:t>efficacy</w:t>
      </w:r>
      <w:r w:rsidRPr="00041BEC">
        <w:t xml:space="preserve"> data extending beyond 68 weeks.</w:t>
      </w:r>
    </w:p>
    <w:p w:rsidR="00C22678" w:rsidRDefault="00C22678" w:rsidP="00FF5045">
      <w:pPr>
        <w:pStyle w:val="Heading2"/>
      </w:pPr>
      <w:bookmarkStart w:id="41" w:name="_Toc383176406"/>
      <w:r>
        <w:t>Clinical safety</w:t>
      </w:r>
      <w:bookmarkEnd w:id="41"/>
    </w:p>
    <w:p w:rsidR="00041BEC" w:rsidRPr="00041BEC" w:rsidRDefault="00041BEC" w:rsidP="00FF5045">
      <w:pPr>
        <w:pStyle w:val="Heading3"/>
      </w:pPr>
      <w:bookmarkStart w:id="42" w:name="_Toc272414659"/>
      <w:bookmarkStart w:id="43" w:name="_Toc290846284"/>
      <w:bookmarkStart w:id="44" w:name="_Toc355289319"/>
      <w:bookmarkStart w:id="45" w:name="_Toc383176407"/>
      <w:r w:rsidRPr="00041BEC">
        <w:t>Studies providing evaluable safety data</w:t>
      </w:r>
      <w:bookmarkEnd w:id="42"/>
      <w:bookmarkEnd w:id="43"/>
      <w:bookmarkEnd w:id="44"/>
      <w:bookmarkEnd w:id="45"/>
    </w:p>
    <w:p w:rsidR="00041BEC" w:rsidRPr="00041BEC" w:rsidRDefault="00041BEC" w:rsidP="00FF5045">
      <w:bookmarkStart w:id="46" w:name="_Ref268776745"/>
      <w:r w:rsidRPr="00041BEC">
        <w:t>The following studies provided evaluable safety data: Study M10-791.</w:t>
      </w:r>
    </w:p>
    <w:p w:rsidR="00041BEC" w:rsidRPr="00041BEC" w:rsidRDefault="00041BEC" w:rsidP="00FF5045">
      <w:r w:rsidRPr="00041BEC">
        <w:t xml:space="preserve">The </w:t>
      </w:r>
      <w:r w:rsidR="003C1A44">
        <w:t>s</w:t>
      </w:r>
      <w:r w:rsidRPr="00041BEC">
        <w:t>ponsor provided some summary tables of safety data across all clinical trials of adalimumab.</w:t>
      </w:r>
      <w:r w:rsidR="00E20A7E">
        <w:t xml:space="preserve"> </w:t>
      </w:r>
      <w:r w:rsidRPr="00041BEC">
        <w:t>These tables relate to proposed changes in Product Information document for event rates for infection, malignancy and withdrawal due to AEs.</w:t>
      </w:r>
      <w:r w:rsidR="00E20A7E">
        <w:t xml:space="preserve"> </w:t>
      </w:r>
      <w:r w:rsidRPr="00041BEC">
        <w:t>These rates have been adjusted to include data for the indication of nr-</w:t>
      </w:r>
      <w:proofErr w:type="spellStart"/>
      <w:r w:rsidRPr="00041BEC">
        <w:t>axSpA</w:t>
      </w:r>
      <w:proofErr w:type="spellEnd"/>
      <w:r w:rsidRPr="00041BEC">
        <w:t>.</w:t>
      </w:r>
      <w:r w:rsidR="00E20A7E">
        <w:t xml:space="preserve"> </w:t>
      </w:r>
      <w:r w:rsidRPr="00041BEC">
        <w:t xml:space="preserve">The rates presented in the </w:t>
      </w:r>
      <w:r w:rsidR="003C1A44">
        <w:t xml:space="preserve">draft </w:t>
      </w:r>
      <w:r w:rsidRPr="00041BEC">
        <w:t>PI do correspond with those presented in the tabulations.</w:t>
      </w:r>
      <w:r w:rsidR="00E20A7E">
        <w:t xml:space="preserve"> </w:t>
      </w:r>
      <w:r w:rsidRPr="00041BEC">
        <w:t xml:space="preserve">It was difficult to find these data within the tabulations and some of the crosschecks performed by the </w:t>
      </w:r>
      <w:r w:rsidR="003C1A44">
        <w:t>e</w:t>
      </w:r>
      <w:r w:rsidRPr="00041BEC">
        <w:t>valuator required use of the word search tool in Adobe reader.</w:t>
      </w:r>
      <w:bookmarkEnd w:id="46"/>
    </w:p>
    <w:p w:rsidR="00041BEC" w:rsidRPr="00041BEC" w:rsidRDefault="00041BEC" w:rsidP="00FF5045">
      <w:pPr>
        <w:pStyle w:val="Heading3"/>
      </w:pPr>
      <w:bookmarkStart w:id="47" w:name="_Ref269204367"/>
      <w:bookmarkStart w:id="48" w:name="_Ref271195835"/>
      <w:bookmarkStart w:id="49" w:name="_Ref271195841"/>
      <w:bookmarkStart w:id="50" w:name="_Toc272414660"/>
      <w:bookmarkStart w:id="51" w:name="_Toc290846285"/>
      <w:bookmarkStart w:id="52" w:name="_Toc355289320"/>
      <w:bookmarkStart w:id="53" w:name="_Toc383176408"/>
      <w:r w:rsidRPr="00041BEC">
        <w:t>Pivotal studies that assessed safety as a primary outcome</w:t>
      </w:r>
      <w:bookmarkEnd w:id="47"/>
      <w:bookmarkEnd w:id="48"/>
      <w:bookmarkEnd w:id="49"/>
      <w:bookmarkEnd w:id="50"/>
      <w:bookmarkEnd w:id="51"/>
      <w:bookmarkEnd w:id="52"/>
      <w:bookmarkEnd w:id="53"/>
    </w:p>
    <w:p w:rsidR="00041BEC" w:rsidRPr="00041BEC" w:rsidRDefault="00041BEC" w:rsidP="00FF5045">
      <w:r w:rsidRPr="00041BEC">
        <w:t>There were no additional pivotal studies that assessed safety as a primary outcome.</w:t>
      </w:r>
    </w:p>
    <w:p w:rsidR="00041BEC" w:rsidRPr="00041BEC" w:rsidRDefault="00041BEC" w:rsidP="00FF5045">
      <w:pPr>
        <w:pStyle w:val="Heading3"/>
      </w:pPr>
      <w:bookmarkStart w:id="54" w:name="_Toc241374318"/>
      <w:bookmarkStart w:id="55" w:name="_Ref271196630"/>
      <w:bookmarkStart w:id="56" w:name="_Toc272414662"/>
      <w:bookmarkStart w:id="57" w:name="_Toc290846300"/>
      <w:bookmarkStart w:id="58" w:name="_Toc355289321"/>
      <w:bookmarkStart w:id="59" w:name="_Toc383176409"/>
      <w:r w:rsidRPr="00041BEC">
        <w:t>Patient exposure</w:t>
      </w:r>
      <w:bookmarkEnd w:id="54"/>
      <w:bookmarkEnd w:id="55"/>
      <w:bookmarkEnd w:id="56"/>
      <w:bookmarkEnd w:id="57"/>
      <w:bookmarkEnd w:id="58"/>
      <w:bookmarkEnd w:id="59"/>
    </w:p>
    <w:p w:rsidR="00041BEC" w:rsidRPr="00041BEC" w:rsidRDefault="00041BEC" w:rsidP="00FF5045">
      <w:r w:rsidRPr="00041BEC">
        <w:t xml:space="preserve">In Study M10-791, there were 190 subjects exposed to adalimumab, of whom 164 (86.3%) were exposed for </w:t>
      </w:r>
      <w:r w:rsidR="001C0C5C">
        <w:t>≥</w:t>
      </w:r>
      <w:r w:rsidRPr="00041BEC">
        <w:t xml:space="preserve">175 days, 147 (77.4%) were exposed for </w:t>
      </w:r>
      <w:r w:rsidR="001C0C5C">
        <w:t>≥</w:t>
      </w:r>
      <w:r w:rsidRPr="00041BEC">
        <w:t xml:space="preserve">343 days and 69 (36.3%) for </w:t>
      </w:r>
      <w:r w:rsidR="001C0C5C">
        <w:t>≥</w:t>
      </w:r>
      <w:r w:rsidRPr="00041BEC">
        <w:t>427 days.</w:t>
      </w:r>
      <w:r w:rsidR="00E20A7E">
        <w:t xml:space="preserve"> </w:t>
      </w:r>
      <w:r w:rsidRPr="00041BEC">
        <w:t>Total patient-years exposure was 193.3 years.</w:t>
      </w:r>
    </w:p>
    <w:p w:rsidR="00041BEC" w:rsidRPr="00041BEC" w:rsidRDefault="00041BEC" w:rsidP="00FF5045">
      <w:pPr>
        <w:pStyle w:val="Heading3"/>
      </w:pPr>
      <w:bookmarkStart w:id="60" w:name="_Toc241374319"/>
      <w:bookmarkStart w:id="61" w:name="_Ref271044764"/>
      <w:bookmarkStart w:id="62" w:name="_Toc272414663"/>
      <w:bookmarkStart w:id="63" w:name="_Toc290846301"/>
      <w:bookmarkStart w:id="64" w:name="_Toc355289322"/>
      <w:bookmarkStart w:id="65" w:name="_Toc383176410"/>
      <w:r w:rsidRPr="00041BEC">
        <w:t>Adverse events</w:t>
      </w:r>
      <w:bookmarkEnd w:id="60"/>
      <w:bookmarkEnd w:id="61"/>
      <w:bookmarkEnd w:id="62"/>
      <w:bookmarkEnd w:id="63"/>
      <w:bookmarkEnd w:id="64"/>
      <w:bookmarkEnd w:id="65"/>
    </w:p>
    <w:p w:rsidR="00041BEC" w:rsidRPr="00041BEC" w:rsidRDefault="00041BEC" w:rsidP="00FF5045">
      <w:pPr>
        <w:pStyle w:val="Heading4"/>
      </w:pPr>
      <w:bookmarkStart w:id="66" w:name="_Ref272317284"/>
      <w:bookmarkStart w:id="67" w:name="_Ref272333565"/>
      <w:bookmarkStart w:id="68" w:name="_Toc272414664"/>
      <w:bookmarkStart w:id="69" w:name="_Toc290846302"/>
      <w:bookmarkStart w:id="70" w:name="_Toc355289323"/>
      <w:r w:rsidRPr="00041BEC">
        <w:t xml:space="preserve">All adverse events (irrespective of </w:t>
      </w:r>
      <w:r w:rsidRPr="00FF5045">
        <w:t>relationship</w:t>
      </w:r>
      <w:r w:rsidRPr="00041BEC">
        <w:t xml:space="preserve"> to study treatment)</w:t>
      </w:r>
      <w:bookmarkEnd w:id="66"/>
      <w:bookmarkEnd w:id="67"/>
      <w:bookmarkEnd w:id="68"/>
      <w:bookmarkEnd w:id="69"/>
      <w:bookmarkEnd w:id="70"/>
    </w:p>
    <w:p w:rsidR="00041BEC" w:rsidRDefault="00041BEC" w:rsidP="00FF5045">
      <w:r w:rsidRPr="00041BEC">
        <w:t xml:space="preserve">During the double blind phase there were 141 </w:t>
      </w:r>
      <w:r w:rsidR="001C0C5C">
        <w:t>treatment emergent adverse events (</w:t>
      </w:r>
      <w:r w:rsidRPr="00041BEC">
        <w:t>TEAEs</w:t>
      </w:r>
      <w:r w:rsidR="001C0C5C">
        <w:t>)</w:t>
      </w:r>
      <w:r w:rsidRPr="00041BEC">
        <w:t xml:space="preserve"> reported in 55 (57.9%) subjects in the adalimumab group and 152 in 57 (58.8%) in the placebo.</w:t>
      </w:r>
      <w:r w:rsidR="00E20A7E">
        <w:t xml:space="preserve"> </w:t>
      </w:r>
      <w:r w:rsidRPr="00041BEC">
        <w:t xml:space="preserve">The most commonly reported TEAE was nasopharyngitis, occurring in 11 (11.6%) subjects (Table </w:t>
      </w:r>
      <w:r w:rsidR="001C0C5C">
        <w:t>3</w:t>
      </w:r>
      <w:r w:rsidRPr="00041BEC">
        <w:t>).</w:t>
      </w:r>
      <w:r w:rsidR="00E20A7E">
        <w:t xml:space="preserve"> </w:t>
      </w:r>
      <w:r w:rsidRPr="00041BEC">
        <w:t>There were 33 infectious AEs in 28 (29.5%) subjects in the adalimumab group (corresponding to 153.5 events per 100 patient years) and 38 in 28 (28.9%) subjects in the placebo group (corresponding to 171.2 events per 100 patient years).</w:t>
      </w:r>
      <w:r w:rsidR="00E20A7E">
        <w:t xml:space="preserve"> </w:t>
      </w:r>
      <w:r w:rsidRPr="00041BEC">
        <w:t xml:space="preserve">During the double blind phase there were no reports of serious infectious AE, opportunistic infections (excluding TB), </w:t>
      </w:r>
      <w:r w:rsidRPr="00041BEC">
        <w:lastRenderedPageBreak/>
        <w:t xml:space="preserve">TB, lymphomas, </w:t>
      </w:r>
      <w:r w:rsidR="001C0C5C" w:rsidRPr="001C0C5C">
        <w:t>Non-melanoma skin cancer</w:t>
      </w:r>
      <w:r w:rsidR="001C0C5C">
        <w:t xml:space="preserve"> (</w:t>
      </w:r>
      <w:r w:rsidRPr="00041BEC">
        <w:t>NMSC</w:t>
      </w:r>
      <w:r w:rsidR="001C0C5C">
        <w:t>)</w:t>
      </w:r>
      <w:r w:rsidRPr="00041BEC">
        <w:t>, malignancies (excluding NMSC and lymphomas) or demyelinating disease.</w:t>
      </w:r>
    </w:p>
    <w:p w:rsidR="00FF5045" w:rsidRDefault="001C0C5C" w:rsidP="00FF5045">
      <w:pPr>
        <w:pStyle w:val="TableTitle"/>
      </w:pPr>
      <w:proofErr w:type="gramStart"/>
      <w:r w:rsidRPr="001C0C5C">
        <w:t xml:space="preserve">Table </w:t>
      </w:r>
      <w:r>
        <w:t>3.</w:t>
      </w:r>
      <w:proofErr w:type="gramEnd"/>
      <w:r>
        <w:t xml:space="preserve"> </w:t>
      </w:r>
      <w:r w:rsidRPr="001C0C5C">
        <w:t xml:space="preserve">Summary of TEAEs Experienced by </w:t>
      </w:r>
      <w:r>
        <w:t>≥</w:t>
      </w:r>
      <w:r w:rsidRPr="001C0C5C">
        <w:t xml:space="preserve"> 3% of Subjects During the </w:t>
      </w:r>
      <w:r>
        <w:t>double-blind (</w:t>
      </w:r>
      <w:r w:rsidRPr="001C0C5C">
        <w:t>DB</w:t>
      </w:r>
      <w:r>
        <w:t>)</w:t>
      </w:r>
      <w:r w:rsidRPr="001C0C5C">
        <w:t xml:space="preserve"> Period of t</w:t>
      </w:r>
      <w:r w:rsidR="00FF5045">
        <w:t>he Study (Safety Analysis Set)</w:t>
      </w:r>
    </w:p>
    <w:p w:rsidR="001C0C5C" w:rsidRDefault="001C0C5C" w:rsidP="00FF5045">
      <w:r w:rsidRPr="001C0C5C">
        <w:rPr>
          <w:noProof/>
          <w:lang w:eastAsia="en-AU"/>
        </w:rPr>
        <w:drawing>
          <wp:inline distT="0" distB="0" distL="0" distR="0" wp14:anchorId="18FAC67F" wp14:editId="679DC509">
            <wp:extent cx="4800600" cy="3088621"/>
            <wp:effectExtent l="19050" t="0" r="0" b="0"/>
            <wp:docPr id="99" name="Picture 99" descr="Table 3. Summary of TEAEs Experienced by ≥ 3% of Subjects During the double-blind (DB) Period of the Study (Safety Analysis 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6" cstate="print">
                      <a:duotone>
                        <a:prstClr val="black"/>
                        <a:schemeClr val="bg1">
                          <a:tint val="45000"/>
                          <a:satMod val="400000"/>
                        </a:schemeClr>
                      </a:duotone>
                    </a:blip>
                    <a:srcRect l="868" t="1657" r="4687" b="1657"/>
                    <a:stretch>
                      <a:fillRect/>
                    </a:stretch>
                  </pic:blipFill>
                  <pic:spPr bwMode="auto">
                    <a:xfrm>
                      <a:off x="0" y="0"/>
                      <a:ext cx="4800600" cy="3088621"/>
                    </a:xfrm>
                    <a:prstGeom prst="rect">
                      <a:avLst/>
                    </a:prstGeom>
                    <a:noFill/>
                    <a:ln w="9525">
                      <a:noFill/>
                      <a:miter lim="800000"/>
                      <a:headEnd/>
                      <a:tailEnd/>
                    </a:ln>
                  </pic:spPr>
                </pic:pic>
              </a:graphicData>
            </a:graphic>
          </wp:inline>
        </w:drawing>
      </w:r>
    </w:p>
    <w:p w:rsidR="001C0C5C" w:rsidRPr="001C0C5C" w:rsidRDefault="001C0C5C" w:rsidP="00FF5045">
      <w:pPr>
        <w:pStyle w:val="TableDescription"/>
      </w:pPr>
      <w:proofErr w:type="spellStart"/>
      <w:r w:rsidRPr="001C0C5C">
        <w:t>MedDRA</w:t>
      </w:r>
      <w:proofErr w:type="spellEnd"/>
      <w:r w:rsidRPr="001C0C5C">
        <w:t>=</w:t>
      </w:r>
      <w:r w:rsidRPr="001C0C5C">
        <w:rPr>
          <w:rFonts w:ascii="Times New Roman" w:eastAsia="Times New Roman" w:hAnsi="Times New Roman"/>
          <w:kern w:val="16"/>
          <w:lang w:eastAsia="en-AU"/>
        </w:rPr>
        <w:t xml:space="preserve"> </w:t>
      </w:r>
      <w:r w:rsidRPr="001C0C5C">
        <w:t>Medical Dictionary for Regulatory Activities</w:t>
      </w:r>
    </w:p>
    <w:p w:rsidR="00041BEC" w:rsidRPr="00041BEC" w:rsidRDefault="00041BEC" w:rsidP="00FF5045">
      <w:r w:rsidRPr="00041BEC">
        <w:t>Throughout the study there were 797 TEAEs reported in 151 (79.5%) subjects treated with adalimumab (corresponding to an event rate of 412.3 per 100 patient years).</w:t>
      </w:r>
      <w:r w:rsidR="00E20A7E">
        <w:t xml:space="preserve"> </w:t>
      </w:r>
      <w:r w:rsidRPr="00041BEC">
        <w:t xml:space="preserve">The most commonly reported TEAEs were nasopharyngitis and spondylitis, occurring in 34 (17.9%) subjects and 20 (10.5%) respectively (Table </w:t>
      </w:r>
      <w:r w:rsidR="001C0C5C">
        <w:t>4</w:t>
      </w:r>
      <w:r w:rsidRPr="00041BEC">
        <w:t>).</w:t>
      </w:r>
      <w:r w:rsidR="00E20A7E">
        <w:t xml:space="preserve"> </w:t>
      </w:r>
      <w:r w:rsidRPr="00041BEC">
        <w:t>The infectious AEs were predominantly upper respiratory tract infections (Table</w:t>
      </w:r>
      <w:r w:rsidR="001C0C5C">
        <w:t>5</w:t>
      </w:r>
      <w:r w:rsidRPr="00041BEC">
        <w:t>).</w:t>
      </w:r>
      <w:r w:rsidR="00E20A7E">
        <w:t xml:space="preserve"> </w:t>
      </w:r>
      <w:r w:rsidRPr="00041BEC">
        <w:t>There were three subjects with serious infectious AEs, one of which was TB.</w:t>
      </w:r>
      <w:r w:rsidR="00E20A7E">
        <w:t xml:space="preserve"> </w:t>
      </w:r>
      <w:r w:rsidRPr="00041BEC">
        <w:t>There were no reports of opportunistic infections (excluding TB), lymphomas, NMSC, malignancies (excluding NMSC and lymphomas) or demyelinating disease.</w:t>
      </w:r>
    </w:p>
    <w:p w:rsidR="001C0C5C" w:rsidRPr="00806E6F" w:rsidRDefault="001C0C5C" w:rsidP="00806E6F">
      <w:pPr>
        <w:pStyle w:val="TableTitle"/>
      </w:pPr>
      <w:proofErr w:type="gramStart"/>
      <w:r w:rsidRPr="001C0C5C">
        <w:lastRenderedPageBreak/>
        <w:t xml:space="preserve">Table </w:t>
      </w:r>
      <w:r>
        <w:t>4.</w:t>
      </w:r>
      <w:proofErr w:type="gramEnd"/>
      <w:r>
        <w:t xml:space="preserve"> </w:t>
      </w:r>
      <w:r w:rsidRPr="001C0C5C">
        <w:t xml:space="preserve">Summary of TEAEs Experienced by </w:t>
      </w:r>
      <w:r>
        <w:t>≥</w:t>
      </w:r>
      <w:r w:rsidRPr="001C0C5C">
        <w:t xml:space="preserve">3% of Subjects Administered Adalimumab at Any Time </w:t>
      </w:r>
      <w:r>
        <w:t>t</w:t>
      </w:r>
      <w:r w:rsidRPr="001C0C5C">
        <w:t>hroughout the St</w:t>
      </w:r>
      <w:r w:rsidR="00806E6F">
        <w:t>udy (Any Adalimumab Safety Set)</w:t>
      </w:r>
    </w:p>
    <w:p w:rsidR="001C0C5C" w:rsidRPr="001C0C5C" w:rsidRDefault="001C0C5C" w:rsidP="00806E6F">
      <w:r w:rsidRPr="001C0C5C">
        <w:rPr>
          <w:noProof/>
          <w:lang w:eastAsia="en-AU"/>
        </w:rPr>
        <w:drawing>
          <wp:inline distT="0" distB="0" distL="0" distR="0" wp14:anchorId="2A9CCE60" wp14:editId="5CA60620">
            <wp:extent cx="5248275" cy="6134100"/>
            <wp:effectExtent l="19050" t="0" r="9525" b="0"/>
            <wp:docPr id="124" name="Picture 124" descr="Table 4. Summary of TEAEs Experienced by ≥3% of Subjects Administered Adalimumab at Any Time throughout the Study (Any Adalimumab Safety 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7" cstate="print">
                      <a:duotone>
                        <a:prstClr val="black"/>
                        <a:schemeClr val="bg1">
                          <a:tint val="45000"/>
                          <a:satMod val="400000"/>
                        </a:schemeClr>
                      </a:duotone>
                    </a:blip>
                    <a:srcRect l="1215" r="3125"/>
                    <a:stretch>
                      <a:fillRect/>
                    </a:stretch>
                  </pic:blipFill>
                  <pic:spPr bwMode="auto">
                    <a:xfrm>
                      <a:off x="0" y="0"/>
                      <a:ext cx="5248275" cy="6134100"/>
                    </a:xfrm>
                    <a:prstGeom prst="rect">
                      <a:avLst/>
                    </a:prstGeom>
                    <a:noFill/>
                    <a:ln w="9525">
                      <a:noFill/>
                      <a:miter lim="800000"/>
                      <a:headEnd/>
                      <a:tailEnd/>
                    </a:ln>
                  </pic:spPr>
                </pic:pic>
              </a:graphicData>
            </a:graphic>
          </wp:inline>
        </w:drawing>
      </w:r>
    </w:p>
    <w:p w:rsidR="00806E6F" w:rsidRDefault="001C0C5C" w:rsidP="00806E6F">
      <w:pPr>
        <w:pStyle w:val="TableTitle"/>
      </w:pPr>
      <w:proofErr w:type="gramStart"/>
      <w:r w:rsidRPr="001C0C5C">
        <w:lastRenderedPageBreak/>
        <w:t xml:space="preserve">Table </w:t>
      </w:r>
      <w:r>
        <w:t>5.</w:t>
      </w:r>
      <w:proofErr w:type="gramEnd"/>
      <w:r>
        <w:t xml:space="preserve"> </w:t>
      </w:r>
      <w:r w:rsidRPr="001C0C5C">
        <w:t>Summary of Treatment-Emergent Infections Experienced by &gt;2 Subjects in Any Treatment Group by DB Perio</w:t>
      </w:r>
      <w:r>
        <w:t xml:space="preserve">d and </w:t>
      </w:r>
      <w:r w:rsidRPr="00806E6F">
        <w:t>Any</w:t>
      </w:r>
      <w:r>
        <w:t xml:space="preserve"> </w:t>
      </w:r>
      <w:proofErr w:type="spellStart"/>
      <w:r>
        <w:t>Adalimumab</w:t>
      </w:r>
      <w:proofErr w:type="spellEnd"/>
      <w:r>
        <w:t xml:space="preserve"> Treatment t</w:t>
      </w:r>
      <w:r w:rsidRPr="001C0C5C">
        <w:t xml:space="preserve">hroughout the Study (Safety Analysis </w:t>
      </w:r>
      <w:r w:rsidR="00806E6F">
        <w:t>Set; Any Adalimumab Safety Set)</w:t>
      </w:r>
    </w:p>
    <w:p w:rsidR="001C0C5C" w:rsidRPr="001C0C5C" w:rsidRDefault="001C0C5C" w:rsidP="00806E6F">
      <w:r w:rsidRPr="001C0C5C">
        <w:rPr>
          <w:noProof/>
          <w:lang w:eastAsia="en-AU"/>
        </w:rPr>
        <w:drawing>
          <wp:inline distT="0" distB="0" distL="0" distR="0" wp14:anchorId="6845DDE0" wp14:editId="5B5DDBED">
            <wp:extent cx="5324475" cy="3981450"/>
            <wp:effectExtent l="19050" t="0" r="9525" b="0"/>
            <wp:docPr id="125" name="Picture 125" descr="Table 5. Summary of Treatment-Emergent Infections Experienced by &gt;2 Subjects in Any Treatment Group by DB Period and Any Adalimumab Treatment throughout the Study (Safety Analysis Set; Any Adalimumab Safety 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8" cstate="print">
                      <a:duotone>
                        <a:prstClr val="black"/>
                        <a:schemeClr val="bg1">
                          <a:tint val="45000"/>
                          <a:satMod val="400000"/>
                        </a:schemeClr>
                      </a:duotone>
                    </a:blip>
                    <a:srcRect l="1042" r="1910" b="1415"/>
                    <a:stretch>
                      <a:fillRect/>
                    </a:stretch>
                  </pic:blipFill>
                  <pic:spPr bwMode="auto">
                    <a:xfrm>
                      <a:off x="0" y="0"/>
                      <a:ext cx="5324475" cy="3981450"/>
                    </a:xfrm>
                    <a:prstGeom prst="rect">
                      <a:avLst/>
                    </a:prstGeom>
                    <a:noFill/>
                    <a:ln w="9525">
                      <a:noFill/>
                      <a:miter lim="800000"/>
                      <a:headEnd/>
                      <a:tailEnd/>
                    </a:ln>
                  </pic:spPr>
                </pic:pic>
              </a:graphicData>
            </a:graphic>
          </wp:inline>
        </w:drawing>
      </w:r>
    </w:p>
    <w:p w:rsidR="00041BEC" w:rsidRPr="00041BEC" w:rsidRDefault="00041BEC" w:rsidP="00806E6F">
      <w:r w:rsidRPr="00041BEC">
        <w:t>During the double blind phase, injection site reaction related TEAEs were reported by eight (8.4%) subjects in the adalimumab group and three (3.1%) in the placebo.</w:t>
      </w:r>
      <w:r w:rsidR="00E20A7E">
        <w:t xml:space="preserve"> </w:t>
      </w:r>
      <w:r w:rsidRPr="00041BEC">
        <w:t>Overall, 19 (10.0%) subjects reported injection site AEs during treatment with adalimumab.</w:t>
      </w:r>
    </w:p>
    <w:p w:rsidR="00041BEC" w:rsidRDefault="00041BEC" w:rsidP="00806E6F">
      <w:r w:rsidRPr="00041BEC">
        <w:t xml:space="preserve">Nine (4.7%) subjects reported allergic reaction-related TEAEs following treatment with adalimumab and one subject during placebo (Table </w:t>
      </w:r>
      <w:r w:rsidR="001C0C5C">
        <w:t>6</w:t>
      </w:r>
      <w:r w:rsidRPr="00041BEC">
        <w:t>).</w:t>
      </w:r>
      <w:r w:rsidR="00E20A7E">
        <w:t xml:space="preserve"> </w:t>
      </w:r>
      <w:r w:rsidRPr="00041BEC">
        <w:t>Three of these reactions were considered to be possibly or probably related to treatment with adalimumab.</w:t>
      </w:r>
    </w:p>
    <w:p w:rsidR="001C0C5C" w:rsidRPr="00806E6F" w:rsidRDefault="001C0C5C" w:rsidP="00806E6F">
      <w:pPr>
        <w:pStyle w:val="TableTitle"/>
      </w:pPr>
      <w:proofErr w:type="gramStart"/>
      <w:r w:rsidRPr="001C0C5C">
        <w:t xml:space="preserve">Table </w:t>
      </w:r>
      <w:r>
        <w:t>6.</w:t>
      </w:r>
      <w:proofErr w:type="gramEnd"/>
      <w:r>
        <w:t xml:space="preserve"> </w:t>
      </w:r>
      <w:r w:rsidRPr="001C0C5C">
        <w:t>Listing of Treatment-Emergent Allergic Reactions by Randomized Treatm</w:t>
      </w:r>
      <w:r w:rsidR="00806E6F">
        <w:t>ent Group (Safety Analysis Set)</w:t>
      </w:r>
    </w:p>
    <w:p w:rsidR="001C0C5C" w:rsidRPr="001C0C5C" w:rsidRDefault="00D909CF" w:rsidP="00806E6F">
      <w:r>
        <w:rPr>
          <w:noProof/>
          <w:lang w:eastAsia="en-AU"/>
        </w:rPr>
        <w:drawing>
          <wp:inline distT="0" distB="0" distL="0" distR="0" wp14:anchorId="3ACAEF1C" wp14:editId="1643E11D">
            <wp:extent cx="6162476" cy="442826"/>
            <wp:effectExtent l="19050" t="0" r="0" b="0"/>
            <wp:docPr id="151" name="Picture 151" descr="Table 6. Listing of Treatment-Emergent Allergic Reactions by Randomized Treatment Group (Safety Analysis 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9" cstate="print">
                      <a:duotone>
                        <a:prstClr val="black"/>
                        <a:schemeClr val="bg1">
                          <a:tint val="45000"/>
                          <a:satMod val="400000"/>
                        </a:schemeClr>
                      </a:duotone>
                    </a:blip>
                    <a:srcRect l="9805" b="86999"/>
                    <a:stretch>
                      <a:fillRect/>
                    </a:stretch>
                  </pic:blipFill>
                  <pic:spPr bwMode="auto">
                    <a:xfrm>
                      <a:off x="0" y="0"/>
                      <a:ext cx="6191671" cy="444924"/>
                    </a:xfrm>
                    <a:prstGeom prst="rect">
                      <a:avLst/>
                    </a:prstGeom>
                    <a:noFill/>
                    <a:ln w="9525">
                      <a:noFill/>
                      <a:miter lim="800000"/>
                      <a:headEnd/>
                      <a:tailEnd/>
                    </a:ln>
                  </pic:spPr>
                </pic:pic>
              </a:graphicData>
            </a:graphic>
          </wp:inline>
        </w:drawing>
      </w:r>
      <w:r w:rsidR="001C0C5C" w:rsidRPr="001C0C5C">
        <w:rPr>
          <w:noProof/>
          <w:lang w:eastAsia="en-AU"/>
        </w:rPr>
        <w:drawing>
          <wp:inline distT="0" distB="0" distL="0" distR="0" wp14:anchorId="451FC424" wp14:editId="6EB4722A">
            <wp:extent cx="5966068" cy="542925"/>
            <wp:effectExtent l="19050" t="0" r="0" b="0"/>
            <wp:docPr id="146" name="Picture 146" descr="Table 6. Listing of Treatment-Emergent Allergic Reactions by Randomized Treatment Group (Safety Analysis 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9" cstate="print">
                      <a:duotone>
                        <a:prstClr val="black"/>
                        <a:schemeClr val="bg1">
                          <a:tint val="45000"/>
                          <a:satMod val="400000"/>
                        </a:schemeClr>
                      </a:duotone>
                    </a:blip>
                    <a:srcRect l="11690" t="57407" r="2143" b="26852"/>
                    <a:stretch>
                      <a:fillRect/>
                    </a:stretch>
                  </pic:blipFill>
                  <pic:spPr bwMode="auto">
                    <a:xfrm>
                      <a:off x="0" y="0"/>
                      <a:ext cx="5966068" cy="542925"/>
                    </a:xfrm>
                    <a:prstGeom prst="rect">
                      <a:avLst/>
                    </a:prstGeom>
                    <a:noFill/>
                    <a:ln w="9525">
                      <a:noFill/>
                      <a:miter lim="800000"/>
                      <a:headEnd/>
                      <a:tailEnd/>
                    </a:ln>
                  </pic:spPr>
                </pic:pic>
              </a:graphicData>
            </a:graphic>
          </wp:inline>
        </w:drawing>
      </w:r>
    </w:p>
    <w:p w:rsidR="00041BEC" w:rsidRPr="00041BEC" w:rsidRDefault="00041BEC" w:rsidP="00806E6F">
      <w:pPr>
        <w:pStyle w:val="Heading4"/>
      </w:pPr>
      <w:bookmarkStart w:id="71" w:name="_Ref272333567"/>
      <w:bookmarkStart w:id="72" w:name="_Toc272414665"/>
      <w:bookmarkStart w:id="73" w:name="_Toc290846303"/>
      <w:bookmarkStart w:id="74" w:name="_Toc355289324"/>
      <w:r w:rsidRPr="00041BEC">
        <w:t xml:space="preserve">Treatment-related adverse events (adverse drug </w:t>
      </w:r>
      <w:r w:rsidRPr="00806E6F">
        <w:t>reactions</w:t>
      </w:r>
      <w:r w:rsidRPr="00041BEC">
        <w:t>)</w:t>
      </w:r>
      <w:bookmarkEnd w:id="71"/>
      <w:bookmarkEnd w:id="72"/>
      <w:bookmarkEnd w:id="73"/>
      <w:bookmarkEnd w:id="74"/>
    </w:p>
    <w:p w:rsidR="00041BEC" w:rsidRDefault="00041BEC" w:rsidP="00806E6F">
      <w:r w:rsidRPr="00041BEC">
        <w:t>During the double blind phase there were 63 treatment related TEAEs reported in 31 (32.6%) subjects in the adalimumab group and 39 in 21 (21.6%) in the placebo.</w:t>
      </w:r>
      <w:r w:rsidR="00E20A7E">
        <w:t xml:space="preserve"> </w:t>
      </w:r>
      <w:r w:rsidRPr="00041BEC">
        <w:t xml:space="preserve">Throughout the study there were 263 </w:t>
      </w:r>
      <w:proofErr w:type="gramStart"/>
      <w:r w:rsidRPr="00041BEC">
        <w:t>treatment</w:t>
      </w:r>
      <w:proofErr w:type="gramEnd"/>
      <w:r w:rsidRPr="00041BEC">
        <w:t xml:space="preserve"> related TEAEs reported in 86 (45.3%) subjects treated with adalimumab (corresponding to an event rate of 136.1 per 100 patient years).</w:t>
      </w:r>
      <w:r w:rsidR="00E20A7E">
        <w:t xml:space="preserve"> </w:t>
      </w:r>
      <w:r w:rsidRPr="00041BEC">
        <w:t xml:space="preserve">The most commonly reported treatment related TEAE occurring in subjects treated with adalimumab was nasopharyngitis, occurring in 20 (10.5%) subjects (Table </w:t>
      </w:r>
      <w:r w:rsidR="00D909CF">
        <w:t>7</w:t>
      </w:r>
      <w:r w:rsidRPr="00041BEC">
        <w:t>).</w:t>
      </w:r>
    </w:p>
    <w:p w:rsidR="00D909CF" w:rsidRPr="00806E6F" w:rsidRDefault="00D909CF" w:rsidP="00806E6F">
      <w:pPr>
        <w:pStyle w:val="TableTitle"/>
      </w:pPr>
      <w:proofErr w:type="gramStart"/>
      <w:r w:rsidRPr="00D909CF">
        <w:lastRenderedPageBreak/>
        <w:t xml:space="preserve">Table </w:t>
      </w:r>
      <w:r>
        <w:t>7.</w:t>
      </w:r>
      <w:proofErr w:type="gramEnd"/>
      <w:r>
        <w:t xml:space="preserve"> </w:t>
      </w:r>
      <w:r w:rsidRPr="00D909CF">
        <w:t xml:space="preserve">Summary of TEAEs Possibly or Probably Related to Study Drug Experienced by &gt;1 Subject Administered Adalimumab at Any Time </w:t>
      </w:r>
      <w:proofErr w:type="gramStart"/>
      <w:r w:rsidRPr="00D909CF">
        <w:t>Throughout</w:t>
      </w:r>
      <w:proofErr w:type="gramEnd"/>
      <w:r w:rsidRPr="00D909CF">
        <w:t xml:space="preserve"> the St</w:t>
      </w:r>
      <w:r w:rsidR="00806E6F">
        <w:t>udy (Any Adalimumab Safety Set)</w:t>
      </w:r>
    </w:p>
    <w:p w:rsidR="00D909CF" w:rsidRPr="00D909CF" w:rsidRDefault="00D909CF" w:rsidP="00806E6F">
      <w:r w:rsidRPr="00D909CF">
        <w:rPr>
          <w:noProof/>
          <w:lang w:eastAsia="en-AU"/>
        </w:rPr>
        <w:drawing>
          <wp:inline distT="0" distB="0" distL="0" distR="0" wp14:anchorId="1B8CB457" wp14:editId="7FEF237A">
            <wp:extent cx="3829050" cy="4391025"/>
            <wp:effectExtent l="19050" t="0" r="0" b="0"/>
            <wp:docPr id="174" name="Picture 174" descr="Table 7. Summary of TEAEs Possibly or Probably Related to Study Drug Experienced by &gt;1 Subject Administered Adalimumab at Any Time Throughout the Study (Any Adalimumab Safety 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30" cstate="print">
                      <a:duotone>
                        <a:prstClr val="black"/>
                        <a:schemeClr val="bg1">
                          <a:tint val="45000"/>
                          <a:satMod val="400000"/>
                        </a:schemeClr>
                      </a:duotone>
                    </a:blip>
                    <a:srcRect l="1471"/>
                    <a:stretch>
                      <a:fillRect/>
                    </a:stretch>
                  </pic:blipFill>
                  <pic:spPr bwMode="auto">
                    <a:xfrm>
                      <a:off x="0" y="0"/>
                      <a:ext cx="3829050" cy="4391025"/>
                    </a:xfrm>
                    <a:prstGeom prst="rect">
                      <a:avLst/>
                    </a:prstGeom>
                    <a:noFill/>
                    <a:ln w="9525">
                      <a:noFill/>
                      <a:miter lim="800000"/>
                      <a:headEnd/>
                      <a:tailEnd/>
                    </a:ln>
                  </pic:spPr>
                </pic:pic>
              </a:graphicData>
            </a:graphic>
          </wp:inline>
        </w:drawing>
      </w:r>
      <w:r w:rsidRPr="00D909CF">
        <w:rPr>
          <w:noProof/>
          <w:lang w:eastAsia="en-AU"/>
        </w:rPr>
        <w:drawing>
          <wp:inline distT="0" distB="0" distL="0" distR="0" wp14:anchorId="1430F02A" wp14:editId="347A43DD">
            <wp:extent cx="3886200" cy="2962275"/>
            <wp:effectExtent l="19050" t="0" r="0" b="0"/>
            <wp:docPr id="175" name="Picture 175" descr="Table 7. Summary of TEAEs Possibly or Probably Related to Study Drug Experienced by &gt;1 Subject Administered Adalimumab at Any Time Throughout the Study (Any Adalimumab Safety 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31" cstate="print">
                      <a:duotone>
                        <a:prstClr val="black"/>
                        <a:schemeClr val="bg1">
                          <a:tint val="45000"/>
                          <a:satMod val="400000"/>
                        </a:schemeClr>
                      </a:duotone>
                    </a:blip>
                    <a:srcRect/>
                    <a:stretch>
                      <a:fillRect/>
                    </a:stretch>
                  </pic:blipFill>
                  <pic:spPr bwMode="auto">
                    <a:xfrm>
                      <a:off x="0" y="0"/>
                      <a:ext cx="3886200" cy="2962275"/>
                    </a:xfrm>
                    <a:prstGeom prst="rect">
                      <a:avLst/>
                    </a:prstGeom>
                    <a:noFill/>
                    <a:ln w="9525">
                      <a:noFill/>
                      <a:miter lim="800000"/>
                      <a:headEnd/>
                      <a:tailEnd/>
                    </a:ln>
                  </pic:spPr>
                </pic:pic>
              </a:graphicData>
            </a:graphic>
          </wp:inline>
        </w:drawing>
      </w:r>
    </w:p>
    <w:p w:rsidR="00041BEC" w:rsidRPr="00041BEC" w:rsidRDefault="00041BEC" w:rsidP="00806E6F">
      <w:pPr>
        <w:pStyle w:val="Heading4"/>
      </w:pPr>
      <w:bookmarkStart w:id="75" w:name="_Toc241374320"/>
      <w:bookmarkStart w:id="76" w:name="_Ref272333507"/>
      <w:bookmarkStart w:id="77" w:name="_Toc272414666"/>
      <w:bookmarkStart w:id="78" w:name="_Toc290846304"/>
      <w:bookmarkStart w:id="79" w:name="_Toc355289325"/>
      <w:r w:rsidRPr="00041BEC">
        <w:t>Deaths and other serious adverse events</w:t>
      </w:r>
      <w:bookmarkEnd w:id="75"/>
      <w:bookmarkEnd w:id="76"/>
      <w:bookmarkEnd w:id="77"/>
      <w:bookmarkEnd w:id="78"/>
      <w:bookmarkEnd w:id="79"/>
    </w:p>
    <w:p w:rsidR="00041BEC" w:rsidRPr="00041BEC" w:rsidRDefault="00041BEC" w:rsidP="00806E6F">
      <w:r w:rsidRPr="00041BEC">
        <w:t>During the double blind phase there were no deaths.</w:t>
      </w:r>
      <w:r w:rsidR="00E20A7E">
        <w:t xml:space="preserve"> </w:t>
      </w:r>
      <w:r w:rsidRPr="00041BEC">
        <w:t xml:space="preserve">There were three </w:t>
      </w:r>
      <w:r w:rsidR="00D909CF">
        <w:t>serious AEs (</w:t>
      </w:r>
      <w:r w:rsidRPr="00041BEC">
        <w:t>SAEs</w:t>
      </w:r>
      <w:r w:rsidR="00D909CF">
        <w:t>)</w:t>
      </w:r>
      <w:r w:rsidRPr="00041BEC">
        <w:t xml:space="preserve"> reported in three (3.2%) subjects in the adalimumab group and five in one (1.0%) subject in the placebo.</w:t>
      </w:r>
    </w:p>
    <w:p w:rsidR="00041BEC" w:rsidRPr="00041BEC" w:rsidRDefault="00041BEC" w:rsidP="00806E6F">
      <w:r w:rsidRPr="00041BEC">
        <w:lastRenderedPageBreak/>
        <w:t>Throughout the study there were two deaths reported: one suicide 40 days after ceasing treatment; one on Day 649 (after the Week 68 cut</w:t>
      </w:r>
      <w:r w:rsidR="00D909CF">
        <w:t xml:space="preserve"> </w:t>
      </w:r>
      <w:r w:rsidRPr="00041BEC">
        <w:t>off date) due to opioid toxicity.</w:t>
      </w:r>
      <w:r w:rsidR="00E20A7E">
        <w:t xml:space="preserve"> </w:t>
      </w:r>
      <w:r w:rsidRPr="00041BEC">
        <w:t>There were 24 SAEs reported in 19 (10.0%) subjects treated with adalimumab (corresponding to an event rate of 12.4 per 100 patient years).</w:t>
      </w:r>
      <w:r w:rsidR="00E20A7E">
        <w:t xml:space="preserve"> </w:t>
      </w:r>
      <w:r w:rsidRPr="00041BEC">
        <w:t>There was no clear pattern to the SAEs.</w:t>
      </w:r>
    </w:p>
    <w:p w:rsidR="00041BEC" w:rsidRPr="00041BEC" w:rsidRDefault="00041BEC" w:rsidP="00806E6F">
      <w:pPr>
        <w:pStyle w:val="Heading4"/>
      </w:pPr>
      <w:bookmarkStart w:id="80" w:name="_Toc241374325"/>
      <w:bookmarkStart w:id="81" w:name="_Ref272333477"/>
      <w:bookmarkStart w:id="82" w:name="_Toc272414667"/>
      <w:bookmarkStart w:id="83" w:name="_Toc290846305"/>
      <w:bookmarkStart w:id="84" w:name="_Toc355289326"/>
      <w:r w:rsidRPr="00041BEC">
        <w:t xml:space="preserve">Discontinuation due to adverse </w:t>
      </w:r>
      <w:r w:rsidRPr="00806E6F">
        <w:t>events</w:t>
      </w:r>
      <w:bookmarkEnd w:id="80"/>
      <w:bookmarkEnd w:id="81"/>
      <w:bookmarkEnd w:id="82"/>
      <w:bookmarkEnd w:id="83"/>
      <w:bookmarkEnd w:id="84"/>
    </w:p>
    <w:p w:rsidR="00041BEC" w:rsidRPr="00041BEC" w:rsidRDefault="00041BEC" w:rsidP="00806E6F">
      <w:r w:rsidRPr="00041BEC">
        <w:t xml:space="preserve">During the double blind phase there was </w:t>
      </w:r>
      <w:proofErr w:type="gramStart"/>
      <w:r w:rsidRPr="00041BEC">
        <w:t>four</w:t>
      </w:r>
      <w:r w:rsidRPr="00D909CF">
        <w:t xml:space="preserve"> </w:t>
      </w:r>
      <w:r w:rsidR="00D909CF">
        <w:t>d</w:t>
      </w:r>
      <w:r w:rsidR="00D909CF" w:rsidRPr="00D909CF">
        <w:t>iscontinuation due to adverse events</w:t>
      </w:r>
      <w:r w:rsidR="00D909CF">
        <w:t xml:space="preserve"> (</w:t>
      </w:r>
      <w:r w:rsidRPr="00041BEC">
        <w:t>DAEs</w:t>
      </w:r>
      <w:r w:rsidR="00D909CF">
        <w:t>)</w:t>
      </w:r>
      <w:proofErr w:type="gramEnd"/>
      <w:r w:rsidRPr="00041BEC">
        <w:t xml:space="preserve"> reported in two (2.1%) subjects in the adalimumab group and one in one (1.0%) subject in the placebo.</w:t>
      </w:r>
      <w:r w:rsidR="00E20A7E">
        <w:t xml:space="preserve"> </w:t>
      </w:r>
      <w:r w:rsidRPr="00041BEC">
        <w:t>Throughout the study there were 16 DAEs reported in 12 (6.3%) subjects treated with adalimumab (corresponding to an event rate of 8.3 per 100 patient years).</w:t>
      </w:r>
      <w:r w:rsidR="00E20A7E">
        <w:t xml:space="preserve"> </w:t>
      </w:r>
      <w:r w:rsidRPr="00041BEC">
        <w:t>There was no clear pattern to the AEs leading to discontinuation.</w:t>
      </w:r>
    </w:p>
    <w:p w:rsidR="00041BEC" w:rsidRPr="00041BEC" w:rsidRDefault="00041BEC" w:rsidP="00806E6F">
      <w:pPr>
        <w:pStyle w:val="Heading3"/>
      </w:pPr>
      <w:bookmarkStart w:id="85" w:name="_Toc241374321"/>
      <w:bookmarkStart w:id="86" w:name="_Ref271044780"/>
      <w:bookmarkStart w:id="87" w:name="_Ref271196640"/>
      <w:bookmarkStart w:id="88" w:name="_Ref272333085"/>
      <w:bookmarkStart w:id="89" w:name="_Toc272414668"/>
      <w:bookmarkStart w:id="90" w:name="_Toc290846306"/>
      <w:bookmarkStart w:id="91" w:name="_Toc355289327"/>
      <w:bookmarkStart w:id="92" w:name="_Toc383176411"/>
      <w:r w:rsidRPr="00041BEC">
        <w:t>Laboratory tests</w:t>
      </w:r>
      <w:bookmarkEnd w:id="85"/>
      <w:bookmarkEnd w:id="86"/>
      <w:bookmarkEnd w:id="87"/>
      <w:bookmarkEnd w:id="88"/>
      <w:bookmarkEnd w:id="89"/>
      <w:bookmarkEnd w:id="90"/>
      <w:bookmarkEnd w:id="91"/>
      <w:bookmarkEnd w:id="92"/>
    </w:p>
    <w:p w:rsidR="00041BEC" w:rsidRPr="00041BEC" w:rsidRDefault="00041BEC" w:rsidP="00806E6F">
      <w:pPr>
        <w:pStyle w:val="Heading4"/>
      </w:pPr>
      <w:bookmarkStart w:id="93" w:name="_Toc272414669"/>
      <w:bookmarkStart w:id="94" w:name="_Toc290846307"/>
      <w:bookmarkStart w:id="95" w:name="_Toc355289328"/>
      <w:r w:rsidRPr="00041BEC">
        <w:t>Liver function</w:t>
      </w:r>
      <w:bookmarkEnd w:id="93"/>
      <w:bookmarkEnd w:id="94"/>
      <w:bookmarkEnd w:id="95"/>
    </w:p>
    <w:p w:rsidR="00041BEC" w:rsidRPr="00041BEC" w:rsidRDefault="00041BEC" w:rsidP="00806E6F">
      <w:r w:rsidRPr="00041BEC">
        <w:t xml:space="preserve">During treatment with adalimumab three (1.6%) subjects had elevated </w:t>
      </w:r>
      <w:r w:rsidR="00D909CF">
        <w:t>alanine aminotransferase (</w:t>
      </w:r>
      <w:r w:rsidRPr="00041BEC">
        <w:t>ALT</w:t>
      </w:r>
      <w:r w:rsidR="00D909CF">
        <w:t>)</w:t>
      </w:r>
      <w:r w:rsidRPr="00041BEC">
        <w:t xml:space="preserve">, two (1.1%) had elevated </w:t>
      </w:r>
      <w:r w:rsidR="00D909CF">
        <w:t xml:space="preserve">aspartate aminotransferase </w:t>
      </w:r>
      <w:r w:rsidRPr="00041BEC">
        <w:t xml:space="preserve">AST and two had elevated </w:t>
      </w:r>
      <w:proofErr w:type="spellStart"/>
      <w:r w:rsidR="00D909CF" w:rsidRPr="00D909CF">
        <w:t>Gammaglutamyltransferase</w:t>
      </w:r>
      <w:proofErr w:type="spellEnd"/>
      <w:r w:rsidR="00D909CF" w:rsidRPr="00D909CF">
        <w:t xml:space="preserve"> </w:t>
      </w:r>
      <w:r w:rsidR="00D909CF">
        <w:t>(</w:t>
      </w:r>
      <w:r w:rsidRPr="00041BEC">
        <w:t>GGT</w:t>
      </w:r>
      <w:r w:rsidR="00D909CF">
        <w:t>)</w:t>
      </w:r>
      <w:r w:rsidRPr="00041BEC">
        <w:t>, reported as AEs.</w:t>
      </w:r>
    </w:p>
    <w:p w:rsidR="00041BEC" w:rsidRPr="00041BEC" w:rsidRDefault="00041BEC" w:rsidP="00806E6F">
      <w:pPr>
        <w:pStyle w:val="Heading4"/>
      </w:pPr>
      <w:bookmarkStart w:id="96" w:name="_Toc272414671"/>
      <w:bookmarkStart w:id="97" w:name="_Toc290846309"/>
      <w:bookmarkStart w:id="98" w:name="_Toc355289329"/>
      <w:r w:rsidRPr="00041BEC">
        <w:t xml:space="preserve">Other clinical </w:t>
      </w:r>
      <w:bookmarkEnd w:id="96"/>
      <w:bookmarkEnd w:id="97"/>
      <w:r w:rsidRPr="00041BEC">
        <w:t>investigations</w:t>
      </w:r>
      <w:bookmarkEnd w:id="98"/>
    </w:p>
    <w:p w:rsidR="00041BEC" w:rsidRPr="00041BEC" w:rsidRDefault="00041BEC" w:rsidP="00806E6F">
      <w:r w:rsidRPr="00041BEC">
        <w:t>There were no clinically significant changes in haematology or clinical chemistry parameters.</w:t>
      </w:r>
    </w:p>
    <w:p w:rsidR="00041BEC" w:rsidRPr="00041BEC" w:rsidRDefault="00041BEC" w:rsidP="00806E6F">
      <w:pPr>
        <w:pStyle w:val="Heading4"/>
      </w:pPr>
      <w:bookmarkStart w:id="99" w:name="_Toc272414676"/>
      <w:bookmarkStart w:id="100" w:name="_Toc290846314"/>
      <w:bookmarkStart w:id="101" w:name="_Toc355289330"/>
      <w:r w:rsidRPr="00041BEC">
        <w:t>Vital signs</w:t>
      </w:r>
      <w:bookmarkEnd w:id="99"/>
      <w:bookmarkEnd w:id="100"/>
      <w:bookmarkEnd w:id="101"/>
    </w:p>
    <w:p w:rsidR="00041BEC" w:rsidRPr="00041BEC" w:rsidRDefault="00041BEC" w:rsidP="00806E6F">
      <w:r w:rsidRPr="00041BEC">
        <w:t>There were no significant changes in the mean values for vital signs during the study.</w:t>
      </w:r>
    </w:p>
    <w:p w:rsidR="00041BEC" w:rsidRPr="00041BEC" w:rsidRDefault="00041BEC" w:rsidP="00806E6F">
      <w:pPr>
        <w:pStyle w:val="Heading3"/>
      </w:pPr>
      <w:bookmarkStart w:id="102" w:name="_Toc241374326"/>
      <w:bookmarkStart w:id="103" w:name="_Ref272333048"/>
      <w:bookmarkStart w:id="104" w:name="_Toc272414679"/>
      <w:bookmarkStart w:id="105" w:name="_Toc290846317"/>
      <w:bookmarkStart w:id="106" w:name="_Toc355289331"/>
      <w:bookmarkStart w:id="107" w:name="_Toc383176412"/>
      <w:r w:rsidRPr="00041BEC">
        <w:t>Postmarketing experience</w:t>
      </w:r>
      <w:bookmarkEnd w:id="102"/>
      <w:bookmarkEnd w:id="103"/>
      <w:bookmarkEnd w:id="104"/>
      <w:bookmarkEnd w:id="105"/>
      <w:bookmarkEnd w:id="106"/>
      <w:bookmarkEnd w:id="107"/>
    </w:p>
    <w:p w:rsidR="00041BEC" w:rsidRPr="00041BEC" w:rsidRDefault="00041BEC" w:rsidP="00806E6F">
      <w:r w:rsidRPr="00041BEC">
        <w:t>No postmarketing data were included in the submission.</w:t>
      </w:r>
    </w:p>
    <w:p w:rsidR="00041BEC" w:rsidRPr="00041BEC" w:rsidRDefault="00041BEC" w:rsidP="00806E6F">
      <w:pPr>
        <w:pStyle w:val="Heading3"/>
      </w:pPr>
      <w:bookmarkStart w:id="108" w:name="_Toc241374328"/>
      <w:bookmarkStart w:id="109" w:name="_Toc272414691"/>
      <w:bookmarkStart w:id="110" w:name="_Toc290846329"/>
      <w:bookmarkStart w:id="111" w:name="_Toc355289334"/>
      <w:bookmarkStart w:id="112" w:name="_Toc383176413"/>
      <w:r w:rsidRPr="00041BEC">
        <w:t xml:space="preserve">Evaluator’s overall conclusions </w:t>
      </w:r>
      <w:r w:rsidRPr="00806E6F">
        <w:t>on</w:t>
      </w:r>
      <w:r w:rsidRPr="00041BEC">
        <w:t xml:space="preserve"> clinical safety</w:t>
      </w:r>
      <w:bookmarkEnd w:id="108"/>
      <w:bookmarkEnd w:id="109"/>
      <w:bookmarkEnd w:id="110"/>
      <w:bookmarkEnd w:id="111"/>
      <w:bookmarkEnd w:id="112"/>
    </w:p>
    <w:p w:rsidR="00041BEC" w:rsidRPr="00041BEC" w:rsidRDefault="00041BEC" w:rsidP="00806E6F">
      <w:r w:rsidRPr="00041BEC">
        <w:t>Exposure to adalimumab for the indication of nr-</w:t>
      </w:r>
      <w:proofErr w:type="spellStart"/>
      <w:r w:rsidRPr="00041BEC">
        <w:t>axSpA</w:t>
      </w:r>
      <w:proofErr w:type="spellEnd"/>
      <w:r w:rsidRPr="00041BEC">
        <w:t xml:space="preserve"> is limited, with total exposure being 190 subjects of whom 147 were exposed for </w:t>
      </w:r>
      <w:r w:rsidR="00D909CF">
        <w:t>≥</w:t>
      </w:r>
      <w:r w:rsidRPr="00041BEC">
        <w:t>343</w:t>
      </w:r>
      <w:r w:rsidR="008C7F73">
        <w:t xml:space="preserve"> days</w:t>
      </w:r>
      <w:r w:rsidRPr="00041BEC">
        <w:t xml:space="preserve"> and total patient-years exposure was 193.3 years.</w:t>
      </w:r>
    </w:p>
    <w:p w:rsidR="00041BEC" w:rsidRPr="00041BEC" w:rsidRDefault="00041BEC" w:rsidP="00806E6F">
      <w:r w:rsidRPr="00041BEC">
        <w:t>The rate of TEAEs during the 12 week double blind phase was similar to that for placebo.</w:t>
      </w:r>
      <w:r w:rsidR="00E20A7E">
        <w:t xml:space="preserve"> </w:t>
      </w:r>
      <w:r w:rsidRPr="00041BEC">
        <w:t>The rate of infections was similar to that for placebo.</w:t>
      </w:r>
      <w:r w:rsidR="00E20A7E">
        <w:t xml:space="preserve"> </w:t>
      </w:r>
      <w:r w:rsidRPr="00041BEC">
        <w:t>Injection site related AEs were more common with adalimumab than placebo: 8.4% subjects compared with 3.1% respectively.</w:t>
      </w:r>
      <w:r w:rsidR="00E20A7E">
        <w:t xml:space="preserve"> </w:t>
      </w:r>
      <w:r w:rsidRPr="00041BEC">
        <w:t>These injection site reactions were mild in nature.</w:t>
      </w:r>
      <w:r w:rsidR="00E20A7E">
        <w:t xml:space="preserve"> </w:t>
      </w:r>
      <w:r w:rsidRPr="00041BEC">
        <w:t>Allergic reactions were more common with adalimumab than placebo: nine (4.7%) subjects compared with one respectively.</w:t>
      </w:r>
      <w:r w:rsidR="00E20A7E">
        <w:t xml:space="preserve"> </w:t>
      </w:r>
      <w:r w:rsidRPr="00041BEC">
        <w:t>The rate of SAEs was similar for the two treatment groups.</w:t>
      </w:r>
      <w:r w:rsidR="00E20A7E">
        <w:t xml:space="preserve"> </w:t>
      </w:r>
      <w:r w:rsidRPr="00041BEC">
        <w:t>The rate of DAE was similar for the two treatment groups.</w:t>
      </w:r>
    </w:p>
    <w:p w:rsidR="00041BEC" w:rsidRPr="00041BEC" w:rsidRDefault="00041BEC" w:rsidP="00806E6F">
      <w:r w:rsidRPr="00041BEC">
        <w:t>Overall, in those subjects exposed to adalimumab the profile of AEs was similar to that previously reported for adalimumab.</w:t>
      </w:r>
      <w:r w:rsidR="00E20A7E">
        <w:t xml:space="preserve"> </w:t>
      </w:r>
      <w:r w:rsidRPr="00041BEC">
        <w:t>There were three subjects with serious infectious AEs, one of which was TB.</w:t>
      </w:r>
      <w:r w:rsidR="00E20A7E">
        <w:t xml:space="preserve"> </w:t>
      </w:r>
      <w:r w:rsidRPr="00041BEC">
        <w:t>There were no reports of opportunistic infections (excluding TB), lymphomas, NMSC, malignancies (excluding NMSC and lymphomas) or demyelinating disease.</w:t>
      </w:r>
    </w:p>
    <w:p w:rsidR="00041BEC" w:rsidRPr="00041BEC" w:rsidRDefault="00041BEC" w:rsidP="00806E6F">
      <w:r w:rsidRPr="00041BEC">
        <w:t>There were two deaths during the study, neither of which appeared to be related to study treatment.</w:t>
      </w:r>
    </w:p>
    <w:p w:rsidR="00041BEC" w:rsidRPr="00041BEC" w:rsidRDefault="00041BEC" w:rsidP="00806E6F">
      <w:r w:rsidRPr="00041BEC">
        <w:t>There were no new safety concerns apparent in the clinical data.</w:t>
      </w:r>
    </w:p>
    <w:p w:rsidR="00041BEC" w:rsidRPr="00041BEC" w:rsidRDefault="00041BEC" w:rsidP="00806E6F">
      <w:r w:rsidRPr="00041BEC">
        <w:t>There were no indications of drug interactions, or of concomitant medication (including DMARDs) contributing to an increased risk of AEs.</w:t>
      </w:r>
    </w:p>
    <w:p w:rsidR="00041BEC" w:rsidRPr="00041BEC" w:rsidRDefault="00041BEC" w:rsidP="00806E6F">
      <w:r w:rsidRPr="00041BEC">
        <w:lastRenderedPageBreak/>
        <w:t>The safety data is limited by the relatively small number of subjects exposed to adalimumab of the indication of nr-</w:t>
      </w:r>
      <w:proofErr w:type="spellStart"/>
      <w:r w:rsidRPr="00041BEC">
        <w:t>axSpA</w:t>
      </w:r>
      <w:proofErr w:type="spellEnd"/>
      <w:r w:rsidRPr="00041BEC">
        <w:t>.</w:t>
      </w:r>
      <w:r w:rsidR="00E20A7E">
        <w:t xml:space="preserve"> </w:t>
      </w:r>
      <w:r w:rsidRPr="00041BEC">
        <w:t xml:space="preserve">However, the indication is similar to AS, and the patient group studied similar to others previously studied for other indications </w:t>
      </w:r>
      <w:r w:rsidR="00467C1F">
        <w:t>that</w:t>
      </w:r>
      <w:r w:rsidRPr="00041BEC">
        <w:t xml:space="preserve"> adalimumab is </w:t>
      </w:r>
      <w:r w:rsidR="00D909CF">
        <w:t xml:space="preserve">already </w:t>
      </w:r>
      <w:r w:rsidRPr="00041BEC">
        <w:t>approved</w:t>
      </w:r>
      <w:r w:rsidR="00467C1F">
        <w:t xml:space="preserve"> for</w:t>
      </w:r>
      <w:r w:rsidRPr="00041BEC">
        <w:t>.</w:t>
      </w:r>
      <w:r w:rsidR="00E20A7E">
        <w:t xml:space="preserve"> </w:t>
      </w:r>
      <w:r w:rsidRPr="00041BEC">
        <w:t>Hence, the adverse effects profile of adalimumab for the indication of nr-</w:t>
      </w:r>
      <w:proofErr w:type="spellStart"/>
      <w:r w:rsidRPr="00041BEC">
        <w:t>axSpA</w:t>
      </w:r>
      <w:proofErr w:type="spellEnd"/>
      <w:r w:rsidRPr="00041BEC">
        <w:t xml:space="preserve"> can be expected to be the same as that for the previously approved indications.</w:t>
      </w:r>
    </w:p>
    <w:p w:rsidR="00C22678" w:rsidRDefault="00C22678" w:rsidP="00806E6F">
      <w:pPr>
        <w:pStyle w:val="Heading2"/>
      </w:pPr>
      <w:bookmarkStart w:id="113" w:name="_Toc383176414"/>
      <w:r>
        <w:t>First round benefit-risk assessment</w:t>
      </w:r>
      <w:bookmarkEnd w:id="113"/>
    </w:p>
    <w:p w:rsidR="00041BEC" w:rsidRPr="00041BEC" w:rsidRDefault="00041BEC" w:rsidP="00806E6F">
      <w:pPr>
        <w:pStyle w:val="Heading3"/>
      </w:pPr>
      <w:bookmarkStart w:id="114" w:name="_Toc236802592"/>
      <w:bookmarkStart w:id="115" w:name="_Toc241374331"/>
      <w:bookmarkStart w:id="116" w:name="_Ref272160836"/>
      <w:bookmarkStart w:id="117" w:name="_Toc272414693"/>
      <w:bookmarkStart w:id="118" w:name="_Toc290846331"/>
      <w:bookmarkStart w:id="119" w:name="_Toc355289336"/>
      <w:bookmarkStart w:id="120" w:name="_Toc383176415"/>
      <w:r w:rsidRPr="00041BEC">
        <w:t>First round assessment of benefits</w:t>
      </w:r>
      <w:bookmarkEnd w:id="114"/>
      <w:bookmarkEnd w:id="115"/>
      <w:bookmarkEnd w:id="116"/>
      <w:bookmarkEnd w:id="117"/>
      <w:bookmarkEnd w:id="118"/>
      <w:bookmarkEnd w:id="119"/>
      <w:bookmarkEnd w:id="120"/>
    </w:p>
    <w:p w:rsidR="00041BEC" w:rsidRPr="00041BEC" w:rsidRDefault="00041BEC" w:rsidP="00806E6F">
      <w:r w:rsidRPr="00041BEC">
        <w:t>Efficacy has been demonstrated for adalimumab in comparison with placebo for the indication of nr-</w:t>
      </w:r>
      <w:proofErr w:type="spellStart"/>
      <w:r w:rsidRPr="00041BEC">
        <w:t>axSpA</w:t>
      </w:r>
      <w:proofErr w:type="spellEnd"/>
      <w:r w:rsidRPr="00041BEC">
        <w:t xml:space="preserve"> over a 12 week period.</w:t>
      </w:r>
      <w:r w:rsidR="00E20A7E">
        <w:t xml:space="preserve"> </w:t>
      </w:r>
      <w:r w:rsidRPr="00041BEC">
        <w:t>The response rate was both clinically and statistically significant.</w:t>
      </w:r>
      <w:r w:rsidR="00E20A7E">
        <w:t xml:space="preserve"> </w:t>
      </w:r>
      <w:r w:rsidRPr="00041BEC">
        <w:t>The response was maintained in an open label follow-on study for up to 68 weeks.</w:t>
      </w:r>
      <w:r w:rsidR="00E20A7E">
        <w:t xml:space="preserve"> </w:t>
      </w:r>
      <w:r w:rsidRPr="00041BEC">
        <w:t>Response was greater in subjects with elevated CRP at baseline and with shorter duration of symptoms.</w:t>
      </w:r>
      <w:r w:rsidR="00E20A7E">
        <w:t xml:space="preserve"> </w:t>
      </w:r>
      <w:r w:rsidRPr="00041BEC">
        <w:rPr>
          <w:lang w:val="en-US"/>
        </w:rPr>
        <w:t>For those subjects with no concomitant DMARDs at baseline (monotherapy) there were five (26.3%) responders in the adalimumab group and none in the placebo.</w:t>
      </w:r>
    </w:p>
    <w:p w:rsidR="00041BEC" w:rsidRPr="00041BEC" w:rsidRDefault="00041BEC" w:rsidP="00806E6F">
      <w:r w:rsidRPr="00041BEC">
        <w:t>The indication of nr-</w:t>
      </w:r>
      <w:proofErr w:type="spellStart"/>
      <w:r w:rsidRPr="00041BEC">
        <w:t>axSpA</w:t>
      </w:r>
      <w:proofErr w:type="spellEnd"/>
      <w:r w:rsidRPr="00041BEC">
        <w:t xml:space="preserve"> could be considered to be an extension of AS, which is currently an approved indication for adalimumab.</w:t>
      </w:r>
      <w:r w:rsidR="00E20A7E">
        <w:t xml:space="preserve"> </w:t>
      </w:r>
      <w:r w:rsidRPr="00041BEC">
        <w:t>This supports the dose regimen chosen for development for nr-</w:t>
      </w:r>
      <w:proofErr w:type="spellStart"/>
      <w:r w:rsidRPr="00041BEC">
        <w:t>axSpA</w:t>
      </w:r>
      <w:proofErr w:type="spellEnd"/>
      <w:r w:rsidRPr="00041BEC">
        <w:t>.</w:t>
      </w:r>
    </w:p>
    <w:p w:rsidR="00041BEC" w:rsidRPr="00041BEC" w:rsidRDefault="00041BEC" w:rsidP="00806E6F">
      <w:r w:rsidRPr="00041BEC">
        <w:t>The primary efficacy outcome measure was ASAS40 response.</w:t>
      </w:r>
      <w:r w:rsidR="00E20A7E">
        <w:t xml:space="preserve"> </w:t>
      </w:r>
      <w:r w:rsidRPr="00041BEC">
        <w:t>This measure was a previously validated outcome measure and was developed independent of the development program.</w:t>
      </w:r>
      <w:r w:rsidR="00E20A7E">
        <w:t xml:space="preserve"> </w:t>
      </w:r>
      <w:r w:rsidRPr="00041BEC">
        <w:t>There were a large number of secondary outcome measures, all of which can be rationally applied to nr-</w:t>
      </w:r>
      <w:proofErr w:type="spellStart"/>
      <w:r w:rsidRPr="00041BEC">
        <w:t>axSpA</w:t>
      </w:r>
      <w:proofErr w:type="spellEnd"/>
      <w:r w:rsidRPr="00041BEC">
        <w:t>.</w:t>
      </w:r>
      <w:r w:rsidR="00E20A7E">
        <w:t xml:space="preserve"> </w:t>
      </w:r>
      <w:r w:rsidRPr="00041BEC">
        <w:t>All of these outcome measures were supportive of efficacy compared with placebo over 12 weeks, and maint</w:t>
      </w:r>
      <w:r w:rsidR="00D17580">
        <w:t>e</w:t>
      </w:r>
      <w:r w:rsidRPr="00041BEC">
        <w:t>n</w:t>
      </w:r>
      <w:r w:rsidR="00D17580">
        <w:t>an</w:t>
      </w:r>
      <w:r w:rsidRPr="00041BEC">
        <w:t>ce of efficacy for up to 68 weeks.</w:t>
      </w:r>
    </w:p>
    <w:p w:rsidR="00041BEC" w:rsidRPr="00041BEC" w:rsidRDefault="00041BEC" w:rsidP="00806E6F">
      <w:r w:rsidRPr="00041BEC">
        <w:t>The limitations of the efficacy data include:</w:t>
      </w:r>
    </w:p>
    <w:p w:rsidR="00041BEC" w:rsidRPr="00041BEC" w:rsidRDefault="00041BEC" w:rsidP="00806E6F">
      <w:pPr>
        <w:pStyle w:val="ListBullet"/>
      </w:pPr>
      <w:r w:rsidRPr="00041BEC">
        <w:t xml:space="preserve">Few elderly subjects were included in Study M10-791 (only two subjects </w:t>
      </w:r>
      <w:r w:rsidRPr="00806E6F">
        <w:t>over</w:t>
      </w:r>
      <w:r w:rsidRPr="00041BEC">
        <w:t xml:space="preserve"> the age of 65 years)</w:t>
      </w:r>
    </w:p>
    <w:p w:rsidR="00041BEC" w:rsidRPr="00041BEC" w:rsidRDefault="00041BEC" w:rsidP="00806E6F">
      <w:pPr>
        <w:pStyle w:val="ListBullet"/>
      </w:pPr>
      <w:r w:rsidRPr="00041BEC">
        <w:t xml:space="preserve">There were no analyses to investigate </w:t>
      </w:r>
      <w:r w:rsidRPr="00041BEC">
        <w:rPr>
          <w:lang w:val="en-US"/>
        </w:rPr>
        <w:t xml:space="preserve">drug-drug or drug-disease </w:t>
      </w:r>
      <w:r w:rsidRPr="00806E6F">
        <w:t>interactions</w:t>
      </w:r>
      <w:r w:rsidRPr="00041BEC">
        <w:rPr>
          <w:lang w:val="en-US"/>
        </w:rPr>
        <w:t>; and drug dose, drug concentration and relationship to response.</w:t>
      </w:r>
    </w:p>
    <w:p w:rsidR="00041BEC" w:rsidRPr="00041BEC" w:rsidRDefault="00041BEC" w:rsidP="00806E6F">
      <w:pPr>
        <w:pStyle w:val="ListBullet"/>
      </w:pPr>
      <w:r w:rsidRPr="00041BEC">
        <w:t>Nr-</w:t>
      </w:r>
      <w:proofErr w:type="spellStart"/>
      <w:r w:rsidRPr="00041BEC">
        <w:t>axSpA</w:t>
      </w:r>
      <w:proofErr w:type="spellEnd"/>
      <w:r w:rsidRPr="00041BEC">
        <w:t xml:space="preserve"> is a chronic condition and there were no </w:t>
      </w:r>
      <w:r w:rsidRPr="00806E6F">
        <w:t>efficacy</w:t>
      </w:r>
      <w:r w:rsidRPr="00041BEC">
        <w:t xml:space="preserve"> data extending beyond 68 weeks.</w:t>
      </w:r>
    </w:p>
    <w:p w:rsidR="00041BEC" w:rsidRPr="00041BEC" w:rsidRDefault="00041BEC" w:rsidP="00806E6F">
      <w:pPr>
        <w:pStyle w:val="Heading3"/>
      </w:pPr>
      <w:bookmarkStart w:id="121" w:name="_Toc236802596"/>
      <w:bookmarkStart w:id="122" w:name="_Toc241374334"/>
      <w:bookmarkStart w:id="123" w:name="_Ref272160964"/>
      <w:bookmarkStart w:id="124" w:name="_Toc272414694"/>
      <w:bookmarkStart w:id="125" w:name="_Toc290846332"/>
      <w:bookmarkStart w:id="126" w:name="_Toc355289337"/>
      <w:bookmarkStart w:id="127" w:name="_Toc383176416"/>
      <w:r w:rsidRPr="00041BEC">
        <w:t>First round assessment of risks</w:t>
      </w:r>
      <w:bookmarkEnd w:id="121"/>
      <w:bookmarkEnd w:id="122"/>
      <w:bookmarkEnd w:id="123"/>
      <w:bookmarkEnd w:id="124"/>
      <w:bookmarkEnd w:id="125"/>
      <w:bookmarkEnd w:id="126"/>
      <w:bookmarkEnd w:id="127"/>
    </w:p>
    <w:p w:rsidR="00041BEC" w:rsidRPr="00041BEC" w:rsidRDefault="00041BEC" w:rsidP="00806E6F">
      <w:r w:rsidRPr="00041BEC">
        <w:t>Exposure to adalimumab for the indication of nr-</w:t>
      </w:r>
      <w:proofErr w:type="spellStart"/>
      <w:r w:rsidRPr="00041BEC">
        <w:t>axSpA</w:t>
      </w:r>
      <w:proofErr w:type="spellEnd"/>
      <w:r w:rsidRPr="00041BEC">
        <w:t xml:space="preserve"> is limited, with total exposure being 190 subjects of whom 147 were exposed for</w:t>
      </w:r>
      <w:r w:rsidR="00467C1F">
        <w:t>≥</w:t>
      </w:r>
      <w:r w:rsidRPr="00041BEC">
        <w:t>343, and total patient-years exposure was 193.3 years.</w:t>
      </w:r>
    </w:p>
    <w:p w:rsidR="00041BEC" w:rsidRPr="00041BEC" w:rsidRDefault="00041BEC" w:rsidP="00806E6F">
      <w:r w:rsidRPr="00041BEC">
        <w:t>The rate of TEAEs during the 12 week double blind phase was similar to that for placebo.</w:t>
      </w:r>
      <w:r w:rsidR="00E20A7E">
        <w:t xml:space="preserve"> </w:t>
      </w:r>
      <w:r w:rsidRPr="00041BEC">
        <w:t>The rate of infections was similar to that for placebo.</w:t>
      </w:r>
      <w:r w:rsidR="00E20A7E">
        <w:t xml:space="preserve"> </w:t>
      </w:r>
      <w:r w:rsidRPr="00041BEC">
        <w:t>Injection site related AEs were more common with adalimumab than placebo: 8.4% subjects compared with 3.1% respectively.</w:t>
      </w:r>
      <w:r w:rsidR="00E20A7E">
        <w:t xml:space="preserve"> </w:t>
      </w:r>
      <w:r w:rsidRPr="00041BEC">
        <w:t>These injection site reactions were mild in nature.</w:t>
      </w:r>
      <w:r w:rsidR="00E20A7E">
        <w:t xml:space="preserve"> </w:t>
      </w:r>
      <w:r w:rsidRPr="00041BEC">
        <w:t>Allergic reactions were more common with adalimumab than placebo: nine (4.7%) subjects compared with one respectively.</w:t>
      </w:r>
      <w:r w:rsidR="00E20A7E">
        <w:t xml:space="preserve"> </w:t>
      </w:r>
      <w:r w:rsidRPr="00041BEC">
        <w:t>The rate of SAEs was similar for the two treatment groups.</w:t>
      </w:r>
      <w:r w:rsidR="00E20A7E">
        <w:t xml:space="preserve"> </w:t>
      </w:r>
      <w:r w:rsidRPr="00041BEC">
        <w:t>The rate of DAE was similar for the two treatment groups.</w:t>
      </w:r>
    </w:p>
    <w:p w:rsidR="00041BEC" w:rsidRPr="00041BEC" w:rsidRDefault="00041BEC" w:rsidP="00806E6F">
      <w:r w:rsidRPr="00041BEC">
        <w:t>Overall, in those subjects exposed to adalimumab the profile of AEs was similar to that previously reported for adalimumab.</w:t>
      </w:r>
      <w:r w:rsidR="00E20A7E">
        <w:t xml:space="preserve"> </w:t>
      </w:r>
      <w:r w:rsidRPr="00041BEC">
        <w:t>There were three subjects with serious infectious AEs, one of which was TB.</w:t>
      </w:r>
      <w:r w:rsidR="00E20A7E">
        <w:t xml:space="preserve"> </w:t>
      </w:r>
      <w:r w:rsidRPr="00041BEC">
        <w:t>There were no reports of opportunistic infections (excluding TB), lymphomas, NMSC, malignancies (excluding NMSC and lymphomas) or demyelinating disease.</w:t>
      </w:r>
    </w:p>
    <w:p w:rsidR="00041BEC" w:rsidRPr="00041BEC" w:rsidRDefault="00041BEC" w:rsidP="00806E6F">
      <w:r w:rsidRPr="00041BEC">
        <w:t>There were two deaths during the study, neither of which appeared to be related to study treatment.</w:t>
      </w:r>
    </w:p>
    <w:p w:rsidR="00041BEC" w:rsidRPr="00041BEC" w:rsidRDefault="00041BEC" w:rsidP="00806E6F">
      <w:r w:rsidRPr="00041BEC">
        <w:lastRenderedPageBreak/>
        <w:t>There were no new safety concerns apparent in the clinical data.</w:t>
      </w:r>
    </w:p>
    <w:p w:rsidR="00041BEC" w:rsidRPr="00041BEC" w:rsidRDefault="00041BEC" w:rsidP="00806E6F">
      <w:r w:rsidRPr="00041BEC">
        <w:t>There were no indications of drug interactions or of concomitant medication (including DMARDs) contributing to an increased risk of AEs.</w:t>
      </w:r>
    </w:p>
    <w:p w:rsidR="00041BEC" w:rsidRPr="00041BEC" w:rsidRDefault="00041BEC" w:rsidP="00806E6F">
      <w:r w:rsidRPr="00041BEC">
        <w:t>The safety data is limited by the relatively small number of subjects exposed to adalimumab of the indication of nr-</w:t>
      </w:r>
      <w:proofErr w:type="spellStart"/>
      <w:r w:rsidRPr="00041BEC">
        <w:t>axSpA</w:t>
      </w:r>
      <w:proofErr w:type="spellEnd"/>
      <w:r w:rsidRPr="00041BEC">
        <w:t>.</w:t>
      </w:r>
      <w:r w:rsidR="00E20A7E">
        <w:t xml:space="preserve"> </w:t>
      </w:r>
      <w:r w:rsidRPr="00041BEC">
        <w:t xml:space="preserve">However, the indication is similar to AS and the patient group studied similar to others previously studied for other indications </w:t>
      </w:r>
      <w:r w:rsidR="00467C1F">
        <w:t>that</w:t>
      </w:r>
      <w:r w:rsidRPr="00041BEC">
        <w:t xml:space="preserve"> adalimumab is </w:t>
      </w:r>
      <w:r w:rsidR="00467C1F">
        <w:t xml:space="preserve">already </w:t>
      </w:r>
      <w:r w:rsidRPr="00041BEC">
        <w:t>approved</w:t>
      </w:r>
      <w:r w:rsidR="00467C1F">
        <w:t xml:space="preserve"> for</w:t>
      </w:r>
      <w:r w:rsidRPr="00041BEC">
        <w:t>.</w:t>
      </w:r>
      <w:r w:rsidR="00E20A7E">
        <w:t xml:space="preserve"> </w:t>
      </w:r>
      <w:r w:rsidRPr="00041BEC">
        <w:t>Hence, the adverse effects profile of adalimumab for the indication of nr-</w:t>
      </w:r>
      <w:proofErr w:type="spellStart"/>
      <w:r w:rsidRPr="00041BEC">
        <w:t>axSpA</w:t>
      </w:r>
      <w:proofErr w:type="spellEnd"/>
      <w:r w:rsidRPr="00041BEC">
        <w:t xml:space="preserve"> can be expected to be the same as that for the previously approved indications.</w:t>
      </w:r>
    </w:p>
    <w:p w:rsidR="00041BEC" w:rsidRPr="00041BEC" w:rsidRDefault="00041BEC" w:rsidP="00806E6F">
      <w:pPr>
        <w:pStyle w:val="Heading3"/>
      </w:pPr>
      <w:bookmarkStart w:id="128" w:name="_Toc236802597"/>
      <w:bookmarkStart w:id="129" w:name="_Toc241374335"/>
      <w:bookmarkStart w:id="130" w:name="_Toc272414695"/>
      <w:bookmarkStart w:id="131" w:name="_Toc290846333"/>
      <w:bookmarkStart w:id="132" w:name="_Toc355289338"/>
      <w:bookmarkStart w:id="133" w:name="_Toc383176417"/>
      <w:r w:rsidRPr="00041BEC">
        <w:t>First round assessment of benefit-risk balance</w:t>
      </w:r>
      <w:bookmarkEnd w:id="128"/>
      <w:bookmarkEnd w:id="129"/>
      <w:bookmarkEnd w:id="130"/>
      <w:bookmarkEnd w:id="131"/>
      <w:bookmarkEnd w:id="132"/>
      <w:bookmarkEnd w:id="133"/>
    </w:p>
    <w:p w:rsidR="00041BEC" w:rsidRPr="00041BEC" w:rsidRDefault="00041BEC" w:rsidP="00806E6F">
      <w:r w:rsidRPr="00041BEC">
        <w:t>The benefit-risk balance of adalimumab, given the proposed usag</w:t>
      </w:r>
      <w:r w:rsidR="00467C1F">
        <w:t>e, wa</w:t>
      </w:r>
      <w:r w:rsidRPr="00041BEC">
        <w:t xml:space="preserve">s </w:t>
      </w:r>
      <w:r w:rsidR="00467C1F">
        <w:t xml:space="preserve">considered to be </w:t>
      </w:r>
      <w:r w:rsidRPr="00041BEC">
        <w:t>favourable.</w:t>
      </w:r>
    </w:p>
    <w:p w:rsidR="00C22678" w:rsidRDefault="00C22678" w:rsidP="00806E6F">
      <w:pPr>
        <w:pStyle w:val="Heading2"/>
      </w:pPr>
      <w:bookmarkStart w:id="134" w:name="_Toc383176418"/>
      <w:r>
        <w:t xml:space="preserve">First round recommendation </w:t>
      </w:r>
      <w:r w:rsidRPr="00806E6F">
        <w:t>regarding</w:t>
      </w:r>
      <w:r>
        <w:t xml:space="preserve"> authorisation</w:t>
      </w:r>
      <w:bookmarkEnd w:id="134"/>
    </w:p>
    <w:p w:rsidR="00041BEC" w:rsidRPr="00467C1F" w:rsidRDefault="00467C1F" w:rsidP="00806E6F">
      <w:r>
        <w:t>The evaluator recommended that a</w:t>
      </w:r>
      <w:r w:rsidR="00041BEC" w:rsidRPr="00467C1F">
        <w:t>dalimumab should be approved for the additional indication of:</w:t>
      </w:r>
    </w:p>
    <w:p w:rsidR="00041BEC" w:rsidRPr="00806E6F" w:rsidRDefault="00041BEC" w:rsidP="00806E6F">
      <w:pPr>
        <w:rPr>
          <w:b/>
          <w:i/>
        </w:rPr>
      </w:pPr>
      <w:r w:rsidRPr="00806E6F">
        <w:rPr>
          <w:b/>
          <w:i/>
        </w:rPr>
        <w:t xml:space="preserve">Non-Radiographic Axial </w:t>
      </w:r>
      <w:proofErr w:type="spellStart"/>
      <w:r w:rsidRPr="00806E6F">
        <w:rPr>
          <w:b/>
          <w:i/>
        </w:rPr>
        <w:t>Spondyloarthritis</w:t>
      </w:r>
      <w:proofErr w:type="spellEnd"/>
    </w:p>
    <w:p w:rsidR="00041BEC" w:rsidRPr="00806E6F" w:rsidRDefault="00041BEC" w:rsidP="00806E6F">
      <w:pPr>
        <w:rPr>
          <w:i/>
        </w:rPr>
      </w:pPr>
      <w:proofErr w:type="spellStart"/>
      <w:r w:rsidRPr="00806E6F">
        <w:rPr>
          <w:i/>
        </w:rPr>
        <w:t>Humira</w:t>
      </w:r>
      <w:proofErr w:type="spellEnd"/>
      <w:r w:rsidRPr="00806E6F">
        <w:rPr>
          <w:i/>
        </w:rPr>
        <w:t xml:space="preserve"> is indicated for reducing signs and symptoms in patients with non-radiographic axial </w:t>
      </w:r>
      <w:proofErr w:type="spellStart"/>
      <w:r w:rsidRPr="00806E6F">
        <w:rPr>
          <w:i/>
        </w:rPr>
        <w:t>spondyloarthritis</w:t>
      </w:r>
      <w:proofErr w:type="spellEnd"/>
      <w:r w:rsidR="00806E6F" w:rsidRPr="00806E6F">
        <w:rPr>
          <w:i/>
        </w:rPr>
        <w:t>.</w:t>
      </w:r>
    </w:p>
    <w:p w:rsidR="00C22678" w:rsidRDefault="00C22678" w:rsidP="00806E6F">
      <w:pPr>
        <w:pStyle w:val="Heading2"/>
      </w:pPr>
      <w:bookmarkStart w:id="135" w:name="_Toc383176419"/>
      <w:r w:rsidRPr="00806E6F">
        <w:t>Clinical</w:t>
      </w:r>
      <w:r>
        <w:t xml:space="preserve"> questions</w:t>
      </w:r>
      <w:bookmarkEnd w:id="135"/>
    </w:p>
    <w:p w:rsidR="00041BEC" w:rsidRPr="00586F98" w:rsidRDefault="00041BEC" w:rsidP="00806E6F">
      <w:pPr>
        <w:rPr>
          <w:lang w:eastAsia="ja-JP"/>
        </w:rPr>
      </w:pPr>
      <w:r>
        <w:rPr>
          <w:lang w:eastAsia="ja-JP"/>
        </w:rPr>
        <w:t xml:space="preserve">The only questions raised by the evaluator concerned the draft Product Information document and </w:t>
      </w:r>
      <w:r w:rsidR="00467C1F">
        <w:rPr>
          <w:lang w:eastAsia="ja-JP"/>
        </w:rPr>
        <w:t>discussion of these are</w:t>
      </w:r>
      <w:r>
        <w:rPr>
          <w:lang w:eastAsia="ja-JP"/>
        </w:rPr>
        <w:t xml:space="preserve"> beyond the scope of this AusPAR.</w:t>
      </w:r>
    </w:p>
    <w:p w:rsidR="00C618F7" w:rsidRDefault="00C618F7" w:rsidP="00806E6F">
      <w:pPr>
        <w:pStyle w:val="Heading2"/>
      </w:pPr>
      <w:bookmarkStart w:id="136" w:name="_Toc383176420"/>
      <w:r>
        <w:t xml:space="preserve">Second round evaluation of clinical data submitted in </w:t>
      </w:r>
      <w:r w:rsidRPr="00806E6F">
        <w:t>response</w:t>
      </w:r>
      <w:r>
        <w:t xml:space="preserve"> to questions</w:t>
      </w:r>
      <w:bookmarkEnd w:id="136"/>
    </w:p>
    <w:p w:rsidR="00041BEC" w:rsidRPr="00041BEC" w:rsidRDefault="00041BEC" w:rsidP="00806E6F">
      <w:pPr>
        <w:pStyle w:val="Heading3"/>
      </w:pPr>
      <w:bookmarkStart w:id="137" w:name="_Toc383176421"/>
      <w:r w:rsidRPr="00806E6F">
        <w:t>Second</w:t>
      </w:r>
      <w:r>
        <w:t xml:space="preserve"> </w:t>
      </w:r>
      <w:r w:rsidR="00806E6F">
        <w:t>r</w:t>
      </w:r>
      <w:r>
        <w:t xml:space="preserve">ound </w:t>
      </w:r>
      <w:r w:rsidR="00806E6F">
        <w:t>b</w:t>
      </w:r>
      <w:r>
        <w:t>enefit-</w:t>
      </w:r>
      <w:r w:rsidR="00806E6F">
        <w:t>r</w:t>
      </w:r>
      <w:r>
        <w:t xml:space="preserve">isk </w:t>
      </w:r>
      <w:r w:rsidR="00806E6F" w:rsidRPr="00806E6F">
        <w:t>a</w:t>
      </w:r>
      <w:r w:rsidRPr="00806E6F">
        <w:t>ssessment</w:t>
      </w:r>
      <w:bookmarkEnd w:id="137"/>
    </w:p>
    <w:p w:rsidR="00041BEC" w:rsidRPr="007C6BE6" w:rsidRDefault="00041BEC" w:rsidP="00806E6F">
      <w:pPr>
        <w:pStyle w:val="Heading4"/>
      </w:pPr>
      <w:bookmarkStart w:id="138" w:name="_Toc272414709"/>
      <w:bookmarkStart w:id="139" w:name="_Toc290846349"/>
      <w:bookmarkStart w:id="140" w:name="_Toc290888886"/>
      <w:bookmarkStart w:id="141" w:name="_Toc355288526"/>
      <w:bookmarkStart w:id="142" w:name="_Toc355289348"/>
      <w:r w:rsidRPr="007C6BE6">
        <w:t>Second round assessment</w:t>
      </w:r>
      <w:r w:rsidRPr="00467C1F">
        <w:t xml:space="preserve"> </w:t>
      </w:r>
      <w:r w:rsidRPr="007C6BE6">
        <w:t>of benefits</w:t>
      </w:r>
      <w:bookmarkEnd w:id="138"/>
      <w:bookmarkEnd w:id="139"/>
      <w:bookmarkEnd w:id="140"/>
      <w:bookmarkEnd w:id="141"/>
      <w:bookmarkEnd w:id="142"/>
    </w:p>
    <w:p w:rsidR="00041BEC" w:rsidRPr="00041BEC" w:rsidRDefault="00041BEC" w:rsidP="00806E6F">
      <w:r w:rsidRPr="007C6BE6">
        <w:t xml:space="preserve">After consideration of the responses to clinical questions, the benefits of </w:t>
      </w:r>
      <w:r>
        <w:t>adalimumab</w:t>
      </w:r>
      <w:r w:rsidRPr="007C6BE6">
        <w:t xml:space="preserve"> in the proposed usage </w:t>
      </w:r>
      <w:r w:rsidR="00467C1F">
        <w:t>were</w:t>
      </w:r>
      <w:r w:rsidRPr="007C6BE6">
        <w:t xml:space="preserve"> </w:t>
      </w:r>
      <w:r w:rsidR="00467C1F">
        <w:t xml:space="preserve">considered to be </w:t>
      </w:r>
      <w:r w:rsidRPr="007C6BE6">
        <w:t>unchanged from those identified i</w:t>
      </w:r>
      <w:r w:rsidR="00467C1F">
        <w:t>n the First Round Evaluation</w:t>
      </w:r>
      <w:r w:rsidRPr="007C6BE6">
        <w:t>.</w:t>
      </w:r>
    </w:p>
    <w:p w:rsidR="00041BEC" w:rsidRPr="007C6BE6" w:rsidRDefault="00041BEC" w:rsidP="00806E6F">
      <w:pPr>
        <w:pStyle w:val="Heading4"/>
      </w:pPr>
      <w:bookmarkStart w:id="143" w:name="_Toc272414710"/>
      <w:bookmarkStart w:id="144" w:name="_Toc290846350"/>
      <w:bookmarkStart w:id="145" w:name="_Toc290888887"/>
      <w:bookmarkStart w:id="146" w:name="_Toc355288527"/>
      <w:bookmarkStart w:id="147" w:name="_Toc355289349"/>
      <w:r w:rsidRPr="007C6BE6">
        <w:t>Second round assessment of risks</w:t>
      </w:r>
      <w:bookmarkEnd w:id="143"/>
      <w:bookmarkEnd w:id="144"/>
      <w:bookmarkEnd w:id="145"/>
      <w:bookmarkEnd w:id="146"/>
      <w:bookmarkEnd w:id="147"/>
    </w:p>
    <w:p w:rsidR="00041BEC" w:rsidRPr="007C6BE6" w:rsidRDefault="00041BEC" w:rsidP="00806E6F">
      <w:r w:rsidRPr="007C6BE6">
        <w:t xml:space="preserve">After consideration of the responses to clinical questions, the </w:t>
      </w:r>
      <w:r>
        <w:t>risks</w:t>
      </w:r>
      <w:r w:rsidRPr="007C6BE6">
        <w:t xml:space="preserve"> of </w:t>
      </w:r>
      <w:r>
        <w:t>adalimumab</w:t>
      </w:r>
      <w:r w:rsidRPr="007C6BE6">
        <w:t xml:space="preserve"> in the proposed usage </w:t>
      </w:r>
      <w:r w:rsidR="00467C1F">
        <w:t>were</w:t>
      </w:r>
      <w:r w:rsidRPr="007C6BE6">
        <w:t xml:space="preserve"> </w:t>
      </w:r>
      <w:r w:rsidR="00467C1F">
        <w:t xml:space="preserve">considered to be </w:t>
      </w:r>
      <w:r w:rsidRPr="007C6BE6">
        <w:t xml:space="preserve">unchanged from those identified in </w:t>
      </w:r>
      <w:r w:rsidR="00467C1F">
        <w:t>the First Round Evaluation</w:t>
      </w:r>
      <w:r w:rsidRPr="007C6BE6">
        <w:t>.</w:t>
      </w:r>
    </w:p>
    <w:p w:rsidR="00041BEC" w:rsidRPr="007C6BE6" w:rsidRDefault="00041BEC" w:rsidP="00806E6F">
      <w:pPr>
        <w:pStyle w:val="Heading4"/>
      </w:pPr>
      <w:bookmarkStart w:id="148" w:name="_Toc272414711"/>
      <w:bookmarkStart w:id="149" w:name="_Toc290846351"/>
      <w:bookmarkStart w:id="150" w:name="_Toc290888888"/>
      <w:bookmarkStart w:id="151" w:name="_Toc355288528"/>
      <w:bookmarkStart w:id="152" w:name="_Toc355289350"/>
      <w:r w:rsidRPr="007C6BE6">
        <w:t>Second round assessment of benefit-risk balance</w:t>
      </w:r>
      <w:bookmarkEnd w:id="148"/>
      <w:bookmarkEnd w:id="149"/>
      <w:bookmarkEnd w:id="150"/>
      <w:bookmarkEnd w:id="151"/>
      <w:bookmarkEnd w:id="152"/>
    </w:p>
    <w:p w:rsidR="00041BEC" w:rsidRDefault="00041BEC" w:rsidP="00806E6F">
      <w:r w:rsidRPr="007C6BE6">
        <w:t xml:space="preserve">The benefit-risk balance of </w:t>
      </w:r>
      <w:r>
        <w:t>adalimumab,</w:t>
      </w:r>
      <w:r w:rsidR="00467C1F">
        <w:t xml:space="preserve"> given the proposed usage, wa</w:t>
      </w:r>
      <w:r w:rsidRPr="007C6BE6">
        <w:t xml:space="preserve">s </w:t>
      </w:r>
      <w:r w:rsidR="00467C1F">
        <w:t xml:space="preserve">considered to be </w:t>
      </w:r>
      <w:r w:rsidRPr="007C6BE6">
        <w:t>favourable.</w:t>
      </w:r>
    </w:p>
    <w:p w:rsidR="00C618F7" w:rsidRDefault="00C618F7" w:rsidP="00806E6F">
      <w:pPr>
        <w:pStyle w:val="Heading3"/>
      </w:pPr>
      <w:bookmarkStart w:id="153" w:name="_Toc383176422"/>
      <w:r>
        <w:lastRenderedPageBreak/>
        <w:t xml:space="preserve">Second round recommendation regarding </w:t>
      </w:r>
      <w:r w:rsidRPr="00806E6F">
        <w:t>authorisation</w:t>
      </w:r>
      <w:bookmarkEnd w:id="153"/>
    </w:p>
    <w:p w:rsidR="00041BEC" w:rsidRPr="00467C1F" w:rsidRDefault="00467C1F" w:rsidP="00806E6F">
      <w:r w:rsidRPr="00467C1F">
        <w:t>The evaluator recommended that a</w:t>
      </w:r>
      <w:r w:rsidR="00041BEC" w:rsidRPr="00467C1F">
        <w:t>dalimumab should be approved for the additional indication of:</w:t>
      </w:r>
    </w:p>
    <w:p w:rsidR="00041BEC" w:rsidRPr="00806E6F" w:rsidRDefault="00041BEC" w:rsidP="00806E6F">
      <w:pPr>
        <w:rPr>
          <w:b/>
          <w:i/>
        </w:rPr>
      </w:pPr>
      <w:r w:rsidRPr="00806E6F">
        <w:rPr>
          <w:b/>
          <w:i/>
        </w:rPr>
        <w:t>Non-R</w:t>
      </w:r>
      <w:r w:rsidR="00D17580" w:rsidRPr="00806E6F">
        <w:rPr>
          <w:b/>
          <w:i/>
        </w:rPr>
        <w:t>a</w:t>
      </w:r>
      <w:r w:rsidRPr="00806E6F">
        <w:rPr>
          <w:b/>
          <w:i/>
        </w:rPr>
        <w:t xml:space="preserve">diographic Axial </w:t>
      </w:r>
      <w:proofErr w:type="spellStart"/>
      <w:r w:rsidRPr="00806E6F">
        <w:rPr>
          <w:b/>
          <w:i/>
        </w:rPr>
        <w:t>Spondylo</w:t>
      </w:r>
      <w:r w:rsidR="00D17580" w:rsidRPr="00806E6F">
        <w:rPr>
          <w:b/>
          <w:i/>
        </w:rPr>
        <w:t>a</w:t>
      </w:r>
      <w:r w:rsidRPr="00806E6F">
        <w:rPr>
          <w:b/>
          <w:i/>
        </w:rPr>
        <w:t>rthritis</w:t>
      </w:r>
      <w:proofErr w:type="spellEnd"/>
    </w:p>
    <w:p w:rsidR="00041BEC" w:rsidRPr="00806E6F" w:rsidRDefault="00041BEC" w:rsidP="00806E6F">
      <w:pPr>
        <w:rPr>
          <w:i/>
        </w:rPr>
      </w:pPr>
      <w:proofErr w:type="spellStart"/>
      <w:r w:rsidRPr="00806E6F">
        <w:rPr>
          <w:i/>
        </w:rPr>
        <w:t>Humira</w:t>
      </w:r>
      <w:proofErr w:type="spellEnd"/>
      <w:r w:rsidRPr="00806E6F">
        <w:rPr>
          <w:i/>
        </w:rPr>
        <w:t xml:space="preserve"> is indicated for reducing signs and symptoms in patients with non-radiographic axial </w:t>
      </w:r>
      <w:proofErr w:type="spellStart"/>
      <w:r w:rsidRPr="00806E6F">
        <w:rPr>
          <w:i/>
        </w:rPr>
        <w:t>spondyloarthritis</w:t>
      </w:r>
      <w:proofErr w:type="spellEnd"/>
      <w:r w:rsidR="00806E6F">
        <w:rPr>
          <w:i/>
        </w:rPr>
        <w:t>.</w:t>
      </w:r>
    </w:p>
    <w:p w:rsidR="00C618F7" w:rsidRDefault="00C618F7" w:rsidP="00C618F7">
      <w:pPr>
        <w:pStyle w:val="Heading2"/>
      </w:pPr>
      <w:bookmarkStart w:id="154" w:name="_Toc383176423"/>
      <w:r>
        <w:t>References</w:t>
      </w:r>
      <w:bookmarkEnd w:id="154"/>
    </w:p>
    <w:bookmarkEnd w:id="1"/>
    <w:bookmarkEnd w:id="0"/>
    <w:bookmarkEnd w:id="3"/>
    <w:p w:rsidR="0050649D" w:rsidRPr="0050649D" w:rsidRDefault="00467C1F" w:rsidP="0050649D">
      <w:proofErr w:type="spellStart"/>
      <w:r w:rsidRPr="00467C1F">
        <w:t>Appel</w:t>
      </w:r>
      <w:proofErr w:type="spellEnd"/>
      <w:r>
        <w:t xml:space="preserve"> H. et al. </w:t>
      </w:r>
      <w:r w:rsidRPr="00467C1F">
        <w:t>Serum levels of biomarkers of bone and cartilage destruction and</w:t>
      </w:r>
      <w:r>
        <w:t xml:space="preserve"> </w:t>
      </w:r>
      <w:r w:rsidRPr="00467C1F">
        <w:t>new bone formation in different cohorts of patients with axial</w:t>
      </w:r>
      <w:r>
        <w:t xml:space="preserve"> </w:t>
      </w:r>
      <w:proofErr w:type="spellStart"/>
      <w:r w:rsidRPr="00467C1F">
        <w:t>spondyloarthritis</w:t>
      </w:r>
      <w:proofErr w:type="spellEnd"/>
      <w:r w:rsidRPr="00467C1F">
        <w:t xml:space="preserve"> with and without </w:t>
      </w:r>
      <w:proofErr w:type="spellStart"/>
      <w:r w:rsidRPr="00467C1F">
        <w:t>tumor</w:t>
      </w:r>
      <w:proofErr w:type="spellEnd"/>
      <w:r w:rsidRPr="00467C1F">
        <w:t xml:space="preserve"> necrosis factor-alpha</w:t>
      </w:r>
      <w:r>
        <w:t xml:space="preserve"> </w:t>
      </w:r>
      <w:r w:rsidRPr="00467C1F">
        <w:t>blocker treatment</w:t>
      </w:r>
      <w:r>
        <w:t xml:space="preserve">. </w:t>
      </w:r>
      <w:r w:rsidRPr="00467C1F">
        <w:rPr>
          <w:bCs/>
        </w:rPr>
        <w:t>Available online</w:t>
      </w:r>
      <w:r w:rsidRPr="00467C1F">
        <w:rPr>
          <w:b/>
          <w:bCs/>
        </w:rPr>
        <w:t xml:space="preserve"> </w:t>
      </w:r>
      <w:r w:rsidR="00ED01FC" w:rsidRPr="0050649D">
        <w:t>&lt;</w:t>
      </w:r>
      <w:hyperlink r:id="rId32" w:history="1">
        <w:r w:rsidRPr="0050155A">
          <w:rPr>
            <w:rStyle w:val="Hyperlink"/>
          </w:rPr>
          <w:t>http://arthritis-research.com/content/10/5/R125</w:t>
        </w:r>
      </w:hyperlink>
      <w:r w:rsidR="0050649D" w:rsidRPr="0050649D">
        <w:rPr>
          <w:rStyle w:val="Hyperlink"/>
          <w:color w:val="auto"/>
          <w:u w:val="none"/>
        </w:rPr>
        <w:t>&gt;</w:t>
      </w:r>
    </w:p>
    <w:p w:rsidR="00467C1F" w:rsidRDefault="00467C1F" w:rsidP="0050649D">
      <w:proofErr w:type="spellStart"/>
      <w:r>
        <w:t>Barkham</w:t>
      </w:r>
      <w:proofErr w:type="spellEnd"/>
      <w:r>
        <w:t xml:space="preserve"> N et al. Clinical and Imaging Efficacy of Infliximab in HLA–B27–Positive Patients </w:t>
      </w:r>
      <w:proofErr w:type="gramStart"/>
      <w:r>
        <w:t>With</w:t>
      </w:r>
      <w:proofErr w:type="gramEnd"/>
      <w:r>
        <w:t xml:space="preserve"> Magnetic Resonance Imaging–Determined Early </w:t>
      </w:r>
      <w:proofErr w:type="spellStart"/>
      <w:r>
        <w:t>Sacroiliitis</w:t>
      </w:r>
      <w:proofErr w:type="spellEnd"/>
      <w:r>
        <w:t>. Arthritis &amp; Rheumatism Vol. 60, No. 4, April 2009, pp 946–954</w:t>
      </w:r>
    </w:p>
    <w:p w:rsidR="00467C1F" w:rsidRDefault="00467C1F" w:rsidP="0050649D">
      <w:r w:rsidRPr="00467C1F">
        <w:t xml:space="preserve">Braun </w:t>
      </w:r>
      <w:r>
        <w:t xml:space="preserve">J et al. </w:t>
      </w:r>
      <w:r w:rsidRPr="00467C1F">
        <w:t>Efficacy of sulfasalazine in patients with</w:t>
      </w:r>
      <w:r>
        <w:t xml:space="preserve"> </w:t>
      </w:r>
      <w:r w:rsidRPr="00467C1F">
        <w:t>inflammatory back pain due to undifferentiated</w:t>
      </w:r>
      <w:r>
        <w:t xml:space="preserve"> </w:t>
      </w:r>
      <w:proofErr w:type="spellStart"/>
      <w:r w:rsidRPr="00467C1F">
        <w:t>spondyloarthritis</w:t>
      </w:r>
      <w:proofErr w:type="spellEnd"/>
      <w:r w:rsidRPr="00467C1F">
        <w:t xml:space="preserve"> and early </w:t>
      </w:r>
      <w:proofErr w:type="spellStart"/>
      <w:r w:rsidRPr="00467C1F">
        <w:t>ankylosing</w:t>
      </w:r>
      <w:proofErr w:type="spellEnd"/>
      <w:r w:rsidRPr="00467C1F">
        <w:t xml:space="preserve"> spondylitis: a</w:t>
      </w:r>
      <w:r>
        <w:t xml:space="preserve"> </w:t>
      </w:r>
      <w:r w:rsidRPr="00467C1F">
        <w:t>multicentre randomised controlled trial</w:t>
      </w:r>
      <w:r>
        <w:t xml:space="preserve">. </w:t>
      </w:r>
      <w:r w:rsidRPr="00467C1F">
        <w:t>Ann Rheum Dis 2006</w:t>
      </w:r>
      <w:proofErr w:type="gramStart"/>
      <w:r w:rsidRPr="00467C1F">
        <w:t>;65:1147</w:t>
      </w:r>
      <w:proofErr w:type="gramEnd"/>
      <w:r w:rsidRPr="00467C1F">
        <w:t>–1153.</w:t>
      </w:r>
    </w:p>
    <w:p w:rsidR="00467C1F" w:rsidRDefault="00467C1F" w:rsidP="0050649D">
      <w:r>
        <w:t xml:space="preserve">Braun </w:t>
      </w:r>
      <w:r w:rsidR="008E3E78">
        <w:t>J</w:t>
      </w:r>
      <w:r>
        <w:t xml:space="preserve"> et al. 2010 update of the ASAS/EULAR recommendations for the management of ankylosing spondylitis</w:t>
      </w:r>
      <w:r w:rsidR="008E3E78">
        <w:t xml:space="preserve">. </w:t>
      </w:r>
      <w:r w:rsidR="008E3E78" w:rsidRPr="008E3E78">
        <w:t>Ann Rheum Dis 2011</w:t>
      </w:r>
      <w:proofErr w:type="gramStart"/>
      <w:r w:rsidR="008E3E78" w:rsidRPr="008E3E78">
        <w:t>;70:896</w:t>
      </w:r>
      <w:proofErr w:type="gramEnd"/>
      <w:r w:rsidR="008E3E78" w:rsidRPr="008E3E78">
        <w:t>–904</w:t>
      </w:r>
    </w:p>
    <w:p w:rsidR="008E3E78" w:rsidRDefault="008E3E78" w:rsidP="0050649D">
      <w:proofErr w:type="gramStart"/>
      <w:r w:rsidRPr="008E3E78">
        <w:t>Chen J and Liu C. Methotrexate for ankylosing spondylitis (Protocol).</w:t>
      </w:r>
      <w:proofErr w:type="gramEnd"/>
    </w:p>
    <w:p w:rsidR="008E3E78" w:rsidRDefault="008E3E78" w:rsidP="0050649D">
      <w:proofErr w:type="gramStart"/>
      <w:r w:rsidRPr="008E3E78">
        <w:t>Chen</w:t>
      </w:r>
      <w:r>
        <w:t xml:space="preserve"> C-H.</w:t>
      </w:r>
      <w:proofErr w:type="gramEnd"/>
      <w:r>
        <w:t xml:space="preserve"> </w:t>
      </w:r>
      <w:proofErr w:type="gramStart"/>
      <w:r>
        <w:t>et</w:t>
      </w:r>
      <w:proofErr w:type="gramEnd"/>
      <w:r>
        <w:t xml:space="preserve"> al. </w:t>
      </w:r>
      <w:r w:rsidRPr="008E3E78">
        <w:t xml:space="preserve">1Serum matrix </w:t>
      </w:r>
      <w:proofErr w:type="spellStart"/>
      <w:r w:rsidRPr="008E3E78">
        <w:t>metalloproteinases</w:t>
      </w:r>
      <w:proofErr w:type="spellEnd"/>
      <w:r w:rsidRPr="008E3E78">
        <w:t xml:space="preserve"> and tissue inhibitors</w:t>
      </w:r>
      <w:r>
        <w:t xml:space="preserve"> </w:t>
      </w:r>
      <w:r w:rsidRPr="008E3E78">
        <w:t xml:space="preserve">of </w:t>
      </w:r>
      <w:proofErr w:type="spellStart"/>
      <w:r w:rsidRPr="008E3E78">
        <w:t>metalloproteinases</w:t>
      </w:r>
      <w:proofErr w:type="spellEnd"/>
      <w:r w:rsidRPr="008E3E78">
        <w:t xml:space="preserve"> in </w:t>
      </w:r>
      <w:proofErr w:type="spellStart"/>
      <w:r w:rsidRPr="008E3E78">
        <w:t>ankylosing</w:t>
      </w:r>
      <w:proofErr w:type="spellEnd"/>
      <w:r w:rsidRPr="008E3E78">
        <w:t xml:space="preserve"> spondylitis:</w:t>
      </w:r>
      <w:r>
        <w:t xml:space="preserve"> </w:t>
      </w:r>
      <w:r w:rsidRPr="008E3E78">
        <w:t>MMP-3 is a reproducibly sensitive and specific</w:t>
      </w:r>
      <w:r>
        <w:t xml:space="preserve"> </w:t>
      </w:r>
      <w:r w:rsidRPr="008E3E78">
        <w:t>biomarker of disease activity</w:t>
      </w:r>
      <w:r>
        <w:t xml:space="preserve">. </w:t>
      </w:r>
      <w:r w:rsidRPr="008E3E78">
        <w:t>Rheumatology 2006</w:t>
      </w:r>
      <w:proofErr w:type="gramStart"/>
      <w:r w:rsidRPr="008E3E78">
        <w:t>;45:414</w:t>
      </w:r>
      <w:proofErr w:type="gramEnd"/>
      <w:r w:rsidRPr="008E3E78">
        <w:t>–420</w:t>
      </w:r>
    </w:p>
    <w:p w:rsidR="008E3E78" w:rsidRDefault="008E3E78" w:rsidP="0050649D">
      <w:proofErr w:type="spellStart"/>
      <w:proofErr w:type="gramStart"/>
      <w:r>
        <w:t>D</w:t>
      </w:r>
      <w:r w:rsidRPr="008E3E78">
        <w:t>altroy</w:t>
      </w:r>
      <w:proofErr w:type="spellEnd"/>
      <w:r w:rsidRPr="008E3E78">
        <w:t xml:space="preserve"> </w:t>
      </w:r>
      <w:r>
        <w:t>L.H. et al.</w:t>
      </w:r>
      <w:proofErr w:type="gramEnd"/>
      <w:r>
        <w:t xml:space="preserve"> </w:t>
      </w:r>
      <w:proofErr w:type="gramStart"/>
      <w:r w:rsidRPr="008E3E78">
        <w:t>A Modification of the Health Assessment Questionnaire</w:t>
      </w:r>
      <w:r>
        <w:t xml:space="preserve"> </w:t>
      </w:r>
      <w:r w:rsidRPr="008E3E78">
        <w:t xml:space="preserve">for the </w:t>
      </w:r>
      <w:proofErr w:type="spellStart"/>
      <w:r w:rsidRPr="008E3E78">
        <w:t>Spondyloarthropath</w:t>
      </w:r>
      <w:r>
        <w:t>i</w:t>
      </w:r>
      <w:r w:rsidRPr="008E3E78">
        <w:t>es</w:t>
      </w:r>
      <w:proofErr w:type="spellEnd"/>
      <w:r>
        <w:t>.</w:t>
      </w:r>
      <w:proofErr w:type="gramEnd"/>
      <w:r>
        <w:t xml:space="preserve"> </w:t>
      </w:r>
      <w:r w:rsidRPr="008E3E78">
        <w:rPr>
          <w:iCs/>
        </w:rPr>
        <w:t>The Journal of Rheumatology 1990; 17:7</w:t>
      </w:r>
    </w:p>
    <w:p w:rsidR="008E3E78" w:rsidRDefault="008E3E78" w:rsidP="0050649D">
      <w:proofErr w:type="spellStart"/>
      <w:r>
        <w:t>Haibel</w:t>
      </w:r>
      <w:proofErr w:type="spellEnd"/>
      <w:r>
        <w:t xml:space="preserve"> H et al. Efficacy of Adalimumab in the treatment </w:t>
      </w:r>
      <w:proofErr w:type="spellStart"/>
      <w:r>
        <w:t>oof</w:t>
      </w:r>
      <w:proofErr w:type="spellEnd"/>
      <w:r>
        <w:t xml:space="preserve"> axial </w:t>
      </w:r>
      <w:proofErr w:type="spellStart"/>
      <w:r>
        <w:t>spondylarthirtisn</w:t>
      </w:r>
      <w:proofErr w:type="spellEnd"/>
      <w:r>
        <w:t xml:space="preserve"> without </w:t>
      </w:r>
      <w:proofErr w:type="spellStart"/>
      <w:r>
        <w:t>radiographically</w:t>
      </w:r>
      <w:proofErr w:type="spellEnd"/>
      <w:r>
        <w:t xml:space="preserve"> defined </w:t>
      </w:r>
      <w:proofErr w:type="spellStart"/>
      <w:r>
        <w:t>sacroliitis</w:t>
      </w:r>
      <w:proofErr w:type="spellEnd"/>
      <w:r>
        <w:t>. Arthritis &amp; Rheumatism 58:1981-1991</w:t>
      </w:r>
    </w:p>
    <w:p w:rsidR="008E3E78" w:rsidRDefault="008E3E78" w:rsidP="0050649D">
      <w:proofErr w:type="gramStart"/>
      <w:r w:rsidRPr="008E3E78">
        <w:t xml:space="preserve">Khan M.A. Update on </w:t>
      </w:r>
      <w:proofErr w:type="spellStart"/>
      <w:r w:rsidRPr="008E3E78">
        <w:t>Spondyloarthropathies</w:t>
      </w:r>
      <w:proofErr w:type="spellEnd"/>
      <w:r w:rsidRPr="008E3E78">
        <w:t>.</w:t>
      </w:r>
      <w:proofErr w:type="gramEnd"/>
      <w:r w:rsidRPr="008E3E78">
        <w:t xml:space="preserve"> </w:t>
      </w:r>
      <w:r w:rsidRPr="008E3E78">
        <w:rPr>
          <w:iCs/>
        </w:rPr>
        <w:t xml:space="preserve">Ann Intern Med. </w:t>
      </w:r>
      <w:r w:rsidR="0050649D">
        <w:t>2002</w:t>
      </w:r>
      <w:proofErr w:type="gramStart"/>
      <w:r w:rsidR="0050649D">
        <w:t>;136:896</w:t>
      </w:r>
      <w:proofErr w:type="gramEnd"/>
      <w:r w:rsidR="0050649D">
        <w:t>-907.</w:t>
      </w:r>
    </w:p>
    <w:p w:rsidR="00FB5F90" w:rsidRPr="00FB5F90" w:rsidRDefault="00D365A7" w:rsidP="0050649D">
      <w:hyperlink r:id="rId33" w:history="1">
        <w:proofErr w:type="spellStart"/>
        <w:r w:rsidR="00FB5F90" w:rsidRPr="00FB5F90">
          <w:rPr>
            <w:rStyle w:val="Hyperlink"/>
            <w:color w:val="auto"/>
            <w:u w:val="none"/>
          </w:rPr>
          <w:t>Maksymowych</w:t>
        </w:r>
        <w:proofErr w:type="spellEnd"/>
        <w:r w:rsidR="00FB5F90" w:rsidRPr="00FB5F90">
          <w:rPr>
            <w:rStyle w:val="Hyperlink"/>
            <w:color w:val="auto"/>
            <w:u w:val="none"/>
          </w:rPr>
          <w:t xml:space="preserve"> W. P</w:t>
        </w:r>
      </w:hyperlink>
      <w:r w:rsidR="00FB5F90" w:rsidRPr="00FB5F90">
        <w:t xml:space="preserve">. </w:t>
      </w:r>
      <w:proofErr w:type="gramStart"/>
      <w:r w:rsidR="00FB5F90">
        <w:t>et</w:t>
      </w:r>
      <w:proofErr w:type="gramEnd"/>
      <w:r w:rsidR="00FB5F90">
        <w:t xml:space="preserve"> al. </w:t>
      </w:r>
      <w:proofErr w:type="spellStart"/>
      <w:r w:rsidR="00FB5F90" w:rsidRPr="00FB5F90">
        <w:t>Spondyloarthritis</w:t>
      </w:r>
      <w:proofErr w:type="spellEnd"/>
      <w:r w:rsidR="00FB5F90" w:rsidRPr="00FB5F90">
        <w:t xml:space="preserve"> research Consortium of Canada magnetic resonance imaging index for assessment of sacroiliac joint inflammation in ankylosing spondylitis. </w:t>
      </w:r>
      <w:hyperlink r:id="rId34" w:tooltip="Arthritis and rheumatism." w:history="1">
        <w:proofErr w:type="gramStart"/>
        <w:r w:rsidR="00FB5F90" w:rsidRPr="00FB5F90">
          <w:rPr>
            <w:rStyle w:val="Hyperlink"/>
            <w:color w:val="auto"/>
            <w:u w:val="none"/>
          </w:rPr>
          <w:t>Arthritis Rheum.</w:t>
        </w:r>
        <w:proofErr w:type="gramEnd"/>
      </w:hyperlink>
      <w:r w:rsidR="00FB5F90" w:rsidRPr="00FB5F90">
        <w:t xml:space="preserve"> 2005 Oct 15</w:t>
      </w:r>
      <w:proofErr w:type="gramStart"/>
      <w:r w:rsidR="00FB5F90" w:rsidRPr="00FB5F90">
        <w:t>;53</w:t>
      </w:r>
      <w:proofErr w:type="gramEnd"/>
      <w:r w:rsidR="00FB5F90" w:rsidRPr="00FB5F90">
        <w:t>(5):703-9.</w:t>
      </w:r>
    </w:p>
    <w:p w:rsidR="00FB5F90" w:rsidRDefault="00D365A7" w:rsidP="0050649D">
      <w:pPr>
        <w:rPr>
          <w:rFonts w:ascii="Arial" w:hAnsi="Arial" w:cs="Arial"/>
          <w:sz w:val="20"/>
          <w:szCs w:val="20"/>
        </w:rPr>
      </w:pPr>
      <w:hyperlink r:id="rId35" w:history="1">
        <w:proofErr w:type="spellStart"/>
        <w:r w:rsidR="00FB5F90" w:rsidRPr="00FB5F90">
          <w:t>Maksymowych</w:t>
        </w:r>
        <w:proofErr w:type="spellEnd"/>
        <w:r w:rsidR="00FB5F90" w:rsidRPr="00FB5F90">
          <w:t xml:space="preserve"> W</w:t>
        </w:r>
        <w:r w:rsidR="00FB5F90">
          <w:t>.</w:t>
        </w:r>
        <w:r w:rsidR="00FB5F90" w:rsidRPr="00FB5F90">
          <w:t>P</w:t>
        </w:r>
      </w:hyperlink>
      <w:r w:rsidR="00FB5F90">
        <w:t xml:space="preserve">. </w:t>
      </w:r>
      <w:proofErr w:type="gramStart"/>
      <w:r w:rsidR="00FB5F90">
        <w:t>et</w:t>
      </w:r>
      <w:proofErr w:type="gramEnd"/>
      <w:r w:rsidR="00FB5F90">
        <w:t xml:space="preserve"> al.</w:t>
      </w:r>
      <w:r w:rsidR="00FB5F90" w:rsidRPr="00FB5F90">
        <w:t xml:space="preserve"> </w:t>
      </w:r>
      <w:proofErr w:type="spellStart"/>
      <w:r w:rsidR="00FB5F90" w:rsidRPr="00FB5F90">
        <w:t>Spondyloarthritis</w:t>
      </w:r>
      <w:proofErr w:type="spellEnd"/>
      <w:r w:rsidR="00FB5F90" w:rsidRPr="00FB5F90">
        <w:t xml:space="preserve"> Research Consortium of Canada magnetic resonance imaging index for assessment of spinal inflammation in ankylosing spondylitis. </w:t>
      </w:r>
      <w:hyperlink r:id="rId36" w:tooltip="Arthritis and rheumatism." w:history="1">
        <w:proofErr w:type="gramStart"/>
        <w:r w:rsidR="00FB5F90" w:rsidRPr="00FB5F90">
          <w:t>Arthritis Rheum.</w:t>
        </w:r>
        <w:proofErr w:type="gramEnd"/>
      </w:hyperlink>
      <w:r w:rsidR="00FB5F90" w:rsidRPr="00FB5F90">
        <w:t xml:space="preserve"> 2005 Aug 15</w:t>
      </w:r>
      <w:proofErr w:type="gramStart"/>
      <w:r w:rsidR="00FB5F90" w:rsidRPr="00FB5F90">
        <w:t>;53</w:t>
      </w:r>
      <w:proofErr w:type="gramEnd"/>
      <w:r w:rsidR="00FB5F90" w:rsidRPr="00FB5F90">
        <w:t>(4):502-9</w:t>
      </w:r>
      <w:r w:rsidR="00FB5F90">
        <w:rPr>
          <w:rFonts w:ascii="Arial" w:hAnsi="Arial" w:cs="Arial"/>
          <w:sz w:val="20"/>
          <w:szCs w:val="20"/>
        </w:rPr>
        <w:t>.</w:t>
      </w:r>
    </w:p>
    <w:p w:rsidR="00FB5F90" w:rsidRPr="0050649D" w:rsidRDefault="00D365A7" w:rsidP="0050649D">
      <w:hyperlink r:id="rId37" w:history="1">
        <w:proofErr w:type="spellStart"/>
        <w:r w:rsidR="00FB5F90" w:rsidRPr="00FB5F90">
          <w:t>Maksymowych</w:t>
        </w:r>
        <w:proofErr w:type="spellEnd"/>
        <w:r w:rsidR="00FB5F90" w:rsidRPr="00FB5F90">
          <w:t xml:space="preserve"> W</w:t>
        </w:r>
        <w:r w:rsidR="00FB5F90">
          <w:t>.</w:t>
        </w:r>
        <w:r w:rsidR="00FB5F90" w:rsidRPr="00FB5F90">
          <w:t>P</w:t>
        </w:r>
      </w:hyperlink>
      <w:r w:rsidR="00FB5F90">
        <w:t xml:space="preserve">. </w:t>
      </w:r>
      <w:proofErr w:type="gramStart"/>
      <w:r w:rsidR="00FB5F90">
        <w:t>et</w:t>
      </w:r>
      <w:proofErr w:type="gramEnd"/>
      <w:r w:rsidR="00FB5F90">
        <w:t xml:space="preserve"> al. Clinical features and progress of patients with possible ankylosing spondylitis. Result of 10 year followup. </w:t>
      </w:r>
      <w:r w:rsidR="00D17580">
        <w:t xml:space="preserve">J </w:t>
      </w:r>
      <w:proofErr w:type="spellStart"/>
      <w:r w:rsidR="00D17580">
        <w:t>Reumatol</w:t>
      </w:r>
      <w:proofErr w:type="spellEnd"/>
      <w:r w:rsidR="00D17580">
        <w:t xml:space="preserve"> 1988: 15: 1109-1114.</w:t>
      </w:r>
    </w:p>
    <w:p w:rsidR="008E3E78" w:rsidRDefault="008E3E78" w:rsidP="0050649D">
      <w:proofErr w:type="spellStart"/>
      <w:r w:rsidRPr="008E3E78">
        <w:t>Maksymowych</w:t>
      </w:r>
      <w:proofErr w:type="spellEnd"/>
      <w:r w:rsidRPr="008E3E78">
        <w:t xml:space="preserve"> </w:t>
      </w:r>
      <w:r>
        <w:t xml:space="preserve">W.P. </w:t>
      </w:r>
      <w:r w:rsidR="006044B3">
        <w:t xml:space="preserve">et al. </w:t>
      </w:r>
      <w:r w:rsidRPr="008E3E78">
        <w:t>Serum Matrix Metalloproteinase 3 Is an Independent Predictor</w:t>
      </w:r>
      <w:r>
        <w:t xml:space="preserve"> </w:t>
      </w:r>
      <w:r w:rsidRPr="008E3E78">
        <w:t>of Structural Damage Progression in</w:t>
      </w:r>
      <w:r>
        <w:t xml:space="preserve"> </w:t>
      </w:r>
      <w:r w:rsidRPr="008E3E78">
        <w:t>Patients With Ankylosing Spondylitis</w:t>
      </w:r>
      <w:r>
        <w:t xml:space="preserve">. </w:t>
      </w:r>
      <w:r w:rsidRPr="008E3E78">
        <w:t>Arthritis &amp; Rheumatism</w:t>
      </w:r>
      <w:r>
        <w:t xml:space="preserve"> </w:t>
      </w:r>
      <w:r w:rsidRPr="008E3E78">
        <w:t>Vol. 56,</w:t>
      </w:r>
      <w:r w:rsidR="0050649D">
        <w:t xml:space="preserve"> No. 6, June 2007, </w:t>
      </w:r>
      <w:proofErr w:type="spellStart"/>
      <w:r w:rsidR="0050649D">
        <w:t>pp</w:t>
      </w:r>
      <w:proofErr w:type="spellEnd"/>
      <w:r w:rsidR="0050649D">
        <w:t xml:space="preserve"> 1846–1853</w:t>
      </w:r>
    </w:p>
    <w:p w:rsidR="008E3E78" w:rsidRDefault="008E3E78" w:rsidP="0050649D">
      <w:proofErr w:type="spellStart"/>
      <w:proofErr w:type="gramStart"/>
      <w:r w:rsidRPr="008E3E78">
        <w:t>Maksymowych</w:t>
      </w:r>
      <w:proofErr w:type="spellEnd"/>
      <w:r w:rsidRPr="008E3E78">
        <w:t xml:space="preserve"> </w:t>
      </w:r>
      <w:r>
        <w:t xml:space="preserve">W.P. </w:t>
      </w:r>
      <w:r w:rsidR="006044B3">
        <w:t xml:space="preserve">et al. </w:t>
      </w:r>
      <w:r w:rsidRPr="008E3E78">
        <w:t>Beneficial Effects of Adalimumab on Biomarkers</w:t>
      </w:r>
      <w:r>
        <w:t xml:space="preserve"> </w:t>
      </w:r>
      <w:r w:rsidRPr="008E3E78">
        <w:t>Reflecting Structural Damage in Patients with</w:t>
      </w:r>
      <w:r>
        <w:t xml:space="preserve"> </w:t>
      </w:r>
      <w:r w:rsidRPr="008E3E78">
        <w:t>Ankylosing Spondylitis</w:t>
      </w:r>
      <w:r>
        <w:t>.</w:t>
      </w:r>
      <w:proofErr w:type="gramEnd"/>
      <w:r>
        <w:t xml:space="preserve"> </w:t>
      </w:r>
      <w:r w:rsidRPr="008E3E78">
        <w:t>The Journal of Rheumatology 2008; 35:10</w:t>
      </w:r>
    </w:p>
    <w:p w:rsidR="008E3E78" w:rsidRDefault="006044B3" w:rsidP="0050649D">
      <w:proofErr w:type="gramStart"/>
      <w:r w:rsidRPr="008E3E78">
        <w:t>Moll</w:t>
      </w:r>
      <w:r>
        <w:t xml:space="preserve"> J.M.H. and</w:t>
      </w:r>
      <w:r w:rsidRPr="008E3E78">
        <w:t xml:space="preserve"> Wright</w:t>
      </w:r>
      <w:r>
        <w:t xml:space="preserve"> V.</w:t>
      </w:r>
      <w:proofErr w:type="gramEnd"/>
      <w:r w:rsidRPr="008E3E78">
        <w:t xml:space="preserve"> </w:t>
      </w:r>
      <w:proofErr w:type="gramStart"/>
      <w:r>
        <w:t>T</w:t>
      </w:r>
      <w:r w:rsidRPr="008E3E78">
        <w:t>he pattern of chest and spinal mobility</w:t>
      </w:r>
      <w:r>
        <w:t xml:space="preserve"> </w:t>
      </w:r>
      <w:r w:rsidRPr="008E3E78">
        <w:t>in ankylosing spondylitis</w:t>
      </w:r>
      <w:r>
        <w:t xml:space="preserve"> </w:t>
      </w:r>
      <w:r w:rsidRPr="008E3E78">
        <w:t>an objective clinical study of 106 patients</w:t>
      </w:r>
      <w:r>
        <w:t>.</w:t>
      </w:r>
      <w:proofErr w:type="gramEnd"/>
      <w:r>
        <w:t xml:space="preserve"> </w:t>
      </w:r>
      <w:proofErr w:type="spellStart"/>
      <w:proofErr w:type="gramStart"/>
      <w:r w:rsidRPr="006044B3">
        <w:t>Rheumatol</w:t>
      </w:r>
      <w:proofErr w:type="spellEnd"/>
      <w:r w:rsidRPr="006044B3">
        <w:t>.</w:t>
      </w:r>
      <w:proofErr w:type="gramEnd"/>
      <w:r w:rsidRPr="006044B3">
        <w:t xml:space="preserve"> </w:t>
      </w:r>
      <w:proofErr w:type="gramStart"/>
      <w:r w:rsidRPr="006044B3">
        <w:t>and</w:t>
      </w:r>
      <w:proofErr w:type="gramEnd"/>
      <w:r w:rsidRPr="006044B3">
        <w:t xml:space="preserve"> Rehab., 1973, 12, 115</w:t>
      </w:r>
    </w:p>
    <w:p w:rsidR="008E3E78" w:rsidRDefault="006044B3" w:rsidP="0050649D">
      <w:r>
        <w:lastRenderedPageBreak/>
        <w:t xml:space="preserve">Pedersen S. J. et al. ASDAS, BASDAI and different treatment responses and their relation to biomarkers of inflammation, cartilage and bone turnover in patients with axial </w:t>
      </w:r>
      <w:proofErr w:type="spellStart"/>
      <w:r>
        <w:t>spondyloarthritis</w:t>
      </w:r>
      <w:proofErr w:type="spellEnd"/>
      <w:r>
        <w:t xml:space="preserve"> treated with TNFα inhibitors. </w:t>
      </w:r>
      <w:r w:rsidRPr="006044B3">
        <w:rPr>
          <w:i/>
          <w:iCs/>
        </w:rPr>
        <w:t xml:space="preserve">Ann Rheum Dis </w:t>
      </w:r>
      <w:r w:rsidRPr="006044B3">
        <w:t>(2011).</w:t>
      </w:r>
    </w:p>
    <w:p w:rsidR="006044B3" w:rsidRDefault="006044B3" w:rsidP="0050649D">
      <w:proofErr w:type="spellStart"/>
      <w:r>
        <w:t>Rudwaleit</w:t>
      </w:r>
      <w:proofErr w:type="spellEnd"/>
      <w:r>
        <w:t xml:space="preserve"> M. et al. The development of Assessment of </w:t>
      </w:r>
      <w:proofErr w:type="spellStart"/>
      <w:r>
        <w:t>SpondyloArthritis</w:t>
      </w:r>
      <w:proofErr w:type="spellEnd"/>
      <w:r>
        <w:t xml:space="preserve"> international Society classification </w:t>
      </w:r>
      <w:proofErr w:type="gramStart"/>
      <w:r>
        <w:t>criteria  for</w:t>
      </w:r>
      <w:proofErr w:type="gramEnd"/>
      <w:r>
        <w:t xml:space="preserve"> axial </w:t>
      </w:r>
      <w:proofErr w:type="spellStart"/>
      <w:r>
        <w:t>spondyloarthritis</w:t>
      </w:r>
      <w:proofErr w:type="spellEnd"/>
      <w:r>
        <w:t xml:space="preserve"> (part II): validation and final selection. </w:t>
      </w:r>
      <w:r w:rsidRPr="006044B3">
        <w:t>Ann Rheum Dis 2009</w:t>
      </w:r>
      <w:proofErr w:type="gramStart"/>
      <w:r w:rsidRPr="006044B3">
        <w:t>;68:777</w:t>
      </w:r>
      <w:proofErr w:type="gramEnd"/>
      <w:r w:rsidRPr="006044B3">
        <w:t>–783.</w:t>
      </w:r>
    </w:p>
    <w:p w:rsidR="006044B3" w:rsidRDefault="006044B3" w:rsidP="0050649D">
      <w:proofErr w:type="spellStart"/>
      <w:r>
        <w:t>Rudwaleit</w:t>
      </w:r>
      <w:proofErr w:type="spellEnd"/>
      <w:r>
        <w:t xml:space="preserve"> M. et al. </w:t>
      </w:r>
      <w:r w:rsidRPr="006044B3">
        <w:t xml:space="preserve">The Early Disease Stage in Axial </w:t>
      </w:r>
      <w:proofErr w:type="spellStart"/>
      <w:r w:rsidRPr="006044B3">
        <w:t>Spondylarthritis</w:t>
      </w:r>
      <w:proofErr w:type="spellEnd"/>
      <w:r>
        <w:t xml:space="preserve"> </w:t>
      </w:r>
      <w:r w:rsidRPr="006044B3">
        <w:t xml:space="preserve">Results </w:t>
      </w:r>
      <w:proofErr w:type="gramStart"/>
      <w:r w:rsidRPr="006044B3">
        <w:t>From</w:t>
      </w:r>
      <w:proofErr w:type="gramEnd"/>
      <w:r w:rsidRPr="006044B3">
        <w:t xml:space="preserve"> the German </w:t>
      </w:r>
      <w:proofErr w:type="spellStart"/>
      <w:r w:rsidRPr="006044B3">
        <w:t>Spondyloarthritis</w:t>
      </w:r>
      <w:proofErr w:type="spellEnd"/>
      <w:r w:rsidRPr="006044B3">
        <w:t xml:space="preserve"> Inception Cohort</w:t>
      </w:r>
      <w:r>
        <w:t xml:space="preserve">. </w:t>
      </w:r>
      <w:r w:rsidRPr="006044B3">
        <w:t>Arthritis &amp; Rheumatism</w:t>
      </w:r>
      <w:r>
        <w:t xml:space="preserve"> </w:t>
      </w:r>
      <w:r w:rsidRPr="006044B3">
        <w:t>Vol. 60, No. 3, March 2009, pp 717–727</w:t>
      </w:r>
    </w:p>
    <w:p w:rsidR="006044B3" w:rsidRDefault="006044B3" w:rsidP="0050649D">
      <w:proofErr w:type="spellStart"/>
      <w:r>
        <w:t>Rudwaleit</w:t>
      </w:r>
      <w:proofErr w:type="spellEnd"/>
      <w:r>
        <w:t xml:space="preserve"> M. et al. </w:t>
      </w:r>
      <w:proofErr w:type="gramStart"/>
      <w:r>
        <w:t xml:space="preserve">The Assessment of </w:t>
      </w:r>
      <w:proofErr w:type="spellStart"/>
      <w:r>
        <w:t>SpondyloArthritis</w:t>
      </w:r>
      <w:proofErr w:type="spellEnd"/>
      <w:r>
        <w:t xml:space="preserve"> international Society classification criteria for peripheral </w:t>
      </w:r>
      <w:proofErr w:type="spellStart"/>
      <w:r>
        <w:t>spondyloarthritis</w:t>
      </w:r>
      <w:proofErr w:type="spellEnd"/>
      <w:r>
        <w:t xml:space="preserve"> and for </w:t>
      </w:r>
      <w:proofErr w:type="spellStart"/>
      <w:r>
        <w:t>spondyloarthritis</w:t>
      </w:r>
      <w:proofErr w:type="spellEnd"/>
      <w:r>
        <w:t xml:space="preserve"> in general.</w:t>
      </w:r>
      <w:proofErr w:type="gramEnd"/>
      <w:r>
        <w:t xml:space="preserve"> </w:t>
      </w:r>
      <w:r w:rsidRPr="006044B3">
        <w:rPr>
          <w:iCs/>
        </w:rPr>
        <w:t xml:space="preserve">Ann Rheum </w:t>
      </w:r>
      <w:r>
        <w:rPr>
          <w:iCs/>
        </w:rPr>
        <w:t>Dis (</w:t>
      </w:r>
      <w:r w:rsidRPr="006044B3">
        <w:t>2010)</w:t>
      </w:r>
      <w:r>
        <w:t>.</w:t>
      </w:r>
    </w:p>
    <w:p w:rsidR="006044B3" w:rsidRDefault="00D17580" w:rsidP="0050649D">
      <w:proofErr w:type="spellStart"/>
      <w:r>
        <w:t>Sampaio</w:t>
      </w:r>
      <w:proofErr w:type="spellEnd"/>
      <w:r>
        <w:t xml:space="preserve">-Barros P.D. et al. Undifferentiated </w:t>
      </w:r>
      <w:proofErr w:type="spellStart"/>
      <w:r>
        <w:t>SpondyloArthritis</w:t>
      </w:r>
      <w:proofErr w:type="spellEnd"/>
      <w:r>
        <w:t xml:space="preserve">: A 2-year follow-up study. </w:t>
      </w:r>
      <w:proofErr w:type="spellStart"/>
      <w:r>
        <w:t>Clin</w:t>
      </w:r>
      <w:proofErr w:type="spellEnd"/>
      <w:r>
        <w:t xml:space="preserve"> </w:t>
      </w:r>
      <w:proofErr w:type="spellStart"/>
      <w:r>
        <w:t>Rheumatol</w:t>
      </w:r>
      <w:proofErr w:type="spellEnd"/>
      <w:r>
        <w:t xml:space="preserve"> 2001. 20:201-206.</w:t>
      </w:r>
    </w:p>
    <w:p w:rsidR="006044B3" w:rsidRDefault="006044B3" w:rsidP="0050649D">
      <w:proofErr w:type="spellStart"/>
      <w:r w:rsidRPr="006044B3">
        <w:t>Sieper</w:t>
      </w:r>
      <w:proofErr w:type="spellEnd"/>
      <w:r w:rsidRPr="006044B3">
        <w:t xml:space="preserve"> </w:t>
      </w:r>
      <w:r>
        <w:t xml:space="preserve">J. et al. </w:t>
      </w:r>
      <w:r w:rsidRPr="006044B3">
        <w:t xml:space="preserve">The Assessment of </w:t>
      </w:r>
      <w:proofErr w:type="spellStart"/>
      <w:r w:rsidRPr="006044B3">
        <w:t>SpondyloArthritis</w:t>
      </w:r>
      <w:proofErr w:type="spellEnd"/>
      <w:r w:rsidRPr="006044B3">
        <w:t xml:space="preserve"> international</w:t>
      </w:r>
      <w:r>
        <w:t xml:space="preserve"> </w:t>
      </w:r>
      <w:r w:rsidRPr="006044B3">
        <w:t>Society (ASAS) handbook: a guide to assess</w:t>
      </w:r>
      <w:r>
        <w:t xml:space="preserve"> </w:t>
      </w:r>
      <w:proofErr w:type="spellStart"/>
      <w:r w:rsidRPr="006044B3">
        <w:t>Spondyloarthritis</w:t>
      </w:r>
      <w:proofErr w:type="spellEnd"/>
      <w:r>
        <w:t xml:space="preserve">. </w:t>
      </w:r>
      <w:r w:rsidRPr="006044B3">
        <w:t>Ann Rheum Dis 2009</w:t>
      </w:r>
      <w:proofErr w:type="gramStart"/>
      <w:r w:rsidRPr="006044B3">
        <w:t>;68</w:t>
      </w:r>
      <w:proofErr w:type="gramEnd"/>
      <w:r>
        <w:t xml:space="preserve"> </w:t>
      </w:r>
      <w:r w:rsidR="0050649D">
        <w:t>(</w:t>
      </w:r>
      <w:proofErr w:type="spellStart"/>
      <w:r w:rsidR="0050649D">
        <w:t>Suppl</w:t>
      </w:r>
      <w:proofErr w:type="spellEnd"/>
      <w:r w:rsidR="0050649D">
        <w:t xml:space="preserve"> II):ii1–ii44</w:t>
      </w:r>
    </w:p>
    <w:p w:rsidR="006044B3" w:rsidRDefault="006044B3" w:rsidP="0050649D">
      <w:proofErr w:type="gramStart"/>
      <w:r w:rsidRPr="006044B3">
        <w:t xml:space="preserve">Song </w:t>
      </w:r>
      <w:r>
        <w:t>I-H.</w:t>
      </w:r>
      <w:proofErr w:type="gramEnd"/>
      <w:r>
        <w:t xml:space="preserve"> </w:t>
      </w:r>
      <w:proofErr w:type="gramStart"/>
      <w:r>
        <w:t>et</w:t>
      </w:r>
      <w:proofErr w:type="gramEnd"/>
      <w:r>
        <w:t xml:space="preserve"> al. </w:t>
      </w:r>
      <w:r w:rsidRPr="006044B3">
        <w:t xml:space="preserve">Effects of </w:t>
      </w:r>
      <w:proofErr w:type="spellStart"/>
      <w:r w:rsidRPr="006044B3">
        <w:t>etanercept</w:t>
      </w:r>
      <w:proofErr w:type="spellEnd"/>
      <w:r w:rsidRPr="006044B3">
        <w:t xml:space="preserve"> versus sulfasalazine in early</w:t>
      </w:r>
      <w:r>
        <w:t xml:space="preserve"> </w:t>
      </w:r>
      <w:r w:rsidRPr="006044B3">
        <w:t xml:space="preserve">axial </w:t>
      </w:r>
      <w:proofErr w:type="spellStart"/>
      <w:r w:rsidRPr="006044B3">
        <w:t>s</w:t>
      </w:r>
      <w:r>
        <w:t>pondyloarthritis</w:t>
      </w:r>
      <w:proofErr w:type="spellEnd"/>
      <w:r>
        <w:t xml:space="preserve"> on active infl</w:t>
      </w:r>
      <w:r w:rsidRPr="006044B3">
        <w:t>ammatory lesions</w:t>
      </w:r>
      <w:r>
        <w:t xml:space="preserve"> </w:t>
      </w:r>
      <w:r w:rsidRPr="006044B3">
        <w:t>as detected by whole-body MRI (ESTHER):</w:t>
      </w:r>
      <w:r>
        <w:t xml:space="preserve"> </w:t>
      </w:r>
      <w:r w:rsidRPr="006044B3">
        <w:t>a 48-week randomised controlled trial</w:t>
      </w:r>
      <w:r>
        <w:t xml:space="preserve">. </w:t>
      </w:r>
      <w:r w:rsidRPr="006044B3">
        <w:t>Ann Rheum Dis 2011</w:t>
      </w:r>
      <w:proofErr w:type="gramStart"/>
      <w:r w:rsidRPr="006044B3">
        <w:t>;70:590</w:t>
      </w:r>
      <w:proofErr w:type="gramEnd"/>
      <w:r w:rsidRPr="006044B3">
        <w:t>–596.</w:t>
      </w:r>
    </w:p>
    <w:p w:rsidR="006044B3" w:rsidRDefault="00D17580" w:rsidP="0050649D">
      <w:proofErr w:type="gramStart"/>
      <w:r>
        <w:t>van</w:t>
      </w:r>
      <w:proofErr w:type="gramEnd"/>
      <w:r>
        <w:t xml:space="preserve"> der </w:t>
      </w:r>
      <w:proofErr w:type="spellStart"/>
      <w:r>
        <w:t>Heijde</w:t>
      </w:r>
      <w:proofErr w:type="spellEnd"/>
      <w:r>
        <w:t xml:space="preserve"> D.M. et </w:t>
      </w:r>
      <w:proofErr w:type="spellStart"/>
      <w:r>
        <w:t>al.Efficacy</w:t>
      </w:r>
      <w:proofErr w:type="spellEnd"/>
      <w:r>
        <w:t xml:space="preserve"> and safety of adalimumab in patients with ankylosing spondylitis. </w:t>
      </w:r>
      <w:r w:rsidRPr="00FB5F90">
        <w:t>Arthritis &amp; Rheumatism</w:t>
      </w:r>
      <w:r>
        <w:t xml:space="preserve"> 2006 54:2136-2146.</w:t>
      </w:r>
    </w:p>
    <w:p w:rsidR="006044B3" w:rsidRDefault="006044B3" w:rsidP="0050649D">
      <w:proofErr w:type="gramStart"/>
      <w:r>
        <w:t>van</w:t>
      </w:r>
      <w:proofErr w:type="gramEnd"/>
      <w:r>
        <w:t xml:space="preserve"> der </w:t>
      </w:r>
      <w:proofErr w:type="spellStart"/>
      <w:r>
        <w:t>Heijde</w:t>
      </w:r>
      <w:proofErr w:type="spellEnd"/>
      <w:r>
        <w:t xml:space="preserve"> D.M. et al. Vol 11 No 4 Research article Physical function, disease activity, and health-related quality-of-life outcomes after 3 years of adalimumab treatment in patients with ankylosing spondylitis. </w:t>
      </w:r>
      <w:proofErr w:type="gramStart"/>
      <w:r w:rsidRPr="006044B3">
        <w:rPr>
          <w:bCs/>
        </w:rPr>
        <w:t>Available online</w:t>
      </w:r>
      <w:r w:rsidRPr="0050649D">
        <w:t xml:space="preserve"> </w:t>
      </w:r>
      <w:r w:rsidR="0050649D">
        <w:t>&lt;</w:t>
      </w:r>
      <w:hyperlink r:id="rId38" w:history="1">
        <w:r w:rsidRPr="0050155A">
          <w:rPr>
            <w:rStyle w:val="Hyperlink"/>
          </w:rPr>
          <w:t>http://arthritis-research.com/content/11/4/R124</w:t>
        </w:r>
      </w:hyperlink>
      <w:r w:rsidR="0050649D">
        <w:t>&gt;.</w:t>
      </w:r>
      <w:proofErr w:type="gramEnd"/>
    </w:p>
    <w:p w:rsidR="006044B3" w:rsidRDefault="006044B3" w:rsidP="0050649D">
      <w:proofErr w:type="gramStart"/>
      <w:r>
        <w:t>van</w:t>
      </w:r>
      <w:proofErr w:type="gramEnd"/>
      <w:r>
        <w:t xml:space="preserve"> der </w:t>
      </w:r>
      <w:proofErr w:type="spellStart"/>
      <w:r>
        <w:t>Heijde</w:t>
      </w:r>
      <w:proofErr w:type="spellEnd"/>
      <w:r>
        <w:t xml:space="preserve"> D.M. et al. 2010 Update of the international ASAS recommendations for the use of anti-TNF agents in patients with axial </w:t>
      </w:r>
      <w:proofErr w:type="spellStart"/>
      <w:r>
        <w:t>spondyloarthritis</w:t>
      </w:r>
      <w:proofErr w:type="spellEnd"/>
      <w:r w:rsidR="00FB5F90">
        <w:t xml:space="preserve">. </w:t>
      </w:r>
      <w:r w:rsidR="00FB5F90" w:rsidRPr="00FB5F90">
        <w:t>Ann Rheum Dis 2011</w:t>
      </w:r>
      <w:proofErr w:type="gramStart"/>
      <w:r w:rsidR="00FB5F90" w:rsidRPr="00FB5F90">
        <w:t>;70:905</w:t>
      </w:r>
      <w:proofErr w:type="gramEnd"/>
      <w:r w:rsidR="00FB5F90" w:rsidRPr="00FB5F90">
        <w:t>–908.</w:t>
      </w:r>
    </w:p>
    <w:p w:rsidR="008E3E78" w:rsidRDefault="00FB5F90" w:rsidP="0050649D">
      <w:proofErr w:type="spellStart"/>
      <w:r w:rsidRPr="00FB5F90">
        <w:t>Vandooren</w:t>
      </w:r>
      <w:proofErr w:type="spellEnd"/>
      <w:r>
        <w:t xml:space="preserve"> B. et al. </w:t>
      </w:r>
      <w:r w:rsidRPr="00FB5F90">
        <w:t xml:space="preserve"> </w:t>
      </w:r>
      <w:proofErr w:type="gramStart"/>
      <w:r w:rsidRPr="00FB5F90">
        <w:t xml:space="preserve">Involvement of Matrix </w:t>
      </w:r>
      <w:proofErr w:type="spellStart"/>
      <w:r w:rsidRPr="00FB5F90">
        <w:t>Metalloproteinases</w:t>
      </w:r>
      <w:proofErr w:type="spellEnd"/>
      <w:r w:rsidRPr="00FB5F90">
        <w:t xml:space="preserve"> and Their Inhibitors</w:t>
      </w:r>
      <w:r>
        <w:t xml:space="preserve"> </w:t>
      </w:r>
      <w:r w:rsidRPr="00FB5F90">
        <w:t xml:space="preserve">in Peripheral </w:t>
      </w:r>
      <w:proofErr w:type="spellStart"/>
      <w:r w:rsidRPr="00FB5F90">
        <w:t>Synovitis</w:t>
      </w:r>
      <w:proofErr w:type="spellEnd"/>
      <w:r w:rsidRPr="00FB5F90">
        <w:t xml:space="preserve"> and Down-Regulation by</w:t>
      </w:r>
      <w:r>
        <w:t xml:space="preserve"> </w:t>
      </w:r>
      <w:r w:rsidRPr="00FB5F90">
        <w:t xml:space="preserve">Tumor Necrosis Factor Blockade in </w:t>
      </w:r>
      <w:proofErr w:type="spellStart"/>
      <w:r w:rsidRPr="00FB5F90">
        <w:t>Spondylarthropathy</w:t>
      </w:r>
      <w:proofErr w:type="spellEnd"/>
      <w:r>
        <w:t>.</w:t>
      </w:r>
      <w:proofErr w:type="gramEnd"/>
      <w:r>
        <w:t xml:space="preserve"> </w:t>
      </w:r>
      <w:r w:rsidRPr="00FB5F90">
        <w:t>Arthritis &amp; Rheumatism</w:t>
      </w:r>
      <w:r>
        <w:t xml:space="preserve"> </w:t>
      </w:r>
      <w:r w:rsidRPr="00FB5F90">
        <w:t>Vol. 50, No. 9, September 2004, pp 2942–2953</w:t>
      </w:r>
    </w:p>
    <w:p w:rsidR="00FB5F90" w:rsidRDefault="00FB5F90" w:rsidP="0050649D">
      <w:proofErr w:type="spellStart"/>
      <w:proofErr w:type="gramStart"/>
      <w:r>
        <w:t>Vosse</w:t>
      </w:r>
      <w:proofErr w:type="spellEnd"/>
      <w:r>
        <w:t xml:space="preserve"> D. et al. Association of markers of bone- and cartilage-degradation with radiological changes at baseline and after 2 years follow-up in patients with ankylosing spondylitis.</w:t>
      </w:r>
      <w:proofErr w:type="gramEnd"/>
      <w:r>
        <w:t xml:space="preserve"> </w:t>
      </w:r>
      <w:r w:rsidRPr="00FB5F90">
        <w:t>Rheumatology 2008</w:t>
      </w:r>
      <w:proofErr w:type="gramStart"/>
      <w:r w:rsidRPr="00FB5F90">
        <w:t>;47:1219</w:t>
      </w:r>
      <w:proofErr w:type="gramEnd"/>
      <w:r w:rsidRPr="00FB5F90">
        <w:t>–1222</w:t>
      </w:r>
      <w:r>
        <w:t>.</w:t>
      </w:r>
    </w:p>
    <w:p w:rsidR="003D1E62" w:rsidRPr="001D043B" w:rsidRDefault="00FB5F90" w:rsidP="002666AC">
      <w:pPr>
        <w:sectPr w:rsidR="003D1E62" w:rsidRPr="001D043B" w:rsidSect="00D17580">
          <w:footerReference w:type="default" r:id="rId39"/>
          <w:pgSz w:w="11906" w:h="16838" w:code="9"/>
          <w:pgMar w:top="1440" w:right="1440" w:bottom="1440" w:left="1440" w:header="907" w:footer="216" w:gutter="0"/>
          <w:cols w:space="708"/>
          <w:docGrid w:linePitch="360"/>
        </w:sectPr>
      </w:pPr>
      <w:proofErr w:type="gramStart"/>
      <w:r>
        <w:t>Wheaton L. and Pope J.</w:t>
      </w:r>
      <w:proofErr w:type="gramEnd"/>
      <w:r>
        <w:t xml:space="preserve"> The Minimally Important Difference for Patient-reported Outcomes in </w:t>
      </w:r>
      <w:proofErr w:type="spellStart"/>
      <w:r>
        <w:t>Spondyloarthropathies</w:t>
      </w:r>
      <w:proofErr w:type="spellEnd"/>
      <w:r>
        <w:t xml:space="preserve"> including Pain, Fatigue, Sleep, and Health Assessment Questionnaire. </w:t>
      </w:r>
      <w:r w:rsidRPr="00FB5F90">
        <w:rPr>
          <w:iCs/>
        </w:rPr>
        <w:t>The Jou</w:t>
      </w:r>
      <w:r>
        <w:rPr>
          <w:iCs/>
        </w:rPr>
        <w:t>rnal of Rheumatology 2010; 37:4.</w:t>
      </w:r>
    </w:p>
    <w:p w:rsidR="00774E1D" w:rsidRPr="008A5E0B" w:rsidRDefault="00774E1D" w:rsidP="008A5E0B"/>
    <w:sectPr w:rsidR="00774E1D" w:rsidRPr="008A5E0B" w:rsidSect="008D770F">
      <w:headerReference w:type="even" r:id="rId40"/>
      <w:headerReference w:type="default" r:id="rId41"/>
      <w:footerReference w:type="default" r:id="rId42"/>
      <w:headerReference w:type="first" r:id="rId43"/>
      <w:footerReference w:type="first" r:id="rId44"/>
      <w:pgSz w:w="11906" w:h="16838" w:code="9"/>
      <w:pgMar w:top="1818" w:right="1701" w:bottom="1701"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65A7" w:rsidRDefault="00D365A7" w:rsidP="00C40A36">
      <w:pPr>
        <w:spacing w:after="0"/>
      </w:pPr>
      <w:r>
        <w:separator/>
      </w:r>
    </w:p>
  </w:endnote>
  <w:endnote w:type="continuationSeparator" w:id="0">
    <w:p w:rsidR="00D365A7" w:rsidRDefault="00D365A7"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Symbol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7938"/>
      <w:gridCol w:w="923"/>
    </w:tblGrid>
    <w:tr w:rsidR="00D365A7" w:rsidRPr="00487162" w:rsidTr="0053625B">
      <w:trPr>
        <w:trHeight w:val="269"/>
      </w:trPr>
      <w:tc>
        <w:tcPr>
          <w:tcW w:w="7938" w:type="dxa"/>
          <w:tcMar>
            <w:top w:w="142" w:type="dxa"/>
            <w:bottom w:w="0" w:type="dxa"/>
          </w:tcMar>
        </w:tcPr>
        <w:p w:rsidR="00D365A7" w:rsidRPr="00487162" w:rsidRDefault="00D365A7" w:rsidP="00586F98">
          <w:pPr>
            <w:pStyle w:val="Footer"/>
          </w:pPr>
          <w:r>
            <w:t>Submission</w:t>
          </w:r>
          <w:r w:rsidRPr="00487162">
            <w:t xml:space="preserve"> PM-20</w:t>
          </w:r>
          <w:r>
            <w:t>12</w:t>
          </w:r>
          <w:r w:rsidRPr="00487162">
            <w:t>-</w:t>
          </w:r>
          <w:r>
            <w:t xml:space="preserve">02255-3-3 Extract from the Clinical Evaluation Report for </w:t>
          </w:r>
          <w:proofErr w:type="spellStart"/>
          <w:r>
            <w:t>Humira</w:t>
          </w:r>
          <w:proofErr w:type="spellEnd"/>
        </w:p>
      </w:tc>
      <w:tc>
        <w:tcPr>
          <w:tcW w:w="923" w:type="dxa"/>
          <w:tcMar>
            <w:top w:w="142" w:type="dxa"/>
            <w:bottom w:w="0" w:type="dxa"/>
          </w:tcMar>
        </w:tcPr>
        <w:p w:rsidR="00D365A7" w:rsidRPr="00487162" w:rsidRDefault="00D365A7" w:rsidP="00D855D4">
          <w:pPr>
            <w:pStyle w:val="Footer"/>
            <w:jc w:val="right"/>
          </w:pPr>
          <w:r w:rsidRPr="00487162">
            <w:t xml:space="preserve">Page </w:t>
          </w:r>
          <w:r>
            <w:t>2</w:t>
          </w:r>
          <w:r w:rsidRPr="00487162">
            <w:t xml:space="preserve"> of </w:t>
          </w:r>
          <w:r>
            <w:fldChar w:fldCharType="begin"/>
          </w:r>
          <w:r>
            <w:instrText xml:space="preserve"> NUMPAGES  \* Arabic </w:instrText>
          </w:r>
          <w:r>
            <w:fldChar w:fldCharType="separate"/>
          </w:r>
          <w:r w:rsidR="00425E17">
            <w:rPr>
              <w:noProof/>
            </w:rPr>
            <w:t>30</w:t>
          </w:r>
          <w:r>
            <w:rPr>
              <w:noProof/>
            </w:rPr>
            <w:fldChar w:fldCharType="end"/>
          </w:r>
        </w:p>
      </w:tc>
    </w:tr>
  </w:tbl>
  <w:p w:rsidR="00D365A7" w:rsidRDefault="00D365A7"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170" w:type="dxa"/>
        <w:right w:w="0" w:type="dxa"/>
      </w:tblCellMar>
      <w:tblLook w:val="04A0" w:firstRow="1" w:lastRow="0" w:firstColumn="1" w:lastColumn="0" w:noHBand="0" w:noVBand="1"/>
    </w:tblPr>
    <w:tblGrid>
      <w:gridCol w:w="7655"/>
      <w:gridCol w:w="1206"/>
    </w:tblGrid>
    <w:tr w:rsidR="00D365A7" w:rsidRPr="00487162" w:rsidTr="00586F98">
      <w:trPr>
        <w:trHeight w:val="269"/>
      </w:trPr>
      <w:tc>
        <w:tcPr>
          <w:tcW w:w="7655" w:type="dxa"/>
          <w:tcMar>
            <w:top w:w="142" w:type="dxa"/>
            <w:bottom w:w="0" w:type="dxa"/>
          </w:tcMar>
        </w:tcPr>
        <w:p w:rsidR="00D365A7" w:rsidRPr="00487162" w:rsidRDefault="00D365A7" w:rsidP="00E20A7E">
          <w:pPr>
            <w:pStyle w:val="Footer"/>
          </w:pPr>
          <w:r>
            <w:t>Submission</w:t>
          </w:r>
          <w:r w:rsidRPr="00487162">
            <w:t xml:space="preserve"> PM-20</w:t>
          </w:r>
          <w:r>
            <w:t>12</w:t>
          </w:r>
          <w:r w:rsidRPr="00487162">
            <w:t>-</w:t>
          </w:r>
          <w:r>
            <w:t xml:space="preserve">02255-3-3 Extract from the Clinical Evaluation Report for </w:t>
          </w:r>
          <w:proofErr w:type="spellStart"/>
          <w:r>
            <w:t>Humira</w:t>
          </w:r>
          <w:proofErr w:type="spellEnd"/>
        </w:p>
      </w:tc>
      <w:tc>
        <w:tcPr>
          <w:tcW w:w="1206" w:type="dxa"/>
          <w:tcMar>
            <w:top w:w="142" w:type="dxa"/>
            <w:bottom w:w="0" w:type="dxa"/>
          </w:tcMar>
        </w:tcPr>
        <w:p w:rsidR="00D365A7" w:rsidRPr="00487162" w:rsidRDefault="00D365A7" w:rsidP="00E45619">
          <w:pPr>
            <w:pStyle w:val="Footer"/>
            <w:jc w:val="right"/>
          </w:pPr>
          <w:r w:rsidRPr="00487162">
            <w:t xml:space="preserve">Page </w:t>
          </w:r>
          <w:r>
            <w:fldChar w:fldCharType="begin"/>
          </w:r>
          <w:r>
            <w:instrText>PAGE</w:instrText>
          </w:r>
          <w:r>
            <w:fldChar w:fldCharType="separate"/>
          </w:r>
          <w:r w:rsidR="003C4F43">
            <w:rPr>
              <w:noProof/>
            </w:rPr>
            <w:t>3</w:t>
          </w:r>
          <w:r>
            <w:rPr>
              <w:noProof/>
            </w:rPr>
            <w:fldChar w:fldCharType="end"/>
          </w:r>
          <w:r w:rsidRPr="00487162">
            <w:t xml:space="preserve"> of </w:t>
          </w:r>
          <w:r>
            <w:fldChar w:fldCharType="begin"/>
          </w:r>
          <w:r>
            <w:instrText xml:space="preserve"> NUMPAGES  \* Arabic </w:instrText>
          </w:r>
          <w:r>
            <w:fldChar w:fldCharType="separate"/>
          </w:r>
          <w:r w:rsidR="003C4F43">
            <w:rPr>
              <w:noProof/>
            </w:rPr>
            <w:t>30</w:t>
          </w:r>
          <w:r>
            <w:rPr>
              <w:noProof/>
            </w:rPr>
            <w:fldChar w:fldCharType="end"/>
          </w:r>
        </w:p>
      </w:tc>
    </w:tr>
  </w:tbl>
  <w:p w:rsidR="00D365A7" w:rsidRDefault="00D365A7" w:rsidP="00E2613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D365A7" w:rsidRPr="00487162" w:rsidTr="00E45619">
      <w:trPr>
        <w:trHeight w:val="269"/>
      </w:trPr>
      <w:tc>
        <w:tcPr>
          <w:tcW w:w="4519" w:type="dxa"/>
          <w:tcBorders>
            <w:top w:val="single" w:sz="4" w:space="0" w:color="auto"/>
          </w:tcBorders>
          <w:tcMar>
            <w:top w:w="142" w:type="dxa"/>
            <w:bottom w:w="0" w:type="dxa"/>
          </w:tcMar>
        </w:tcPr>
        <w:p w:rsidR="00D365A7" w:rsidRPr="00487162" w:rsidRDefault="00D365A7" w:rsidP="00FE1DEE">
          <w:pPr>
            <w:pStyle w:val="Footer"/>
          </w:pPr>
          <w:r w:rsidRPr="00487162">
            <w:t>Document title, Part #, Section # - Section title</w:t>
          </w:r>
        </w:p>
        <w:p w:rsidR="00D365A7" w:rsidRPr="00487162" w:rsidRDefault="00D365A7" w:rsidP="00FE1DEE">
          <w:pPr>
            <w:pStyle w:val="Footer"/>
          </w:pPr>
          <w:r w:rsidRPr="00487162">
            <w:t>V1.0 October 2010</w:t>
          </w:r>
        </w:p>
      </w:tc>
      <w:tc>
        <w:tcPr>
          <w:tcW w:w="4342" w:type="dxa"/>
          <w:tcBorders>
            <w:top w:val="single" w:sz="4" w:space="0" w:color="auto"/>
          </w:tcBorders>
          <w:tcMar>
            <w:top w:w="142" w:type="dxa"/>
            <w:bottom w:w="0" w:type="dxa"/>
          </w:tcMar>
        </w:tcPr>
        <w:p w:rsidR="00D365A7" w:rsidRPr="00487162" w:rsidRDefault="00D365A7"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fldChar w:fldCharType="begin"/>
          </w:r>
          <w:r>
            <w:instrText xml:space="preserve"> NUMPAGES  </w:instrText>
          </w:r>
          <w:r>
            <w:fldChar w:fldCharType="separate"/>
          </w:r>
          <w:r>
            <w:rPr>
              <w:noProof/>
            </w:rPr>
            <w:t>2</w:t>
          </w:r>
          <w:r>
            <w:rPr>
              <w:noProof/>
            </w:rPr>
            <w:fldChar w:fldCharType="end"/>
          </w:r>
        </w:p>
      </w:tc>
    </w:tr>
  </w:tbl>
  <w:p w:rsidR="00D365A7" w:rsidRDefault="00D365A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034" w:type="dxa"/>
      <w:tblBorders>
        <w:top w:val="single" w:sz="4" w:space="0" w:color="auto"/>
      </w:tblBorders>
      <w:tblLayout w:type="fixed"/>
      <w:tblCellMar>
        <w:top w:w="170" w:type="dxa"/>
        <w:left w:w="0" w:type="dxa"/>
        <w:bottom w:w="170" w:type="dxa"/>
        <w:right w:w="0" w:type="dxa"/>
      </w:tblCellMar>
      <w:tblLook w:val="04A0" w:firstRow="1" w:lastRow="0" w:firstColumn="1" w:lastColumn="0" w:noHBand="0" w:noVBand="1"/>
    </w:tblPr>
    <w:tblGrid>
      <w:gridCol w:w="7655"/>
      <w:gridCol w:w="6379"/>
    </w:tblGrid>
    <w:tr w:rsidR="00E6784C" w:rsidRPr="00487162" w:rsidTr="00E6784C">
      <w:trPr>
        <w:trHeight w:val="269"/>
      </w:trPr>
      <w:tc>
        <w:tcPr>
          <w:tcW w:w="7655" w:type="dxa"/>
          <w:tcMar>
            <w:top w:w="142" w:type="dxa"/>
            <w:bottom w:w="0" w:type="dxa"/>
          </w:tcMar>
        </w:tcPr>
        <w:p w:rsidR="00E6784C" w:rsidRPr="00487162" w:rsidRDefault="00E6784C" w:rsidP="00E20A7E">
          <w:pPr>
            <w:pStyle w:val="Footer"/>
          </w:pPr>
          <w:r>
            <w:t>Submission</w:t>
          </w:r>
          <w:r w:rsidRPr="00487162">
            <w:t xml:space="preserve"> PM-20</w:t>
          </w:r>
          <w:r>
            <w:t>12</w:t>
          </w:r>
          <w:r w:rsidRPr="00487162">
            <w:t>-</w:t>
          </w:r>
          <w:r>
            <w:t xml:space="preserve">02255-3-3 Extract from the Clinical Evaluation Report for </w:t>
          </w:r>
          <w:proofErr w:type="spellStart"/>
          <w:r>
            <w:t>Humira</w:t>
          </w:r>
          <w:proofErr w:type="spellEnd"/>
        </w:p>
      </w:tc>
      <w:tc>
        <w:tcPr>
          <w:tcW w:w="6379" w:type="dxa"/>
          <w:tcMar>
            <w:top w:w="142" w:type="dxa"/>
            <w:bottom w:w="0" w:type="dxa"/>
          </w:tcMar>
        </w:tcPr>
        <w:p w:rsidR="00E6784C" w:rsidRPr="00487162" w:rsidRDefault="00E6784C" w:rsidP="00E45619">
          <w:pPr>
            <w:pStyle w:val="Footer"/>
            <w:jc w:val="right"/>
          </w:pPr>
          <w:r w:rsidRPr="00487162">
            <w:t xml:space="preserve">Page </w:t>
          </w:r>
          <w:r>
            <w:fldChar w:fldCharType="begin"/>
          </w:r>
          <w:r>
            <w:instrText>PAGE</w:instrText>
          </w:r>
          <w:r>
            <w:fldChar w:fldCharType="separate"/>
          </w:r>
          <w:r w:rsidR="003C4F43">
            <w:rPr>
              <w:noProof/>
            </w:rPr>
            <w:t>18</w:t>
          </w:r>
          <w:r>
            <w:rPr>
              <w:noProof/>
            </w:rPr>
            <w:fldChar w:fldCharType="end"/>
          </w:r>
          <w:r w:rsidRPr="00487162">
            <w:t xml:space="preserve"> of </w:t>
          </w:r>
          <w:r>
            <w:fldChar w:fldCharType="begin"/>
          </w:r>
          <w:r>
            <w:instrText xml:space="preserve"> NUMPAGES  \* Arabic </w:instrText>
          </w:r>
          <w:r>
            <w:fldChar w:fldCharType="separate"/>
          </w:r>
          <w:r w:rsidR="003C4F43">
            <w:rPr>
              <w:noProof/>
            </w:rPr>
            <w:t>30</w:t>
          </w:r>
          <w:r>
            <w:rPr>
              <w:noProof/>
            </w:rPr>
            <w:fldChar w:fldCharType="end"/>
          </w:r>
        </w:p>
      </w:tc>
    </w:tr>
  </w:tbl>
  <w:p w:rsidR="00E6784C" w:rsidRDefault="00E6784C" w:rsidP="00E2613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170" w:type="dxa"/>
        <w:right w:w="0" w:type="dxa"/>
      </w:tblCellMar>
      <w:tblLook w:val="04A0" w:firstRow="1" w:lastRow="0" w:firstColumn="1" w:lastColumn="0" w:noHBand="0" w:noVBand="1"/>
    </w:tblPr>
    <w:tblGrid>
      <w:gridCol w:w="7655"/>
      <w:gridCol w:w="1206"/>
    </w:tblGrid>
    <w:tr w:rsidR="00E6784C" w:rsidRPr="00487162" w:rsidTr="00586F98">
      <w:trPr>
        <w:trHeight w:val="269"/>
      </w:trPr>
      <w:tc>
        <w:tcPr>
          <w:tcW w:w="7655" w:type="dxa"/>
          <w:tcMar>
            <w:top w:w="142" w:type="dxa"/>
            <w:bottom w:w="0" w:type="dxa"/>
          </w:tcMar>
        </w:tcPr>
        <w:p w:rsidR="00E6784C" w:rsidRPr="00487162" w:rsidRDefault="00E6784C" w:rsidP="00E20A7E">
          <w:pPr>
            <w:pStyle w:val="Footer"/>
          </w:pPr>
          <w:r>
            <w:t>Submission</w:t>
          </w:r>
          <w:r w:rsidRPr="00487162">
            <w:t xml:space="preserve"> PM-20</w:t>
          </w:r>
          <w:r>
            <w:t>12</w:t>
          </w:r>
          <w:r w:rsidRPr="00487162">
            <w:t>-</w:t>
          </w:r>
          <w:r>
            <w:t xml:space="preserve">02255-3-3 Extract from the Clinical Evaluation Report for </w:t>
          </w:r>
          <w:proofErr w:type="spellStart"/>
          <w:r>
            <w:t>Humira</w:t>
          </w:r>
          <w:proofErr w:type="spellEnd"/>
        </w:p>
      </w:tc>
      <w:tc>
        <w:tcPr>
          <w:tcW w:w="1206" w:type="dxa"/>
          <w:tcMar>
            <w:top w:w="142" w:type="dxa"/>
            <w:bottom w:w="0" w:type="dxa"/>
          </w:tcMar>
        </w:tcPr>
        <w:p w:rsidR="00E6784C" w:rsidRPr="00487162" w:rsidRDefault="00E6784C" w:rsidP="00E45619">
          <w:pPr>
            <w:pStyle w:val="Footer"/>
            <w:jc w:val="right"/>
          </w:pPr>
          <w:r w:rsidRPr="00487162">
            <w:t xml:space="preserve">Page </w:t>
          </w:r>
          <w:r>
            <w:fldChar w:fldCharType="begin"/>
          </w:r>
          <w:r>
            <w:instrText>PAGE</w:instrText>
          </w:r>
          <w:r>
            <w:fldChar w:fldCharType="separate"/>
          </w:r>
          <w:r w:rsidR="003C4F43">
            <w:rPr>
              <w:noProof/>
            </w:rPr>
            <w:t>29</w:t>
          </w:r>
          <w:r>
            <w:rPr>
              <w:noProof/>
            </w:rPr>
            <w:fldChar w:fldCharType="end"/>
          </w:r>
          <w:r w:rsidRPr="00487162">
            <w:t xml:space="preserve"> of </w:t>
          </w:r>
          <w:r>
            <w:fldChar w:fldCharType="begin"/>
          </w:r>
          <w:r>
            <w:instrText xml:space="preserve"> NUMPAGES  \* Arabic </w:instrText>
          </w:r>
          <w:r>
            <w:fldChar w:fldCharType="separate"/>
          </w:r>
          <w:r w:rsidR="003C4F43">
            <w:rPr>
              <w:noProof/>
            </w:rPr>
            <w:t>30</w:t>
          </w:r>
          <w:r>
            <w:rPr>
              <w:noProof/>
            </w:rPr>
            <w:fldChar w:fldCharType="end"/>
          </w:r>
        </w:p>
      </w:tc>
    </w:tr>
  </w:tbl>
  <w:p w:rsidR="00E6784C" w:rsidRDefault="00E6784C" w:rsidP="00E26130">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val="0"/>
        <w:sz w:val="16"/>
      </w:rPr>
      <w:id w:val="16144363"/>
      <w:docPartObj>
        <w:docPartGallery w:val="Page Numbers (Bottom of Page)"/>
        <w:docPartUnique/>
      </w:docPartObj>
    </w:sdtPr>
    <w:sdtContent>
      <w:sdt>
        <w:sdtPr>
          <w:rPr>
            <w:b w:val="0"/>
            <w:sz w:val="16"/>
          </w:rPr>
          <w:id w:val="16144364"/>
          <w:docPartObj>
            <w:docPartGallery w:val="Page Numbers (Top of Page)"/>
            <w:docPartUnique/>
          </w:docPartObj>
        </w:sdtPr>
        <w:sdtContent>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D365A7" w:rsidRPr="00487162" w:rsidTr="008D770F">
              <w:trPr>
                <w:trHeight w:hRule="exact" w:val="564"/>
              </w:trPr>
              <w:tc>
                <w:tcPr>
                  <w:tcW w:w="9175" w:type="dxa"/>
                </w:tcPr>
                <w:p w:rsidR="00D365A7" w:rsidRPr="00487162" w:rsidRDefault="00D365A7" w:rsidP="008E7846">
                  <w:pPr>
                    <w:pStyle w:val="TGASignoff"/>
                  </w:pPr>
                  <w:r w:rsidRPr="00487162">
                    <w:t>Therapeutic Goods Administration</w:t>
                  </w:r>
                </w:p>
              </w:tc>
            </w:tr>
            <w:tr w:rsidR="00D365A7" w:rsidRPr="00487162" w:rsidTr="00E45619">
              <w:trPr>
                <w:trHeight w:val="1221"/>
              </w:trPr>
              <w:tc>
                <w:tcPr>
                  <w:tcW w:w="9175" w:type="dxa"/>
                  <w:tcMar>
                    <w:top w:w="28" w:type="dxa"/>
                  </w:tcMar>
                </w:tcPr>
                <w:p w:rsidR="00D365A7" w:rsidRPr="00487162" w:rsidRDefault="00D365A7" w:rsidP="00E45619">
                  <w:pPr>
                    <w:pStyle w:val="Address"/>
                  </w:pPr>
                  <w:r w:rsidRPr="00487162">
                    <w:t>PO Box 100 Woden ACT 2606 Australia</w:t>
                  </w:r>
                </w:p>
                <w:p w:rsidR="00D365A7" w:rsidRPr="00487162" w:rsidRDefault="00D365A7" w:rsidP="00E45619">
                  <w:pPr>
                    <w:pStyle w:val="Address"/>
                  </w:pPr>
                  <w:r w:rsidRPr="00487162">
                    <w:t xml:space="preserve">Email: </w:t>
                  </w:r>
                  <w:hyperlink r:id="rId1" w:history="1">
                    <w:r w:rsidRPr="008D770F">
                      <w:rPr>
                        <w:rStyle w:val="Hyperlink"/>
                      </w:rPr>
                      <w:t>info@tga.gov.au</w:t>
                    </w:r>
                  </w:hyperlink>
                  <w:r>
                    <w:t xml:space="preserve"> </w:t>
                  </w:r>
                  <w:r w:rsidRPr="00487162">
                    <w:t>Phone: 1800 020 653</w:t>
                  </w:r>
                  <w:r>
                    <w:t xml:space="preserve"> </w:t>
                  </w:r>
                  <w:r w:rsidRPr="00487162">
                    <w:t>Fax: 02 6232 8605</w:t>
                  </w:r>
                </w:p>
                <w:p w:rsidR="00D365A7" w:rsidRPr="008D770F" w:rsidRDefault="00D365A7" w:rsidP="008D770F">
                  <w:pPr>
                    <w:pStyle w:val="Address"/>
                    <w:spacing w:line="260" w:lineRule="atLeast"/>
                    <w:rPr>
                      <w:b/>
                      <w:color w:val="0000FF"/>
                      <w:u w:val="single"/>
                    </w:rPr>
                  </w:pPr>
                  <w:hyperlink r:id="rId2" w:history="1">
                    <w:r w:rsidRPr="007C06C7">
                      <w:rPr>
                        <w:rStyle w:val="Hyperlink"/>
                        <w:b/>
                      </w:rPr>
                      <w:t>http://www.tga.gov.au</w:t>
                    </w:r>
                  </w:hyperlink>
                </w:p>
              </w:tc>
            </w:tr>
          </w:tbl>
          <w:p w:rsidR="00D365A7" w:rsidRDefault="00D365A7" w:rsidP="008E7846">
            <w:pPr>
              <w:pStyle w:val="Notes"/>
            </w:pPr>
          </w:p>
        </w:sdtContent>
      </w:sdt>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D365A7" w:rsidTr="0010601F">
      <w:trPr>
        <w:trHeight w:val="108"/>
      </w:trPr>
      <w:tc>
        <w:tcPr>
          <w:tcW w:w="8875" w:type="dxa"/>
          <w:gridSpan w:val="2"/>
          <w:tcBorders>
            <w:bottom w:val="single" w:sz="4" w:space="0" w:color="auto"/>
          </w:tcBorders>
          <w:tcMar>
            <w:right w:w="284" w:type="dxa"/>
          </w:tcMar>
        </w:tcPr>
        <w:p w:rsidR="00D365A7" w:rsidRDefault="00D365A7" w:rsidP="006E08B3">
          <w:pPr>
            <w:pStyle w:val="Heading3"/>
          </w:pPr>
          <w:r>
            <w:t>Copyright</w:t>
          </w:r>
        </w:p>
        <w:p w:rsidR="00D365A7" w:rsidRDefault="00D365A7" w:rsidP="006E08B3">
          <w:r>
            <w:rPr>
              <w:rFonts w:cs="Arial"/>
            </w:rPr>
            <w:t>©</w:t>
          </w:r>
          <w:r>
            <w:t xml:space="preserve"> Commonwealth of Australia [add year]</w:t>
          </w:r>
        </w:p>
        <w:p w:rsidR="00D365A7" w:rsidRDefault="00D365A7" w:rsidP="006E08B3"/>
        <w:p w:rsidR="00D365A7" w:rsidRDefault="00D365A7"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D365A7" w:rsidRDefault="00D365A7" w:rsidP="006E08B3"/>
        <w:p w:rsidR="00D365A7" w:rsidRDefault="00D365A7" w:rsidP="006E08B3">
          <w:pPr>
            <w:pStyle w:val="Heading3"/>
          </w:pPr>
          <w:r>
            <w:t>Confidentiality</w:t>
          </w:r>
        </w:p>
        <w:p w:rsidR="00D365A7" w:rsidRDefault="00D365A7"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D365A7" w:rsidRDefault="00D365A7" w:rsidP="006E08B3"/>
        <w:p w:rsidR="00D365A7" w:rsidRDefault="00D365A7" w:rsidP="006E08B3">
          <w:r>
            <w:t>For submission made by individuals, all personal details, other than your name, will be removed from your submission before it is published on the TGA’s Internet site.</w:t>
          </w:r>
        </w:p>
        <w:p w:rsidR="00D365A7" w:rsidRDefault="00D365A7" w:rsidP="006E08B3"/>
        <w:p w:rsidR="00D365A7" w:rsidRDefault="00D365A7" w:rsidP="006E08B3">
          <w:r>
            <w:t>In addition, a list of parties making submissions will be published. If you do not wish to be identified with your submission you must specifically request this in the space provided ib the submission coversheet.</w:t>
          </w:r>
        </w:p>
      </w:tc>
    </w:tr>
    <w:tr w:rsidR="00D365A7" w:rsidTr="0010601F">
      <w:trPr>
        <w:trHeight w:val="417"/>
      </w:trPr>
      <w:tc>
        <w:tcPr>
          <w:tcW w:w="4519" w:type="dxa"/>
          <w:tcBorders>
            <w:top w:val="single" w:sz="4" w:space="0" w:color="auto"/>
          </w:tcBorders>
          <w:tcMar>
            <w:top w:w="142" w:type="dxa"/>
            <w:bottom w:w="0" w:type="dxa"/>
          </w:tcMar>
        </w:tcPr>
        <w:p w:rsidR="00D365A7" w:rsidRDefault="00D365A7" w:rsidP="006E08B3">
          <w:r>
            <w:t>Document title, Part #, Section # - Section title</w:t>
          </w:r>
        </w:p>
        <w:p w:rsidR="00D365A7" w:rsidRDefault="00D365A7" w:rsidP="006E08B3">
          <w:r>
            <w:t>V1.0 October 2010</w:t>
          </w:r>
        </w:p>
      </w:tc>
      <w:tc>
        <w:tcPr>
          <w:tcW w:w="4356" w:type="dxa"/>
          <w:tcBorders>
            <w:top w:val="single" w:sz="4" w:space="0" w:color="auto"/>
          </w:tcBorders>
          <w:tcMar>
            <w:top w:w="142" w:type="dxa"/>
            <w:bottom w:w="0" w:type="dxa"/>
          </w:tcMar>
        </w:tcPr>
        <w:p w:rsidR="00D365A7" w:rsidRDefault="00D365A7"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NUMPAGES  \* Arabic </w:instrText>
          </w:r>
          <w:r>
            <w:fldChar w:fldCharType="separate"/>
          </w:r>
          <w:r>
            <w:rPr>
              <w:noProof/>
            </w:rPr>
            <w:t>2</w:t>
          </w:r>
          <w:r>
            <w:rPr>
              <w:noProof/>
            </w:rPr>
            <w:fldChar w:fldCharType="end"/>
          </w:r>
          <w:r>
            <w:t xml:space="preserve"> </w:t>
          </w:r>
        </w:p>
      </w:tc>
    </w:tr>
  </w:tbl>
  <w:p w:rsidR="00D365A7" w:rsidRDefault="00D365A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65A7" w:rsidRDefault="00D365A7" w:rsidP="00C40A36">
      <w:pPr>
        <w:spacing w:after="0"/>
      </w:pPr>
      <w:r>
        <w:separator/>
      </w:r>
    </w:p>
  </w:footnote>
  <w:footnote w:type="continuationSeparator" w:id="0">
    <w:p w:rsidR="00D365A7" w:rsidRDefault="00D365A7" w:rsidP="00C40A36">
      <w:pPr>
        <w:spacing w:after="0"/>
      </w:pPr>
      <w:r>
        <w:continuationSeparator/>
      </w:r>
    </w:p>
  </w:footnote>
  <w:footnote w:id="1">
    <w:p w:rsidR="00D365A7" w:rsidRDefault="00D365A7" w:rsidP="00FF5045">
      <w:pPr>
        <w:pStyle w:val="FootnoteText"/>
      </w:pPr>
      <w:r>
        <w:rPr>
          <w:rStyle w:val="FootnoteReference"/>
        </w:rPr>
        <w:footnoteRef/>
      </w:r>
      <w:r>
        <w:t xml:space="preserve"> </w:t>
      </w:r>
      <w:proofErr w:type="spellStart"/>
      <w:r w:rsidRPr="00D17580">
        <w:t>Rudwaleit</w:t>
      </w:r>
      <w:proofErr w:type="spellEnd"/>
      <w:r w:rsidRPr="00D17580">
        <w:t xml:space="preserve"> M. et al. The development of Assessment of </w:t>
      </w:r>
      <w:proofErr w:type="spellStart"/>
      <w:r w:rsidRPr="00D17580">
        <w:t>SpondyloArthritis</w:t>
      </w:r>
      <w:proofErr w:type="spellEnd"/>
      <w:r w:rsidRPr="00D17580">
        <w:t xml:space="preserve"> international Society classification criteria for axial </w:t>
      </w:r>
      <w:proofErr w:type="spellStart"/>
      <w:r w:rsidRPr="00FF5045">
        <w:t>spondyloarthritis</w:t>
      </w:r>
      <w:proofErr w:type="spellEnd"/>
      <w:r w:rsidRPr="00D17580">
        <w:t xml:space="preserve"> (</w:t>
      </w:r>
      <w:r>
        <w:t>P</w:t>
      </w:r>
      <w:r w:rsidRPr="00D17580">
        <w:t>art II): validation and final selection. Ann Rheum Dis 2009</w:t>
      </w:r>
      <w:proofErr w:type="gramStart"/>
      <w:r w:rsidRPr="00D17580">
        <w:t>;68:777</w:t>
      </w:r>
      <w:proofErr w:type="gramEnd"/>
      <w:r w:rsidRPr="00D17580">
        <w:t>–783.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5A7" w:rsidRDefault="00D365A7"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5A7" w:rsidRDefault="00D365A7">
    <w:pPr>
      <w:rPr>
        <w:noProof/>
        <w:lang w:eastAsia="en-AU"/>
      </w:rPr>
    </w:pPr>
    <w:r w:rsidRPr="00BE32D5">
      <w:rPr>
        <w:noProof/>
        <w:lang w:eastAsia="en-AU"/>
      </w:rPr>
      <w:drawing>
        <wp:anchor distT="0" distB="0" distL="114300" distR="114300" simplePos="0" relativeHeight="251659264" behindDoc="1" locked="0" layoutInCell="1" allowOverlap="1">
          <wp:simplePos x="0" y="0"/>
          <wp:positionH relativeFrom="column">
            <wp:posOffset>-1081074</wp:posOffset>
          </wp:positionH>
          <wp:positionV relativeFrom="paragraph">
            <wp:posOffset>-585470</wp:posOffset>
          </wp:positionV>
          <wp:extent cx="7568736" cy="10706100"/>
          <wp:effectExtent l="0" t="0" r="0" b="0"/>
          <wp:wrapNone/>
          <wp:docPr id="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D365A7" w:rsidRDefault="00D365A7" w:rsidP="00593AD1">
    <w:pPr>
      <w:pStyle w:val="HeaderNoLine"/>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ightblue.jpg" style="width:425.1pt;height:601.05pt;visibility:visible">
          <v:imagedata r:id="rId2" o:title="Lightblu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5A7" w:rsidRDefault="00D365A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5A7" w:rsidRDefault="00D365A7">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5A7" w:rsidRDefault="00D365A7">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5A7" w:rsidRDefault="00D365A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5A7" w:rsidRDefault="00D365A7"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5A7" w:rsidRDefault="00D365A7" w:rsidP="006E08B3">
    <w:r>
      <w:t>Therapeutic Goods Administration</w:t>
    </w:r>
  </w:p>
  <w:p w:rsidR="00D365A7" w:rsidRDefault="00D365A7"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7963844"/>
    <w:lvl w:ilvl="0">
      <w:start w:val="1"/>
      <w:numFmt w:val="decimal"/>
      <w:lvlText w:val="%1."/>
      <w:lvlJc w:val="left"/>
      <w:pPr>
        <w:tabs>
          <w:tab w:val="num" w:pos="1492"/>
        </w:tabs>
        <w:ind w:left="1492" w:hanging="360"/>
      </w:pPr>
    </w:lvl>
  </w:abstractNum>
  <w:abstractNum w:abstractNumId="1">
    <w:nsid w:val="FFFFFF7D"/>
    <w:multiLevelType w:val="singleLevel"/>
    <w:tmpl w:val="B06CBC3C"/>
    <w:lvl w:ilvl="0">
      <w:start w:val="1"/>
      <w:numFmt w:val="decimal"/>
      <w:lvlText w:val="%1."/>
      <w:lvlJc w:val="left"/>
      <w:pPr>
        <w:tabs>
          <w:tab w:val="num" w:pos="1209"/>
        </w:tabs>
        <w:ind w:left="1209" w:hanging="360"/>
      </w:pPr>
    </w:lvl>
  </w:abstractNum>
  <w:abstractNum w:abstractNumId="2">
    <w:nsid w:val="FFFFFF7E"/>
    <w:multiLevelType w:val="singleLevel"/>
    <w:tmpl w:val="D3EA6FDC"/>
    <w:lvl w:ilvl="0">
      <w:start w:val="1"/>
      <w:numFmt w:val="decimal"/>
      <w:lvlText w:val="%1."/>
      <w:lvlJc w:val="left"/>
      <w:pPr>
        <w:tabs>
          <w:tab w:val="num" w:pos="926"/>
        </w:tabs>
        <w:ind w:left="926" w:hanging="360"/>
      </w:pPr>
    </w:lvl>
  </w:abstractNum>
  <w:abstractNum w:abstractNumId="3">
    <w:nsid w:val="FFFFFF7F"/>
    <w:multiLevelType w:val="singleLevel"/>
    <w:tmpl w:val="1CE84C42"/>
    <w:lvl w:ilvl="0">
      <w:start w:val="1"/>
      <w:numFmt w:val="decimal"/>
      <w:lvlText w:val="%1."/>
      <w:lvlJc w:val="left"/>
      <w:pPr>
        <w:tabs>
          <w:tab w:val="num" w:pos="643"/>
        </w:tabs>
        <w:ind w:left="643" w:hanging="360"/>
      </w:pPr>
    </w:lvl>
  </w:abstractNum>
  <w:abstractNum w:abstractNumId="4">
    <w:nsid w:val="FFFFFF80"/>
    <w:multiLevelType w:val="singleLevel"/>
    <w:tmpl w:val="DA62862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7CAC534"/>
    <w:lvl w:ilvl="0">
      <w:start w:val="1"/>
      <w:numFmt w:val="bullet"/>
      <w:lvlText w:val=""/>
      <w:lvlJc w:val="left"/>
      <w:pPr>
        <w:tabs>
          <w:tab w:val="num" w:pos="1209"/>
        </w:tabs>
        <w:ind w:left="1209" w:hanging="360"/>
      </w:pPr>
      <w:rPr>
        <w:rFonts w:ascii="Symbol" w:hAnsi="Symbol" w:hint="default"/>
      </w:rPr>
    </w:lvl>
  </w:abstractNum>
  <w:abstractNum w:abstractNumId="6">
    <w:nsid w:val="FFFFFF88"/>
    <w:multiLevelType w:val="singleLevel"/>
    <w:tmpl w:val="60A40CAA"/>
    <w:lvl w:ilvl="0">
      <w:start w:val="1"/>
      <w:numFmt w:val="decimal"/>
      <w:lvlText w:val="%1."/>
      <w:lvlJc w:val="left"/>
      <w:pPr>
        <w:tabs>
          <w:tab w:val="num" w:pos="360"/>
        </w:tabs>
        <w:ind w:left="360" w:hanging="360"/>
      </w:pPr>
    </w:lvl>
  </w:abstractNum>
  <w:abstractNum w:abstractNumId="7">
    <w:nsid w:val="10053F11"/>
    <w:multiLevelType w:val="multilevel"/>
    <w:tmpl w:val="52342028"/>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8">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nsid w:val="55850AD3"/>
    <w:multiLevelType w:val="hybridMultilevel"/>
    <w:tmpl w:val="F3967B14"/>
    <w:lvl w:ilvl="0" w:tplc="A56A6382">
      <w:start w:val="1"/>
      <w:numFmt w:val="bullet"/>
      <w:lvlText w:val=""/>
      <w:lvlJc w:val="left"/>
      <w:pPr>
        <w:tabs>
          <w:tab w:val="num" w:pos="360"/>
        </w:tabs>
        <w:ind w:left="36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num w:numId="1">
    <w:abstractNumId w:val="8"/>
  </w:num>
  <w:num w:numId="2">
    <w:abstractNumId w:val="7"/>
  </w:num>
  <w:num w:numId="3">
    <w:abstractNumId w:val="8"/>
  </w:num>
  <w:num w:numId="4">
    <w:abstractNumId w:val="7"/>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10"/>
  </w:num>
  <w:num w:numId="6">
    <w:abstractNumId w:val="9"/>
  </w:num>
  <w:num w:numId="7">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abstractNumId w:val="0"/>
  </w:num>
  <w:num w:numId="9">
    <w:abstractNumId w:val="1"/>
  </w:num>
  <w:num w:numId="10">
    <w:abstractNumId w:val="2"/>
  </w:num>
  <w:num w:numId="11">
    <w:abstractNumId w:val="3"/>
  </w:num>
  <w:num w:numId="12">
    <w:abstractNumId w:val="6"/>
  </w:num>
  <w:num w:numId="13">
    <w:abstractNumId w:val="4"/>
  </w:num>
  <w:num w:numId="14">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77826">
      <o:colormenu v:ext="edit" fillcolor="none [3206]"/>
    </o:shapedefaults>
  </w:hdrShapeDefaults>
  <w:footnotePr>
    <w:footnote w:id="-1"/>
    <w:footnote w:id="0"/>
  </w:footnotePr>
  <w:endnotePr>
    <w:endnote w:id="-1"/>
    <w:endnote w:id="0"/>
  </w:endnotePr>
  <w:compat>
    <w:compatSetting w:name="compatibilityMode" w:uri="http://schemas.microsoft.com/office/word" w:val="12"/>
  </w:compat>
  <w:rsids>
    <w:rsidRoot w:val="00041BEC"/>
    <w:rsid w:val="00002031"/>
    <w:rsid w:val="00004734"/>
    <w:rsid w:val="00006B22"/>
    <w:rsid w:val="0001276A"/>
    <w:rsid w:val="000246AE"/>
    <w:rsid w:val="00025C67"/>
    <w:rsid w:val="00040ACB"/>
    <w:rsid w:val="00041BEC"/>
    <w:rsid w:val="0005559E"/>
    <w:rsid w:val="00077775"/>
    <w:rsid w:val="00090471"/>
    <w:rsid w:val="000A3AED"/>
    <w:rsid w:val="000A63AF"/>
    <w:rsid w:val="000A714A"/>
    <w:rsid w:val="000B3532"/>
    <w:rsid w:val="000B3A75"/>
    <w:rsid w:val="000C690F"/>
    <w:rsid w:val="000D1295"/>
    <w:rsid w:val="000D391B"/>
    <w:rsid w:val="000D3D6D"/>
    <w:rsid w:val="000D4FC7"/>
    <w:rsid w:val="000F02F9"/>
    <w:rsid w:val="000F4869"/>
    <w:rsid w:val="000F5B42"/>
    <w:rsid w:val="000F5E6B"/>
    <w:rsid w:val="000F6E6F"/>
    <w:rsid w:val="00104613"/>
    <w:rsid w:val="0010601F"/>
    <w:rsid w:val="0010788A"/>
    <w:rsid w:val="00107A31"/>
    <w:rsid w:val="00110EA5"/>
    <w:rsid w:val="00112AC5"/>
    <w:rsid w:val="00112F56"/>
    <w:rsid w:val="00125318"/>
    <w:rsid w:val="001305A2"/>
    <w:rsid w:val="00133238"/>
    <w:rsid w:val="0014197B"/>
    <w:rsid w:val="001447CD"/>
    <w:rsid w:val="00146A68"/>
    <w:rsid w:val="001516B1"/>
    <w:rsid w:val="00154EBB"/>
    <w:rsid w:val="00156316"/>
    <w:rsid w:val="00165389"/>
    <w:rsid w:val="0017078F"/>
    <w:rsid w:val="0017693F"/>
    <w:rsid w:val="0018110E"/>
    <w:rsid w:val="00181684"/>
    <w:rsid w:val="001843C6"/>
    <w:rsid w:val="001850E0"/>
    <w:rsid w:val="001A2158"/>
    <w:rsid w:val="001A525F"/>
    <w:rsid w:val="001B09F9"/>
    <w:rsid w:val="001B6448"/>
    <w:rsid w:val="001C0C5C"/>
    <w:rsid w:val="001E07CF"/>
    <w:rsid w:val="001E59F1"/>
    <w:rsid w:val="001F49EB"/>
    <w:rsid w:val="001F6B54"/>
    <w:rsid w:val="001F6CBA"/>
    <w:rsid w:val="00201D4E"/>
    <w:rsid w:val="002076C9"/>
    <w:rsid w:val="00220B8A"/>
    <w:rsid w:val="002257F3"/>
    <w:rsid w:val="00233456"/>
    <w:rsid w:val="002339A5"/>
    <w:rsid w:val="00257848"/>
    <w:rsid w:val="002666AC"/>
    <w:rsid w:val="0027084A"/>
    <w:rsid w:val="00286434"/>
    <w:rsid w:val="00286C59"/>
    <w:rsid w:val="00292113"/>
    <w:rsid w:val="002942D1"/>
    <w:rsid w:val="0029501A"/>
    <w:rsid w:val="002B1638"/>
    <w:rsid w:val="002B1A4E"/>
    <w:rsid w:val="002C63ED"/>
    <w:rsid w:val="002D6161"/>
    <w:rsid w:val="002E4C9A"/>
    <w:rsid w:val="002F11F8"/>
    <w:rsid w:val="002F3F56"/>
    <w:rsid w:val="002F44B5"/>
    <w:rsid w:val="002F4C25"/>
    <w:rsid w:val="00311AC0"/>
    <w:rsid w:val="0032583B"/>
    <w:rsid w:val="00327883"/>
    <w:rsid w:val="00335504"/>
    <w:rsid w:val="003521E8"/>
    <w:rsid w:val="003728F3"/>
    <w:rsid w:val="0037496E"/>
    <w:rsid w:val="0037623D"/>
    <w:rsid w:val="00384527"/>
    <w:rsid w:val="00386150"/>
    <w:rsid w:val="003874CE"/>
    <w:rsid w:val="00390900"/>
    <w:rsid w:val="0039474B"/>
    <w:rsid w:val="00396C92"/>
    <w:rsid w:val="003A7F6C"/>
    <w:rsid w:val="003B1113"/>
    <w:rsid w:val="003B4D60"/>
    <w:rsid w:val="003B634F"/>
    <w:rsid w:val="003B7E39"/>
    <w:rsid w:val="003C1A44"/>
    <w:rsid w:val="003C43F0"/>
    <w:rsid w:val="003C4F43"/>
    <w:rsid w:val="003C58DC"/>
    <w:rsid w:val="003D0A3B"/>
    <w:rsid w:val="003D1E62"/>
    <w:rsid w:val="003E2486"/>
    <w:rsid w:val="003E3208"/>
    <w:rsid w:val="003F0B04"/>
    <w:rsid w:val="0040134E"/>
    <w:rsid w:val="00415D59"/>
    <w:rsid w:val="00425E17"/>
    <w:rsid w:val="0043797D"/>
    <w:rsid w:val="00440A2D"/>
    <w:rsid w:val="004564A7"/>
    <w:rsid w:val="004617BF"/>
    <w:rsid w:val="00463658"/>
    <w:rsid w:val="00467C1F"/>
    <w:rsid w:val="004722CC"/>
    <w:rsid w:val="004936E4"/>
    <w:rsid w:val="00494E60"/>
    <w:rsid w:val="00497487"/>
    <w:rsid w:val="004A0839"/>
    <w:rsid w:val="004A7E13"/>
    <w:rsid w:val="004B7B76"/>
    <w:rsid w:val="004C18D7"/>
    <w:rsid w:val="004C2DCA"/>
    <w:rsid w:val="004F0F38"/>
    <w:rsid w:val="00501921"/>
    <w:rsid w:val="0050649D"/>
    <w:rsid w:val="00530354"/>
    <w:rsid w:val="0053625B"/>
    <w:rsid w:val="005434C6"/>
    <w:rsid w:val="00543B39"/>
    <w:rsid w:val="00550096"/>
    <w:rsid w:val="00557FF9"/>
    <w:rsid w:val="00576378"/>
    <w:rsid w:val="00577945"/>
    <w:rsid w:val="00577E38"/>
    <w:rsid w:val="00585322"/>
    <w:rsid w:val="005857C6"/>
    <w:rsid w:val="00586F98"/>
    <w:rsid w:val="00592F6E"/>
    <w:rsid w:val="00593AD1"/>
    <w:rsid w:val="0059766E"/>
    <w:rsid w:val="005A68B6"/>
    <w:rsid w:val="005C5570"/>
    <w:rsid w:val="005C79A4"/>
    <w:rsid w:val="005D2C30"/>
    <w:rsid w:val="005D5442"/>
    <w:rsid w:val="00603F32"/>
    <w:rsid w:val="006044B3"/>
    <w:rsid w:val="00620406"/>
    <w:rsid w:val="00632398"/>
    <w:rsid w:val="00640FC3"/>
    <w:rsid w:val="00642020"/>
    <w:rsid w:val="00646206"/>
    <w:rsid w:val="0065337B"/>
    <w:rsid w:val="0065419D"/>
    <w:rsid w:val="006604D8"/>
    <w:rsid w:val="00664A5B"/>
    <w:rsid w:val="006763D2"/>
    <w:rsid w:val="00680C08"/>
    <w:rsid w:val="006931B1"/>
    <w:rsid w:val="006A15C0"/>
    <w:rsid w:val="006C130C"/>
    <w:rsid w:val="006C3E2A"/>
    <w:rsid w:val="006C642F"/>
    <w:rsid w:val="006D03E5"/>
    <w:rsid w:val="006D5D3E"/>
    <w:rsid w:val="006E08B3"/>
    <w:rsid w:val="006F17AC"/>
    <w:rsid w:val="006F1D37"/>
    <w:rsid w:val="006F2796"/>
    <w:rsid w:val="006F572E"/>
    <w:rsid w:val="007046D6"/>
    <w:rsid w:val="00705DB0"/>
    <w:rsid w:val="00722B57"/>
    <w:rsid w:val="00727F39"/>
    <w:rsid w:val="0074253D"/>
    <w:rsid w:val="0074429B"/>
    <w:rsid w:val="0074477B"/>
    <w:rsid w:val="007513B4"/>
    <w:rsid w:val="007615BC"/>
    <w:rsid w:val="00762F05"/>
    <w:rsid w:val="007652FF"/>
    <w:rsid w:val="0076595A"/>
    <w:rsid w:val="00770EF1"/>
    <w:rsid w:val="00773EF7"/>
    <w:rsid w:val="00774E1D"/>
    <w:rsid w:val="0077675A"/>
    <w:rsid w:val="00780355"/>
    <w:rsid w:val="00785721"/>
    <w:rsid w:val="00793A59"/>
    <w:rsid w:val="007B6E9F"/>
    <w:rsid w:val="007C1216"/>
    <w:rsid w:val="007C1AF7"/>
    <w:rsid w:val="007E6E27"/>
    <w:rsid w:val="00805D27"/>
    <w:rsid w:val="00806E6F"/>
    <w:rsid w:val="00821776"/>
    <w:rsid w:val="008321F5"/>
    <w:rsid w:val="00832369"/>
    <w:rsid w:val="00834660"/>
    <w:rsid w:val="00836BC2"/>
    <w:rsid w:val="008414A0"/>
    <w:rsid w:val="0085641B"/>
    <w:rsid w:val="00857136"/>
    <w:rsid w:val="00861E6E"/>
    <w:rsid w:val="00886D15"/>
    <w:rsid w:val="00887DD8"/>
    <w:rsid w:val="00896018"/>
    <w:rsid w:val="008960DD"/>
    <w:rsid w:val="0089635C"/>
    <w:rsid w:val="008A2B9D"/>
    <w:rsid w:val="008A5E0B"/>
    <w:rsid w:val="008A6D59"/>
    <w:rsid w:val="008B4B03"/>
    <w:rsid w:val="008B596F"/>
    <w:rsid w:val="008B5A3E"/>
    <w:rsid w:val="008C159F"/>
    <w:rsid w:val="008C1623"/>
    <w:rsid w:val="008C1850"/>
    <w:rsid w:val="008C4B6C"/>
    <w:rsid w:val="008C51A9"/>
    <w:rsid w:val="008C7F73"/>
    <w:rsid w:val="008D770F"/>
    <w:rsid w:val="008E3E78"/>
    <w:rsid w:val="008E7846"/>
    <w:rsid w:val="008F1CCC"/>
    <w:rsid w:val="008F2967"/>
    <w:rsid w:val="008F6943"/>
    <w:rsid w:val="00902A21"/>
    <w:rsid w:val="00920330"/>
    <w:rsid w:val="00920993"/>
    <w:rsid w:val="009219D7"/>
    <w:rsid w:val="00922D53"/>
    <w:rsid w:val="00923B70"/>
    <w:rsid w:val="00924482"/>
    <w:rsid w:val="00930237"/>
    <w:rsid w:val="00946EA5"/>
    <w:rsid w:val="0095160F"/>
    <w:rsid w:val="00963C08"/>
    <w:rsid w:val="0098585A"/>
    <w:rsid w:val="0098669D"/>
    <w:rsid w:val="009A4CED"/>
    <w:rsid w:val="009A690D"/>
    <w:rsid w:val="009B1D12"/>
    <w:rsid w:val="009B416B"/>
    <w:rsid w:val="009C4BD5"/>
    <w:rsid w:val="009D7B77"/>
    <w:rsid w:val="009E0BB0"/>
    <w:rsid w:val="009E3FBB"/>
    <w:rsid w:val="00A02041"/>
    <w:rsid w:val="00A102E4"/>
    <w:rsid w:val="00A12C42"/>
    <w:rsid w:val="00A14DF7"/>
    <w:rsid w:val="00A15B55"/>
    <w:rsid w:val="00A235D9"/>
    <w:rsid w:val="00A3246D"/>
    <w:rsid w:val="00A329E6"/>
    <w:rsid w:val="00A36FA7"/>
    <w:rsid w:val="00A475B7"/>
    <w:rsid w:val="00A47AF7"/>
    <w:rsid w:val="00A47C3E"/>
    <w:rsid w:val="00A50226"/>
    <w:rsid w:val="00A60BAD"/>
    <w:rsid w:val="00A964D1"/>
    <w:rsid w:val="00AA0ED0"/>
    <w:rsid w:val="00AA3499"/>
    <w:rsid w:val="00AC2B40"/>
    <w:rsid w:val="00AC2BB2"/>
    <w:rsid w:val="00AC2C3C"/>
    <w:rsid w:val="00AC512D"/>
    <w:rsid w:val="00AE01C2"/>
    <w:rsid w:val="00AE65EB"/>
    <w:rsid w:val="00AE67A7"/>
    <w:rsid w:val="00AF1D94"/>
    <w:rsid w:val="00AF60C5"/>
    <w:rsid w:val="00B009C6"/>
    <w:rsid w:val="00B01548"/>
    <w:rsid w:val="00B02208"/>
    <w:rsid w:val="00B036C3"/>
    <w:rsid w:val="00B1425E"/>
    <w:rsid w:val="00B21D29"/>
    <w:rsid w:val="00B25034"/>
    <w:rsid w:val="00B33588"/>
    <w:rsid w:val="00B33863"/>
    <w:rsid w:val="00B36394"/>
    <w:rsid w:val="00B37D17"/>
    <w:rsid w:val="00B4175E"/>
    <w:rsid w:val="00B452CE"/>
    <w:rsid w:val="00B54C25"/>
    <w:rsid w:val="00B76B91"/>
    <w:rsid w:val="00B77EB1"/>
    <w:rsid w:val="00B811C6"/>
    <w:rsid w:val="00B85A87"/>
    <w:rsid w:val="00B92E08"/>
    <w:rsid w:val="00B96EBE"/>
    <w:rsid w:val="00BC622A"/>
    <w:rsid w:val="00BD45E3"/>
    <w:rsid w:val="00BE0A78"/>
    <w:rsid w:val="00BE32D5"/>
    <w:rsid w:val="00BE6252"/>
    <w:rsid w:val="00BE79F0"/>
    <w:rsid w:val="00BF046D"/>
    <w:rsid w:val="00BF1190"/>
    <w:rsid w:val="00BF5D04"/>
    <w:rsid w:val="00C1164D"/>
    <w:rsid w:val="00C16861"/>
    <w:rsid w:val="00C22678"/>
    <w:rsid w:val="00C404A6"/>
    <w:rsid w:val="00C40A36"/>
    <w:rsid w:val="00C44419"/>
    <w:rsid w:val="00C45E7B"/>
    <w:rsid w:val="00C471B1"/>
    <w:rsid w:val="00C618F7"/>
    <w:rsid w:val="00C6316B"/>
    <w:rsid w:val="00C634A9"/>
    <w:rsid w:val="00C64586"/>
    <w:rsid w:val="00C70D53"/>
    <w:rsid w:val="00C73D0B"/>
    <w:rsid w:val="00C772FF"/>
    <w:rsid w:val="00C801AF"/>
    <w:rsid w:val="00C80256"/>
    <w:rsid w:val="00C811C0"/>
    <w:rsid w:val="00CB6BC0"/>
    <w:rsid w:val="00CC18FC"/>
    <w:rsid w:val="00CC1B7C"/>
    <w:rsid w:val="00CC727F"/>
    <w:rsid w:val="00CF15C3"/>
    <w:rsid w:val="00CF2B6F"/>
    <w:rsid w:val="00CF58B6"/>
    <w:rsid w:val="00D017ED"/>
    <w:rsid w:val="00D03742"/>
    <w:rsid w:val="00D040D3"/>
    <w:rsid w:val="00D04C65"/>
    <w:rsid w:val="00D17580"/>
    <w:rsid w:val="00D224FE"/>
    <w:rsid w:val="00D365A7"/>
    <w:rsid w:val="00D53A31"/>
    <w:rsid w:val="00D6493E"/>
    <w:rsid w:val="00D7301E"/>
    <w:rsid w:val="00D83AE1"/>
    <w:rsid w:val="00D855D4"/>
    <w:rsid w:val="00D909CF"/>
    <w:rsid w:val="00D93466"/>
    <w:rsid w:val="00DA1124"/>
    <w:rsid w:val="00DB75B7"/>
    <w:rsid w:val="00DC6E02"/>
    <w:rsid w:val="00DE02AE"/>
    <w:rsid w:val="00DF1D7F"/>
    <w:rsid w:val="00DF4A7A"/>
    <w:rsid w:val="00DF4BE4"/>
    <w:rsid w:val="00E02FB4"/>
    <w:rsid w:val="00E07F15"/>
    <w:rsid w:val="00E20571"/>
    <w:rsid w:val="00E20A7E"/>
    <w:rsid w:val="00E235F7"/>
    <w:rsid w:val="00E23659"/>
    <w:rsid w:val="00E239D4"/>
    <w:rsid w:val="00E26130"/>
    <w:rsid w:val="00E2741C"/>
    <w:rsid w:val="00E40B22"/>
    <w:rsid w:val="00E45619"/>
    <w:rsid w:val="00E4588F"/>
    <w:rsid w:val="00E46DA3"/>
    <w:rsid w:val="00E51BB1"/>
    <w:rsid w:val="00E53F4F"/>
    <w:rsid w:val="00E55FCF"/>
    <w:rsid w:val="00E60281"/>
    <w:rsid w:val="00E624A5"/>
    <w:rsid w:val="00E6784C"/>
    <w:rsid w:val="00E7344E"/>
    <w:rsid w:val="00E936E3"/>
    <w:rsid w:val="00EB0798"/>
    <w:rsid w:val="00EB40AD"/>
    <w:rsid w:val="00EB586E"/>
    <w:rsid w:val="00EB5FC8"/>
    <w:rsid w:val="00ED01FC"/>
    <w:rsid w:val="00ED3CAD"/>
    <w:rsid w:val="00ED5A41"/>
    <w:rsid w:val="00EE1DE8"/>
    <w:rsid w:val="00EE5C8B"/>
    <w:rsid w:val="00EF43B9"/>
    <w:rsid w:val="00F033EC"/>
    <w:rsid w:val="00F04F68"/>
    <w:rsid w:val="00F12670"/>
    <w:rsid w:val="00F14B27"/>
    <w:rsid w:val="00F3148D"/>
    <w:rsid w:val="00F325C5"/>
    <w:rsid w:val="00F32FE0"/>
    <w:rsid w:val="00F35298"/>
    <w:rsid w:val="00F47333"/>
    <w:rsid w:val="00F47E37"/>
    <w:rsid w:val="00F52B4A"/>
    <w:rsid w:val="00F53C07"/>
    <w:rsid w:val="00F54B65"/>
    <w:rsid w:val="00F640B6"/>
    <w:rsid w:val="00F80E40"/>
    <w:rsid w:val="00F848D9"/>
    <w:rsid w:val="00FA5B82"/>
    <w:rsid w:val="00FA639E"/>
    <w:rsid w:val="00FB5F90"/>
    <w:rsid w:val="00FC25E4"/>
    <w:rsid w:val="00FC4EF7"/>
    <w:rsid w:val="00FE1DEE"/>
    <w:rsid w:val="00FF2126"/>
    <w:rsid w:val="00FF5045"/>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77826">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F5045"/>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0F02F9"/>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0F02F9"/>
    <w:pPr>
      <w:keepNext/>
      <w:numPr>
        <w:ilvl w:val="4"/>
        <w:numId w:val="5"/>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qFormat/>
    <w:rsid w:val="000F02F9"/>
    <w:pPr>
      <w:keepNext/>
      <w:numPr>
        <w:ilvl w:val="5"/>
        <w:numId w:val="5"/>
      </w:numPr>
      <w:spacing w:after="60" w:line="180" w:lineRule="atLeast"/>
      <w:ind w:left="1984" w:hanging="1644"/>
      <w:outlineLvl w:val="6"/>
    </w:pPr>
    <w:rPr>
      <w:rFonts w:eastAsia="Times New Roman"/>
      <w:bCs/>
      <w:sz w:val="18"/>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0F02F9"/>
    <w:rPr>
      <w:rFonts w:ascii="Cambria" w:eastAsia="Times New Roman" w:hAnsi="Cambria" w:cs="Times New Roman"/>
      <w:bCs/>
      <w:i/>
      <w:szCs w:val="21"/>
    </w:rPr>
  </w:style>
  <w:style w:type="character" w:customStyle="1" w:styleId="Heading7Char">
    <w:name w:val="Heading 7 Char"/>
    <w:basedOn w:val="DefaultParagraphFont"/>
    <w:link w:val="Heading7"/>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E20A7E"/>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FF5045"/>
    <w:pPr>
      <w:spacing w:before="0"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Heading0inTOC">
    <w:name w:val="Heading 0 (in TOC)"/>
    <w:basedOn w:val="Heading1"/>
    <w:next w:val="Normal"/>
    <w:rsid w:val="00041BEC"/>
    <w:pPr>
      <w:keepLines w:val="0"/>
      <w:numPr>
        <w:numId w:val="0"/>
      </w:numPr>
      <w:adjustRightInd/>
      <w:snapToGrid/>
      <w:spacing w:before="0" w:after="120" w:line="240" w:lineRule="auto"/>
    </w:pPr>
    <w:rPr>
      <w:rFonts w:ascii="Arial" w:hAnsi="Arial" w:cs="Times New Roman"/>
      <w:bCs w:val="0"/>
      <w:kern w:val="16"/>
      <w:sz w:val="28"/>
      <w:szCs w:val="24"/>
      <w:lang w:eastAsia="en-AU"/>
    </w:rPr>
  </w:style>
  <w:style w:type="paragraph" w:customStyle="1" w:styleId="Default">
    <w:name w:val="Default"/>
    <w:rsid w:val="00041BEC"/>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customStyle="1" w:styleId="highlight">
    <w:name w:val="highlight"/>
    <w:basedOn w:val="DefaultParagraphFont"/>
    <w:rsid w:val="00FB5F90"/>
  </w:style>
  <w:style w:type="paragraph" w:styleId="FootnoteText">
    <w:name w:val="footnote text"/>
    <w:basedOn w:val="Normal"/>
    <w:link w:val="FootnoteTextChar"/>
    <w:uiPriority w:val="99"/>
    <w:unhideWhenUsed/>
    <w:rsid w:val="00FF5045"/>
    <w:pPr>
      <w:spacing w:before="0" w:after="0" w:line="240" w:lineRule="auto"/>
    </w:pPr>
    <w:rPr>
      <w:sz w:val="18"/>
      <w:szCs w:val="20"/>
    </w:rPr>
  </w:style>
  <w:style w:type="character" w:customStyle="1" w:styleId="FootnoteTextChar">
    <w:name w:val="Footnote Text Char"/>
    <w:basedOn w:val="DefaultParagraphFont"/>
    <w:link w:val="FootnoteText"/>
    <w:uiPriority w:val="99"/>
    <w:rsid w:val="00FF5045"/>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D1758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NumberBullet"/>
    <w:pPr>
      <w:numPr>
        <w:numId w:val="8"/>
      </w:numPr>
    </w:pPr>
  </w:style>
  <w:style w:type="numbering" w:customStyle="1" w:styleId="Heading2Char">
    <w:name w:val="ListBullets"/>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666389">
      <w:bodyDiv w:val="1"/>
      <w:marLeft w:val="0"/>
      <w:marRight w:val="0"/>
      <w:marTop w:val="0"/>
      <w:marBottom w:val="0"/>
      <w:divBdr>
        <w:top w:val="none" w:sz="0" w:space="0" w:color="auto"/>
        <w:left w:val="none" w:sz="0" w:space="0" w:color="auto"/>
        <w:bottom w:val="none" w:sz="0" w:space="0" w:color="auto"/>
        <w:right w:val="none" w:sz="0" w:space="0" w:color="auto"/>
      </w:divBdr>
      <w:divsChild>
        <w:div w:id="2079554912">
          <w:marLeft w:val="0"/>
          <w:marRight w:val="1"/>
          <w:marTop w:val="0"/>
          <w:marBottom w:val="0"/>
          <w:divBdr>
            <w:top w:val="none" w:sz="0" w:space="0" w:color="auto"/>
            <w:left w:val="none" w:sz="0" w:space="0" w:color="auto"/>
            <w:bottom w:val="none" w:sz="0" w:space="0" w:color="auto"/>
            <w:right w:val="none" w:sz="0" w:space="0" w:color="auto"/>
          </w:divBdr>
          <w:divsChild>
            <w:div w:id="1310787314">
              <w:marLeft w:val="0"/>
              <w:marRight w:val="0"/>
              <w:marTop w:val="0"/>
              <w:marBottom w:val="0"/>
              <w:divBdr>
                <w:top w:val="none" w:sz="0" w:space="0" w:color="auto"/>
                <w:left w:val="none" w:sz="0" w:space="0" w:color="auto"/>
                <w:bottom w:val="none" w:sz="0" w:space="0" w:color="auto"/>
                <w:right w:val="none" w:sz="0" w:space="0" w:color="auto"/>
              </w:divBdr>
              <w:divsChild>
                <w:div w:id="668024391">
                  <w:marLeft w:val="0"/>
                  <w:marRight w:val="1"/>
                  <w:marTop w:val="0"/>
                  <w:marBottom w:val="0"/>
                  <w:divBdr>
                    <w:top w:val="none" w:sz="0" w:space="0" w:color="auto"/>
                    <w:left w:val="none" w:sz="0" w:space="0" w:color="auto"/>
                    <w:bottom w:val="none" w:sz="0" w:space="0" w:color="auto"/>
                    <w:right w:val="none" w:sz="0" w:space="0" w:color="auto"/>
                  </w:divBdr>
                  <w:divsChild>
                    <w:div w:id="2128086141">
                      <w:marLeft w:val="0"/>
                      <w:marRight w:val="0"/>
                      <w:marTop w:val="0"/>
                      <w:marBottom w:val="0"/>
                      <w:divBdr>
                        <w:top w:val="none" w:sz="0" w:space="0" w:color="auto"/>
                        <w:left w:val="none" w:sz="0" w:space="0" w:color="auto"/>
                        <w:bottom w:val="none" w:sz="0" w:space="0" w:color="auto"/>
                        <w:right w:val="none" w:sz="0" w:space="0" w:color="auto"/>
                      </w:divBdr>
                      <w:divsChild>
                        <w:div w:id="1107041442">
                          <w:marLeft w:val="0"/>
                          <w:marRight w:val="0"/>
                          <w:marTop w:val="0"/>
                          <w:marBottom w:val="0"/>
                          <w:divBdr>
                            <w:top w:val="none" w:sz="0" w:space="0" w:color="auto"/>
                            <w:left w:val="none" w:sz="0" w:space="0" w:color="auto"/>
                            <w:bottom w:val="none" w:sz="0" w:space="0" w:color="auto"/>
                            <w:right w:val="none" w:sz="0" w:space="0" w:color="auto"/>
                          </w:divBdr>
                          <w:divsChild>
                            <w:div w:id="620116167">
                              <w:marLeft w:val="0"/>
                              <w:marRight w:val="0"/>
                              <w:marTop w:val="120"/>
                              <w:marBottom w:val="360"/>
                              <w:divBdr>
                                <w:top w:val="none" w:sz="0" w:space="0" w:color="auto"/>
                                <w:left w:val="none" w:sz="0" w:space="0" w:color="auto"/>
                                <w:bottom w:val="none" w:sz="0" w:space="0" w:color="auto"/>
                                <w:right w:val="none" w:sz="0" w:space="0" w:color="auto"/>
                              </w:divBdr>
                              <w:divsChild>
                                <w:div w:id="141820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1782728">
      <w:bodyDiv w:val="1"/>
      <w:marLeft w:val="0"/>
      <w:marRight w:val="0"/>
      <w:marTop w:val="0"/>
      <w:marBottom w:val="0"/>
      <w:divBdr>
        <w:top w:val="none" w:sz="0" w:space="0" w:color="auto"/>
        <w:left w:val="none" w:sz="0" w:space="0" w:color="auto"/>
        <w:bottom w:val="none" w:sz="0" w:space="0" w:color="auto"/>
        <w:right w:val="none" w:sz="0" w:space="0" w:color="auto"/>
      </w:divBdr>
      <w:divsChild>
        <w:div w:id="49890765">
          <w:marLeft w:val="0"/>
          <w:marRight w:val="1"/>
          <w:marTop w:val="0"/>
          <w:marBottom w:val="0"/>
          <w:divBdr>
            <w:top w:val="none" w:sz="0" w:space="0" w:color="auto"/>
            <w:left w:val="none" w:sz="0" w:space="0" w:color="auto"/>
            <w:bottom w:val="none" w:sz="0" w:space="0" w:color="auto"/>
            <w:right w:val="none" w:sz="0" w:space="0" w:color="auto"/>
          </w:divBdr>
          <w:divsChild>
            <w:div w:id="817527123">
              <w:marLeft w:val="0"/>
              <w:marRight w:val="0"/>
              <w:marTop w:val="0"/>
              <w:marBottom w:val="0"/>
              <w:divBdr>
                <w:top w:val="none" w:sz="0" w:space="0" w:color="auto"/>
                <w:left w:val="none" w:sz="0" w:space="0" w:color="auto"/>
                <w:bottom w:val="none" w:sz="0" w:space="0" w:color="auto"/>
                <w:right w:val="none" w:sz="0" w:space="0" w:color="auto"/>
              </w:divBdr>
              <w:divsChild>
                <w:div w:id="2079550536">
                  <w:marLeft w:val="0"/>
                  <w:marRight w:val="1"/>
                  <w:marTop w:val="0"/>
                  <w:marBottom w:val="0"/>
                  <w:divBdr>
                    <w:top w:val="none" w:sz="0" w:space="0" w:color="auto"/>
                    <w:left w:val="none" w:sz="0" w:space="0" w:color="auto"/>
                    <w:bottom w:val="none" w:sz="0" w:space="0" w:color="auto"/>
                    <w:right w:val="none" w:sz="0" w:space="0" w:color="auto"/>
                  </w:divBdr>
                  <w:divsChild>
                    <w:div w:id="1246112410">
                      <w:marLeft w:val="0"/>
                      <w:marRight w:val="0"/>
                      <w:marTop w:val="0"/>
                      <w:marBottom w:val="0"/>
                      <w:divBdr>
                        <w:top w:val="none" w:sz="0" w:space="0" w:color="auto"/>
                        <w:left w:val="none" w:sz="0" w:space="0" w:color="auto"/>
                        <w:bottom w:val="none" w:sz="0" w:space="0" w:color="auto"/>
                        <w:right w:val="none" w:sz="0" w:space="0" w:color="auto"/>
                      </w:divBdr>
                      <w:divsChild>
                        <w:div w:id="1922712232">
                          <w:marLeft w:val="0"/>
                          <w:marRight w:val="0"/>
                          <w:marTop w:val="0"/>
                          <w:marBottom w:val="0"/>
                          <w:divBdr>
                            <w:top w:val="none" w:sz="0" w:space="0" w:color="auto"/>
                            <w:left w:val="none" w:sz="0" w:space="0" w:color="auto"/>
                            <w:bottom w:val="none" w:sz="0" w:space="0" w:color="auto"/>
                            <w:right w:val="none" w:sz="0" w:space="0" w:color="auto"/>
                          </w:divBdr>
                          <w:divsChild>
                            <w:div w:id="901020467">
                              <w:marLeft w:val="0"/>
                              <w:marRight w:val="0"/>
                              <w:marTop w:val="120"/>
                              <w:marBottom w:val="360"/>
                              <w:divBdr>
                                <w:top w:val="none" w:sz="0" w:space="0" w:color="auto"/>
                                <w:left w:val="none" w:sz="0" w:space="0" w:color="auto"/>
                                <w:bottom w:val="none" w:sz="0" w:space="0" w:color="auto"/>
                                <w:right w:val="none" w:sz="0" w:space="0" w:color="auto"/>
                              </w:divBdr>
                              <w:divsChild>
                                <w:div w:id="1457332772">
                                  <w:marLeft w:val="0"/>
                                  <w:marRight w:val="0"/>
                                  <w:marTop w:val="0"/>
                                  <w:marBottom w:val="0"/>
                                  <w:divBdr>
                                    <w:top w:val="none" w:sz="0" w:space="0" w:color="auto"/>
                                    <w:left w:val="none" w:sz="0" w:space="0" w:color="auto"/>
                                    <w:bottom w:val="none" w:sz="0" w:space="0" w:color="auto"/>
                                    <w:right w:val="none" w:sz="0" w:space="0" w:color="auto"/>
                                  </w:divBdr>
                                </w:div>
                                <w:div w:id="146592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image" Target="media/image8.emf"/><Relationship Id="rId39" Type="http://schemas.openxmlformats.org/officeDocument/2006/relationships/footer" Target="footer5.xm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hyperlink" Target="http://www.ncbi.nlm.nih.gov/pubmed/16208659" TargetMode="External"/><Relationship Id="rId42"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image" Target="media/image7.emf"/><Relationship Id="rId33" Type="http://schemas.openxmlformats.org/officeDocument/2006/relationships/hyperlink" Target="http://www.ncbi.nlm.nih.gov/pubmed?term=Maksymowych%20WP%5BAuthor%5D&amp;cauthor=true&amp;cauthor_uid=16208659" TargetMode="External"/><Relationship Id="rId38" Type="http://schemas.openxmlformats.org/officeDocument/2006/relationships/hyperlink" Target="http://arthritis-research.com/content/11/4/R124"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header" Target="header5.xml"/><Relationship Id="rId29" Type="http://schemas.openxmlformats.org/officeDocument/2006/relationships/image" Target="media/image11.emf"/><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openxmlformats.org/officeDocument/2006/relationships/footer" Target="footer4.xml"/><Relationship Id="rId32" Type="http://schemas.openxmlformats.org/officeDocument/2006/relationships/hyperlink" Target="http://arthritis-research.com/content/10/5/R125" TargetMode="External"/><Relationship Id="rId37" Type="http://schemas.openxmlformats.org/officeDocument/2006/relationships/hyperlink" Target="http://www.ncbi.nlm.nih.gov/pubmed?term=Maksymowych%20WP%5BAuthor%5D&amp;cauthor=true&amp;cauthor_uid=16082639" TargetMode="External"/><Relationship Id="rId40" Type="http://schemas.openxmlformats.org/officeDocument/2006/relationships/header" Target="header6.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6.emf"/><Relationship Id="rId28" Type="http://schemas.openxmlformats.org/officeDocument/2006/relationships/image" Target="media/image10.emf"/><Relationship Id="rId36" Type="http://schemas.openxmlformats.org/officeDocument/2006/relationships/hyperlink" Target="http://www.ncbi.nlm.nih.gov/pubmed/16082639" TargetMode="External"/><Relationship Id="rId10" Type="http://schemas.openxmlformats.org/officeDocument/2006/relationships/hyperlink" Target="http://www.tga.gov.au/hp/information-medicines-pi.htm" TargetMode="External"/><Relationship Id="rId19" Type="http://schemas.openxmlformats.org/officeDocument/2006/relationships/footer" Target="footer2.xml"/><Relationship Id="rId31" Type="http://schemas.openxmlformats.org/officeDocument/2006/relationships/image" Target="media/image13.emf"/><Relationship Id="rId44" Type="http://schemas.openxmlformats.org/officeDocument/2006/relationships/footer" Target="footer7.xml"/><Relationship Id="rId4" Type="http://schemas.microsoft.com/office/2007/relationships/stylesWithEffects" Target="stylesWithEffects.xml"/><Relationship Id="rId9" Type="http://schemas.openxmlformats.org/officeDocument/2006/relationships/hyperlink" Target="http://www.tga.gov.au" TargetMode="External"/><Relationship Id="rId14" Type="http://schemas.openxmlformats.org/officeDocument/2006/relationships/header" Target="header2.xml"/><Relationship Id="rId22" Type="http://schemas.openxmlformats.org/officeDocument/2006/relationships/image" Target="media/image5.emf"/><Relationship Id="rId27" Type="http://schemas.openxmlformats.org/officeDocument/2006/relationships/image" Target="media/image9.emf"/><Relationship Id="rId30" Type="http://schemas.openxmlformats.org/officeDocument/2006/relationships/image" Target="media/image12.emf"/><Relationship Id="rId35" Type="http://schemas.openxmlformats.org/officeDocument/2006/relationships/hyperlink" Target="http://www.ncbi.nlm.nih.gov/pubmed?term=Maksymowych%20WP%5BAuthor%5D&amp;cauthor=true&amp;cauthor_uid=16082639" TargetMode="External"/><Relationship Id="rId43" Type="http://schemas.openxmlformats.org/officeDocument/2006/relationships/header" Target="header8.xml"/></Relationships>
</file>

<file path=word/_rels/footer6.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4692\t0N23OT2.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2CD5E3-AD53-4EA3-9D13-697DAC856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t0N23OT2.DOTX</Template>
  <TotalTime>36</TotalTime>
  <Pages>30</Pages>
  <Words>7492</Words>
  <Characters>42710</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Extract from the Clinical Evaluation Report for [...]</vt:lpstr>
    </vt:vector>
  </TitlesOfParts>
  <Company>Department of Health Therapeutic Goods Administration</Company>
  <LinksUpToDate>false</LinksUpToDate>
  <CharactersWithSpaces>50102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2. Extract from the Clinical Evaluation Report for Adalimumab</dc:title>
  <dc:subject>prescription medicine regulation</dc:subject>
  <dc:creator>Therapeutic Goods Administration</dc:creator>
  <cp:keywords>clinical, evaluation, report, medicine, assessment, regulation, australia, adalimumab, humira, abbott, australasia, abbvie</cp:keywords>
  <cp:lastModifiedBy>dixonj</cp:lastModifiedBy>
  <cp:revision>7</cp:revision>
  <cp:lastPrinted>2010-12-20T22:59:00Z</cp:lastPrinted>
  <dcterms:created xsi:type="dcterms:W3CDTF">2014-01-24T01:01:00Z</dcterms:created>
  <dcterms:modified xsi:type="dcterms:W3CDTF">2014-03-21T03:46:00Z</dcterms:modified>
</cp:coreProperties>
</file>