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752C80" w:rsidP="004F108A">
            <w:pPr>
              <w:rPr>
                <w:rFonts w:ascii="Arial" w:hAnsi="Arial" w:cs="Arial"/>
                <w:b/>
                <w:color w:val="002C47"/>
                <w:sz w:val="36"/>
                <w:szCs w:val="36"/>
              </w:rPr>
            </w:pPr>
            <w:r>
              <w:rPr>
                <w:rFonts w:ascii="Arial" w:hAnsi="Arial" w:cs="Arial"/>
                <w:b/>
                <w:color w:val="002C47"/>
                <w:sz w:val="36"/>
                <w:szCs w:val="36"/>
              </w:rPr>
              <w:t xml:space="preserve">January </w:t>
            </w:r>
            <w:r w:rsidR="004F108A">
              <w:rPr>
                <w:rFonts w:ascii="Arial" w:hAnsi="Arial" w:cs="Arial"/>
                <w:b/>
                <w:color w:val="002C47"/>
                <w:sz w:val="36"/>
                <w:szCs w:val="36"/>
              </w:rPr>
              <w:t>2014</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32583B">
        <w:trPr>
          <w:trHeight w:val="868"/>
        </w:trPr>
        <w:tc>
          <w:tcPr>
            <w:tcW w:w="9079" w:type="dxa"/>
          </w:tcPr>
          <w:p w:rsidR="0032583B" w:rsidRPr="00A964D1" w:rsidRDefault="0032583B" w:rsidP="00F87694">
            <w:pPr>
              <w:pStyle w:val="Title"/>
              <w:rPr>
                <w:color w:val="FFFFFF" w:themeColor="background1"/>
              </w:rPr>
            </w:pPr>
            <w:r w:rsidRPr="00A964D1">
              <w:rPr>
                <w:color w:val="FFFFFF" w:themeColor="background1"/>
              </w:rPr>
              <w:t>Australian Public Assessment Report for</w:t>
            </w:r>
            <w:r w:rsidR="002A29B3">
              <w:rPr>
                <w:color w:val="FFFFFF" w:themeColor="background1"/>
              </w:rPr>
              <w:t xml:space="preserve"> </w:t>
            </w:r>
            <w:r w:rsidR="00F87694">
              <w:rPr>
                <w:color w:val="FFFFFF" w:themeColor="background1"/>
              </w:rPr>
              <w:t>Adalimumab</w:t>
            </w:r>
          </w:p>
        </w:tc>
      </w:tr>
      <w:tr w:rsidR="0032583B" w:rsidRPr="00B64760" w:rsidTr="0032583B">
        <w:tc>
          <w:tcPr>
            <w:tcW w:w="9079" w:type="dxa"/>
          </w:tcPr>
          <w:p w:rsidR="0032583B" w:rsidRPr="008E7846" w:rsidRDefault="0032583B" w:rsidP="0032583B">
            <w:pPr>
              <w:pStyle w:val="Subtitle"/>
              <w:rPr>
                <w:color w:val="FFFFFF" w:themeColor="background1"/>
              </w:rPr>
            </w:pPr>
            <w:r w:rsidRPr="008E7846">
              <w:rPr>
                <w:color w:val="FFFFFF" w:themeColor="background1"/>
              </w:rPr>
              <w:t>Proprietary Product Name:</w:t>
            </w:r>
            <w:r w:rsidR="002A29B3">
              <w:rPr>
                <w:color w:val="FFFFFF" w:themeColor="background1"/>
              </w:rPr>
              <w:t xml:space="preserve"> </w:t>
            </w:r>
            <w:proofErr w:type="spellStart"/>
            <w:r w:rsidR="00C524FD" w:rsidRPr="00C524FD">
              <w:rPr>
                <w:color w:val="FFFFFF" w:themeColor="background1"/>
              </w:rPr>
              <w:t>Humira</w:t>
            </w:r>
            <w:proofErr w:type="spellEnd"/>
          </w:p>
        </w:tc>
      </w:tr>
      <w:tr w:rsidR="0032583B" w:rsidRPr="00B64760" w:rsidTr="0032583B">
        <w:trPr>
          <w:trHeight w:val="486"/>
        </w:trPr>
        <w:tc>
          <w:tcPr>
            <w:tcW w:w="9079" w:type="dxa"/>
          </w:tcPr>
          <w:p w:rsidR="0032583B" w:rsidRPr="008E7846" w:rsidRDefault="0032583B" w:rsidP="0032583B">
            <w:pPr>
              <w:pStyle w:val="Subtitle"/>
              <w:rPr>
                <w:color w:val="FFFFFF" w:themeColor="background1"/>
              </w:rPr>
            </w:pPr>
            <w:r w:rsidRPr="008E7846">
              <w:rPr>
                <w:color w:val="FFFFFF" w:themeColor="background1"/>
              </w:rPr>
              <w:t>Sponsor:</w:t>
            </w:r>
            <w:r w:rsidR="002A29B3">
              <w:rPr>
                <w:color w:val="FFFFFF" w:themeColor="background1"/>
              </w:rPr>
              <w:t xml:space="preserve"> </w:t>
            </w:r>
            <w:r w:rsidR="00C524FD" w:rsidRPr="00C524FD">
              <w:rPr>
                <w:color w:val="FFFFFF" w:themeColor="background1"/>
              </w:rPr>
              <w:t>Abbott Australasia Pty Ltd (</w:t>
            </w:r>
            <w:proofErr w:type="spellStart"/>
            <w:r w:rsidR="00C524FD" w:rsidRPr="00C524FD">
              <w:rPr>
                <w:color w:val="FFFFFF" w:themeColor="background1"/>
              </w:rPr>
              <w:t>AbbVie</w:t>
            </w:r>
            <w:proofErr w:type="spellEnd"/>
            <w:r w:rsidR="00C524FD" w:rsidRPr="00C524FD">
              <w:rPr>
                <w:color w:val="FFFFFF" w:themeColor="background1"/>
              </w:rPr>
              <w:t xml:space="preserve">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2D4F05">
      <w:pPr>
        <w:pStyle w:val="ListBullet"/>
        <w:numPr>
          <w:ilvl w:val="0"/>
          <w:numId w:val="1"/>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2D4F05">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2D4F05">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2D4F05">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2D4F05">
      <w:pPr>
        <w:pStyle w:val="ListBullet"/>
        <w:numPr>
          <w:ilvl w:val="0"/>
          <w:numId w:val="1"/>
        </w:numPr>
        <w:ind w:left="357" w:hanging="357"/>
      </w:pPr>
      <w:r>
        <w:t>To report a problem with a medicine or medical device, please see the information on the TGA website</w:t>
      </w:r>
      <w:r w:rsidR="00112F56">
        <w:t xml:space="preserve"> &lt;</w:t>
      </w:r>
      <w:hyperlink r:id="rId9" w:history="1">
        <w:r w:rsidR="00EC7A85" w:rsidRPr="003A5406">
          <w:rPr>
            <w:rStyle w:val="Hyperlink"/>
          </w:rPr>
          <w:t>http://www.tga.gov.au</w:t>
        </w:r>
      </w:hyperlink>
      <w:r w:rsidR="00112F56">
        <w:t>&gt;</w:t>
      </w:r>
      <w:r>
        <w:t>.</w:t>
      </w:r>
    </w:p>
    <w:p w:rsidR="008E7846" w:rsidRDefault="008E7846" w:rsidP="008E7846">
      <w:pPr>
        <w:pStyle w:val="NonTOCHeading2"/>
      </w:pPr>
      <w:r>
        <w:t>About AusPARs</w:t>
      </w:r>
    </w:p>
    <w:p w:rsidR="008E7846" w:rsidRDefault="008E7846" w:rsidP="002D4F05">
      <w:pPr>
        <w:pStyle w:val="ListBullet"/>
        <w:numPr>
          <w:ilvl w:val="0"/>
          <w:numId w:val="1"/>
        </w:numPr>
        <w:ind w:left="357" w:hanging="357"/>
      </w:pPr>
      <w:r>
        <w:t xml:space="preserve">An Australian Public Assessment Record (AusPAR) provides information about the evaluation of a prescription medicine and the considerations that led the TGA to approve or not approve a prescription medicine submission. </w:t>
      </w:r>
    </w:p>
    <w:p w:rsidR="008E7846" w:rsidRDefault="008E7846" w:rsidP="002D4F05">
      <w:pPr>
        <w:pStyle w:val="ListBullet"/>
        <w:numPr>
          <w:ilvl w:val="0"/>
          <w:numId w:val="1"/>
        </w:numPr>
        <w:ind w:left="357" w:hanging="357"/>
      </w:pPr>
      <w:r>
        <w:t>AusPARs are prepared and published by the TGA.</w:t>
      </w:r>
    </w:p>
    <w:p w:rsidR="008E7846" w:rsidRDefault="008E7846" w:rsidP="002D4F05">
      <w:pPr>
        <w:pStyle w:val="ListBullet"/>
        <w:numPr>
          <w:ilvl w:val="0"/>
          <w:numId w:val="1"/>
        </w:numPr>
        <w:ind w:left="357" w:hanging="357"/>
      </w:pPr>
      <w:r>
        <w:t>An AusPAR is prepared for submissions that relate to new chemical entities, generic medicines, major variations, and extensions of indications.</w:t>
      </w:r>
    </w:p>
    <w:p w:rsidR="008E7846" w:rsidRDefault="008E7846" w:rsidP="002D4F05">
      <w:pPr>
        <w:pStyle w:val="ListBullet"/>
        <w:numPr>
          <w:ilvl w:val="0"/>
          <w:numId w:val="1"/>
        </w:numPr>
        <w:ind w:left="357" w:hanging="357"/>
      </w:pPr>
      <w:r>
        <w:t>An AusPAR is a static document, in that it will provide information that relates to a submission at a particular point in time.</w:t>
      </w:r>
    </w:p>
    <w:p w:rsidR="00B452CE" w:rsidRDefault="008E7846" w:rsidP="002D4F05">
      <w:pPr>
        <w:pStyle w:val="ListBullet"/>
        <w:numPr>
          <w:ilvl w:val="0"/>
          <w:numId w:val="1"/>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975B4E">
        <w:rPr>
          <w:rFonts w:cs="Arial"/>
          <w:lang w:val="en-GB"/>
        </w:rPr>
        <w:t>4</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F10D97" w:rsidRDefault="00D55B5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82922627" w:history="1">
            <w:r w:rsidR="00F10D97" w:rsidRPr="00747EDA">
              <w:rPr>
                <w:rStyle w:val="Hyperlink"/>
                <w:noProof/>
              </w:rPr>
              <w:t>List of abbreviations</w:t>
            </w:r>
            <w:r w:rsidR="00F10D97">
              <w:rPr>
                <w:noProof/>
                <w:webHidden/>
              </w:rPr>
              <w:tab/>
            </w:r>
            <w:r w:rsidR="00F10D97">
              <w:rPr>
                <w:noProof/>
                <w:webHidden/>
              </w:rPr>
              <w:fldChar w:fldCharType="begin"/>
            </w:r>
            <w:r w:rsidR="00F10D97">
              <w:rPr>
                <w:noProof/>
                <w:webHidden/>
              </w:rPr>
              <w:instrText xml:space="preserve"> PAGEREF _Toc382922627 \h </w:instrText>
            </w:r>
            <w:r w:rsidR="00F10D97">
              <w:rPr>
                <w:noProof/>
                <w:webHidden/>
              </w:rPr>
            </w:r>
            <w:r w:rsidR="00F10D97">
              <w:rPr>
                <w:noProof/>
                <w:webHidden/>
              </w:rPr>
              <w:fldChar w:fldCharType="separate"/>
            </w:r>
            <w:r w:rsidR="00F10D97">
              <w:rPr>
                <w:noProof/>
                <w:webHidden/>
              </w:rPr>
              <w:t>4</w:t>
            </w:r>
            <w:r w:rsidR="00F10D97">
              <w:rPr>
                <w:noProof/>
                <w:webHidden/>
              </w:rPr>
              <w:fldChar w:fldCharType="end"/>
            </w:r>
          </w:hyperlink>
        </w:p>
        <w:p w:rsidR="00F10D97" w:rsidRDefault="00F10D97">
          <w:pPr>
            <w:pStyle w:val="TOC2"/>
            <w:rPr>
              <w:rFonts w:asciiTheme="minorHAnsi" w:eastAsiaTheme="minorEastAsia" w:hAnsiTheme="minorHAnsi" w:cstheme="minorBidi"/>
              <w:b w:val="0"/>
              <w:noProof/>
              <w:sz w:val="22"/>
              <w:lang w:eastAsia="en-AU"/>
            </w:rPr>
          </w:pPr>
          <w:hyperlink w:anchor="_Toc382922628" w:history="1">
            <w:r w:rsidRPr="00747EDA">
              <w:rPr>
                <w:rStyle w:val="Hyperlink"/>
                <w:noProof/>
              </w:rPr>
              <w:t>I. Introduction to product submission</w:t>
            </w:r>
            <w:r>
              <w:rPr>
                <w:noProof/>
                <w:webHidden/>
              </w:rPr>
              <w:tab/>
            </w:r>
            <w:r>
              <w:rPr>
                <w:noProof/>
                <w:webHidden/>
              </w:rPr>
              <w:fldChar w:fldCharType="begin"/>
            </w:r>
            <w:r>
              <w:rPr>
                <w:noProof/>
                <w:webHidden/>
              </w:rPr>
              <w:instrText xml:space="preserve"> PAGEREF _Toc382922628 \h </w:instrText>
            </w:r>
            <w:r>
              <w:rPr>
                <w:noProof/>
                <w:webHidden/>
              </w:rPr>
            </w:r>
            <w:r>
              <w:rPr>
                <w:noProof/>
                <w:webHidden/>
              </w:rPr>
              <w:fldChar w:fldCharType="separate"/>
            </w:r>
            <w:r>
              <w:rPr>
                <w:noProof/>
                <w:webHidden/>
              </w:rPr>
              <w:t>8</w:t>
            </w:r>
            <w:r>
              <w:rPr>
                <w:noProof/>
                <w:webHidden/>
              </w:rPr>
              <w:fldChar w:fldCharType="end"/>
            </w:r>
          </w:hyperlink>
        </w:p>
        <w:p w:rsidR="00F10D97" w:rsidRDefault="00F10D97">
          <w:pPr>
            <w:pStyle w:val="TOC3"/>
            <w:rPr>
              <w:rFonts w:asciiTheme="minorHAnsi" w:eastAsiaTheme="minorEastAsia" w:hAnsiTheme="minorHAnsi" w:cstheme="minorBidi"/>
              <w:noProof/>
              <w:lang w:eastAsia="en-AU"/>
            </w:rPr>
          </w:pPr>
          <w:hyperlink w:anchor="_Toc382922629" w:history="1">
            <w:r w:rsidRPr="00747EDA">
              <w:rPr>
                <w:rStyle w:val="Hyperlink"/>
                <w:noProof/>
                <w:lang w:eastAsia="en-AU"/>
              </w:rPr>
              <w:t>Submission details</w:t>
            </w:r>
            <w:r>
              <w:rPr>
                <w:noProof/>
                <w:webHidden/>
              </w:rPr>
              <w:tab/>
            </w:r>
            <w:r>
              <w:rPr>
                <w:noProof/>
                <w:webHidden/>
              </w:rPr>
              <w:fldChar w:fldCharType="begin"/>
            </w:r>
            <w:r>
              <w:rPr>
                <w:noProof/>
                <w:webHidden/>
              </w:rPr>
              <w:instrText xml:space="preserve"> PAGEREF _Toc382922629 \h </w:instrText>
            </w:r>
            <w:r>
              <w:rPr>
                <w:noProof/>
                <w:webHidden/>
              </w:rPr>
            </w:r>
            <w:r>
              <w:rPr>
                <w:noProof/>
                <w:webHidden/>
              </w:rPr>
              <w:fldChar w:fldCharType="separate"/>
            </w:r>
            <w:r>
              <w:rPr>
                <w:noProof/>
                <w:webHidden/>
              </w:rPr>
              <w:t>8</w:t>
            </w:r>
            <w:r>
              <w:rPr>
                <w:noProof/>
                <w:webHidden/>
              </w:rPr>
              <w:fldChar w:fldCharType="end"/>
            </w:r>
          </w:hyperlink>
        </w:p>
        <w:p w:rsidR="00F10D97" w:rsidRDefault="00F10D97">
          <w:pPr>
            <w:pStyle w:val="TOC3"/>
            <w:rPr>
              <w:rFonts w:asciiTheme="minorHAnsi" w:eastAsiaTheme="minorEastAsia" w:hAnsiTheme="minorHAnsi" w:cstheme="minorBidi"/>
              <w:noProof/>
              <w:lang w:eastAsia="en-AU"/>
            </w:rPr>
          </w:pPr>
          <w:hyperlink w:anchor="_Toc382922630" w:history="1">
            <w:r w:rsidRPr="00747EDA">
              <w:rPr>
                <w:rStyle w:val="Hyperlink"/>
                <w:noProof/>
              </w:rPr>
              <w:t>Product background</w:t>
            </w:r>
            <w:r>
              <w:rPr>
                <w:noProof/>
                <w:webHidden/>
              </w:rPr>
              <w:tab/>
            </w:r>
            <w:r>
              <w:rPr>
                <w:noProof/>
                <w:webHidden/>
              </w:rPr>
              <w:fldChar w:fldCharType="begin"/>
            </w:r>
            <w:r>
              <w:rPr>
                <w:noProof/>
                <w:webHidden/>
              </w:rPr>
              <w:instrText xml:space="preserve"> PAGEREF _Toc382922630 \h </w:instrText>
            </w:r>
            <w:r>
              <w:rPr>
                <w:noProof/>
                <w:webHidden/>
              </w:rPr>
            </w:r>
            <w:r>
              <w:rPr>
                <w:noProof/>
                <w:webHidden/>
              </w:rPr>
              <w:fldChar w:fldCharType="separate"/>
            </w:r>
            <w:r>
              <w:rPr>
                <w:noProof/>
                <w:webHidden/>
              </w:rPr>
              <w:t>8</w:t>
            </w:r>
            <w:r>
              <w:rPr>
                <w:noProof/>
                <w:webHidden/>
              </w:rPr>
              <w:fldChar w:fldCharType="end"/>
            </w:r>
          </w:hyperlink>
        </w:p>
        <w:p w:rsidR="00F10D97" w:rsidRDefault="00F10D97">
          <w:pPr>
            <w:pStyle w:val="TOC3"/>
            <w:rPr>
              <w:rFonts w:asciiTheme="minorHAnsi" w:eastAsiaTheme="minorEastAsia" w:hAnsiTheme="minorHAnsi" w:cstheme="minorBidi"/>
              <w:noProof/>
              <w:lang w:eastAsia="en-AU"/>
            </w:rPr>
          </w:pPr>
          <w:hyperlink w:anchor="_Toc382922631" w:history="1">
            <w:r w:rsidRPr="00747EDA">
              <w:rPr>
                <w:rStyle w:val="Hyperlink"/>
                <w:noProof/>
              </w:rPr>
              <w:t>Regulatory status</w:t>
            </w:r>
            <w:r>
              <w:rPr>
                <w:noProof/>
                <w:webHidden/>
              </w:rPr>
              <w:tab/>
            </w:r>
            <w:r>
              <w:rPr>
                <w:noProof/>
                <w:webHidden/>
              </w:rPr>
              <w:fldChar w:fldCharType="begin"/>
            </w:r>
            <w:r>
              <w:rPr>
                <w:noProof/>
                <w:webHidden/>
              </w:rPr>
              <w:instrText xml:space="preserve"> PAGEREF _Toc382922631 \h </w:instrText>
            </w:r>
            <w:r>
              <w:rPr>
                <w:noProof/>
                <w:webHidden/>
              </w:rPr>
            </w:r>
            <w:r>
              <w:rPr>
                <w:noProof/>
                <w:webHidden/>
              </w:rPr>
              <w:fldChar w:fldCharType="separate"/>
            </w:r>
            <w:r>
              <w:rPr>
                <w:noProof/>
                <w:webHidden/>
              </w:rPr>
              <w:t>9</w:t>
            </w:r>
            <w:r>
              <w:rPr>
                <w:noProof/>
                <w:webHidden/>
              </w:rPr>
              <w:fldChar w:fldCharType="end"/>
            </w:r>
          </w:hyperlink>
        </w:p>
        <w:p w:rsidR="00F10D97" w:rsidRDefault="00F10D97">
          <w:pPr>
            <w:pStyle w:val="TOC3"/>
            <w:rPr>
              <w:rFonts w:asciiTheme="minorHAnsi" w:eastAsiaTheme="minorEastAsia" w:hAnsiTheme="minorHAnsi" w:cstheme="minorBidi"/>
              <w:noProof/>
              <w:lang w:eastAsia="en-AU"/>
            </w:rPr>
          </w:pPr>
          <w:hyperlink w:anchor="_Toc382922632" w:history="1">
            <w:r w:rsidRPr="00747EDA">
              <w:rPr>
                <w:rStyle w:val="Hyperlink"/>
                <w:noProof/>
              </w:rPr>
              <w:t>Product Information</w:t>
            </w:r>
            <w:r>
              <w:rPr>
                <w:noProof/>
                <w:webHidden/>
              </w:rPr>
              <w:tab/>
            </w:r>
            <w:r>
              <w:rPr>
                <w:noProof/>
                <w:webHidden/>
              </w:rPr>
              <w:fldChar w:fldCharType="begin"/>
            </w:r>
            <w:r>
              <w:rPr>
                <w:noProof/>
                <w:webHidden/>
              </w:rPr>
              <w:instrText xml:space="preserve"> PAGEREF _Toc382922632 \h </w:instrText>
            </w:r>
            <w:r>
              <w:rPr>
                <w:noProof/>
                <w:webHidden/>
              </w:rPr>
            </w:r>
            <w:r>
              <w:rPr>
                <w:noProof/>
                <w:webHidden/>
              </w:rPr>
              <w:fldChar w:fldCharType="separate"/>
            </w:r>
            <w:r>
              <w:rPr>
                <w:noProof/>
                <w:webHidden/>
              </w:rPr>
              <w:t>10</w:t>
            </w:r>
            <w:r>
              <w:rPr>
                <w:noProof/>
                <w:webHidden/>
              </w:rPr>
              <w:fldChar w:fldCharType="end"/>
            </w:r>
          </w:hyperlink>
        </w:p>
        <w:p w:rsidR="00F10D97" w:rsidRDefault="00F10D97">
          <w:pPr>
            <w:pStyle w:val="TOC2"/>
            <w:rPr>
              <w:rFonts w:asciiTheme="minorHAnsi" w:eastAsiaTheme="minorEastAsia" w:hAnsiTheme="minorHAnsi" w:cstheme="minorBidi"/>
              <w:b w:val="0"/>
              <w:noProof/>
              <w:sz w:val="22"/>
              <w:lang w:eastAsia="en-AU"/>
            </w:rPr>
          </w:pPr>
          <w:hyperlink w:anchor="_Toc382922633" w:history="1">
            <w:r w:rsidRPr="00747EDA">
              <w:rPr>
                <w:rStyle w:val="Hyperlink"/>
                <w:noProof/>
              </w:rPr>
              <w:t>II. Quality findings</w:t>
            </w:r>
            <w:r>
              <w:rPr>
                <w:noProof/>
                <w:webHidden/>
              </w:rPr>
              <w:tab/>
            </w:r>
            <w:r>
              <w:rPr>
                <w:noProof/>
                <w:webHidden/>
              </w:rPr>
              <w:fldChar w:fldCharType="begin"/>
            </w:r>
            <w:r>
              <w:rPr>
                <w:noProof/>
                <w:webHidden/>
              </w:rPr>
              <w:instrText xml:space="preserve"> PAGEREF _Toc382922633 \h </w:instrText>
            </w:r>
            <w:r>
              <w:rPr>
                <w:noProof/>
                <w:webHidden/>
              </w:rPr>
            </w:r>
            <w:r>
              <w:rPr>
                <w:noProof/>
                <w:webHidden/>
              </w:rPr>
              <w:fldChar w:fldCharType="separate"/>
            </w:r>
            <w:r>
              <w:rPr>
                <w:noProof/>
                <w:webHidden/>
              </w:rPr>
              <w:t>10</w:t>
            </w:r>
            <w:r>
              <w:rPr>
                <w:noProof/>
                <w:webHidden/>
              </w:rPr>
              <w:fldChar w:fldCharType="end"/>
            </w:r>
          </w:hyperlink>
        </w:p>
        <w:p w:rsidR="00F10D97" w:rsidRDefault="00F10D97">
          <w:pPr>
            <w:pStyle w:val="TOC2"/>
            <w:rPr>
              <w:rFonts w:asciiTheme="minorHAnsi" w:eastAsiaTheme="minorEastAsia" w:hAnsiTheme="minorHAnsi" w:cstheme="minorBidi"/>
              <w:b w:val="0"/>
              <w:noProof/>
              <w:sz w:val="22"/>
              <w:lang w:eastAsia="en-AU"/>
            </w:rPr>
          </w:pPr>
          <w:hyperlink w:anchor="_Toc382922634" w:history="1">
            <w:r w:rsidRPr="00747EDA">
              <w:rPr>
                <w:rStyle w:val="Hyperlink"/>
                <w:noProof/>
              </w:rPr>
              <w:t>III. Nonclinical findings</w:t>
            </w:r>
            <w:r>
              <w:rPr>
                <w:noProof/>
                <w:webHidden/>
              </w:rPr>
              <w:tab/>
            </w:r>
            <w:r>
              <w:rPr>
                <w:noProof/>
                <w:webHidden/>
              </w:rPr>
              <w:fldChar w:fldCharType="begin"/>
            </w:r>
            <w:r>
              <w:rPr>
                <w:noProof/>
                <w:webHidden/>
              </w:rPr>
              <w:instrText xml:space="preserve"> PAGEREF _Toc382922634 \h </w:instrText>
            </w:r>
            <w:r>
              <w:rPr>
                <w:noProof/>
                <w:webHidden/>
              </w:rPr>
            </w:r>
            <w:r>
              <w:rPr>
                <w:noProof/>
                <w:webHidden/>
              </w:rPr>
              <w:fldChar w:fldCharType="separate"/>
            </w:r>
            <w:r>
              <w:rPr>
                <w:noProof/>
                <w:webHidden/>
              </w:rPr>
              <w:t>10</w:t>
            </w:r>
            <w:r>
              <w:rPr>
                <w:noProof/>
                <w:webHidden/>
              </w:rPr>
              <w:fldChar w:fldCharType="end"/>
            </w:r>
          </w:hyperlink>
        </w:p>
        <w:p w:rsidR="00F10D97" w:rsidRDefault="00F10D97">
          <w:pPr>
            <w:pStyle w:val="TOC2"/>
            <w:rPr>
              <w:rFonts w:asciiTheme="minorHAnsi" w:eastAsiaTheme="minorEastAsia" w:hAnsiTheme="minorHAnsi" w:cstheme="minorBidi"/>
              <w:b w:val="0"/>
              <w:noProof/>
              <w:sz w:val="22"/>
              <w:lang w:eastAsia="en-AU"/>
            </w:rPr>
          </w:pPr>
          <w:hyperlink w:anchor="_Toc382922635" w:history="1">
            <w:r w:rsidRPr="00747EDA">
              <w:rPr>
                <w:rStyle w:val="Hyperlink"/>
                <w:noProof/>
              </w:rPr>
              <w:t>IV. Clinical findings</w:t>
            </w:r>
            <w:r>
              <w:rPr>
                <w:noProof/>
                <w:webHidden/>
              </w:rPr>
              <w:tab/>
            </w:r>
            <w:r>
              <w:rPr>
                <w:noProof/>
                <w:webHidden/>
              </w:rPr>
              <w:fldChar w:fldCharType="begin"/>
            </w:r>
            <w:r>
              <w:rPr>
                <w:noProof/>
                <w:webHidden/>
              </w:rPr>
              <w:instrText xml:space="preserve"> PAGEREF _Toc382922635 \h </w:instrText>
            </w:r>
            <w:r>
              <w:rPr>
                <w:noProof/>
                <w:webHidden/>
              </w:rPr>
            </w:r>
            <w:r>
              <w:rPr>
                <w:noProof/>
                <w:webHidden/>
              </w:rPr>
              <w:fldChar w:fldCharType="separate"/>
            </w:r>
            <w:r>
              <w:rPr>
                <w:noProof/>
                <w:webHidden/>
              </w:rPr>
              <w:t>10</w:t>
            </w:r>
            <w:r>
              <w:rPr>
                <w:noProof/>
                <w:webHidden/>
              </w:rPr>
              <w:fldChar w:fldCharType="end"/>
            </w:r>
          </w:hyperlink>
        </w:p>
        <w:p w:rsidR="00F10D97" w:rsidRDefault="00F10D97">
          <w:pPr>
            <w:pStyle w:val="TOC3"/>
            <w:rPr>
              <w:rFonts w:asciiTheme="minorHAnsi" w:eastAsiaTheme="minorEastAsia" w:hAnsiTheme="minorHAnsi" w:cstheme="minorBidi"/>
              <w:noProof/>
              <w:lang w:eastAsia="en-AU"/>
            </w:rPr>
          </w:pPr>
          <w:hyperlink w:anchor="_Toc382922636" w:history="1">
            <w:r w:rsidRPr="00747EDA">
              <w:rPr>
                <w:rStyle w:val="Hyperlink"/>
                <w:noProof/>
              </w:rPr>
              <w:t>Introduction</w:t>
            </w:r>
            <w:r>
              <w:rPr>
                <w:noProof/>
                <w:webHidden/>
              </w:rPr>
              <w:tab/>
            </w:r>
            <w:r>
              <w:rPr>
                <w:noProof/>
                <w:webHidden/>
              </w:rPr>
              <w:fldChar w:fldCharType="begin"/>
            </w:r>
            <w:r>
              <w:rPr>
                <w:noProof/>
                <w:webHidden/>
              </w:rPr>
              <w:instrText xml:space="preserve"> PAGEREF _Toc382922636 \h </w:instrText>
            </w:r>
            <w:r>
              <w:rPr>
                <w:noProof/>
                <w:webHidden/>
              </w:rPr>
            </w:r>
            <w:r>
              <w:rPr>
                <w:noProof/>
                <w:webHidden/>
              </w:rPr>
              <w:fldChar w:fldCharType="separate"/>
            </w:r>
            <w:r>
              <w:rPr>
                <w:noProof/>
                <w:webHidden/>
              </w:rPr>
              <w:t>10</w:t>
            </w:r>
            <w:r>
              <w:rPr>
                <w:noProof/>
                <w:webHidden/>
              </w:rPr>
              <w:fldChar w:fldCharType="end"/>
            </w:r>
          </w:hyperlink>
        </w:p>
        <w:p w:rsidR="00F10D97" w:rsidRDefault="00F10D97">
          <w:pPr>
            <w:pStyle w:val="TOC3"/>
            <w:rPr>
              <w:rFonts w:asciiTheme="minorHAnsi" w:eastAsiaTheme="minorEastAsia" w:hAnsiTheme="minorHAnsi" w:cstheme="minorBidi"/>
              <w:noProof/>
              <w:lang w:eastAsia="en-AU"/>
            </w:rPr>
          </w:pPr>
          <w:hyperlink w:anchor="_Toc382922637" w:history="1">
            <w:r w:rsidRPr="00747EDA">
              <w:rPr>
                <w:rStyle w:val="Hyperlink"/>
                <w:noProof/>
              </w:rPr>
              <w:t>Pharmacokinetics</w:t>
            </w:r>
            <w:r>
              <w:rPr>
                <w:noProof/>
                <w:webHidden/>
              </w:rPr>
              <w:tab/>
            </w:r>
            <w:r>
              <w:rPr>
                <w:noProof/>
                <w:webHidden/>
              </w:rPr>
              <w:fldChar w:fldCharType="begin"/>
            </w:r>
            <w:r>
              <w:rPr>
                <w:noProof/>
                <w:webHidden/>
              </w:rPr>
              <w:instrText xml:space="preserve"> PAGEREF _Toc382922637 \h </w:instrText>
            </w:r>
            <w:r>
              <w:rPr>
                <w:noProof/>
                <w:webHidden/>
              </w:rPr>
            </w:r>
            <w:r>
              <w:rPr>
                <w:noProof/>
                <w:webHidden/>
              </w:rPr>
              <w:fldChar w:fldCharType="separate"/>
            </w:r>
            <w:r>
              <w:rPr>
                <w:noProof/>
                <w:webHidden/>
              </w:rPr>
              <w:t>11</w:t>
            </w:r>
            <w:r>
              <w:rPr>
                <w:noProof/>
                <w:webHidden/>
              </w:rPr>
              <w:fldChar w:fldCharType="end"/>
            </w:r>
          </w:hyperlink>
        </w:p>
        <w:p w:rsidR="00F10D97" w:rsidRDefault="00F10D97">
          <w:pPr>
            <w:pStyle w:val="TOC3"/>
            <w:rPr>
              <w:rFonts w:asciiTheme="minorHAnsi" w:eastAsiaTheme="minorEastAsia" w:hAnsiTheme="minorHAnsi" w:cstheme="minorBidi"/>
              <w:noProof/>
              <w:lang w:eastAsia="en-AU"/>
            </w:rPr>
          </w:pPr>
          <w:hyperlink w:anchor="_Toc382922638" w:history="1">
            <w:r w:rsidRPr="00747EDA">
              <w:rPr>
                <w:rStyle w:val="Hyperlink"/>
                <w:noProof/>
              </w:rPr>
              <w:t>Pharmacodynamics</w:t>
            </w:r>
            <w:r>
              <w:rPr>
                <w:noProof/>
                <w:webHidden/>
              </w:rPr>
              <w:tab/>
            </w:r>
            <w:r>
              <w:rPr>
                <w:noProof/>
                <w:webHidden/>
              </w:rPr>
              <w:fldChar w:fldCharType="begin"/>
            </w:r>
            <w:r>
              <w:rPr>
                <w:noProof/>
                <w:webHidden/>
              </w:rPr>
              <w:instrText xml:space="preserve"> PAGEREF _Toc382922638 \h </w:instrText>
            </w:r>
            <w:r>
              <w:rPr>
                <w:noProof/>
                <w:webHidden/>
              </w:rPr>
            </w:r>
            <w:r>
              <w:rPr>
                <w:noProof/>
                <w:webHidden/>
              </w:rPr>
              <w:fldChar w:fldCharType="separate"/>
            </w:r>
            <w:r>
              <w:rPr>
                <w:noProof/>
                <w:webHidden/>
              </w:rPr>
              <w:t>11</w:t>
            </w:r>
            <w:r>
              <w:rPr>
                <w:noProof/>
                <w:webHidden/>
              </w:rPr>
              <w:fldChar w:fldCharType="end"/>
            </w:r>
          </w:hyperlink>
        </w:p>
        <w:p w:rsidR="00F10D97" w:rsidRDefault="00F10D97">
          <w:pPr>
            <w:pStyle w:val="TOC3"/>
            <w:rPr>
              <w:rFonts w:asciiTheme="minorHAnsi" w:eastAsiaTheme="minorEastAsia" w:hAnsiTheme="minorHAnsi" w:cstheme="minorBidi"/>
              <w:noProof/>
              <w:lang w:eastAsia="en-AU"/>
            </w:rPr>
          </w:pPr>
          <w:hyperlink w:anchor="_Toc382922639" w:history="1">
            <w:r w:rsidRPr="00747EDA">
              <w:rPr>
                <w:rStyle w:val="Hyperlink"/>
                <w:noProof/>
              </w:rPr>
              <w:t>Efficacy</w:t>
            </w:r>
            <w:r>
              <w:rPr>
                <w:noProof/>
                <w:webHidden/>
              </w:rPr>
              <w:tab/>
            </w:r>
            <w:r>
              <w:rPr>
                <w:noProof/>
                <w:webHidden/>
              </w:rPr>
              <w:fldChar w:fldCharType="begin"/>
            </w:r>
            <w:r>
              <w:rPr>
                <w:noProof/>
                <w:webHidden/>
              </w:rPr>
              <w:instrText xml:space="preserve"> PAGEREF _Toc382922639 \h </w:instrText>
            </w:r>
            <w:r>
              <w:rPr>
                <w:noProof/>
                <w:webHidden/>
              </w:rPr>
            </w:r>
            <w:r>
              <w:rPr>
                <w:noProof/>
                <w:webHidden/>
              </w:rPr>
              <w:fldChar w:fldCharType="separate"/>
            </w:r>
            <w:r>
              <w:rPr>
                <w:noProof/>
                <w:webHidden/>
              </w:rPr>
              <w:t>11</w:t>
            </w:r>
            <w:r>
              <w:rPr>
                <w:noProof/>
                <w:webHidden/>
              </w:rPr>
              <w:fldChar w:fldCharType="end"/>
            </w:r>
          </w:hyperlink>
        </w:p>
        <w:p w:rsidR="00F10D97" w:rsidRDefault="00F10D97">
          <w:pPr>
            <w:pStyle w:val="TOC3"/>
            <w:rPr>
              <w:rFonts w:asciiTheme="minorHAnsi" w:eastAsiaTheme="minorEastAsia" w:hAnsiTheme="minorHAnsi" w:cstheme="minorBidi"/>
              <w:noProof/>
              <w:lang w:eastAsia="en-AU"/>
            </w:rPr>
          </w:pPr>
          <w:hyperlink w:anchor="_Toc382922640" w:history="1">
            <w:r w:rsidRPr="00747EDA">
              <w:rPr>
                <w:rStyle w:val="Hyperlink"/>
                <w:noProof/>
              </w:rPr>
              <w:t>Safety</w:t>
            </w:r>
            <w:r>
              <w:rPr>
                <w:noProof/>
                <w:webHidden/>
              </w:rPr>
              <w:tab/>
            </w:r>
            <w:r>
              <w:rPr>
                <w:noProof/>
                <w:webHidden/>
              </w:rPr>
              <w:fldChar w:fldCharType="begin"/>
            </w:r>
            <w:r>
              <w:rPr>
                <w:noProof/>
                <w:webHidden/>
              </w:rPr>
              <w:instrText xml:space="preserve"> PAGEREF _Toc382922640 \h </w:instrText>
            </w:r>
            <w:r>
              <w:rPr>
                <w:noProof/>
                <w:webHidden/>
              </w:rPr>
            </w:r>
            <w:r>
              <w:rPr>
                <w:noProof/>
                <w:webHidden/>
              </w:rPr>
              <w:fldChar w:fldCharType="separate"/>
            </w:r>
            <w:r>
              <w:rPr>
                <w:noProof/>
                <w:webHidden/>
              </w:rPr>
              <w:t>13</w:t>
            </w:r>
            <w:r>
              <w:rPr>
                <w:noProof/>
                <w:webHidden/>
              </w:rPr>
              <w:fldChar w:fldCharType="end"/>
            </w:r>
          </w:hyperlink>
        </w:p>
        <w:p w:rsidR="00F10D97" w:rsidRDefault="00F10D97">
          <w:pPr>
            <w:pStyle w:val="TOC3"/>
            <w:rPr>
              <w:rFonts w:asciiTheme="minorHAnsi" w:eastAsiaTheme="minorEastAsia" w:hAnsiTheme="minorHAnsi" w:cstheme="minorBidi"/>
              <w:noProof/>
              <w:lang w:eastAsia="en-AU"/>
            </w:rPr>
          </w:pPr>
          <w:hyperlink w:anchor="_Toc382922641" w:history="1">
            <w:r w:rsidRPr="00747EDA">
              <w:rPr>
                <w:rStyle w:val="Hyperlink"/>
                <w:noProof/>
              </w:rPr>
              <w:t>First round benefit-risk assessment</w:t>
            </w:r>
            <w:r>
              <w:rPr>
                <w:noProof/>
                <w:webHidden/>
              </w:rPr>
              <w:tab/>
            </w:r>
            <w:r>
              <w:rPr>
                <w:noProof/>
                <w:webHidden/>
              </w:rPr>
              <w:fldChar w:fldCharType="begin"/>
            </w:r>
            <w:r>
              <w:rPr>
                <w:noProof/>
                <w:webHidden/>
              </w:rPr>
              <w:instrText xml:space="preserve"> PAGEREF _Toc382922641 \h </w:instrText>
            </w:r>
            <w:r>
              <w:rPr>
                <w:noProof/>
                <w:webHidden/>
              </w:rPr>
            </w:r>
            <w:r>
              <w:rPr>
                <w:noProof/>
                <w:webHidden/>
              </w:rPr>
              <w:fldChar w:fldCharType="separate"/>
            </w:r>
            <w:r>
              <w:rPr>
                <w:noProof/>
                <w:webHidden/>
              </w:rPr>
              <w:t>14</w:t>
            </w:r>
            <w:r>
              <w:rPr>
                <w:noProof/>
                <w:webHidden/>
              </w:rPr>
              <w:fldChar w:fldCharType="end"/>
            </w:r>
          </w:hyperlink>
        </w:p>
        <w:p w:rsidR="00F10D97" w:rsidRDefault="00F10D97">
          <w:pPr>
            <w:pStyle w:val="TOC3"/>
            <w:rPr>
              <w:rFonts w:asciiTheme="minorHAnsi" w:eastAsiaTheme="minorEastAsia" w:hAnsiTheme="minorHAnsi" w:cstheme="minorBidi"/>
              <w:noProof/>
              <w:lang w:eastAsia="en-AU"/>
            </w:rPr>
          </w:pPr>
          <w:hyperlink w:anchor="_Toc382922642" w:history="1">
            <w:r w:rsidRPr="00747EDA">
              <w:rPr>
                <w:rStyle w:val="Hyperlink"/>
                <w:noProof/>
              </w:rPr>
              <w:t>First round recommendation regarding authorisation</w:t>
            </w:r>
            <w:r>
              <w:rPr>
                <w:noProof/>
                <w:webHidden/>
              </w:rPr>
              <w:tab/>
            </w:r>
            <w:r>
              <w:rPr>
                <w:noProof/>
                <w:webHidden/>
              </w:rPr>
              <w:fldChar w:fldCharType="begin"/>
            </w:r>
            <w:r>
              <w:rPr>
                <w:noProof/>
                <w:webHidden/>
              </w:rPr>
              <w:instrText xml:space="preserve"> PAGEREF _Toc382922642 \h </w:instrText>
            </w:r>
            <w:r>
              <w:rPr>
                <w:noProof/>
                <w:webHidden/>
              </w:rPr>
            </w:r>
            <w:r>
              <w:rPr>
                <w:noProof/>
                <w:webHidden/>
              </w:rPr>
              <w:fldChar w:fldCharType="separate"/>
            </w:r>
            <w:r>
              <w:rPr>
                <w:noProof/>
                <w:webHidden/>
              </w:rPr>
              <w:t>15</w:t>
            </w:r>
            <w:r>
              <w:rPr>
                <w:noProof/>
                <w:webHidden/>
              </w:rPr>
              <w:fldChar w:fldCharType="end"/>
            </w:r>
          </w:hyperlink>
        </w:p>
        <w:p w:rsidR="00F10D97" w:rsidRDefault="00F10D97">
          <w:pPr>
            <w:pStyle w:val="TOC3"/>
            <w:rPr>
              <w:rFonts w:asciiTheme="minorHAnsi" w:eastAsiaTheme="minorEastAsia" w:hAnsiTheme="minorHAnsi" w:cstheme="minorBidi"/>
              <w:noProof/>
              <w:lang w:eastAsia="en-AU"/>
            </w:rPr>
          </w:pPr>
          <w:hyperlink w:anchor="_Toc382922643" w:history="1">
            <w:r w:rsidRPr="00747EDA">
              <w:rPr>
                <w:rStyle w:val="Hyperlink"/>
                <w:noProof/>
              </w:rPr>
              <w:t>List of questions</w:t>
            </w:r>
            <w:r>
              <w:rPr>
                <w:noProof/>
                <w:webHidden/>
              </w:rPr>
              <w:tab/>
            </w:r>
            <w:r>
              <w:rPr>
                <w:noProof/>
                <w:webHidden/>
              </w:rPr>
              <w:fldChar w:fldCharType="begin"/>
            </w:r>
            <w:r>
              <w:rPr>
                <w:noProof/>
                <w:webHidden/>
              </w:rPr>
              <w:instrText xml:space="preserve"> PAGEREF _Toc382922643 \h </w:instrText>
            </w:r>
            <w:r>
              <w:rPr>
                <w:noProof/>
                <w:webHidden/>
              </w:rPr>
            </w:r>
            <w:r>
              <w:rPr>
                <w:noProof/>
                <w:webHidden/>
              </w:rPr>
              <w:fldChar w:fldCharType="separate"/>
            </w:r>
            <w:r>
              <w:rPr>
                <w:noProof/>
                <w:webHidden/>
              </w:rPr>
              <w:t>15</w:t>
            </w:r>
            <w:r>
              <w:rPr>
                <w:noProof/>
                <w:webHidden/>
              </w:rPr>
              <w:fldChar w:fldCharType="end"/>
            </w:r>
          </w:hyperlink>
        </w:p>
        <w:p w:rsidR="00F10D97" w:rsidRDefault="00F10D97">
          <w:pPr>
            <w:pStyle w:val="TOC3"/>
            <w:rPr>
              <w:rFonts w:asciiTheme="minorHAnsi" w:eastAsiaTheme="minorEastAsia" w:hAnsiTheme="minorHAnsi" w:cstheme="minorBidi"/>
              <w:noProof/>
              <w:lang w:eastAsia="en-AU"/>
            </w:rPr>
          </w:pPr>
          <w:hyperlink w:anchor="_Toc382922644" w:history="1">
            <w:r w:rsidRPr="00747EDA">
              <w:rPr>
                <w:rStyle w:val="Hyperlink"/>
                <w:noProof/>
              </w:rPr>
              <w:t>Second round evaluation of clinical data submitted in response to questions</w:t>
            </w:r>
            <w:r>
              <w:rPr>
                <w:noProof/>
                <w:webHidden/>
              </w:rPr>
              <w:tab/>
            </w:r>
            <w:r>
              <w:rPr>
                <w:noProof/>
                <w:webHidden/>
              </w:rPr>
              <w:fldChar w:fldCharType="begin"/>
            </w:r>
            <w:r>
              <w:rPr>
                <w:noProof/>
                <w:webHidden/>
              </w:rPr>
              <w:instrText xml:space="preserve"> PAGEREF _Toc382922644 \h </w:instrText>
            </w:r>
            <w:r>
              <w:rPr>
                <w:noProof/>
                <w:webHidden/>
              </w:rPr>
            </w:r>
            <w:r>
              <w:rPr>
                <w:noProof/>
                <w:webHidden/>
              </w:rPr>
              <w:fldChar w:fldCharType="separate"/>
            </w:r>
            <w:r>
              <w:rPr>
                <w:noProof/>
                <w:webHidden/>
              </w:rPr>
              <w:t>15</w:t>
            </w:r>
            <w:r>
              <w:rPr>
                <w:noProof/>
                <w:webHidden/>
              </w:rPr>
              <w:fldChar w:fldCharType="end"/>
            </w:r>
          </w:hyperlink>
        </w:p>
        <w:p w:rsidR="00F10D97" w:rsidRDefault="00F10D97">
          <w:pPr>
            <w:pStyle w:val="TOC3"/>
            <w:rPr>
              <w:rFonts w:asciiTheme="minorHAnsi" w:eastAsiaTheme="minorEastAsia" w:hAnsiTheme="minorHAnsi" w:cstheme="minorBidi"/>
              <w:noProof/>
              <w:lang w:eastAsia="en-AU"/>
            </w:rPr>
          </w:pPr>
          <w:hyperlink w:anchor="_Toc382922645" w:history="1">
            <w:r w:rsidRPr="00747EDA">
              <w:rPr>
                <w:rStyle w:val="Hyperlink"/>
                <w:noProof/>
              </w:rPr>
              <w:t>Second round recommendation regarding authorisation</w:t>
            </w:r>
            <w:r>
              <w:rPr>
                <w:noProof/>
                <w:webHidden/>
              </w:rPr>
              <w:tab/>
            </w:r>
            <w:r>
              <w:rPr>
                <w:noProof/>
                <w:webHidden/>
              </w:rPr>
              <w:fldChar w:fldCharType="begin"/>
            </w:r>
            <w:r>
              <w:rPr>
                <w:noProof/>
                <w:webHidden/>
              </w:rPr>
              <w:instrText xml:space="preserve"> PAGEREF _Toc382922645 \h </w:instrText>
            </w:r>
            <w:r>
              <w:rPr>
                <w:noProof/>
                <w:webHidden/>
              </w:rPr>
            </w:r>
            <w:r>
              <w:rPr>
                <w:noProof/>
                <w:webHidden/>
              </w:rPr>
              <w:fldChar w:fldCharType="separate"/>
            </w:r>
            <w:r>
              <w:rPr>
                <w:noProof/>
                <w:webHidden/>
              </w:rPr>
              <w:t>15</w:t>
            </w:r>
            <w:r>
              <w:rPr>
                <w:noProof/>
                <w:webHidden/>
              </w:rPr>
              <w:fldChar w:fldCharType="end"/>
            </w:r>
          </w:hyperlink>
        </w:p>
        <w:p w:rsidR="00F10D97" w:rsidRDefault="00F10D97">
          <w:pPr>
            <w:pStyle w:val="TOC2"/>
            <w:rPr>
              <w:rFonts w:asciiTheme="minorHAnsi" w:eastAsiaTheme="minorEastAsia" w:hAnsiTheme="minorHAnsi" w:cstheme="minorBidi"/>
              <w:b w:val="0"/>
              <w:noProof/>
              <w:sz w:val="22"/>
              <w:lang w:eastAsia="en-AU"/>
            </w:rPr>
          </w:pPr>
          <w:hyperlink w:anchor="_Toc382922646" w:history="1">
            <w:r w:rsidRPr="00747EDA">
              <w:rPr>
                <w:rStyle w:val="Hyperlink"/>
                <w:noProof/>
              </w:rPr>
              <w:t>V. Pharmacovigilance findings</w:t>
            </w:r>
            <w:r>
              <w:rPr>
                <w:noProof/>
                <w:webHidden/>
              </w:rPr>
              <w:tab/>
            </w:r>
            <w:r>
              <w:rPr>
                <w:noProof/>
                <w:webHidden/>
              </w:rPr>
              <w:fldChar w:fldCharType="begin"/>
            </w:r>
            <w:r>
              <w:rPr>
                <w:noProof/>
                <w:webHidden/>
              </w:rPr>
              <w:instrText xml:space="preserve"> PAGEREF _Toc382922646 \h </w:instrText>
            </w:r>
            <w:r>
              <w:rPr>
                <w:noProof/>
                <w:webHidden/>
              </w:rPr>
            </w:r>
            <w:r>
              <w:rPr>
                <w:noProof/>
                <w:webHidden/>
              </w:rPr>
              <w:fldChar w:fldCharType="separate"/>
            </w:r>
            <w:r>
              <w:rPr>
                <w:noProof/>
                <w:webHidden/>
              </w:rPr>
              <w:t>16</w:t>
            </w:r>
            <w:r>
              <w:rPr>
                <w:noProof/>
                <w:webHidden/>
              </w:rPr>
              <w:fldChar w:fldCharType="end"/>
            </w:r>
          </w:hyperlink>
        </w:p>
        <w:p w:rsidR="00F10D97" w:rsidRDefault="00F10D97">
          <w:pPr>
            <w:pStyle w:val="TOC3"/>
            <w:rPr>
              <w:rFonts w:asciiTheme="minorHAnsi" w:eastAsiaTheme="minorEastAsia" w:hAnsiTheme="minorHAnsi" w:cstheme="minorBidi"/>
              <w:noProof/>
              <w:lang w:eastAsia="en-AU"/>
            </w:rPr>
          </w:pPr>
          <w:hyperlink w:anchor="_Toc382922647" w:history="1">
            <w:r w:rsidRPr="00747EDA">
              <w:rPr>
                <w:rStyle w:val="Hyperlink"/>
                <w:noProof/>
                <w:lang w:eastAsia="en-AU"/>
              </w:rPr>
              <w:t>Risk management plan</w:t>
            </w:r>
            <w:r>
              <w:rPr>
                <w:noProof/>
                <w:webHidden/>
              </w:rPr>
              <w:tab/>
            </w:r>
            <w:r>
              <w:rPr>
                <w:noProof/>
                <w:webHidden/>
              </w:rPr>
              <w:fldChar w:fldCharType="begin"/>
            </w:r>
            <w:r>
              <w:rPr>
                <w:noProof/>
                <w:webHidden/>
              </w:rPr>
              <w:instrText xml:space="preserve"> PAGEREF _Toc382922647 \h </w:instrText>
            </w:r>
            <w:r>
              <w:rPr>
                <w:noProof/>
                <w:webHidden/>
              </w:rPr>
            </w:r>
            <w:r>
              <w:rPr>
                <w:noProof/>
                <w:webHidden/>
              </w:rPr>
              <w:fldChar w:fldCharType="separate"/>
            </w:r>
            <w:r>
              <w:rPr>
                <w:noProof/>
                <w:webHidden/>
              </w:rPr>
              <w:t>16</w:t>
            </w:r>
            <w:r>
              <w:rPr>
                <w:noProof/>
                <w:webHidden/>
              </w:rPr>
              <w:fldChar w:fldCharType="end"/>
            </w:r>
          </w:hyperlink>
        </w:p>
        <w:p w:rsidR="00F10D97" w:rsidRDefault="00F10D97">
          <w:pPr>
            <w:pStyle w:val="TOC2"/>
            <w:rPr>
              <w:rFonts w:asciiTheme="minorHAnsi" w:eastAsiaTheme="minorEastAsia" w:hAnsiTheme="minorHAnsi" w:cstheme="minorBidi"/>
              <w:b w:val="0"/>
              <w:noProof/>
              <w:sz w:val="22"/>
              <w:lang w:eastAsia="en-AU"/>
            </w:rPr>
          </w:pPr>
          <w:hyperlink w:anchor="_Toc382922648" w:history="1">
            <w:r w:rsidRPr="00747EDA">
              <w:rPr>
                <w:rStyle w:val="Hyperlink"/>
                <w:noProof/>
              </w:rPr>
              <w:t>VI. Overall conclusion and risk/benefit assessment</w:t>
            </w:r>
            <w:r>
              <w:rPr>
                <w:noProof/>
                <w:webHidden/>
              </w:rPr>
              <w:tab/>
            </w:r>
            <w:r>
              <w:rPr>
                <w:noProof/>
                <w:webHidden/>
              </w:rPr>
              <w:fldChar w:fldCharType="begin"/>
            </w:r>
            <w:r>
              <w:rPr>
                <w:noProof/>
                <w:webHidden/>
              </w:rPr>
              <w:instrText xml:space="preserve"> PAGEREF _Toc382922648 \h </w:instrText>
            </w:r>
            <w:r>
              <w:rPr>
                <w:noProof/>
                <w:webHidden/>
              </w:rPr>
            </w:r>
            <w:r>
              <w:rPr>
                <w:noProof/>
                <w:webHidden/>
              </w:rPr>
              <w:fldChar w:fldCharType="separate"/>
            </w:r>
            <w:r>
              <w:rPr>
                <w:noProof/>
                <w:webHidden/>
              </w:rPr>
              <w:t>20</w:t>
            </w:r>
            <w:r>
              <w:rPr>
                <w:noProof/>
                <w:webHidden/>
              </w:rPr>
              <w:fldChar w:fldCharType="end"/>
            </w:r>
          </w:hyperlink>
        </w:p>
        <w:p w:rsidR="00F10D97" w:rsidRDefault="00F10D97">
          <w:pPr>
            <w:pStyle w:val="TOC3"/>
            <w:rPr>
              <w:rFonts w:asciiTheme="minorHAnsi" w:eastAsiaTheme="minorEastAsia" w:hAnsiTheme="minorHAnsi" w:cstheme="minorBidi"/>
              <w:noProof/>
              <w:lang w:eastAsia="en-AU"/>
            </w:rPr>
          </w:pPr>
          <w:hyperlink w:anchor="_Toc382922649" w:history="1">
            <w:r w:rsidRPr="00747EDA">
              <w:rPr>
                <w:rStyle w:val="Hyperlink"/>
                <w:noProof/>
              </w:rPr>
              <w:t>Quality</w:t>
            </w:r>
            <w:r>
              <w:rPr>
                <w:noProof/>
                <w:webHidden/>
              </w:rPr>
              <w:tab/>
            </w:r>
            <w:r>
              <w:rPr>
                <w:noProof/>
                <w:webHidden/>
              </w:rPr>
              <w:fldChar w:fldCharType="begin"/>
            </w:r>
            <w:r>
              <w:rPr>
                <w:noProof/>
                <w:webHidden/>
              </w:rPr>
              <w:instrText xml:space="preserve"> PAGEREF _Toc382922649 \h </w:instrText>
            </w:r>
            <w:r>
              <w:rPr>
                <w:noProof/>
                <w:webHidden/>
              </w:rPr>
            </w:r>
            <w:r>
              <w:rPr>
                <w:noProof/>
                <w:webHidden/>
              </w:rPr>
              <w:fldChar w:fldCharType="separate"/>
            </w:r>
            <w:r>
              <w:rPr>
                <w:noProof/>
                <w:webHidden/>
              </w:rPr>
              <w:t>20</w:t>
            </w:r>
            <w:r>
              <w:rPr>
                <w:noProof/>
                <w:webHidden/>
              </w:rPr>
              <w:fldChar w:fldCharType="end"/>
            </w:r>
          </w:hyperlink>
        </w:p>
        <w:p w:rsidR="00F10D97" w:rsidRDefault="00F10D97">
          <w:pPr>
            <w:pStyle w:val="TOC3"/>
            <w:rPr>
              <w:rFonts w:asciiTheme="minorHAnsi" w:eastAsiaTheme="minorEastAsia" w:hAnsiTheme="minorHAnsi" w:cstheme="minorBidi"/>
              <w:noProof/>
              <w:lang w:eastAsia="en-AU"/>
            </w:rPr>
          </w:pPr>
          <w:hyperlink w:anchor="_Toc382922650" w:history="1">
            <w:r w:rsidRPr="00747EDA">
              <w:rPr>
                <w:rStyle w:val="Hyperlink"/>
                <w:noProof/>
              </w:rPr>
              <w:t>Nonclinical</w:t>
            </w:r>
            <w:r>
              <w:rPr>
                <w:noProof/>
                <w:webHidden/>
              </w:rPr>
              <w:tab/>
            </w:r>
            <w:r>
              <w:rPr>
                <w:noProof/>
                <w:webHidden/>
              </w:rPr>
              <w:fldChar w:fldCharType="begin"/>
            </w:r>
            <w:r>
              <w:rPr>
                <w:noProof/>
                <w:webHidden/>
              </w:rPr>
              <w:instrText xml:space="preserve"> PAGEREF _Toc382922650 \h </w:instrText>
            </w:r>
            <w:r>
              <w:rPr>
                <w:noProof/>
                <w:webHidden/>
              </w:rPr>
            </w:r>
            <w:r>
              <w:rPr>
                <w:noProof/>
                <w:webHidden/>
              </w:rPr>
              <w:fldChar w:fldCharType="separate"/>
            </w:r>
            <w:r>
              <w:rPr>
                <w:noProof/>
                <w:webHidden/>
              </w:rPr>
              <w:t>21</w:t>
            </w:r>
            <w:r>
              <w:rPr>
                <w:noProof/>
                <w:webHidden/>
              </w:rPr>
              <w:fldChar w:fldCharType="end"/>
            </w:r>
          </w:hyperlink>
        </w:p>
        <w:p w:rsidR="00F10D97" w:rsidRDefault="00F10D97">
          <w:pPr>
            <w:pStyle w:val="TOC3"/>
            <w:rPr>
              <w:rFonts w:asciiTheme="minorHAnsi" w:eastAsiaTheme="minorEastAsia" w:hAnsiTheme="minorHAnsi" w:cstheme="minorBidi"/>
              <w:noProof/>
              <w:lang w:eastAsia="en-AU"/>
            </w:rPr>
          </w:pPr>
          <w:hyperlink w:anchor="_Toc382922651" w:history="1">
            <w:r w:rsidRPr="00747EDA">
              <w:rPr>
                <w:rStyle w:val="Hyperlink"/>
                <w:noProof/>
              </w:rPr>
              <w:t>Clinical</w:t>
            </w:r>
            <w:r>
              <w:rPr>
                <w:noProof/>
                <w:webHidden/>
              </w:rPr>
              <w:tab/>
            </w:r>
            <w:r>
              <w:rPr>
                <w:noProof/>
                <w:webHidden/>
              </w:rPr>
              <w:fldChar w:fldCharType="begin"/>
            </w:r>
            <w:r>
              <w:rPr>
                <w:noProof/>
                <w:webHidden/>
              </w:rPr>
              <w:instrText xml:space="preserve"> PAGEREF _Toc382922651 \h </w:instrText>
            </w:r>
            <w:r>
              <w:rPr>
                <w:noProof/>
                <w:webHidden/>
              </w:rPr>
            </w:r>
            <w:r>
              <w:rPr>
                <w:noProof/>
                <w:webHidden/>
              </w:rPr>
              <w:fldChar w:fldCharType="separate"/>
            </w:r>
            <w:r>
              <w:rPr>
                <w:noProof/>
                <w:webHidden/>
              </w:rPr>
              <w:t>21</w:t>
            </w:r>
            <w:r>
              <w:rPr>
                <w:noProof/>
                <w:webHidden/>
              </w:rPr>
              <w:fldChar w:fldCharType="end"/>
            </w:r>
          </w:hyperlink>
        </w:p>
        <w:p w:rsidR="00F10D97" w:rsidRDefault="00F10D97">
          <w:pPr>
            <w:pStyle w:val="TOC3"/>
            <w:rPr>
              <w:rFonts w:asciiTheme="minorHAnsi" w:eastAsiaTheme="minorEastAsia" w:hAnsiTheme="minorHAnsi" w:cstheme="minorBidi"/>
              <w:noProof/>
              <w:lang w:eastAsia="en-AU"/>
            </w:rPr>
          </w:pPr>
          <w:hyperlink w:anchor="_Toc382922652" w:history="1">
            <w:r w:rsidRPr="00747EDA">
              <w:rPr>
                <w:rStyle w:val="Hyperlink"/>
                <w:noProof/>
                <w:lang w:eastAsia="en-AU"/>
              </w:rPr>
              <w:t>Risk management plan</w:t>
            </w:r>
            <w:r>
              <w:rPr>
                <w:noProof/>
                <w:webHidden/>
              </w:rPr>
              <w:tab/>
            </w:r>
            <w:r>
              <w:rPr>
                <w:noProof/>
                <w:webHidden/>
              </w:rPr>
              <w:fldChar w:fldCharType="begin"/>
            </w:r>
            <w:r>
              <w:rPr>
                <w:noProof/>
                <w:webHidden/>
              </w:rPr>
              <w:instrText xml:space="preserve"> PAGEREF _Toc382922652 \h </w:instrText>
            </w:r>
            <w:r>
              <w:rPr>
                <w:noProof/>
                <w:webHidden/>
              </w:rPr>
            </w:r>
            <w:r>
              <w:rPr>
                <w:noProof/>
                <w:webHidden/>
              </w:rPr>
              <w:fldChar w:fldCharType="separate"/>
            </w:r>
            <w:r>
              <w:rPr>
                <w:noProof/>
                <w:webHidden/>
              </w:rPr>
              <w:t>23</w:t>
            </w:r>
            <w:r>
              <w:rPr>
                <w:noProof/>
                <w:webHidden/>
              </w:rPr>
              <w:fldChar w:fldCharType="end"/>
            </w:r>
          </w:hyperlink>
        </w:p>
        <w:p w:rsidR="00F10D97" w:rsidRDefault="00F10D97">
          <w:pPr>
            <w:pStyle w:val="TOC3"/>
            <w:rPr>
              <w:rFonts w:asciiTheme="minorHAnsi" w:eastAsiaTheme="minorEastAsia" w:hAnsiTheme="minorHAnsi" w:cstheme="minorBidi"/>
              <w:noProof/>
              <w:lang w:eastAsia="en-AU"/>
            </w:rPr>
          </w:pPr>
          <w:hyperlink w:anchor="_Toc382922653" w:history="1">
            <w:r w:rsidRPr="00747EDA">
              <w:rPr>
                <w:rStyle w:val="Hyperlink"/>
                <w:noProof/>
              </w:rPr>
              <w:t>Risk-benefit analysis</w:t>
            </w:r>
            <w:r>
              <w:rPr>
                <w:noProof/>
                <w:webHidden/>
              </w:rPr>
              <w:tab/>
            </w:r>
            <w:r>
              <w:rPr>
                <w:noProof/>
                <w:webHidden/>
              </w:rPr>
              <w:fldChar w:fldCharType="begin"/>
            </w:r>
            <w:r>
              <w:rPr>
                <w:noProof/>
                <w:webHidden/>
              </w:rPr>
              <w:instrText xml:space="preserve"> PAGEREF _Toc382922653 \h </w:instrText>
            </w:r>
            <w:r>
              <w:rPr>
                <w:noProof/>
                <w:webHidden/>
              </w:rPr>
            </w:r>
            <w:r>
              <w:rPr>
                <w:noProof/>
                <w:webHidden/>
              </w:rPr>
              <w:fldChar w:fldCharType="separate"/>
            </w:r>
            <w:r>
              <w:rPr>
                <w:noProof/>
                <w:webHidden/>
              </w:rPr>
              <w:t>23</w:t>
            </w:r>
            <w:r>
              <w:rPr>
                <w:noProof/>
                <w:webHidden/>
              </w:rPr>
              <w:fldChar w:fldCharType="end"/>
            </w:r>
          </w:hyperlink>
        </w:p>
        <w:p w:rsidR="00F10D97" w:rsidRDefault="00F10D97">
          <w:pPr>
            <w:pStyle w:val="TOC3"/>
            <w:rPr>
              <w:rFonts w:asciiTheme="minorHAnsi" w:eastAsiaTheme="minorEastAsia" w:hAnsiTheme="minorHAnsi" w:cstheme="minorBidi"/>
              <w:noProof/>
              <w:lang w:eastAsia="en-AU"/>
            </w:rPr>
          </w:pPr>
          <w:hyperlink w:anchor="_Toc382922654" w:history="1">
            <w:r w:rsidRPr="00747EDA">
              <w:rPr>
                <w:rStyle w:val="Hyperlink"/>
                <w:noProof/>
              </w:rPr>
              <w:t>Outcome</w:t>
            </w:r>
            <w:r>
              <w:rPr>
                <w:noProof/>
                <w:webHidden/>
              </w:rPr>
              <w:tab/>
            </w:r>
            <w:r>
              <w:rPr>
                <w:noProof/>
                <w:webHidden/>
              </w:rPr>
              <w:fldChar w:fldCharType="begin"/>
            </w:r>
            <w:r>
              <w:rPr>
                <w:noProof/>
                <w:webHidden/>
              </w:rPr>
              <w:instrText xml:space="preserve"> PAGEREF _Toc382922654 \h </w:instrText>
            </w:r>
            <w:r>
              <w:rPr>
                <w:noProof/>
                <w:webHidden/>
              </w:rPr>
            </w:r>
            <w:r>
              <w:rPr>
                <w:noProof/>
                <w:webHidden/>
              </w:rPr>
              <w:fldChar w:fldCharType="separate"/>
            </w:r>
            <w:r>
              <w:rPr>
                <w:noProof/>
                <w:webHidden/>
              </w:rPr>
              <w:t>31</w:t>
            </w:r>
            <w:r>
              <w:rPr>
                <w:noProof/>
                <w:webHidden/>
              </w:rPr>
              <w:fldChar w:fldCharType="end"/>
            </w:r>
          </w:hyperlink>
        </w:p>
        <w:p w:rsidR="00F10D97" w:rsidRDefault="00F10D97">
          <w:pPr>
            <w:pStyle w:val="TOC2"/>
            <w:tabs>
              <w:tab w:val="left" w:pos="2448"/>
            </w:tabs>
            <w:rPr>
              <w:rFonts w:asciiTheme="minorHAnsi" w:eastAsiaTheme="minorEastAsia" w:hAnsiTheme="minorHAnsi" w:cstheme="minorBidi"/>
              <w:b w:val="0"/>
              <w:noProof/>
              <w:sz w:val="22"/>
              <w:lang w:eastAsia="en-AU"/>
            </w:rPr>
          </w:pPr>
          <w:hyperlink w:anchor="_Toc382922655" w:history="1">
            <w:r w:rsidRPr="00747EDA">
              <w:rPr>
                <w:rStyle w:val="Hyperlink"/>
                <w:noProof/>
              </w:rPr>
              <w:t>Attachment 1.</w:t>
            </w:r>
            <w:r>
              <w:rPr>
                <w:rFonts w:asciiTheme="minorHAnsi" w:eastAsiaTheme="minorEastAsia" w:hAnsiTheme="minorHAnsi" w:cstheme="minorBidi"/>
                <w:b w:val="0"/>
                <w:noProof/>
                <w:sz w:val="22"/>
                <w:lang w:eastAsia="en-AU"/>
              </w:rPr>
              <w:tab/>
            </w:r>
            <w:r w:rsidRPr="00747EDA">
              <w:rPr>
                <w:rStyle w:val="Hyperlink"/>
                <w:noProof/>
              </w:rPr>
              <w:t>Product Information</w:t>
            </w:r>
            <w:r>
              <w:rPr>
                <w:noProof/>
                <w:webHidden/>
              </w:rPr>
              <w:tab/>
            </w:r>
            <w:r>
              <w:rPr>
                <w:noProof/>
                <w:webHidden/>
              </w:rPr>
              <w:fldChar w:fldCharType="begin"/>
            </w:r>
            <w:r>
              <w:rPr>
                <w:noProof/>
                <w:webHidden/>
              </w:rPr>
              <w:instrText xml:space="preserve"> PAGEREF _Toc382922655 \h </w:instrText>
            </w:r>
            <w:r>
              <w:rPr>
                <w:noProof/>
                <w:webHidden/>
              </w:rPr>
            </w:r>
            <w:r>
              <w:rPr>
                <w:noProof/>
                <w:webHidden/>
              </w:rPr>
              <w:fldChar w:fldCharType="separate"/>
            </w:r>
            <w:r>
              <w:rPr>
                <w:noProof/>
                <w:webHidden/>
              </w:rPr>
              <w:t>31</w:t>
            </w:r>
            <w:r>
              <w:rPr>
                <w:noProof/>
                <w:webHidden/>
              </w:rPr>
              <w:fldChar w:fldCharType="end"/>
            </w:r>
          </w:hyperlink>
        </w:p>
        <w:p w:rsidR="003A7F6C" w:rsidRPr="00B811C6" w:rsidRDefault="00F10D97" w:rsidP="00B811C6">
          <w:pPr>
            <w:pStyle w:val="TOC2"/>
          </w:pPr>
          <w:hyperlink w:anchor="_Toc382922656" w:history="1">
            <w:r w:rsidRPr="00747EDA">
              <w:rPr>
                <w:rStyle w:val="Hyperlink"/>
                <w:noProof/>
                <w:lang w:eastAsia="en-AU"/>
              </w:rPr>
              <w:t xml:space="preserve">Attachment 2. Extract </w:t>
            </w:r>
            <w:r w:rsidRPr="00747EDA">
              <w:rPr>
                <w:rStyle w:val="Hyperlink"/>
                <w:noProof/>
              </w:rPr>
              <w:t>from</w:t>
            </w:r>
            <w:r w:rsidRPr="00747EDA">
              <w:rPr>
                <w:rStyle w:val="Hyperlink"/>
                <w:noProof/>
                <w:lang w:eastAsia="en-AU"/>
              </w:rPr>
              <w:t xml:space="preserve"> the Clinical Evaluation Report</w:t>
            </w:r>
            <w:r>
              <w:rPr>
                <w:noProof/>
                <w:webHidden/>
              </w:rPr>
              <w:tab/>
            </w:r>
            <w:r>
              <w:rPr>
                <w:noProof/>
                <w:webHidden/>
              </w:rPr>
              <w:fldChar w:fldCharType="begin"/>
            </w:r>
            <w:r>
              <w:rPr>
                <w:noProof/>
                <w:webHidden/>
              </w:rPr>
              <w:instrText xml:space="preserve"> PAGEREF _Toc382922656 \h </w:instrText>
            </w:r>
            <w:r>
              <w:rPr>
                <w:noProof/>
                <w:webHidden/>
              </w:rPr>
            </w:r>
            <w:r>
              <w:rPr>
                <w:noProof/>
                <w:webHidden/>
              </w:rPr>
              <w:fldChar w:fldCharType="separate"/>
            </w:r>
            <w:r>
              <w:rPr>
                <w:noProof/>
                <w:webHidden/>
              </w:rPr>
              <w:t>31</w:t>
            </w:r>
            <w:r>
              <w:rPr>
                <w:noProof/>
                <w:webHidden/>
              </w:rPr>
              <w:fldChar w:fldCharType="end"/>
            </w:r>
          </w:hyperlink>
          <w:r w:rsidR="00D55B54">
            <w:fldChar w:fldCharType="end"/>
          </w:r>
        </w:p>
        <w:bookmarkStart w:id="2" w:name="_GoBack" w:displacedByCustomXml="next"/>
        <w:bookmarkEnd w:id="2" w:displacedByCustomXml="next"/>
      </w:sdtContent>
    </w:sdt>
    <w:bookmarkStart w:id="3" w:name="_Toc314842482" w:displacedByCustomXml="prev"/>
    <w:p w:rsidR="00DC6D8B" w:rsidRPr="00DC6D8B" w:rsidRDefault="00DC6D8B" w:rsidP="002D4F05">
      <w:pPr>
        <w:pStyle w:val="Heading2"/>
      </w:pPr>
      <w:bookmarkStart w:id="4" w:name="_Toc351716269"/>
      <w:bookmarkStart w:id="5" w:name="_Toc351718881"/>
      <w:bookmarkStart w:id="6" w:name="_Toc355338616"/>
      <w:bookmarkStart w:id="7" w:name="_Toc372550989"/>
      <w:bookmarkStart w:id="8" w:name="_Toc382922627"/>
      <w:r w:rsidRPr="00DC6D8B">
        <w:lastRenderedPageBreak/>
        <w:t>List of abbreviations</w:t>
      </w:r>
      <w:bookmarkEnd w:id="4"/>
      <w:bookmarkEnd w:id="5"/>
      <w:bookmarkEnd w:id="6"/>
      <w:bookmarkEnd w:id="7"/>
      <w:bookmarkEnd w:id="8"/>
    </w:p>
    <w:tbl>
      <w:tblPr>
        <w:tblStyle w:val="TableTGAblue"/>
        <w:tblW w:w="0" w:type="auto"/>
        <w:tblLook w:val="0620" w:firstRow="1" w:lastRow="0" w:firstColumn="0" w:lastColumn="0" w:noHBand="1" w:noVBand="1"/>
      </w:tblPr>
      <w:tblGrid>
        <w:gridCol w:w="1883"/>
        <w:gridCol w:w="6837"/>
      </w:tblGrid>
      <w:tr w:rsidR="00DC6D8B" w:rsidRPr="002D4F05" w:rsidTr="00047C46">
        <w:trPr>
          <w:cnfStyle w:val="100000000000" w:firstRow="1" w:lastRow="0" w:firstColumn="0" w:lastColumn="0" w:oddVBand="0" w:evenVBand="0" w:oddHBand="0" w:evenHBand="0" w:firstRowFirstColumn="0" w:firstRowLastColumn="0" w:lastRowFirstColumn="0" w:lastRowLastColumn="0"/>
        </w:trPr>
        <w:tc>
          <w:tcPr>
            <w:tcW w:w="1883" w:type="dxa"/>
          </w:tcPr>
          <w:p w:rsidR="00DC6D8B" w:rsidRPr="002D4F05" w:rsidRDefault="00DC6D8B" w:rsidP="002D4F05">
            <w:pPr>
              <w:rPr>
                <w:sz w:val="20"/>
              </w:rPr>
            </w:pPr>
            <w:r w:rsidRPr="002D4F05">
              <w:rPr>
                <w:sz w:val="20"/>
              </w:rPr>
              <w:t>Abbreviation</w:t>
            </w:r>
          </w:p>
        </w:tc>
        <w:tc>
          <w:tcPr>
            <w:tcW w:w="6837" w:type="dxa"/>
          </w:tcPr>
          <w:p w:rsidR="00DC6D8B" w:rsidRPr="002D4F05" w:rsidRDefault="00DC6D8B" w:rsidP="002D4F05">
            <w:pPr>
              <w:rPr>
                <w:sz w:val="20"/>
              </w:rPr>
            </w:pPr>
            <w:r w:rsidRPr="002D4F05">
              <w:rPr>
                <w:sz w:val="20"/>
              </w:rPr>
              <w:t>Meaning</w:t>
            </w:r>
          </w:p>
        </w:tc>
      </w:tr>
      <w:tr w:rsidR="00DC6D8B" w:rsidRPr="002D4F05" w:rsidTr="00047C46">
        <w:tc>
          <w:tcPr>
            <w:tcW w:w="1883" w:type="dxa"/>
          </w:tcPr>
          <w:p w:rsidR="00DC6D8B" w:rsidRPr="002D4F05" w:rsidRDefault="00DC6D8B" w:rsidP="002D4F05">
            <w:pPr>
              <w:rPr>
                <w:sz w:val="20"/>
              </w:rPr>
            </w:pPr>
            <w:r w:rsidRPr="002D4F05">
              <w:rPr>
                <w:sz w:val="20"/>
              </w:rPr>
              <w:t>AE</w:t>
            </w:r>
          </w:p>
        </w:tc>
        <w:tc>
          <w:tcPr>
            <w:tcW w:w="6837" w:type="dxa"/>
          </w:tcPr>
          <w:p w:rsidR="00DC6D8B" w:rsidRPr="002D4F05" w:rsidRDefault="00DC6D8B" w:rsidP="002D4F05">
            <w:pPr>
              <w:rPr>
                <w:sz w:val="20"/>
              </w:rPr>
            </w:pPr>
            <w:r w:rsidRPr="002D4F05">
              <w:rPr>
                <w:sz w:val="20"/>
              </w:rPr>
              <w:t>Adverse event</w:t>
            </w:r>
          </w:p>
        </w:tc>
      </w:tr>
      <w:tr w:rsidR="00DC6D8B" w:rsidRPr="002D4F05" w:rsidTr="00047C46">
        <w:tc>
          <w:tcPr>
            <w:tcW w:w="1883" w:type="dxa"/>
          </w:tcPr>
          <w:p w:rsidR="00DC6D8B" w:rsidRPr="002D4F05" w:rsidRDefault="00DC6D8B" w:rsidP="002D4F05">
            <w:pPr>
              <w:rPr>
                <w:sz w:val="20"/>
              </w:rPr>
            </w:pPr>
            <w:r w:rsidRPr="002D4F05">
              <w:rPr>
                <w:sz w:val="20"/>
              </w:rPr>
              <w:t>ALS</w:t>
            </w:r>
          </w:p>
        </w:tc>
        <w:tc>
          <w:tcPr>
            <w:tcW w:w="6837" w:type="dxa"/>
          </w:tcPr>
          <w:p w:rsidR="00DC6D8B" w:rsidRPr="002D4F05" w:rsidRDefault="00DC6D8B" w:rsidP="002D4F05">
            <w:pPr>
              <w:rPr>
                <w:sz w:val="20"/>
              </w:rPr>
            </w:pPr>
            <w:r w:rsidRPr="002D4F05">
              <w:rPr>
                <w:sz w:val="20"/>
              </w:rPr>
              <w:t>Amyotrophic lateral sclerosis</w:t>
            </w:r>
          </w:p>
        </w:tc>
      </w:tr>
      <w:tr w:rsidR="00DC6D8B" w:rsidRPr="002D4F05" w:rsidTr="00047C46">
        <w:tc>
          <w:tcPr>
            <w:tcW w:w="1883" w:type="dxa"/>
          </w:tcPr>
          <w:p w:rsidR="00DC6D8B" w:rsidRPr="002D4F05" w:rsidRDefault="00DC6D8B" w:rsidP="002D4F05">
            <w:pPr>
              <w:rPr>
                <w:sz w:val="20"/>
              </w:rPr>
            </w:pPr>
            <w:r w:rsidRPr="002D4F05">
              <w:rPr>
                <w:sz w:val="20"/>
              </w:rPr>
              <w:t>ALT</w:t>
            </w:r>
          </w:p>
        </w:tc>
        <w:tc>
          <w:tcPr>
            <w:tcW w:w="6837" w:type="dxa"/>
          </w:tcPr>
          <w:p w:rsidR="00DC6D8B" w:rsidRPr="002D4F05" w:rsidRDefault="00DC6D8B" w:rsidP="002D4F05">
            <w:pPr>
              <w:rPr>
                <w:sz w:val="20"/>
              </w:rPr>
            </w:pPr>
            <w:r w:rsidRPr="002D4F05">
              <w:rPr>
                <w:sz w:val="20"/>
              </w:rPr>
              <w:t>Alanine transaminase</w:t>
            </w:r>
          </w:p>
        </w:tc>
      </w:tr>
      <w:tr w:rsidR="00DC6D8B" w:rsidRPr="002D4F05" w:rsidTr="00047C46">
        <w:tc>
          <w:tcPr>
            <w:tcW w:w="1883" w:type="dxa"/>
          </w:tcPr>
          <w:p w:rsidR="00DC6D8B" w:rsidRPr="002D4F05" w:rsidRDefault="00DC6D8B" w:rsidP="002D4F05">
            <w:pPr>
              <w:rPr>
                <w:sz w:val="20"/>
              </w:rPr>
            </w:pPr>
            <w:r w:rsidRPr="002D4F05">
              <w:rPr>
                <w:sz w:val="20"/>
              </w:rPr>
              <w:t>ANA</w:t>
            </w:r>
          </w:p>
        </w:tc>
        <w:tc>
          <w:tcPr>
            <w:tcW w:w="6837" w:type="dxa"/>
          </w:tcPr>
          <w:p w:rsidR="00DC6D8B" w:rsidRPr="002D4F05" w:rsidRDefault="00DC6D8B" w:rsidP="002D4F05">
            <w:pPr>
              <w:rPr>
                <w:sz w:val="20"/>
              </w:rPr>
            </w:pPr>
            <w:r w:rsidRPr="002D4F05">
              <w:rPr>
                <w:sz w:val="20"/>
              </w:rPr>
              <w:t>Anti-nuclear antibody</w:t>
            </w:r>
          </w:p>
        </w:tc>
      </w:tr>
      <w:tr w:rsidR="00DC6D8B" w:rsidRPr="002D4F05" w:rsidTr="00047C46">
        <w:tc>
          <w:tcPr>
            <w:tcW w:w="1883" w:type="dxa"/>
          </w:tcPr>
          <w:p w:rsidR="00DC6D8B" w:rsidRPr="002D4F05" w:rsidRDefault="00DC6D8B" w:rsidP="002D4F05">
            <w:pPr>
              <w:rPr>
                <w:sz w:val="20"/>
              </w:rPr>
            </w:pPr>
            <w:r w:rsidRPr="002D4F05">
              <w:rPr>
                <w:sz w:val="20"/>
              </w:rPr>
              <w:t>AP</w:t>
            </w:r>
          </w:p>
        </w:tc>
        <w:tc>
          <w:tcPr>
            <w:tcW w:w="6837" w:type="dxa"/>
          </w:tcPr>
          <w:p w:rsidR="00DC6D8B" w:rsidRPr="002D4F05" w:rsidRDefault="00DC6D8B" w:rsidP="002D4F05">
            <w:pPr>
              <w:rPr>
                <w:sz w:val="20"/>
              </w:rPr>
            </w:pPr>
            <w:r w:rsidRPr="002D4F05">
              <w:rPr>
                <w:sz w:val="20"/>
              </w:rPr>
              <w:t>Antero-posterior</w:t>
            </w:r>
          </w:p>
        </w:tc>
      </w:tr>
      <w:tr w:rsidR="00DC6D8B" w:rsidRPr="002D4F05" w:rsidTr="00047C46">
        <w:tc>
          <w:tcPr>
            <w:tcW w:w="1883" w:type="dxa"/>
          </w:tcPr>
          <w:p w:rsidR="00DC6D8B" w:rsidRPr="002D4F05" w:rsidRDefault="00DC6D8B" w:rsidP="002D4F05">
            <w:pPr>
              <w:rPr>
                <w:sz w:val="20"/>
              </w:rPr>
            </w:pPr>
            <w:r w:rsidRPr="002D4F05">
              <w:rPr>
                <w:sz w:val="20"/>
              </w:rPr>
              <w:t>AS</w:t>
            </w:r>
          </w:p>
        </w:tc>
        <w:tc>
          <w:tcPr>
            <w:tcW w:w="6837" w:type="dxa"/>
          </w:tcPr>
          <w:p w:rsidR="00DC6D8B" w:rsidRPr="002D4F05" w:rsidRDefault="00DC6D8B" w:rsidP="002D4F05">
            <w:pPr>
              <w:rPr>
                <w:sz w:val="20"/>
              </w:rPr>
            </w:pPr>
            <w:r w:rsidRPr="002D4F05">
              <w:rPr>
                <w:sz w:val="20"/>
              </w:rPr>
              <w:t>Ankylosing spondylitis</w:t>
            </w:r>
          </w:p>
        </w:tc>
      </w:tr>
      <w:tr w:rsidR="00DC6D8B" w:rsidRPr="002D4F05" w:rsidTr="00047C46">
        <w:tc>
          <w:tcPr>
            <w:tcW w:w="1883" w:type="dxa"/>
          </w:tcPr>
          <w:p w:rsidR="00DC6D8B" w:rsidRPr="002D4F05" w:rsidRDefault="00DC6D8B" w:rsidP="002D4F05">
            <w:pPr>
              <w:rPr>
                <w:sz w:val="20"/>
              </w:rPr>
            </w:pPr>
            <w:r w:rsidRPr="002D4F05">
              <w:rPr>
                <w:sz w:val="20"/>
              </w:rPr>
              <w:t>ASAS</w:t>
            </w:r>
          </w:p>
        </w:tc>
        <w:tc>
          <w:tcPr>
            <w:tcW w:w="6837" w:type="dxa"/>
          </w:tcPr>
          <w:p w:rsidR="00DC6D8B" w:rsidRPr="002D4F05" w:rsidRDefault="00DC6D8B" w:rsidP="002D4F05">
            <w:pPr>
              <w:rPr>
                <w:sz w:val="20"/>
              </w:rPr>
            </w:pPr>
            <w:r w:rsidRPr="002D4F05">
              <w:rPr>
                <w:sz w:val="20"/>
              </w:rPr>
              <w:t xml:space="preserve">Assessments in </w:t>
            </w:r>
            <w:proofErr w:type="spellStart"/>
            <w:r w:rsidRPr="002D4F05">
              <w:rPr>
                <w:sz w:val="20"/>
              </w:rPr>
              <w:t>Spondyloarthritis</w:t>
            </w:r>
            <w:proofErr w:type="spellEnd"/>
            <w:r w:rsidRPr="002D4F05">
              <w:rPr>
                <w:sz w:val="20"/>
              </w:rPr>
              <w:t xml:space="preserve"> International Society</w:t>
            </w:r>
          </w:p>
        </w:tc>
      </w:tr>
      <w:tr w:rsidR="00DC6D8B" w:rsidRPr="002D4F05" w:rsidTr="00047C46">
        <w:tc>
          <w:tcPr>
            <w:tcW w:w="1883" w:type="dxa"/>
          </w:tcPr>
          <w:p w:rsidR="00DC6D8B" w:rsidRPr="002D4F05" w:rsidRDefault="00DC6D8B" w:rsidP="002D4F05">
            <w:pPr>
              <w:rPr>
                <w:sz w:val="20"/>
              </w:rPr>
            </w:pPr>
            <w:r w:rsidRPr="002D4F05">
              <w:rPr>
                <w:sz w:val="20"/>
              </w:rPr>
              <w:t>ASDAS</w:t>
            </w:r>
          </w:p>
        </w:tc>
        <w:tc>
          <w:tcPr>
            <w:tcW w:w="6837" w:type="dxa"/>
          </w:tcPr>
          <w:p w:rsidR="00DC6D8B" w:rsidRPr="002D4F05" w:rsidRDefault="00DC6D8B" w:rsidP="002D4F05">
            <w:pPr>
              <w:rPr>
                <w:sz w:val="20"/>
              </w:rPr>
            </w:pPr>
            <w:r w:rsidRPr="002D4F05">
              <w:rPr>
                <w:sz w:val="20"/>
              </w:rPr>
              <w:t>Ankylosing Spondylitis Disease Activity Score</w:t>
            </w:r>
          </w:p>
        </w:tc>
      </w:tr>
      <w:tr w:rsidR="00DC6D8B" w:rsidRPr="002D4F05" w:rsidTr="00047C46">
        <w:tc>
          <w:tcPr>
            <w:tcW w:w="1883" w:type="dxa"/>
          </w:tcPr>
          <w:p w:rsidR="00DC6D8B" w:rsidRPr="002D4F05" w:rsidRDefault="00DC6D8B" w:rsidP="002D4F05">
            <w:pPr>
              <w:rPr>
                <w:sz w:val="20"/>
              </w:rPr>
            </w:pPr>
            <w:r w:rsidRPr="002D4F05">
              <w:rPr>
                <w:sz w:val="20"/>
              </w:rPr>
              <w:t>AST</w:t>
            </w:r>
          </w:p>
        </w:tc>
        <w:tc>
          <w:tcPr>
            <w:tcW w:w="6837" w:type="dxa"/>
          </w:tcPr>
          <w:p w:rsidR="00DC6D8B" w:rsidRPr="002D4F05" w:rsidRDefault="00DC6D8B" w:rsidP="002D4F05">
            <w:pPr>
              <w:rPr>
                <w:sz w:val="20"/>
              </w:rPr>
            </w:pPr>
            <w:r w:rsidRPr="002D4F05">
              <w:rPr>
                <w:sz w:val="20"/>
              </w:rPr>
              <w:t>Aspartate transaminase</w:t>
            </w:r>
          </w:p>
        </w:tc>
      </w:tr>
      <w:tr w:rsidR="00DC6D8B" w:rsidRPr="002D4F05" w:rsidTr="00047C46">
        <w:tc>
          <w:tcPr>
            <w:tcW w:w="1883" w:type="dxa"/>
          </w:tcPr>
          <w:p w:rsidR="00DC6D8B" w:rsidRPr="002D4F05" w:rsidRDefault="00DC6D8B" w:rsidP="002D4F05">
            <w:pPr>
              <w:rPr>
                <w:sz w:val="20"/>
              </w:rPr>
            </w:pPr>
            <w:r w:rsidRPr="002D4F05">
              <w:rPr>
                <w:sz w:val="20"/>
              </w:rPr>
              <w:t>BASDAI</w:t>
            </w:r>
          </w:p>
        </w:tc>
        <w:tc>
          <w:tcPr>
            <w:tcW w:w="6837" w:type="dxa"/>
          </w:tcPr>
          <w:p w:rsidR="00DC6D8B" w:rsidRPr="002D4F05" w:rsidRDefault="00DC6D8B" w:rsidP="002D4F05">
            <w:pPr>
              <w:rPr>
                <w:sz w:val="20"/>
              </w:rPr>
            </w:pPr>
            <w:r w:rsidRPr="002D4F05">
              <w:rPr>
                <w:sz w:val="20"/>
              </w:rPr>
              <w:t>Bath Ankylosing Spondylitis disease activity index</w:t>
            </w:r>
          </w:p>
        </w:tc>
      </w:tr>
      <w:tr w:rsidR="00DC6D8B" w:rsidRPr="002D4F05" w:rsidTr="00047C46">
        <w:tc>
          <w:tcPr>
            <w:tcW w:w="1883" w:type="dxa"/>
          </w:tcPr>
          <w:p w:rsidR="00DC6D8B" w:rsidRPr="002D4F05" w:rsidRDefault="00DC6D8B" w:rsidP="002D4F05">
            <w:pPr>
              <w:rPr>
                <w:sz w:val="20"/>
              </w:rPr>
            </w:pPr>
            <w:r w:rsidRPr="002D4F05">
              <w:rPr>
                <w:sz w:val="20"/>
              </w:rPr>
              <w:t>BASFI</w:t>
            </w:r>
          </w:p>
        </w:tc>
        <w:tc>
          <w:tcPr>
            <w:tcW w:w="6837" w:type="dxa"/>
          </w:tcPr>
          <w:p w:rsidR="00DC6D8B" w:rsidRPr="002D4F05" w:rsidRDefault="00DC6D8B" w:rsidP="002D4F05">
            <w:pPr>
              <w:rPr>
                <w:sz w:val="20"/>
              </w:rPr>
            </w:pPr>
            <w:r w:rsidRPr="002D4F05">
              <w:rPr>
                <w:sz w:val="20"/>
              </w:rPr>
              <w:t>Bath Ankylosing Spondylitis functional index</w:t>
            </w:r>
          </w:p>
        </w:tc>
      </w:tr>
      <w:tr w:rsidR="00DC6D8B" w:rsidRPr="002D4F05" w:rsidTr="00047C46">
        <w:tc>
          <w:tcPr>
            <w:tcW w:w="1883" w:type="dxa"/>
          </w:tcPr>
          <w:p w:rsidR="00DC6D8B" w:rsidRPr="002D4F05" w:rsidRDefault="00DC6D8B" w:rsidP="002D4F05">
            <w:pPr>
              <w:rPr>
                <w:sz w:val="20"/>
              </w:rPr>
            </w:pPr>
            <w:r w:rsidRPr="002D4F05">
              <w:rPr>
                <w:sz w:val="20"/>
              </w:rPr>
              <w:t>BASMI</w:t>
            </w:r>
          </w:p>
        </w:tc>
        <w:tc>
          <w:tcPr>
            <w:tcW w:w="6837" w:type="dxa"/>
          </w:tcPr>
          <w:p w:rsidR="00DC6D8B" w:rsidRPr="002D4F05" w:rsidRDefault="00DC6D8B" w:rsidP="002D4F05">
            <w:pPr>
              <w:rPr>
                <w:sz w:val="20"/>
              </w:rPr>
            </w:pPr>
            <w:r w:rsidRPr="002D4F05">
              <w:rPr>
                <w:sz w:val="20"/>
              </w:rPr>
              <w:t>Bath Ankylosing Spondylitis Metrology Index</w:t>
            </w:r>
          </w:p>
        </w:tc>
      </w:tr>
      <w:tr w:rsidR="00DC6D8B" w:rsidRPr="002D4F05" w:rsidTr="00047C46">
        <w:tc>
          <w:tcPr>
            <w:tcW w:w="1883" w:type="dxa"/>
          </w:tcPr>
          <w:p w:rsidR="00DC6D8B" w:rsidRPr="002D4F05" w:rsidRDefault="00DC6D8B" w:rsidP="002D4F05">
            <w:pPr>
              <w:rPr>
                <w:sz w:val="20"/>
              </w:rPr>
            </w:pPr>
            <w:r w:rsidRPr="002D4F05">
              <w:rPr>
                <w:sz w:val="20"/>
              </w:rPr>
              <w:t>BCG</w:t>
            </w:r>
          </w:p>
        </w:tc>
        <w:tc>
          <w:tcPr>
            <w:tcW w:w="6837" w:type="dxa"/>
          </w:tcPr>
          <w:p w:rsidR="00DC6D8B" w:rsidRPr="002D4F05" w:rsidRDefault="00DC6D8B" w:rsidP="002D4F05">
            <w:pPr>
              <w:rPr>
                <w:sz w:val="20"/>
              </w:rPr>
            </w:pPr>
            <w:proofErr w:type="spellStart"/>
            <w:r w:rsidRPr="002D4F05">
              <w:rPr>
                <w:sz w:val="20"/>
              </w:rPr>
              <w:t>Bacille</w:t>
            </w:r>
            <w:proofErr w:type="spellEnd"/>
            <w:r w:rsidRPr="002D4F05">
              <w:rPr>
                <w:sz w:val="20"/>
              </w:rPr>
              <w:t xml:space="preserve"> </w:t>
            </w:r>
            <w:proofErr w:type="spellStart"/>
            <w:r w:rsidRPr="002D4F05">
              <w:rPr>
                <w:sz w:val="20"/>
              </w:rPr>
              <w:t>Calmette-Guérin</w:t>
            </w:r>
            <w:proofErr w:type="spellEnd"/>
          </w:p>
        </w:tc>
      </w:tr>
      <w:tr w:rsidR="00DC6D8B" w:rsidRPr="002D4F05" w:rsidTr="00047C46">
        <w:tc>
          <w:tcPr>
            <w:tcW w:w="1883" w:type="dxa"/>
          </w:tcPr>
          <w:p w:rsidR="00DC6D8B" w:rsidRPr="002D4F05" w:rsidRDefault="00DC6D8B" w:rsidP="002D4F05">
            <w:pPr>
              <w:rPr>
                <w:sz w:val="20"/>
              </w:rPr>
            </w:pPr>
            <w:r w:rsidRPr="002D4F05">
              <w:rPr>
                <w:sz w:val="20"/>
              </w:rPr>
              <w:t>BUN</w:t>
            </w:r>
          </w:p>
        </w:tc>
        <w:tc>
          <w:tcPr>
            <w:tcW w:w="6837" w:type="dxa"/>
          </w:tcPr>
          <w:p w:rsidR="00DC6D8B" w:rsidRPr="002D4F05" w:rsidRDefault="00DC6D8B" w:rsidP="002D4F05">
            <w:pPr>
              <w:rPr>
                <w:sz w:val="20"/>
              </w:rPr>
            </w:pPr>
            <w:r w:rsidRPr="002D4F05">
              <w:rPr>
                <w:sz w:val="20"/>
              </w:rPr>
              <w:t>Blood urea nitrogen</w:t>
            </w:r>
          </w:p>
        </w:tc>
      </w:tr>
      <w:tr w:rsidR="00DC6D8B" w:rsidRPr="002D4F05" w:rsidTr="00047C46">
        <w:tc>
          <w:tcPr>
            <w:tcW w:w="1883" w:type="dxa"/>
          </w:tcPr>
          <w:p w:rsidR="00DC6D8B" w:rsidRPr="002D4F05" w:rsidRDefault="00DC6D8B" w:rsidP="002D4F05">
            <w:pPr>
              <w:rPr>
                <w:sz w:val="20"/>
              </w:rPr>
            </w:pPr>
            <w:r w:rsidRPr="002D4F05">
              <w:rPr>
                <w:sz w:val="20"/>
              </w:rPr>
              <w:t>CD</w:t>
            </w:r>
          </w:p>
        </w:tc>
        <w:tc>
          <w:tcPr>
            <w:tcW w:w="6837" w:type="dxa"/>
          </w:tcPr>
          <w:p w:rsidR="00DC6D8B" w:rsidRPr="002D4F05" w:rsidRDefault="00DC6D8B" w:rsidP="002D4F05">
            <w:pPr>
              <w:rPr>
                <w:sz w:val="20"/>
              </w:rPr>
            </w:pPr>
            <w:r w:rsidRPr="002D4F05">
              <w:rPr>
                <w:sz w:val="20"/>
              </w:rPr>
              <w:t>Crohn's disease</w:t>
            </w:r>
          </w:p>
        </w:tc>
      </w:tr>
      <w:tr w:rsidR="00DC6D8B" w:rsidRPr="002D4F05" w:rsidTr="00047C46">
        <w:tc>
          <w:tcPr>
            <w:tcW w:w="1883" w:type="dxa"/>
          </w:tcPr>
          <w:p w:rsidR="00DC6D8B" w:rsidRPr="002D4F05" w:rsidRDefault="00DC6D8B" w:rsidP="002D4F05">
            <w:pPr>
              <w:rPr>
                <w:sz w:val="20"/>
              </w:rPr>
            </w:pPr>
            <w:r w:rsidRPr="002D4F05">
              <w:rPr>
                <w:sz w:val="20"/>
              </w:rPr>
              <w:t>CDC</w:t>
            </w:r>
          </w:p>
        </w:tc>
        <w:tc>
          <w:tcPr>
            <w:tcW w:w="6837" w:type="dxa"/>
          </w:tcPr>
          <w:p w:rsidR="00DC6D8B" w:rsidRPr="002D4F05" w:rsidRDefault="00DC6D8B" w:rsidP="002D4F05">
            <w:pPr>
              <w:rPr>
                <w:sz w:val="20"/>
              </w:rPr>
            </w:pPr>
            <w:r w:rsidRPr="002D4F05">
              <w:rPr>
                <w:sz w:val="20"/>
              </w:rPr>
              <w:t>Centers for Disease Control</w:t>
            </w:r>
          </w:p>
        </w:tc>
      </w:tr>
      <w:tr w:rsidR="00DC6D8B" w:rsidRPr="002D4F05" w:rsidTr="00047C46">
        <w:tc>
          <w:tcPr>
            <w:tcW w:w="1883" w:type="dxa"/>
          </w:tcPr>
          <w:p w:rsidR="00DC6D8B" w:rsidRPr="002D4F05" w:rsidRDefault="00DC6D8B" w:rsidP="002D4F05">
            <w:pPr>
              <w:rPr>
                <w:sz w:val="20"/>
              </w:rPr>
            </w:pPr>
            <w:r w:rsidRPr="002D4F05">
              <w:rPr>
                <w:sz w:val="20"/>
              </w:rPr>
              <w:t>CHF</w:t>
            </w:r>
          </w:p>
        </w:tc>
        <w:tc>
          <w:tcPr>
            <w:tcW w:w="6837" w:type="dxa"/>
          </w:tcPr>
          <w:p w:rsidR="00DC6D8B" w:rsidRPr="002D4F05" w:rsidRDefault="00DC6D8B" w:rsidP="002D4F05">
            <w:pPr>
              <w:rPr>
                <w:sz w:val="20"/>
              </w:rPr>
            </w:pPr>
            <w:r w:rsidRPr="002D4F05">
              <w:rPr>
                <w:sz w:val="20"/>
              </w:rPr>
              <w:t>Congestive heart failure</w:t>
            </w:r>
          </w:p>
        </w:tc>
      </w:tr>
      <w:tr w:rsidR="00DC6D8B" w:rsidRPr="002D4F05" w:rsidTr="00047C46">
        <w:tc>
          <w:tcPr>
            <w:tcW w:w="1883" w:type="dxa"/>
          </w:tcPr>
          <w:p w:rsidR="00DC6D8B" w:rsidRPr="002D4F05" w:rsidRDefault="00DC6D8B" w:rsidP="002D4F05">
            <w:pPr>
              <w:rPr>
                <w:sz w:val="20"/>
              </w:rPr>
            </w:pPr>
            <w:r w:rsidRPr="002D4F05">
              <w:rPr>
                <w:sz w:val="20"/>
              </w:rPr>
              <w:t>CNS</w:t>
            </w:r>
          </w:p>
        </w:tc>
        <w:tc>
          <w:tcPr>
            <w:tcW w:w="6837" w:type="dxa"/>
          </w:tcPr>
          <w:p w:rsidR="00DC6D8B" w:rsidRPr="002D4F05" w:rsidRDefault="00DC6D8B" w:rsidP="002D4F05">
            <w:pPr>
              <w:rPr>
                <w:sz w:val="20"/>
              </w:rPr>
            </w:pPr>
            <w:r w:rsidRPr="002D4F05">
              <w:rPr>
                <w:sz w:val="20"/>
              </w:rPr>
              <w:t>Central nervous system</w:t>
            </w:r>
          </w:p>
        </w:tc>
      </w:tr>
      <w:tr w:rsidR="00DC6D8B" w:rsidRPr="002D4F05" w:rsidTr="00047C46">
        <w:tc>
          <w:tcPr>
            <w:tcW w:w="1883" w:type="dxa"/>
          </w:tcPr>
          <w:p w:rsidR="00DC6D8B" w:rsidRPr="002D4F05" w:rsidRDefault="00DC6D8B" w:rsidP="002D4F05">
            <w:pPr>
              <w:rPr>
                <w:sz w:val="20"/>
              </w:rPr>
            </w:pPr>
            <w:r w:rsidRPr="002D4F05">
              <w:rPr>
                <w:sz w:val="20"/>
              </w:rPr>
              <w:t>CRP</w:t>
            </w:r>
          </w:p>
        </w:tc>
        <w:tc>
          <w:tcPr>
            <w:tcW w:w="6837" w:type="dxa"/>
          </w:tcPr>
          <w:p w:rsidR="00DC6D8B" w:rsidRPr="002D4F05" w:rsidRDefault="00DC6D8B" w:rsidP="002D4F05">
            <w:pPr>
              <w:rPr>
                <w:sz w:val="20"/>
              </w:rPr>
            </w:pPr>
            <w:r w:rsidRPr="002D4F05">
              <w:rPr>
                <w:sz w:val="20"/>
              </w:rPr>
              <w:t>C-reactive protein</w:t>
            </w:r>
          </w:p>
        </w:tc>
      </w:tr>
      <w:tr w:rsidR="00DC6D8B" w:rsidRPr="002D4F05" w:rsidTr="00047C46">
        <w:tc>
          <w:tcPr>
            <w:tcW w:w="1883" w:type="dxa"/>
          </w:tcPr>
          <w:p w:rsidR="00DC6D8B" w:rsidRPr="002D4F05" w:rsidRDefault="00DC6D8B" w:rsidP="002D4F05">
            <w:pPr>
              <w:rPr>
                <w:sz w:val="20"/>
              </w:rPr>
            </w:pPr>
            <w:r w:rsidRPr="002D4F05">
              <w:rPr>
                <w:sz w:val="20"/>
              </w:rPr>
              <w:t>CSR</w:t>
            </w:r>
          </w:p>
        </w:tc>
        <w:tc>
          <w:tcPr>
            <w:tcW w:w="6837" w:type="dxa"/>
          </w:tcPr>
          <w:p w:rsidR="00DC6D8B" w:rsidRPr="002D4F05" w:rsidRDefault="00DC6D8B" w:rsidP="002D4F05">
            <w:pPr>
              <w:rPr>
                <w:sz w:val="20"/>
              </w:rPr>
            </w:pPr>
            <w:r w:rsidRPr="002D4F05">
              <w:rPr>
                <w:sz w:val="20"/>
              </w:rPr>
              <w:t>Clinical study report</w:t>
            </w:r>
          </w:p>
        </w:tc>
      </w:tr>
      <w:tr w:rsidR="00DC6D8B" w:rsidRPr="002D4F05" w:rsidTr="00047C46">
        <w:tc>
          <w:tcPr>
            <w:tcW w:w="1883" w:type="dxa"/>
          </w:tcPr>
          <w:p w:rsidR="00DC6D8B" w:rsidRPr="002D4F05" w:rsidRDefault="00DC6D8B" w:rsidP="002D4F05">
            <w:pPr>
              <w:rPr>
                <w:sz w:val="20"/>
              </w:rPr>
            </w:pPr>
            <w:r w:rsidRPr="002D4F05">
              <w:rPr>
                <w:sz w:val="20"/>
              </w:rPr>
              <w:t>CTC</w:t>
            </w:r>
          </w:p>
        </w:tc>
        <w:tc>
          <w:tcPr>
            <w:tcW w:w="6837" w:type="dxa"/>
          </w:tcPr>
          <w:p w:rsidR="00DC6D8B" w:rsidRPr="002D4F05" w:rsidRDefault="00DC6D8B" w:rsidP="002D4F05">
            <w:pPr>
              <w:rPr>
                <w:sz w:val="20"/>
              </w:rPr>
            </w:pPr>
            <w:r w:rsidRPr="002D4F05">
              <w:rPr>
                <w:sz w:val="20"/>
              </w:rPr>
              <w:t>Common toxicity criteria</w:t>
            </w:r>
          </w:p>
        </w:tc>
      </w:tr>
      <w:tr w:rsidR="00DC6D8B" w:rsidRPr="002D4F05" w:rsidTr="00047C46">
        <w:tc>
          <w:tcPr>
            <w:tcW w:w="1883" w:type="dxa"/>
          </w:tcPr>
          <w:p w:rsidR="00DC6D8B" w:rsidRPr="002D4F05" w:rsidRDefault="00DC6D8B" w:rsidP="002D4F05">
            <w:pPr>
              <w:rPr>
                <w:sz w:val="20"/>
              </w:rPr>
            </w:pPr>
            <w:r w:rsidRPr="002D4F05">
              <w:rPr>
                <w:sz w:val="20"/>
              </w:rPr>
              <w:t>CTCAE</w:t>
            </w:r>
          </w:p>
        </w:tc>
        <w:tc>
          <w:tcPr>
            <w:tcW w:w="6837" w:type="dxa"/>
          </w:tcPr>
          <w:p w:rsidR="00DC6D8B" w:rsidRPr="002D4F05" w:rsidRDefault="00DC6D8B" w:rsidP="002D4F05">
            <w:pPr>
              <w:rPr>
                <w:sz w:val="20"/>
              </w:rPr>
            </w:pPr>
            <w:r w:rsidRPr="002D4F05">
              <w:rPr>
                <w:sz w:val="20"/>
              </w:rPr>
              <w:t>Common Terminology Criteria for Adverse Events</w:t>
            </w:r>
          </w:p>
        </w:tc>
      </w:tr>
      <w:tr w:rsidR="00DC6D8B" w:rsidRPr="002D4F05" w:rsidTr="00047C46">
        <w:tc>
          <w:tcPr>
            <w:tcW w:w="1883" w:type="dxa"/>
          </w:tcPr>
          <w:p w:rsidR="00DC6D8B" w:rsidRPr="002D4F05" w:rsidRDefault="00DC6D8B" w:rsidP="002D4F05">
            <w:pPr>
              <w:rPr>
                <w:sz w:val="20"/>
              </w:rPr>
            </w:pPr>
            <w:r w:rsidRPr="002D4F05">
              <w:rPr>
                <w:sz w:val="20"/>
              </w:rPr>
              <w:t>CTX-II</w:t>
            </w:r>
          </w:p>
        </w:tc>
        <w:tc>
          <w:tcPr>
            <w:tcW w:w="6837" w:type="dxa"/>
          </w:tcPr>
          <w:p w:rsidR="00DC6D8B" w:rsidRPr="002D4F05" w:rsidRDefault="00DC6D8B" w:rsidP="002D4F05">
            <w:pPr>
              <w:rPr>
                <w:sz w:val="20"/>
              </w:rPr>
            </w:pPr>
            <w:r w:rsidRPr="002D4F05">
              <w:rPr>
                <w:sz w:val="20"/>
              </w:rPr>
              <w:t>Type II collagen C-telopeptide</w:t>
            </w:r>
          </w:p>
        </w:tc>
      </w:tr>
      <w:tr w:rsidR="00DC6D8B" w:rsidRPr="002D4F05" w:rsidTr="00047C46">
        <w:tc>
          <w:tcPr>
            <w:tcW w:w="1883" w:type="dxa"/>
          </w:tcPr>
          <w:p w:rsidR="00DC6D8B" w:rsidRPr="002D4F05" w:rsidRDefault="00DC6D8B" w:rsidP="002D4F05">
            <w:pPr>
              <w:rPr>
                <w:sz w:val="20"/>
              </w:rPr>
            </w:pPr>
            <w:r w:rsidRPr="002D4F05">
              <w:rPr>
                <w:sz w:val="20"/>
              </w:rPr>
              <w:t>CVA</w:t>
            </w:r>
          </w:p>
        </w:tc>
        <w:tc>
          <w:tcPr>
            <w:tcW w:w="6837" w:type="dxa"/>
          </w:tcPr>
          <w:p w:rsidR="00DC6D8B" w:rsidRPr="002D4F05" w:rsidRDefault="00DC6D8B" w:rsidP="002D4F05">
            <w:pPr>
              <w:rPr>
                <w:sz w:val="20"/>
              </w:rPr>
            </w:pPr>
            <w:r w:rsidRPr="002D4F05">
              <w:rPr>
                <w:sz w:val="20"/>
              </w:rPr>
              <w:t>Cerebrovascular accident</w:t>
            </w:r>
          </w:p>
        </w:tc>
      </w:tr>
      <w:tr w:rsidR="00DC6D8B" w:rsidRPr="002D4F05" w:rsidTr="00047C46">
        <w:tc>
          <w:tcPr>
            <w:tcW w:w="1883" w:type="dxa"/>
          </w:tcPr>
          <w:p w:rsidR="00DC6D8B" w:rsidRPr="002D4F05" w:rsidRDefault="00DC6D8B" w:rsidP="002D4F05">
            <w:pPr>
              <w:rPr>
                <w:sz w:val="20"/>
              </w:rPr>
            </w:pPr>
            <w:r w:rsidRPr="002D4F05">
              <w:rPr>
                <w:sz w:val="20"/>
              </w:rPr>
              <w:t>CXR</w:t>
            </w:r>
          </w:p>
        </w:tc>
        <w:tc>
          <w:tcPr>
            <w:tcW w:w="6837" w:type="dxa"/>
          </w:tcPr>
          <w:p w:rsidR="00DC6D8B" w:rsidRPr="002D4F05" w:rsidRDefault="00DC6D8B" w:rsidP="002D4F05">
            <w:pPr>
              <w:rPr>
                <w:sz w:val="20"/>
              </w:rPr>
            </w:pPr>
            <w:r w:rsidRPr="002D4F05">
              <w:rPr>
                <w:sz w:val="20"/>
              </w:rPr>
              <w:t>Chest x-ray</w:t>
            </w:r>
          </w:p>
        </w:tc>
      </w:tr>
      <w:tr w:rsidR="00DC6D8B" w:rsidRPr="002D4F05" w:rsidTr="00047C46">
        <w:tc>
          <w:tcPr>
            <w:tcW w:w="1883" w:type="dxa"/>
          </w:tcPr>
          <w:p w:rsidR="00DC6D8B" w:rsidRPr="002D4F05" w:rsidRDefault="00DC6D8B" w:rsidP="002D4F05">
            <w:pPr>
              <w:rPr>
                <w:sz w:val="20"/>
              </w:rPr>
            </w:pPr>
            <w:r w:rsidRPr="002D4F05">
              <w:rPr>
                <w:sz w:val="20"/>
              </w:rPr>
              <w:t>DAE</w:t>
            </w:r>
          </w:p>
        </w:tc>
        <w:tc>
          <w:tcPr>
            <w:tcW w:w="6837" w:type="dxa"/>
          </w:tcPr>
          <w:p w:rsidR="00DC6D8B" w:rsidRPr="002D4F05" w:rsidRDefault="00DC6D8B" w:rsidP="002D4F05">
            <w:pPr>
              <w:rPr>
                <w:sz w:val="20"/>
              </w:rPr>
            </w:pPr>
            <w:r w:rsidRPr="002D4F05">
              <w:rPr>
                <w:sz w:val="20"/>
              </w:rPr>
              <w:t>Discontinuation due to adverse event</w:t>
            </w:r>
          </w:p>
        </w:tc>
      </w:tr>
      <w:tr w:rsidR="00DC6D8B" w:rsidRPr="002D4F05" w:rsidTr="00047C46">
        <w:tc>
          <w:tcPr>
            <w:tcW w:w="1883" w:type="dxa"/>
          </w:tcPr>
          <w:p w:rsidR="00DC6D8B" w:rsidRPr="002D4F05" w:rsidRDefault="00DC6D8B" w:rsidP="002D4F05">
            <w:pPr>
              <w:rPr>
                <w:sz w:val="20"/>
              </w:rPr>
            </w:pPr>
            <w:r w:rsidRPr="002D4F05">
              <w:rPr>
                <w:sz w:val="20"/>
              </w:rPr>
              <w:lastRenderedPageBreak/>
              <w:t>DB</w:t>
            </w:r>
          </w:p>
        </w:tc>
        <w:tc>
          <w:tcPr>
            <w:tcW w:w="6837" w:type="dxa"/>
          </w:tcPr>
          <w:p w:rsidR="00DC6D8B" w:rsidRPr="002D4F05" w:rsidRDefault="00DC6D8B" w:rsidP="002D4F05">
            <w:pPr>
              <w:rPr>
                <w:sz w:val="20"/>
              </w:rPr>
            </w:pPr>
            <w:r w:rsidRPr="002D4F05">
              <w:rPr>
                <w:sz w:val="20"/>
              </w:rPr>
              <w:t>Double-blind</w:t>
            </w:r>
          </w:p>
        </w:tc>
      </w:tr>
      <w:tr w:rsidR="00DC6D8B" w:rsidRPr="002D4F05" w:rsidTr="00047C46">
        <w:tc>
          <w:tcPr>
            <w:tcW w:w="1883" w:type="dxa"/>
          </w:tcPr>
          <w:p w:rsidR="00DC6D8B" w:rsidRPr="002D4F05" w:rsidRDefault="00DC6D8B" w:rsidP="002D4F05">
            <w:pPr>
              <w:rPr>
                <w:sz w:val="20"/>
              </w:rPr>
            </w:pPr>
            <w:r w:rsidRPr="002D4F05">
              <w:rPr>
                <w:sz w:val="20"/>
              </w:rPr>
              <w:t>DMARD</w:t>
            </w:r>
          </w:p>
        </w:tc>
        <w:tc>
          <w:tcPr>
            <w:tcW w:w="6837" w:type="dxa"/>
          </w:tcPr>
          <w:p w:rsidR="00DC6D8B" w:rsidRPr="002D4F05" w:rsidRDefault="00DC6D8B" w:rsidP="002D4F05">
            <w:pPr>
              <w:rPr>
                <w:sz w:val="20"/>
              </w:rPr>
            </w:pPr>
            <w:r w:rsidRPr="002D4F05">
              <w:rPr>
                <w:sz w:val="20"/>
              </w:rPr>
              <w:t>Disease-modifying anti-rheumatic drugs</w:t>
            </w:r>
          </w:p>
        </w:tc>
      </w:tr>
      <w:tr w:rsidR="00DC6D8B" w:rsidRPr="002D4F05" w:rsidTr="00047C46">
        <w:tc>
          <w:tcPr>
            <w:tcW w:w="1883" w:type="dxa"/>
          </w:tcPr>
          <w:p w:rsidR="00DC6D8B" w:rsidRPr="002D4F05" w:rsidRDefault="00DC6D8B" w:rsidP="002D4F05">
            <w:pPr>
              <w:rPr>
                <w:sz w:val="20"/>
              </w:rPr>
            </w:pPr>
            <w:r w:rsidRPr="002D4F05">
              <w:rPr>
                <w:sz w:val="20"/>
              </w:rPr>
              <w:t>ECG</w:t>
            </w:r>
          </w:p>
        </w:tc>
        <w:tc>
          <w:tcPr>
            <w:tcW w:w="6837" w:type="dxa"/>
          </w:tcPr>
          <w:p w:rsidR="00DC6D8B" w:rsidRPr="002D4F05" w:rsidRDefault="00DC6D8B" w:rsidP="002D4F05">
            <w:pPr>
              <w:rPr>
                <w:sz w:val="20"/>
              </w:rPr>
            </w:pPr>
            <w:r w:rsidRPr="002D4F05">
              <w:rPr>
                <w:sz w:val="20"/>
              </w:rPr>
              <w:t>Electrocardiogram</w:t>
            </w:r>
          </w:p>
        </w:tc>
      </w:tr>
      <w:tr w:rsidR="00DC6D8B" w:rsidRPr="002D4F05" w:rsidTr="00047C46">
        <w:tc>
          <w:tcPr>
            <w:tcW w:w="1883" w:type="dxa"/>
          </w:tcPr>
          <w:p w:rsidR="00DC6D8B" w:rsidRPr="002D4F05" w:rsidRDefault="00DC6D8B" w:rsidP="002D4F05">
            <w:pPr>
              <w:rPr>
                <w:sz w:val="20"/>
              </w:rPr>
            </w:pPr>
            <w:proofErr w:type="spellStart"/>
            <w:r w:rsidRPr="002D4F05">
              <w:rPr>
                <w:sz w:val="20"/>
              </w:rPr>
              <w:t>eow</w:t>
            </w:r>
            <w:proofErr w:type="spellEnd"/>
          </w:p>
        </w:tc>
        <w:tc>
          <w:tcPr>
            <w:tcW w:w="6837" w:type="dxa"/>
          </w:tcPr>
          <w:p w:rsidR="00DC6D8B" w:rsidRPr="002D4F05" w:rsidRDefault="00DC6D8B" w:rsidP="002D4F05">
            <w:pPr>
              <w:rPr>
                <w:sz w:val="20"/>
              </w:rPr>
            </w:pPr>
            <w:r w:rsidRPr="002D4F05">
              <w:rPr>
                <w:sz w:val="20"/>
              </w:rPr>
              <w:t>Every other week</w:t>
            </w:r>
          </w:p>
        </w:tc>
      </w:tr>
      <w:tr w:rsidR="00DC6D8B" w:rsidRPr="002D4F05" w:rsidTr="00047C46">
        <w:tc>
          <w:tcPr>
            <w:tcW w:w="1883" w:type="dxa"/>
          </w:tcPr>
          <w:p w:rsidR="00DC6D8B" w:rsidRPr="002D4F05" w:rsidRDefault="00DC6D8B" w:rsidP="002D4F05">
            <w:pPr>
              <w:rPr>
                <w:sz w:val="20"/>
              </w:rPr>
            </w:pPr>
            <w:r w:rsidRPr="002D4F05">
              <w:rPr>
                <w:sz w:val="20"/>
              </w:rPr>
              <w:t>EQ-5D</w:t>
            </w:r>
          </w:p>
        </w:tc>
        <w:tc>
          <w:tcPr>
            <w:tcW w:w="6837" w:type="dxa"/>
          </w:tcPr>
          <w:p w:rsidR="00DC6D8B" w:rsidRPr="002D4F05" w:rsidRDefault="00DC6D8B" w:rsidP="002D4F05">
            <w:pPr>
              <w:rPr>
                <w:sz w:val="20"/>
              </w:rPr>
            </w:pPr>
            <w:r w:rsidRPr="002D4F05">
              <w:rPr>
                <w:sz w:val="20"/>
              </w:rPr>
              <w:t>European Quality of Life – 5 Dimensions questionnaire</w:t>
            </w:r>
          </w:p>
        </w:tc>
      </w:tr>
      <w:tr w:rsidR="00DC6D8B" w:rsidRPr="002D4F05" w:rsidTr="00047C46">
        <w:tc>
          <w:tcPr>
            <w:tcW w:w="1883" w:type="dxa"/>
          </w:tcPr>
          <w:p w:rsidR="00DC6D8B" w:rsidRPr="002D4F05" w:rsidRDefault="00DC6D8B" w:rsidP="002D4F05">
            <w:pPr>
              <w:rPr>
                <w:sz w:val="20"/>
              </w:rPr>
            </w:pPr>
            <w:r w:rsidRPr="002D4F05">
              <w:rPr>
                <w:sz w:val="20"/>
              </w:rPr>
              <w:t>F</w:t>
            </w:r>
          </w:p>
        </w:tc>
        <w:tc>
          <w:tcPr>
            <w:tcW w:w="6837" w:type="dxa"/>
          </w:tcPr>
          <w:p w:rsidR="00DC6D8B" w:rsidRPr="002D4F05" w:rsidRDefault="00DC6D8B" w:rsidP="002D4F05">
            <w:pPr>
              <w:rPr>
                <w:sz w:val="20"/>
              </w:rPr>
            </w:pPr>
            <w:r w:rsidRPr="002D4F05">
              <w:rPr>
                <w:sz w:val="20"/>
              </w:rPr>
              <w:t>Female</w:t>
            </w:r>
          </w:p>
        </w:tc>
      </w:tr>
      <w:tr w:rsidR="00DC6D8B" w:rsidRPr="002D4F05" w:rsidTr="00047C46">
        <w:tc>
          <w:tcPr>
            <w:tcW w:w="1883" w:type="dxa"/>
          </w:tcPr>
          <w:p w:rsidR="00DC6D8B" w:rsidRPr="002D4F05" w:rsidRDefault="00DC6D8B" w:rsidP="002D4F05">
            <w:pPr>
              <w:rPr>
                <w:sz w:val="20"/>
              </w:rPr>
            </w:pPr>
            <w:r w:rsidRPr="002D4F05">
              <w:rPr>
                <w:sz w:val="20"/>
              </w:rPr>
              <w:t>FAS</w:t>
            </w:r>
          </w:p>
        </w:tc>
        <w:tc>
          <w:tcPr>
            <w:tcW w:w="6837" w:type="dxa"/>
          </w:tcPr>
          <w:p w:rsidR="00DC6D8B" w:rsidRPr="002D4F05" w:rsidRDefault="00DC6D8B" w:rsidP="002D4F05">
            <w:pPr>
              <w:rPr>
                <w:sz w:val="20"/>
              </w:rPr>
            </w:pPr>
            <w:r w:rsidRPr="002D4F05">
              <w:rPr>
                <w:sz w:val="20"/>
              </w:rPr>
              <w:t>Full analysis set</w:t>
            </w:r>
          </w:p>
        </w:tc>
      </w:tr>
      <w:tr w:rsidR="00DC6D8B" w:rsidRPr="002D4F05" w:rsidTr="00047C46">
        <w:tc>
          <w:tcPr>
            <w:tcW w:w="1883" w:type="dxa"/>
          </w:tcPr>
          <w:p w:rsidR="00DC6D8B" w:rsidRPr="002D4F05" w:rsidRDefault="00DC6D8B" w:rsidP="002D4F05">
            <w:pPr>
              <w:rPr>
                <w:sz w:val="20"/>
              </w:rPr>
            </w:pPr>
            <w:r w:rsidRPr="002D4F05">
              <w:rPr>
                <w:sz w:val="20"/>
              </w:rPr>
              <w:t>FDA</w:t>
            </w:r>
          </w:p>
        </w:tc>
        <w:tc>
          <w:tcPr>
            <w:tcW w:w="6837" w:type="dxa"/>
          </w:tcPr>
          <w:p w:rsidR="00DC6D8B" w:rsidRPr="002D4F05" w:rsidRDefault="00DC6D8B" w:rsidP="002D4F05">
            <w:pPr>
              <w:rPr>
                <w:sz w:val="20"/>
              </w:rPr>
            </w:pPr>
            <w:r w:rsidRPr="002D4F05">
              <w:rPr>
                <w:sz w:val="20"/>
              </w:rPr>
              <w:t>Food and Drug Administration</w:t>
            </w:r>
          </w:p>
        </w:tc>
      </w:tr>
      <w:tr w:rsidR="00DC6D8B" w:rsidRPr="002D4F05" w:rsidTr="00047C46">
        <w:tc>
          <w:tcPr>
            <w:tcW w:w="1883" w:type="dxa"/>
          </w:tcPr>
          <w:p w:rsidR="00DC6D8B" w:rsidRPr="002D4F05" w:rsidRDefault="00DC6D8B" w:rsidP="002D4F05">
            <w:pPr>
              <w:rPr>
                <w:sz w:val="20"/>
              </w:rPr>
            </w:pPr>
            <w:r w:rsidRPr="002D4F05">
              <w:rPr>
                <w:sz w:val="20"/>
              </w:rPr>
              <w:t>GCP</w:t>
            </w:r>
          </w:p>
        </w:tc>
        <w:tc>
          <w:tcPr>
            <w:tcW w:w="6837" w:type="dxa"/>
          </w:tcPr>
          <w:p w:rsidR="00DC6D8B" w:rsidRPr="002D4F05" w:rsidRDefault="00DC6D8B" w:rsidP="002D4F05">
            <w:pPr>
              <w:rPr>
                <w:sz w:val="20"/>
              </w:rPr>
            </w:pPr>
            <w:r w:rsidRPr="002D4F05">
              <w:rPr>
                <w:sz w:val="20"/>
              </w:rPr>
              <w:t>Good Clinical Practice</w:t>
            </w:r>
          </w:p>
        </w:tc>
      </w:tr>
      <w:tr w:rsidR="00DC6D8B" w:rsidRPr="002D4F05" w:rsidTr="00047C46">
        <w:tc>
          <w:tcPr>
            <w:tcW w:w="1883" w:type="dxa"/>
          </w:tcPr>
          <w:p w:rsidR="00DC6D8B" w:rsidRPr="002D4F05" w:rsidRDefault="00DC6D8B" w:rsidP="002D4F05">
            <w:pPr>
              <w:rPr>
                <w:sz w:val="20"/>
              </w:rPr>
            </w:pPr>
            <w:r w:rsidRPr="002D4F05">
              <w:rPr>
                <w:sz w:val="20"/>
              </w:rPr>
              <w:t>HAQ-S</w:t>
            </w:r>
          </w:p>
        </w:tc>
        <w:tc>
          <w:tcPr>
            <w:tcW w:w="6837" w:type="dxa"/>
          </w:tcPr>
          <w:p w:rsidR="00DC6D8B" w:rsidRPr="002D4F05" w:rsidRDefault="00DC6D8B" w:rsidP="002D4F05">
            <w:pPr>
              <w:rPr>
                <w:sz w:val="20"/>
              </w:rPr>
            </w:pPr>
            <w:r w:rsidRPr="002D4F05">
              <w:rPr>
                <w:sz w:val="20"/>
              </w:rPr>
              <w:t xml:space="preserve">Health Assessment Questionnaire modified for </w:t>
            </w:r>
            <w:proofErr w:type="spellStart"/>
            <w:r w:rsidRPr="002D4F05">
              <w:rPr>
                <w:sz w:val="20"/>
              </w:rPr>
              <w:t>spondyloarthropathies</w:t>
            </w:r>
            <w:proofErr w:type="spellEnd"/>
          </w:p>
        </w:tc>
      </w:tr>
      <w:tr w:rsidR="00DC6D8B" w:rsidRPr="002D4F05" w:rsidTr="00047C46">
        <w:tc>
          <w:tcPr>
            <w:tcW w:w="1883" w:type="dxa"/>
          </w:tcPr>
          <w:p w:rsidR="00DC6D8B" w:rsidRPr="002D4F05" w:rsidRDefault="00DC6D8B" w:rsidP="002D4F05">
            <w:pPr>
              <w:rPr>
                <w:sz w:val="20"/>
              </w:rPr>
            </w:pPr>
            <w:r w:rsidRPr="002D4F05">
              <w:rPr>
                <w:sz w:val="20"/>
              </w:rPr>
              <w:t>HCP</w:t>
            </w:r>
          </w:p>
        </w:tc>
        <w:tc>
          <w:tcPr>
            <w:tcW w:w="6837" w:type="dxa"/>
          </w:tcPr>
          <w:p w:rsidR="00DC6D8B" w:rsidRPr="002D4F05" w:rsidRDefault="00DC6D8B" w:rsidP="002D4F05">
            <w:pPr>
              <w:rPr>
                <w:sz w:val="20"/>
              </w:rPr>
            </w:pPr>
            <w:r w:rsidRPr="002D4F05">
              <w:rPr>
                <w:sz w:val="20"/>
              </w:rPr>
              <w:t>Heath care provider</w:t>
            </w:r>
          </w:p>
        </w:tc>
      </w:tr>
      <w:tr w:rsidR="00DC6D8B" w:rsidRPr="002D4F05" w:rsidTr="00047C46">
        <w:tc>
          <w:tcPr>
            <w:tcW w:w="1883" w:type="dxa"/>
          </w:tcPr>
          <w:p w:rsidR="00DC6D8B" w:rsidRPr="002D4F05" w:rsidRDefault="00DC6D8B" w:rsidP="002D4F05">
            <w:pPr>
              <w:rPr>
                <w:sz w:val="20"/>
              </w:rPr>
            </w:pPr>
            <w:r w:rsidRPr="002D4F05">
              <w:rPr>
                <w:sz w:val="20"/>
              </w:rPr>
              <w:t>HCRU</w:t>
            </w:r>
          </w:p>
        </w:tc>
        <w:tc>
          <w:tcPr>
            <w:tcW w:w="6837" w:type="dxa"/>
          </w:tcPr>
          <w:p w:rsidR="00DC6D8B" w:rsidRPr="002D4F05" w:rsidRDefault="00DC6D8B" w:rsidP="002D4F05">
            <w:pPr>
              <w:rPr>
                <w:sz w:val="20"/>
              </w:rPr>
            </w:pPr>
            <w:r w:rsidRPr="002D4F05">
              <w:rPr>
                <w:sz w:val="20"/>
              </w:rPr>
              <w:t>Health care resource utilization</w:t>
            </w:r>
          </w:p>
        </w:tc>
      </w:tr>
      <w:tr w:rsidR="00DC6D8B" w:rsidRPr="002D4F05" w:rsidTr="00047C46">
        <w:tc>
          <w:tcPr>
            <w:tcW w:w="1883" w:type="dxa"/>
          </w:tcPr>
          <w:p w:rsidR="00DC6D8B" w:rsidRPr="002D4F05" w:rsidRDefault="00DC6D8B" w:rsidP="002D4F05">
            <w:pPr>
              <w:rPr>
                <w:sz w:val="20"/>
              </w:rPr>
            </w:pPr>
            <w:r w:rsidRPr="002D4F05">
              <w:rPr>
                <w:sz w:val="20"/>
              </w:rPr>
              <w:t>HLA-B27</w:t>
            </w:r>
          </w:p>
        </w:tc>
        <w:tc>
          <w:tcPr>
            <w:tcW w:w="6837" w:type="dxa"/>
          </w:tcPr>
          <w:p w:rsidR="00DC6D8B" w:rsidRPr="002D4F05" w:rsidRDefault="00DC6D8B" w:rsidP="002D4F05">
            <w:pPr>
              <w:rPr>
                <w:sz w:val="20"/>
              </w:rPr>
            </w:pPr>
            <w:r w:rsidRPr="002D4F05">
              <w:rPr>
                <w:sz w:val="20"/>
              </w:rPr>
              <w:t>Human leukocyte antigen-B27</w:t>
            </w:r>
          </w:p>
        </w:tc>
      </w:tr>
      <w:tr w:rsidR="00DC6D8B" w:rsidRPr="002D4F05" w:rsidTr="00047C46">
        <w:tc>
          <w:tcPr>
            <w:tcW w:w="1883" w:type="dxa"/>
          </w:tcPr>
          <w:p w:rsidR="00DC6D8B" w:rsidRPr="002D4F05" w:rsidRDefault="00DC6D8B" w:rsidP="002D4F05">
            <w:pPr>
              <w:rPr>
                <w:sz w:val="20"/>
              </w:rPr>
            </w:pPr>
            <w:r w:rsidRPr="002D4F05">
              <w:rPr>
                <w:sz w:val="20"/>
              </w:rPr>
              <w:t>hs-CRP</w:t>
            </w:r>
          </w:p>
        </w:tc>
        <w:tc>
          <w:tcPr>
            <w:tcW w:w="6837" w:type="dxa"/>
          </w:tcPr>
          <w:p w:rsidR="00DC6D8B" w:rsidRPr="002D4F05" w:rsidRDefault="00DC6D8B" w:rsidP="002D4F05">
            <w:pPr>
              <w:rPr>
                <w:sz w:val="20"/>
              </w:rPr>
            </w:pPr>
            <w:r w:rsidRPr="002D4F05">
              <w:rPr>
                <w:sz w:val="20"/>
              </w:rPr>
              <w:t>High sensitivity C-reactive protein</w:t>
            </w:r>
          </w:p>
        </w:tc>
      </w:tr>
      <w:tr w:rsidR="00DC6D8B" w:rsidRPr="002D4F05" w:rsidTr="00047C46">
        <w:tc>
          <w:tcPr>
            <w:tcW w:w="1883" w:type="dxa"/>
          </w:tcPr>
          <w:p w:rsidR="00DC6D8B" w:rsidRPr="002D4F05" w:rsidRDefault="00DC6D8B" w:rsidP="002D4F05">
            <w:pPr>
              <w:rPr>
                <w:sz w:val="20"/>
              </w:rPr>
            </w:pPr>
            <w:r w:rsidRPr="002D4F05">
              <w:rPr>
                <w:sz w:val="20"/>
              </w:rPr>
              <w:t>HSTCL</w:t>
            </w:r>
          </w:p>
        </w:tc>
        <w:tc>
          <w:tcPr>
            <w:tcW w:w="6837" w:type="dxa"/>
          </w:tcPr>
          <w:p w:rsidR="00DC6D8B" w:rsidRPr="002D4F05" w:rsidRDefault="00DC6D8B" w:rsidP="002D4F05">
            <w:pPr>
              <w:rPr>
                <w:sz w:val="20"/>
              </w:rPr>
            </w:pPr>
            <w:proofErr w:type="spellStart"/>
            <w:r w:rsidRPr="002D4F05">
              <w:rPr>
                <w:sz w:val="20"/>
              </w:rPr>
              <w:t>Hepatosplenic</w:t>
            </w:r>
            <w:proofErr w:type="spellEnd"/>
            <w:r w:rsidRPr="002D4F05">
              <w:rPr>
                <w:sz w:val="20"/>
              </w:rPr>
              <w:t xml:space="preserve"> T-cell lymphoma</w:t>
            </w:r>
          </w:p>
        </w:tc>
      </w:tr>
      <w:tr w:rsidR="00DC6D8B" w:rsidRPr="002D4F05" w:rsidTr="00047C46">
        <w:tc>
          <w:tcPr>
            <w:tcW w:w="1883" w:type="dxa"/>
          </w:tcPr>
          <w:p w:rsidR="00DC6D8B" w:rsidRPr="002D4F05" w:rsidRDefault="00DC6D8B" w:rsidP="002D4F05">
            <w:pPr>
              <w:rPr>
                <w:sz w:val="20"/>
              </w:rPr>
            </w:pPr>
            <w:r w:rsidRPr="002D4F05">
              <w:rPr>
                <w:sz w:val="20"/>
              </w:rPr>
              <w:t>IBD</w:t>
            </w:r>
          </w:p>
        </w:tc>
        <w:tc>
          <w:tcPr>
            <w:tcW w:w="6837" w:type="dxa"/>
          </w:tcPr>
          <w:p w:rsidR="00DC6D8B" w:rsidRPr="002D4F05" w:rsidRDefault="00DC6D8B" w:rsidP="002D4F05">
            <w:pPr>
              <w:rPr>
                <w:sz w:val="20"/>
              </w:rPr>
            </w:pPr>
            <w:r w:rsidRPr="002D4F05">
              <w:rPr>
                <w:sz w:val="20"/>
              </w:rPr>
              <w:t>Inflammatory bowel disease</w:t>
            </w:r>
          </w:p>
        </w:tc>
      </w:tr>
      <w:tr w:rsidR="00DC6D8B" w:rsidRPr="002D4F05" w:rsidTr="00047C46">
        <w:tc>
          <w:tcPr>
            <w:tcW w:w="1883" w:type="dxa"/>
          </w:tcPr>
          <w:p w:rsidR="00DC6D8B" w:rsidRPr="002D4F05" w:rsidRDefault="00DC6D8B" w:rsidP="002D4F05">
            <w:pPr>
              <w:rPr>
                <w:sz w:val="20"/>
              </w:rPr>
            </w:pPr>
            <w:r w:rsidRPr="002D4F05">
              <w:rPr>
                <w:sz w:val="20"/>
              </w:rPr>
              <w:t>ICF</w:t>
            </w:r>
          </w:p>
        </w:tc>
        <w:tc>
          <w:tcPr>
            <w:tcW w:w="6837" w:type="dxa"/>
          </w:tcPr>
          <w:p w:rsidR="00DC6D8B" w:rsidRPr="002D4F05" w:rsidRDefault="00DC6D8B" w:rsidP="002D4F05">
            <w:pPr>
              <w:rPr>
                <w:sz w:val="20"/>
              </w:rPr>
            </w:pPr>
            <w:r w:rsidRPr="002D4F05">
              <w:rPr>
                <w:sz w:val="20"/>
              </w:rPr>
              <w:t>Informed consent form</w:t>
            </w:r>
          </w:p>
        </w:tc>
      </w:tr>
      <w:tr w:rsidR="00DC6D8B" w:rsidRPr="002D4F05" w:rsidTr="00047C46">
        <w:tc>
          <w:tcPr>
            <w:tcW w:w="1883" w:type="dxa"/>
          </w:tcPr>
          <w:p w:rsidR="00DC6D8B" w:rsidRPr="002D4F05" w:rsidRDefault="00DC6D8B" w:rsidP="002D4F05">
            <w:pPr>
              <w:rPr>
                <w:sz w:val="20"/>
              </w:rPr>
            </w:pPr>
            <w:r w:rsidRPr="002D4F05">
              <w:rPr>
                <w:sz w:val="20"/>
              </w:rPr>
              <w:t>ICH</w:t>
            </w:r>
          </w:p>
        </w:tc>
        <w:tc>
          <w:tcPr>
            <w:tcW w:w="6837" w:type="dxa"/>
          </w:tcPr>
          <w:p w:rsidR="00DC6D8B" w:rsidRPr="002D4F05" w:rsidRDefault="00DC6D8B" w:rsidP="002D4F05">
            <w:pPr>
              <w:rPr>
                <w:sz w:val="20"/>
              </w:rPr>
            </w:pPr>
            <w:r w:rsidRPr="002D4F05">
              <w:rPr>
                <w:sz w:val="20"/>
              </w:rPr>
              <w:t>International Conference on Harmonisation</w:t>
            </w:r>
          </w:p>
        </w:tc>
      </w:tr>
      <w:tr w:rsidR="00DC6D8B" w:rsidRPr="002D4F05" w:rsidTr="00047C46">
        <w:tc>
          <w:tcPr>
            <w:tcW w:w="1883" w:type="dxa"/>
          </w:tcPr>
          <w:p w:rsidR="00DC6D8B" w:rsidRPr="002D4F05" w:rsidRDefault="00DC6D8B" w:rsidP="002D4F05">
            <w:pPr>
              <w:rPr>
                <w:sz w:val="20"/>
              </w:rPr>
            </w:pPr>
            <w:r w:rsidRPr="002D4F05">
              <w:rPr>
                <w:sz w:val="20"/>
              </w:rPr>
              <w:t>IEC</w:t>
            </w:r>
          </w:p>
        </w:tc>
        <w:tc>
          <w:tcPr>
            <w:tcW w:w="6837" w:type="dxa"/>
          </w:tcPr>
          <w:p w:rsidR="00DC6D8B" w:rsidRPr="002D4F05" w:rsidRDefault="00DC6D8B" w:rsidP="002D4F05">
            <w:pPr>
              <w:rPr>
                <w:sz w:val="20"/>
              </w:rPr>
            </w:pPr>
            <w:r w:rsidRPr="002D4F05">
              <w:rPr>
                <w:sz w:val="20"/>
              </w:rPr>
              <w:t>Independent ethics committee</w:t>
            </w:r>
          </w:p>
        </w:tc>
      </w:tr>
      <w:tr w:rsidR="00DC6D8B" w:rsidRPr="002D4F05" w:rsidTr="00047C46">
        <w:tc>
          <w:tcPr>
            <w:tcW w:w="1883" w:type="dxa"/>
          </w:tcPr>
          <w:p w:rsidR="00DC6D8B" w:rsidRPr="002D4F05" w:rsidRDefault="00DC6D8B" w:rsidP="002D4F05">
            <w:pPr>
              <w:rPr>
                <w:sz w:val="20"/>
              </w:rPr>
            </w:pPr>
            <w:r w:rsidRPr="002D4F05">
              <w:rPr>
                <w:sz w:val="20"/>
              </w:rPr>
              <w:t>IRB</w:t>
            </w:r>
          </w:p>
        </w:tc>
        <w:tc>
          <w:tcPr>
            <w:tcW w:w="6837" w:type="dxa"/>
          </w:tcPr>
          <w:p w:rsidR="00DC6D8B" w:rsidRPr="002D4F05" w:rsidRDefault="00DC6D8B" w:rsidP="002D4F05">
            <w:pPr>
              <w:rPr>
                <w:sz w:val="20"/>
              </w:rPr>
            </w:pPr>
            <w:r w:rsidRPr="002D4F05">
              <w:rPr>
                <w:sz w:val="20"/>
              </w:rPr>
              <w:t>Institutional review board</w:t>
            </w:r>
          </w:p>
        </w:tc>
      </w:tr>
      <w:tr w:rsidR="00DC6D8B" w:rsidRPr="002D4F05" w:rsidTr="00047C46">
        <w:tc>
          <w:tcPr>
            <w:tcW w:w="1883" w:type="dxa"/>
          </w:tcPr>
          <w:p w:rsidR="00DC6D8B" w:rsidRPr="002D4F05" w:rsidRDefault="00DC6D8B" w:rsidP="002D4F05">
            <w:pPr>
              <w:rPr>
                <w:sz w:val="20"/>
              </w:rPr>
            </w:pPr>
            <w:r w:rsidRPr="002D4F05">
              <w:rPr>
                <w:sz w:val="20"/>
              </w:rPr>
              <w:t>ITT</w:t>
            </w:r>
          </w:p>
        </w:tc>
        <w:tc>
          <w:tcPr>
            <w:tcW w:w="6837" w:type="dxa"/>
          </w:tcPr>
          <w:p w:rsidR="00DC6D8B" w:rsidRPr="002D4F05" w:rsidRDefault="00DC6D8B" w:rsidP="002D4F05">
            <w:pPr>
              <w:rPr>
                <w:sz w:val="20"/>
              </w:rPr>
            </w:pPr>
            <w:r w:rsidRPr="002D4F05">
              <w:rPr>
                <w:sz w:val="20"/>
              </w:rPr>
              <w:t>Intent-to-treat</w:t>
            </w:r>
          </w:p>
        </w:tc>
      </w:tr>
      <w:tr w:rsidR="00DC6D8B" w:rsidRPr="002D4F05" w:rsidTr="00047C46">
        <w:tc>
          <w:tcPr>
            <w:tcW w:w="1883" w:type="dxa"/>
          </w:tcPr>
          <w:p w:rsidR="00DC6D8B" w:rsidRPr="002D4F05" w:rsidRDefault="00DC6D8B" w:rsidP="002D4F05">
            <w:pPr>
              <w:rPr>
                <w:sz w:val="20"/>
              </w:rPr>
            </w:pPr>
            <w:r w:rsidRPr="002D4F05">
              <w:rPr>
                <w:sz w:val="20"/>
              </w:rPr>
              <w:t>IV</w:t>
            </w:r>
          </w:p>
        </w:tc>
        <w:tc>
          <w:tcPr>
            <w:tcW w:w="6837" w:type="dxa"/>
          </w:tcPr>
          <w:p w:rsidR="00DC6D8B" w:rsidRPr="002D4F05" w:rsidRDefault="00DC6D8B" w:rsidP="002D4F05">
            <w:pPr>
              <w:rPr>
                <w:sz w:val="20"/>
              </w:rPr>
            </w:pPr>
            <w:r w:rsidRPr="002D4F05">
              <w:rPr>
                <w:sz w:val="20"/>
              </w:rPr>
              <w:t>Intravenous</w:t>
            </w:r>
          </w:p>
        </w:tc>
      </w:tr>
      <w:tr w:rsidR="00DC6D8B" w:rsidRPr="002D4F05" w:rsidTr="00047C46">
        <w:tc>
          <w:tcPr>
            <w:tcW w:w="1883" w:type="dxa"/>
          </w:tcPr>
          <w:p w:rsidR="00DC6D8B" w:rsidRPr="002D4F05" w:rsidRDefault="00DC6D8B" w:rsidP="002D4F05">
            <w:pPr>
              <w:rPr>
                <w:sz w:val="20"/>
              </w:rPr>
            </w:pPr>
            <w:r w:rsidRPr="002D4F05">
              <w:rPr>
                <w:sz w:val="20"/>
              </w:rPr>
              <w:t>IVRS</w:t>
            </w:r>
          </w:p>
        </w:tc>
        <w:tc>
          <w:tcPr>
            <w:tcW w:w="6837" w:type="dxa"/>
          </w:tcPr>
          <w:p w:rsidR="00DC6D8B" w:rsidRPr="002D4F05" w:rsidRDefault="00DC6D8B" w:rsidP="002D4F05">
            <w:pPr>
              <w:rPr>
                <w:sz w:val="20"/>
              </w:rPr>
            </w:pPr>
            <w:r w:rsidRPr="002D4F05">
              <w:rPr>
                <w:sz w:val="20"/>
              </w:rPr>
              <w:t>Interactive voice response system</w:t>
            </w:r>
          </w:p>
        </w:tc>
      </w:tr>
      <w:tr w:rsidR="00DC6D8B" w:rsidRPr="002D4F05" w:rsidTr="00047C46">
        <w:tc>
          <w:tcPr>
            <w:tcW w:w="1883" w:type="dxa"/>
          </w:tcPr>
          <w:p w:rsidR="00DC6D8B" w:rsidRPr="002D4F05" w:rsidRDefault="00DC6D8B" w:rsidP="002D4F05">
            <w:pPr>
              <w:rPr>
                <w:sz w:val="20"/>
              </w:rPr>
            </w:pPr>
            <w:r w:rsidRPr="002D4F05">
              <w:rPr>
                <w:sz w:val="20"/>
              </w:rPr>
              <w:t>IWRS</w:t>
            </w:r>
          </w:p>
        </w:tc>
        <w:tc>
          <w:tcPr>
            <w:tcW w:w="6837" w:type="dxa"/>
          </w:tcPr>
          <w:p w:rsidR="00DC6D8B" w:rsidRPr="002D4F05" w:rsidRDefault="00DC6D8B" w:rsidP="002D4F05">
            <w:pPr>
              <w:rPr>
                <w:sz w:val="20"/>
              </w:rPr>
            </w:pPr>
            <w:r w:rsidRPr="002D4F05">
              <w:rPr>
                <w:sz w:val="20"/>
              </w:rPr>
              <w:t>Interactive web response system</w:t>
            </w:r>
          </w:p>
        </w:tc>
      </w:tr>
      <w:tr w:rsidR="00DC6D8B" w:rsidRPr="002D4F05" w:rsidTr="00047C46">
        <w:tc>
          <w:tcPr>
            <w:tcW w:w="1883" w:type="dxa"/>
          </w:tcPr>
          <w:p w:rsidR="00DC6D8B" w:rsidRPr="002D4F05" w:rsidRDefault="00DC6D8B" w:rsidP="002D4F05">
            <w:pPr>
              <w:rPr>
                <w:sz w:val="20"/>
              </w:rPr>
            </w:pPr>
            <w:r w:rsidRPr="002D4F05">
              <w:rPr>
                <w:sz w:val="20"/>
              </w:rPr>
              <w:t>LOCF</w:t>
            </w:r>
          </w:p>
        </w:tc>
        <w:tc>
          <w:tcPr>
            <w:tcW w:w="6837" w:type="dxa"/>
          </w:tcPr>
          <w:p w:rsidR="00DC6D8B" w:rsidRPr="002D4F05" w:rsidRDefault="00DC6D8B" w:rsidP="002D4F05">
            <w:pPr>
              <w:rPr>
                <w:sz w:val="20"/>
              </w:rPr>
            </w:pPr>
            <w:r w:rsidRPr="002D4F05">
              <w:rPr>
                <w:sz w:val="20"/>
              </w:rPr>
              <w:t>Last observation carried forward</w:t>
            </w:r>
          </w:p>
        </w:tc>
      </w:tr>
      <w:tr w:rsidR="00DC6D8B" w:rsidRPr="002D4F05" w:rsidTr="00047C46">
        <w:tc>
          <w:tcPr>
            <w:tcW w:w="1883" w:type="dxa"/>
          </w:tcPr>
          <w:p w:rsidR="00DC6D8B" w:rsidRPr="002D4F05" w:rsidRDefault="00DC6D8B" w:rsidP="002D4F05">
            <w:pPr>
              <w:rPr>
                <w:sz w:val="20"/>
              </w:rPr>
            </w:pPr>
            <w:r w:rsidRPr="002D4F05">
              <w:rPr>
                <w:sz w:val="20"/>
              </w:rPr>
              <w:t>LFT</w:t>
            </w:r>
          </w:p>
        </w:tc>
        <w:tc>
          <w:tcPr>
            <w:tcW w:w="6837" w:type="dxa"/>
          </w:tcPr>
          <w:p w:rsidR="00DC6D8B" w:rsidRPr="002D4F05" w:rsidRDefault="00DC6D8B" w:rsidP="002D4F05">
            <w:pPr>
              <w:rPr>
                <w:sz w:val="20"/>
              </w:rPr>
            </w:pPr>
            <w:r w:rsidRPr="002D4F05">
              <w:rPr>
                <w:sz w:val="20"/>
              </w:rPr>
              <w:t>Liver function test</w:t>
            </w:r>
          </w:p>
        </w:tc>
      </w:tr>
      <w:tr w:rsidR="00DC6D8B" w:rsidRPr="002D4F05" w:rsidTr="00047C46">
        <w:tc>
          <w:tcPr>
            <w:tcW w:w="1883" w:type="dxa"/>
          </w:tcPr>
          <w:p w:rsidR="00DC6D8B" w:rsidRPr="002D4F05" w:rsidRDefault="00DC6D8B" w:rsidP="002D4F05">
            <w:pPr>
              <w:rPr>
                <w:sz w:val="20"/>
              </w:rPr>
            </w:pPr>
            <w:r w:rsidRPr="002D4F05">
              <w:rPr>
                <w:sz w:val="20"/>
              </w:rPr>
              <w:t>M</w:t>
            </w:r>
          </w:p>
        </w:tc>
        <w:tc>
          <w:tcPr>
            <w:tcW w:w="6837" w:type="dxa"/>
          </w:tcPr>
          <w:p w:rsidR="00DC6D8B" w:rsidRPr="002D4F05" w:rsidRDefault="00DC6D8B" w:rsidP="002D4F05">
            <w:pPr>
              <w:rPr>
                <w:sz w:val="20"/>
              </w:rPr>
            </w:pPr>
            <w:r w:rsidRPr="002D4F05">
              <w:rPr>
                <w:sz w:val="20"/>
              </w:rPr>
              <w:t>Male</w:t>
            </w:r>
          </w:p>
        </w:tc>
      </w:tr>
      <w:tr w:rsidR="00DC6D8B" w:rsidRPr="002D4F05" w:rsidTr="00047C46">
        <w:tc>
          <w:tcPr>
            <w:tcW w:w="1883" w:type="dxa"/>
          </w:tcPr>
          <w:p w:rsidR="00DC6D8B" w:rsidRPr="002D4F05" w:rsidRDefault="00DC6D8B" w:rsidP="002D4F05">
            <w:pPr>
              <w:rPr>
                <w:sz w:val="20"/>
              </w:rPr>
            </w:pPr>
            <w:r w:rsidRPr="002D4F05">
              <w:rPr>
                <w:sz w:val="20"/>
              </w:rPr>
              <w:lastRenderedPageBreak/>
              <w:t>MASES</w:t>
            </w:r>
          </w:p>
        </w:tc>
        <w:tc>
          <w:tcPr>
            <w:tcW w:w="6837" w:type="dxa"/>
          </w:tcPr>
          <w:p w:rsidR="00DC6D8B" w:rsidRPr="002D4F05" w:rsidRDefault="00DC6D8B" w:rsidP="002D4F05">
            <w:pPr>
              <w:rPr>
                <w:sz w:val="20"/>
              </w:rPr>
            </w:pPr>
            <w:r w:rsidRPr="002D4F05">
              <w:rPr>
                <w:sz w:val="20"/>
              </w:rPr>
              <w:t xml:space="preserve">Maastricht </w:t>
            </w:r>
            <w:proofErr w:type="spellStart"/>
            <w:r w:rsidRPr="002D4F05">
              <w:rPr>
                <w:sz w:val="20"/>
              </w:rPr>
              <w:t>Ankylosing</w:t>
            </w:r>
            <w:proofErr w:type="spellEnd"/>
            <w:r w:rsidRPr="002D4F05">
              <w:rPr>
                <w:sz w:val="20"/>
              </w:rPr>
              <w:t xml:space="preserve"> Spondylitis </w:t>
            </w:r>
            <w:proofErr w:type="spellStart"/>
            <w:r w:rsidRPr="002D4F05">
              <w:rPr>
                <w:sz w:val="20"/>
              </w:rPr>
              <w:t>Enthesitis</w:t>
            </w:r>
            <w:proofErr w:type="spellEnd"/>
            <w:r w:rsidRPr="002D4F05">
              <w:rPr>
                <w:sz w:val="20"/>
              </w:rPr>
              <w:t xml:space="preserve"> Score</w:t>
            </w:r>
          </w:p>
        </w:tc>
      </w:tr>
      <w:tr w:rsidR="00DC6D8B" w:rsidRPr="002D4F05" w:rsidTr="00047C46">
        <w:tc>
          <w:tcPr>
            <w:tcW w:w="1883" w:type="dxa"/>
          </w:tcPr>
          <w:p w:rsidR="00DC6D8B" w:rsidRPr="002D4F05" w:rsidRDefault="00DC6D8B" w:rsidP="002D4F05">
            <w:pPr>
              <w:rPr>
                <w:sz w:val="20"/>
              </w:rPr>
            </w:pPr>
            <w:r w:rsidRPr="002D4F05">
              <w:rPr>
                <w:sz w:val="20"/>
              </w:rPr>
              <w:t>MedDRA</w:t>
            </w:r>
          </w:p>
        </w:tc>
        <w:tc>
          <w:tcPr>
            <w:tcW w:w="6837" w:type="dxa"/>
          </w:tcPr>
          <w:p w:rsidR="00DC6D8B" w:rsidRPr="002D4F05" w:rsidRDefault="00DC6D8B" w:rsidP="002D4F05">
            <w:pPr>
              <w:rPr>
                <w:sz w:val="20"/>
              </w:rPr>
            </w:pPr>
            <w:r w:rsidRPr="002D4F05">
              <w:rPr>
                <w:sz w:val="20"/>
              </w:rPr>
              <w:t>Medical Dictionary for Regulatory Activities</w:t>
            </w:r>
          </w:p>
        </w:tc>
      </w:tr>
      <w:tr w:rsidR="00DC6D8B" w:rsidRPr="002D4F05" w:rsidTr="00047C46">
        <w:tc>
          <w:tcPr>
            <w:tcW w:w="1883" w:type="dxa"/>
          </w:tcPr>
          <w:p w:rsidR="00DC6D8B" w:rsidRPr="002D4F05" w:rsidRDefault="00DC6D8B" w:rsidP="002D4F05">
            <w:pPr>
              <w:rPr>
                <w:sz w:val="20"/>
              </w:rPr>
            </w:pPr>
            <w:r w:rsidRPr="002D4F05">
              <w:rPr>
                <w:sz w:val="20"/>
              </w:rPr>
              <w:t>MI</w:t>
            </w:r>
          </w:p>
        </w:tc>
        <w:tc>
          <w:tcPr>
            <w:tcW w:w="6837" w:type="dxa"/>
          </w:tcPr>
          <w:p w:rsidR="00DC6D8B" w:rsidRPr="002D4F05" w:rsidRDefault="00DC6D8B" w:rsidP="002D4F05">
            <w:pPr>
              <w:rPr>
                <w:sz w:val="20"/>
              </w:rPr>
            </w:pPr>
            <w:r w:rsidRPr="002D4F05">
              <w:rPr>
                <w:sz w:val="20"/>
              </w:rPr>
              <w:t>Myocardial infarction</w:t>
            </w:r>
          </w:p>
        </w:tc>
      </w:tr>
      <w:tr w:rsidR="00DC6D8B" w:rsidRPr="002D4F05" w:rsidTr="00047C46">
        <w:tc>
          <w:tcPr>
            <w:tcW w:w="1883" w:type="dxa"/>
          </w:tcPr>
          <w:p w:rsidR="00DC6D8B" w:rsidRPr="002D4F05" w:rsidRDefault="00DC6D8B" w:rsidP="002D4F05">
            <w:pPr>
              <w:rPr>
                <w:sz w:val="20"/>
              </w:rPr>
            </w:pPr>
            <w:r w:rsidRPr="002D4F05">
              <w:rPr>
                <w:sz w:val="20"/>
              </w:rPr>
              <w:t>MMP-3</w:t>
            </w:r>
          </w:p>
        </w:tc>
        <w:tc>
          <w:tcPr>
            <w:tcW w:w="6837" w:type="dxa"/>
          </w:tcPr>
          <w:p w:rsidR="00DC6D8B" w:rsidRPr="002D4F05" w:rsidRDefault="00DC6D8B" w:rsidP="002D4F05">
            <w:pPr>
              <w:rPr>
                <w:sz w:val="20"/>
              </w:rPr>
            </w:pPr>
            <w:r w:rsidRPr="002D4F05">
              <w:rPr>
                <w:sz w:val="20"/>
              </w:rPr>
              <w:t>Matrix metalloproteinase 3</w:t>
            </w:r>
          </w:p>
        </w:tc>
      </w:tr>
      <w:tr w:rsidR="00DC6D8B" w:rsidRPr="002D4F05" w:rsidTr="00047C46">
        <w:tc>
          <w:tcPr>
            <w:tcW w:w="1883" w:type="dxa"/>
          </w:tcPr>
          <w:p w:rsidR="00DC6D8B" w:rsidRPr="002D4F05" w:rsidRDefault="00DC6D8B" w:rsidP="002D4F05">
            <w:pPr>
              <w:rPr>
                <w:sz w:val="20"/>
              </w:rPr>
            </w:pPr>
            <w:r w:rsidRPr="002D4F05">
              <w:rPr>
                <w:sz w:val="20"/>
              </w:rPr>
              <w:t>MOS</w:t>
            </w:r>
          </w:p>
        </w:tc>
        <w:tc>
          <w:tcPr>
            <w:tcW w:w="6837" w:type="dxa"/>
          </w:tcPr>
          <w:p w:rsidR="00DC6D8B" w:rsidRPr="002D4F05" w:rsidRDefault="00DC6D8B" w:rsidP="002D4F05">
            <w:pPr>
              <w:rPr>
                <w:sz w:val="20"/>
              </w:rPr>
            </w:pPr>
            <w:r w:rsidRPr="002D4F05">
              <w:rPr>
                <w:sz w:val="20"/>
              </w:rPr>
              <w:t>Medical outcomes study</w:t>
            </w:r>
          </w:p>
        </w:tc>
      </w:tr>
      <w:tr w:rsidR="00DC6D8B" w:rsidRPr="002D4F05" w:rsidTr="00047C46">
        <w:tc>
          <w:tcPr>
            <w:tcW w:w="1883" w:type="dxa"/>
          </w:tcPr>
          <w:p w:rsidR="00DC6D8B" w:rsidRPr="002D4F05" w:rsidRDefault="00DC6D8B" w:rsidP="002D4F05">
            <w:pPr>
              <w:rPr>
                <w:sz w:val="20"/>
              </w:rPr>
            </w:pPr>
            <w:r w:rsidRPr="002D4F05">
              <w:rPr>
                <w:sz w:val="20"/>
              </w:rPr>
              <w:t>MRI</w:t>
            </w:r>
          </w:p>
        </w:tc>
        <w:tc>
          <w:tcPr>
            <w:tcW w:w="6837" w:type="dxa"/>
          </w:tcPr>
          <w:p w:rsidR="00DC6D8B" w:rsidRPr="002D4F05" w:rsidRDefault="00DC6D8B" w:rsidP="002D4F05">
            <w:pPr>
              <w:rPr>
                <w:sz w:val="20"/>
              </w:rPr>
            </w:pPr>
            <w:r w:rsidRPr="002D4F05">
              <w:rPr>
                <w:sz w:val="20"/>
              </w:rPr>
              <w:t>Magnetic resonance imaging</w:t>
            </w:r>
          </w:p>
        </w:tc>
      </w:tr>
      <w:tr w:rsidR="00DC6D8B" w:rsidRPr="002D4F05" w:rsidTr="00047C46">
        <w:tc>
          <w:tcPr>
            <w:tcW w:w="1883" w:type="dxa"/>
          </w:tcPr>
          <w:p w:rsidR="00DC6D8B" w:rsidRPr="002D4F05" w:rsidRDefault="00DC6D8B" w:rsidP="002D4F05">
            <w:pPr>
              <w:rPr>
                <w:sz w:val="20"/>
              </w:rPr>
            </w:pPr>
            <w:r w:rsidRPr="002D4F05">
              <w:rPr>
                <w:sz w:val="20"/>
              </w:rPr>
              <w:t>MTX</w:t>
            </w:r>
          </w:p>
        </w:tc>
        <w:tc>
          <w:tcPr>
            <w:tcW w:w="6837" w:type="dxa"/>
          </w:tcPr>
          <w:p w:rsidR="00DC6D8B" w:rsidRPr="002D4F05" w:rsidRDefault="00DC6D8B" w:rsidP="002D4F05">
            <w:pPr>
              <w:rPr>
                <w:sz w:val="20"/>
              </w:rPr>
            </w:pPr>
            <w:r w:rsidRPr="002D4F05">
              <w:rPr>
                <w:sz w:val="20"/>
              </w:rPr>
              <w:t>Methotrexate</w:t>
            </w:r>
          </w:p>
        </w:tc>
      </w:tr>
      <w:tr w:rsidR="00DC6D8B" w:rsidRPr="002D4F05" w:rsidTr="00047C46">
        <w:tc>
          <w:tcPr>
            <w:tcW w:w="1883" w:type="dxa"/>
          </w:tcPr>
          <w:p w:rsidR="00DC6D8B" w:rsidRPr="002D4F05" w:rsidRDefault="00DC6D8B" w:rsidP="002D4F05">
            <w:pPr>
              <w:rPr>
                <w:sz w:val="20"/>
              </w:rPr>
            </w:pPr>
            <w:r w:rsidRPr="002D4F05">
              <w:rPr>
                <w:sz w:val="20"/>
              </w:rPr>
              <w:t>NMSC</w:t>
            </w:r>
          </w:p>
        </w:tc>
        <w:tc>
          <w:tcPr>
            <w:tcW w:w="6837" w:type="dxa"/>
          </w:tcPr>
          <w:p w:rsidR="00DC6D8B" w:rsidRPr="002D4F05" w:rsidRDefault="00DC6D8B" w:rsidP="002D4F05">
            <w:pPr>
              <w:rPr>
                <w:sz w:val="20"/>
              </w:rPr>
            </w:pPr>
            <w:r w:rsidRPr="002D4F05">
              <w:rPr>
                <w:sz w:val="20"/>
              </w:rPr>
              <w:t>Non-melanoma skin cancer</w:t>
            </w:r>
          </w:p>
        </w:tc>
      </w:tr>
      <w:tr w:rsidR="00DC6D8B" w:rsidRPr="002D4F05" w:rsidTr="00047C46">
        <w:tc>
          <w:tcPr>
            <w:tcW w:w="1883" w:type="dxa"/>
          </w:tcPr>
          <w:p w:rsidR="00DC6D8B" w:rsidRPr="002D4F05" w:rsidRDefault="00DC6D8B" w:rsidP="002D4F05">
            <w:pPr>
              <w:rPr>
                <w:sz w:val="20"/>
              </w:rPr>
            </w:pPr>
            <w:r w:rsidRPr="002D4F05">
              <w:rPr>
                <w:sz w:val="20"/>
              </w:rPr>
              <w:t>nr-</w:t>
            </w:r>
            <w:proofErr w:type="spellStart"/>
            <w:r w:rsidRPr="002D4F05">
              <w:rPr>
                <w:sz w:val="20"/>
              </w:rPr>
              <w:t>axSpA</w:t>
            </w:r>
            <w:proofErr w:type="spellEnd"/>
          </w:p>
        </w:tc>
        <w:tc>
          <w:tcPr>
            <w:tcW w:w="6837" w:type="dxa"/>
          </w:tcPr>
          <w:p w:rsidR="00DC6D8B" w:rsidRPr="002D4F05" w:rsidRDefault="00DC6D8B" w:rsidP="002D4F05">
            <w:pPr>
              <w:rPr>
                <w:sz w:val="20"/>
              </w:rPr>
            </w:pPr>
            <w:r w:rsidRPr="002D4F05">
              <w:rPr>
                <w:sz w:val="20"/>
              </w:rPr>
              <w:t xml:space="preserve">Non-radiographic axial </w:t>
            </w:r>
            <w:proofErr w:type="spellStart"/>
            <w:r w:rsidRPr="002D4F05">
              <w:rPr>
                <w:sz w:val="20"/>
              </w:rPr>
              <w:t>SpA</w:t>
            </w:r>
            <w:proofErr w:type="spellEnd"/>
          </w:p>
        </w:tc>
      </w:tr>
      <w:tr w:rsidR="00DC6D8B" w:rsidRPr="002D4F05" w:rsidTr="00047C46">
        <w:tc>
          <w:tcPr>
            <w:tcW w:w="1883" w:type="dxa"/>
          </w:tcPr>
          <w:p w:rsidR="00DC6D8B" w:rsidRPr="002D4F05" w:rsidRDefault="00DC6D8B" w:rsidP="002D4F05">
            <w:pPr>
              <w:rPr>
                <w:sz w:val="20"/>
              </w:rPr>
            </w:pPr>
            <w:r w:rsidRPr="002D4F05">
              <w:rPr>
                <w:sz w:val="20"/>
              </w:rPr>
              <w:t>NRI</w:t>
            </w:r>
          </w:p>
        </w:tc>
        <w:tc>
          <w:tcPr>
            <w:tcW w:w="6837" w:type="dxa"/>
          </w:tcPr>
          <w:p w:rsidR="00DC6D8B" w:rsidRPr="002D4F05" w:rsidRDefault="00DC6D8B" w:rsidP="002D4F05">
            <w:pPr>
              <w:rPr>
                <w:sz w:val="20"/>
              </w:rPr>
            </w:pPr>
            <w:r w:rsidRPr="002D4F05">
              <w:rPr>
                <w:sz w:val="20"/>
              </w:rPr>
              <w:t>Non-responder imputation</w:t>
            </w:r>
          </w:p>
        </w:tc>
      </w:tr>
      <w:tr w:rsidR="00DC6D8B" w:rsidRPr="002D4F05" w:rsidTr="00047C46">
        <w:tc>
          <w:tcPr>
            <w:tcW w:w="1883" w:type="dxa"/>
          </w:tcPr>
          <w:p w:rsidR="00DC6D8B" w:rsidRPr="002D4F05" w:rsidRDefault="00DC6D8B" w:rsidP="002D4F05">
            <w:pPr>
              <w:rPr>
                <w:sz w:val="20"/>
              </w:rPr>
            </w:pPr>
            <w:r w:rsidRPr="002D4F05">
              <w:rPr>
                <w:sz w:val="20"/>
              </w:rPr>
              <w:t>NSAID</w:t>
            </w:r>
          </w:p>
        </w:tc>
        <w:tc>
          <w:tcPr>
            <w:tcW w:w="6837" w:type="dxa"/>
          </w:tcPr>
          <w:p w:rsidR="00DC6D8B" w:rsidRPr="002D4F05" w:rsidRDefault="00DC6D8B" w:rsidP="002D4F05">
            <w:pPr>
              <w:rPr>
                <w:sz w:val="20"/>
              </w:rPr>
            </w:pPr>
            <w:proofErr w:type="spellStart"/>
            <w:r w:rsidRPr="002D4F05">
              <w:rPr>
                <w:sz w:val="20"/>
              </w:rPr>
              <w:t>Nonsteroidal</w:t>
            </w:r>
            <w:proofErr w:type="spellEnd"/>
            <w:r w:rsidRPr="002D4F05">
              <w:rPr>
                <w:sz w:val="20"/>
              </w:rPr>
              <w:t xml:space="preserve"> anti-inflammatory drug</w:t>
            </w:r>
          </w:p>
        </w:tc>
      </w:tr>
      <w:tr w:rsidR="00DC6D8B" w:rsidRPr="002D4F05" w:rsidTr="00047C46">
        <w:tc>
          <w:tcPr>
            <w:tcW w:w="1883" w:type="dxa"/>
          </w:tcPr>
          <w:p w:rsidR="00DC6D8B" w:rsidRPr="002D4F05" w:rsidRDefault="00DC6D8B" w:rsidP="002D4F05">
            <w:pPr>
              <w:rPr>
                <w:sz w:val="20"/>
              </w:rPr>
            </w:pPr>
            <w:r w:rsidRPr="002D4F05">
              <w:rPr>
                <w:sz w:val="20"/>
              </w:rPr>
              <w:t>NYHA</w:t>
            </w:r>
          </w:p>
        </w:tc>
        <w:tc>
          <w:tcPr>
            <w:tcW w:w="6837" w:type="dxa"/>
          </w:tcPr>
          <w:p w:rsidR="00DC6D8B" w:rsidRPr="002D4F05" w:rsidRDefault="00DC6D8B" w:rsidP="002D4F05">
            <w:pPr>
              <w:rPr>
                <w:sz w:val="20"/>
              </w:rPr>
            </w:pPr>
            <w:r w:rsidRPr="002D4F05">
              <w:rPr>
                <w:sz w:val="20"/>
              </w:rPr>
              <w:t>New York Heart Association</w:t>
            </w:r>
          </w:p>
        </w:tc>
      </w:tr>
      <w:tr w:rsidR="00DC6D8B" w:rsidRPr="002D4F05" w:rsidTr="00047C46">
        <w:tc>
          <w:tcPr>
            <w:tcW w:w="1883" w:type="dxa"/>
          </w:tcPr>
          <w:p w:rsidR="00DC6D8B" w:rsidRPr="002D4F05" w:rsidRDefault="00DC6D8B" w:rsidP="002D4F05">
            <w:pPr>
              <w:rPr>
                <w:sz w:val="20"/>
              </w:rPr>
            </w:pPr>
            <w:r w:rsidRPr="002D4F05">
              <w:rPr>
                <w:sz w:val="20"/>
              </w:rPr>
              <w:t>OC</w:t>
            </w:r>
          </w:p>
        </w:tc>
        <w:tc>
          <w:tcPr>
            <w:tcW w:w="6837" w:type="dxa"/>
          </w:tcPr>
          <w:p w:rsidR="00DC6D8B" w:rsidRPr="002D4F05" w:rsidRDefault="00DC6D8B" w:rsidP="002D4F05">
            <w:pPr>
              <w:rPr>
                <w:sz w:val="20"/>
              </w:rPr>
            </w:pPr>
            <w:r w:rsidRPr="002D4F05">
              <w:rPr>
                <w:sz w:val="20"/>
              </w:rPr>
              <w:t>Observed case</w:t>
            </w:r>
          </w:p>
        </w:tc>
      </w:tr>
      <w:tr w:rsidR="00DC6D8B" w:rsidRPr="002D4F05" w:rsidTr="00047C46">
        <w:tc>
          <w:tcPr>
            <w:tcW w:w="1883" w:type="dxa"/>
          </w:tcPr>
          <w:p w:rsidR="00DC6D8B" w:rsidRPr="002D4F05" w:rsidRDefault="00DC6D8B" w:rsidP="002D4F05">
            <w:pPr>
              <w:rPr>
                <w:sz w:val="20"/>
              </w:rPr>
            </w:pPr>
            <w:r w:rsidRPr="002D4F05">
              <w:rPr>
                <w:sz w:val="20"/>
              </w:rPr>
              <w:t>OL</w:t>
            </w:r>
          </w:p>
        </w:tc>
        <w:tc>
          <w:tcPr>
            <w:tcW w:w="6837" w:type="dxa"/>
          </w:tcPr>
          <w:p w:rsidR="00DC6D8B" w:rsidRPr="002D4F05" w:rsidRDefault="00DC6D8B" w:rsidP="002D4F05">
            <w:pPr>
              <w:rPr>
                <w:sz w:val="20"/>
              </w:rPr>
            </w:pPr>
            <w:r w:rsidRPr="002D4F05">
              <w:rPr>
                <w:sz w:val="20"/>
              </w:rPr>
              <w:t>Open-label</w:t>
            </w:r>
          </w:p>
        </w:tc>
      </w:tr>
      <w:tr w:rsidR="00DC6D8B" w:rsidRPr="002D4F05" w:rsidTr="00047C46">
        <w:tc>
          <w:tcPr>
            <w:tcW w:w="1883" w:type="dxa"/>
          </w:tcPr>
          <w:p w:rsidR="00DC6D8B" w:rsidRPr="002D4F05" w:rsidRDefault="00DC6D8B" w:rsidP="002D4F05">
            <w:pPr>
              <w:rPr>
                <w:sz w:val="20"/>
              </w:rPr>
            </w:pPr>
            <w:r w:rsidRPr="002D4F05">
              <w:rPr>
                <w:sz w:val="20"/>
              </w:rPr>
              <w:t>PA</w:t>
            </w:r>
          </w:p>
        </w:tc>
        <w:tc>
          <w:tcPr>
            <w:tcW w:w="6837" w:type="dxa"/>
          </w:tcPr>
          <w:p w:rsidR="00DC6D8B" w:rsidRPr="002D4F05" w:rsidRDefault="00DC6D8B" w:rsidP="002D4F05">
            <w:pPr>
              <w:rPr>
                <w:sz w:val="20"/>
              </w:rPr>
            </w:pPr>
            <w:r w:rsidRPr="002D4F05">
              <w:rPr>
                <w:sz w:val="20"/>
              </w:rPr>
              <w:t>Posterior-anterior</w:t>
            </w:r>
          </w:p>
        </w:tc>
      </w:tr>
      <w:tr w:rsidR="00DC6D8B" w:rsidRPr="002D4F05" w:rsidTr="00047C46">
        <w:tc>
          <w:tcPr>
            <w:tcW w:w="1883" w:type="dxa"/>
          </w:tcPr>
          <w:p w:rsidR="00DC6D8B" w:rsidRPr="002D4F05" w:rsidRDefault="00DC6D8B" w:rsidP="002D4F05">
            <w:pPr>
              <w:rPr>
                <w:sz w:val="20"/>
              </w:rPr>
            </w:pPr>
            <w:r w:rsidRPr="002D4F05">
              <w:rPr>
                <w:sz w:val="20"/>
              </w:rPr>
              <w:t>PASS</w:t>
            </w:r>
          </w:p>
        </w:tc>
        <w:tc>
          <w:tcPr>
            <w:tcW w:w="6837" w:type="dxa"/>
          </w:tcPr>
          <w:p w:rsidR="00DC6D8B" w:rsidRPr="002D4F05" w:rsidRDefault="00DC6D8B" w:rsidP="002D4F05">
            <w:pPr>
              <w:rPr>
                <w:sz w:val="20"/>
              </w:rPr>
            </w:pPr>
            <w:r w:rsidRPr="002D4F05">
              <w:rPr>
                <w:sz w:val="20"/>
              </w:rPr>
              <w:t>Patient acceptable symptom state</w:t>
            </w:r>
          </w:p>
        </w:tc>
      </w:tr>
      <w:tr w:rsidR="00DC6D8B" w:rsidRPr="002D4F05" w:rsidTr="00047C46">
        <w:tc>
          <w:tcPr>
            <w:tcW w:w="1883" w:type="dxa"/>
          </w:tcPr>
          <w:p w:rsidR="00DC6D8B" w:rsidRPr="002D4F05" w:rsidRDefault="00DC6D8B" w:rsidP="002D4F05">
            <w:pPr>
              <w:rPr>
                <w:sz w:val="20"/>
              </w:rPr>
            </w:pPr>
            <w:r w:rsidRPr="002D4F05">
              <w:rPr>
                <w:sz w:val="20"/>
              </w:rPr>
              <w:t>PGA</w:t>
            </w:r>
          </w:p>
        </w:tc>
        <w:tc>
          <w:tcPr>
            <w:tcW w:w="6837" w:type="dxa"/>
          </w:tcPr>
          <w:p w:rsidR="00DC6D8B" w:rsidRPr="002D4F05" w:rsidRDefault="00DC6D8B" w:rsidP="002D4F05">
            <w:pPr>
              <w:rPr>
                <w:sz w:val="20"/>
              </w:rPr>
            </w:pPr>
            <w:r w:rsidRPr="002D4F05">
              <w:rPr>
                <w:sz w:val="20"/>
              </w:rPr>
              <w:t>Physician's Global Assessment of Disease Activity</w:t>
            </w:r>
          </w:p>
        </w:tc>
      </w:tr>
      <w:tr w:rsidR="00DC6D8B" w:rsidRPr="002D4F05" w:rsidTr="00047C46">
        <w:tc>
          <w:tcPr>
            <w:tcW w:w="1883" w:type="dxa"/>
          </w:tcPr>
          <w:p w:rsidR="00DC6D8B" w:rsidRPr="002D4F05" w:rsidRDefault="00DC6D8B" w:rsidP="002D4F05">
            <w:pPr>
              <w:rPr>
                <w:sz w:val="20"/>
              </w:rPr>
            </w:pPr>
            <w:r w:rsidRPr="002D4F05">
              <w:rPr>
                <w:sz w:val="20"/>
              </w:rPr>
              <w:t>PML</w:t>
            </w:r>
          </w:p>
        </w:tc>
        <w:tc>
          <w:tcPr>
            <w:tcW w:w="6837" w:type="dxa"/>
          </w:tcPr>
          <w:p w:rsidR="00DC6D8B" w:rsidRPr="002D4F05" w:rsidRDefault="00DC6D8B" w:rsidP="002D4F05">
            <w:pPr>
              <w:rPr>
                <w:sz w:val="20"/>
              </w:rPr>
            </w:pPr>
            <w:r w:rsidRPr="002D4F05">
              <w:rPr>
                <w:sz w:val="20"/>
              </w:rPr>
              <w:t>Progressive multifocal leukoencephalopathy</w:t>
            </w:r>
          </w:p>
        </w:tc>
      </w:tr>
      <w:tr w:rsidR="00DC6D8B" w:rsidRPr="002D4F05" w:rsidTr="00047C46">
        <w:tc>
          <w:tcPr>
            <w:tcW w:w="1883" w:type="dxa"/>
          </w:tcPr>
          <w:p w:rsidR="00DC6D8B" w:rsidRPr="002D4F05" w:rsidRDefault="00DC6D8B" w:rsidP="002D4F05">
            <w:pPr>
              <w:rPr>
                <w:sz w:val="20"/>
              </w:rPr>
            </w:pPr>
            <w:r w:rsidRPr="002D4F05">
              <w:rPr>
                <w:sz w:val="20"/>
              </w:rPr>
              <w:t>POR</w:t>
            </w:r>
          </w:p>
        </w:tc>
        <w:tc>
          <w:tcPr>
            <w:tcW w:w="6837" w:type="dxa"/>
          </w:tcPr>
          <w:p w:rsidR="00DC6D8B" w:rsidRPr="002D4F05" w:rsidRDefault="00DC6D8B" w:rsidP="002D4F05">
            <w:pPr>
              <w:rPr>
                <w:sz w:val="20"/>
              </w:rPr>
            </w:pPr>
            <w:r w:rsidRPr="002D4F05">
              <w:rPr>
                <w:sz w:val="20"/>
              </w:rPr>
              <w:t>Proof of receipt</w:t>
            </w:r>
          </w:p>
        </w:tc>
      </w:tr>
      <w:tr w:rsidR="00DC6D8B" w:rsidRPr="002D4F05" w:rsidTr="00047C46">
        <w:tc>
          <w:tcPr>
            <w:tcW w:w="1883" w:type="dxa"/>
          </w:tcPr>
          <w:p w:rsidR="00DC6D8B" w:rsidRPr="002D4F05" w:rsidRDefault="00DC6D8B" w:rsidP="002D4F05">
            <w:pPr>
              <w:rPr>
                <w:sz w:val="20"/>
              </w:rPr>
            </w:pPr>
            <w:r w:rsidRPr="002D4F05">
              <w:rPr>
                <w:sz w:val="20"/>
              </w:rPr>
              <w:t>PPD</w:t>
            </w:r>
          </w:p>
        </w:tc>
        <w:tc>
          <w:tcPr>
            <w:tcW w:w="6837" w:type="dxa"/>
          </w:tcPr>
          <w:p w:rsidR="00DC6D8B" w:rsidRPr="002D4F05" w:rsidRDefault="00DC6D8B" w:rsidP="002D4F05">
            <w:pPr>
              <w:rPr>
                <w:sz w:val="20"/>
              </w:rPr>
            </w:pPr>
            <w:r w:rsidRPr="002D4F05">
              <w:rPr>
                <w:sz w:val="20"/>
              </w:rPr>
              <w:t>Purified protein derivative</w:t>
            </w:r>
          </w:p>
        </w:tc>
      </w:tr>
      <w:tr w:rsidR="00DC6D8B" w:rsidRPr="002D4F05" w:rsidTr="00047C46">
        <w:tc>
          <w:tcPr>
            <w:tcW w:w="1883" w:type="dxa"/>
          </w:tcPr>
          <w:p w:rsidR="00DC6D8B" w:rsidRPr="002D4F05" w:rsidRDefault="00DC6D8B" w:rsidP="002D4F05">
            <w:pPr>
              <w:rPr>
                <w:sz w:val="20"/>
              </w:rPr>
            </w:pPr>
            <w:r w:rsidRPr="002D4F05">
              <w:rPr>
                <w:sz w:val="20"/>
              </w:rPr>
              <w:t>PPP</w:t>
            </w:r>
          </w:p>
        </w:tc>
        <w:tc>
          <w:tcPr>
            <w:tcW w:w="6837" w:type="dxa"/>
          </w:tcPr>
          <w:p w:rsidR="00DC6D8B" w:rsidRPr="002D4F05" w:rsidRDefault="00DC6D8B" w:rsidP="002D4F05">
            <w:pPr>
              <w:rPr>
                <w:sz w:val="20"/>
              </w:rPr>
            </w:pPr>
            <w:r w:rsidRPr="002D4F05">
              <w:rPr>
                <w:sz w:val="20"/>
              </w:rPr>
              <w:t>Per-protocol population</w:t>
            </w:r>
          </w:p>
        </w:tc>
      </w:tr>
      <w:tr w:rsidR="00DC6D8B" w:rsidRPr="002D4F05" w:rsidTr="00047C46">
        <w:tc>
          <w:tcPr>
            <w:tcW w:w="1883" w:type="dxa"/>
          </w:tcPr>
          <w:p w:rsidR="00DC6D8B" w:rsidRPr="002D4F05" w:rsidRDefault="00DC6D8B" w:rsidP="002D4F05">
            <w:pPr>
              <w:rPr>
                <w:sz w:val="20"/>
              </w:rPr>
            </w:pPr>
            <w:r w:rsidRPr="002D4F05">
              <w:rPr>
                <w:sz w:val="20"/>
              </w:rPr>
              <w:t>Ps</w:t>
            </w:r>
          </w:p>
        </w:tc>
        <w:tc>
          <w:tcPr>
            <w:tcW w:w="6837" w:type="dxa"/>
          </w:tcPr>
          <w:p w:rsidR="00DC6D8B" w:rsidRPr="002D4F05" w:rsidRDefault="00DC6D8B" w:rsidP="002D4F05">
            <w:pPr>
              <w:rPr>
                <w:sz w:val="20"/>
              </w:rPr>
            </w:pPr>
            <w:r w:rsidRPr="002D4F05">
              <w:rPr>
                <w:sz w:val="20"/>
              </w:rPr>
              <w:t>Psoriasis</w:t>
            </w:r>
          </w:p>
        </w:tc>
      </w:tr>
      <w:tr w:rsidR="00DC6D8B" w:rsidRPr="002D4F05" w:rsidTr="00047C46">
        <w:tc>
          <w:tcPr>
            <w:tcW w:w="1883" w:type="dxa"/>
          </w:tcPr>
          <w:p w:rsidR="00DC6D8B" w:rsidRPr="002D4F05" w:rsidRDefault="00DC6D8B" w:rsidP="002D4F05">
            <w:pPr>
              <w:rPr>
                <w:sz w:val="20"/>
              </w:rPr>
            </w:pPr>
            <w:proofErr w:type="spellStart"/>
            <w:r w:rsidRPr="002D4F05">
              <w:rPr>
                <w:sz w:val="20"/>
              </w:rPr>
              <w:t>PsA</w:t>
            </w:r>
            <w:proofErr w:type="spellEnd"/>
          </w:p>
        </w:tc>
        <w:tc>
          <w:tcPr>
            <w:tcW w:w="6837" w:type="dxa"/>
          </w:tcPr>
          <w:p w:rsidR="00DC6D8B" w:rsidRPr="002D4F05" w:rsidRDefault="00DC6D8B" w:rsidP="002D4F05">
            <w:pPr>
              <w:rPr>
                <w:sz w:val="20"/>
              </w:rPr>
            </w:pPr>
            <w:r w:rsidRPr="002D4F05">
              <w:rPr>
                <w:sz w:val="20"/>
              </w:rPr>
              <w:t>Psoriatic arthritis</w:t>
            </w:r>
          </w:p>
        </w:tc>
      </w:tr>
      <w:tr w:rsidR="00DC6D8B" w:rsidRPr="002D4F05" w:rsidTr="00047C46">
        <w:tc>
          <w:tcPr>
            <w:tcW w:w="1883" w:type="dxa"/>
          </w:tcPr>
          <w:p w:rsidR="00DC6D8B" w:rsidRPr="002D4F05" w:rsidRDefault="00DC6D8B" w:rsidP="002D4F05">
            <w:pPr>
              <w:rPr>
                <w:sz w:val="20"/>
              </w:rPr>
            </w:pPr>
            <w:r w:rsidRPr="002D4F05">
              <w:rPr>
                <w:sz w:val="20"/>
              </w:rPr>
              <w:t>PT</w:t>
            </w:r>
          </w:p>
        </w:tc>
        <w:tc>
          <w:tcPr>
            <w:tcW w:w="6837" w:type="dxa"/>
          </w:tcPr>
          <w:p w:rsidR="00DC6D8B" w:rsidRPr="002D4F05" w:rsidRDefault="00DC6D8B" w:rsidP="002D4F05">
            <w:pPr>
              <w:rPr>
                <w:sz w:val="20"/>
              </w:rPr>
            </w:pPr>
            <w:r w:rsidRPr="002D4F05">
              <w:rPr>
                <w:sz w:val="20"/>
              </w:rPr>
              <w:t>Preferred term</w:t>
            </w:r>
          </w:p>
        </w:tc>
      </w:tr>
      <w:tr w:rsidR="00DC6D8B" w:rsidRPr="002D4F05" w:rsidTr="00047C46">
        <w:tc>
          <w:tcPr>
            <w:tcW w:w="1883" w:type="dxa"/>
          </w:tcPr>
          <w:p w:rsidR="00DC6D8B" w:rsidRPr="002D4F05" w:rsidRDefault="00DC6D8B" w:rsidP="002D4F05">
            <w:pPr>
              <w:rPr>
                <w:sz w:val="20"/>
              </w:rPr>
            </w:pPr>
            <w:r w:rsidRPr="002D4F05">
              <w:rPr>
                <w:sz w:val="20"/>
              </w:rPr>
              <w:t>PTGA</w:t>
            </w:r>
          </w:p>
        </w:tc>
        <w:tc>
          <w:tcPr>
            <w:tcW w:w="6837" w:type="dxa"/>
          </w:tcPr>
          <w:p w:rsidR="00DC6D8B" w:rsidRPr="002D4F05" w:rsidRDefault="00DC6D8B" w:rsidP="002D4F05">
            <w:pPr>
              <w:rPr>
                <w:sz w:val="20"/>
              </w:rPr>
            </w:pPr>
            <w:r w:rsidRPr="002D4F05">
              <w:rPr>
                <w:sz w:val="20"/>
              </w:rPr>
              <w:t>Patient's Global Assessment</w:t>
            </w:r>
          </w:p>
        </w:tc>
      </w:tr>
      <w:tr w:rsidR="00DC6D8B" w:rsidRPr="002D4F05" w:rsidTr="00047C46">
        <w:tc>
          <w:tcPr>
            <w:tcW w:w="1883" w:type="dxa"/>
          </w:tcPr>
          <w:p w:rsidR="00DC6D8B" w:rsidRPr="002D4F05" w:rsidRDefault="00DC6D8B" w:rsidP="002D4F05">
            <w:pPr>
              <w:rPr>
                <w:sz w:val="20"/>
              </w:rPr>
            </w:pPr>
            <w:r w:rsidRPr="002D4F05">
              <w:rPr>
                <w:sz w:val="20"/>
              </w:rPr>
              <w:t>PY</w:t>
            </w:r>
          </w:p>
        </w:tc>
        <w:tc>
          <w:tcPr>
            <w:tcW w:w="6837" w:type="dxa"/>
          </w:tcPr>
          <w:p w:rsidR="00DC6D8B" w:rsidRPr="002D4F05" w:rsidRDefault="00DC6D8B" w:rsidP="002D4F05">
            <w:pPr>
              <w:rPr>
                <w:sz w:val="20"/>
              </w:rPr>
            </w:pPr>
            <w:r w:rsidRPr="002D4F05">
              <w:rPr>
                <w:sz w:val="20"/>
              </w:rPr>
              <w:t>Patient-year</w:t>
            </w:r>
          </w:p>
        </w:tc>
      </w:tr>
      <w:tr w:rsidR="00DC6D8B" w:rsidRPr="002D4F05" w:rsidTr="00047C46">
        <w:tc>
          <w:tcPr>
            <w:tcW w:w="1883" w:type="dxa"/>
          </w:tcPr>
          <w:p w:rsidR="00DC6D8B" w:rsidRPr="002D4F05" w:rsidRDefault="00DC6D8B" w:rsidP="002D4F05">
            <w:pPr>
              <w:rPr>
                <w:sz w:val="20"/>
              </w:rPr>
            </w:pPr>
            <w:r w:rsidRPr="002D4F05">
              <w:rPr>
                <w:sz w:val="20"/>
              </w:rPr>
              <w:t>RBC</w:t>
            </w:r>
          </w:p>
        </w:tc>
        <w:tc>
          <w:tcPr>
            <w:tcW w:w="6837" w:type="dxa"/>
          </w:tcPr>
          <w:p w:rsidR="00DC6D8B" w:rsidRPr="002D4F05" w:rsidRDefault="00DC6D8B" w:rsidP="002D4F05">
            <w:pPr>
              <w:rPr>
                <w:sz w:val="20"/>
              </w:rPr>
            </w:pPr>
            <w:r w:rsidRPr="002D4F05">
              <w:rPr>
                <w:sz w:val="20"/>
              </w:rPr>
              <w:t>Red blood cell</w:t>
            </w:r>
          </w:p>
        </w:tc>
      </w:tr>
      <w:tr w:rsidR="00DC6D8B" w:rsidRPr="002D4F05" w:rsidTr="00047C46">
        <w:tc>
          <w:tcPr>
            <w:tcW w:w="1883" w:type="dxa"/>
          </w:tcPr>
          <w:p w:rsidR="00DC6D8B" w:rsidRPr="002D4F05" w:rsidRDefault="00DC6D8B" w:rsidP="002D4F05">
            <w:pPr>
              <w:rPr>
                <w:sz w:val="20"/>
              </w:rPr>
            </w:pPr>
            <w:r w:rsidRPr="002D4F05">
              <w:rPr>
                <w:sz w:val="20"/>
              </w:rPr>
              <w:lastRenderedPageBreak/>
              <w:t>RPLS</w:t>
            </w:r>
          </w:p>
        </w:tc>
        <w:tc>
          <w:tcPr>
            <w:tcW w:w="6837" w:type="dxa"/>
          </w:tcPr>
          <w:p w:rsidR="00DC6D8B" w:rsidRPr="002D4F05" w:rsidRDefault="00DC6D8B" w:rsidP="002D4F05">
            <w:pPr>
              <w:rPr>
                <w:sz w:val="20"/>
              </w:rPr>
            </w:pPr>
            <w:r w:rsidRPr="002D4F05">
              <w:rPr>
                <w:sz w:val="20"/>
              </w:rPr>
              <w:t>Reversible posterior leukoencephalopathy syndrome</w:t>
            </w:r>
          </w:p>
        </w:tc>
      </w:tr>
      <w:tr w:rsidR="00DC6D8B" w:rsidRPr="002D4F05" w:rsidTr="00047C46">
        <w:tc>
          <w:tcPr>
            <w:tcW w:w="1883" w:type="dxa"/>
          </w:tcPr>
          <w:p w:rsidR="00DC6D8B" w:rsidRPr="002D4F05" w:rsidRDefault="00DC6D8B" w:rsidP="002D4F05">
            <w:pPr>
              <w:rPr>
                <w:sz w:val="20"/>
              </w:rPr>
            </w:pPr>
            <w:r w:rsidRPr="002D4F05">
              <w:rPr>
                <w:sz w:val="20"/>
              </w:rPr>
              <w:t>SAE</w:t>
            </w:r>
          </w:p>
        </w:tc>
        <w:tc>
          <w:tcPr>
            <w:tcW w:w="6837" w:type="dxa"/>
          </w:tcPr>
          <w:p w:rsidR="00DC6D8B" w:rsidRPr="002D4F05" w:rsidRDefault="00DC6D8B" w:rsidP="002D4F05">
            <w:pPr>
              <w:rPr>
                <w:sz w:val="20"/>
              </w:rPr>
            </w:pPr>
            <w:r w:rsidRPr="002D4F05">
              <w:rPr>
                <w:sz w:val="20"/>
              </w:rPr>
              <w:t>Serious adverse event</w:t>
            </w:r>
          </w:p>
        </w:tc>
      </w:tr>
      <w:tr w:rsidR="00DC6D8B" w:rsidRPr="002D4F05" w:rsidTr="00047C46">
        <w:tc>
          <w:tcPr>
            <w:tcW w:w="1883" w:type="dxa"/>
          </w:tcPr>
          <w:p w:rsidR="00DC6D8B" w:rsidRPr="002D4F05" w:rsidRDefault="00DC6D8B" w:rsidP="002D4F05">
            <w:pPr>
              <w:rPr>
                <w:sz w:val="20"/>
              </w:rPr>
            </w:pPr>
            <w:r w:rsidRPr="002D4F05">
              <w:rPr>
                <w:sz w:val="20"/>
              </w:rPr>
              <w:t>SAP</w:t>
            </w:r>
          </w:p>
        </w:tc>
        <w:tc>
          <w:tcPr>
            <w:tcW w:w="6837" w:type="dxa"/>
          </w:tcPr>
          <w:p w:rsidR="00DC6D8B" w:rsidRPr="002D4F05" w:rsidRDefault="00DC6D8B" w:rsidP="002D4F05">
            <w:pPr>
              <w:rPr>
                <w:sz w:val="20"/>
              </w:rPr>
            </w:pPr>
            <w:r w:rsidRPr="002D4F05">
              <w:rPr>
                <w:sz w:val="20"/>
              </w:rPr>
              <w:t>Statistical analysis plan</w:t>
            </w:r>
          </w:p>
        </w:tc>
      </w:tr>
      <w:tr w:rsidR="00DC6D8B" w:rsidRPr="002D4F05" w:rsidTr="00047C46">
        <w:tc>
          <w:tcPr>
            <w:tcW w:w="1883" w:type="dxa"/>
          </w:tcPr>
          <w:p w:rsidR="00DC6D8B" w:rsidRPr="002D4F05" w:rsidRDefault="00DC6D8B" w:rsidP="002D4F05">
            <w:pPr>
              <w:rPr>
                <w:sz w:val="20"/>
              </w:rPr>
            </w:pPr>
            <w:r w:rsidRPr="002D4F05">
              <w:rPr>
                <w:sz w:val="20"/>
              </w:rPr>
              <w:t>SC</w:t>
            </w:r>
          </w:p>
        </w:tc>
        <w:tc>
          <w:tcPr>
            <w:tcW w:w="6837" w:type="dxa"/>
          </w:tcPr>
          <w:p w:rsidR="00DC6D8B" w:rsidRPr="002D4F05" w:rsidRDefault="00DC6D8B" w:rsidP="002D4F05">
            <w:pPr>
              <w:rPr>
                <w:sz w:val="20"/>
              </w:rPr>
            </w:pPr>
            <w:r w:rsidRPr="002D4F05">
              <w:rPr>
                <w:sz w:val="20"/>
              </w:rPr>
              <w:t>Subcutaneous</w:t>
            </w:r>
          </w:p>
        </w:tc>
      </w:tr>
      <w:tr w:rsidR="00DC6D8B" w:rsidRPr="002D4F05" w:rsidTr="00047C46">
        <w:tc>
          <w:tcPr>
            <w:tcW w:w="1883" w:type="dxa"/>
          </w:tcPr>
          <w:p w:rsidR="00DC6D8B" w:rsidRPr="002D4F05" w:rsidRDefault="00DC6D8B" w:rsidP="002D4F05">
            <w:pPr>
              <w:rPr>
                <w:sz w:val="20"/>
              </w:rPr>
            </w:pPr>
            <w:r w:rsidRPr="002D4F05">
              <w:rPr>
                <w:sz w:val="20"/>
              </w:rPr>
              <w:t>SF-36™V2</w:t>
            </w:r>
          </w:p>
        </w:tc>
        <w:tc>
          <w:tcPr>
            <w:tcW w:w="6837" w:type="dxa"/>
          </w:tcPr>
          <w:p w:rsidR="00DC6D8B" w:rsidRPr="002D4F05" w:rsidRDefault="00DC6D8B" w:rsidP="002D4F05">
            <w:pPr>
              <w:rPr>
                <w:sz w:val="20"/>
              </w:rPr>
            </w:pPr>
            <w:r w:rsidRPr="002D4F05">
              <w:rPr>
                <w:sz w:val="20"/>
              </w:rPr>
              <w:t>Short Form-36 Health Status Survey™ Version 2</w:t>
            </w:r>
          </w:p>
        </w:tc>
      </w:tr>
      <w:tr w:rsidR="00DC6D8B" w:rsidRPr="002D4F05" w:rsidTr="00047C46">
        <w:tc>
          <w:tcPr>
            <w:tcW w:w="1883" w:type="dxa"/>
          </w:tcPr>
          <w:p w:rsidR="00DC6D8B" w:rsidRPr="002D4F05" w:rsidRDefault="00DC6D8B" w:rsidP="002D4F05">
            <w:pPr>
              <w:rPr>
                <w:sz w:val="20"/>
              </w:rPr>
            </w:pPr>
            <w:r w:rsidRPr="002D4F05">
              <w:rPr>
                <w:sz w:val="20"/>
              </w:rPr>
              <w:t>SGOT</w:t>
            </w:r>
          </w:p>
        </w:tc>
        <w:tc>
          <w:tcPr>
            <w:tcW w:w="6837" w:type="dxa"/>
          </w:tcPr>
          <w:p w:rsidR="00DC6D8B" w:rsidRPr="002D4F05" w:rsidRDefault="00DC6D8B" w:rsidP="002D4F05">
            <w:pPr>
              <w:rPr>
                <w:sz w:val="20"/>
              </w:rPr>
            </w:pPr>
            <w:r w:rsidRPr="002D4F05">
              <w:rPr>
                <w:sz w:val="20"/>
              </w:rPr>
              <w:t>Serum glutamic-oxaloacetic transaminase</w:t>
            </w:r>
          </w:p>
        </w:tc>
      </w:tr>
      <w:tr w:rsidR="00DC6D8B" w:rsidRPr="002D4F05" w:rsidTr="00047C46">
        <w:tc>
          <w:tcPr>
            <w:tcW w:w="1883" w:type="dxa"/>
          </w:tcPr>
          <w:p w:rsidR="00DC6D8B" w:rsidRPr="002D4F05" w:rsidRDefault="00DC6D8B" w:rsidP="002D4F05">
            <w:pPr>
              <w:rPr>
                <w:sz w:val="20"/>
              </w:rPr>
            </w:pPr>
            <w:r w:rsidRPr="002D4F05">
              <w:rPr>
                <w:sz w:val="20"/>
              </w:rPr>
              <w:t>SGPT</w:t>
            </w:r>
          </w:p>
        </w:tc>
        <w:tc>
          <w:tcPr>
            <w:tcW w:w="6837" w:type="dxa"/>
          </w:tcPr>
          <w:p w:rsidR="00DC6D8B" w:rsidRPr="002D4F05" w:rsidRDefault="00DC6D8B" w:rsidP="002D4F05">
            <w:pPr>
              <w:rPr>
                <w:sz w:val="20"/>
              </w:rPr>
            </w:pPr>
            <w:r w:rsidRPr="002D4F05">
              <w:rPr>
                <w:sz w:val="20"/>
              </w:rPr>
              <w:t>Serum glutamic-pyruvic transaminase</w:t>
            </w:r>
          </w:p>
        </w:tc>
      </w:tr>
      <w:tr w:rsidR="00DC6D8B" w:rsidRPr="002D4F05" w:rsidTr="00047C46">
        <w:tc>
          <w:tcPr>
            <w:tcW w:w="1883" w:type="dxa"/>
          </w:tcPr>
          <w:p w:rsidR="00DC6D8B" w:rsidRPr="002D4F05" w:rsidRDefault="00DC6D8B" w:rsidP="002D4F05">
            <w:pPr>
              <w:rPr>
                <w:sz w:val="20"/>
              </w:rPr>
            </w:pPr>
            <w:r w:rsidRPr="002D4F05">
              <w:rPr>
                <w:sz w:val="20"/>
              </w:rPr>
              <w:t>SJC</w:t>
            </w:r>
          </w:p>
        </w:tc>
        <w:tc>
          <w:tcPr>
            <w:tcW w:w="6837" w:type="dxa"/>
          </w:tcPr>
          <w:p w:rsidR="00DC6D8B" w:rsidRPr="002D4F05" w:rsidRDefault="00DC6D8B" w:rsidP="002D4F05">
            <w:pPr>
              <w:rPr>
                <w:sz w:val="20"/>
              </w:rPr>
            </w:pPr>
            <w:r w:rsidRPr="002D4F05">
              <w:rPr>
                <w:sz w:val="20"/>
              </w:rPr>
              <w:t>Swollen joint count</w:t>
            </w:r>
          </w:p>
        </w:tc>
      </w:tr>
      <w:tr w:rsidR="00DC6D8B" w:rsidRPr="002D4F05" w:rsidTr="00047C46">
        <w:tc>
          <w:tcPr>
            <w:tcW w:w="1883" w:type="dxa"/>
          </w:tcPr>
          <w:p w:rsidR="00DC6D8B" w:rsidRPr="002D4F05" w:rsidRDefault="00DC6D8B" w:rsidP="002D4F05">
            <w:pPr>
              <w:rPr>
                <w:sz w:val="20"/>
              </w:rPr>
            </w:pPr>
            <w:r w:rsidRPr="002D4F05">
              <w:rPr>
                <w:sz w:val="20"/>
              </w:rPr>
              <w:t>SOC</w:t>
            </w:r>
          </w:p>
        </w:tc>
        <w:tc>
          <w:tcPr>
            <w:tcW w:w="6837" w:type="dxa"/>
          </w:tcPr>
          <w:p w:rsidR="00DC6D8B" w:rsidRPr="002D4F05" w:rsidRDefault="00DC6D8B" w:rsidP="002D4F05">
            <w:pPr>
              <w:rPr>
                <w:sz w:val="20"/>
              </w:rPr>
            </w:pPr>
            <w:r w:rsidRPr="002D4F05">
              <w:rPr>
                <w:sz w:val="20"/>
              </w:rPr>
              <w:t>System organ class</w:t>
            </w:r>
          </w:p>
        </w:tc>
      </w:tr>
      <w:tr w:rsidR="00DC6D8B" w:rsidRPr="002D4F05" w:rsidTr="00047C46">
        <w:tc>
          <w:tcPr>
            <w:tcW w:w="1883" w:type="dxa"/>
          </w:tcPr>
          <w:p w:rsidR="00DC6D8B" w:rsidRPr="002D4F05" w:rsidRDefault="00DC6D8B" w:rsidP="002D4F05">
            <w:pPr>
              <w:rPr>
                <w:sz w:val="20"/>
              </w:rPr>
            </w:pPr>
            <w:proofErr w:type="spellStart"/>
            <w:r w:rsidRPr="002D4F05">
              <w:rPr>
                <w:sz w:val="20"/>
              </w:rPr>
              <w:t>SpA</w:t>
            </w:r>
            <w:proofErr w:type="spellEnd"/>
          </w:p>
        </w:tc>
        <w:tc>
          <w:tcPr>
            <w:tcW w:w="6837" w:type="dxa"/>
          </w:tcPr>
          <w:p w:rsidR="00DC6D8B" w:rsidRPr="002D4F05" w:rsidRDefault="00DC6D8B" w:rsidP="002D4F05">
            <w:pPr>
              <w:rPr>
                <w:sz w:val="20"/>
              </w:rPr>
            </w:pPr>
            <w:proofErr w:type="spellStart"/>
            <w:r w:rsidRPr="002D4F05">
              <w:rPr>
                <w:sz w:val="20"/>
              </w:rPr>
              <w:t>Spondyloarthritis</w:t>
            </w:r>
            <w:proofErr w:type="spellEnd"/>
          </w:p>
        </w:tc>
      </w:tr>
      <w:tr w:rsidR="00DC6D8B" w:rsidRPr="002D4F05" w:rsidTr="00047C46">
        <w:tc>
          <w:tcPr>
            <w:tcW w:w="1883" w:type="dxa"/>
          </w:tcPr>
          <w:p w:rsidR="00DC6D8B" w:rsidRPr="002D4F05" w:rsidRDefault="00DC6D8B" w:rsidP="002D4F05">
            <w:pPr>
              <w:rPr>
                <w:sz w:val="20"/>
              </w:rPr>
            </w:pPr>
            <w:r w:rsidRPr="002D4F05">
              <w:rPr>
                <w:sz w:val="20"/>
              </w:rPr>
              <w:t>SPARCC</w:t>
            </w:r>
          </w:p>
        </w:tc>
        <w:tc>
          <w:tcPr>
            <w:tcW w:w="6837" w:type="dxa"/>
          </w:tcPr>
          <w:p w:rsidR="00DC6D8B" w:rsidRPr="002D4F05" w:rsidRDefault="00DC6D8B" w:rsidP="002D4F05">
            <w:pPr>
              <w:rPr>
                <w:sz w:val="20"/>
              </w:rPr>
            </w:pPr>
            <w:proofErr w:type="spellStart"/>
            <w:r w:rsidRPr="002D4F05">
              <w:rPr>
                <w:sz w:val="20"/>
              </w:rPr>
              <w:t>Spondyloarthritis</w:t>
            </w:r>
            <w:proofErr w:type="spellEnd"/>
            <w:r w:rsidRPr="002D4F05">
              <w:rPr>
                <w:sz w:val="20"/>
              </w:rPr>
              <w:t xml:space="preserve"> Research Consortium of Canada</w:t>
            </w:r>
          </w:p>
        </w:tc>
      </w:tr>
      <w:tr w:rsidR="00DC6D8B" w:rsidRPr="002D4F05" w:rsidTr="00047C46">
        <w:tc>
          <w:tcPr>
            <w:tcW w:w="1883" w:type="dxa"/>
          </w:tcPr>
          <w:p w:rsidR="00DC6D8B" w:rsidRPr="002D4F05" w:rsidRDefault="00DC6D8B" w:rsidP="002D4F05">
            <w:pPr>
              <w:rPr>
                <w:sz w:val="20"/>
              </w:rPr>
            </w:pPr>
            <w:r w:rsidRPr="002D4F05">
              <w:rPr>
                <w:sz w:val="20"/>
              </w:rPr>
              <w:t>SSZ</w:t>
            </w:r>
          </w:p>
        </w:tc>
        <w:tc>
          <w:tcPr>
            <w:tcW w:w="6837" w:type="dxa"/>
          </w:tcPr>
          <w:p w:rsidR="00DC6D8B" w:rsidRPr="002D4F05" w:rsidRDefault="00DC6D8B" w:rsidP="002D4F05">
            <w:pPr>
              <w:rPr>
                <w:sz w:val="20"/>
              </w:rPr>
            </w:pPr>
            <w:r w:rsidRPr="002D4F05">
              <w:rPr>
                <w:sz w:val="20"/>
              </w:rPr>
              <w:t>Sulfasalazine</w:t>
            </w:r>
          </w:p>
        </w:tc>
      </w:tr>
      <w:tr w:rsidR="00DC6D8B" w:rsidRPr="002D4F05" w:rsidTr="00047C46">
        <w:tc>
          <w:tcPr>
            <w:tcW w:w="1883" w:type="dxa"/>
          </w:tcPr>
          <w:p w:rsidR="00DC6D8B" w:rsidRPr="002D4F05" w:rsidRDefault="00DC6D8B" w:rsidP="002D4F05">
            <w:pPr>
              <w:rPr>
                <w:sz w:val="20"/>
              </w:rPr>
            </w:pPr>
            <w:r w:rsidRPr="002D4F05">
              <w:rPr>
                <w:sz w:val="20"/>
              </w:rPr>
              <w:t>TB</w:t>
            </w:r>
          </w:p>
        </w:tc>
        <w:tc>
          <w:tcPr>
            <w:tcW w:w="6837" w:type="dxa"/>
          </w:tcPr>
          <w:p w:rsidR="00DC6D8B" w:rsidRPr="002D4F05" w:rsidRDefault="00DC6D8B" w:rsidP="002D4F05">
            <w:pPr>
              <w:rPr>
                <w:sz w:val="20"/>
              </w:rPr>
            </w:pPr>
            <w:r w:rsidRPr="002D4F05">
              <w:rPr>
                <w:sz w:val="20"/>
              </w:rPr>
              <w:t>Tuberculosis</w:t>
            </w:r>
          </w:p>
        </w:tc>
      </w:tr>
      <w:tr w:rsidR="00DC6D8B" w:rsidRPr="002D4F05" w:rsidTr="00047C46">
        <w:tc>
          <w:tcPr>
            <w:tcW w:w="1883" w:type="dxa"/>
          </w:tcPr>
          <w:p w:rsidR="00DC6D8B" w:rsidRPr="002D4F05" w:rsidRDefault="00DC6D8B" w:rsidP="002D4F05">
            <w:pPr>
              <w:rPr>
                <w:sz w:val="20"/>
              </w:rPr>
            </w:pPr>
            <w:r w:rsidRPr="002D4F05">
              <w:rPr>
                <w:sz w:val="20"/>
              </w:rPr>
              <w:t>TEAE</w:t>
            </w:r>
          </w:p>
        </w:tc>
        <w:tc>
          <w:tcPr>
            <w:tcW w:w="6837" w:type="dxa"/>
          </w:tcPr>
          <w:p w:rsidR="00DC6D8B" w:rsidRPr="002D4F05" w:rsidRDefault="00DC6D8B" w:rsidP="002D4F05">
            <w:pPr>
              <w:rPr>
                <w:sz w:val="20"/>
              </w:rPr>
            </w:pPr>
            <w:r w:rsidRPr="002D4F05">
              <w:rPr>
                <w:sz w:val="20"/>
              </w:rPr>
              <w:t>Treatment-emergent adverse event</w:t>
            </w:r>
          </w:p>
        </w:tc>
      </w:tr>
      <w:tr w:rsidR="00DC6D8B" w:rsidRPr="002D4F05" w:rsidTr="00047C46">
        <w:tc>
          <w:tcPr>
            <w:tcW w:w="1883" w:type="dxa"/>
          </w:tcPr>
          <w:p w:rsidR="00DC6D8B" w:rsidRPr="002D4F05" w:rsidRDefault="00DC6D8B" w:rsidP="002D4F05">
            <w:pPr>
              <w:rPr>
                <w:sz w:val="20"/>
              </w:rPr>
            </w:pPr>
            <w:r w:rsidRPr="002D4F05">
              <w:rPr>
                <w:sz w:val="20"/>
              </w:rPr>
              <w:t>TJC</w:t>
            </w:r>
          </w:p>
        </w:tc>
        <w:tc>
          <w:tcPr>
            <w:tcW w:w="6837" w:type="dxa"/>
          </w:tcPr>
          <w:p w:rsidR="00DC6D8B" w:rsidRPr="002D4F05" w:rsidRDefault="00DC6D8B" w:rsidP="002D4F05">
            <w:pPr>
              <w:rPr>
                <w:sz w:val="20"/>
              </w:rPr>
            </w:pPr>
            <w:r w:rsidRPr="002D4F05">
              <w:rPr>
                <w:sz w:val="20"/>
              </w:rPr>
              <w:t>Tender joint count</w:t>
            </w:r>
          </w:p>
        </w:tc>
      </w:tr>
      <w:tr w:rsidR="00DC6D8B" w:rsidRPr="002D4F05" w:rsidTr="00047C46">
        <w:tc>
          <w:tcPr>
            <w:tcW w:w="1883" w:type="dxa"/>
          </w:tcPr>
          <w:p w:rsidR="00DC6D8B" w:rsidRPr="002D4F05" w:rsidRDefault="00DC6D8B" w:rsidP="002D4F05">
            <w:pPr>
              <w:rPr>
                <w:sz w:val="20"/>
              </w:rPr>
            </w:pPr>
            <w:r w:rsidRPr="002D4F05">
              <w:rPr>
                <w:sz w:val="20"/>
              </w:rPr>
              <w:t>TNF</w:t>
            </w:r>
          </w:p>
        </w:tc>
        <w:tc>
          <w:tcPr>
            <w:tcW w:w="6837" w:type="dxa"/>
          </w:tcPr>
          <w:p w:rsidR="00DC6D8B" w:rsidRPr="002D4F05" w:rsidRDefault="00DC6D8B" w:rsidP="002D4F05">
            <w:pPr>
              <w:rPr>
                <w:sz w:val="20"/>
              </w:rPr>
            </w:pPr>
            <w:r w:rsidRPr="002D4F05">
              <w:rPr>
                <w:sz w:val="20"/>
              </w:rPr>
              <w:t>Tumor necrosis factor</w:t>
            </w:r>
          </w:p>
        </w:tc>
      </w:tr>
      <w:tr w:rsidR="00DC6D8B" w:rsidRPr="002D4F05" w:rsidTr="00047C46">
        <w:tc>
          <w:tcPr>
            <w:tcW w:w="1883" w:type="dxa"/>
          </w:tcPr>
          <w:p w:rsidR="00DC6D8B" w:rsidRPr="002D4F05" w:rsidRDefault="00DC6D8B" w:rsidP="002D4F05">
            <w:pPr>
              <w:rPr>
                <w:sz w:val="20"/>
              </w:rPr>
            </w:pPr>
            <w:r w:rsidRPr="002D4F05">
              <w:rPr>
                <w:sz w:val="20"/>
              </w:rPr>
              <w:t>UC</w:t>
            </w:r>
          </w:p>
        </w:tc>
        <w:tc>
          <w:tcPr>
            <w:tcW w:w="6837" w:type="dxa"/>
          </w:tcPr>
          <w:p w:rsidR="00DC6D8B" w:rsidRPr="002D4F05" w:rsidRDefault="00DC6D8B" w:rsidP="002D4F05">
            <w:pPr>
              <w:rPr>
                <w:sz w:val="20"/>
              </w:rPr>
            </w:pPr>
            <w:r w:rsidRPr="002D4F05">
              <w:rPr>
                <w:sz w:val="20"/>
              </w:rPr>
              <w:t>Ulcerative colitis</w:t>
            </w:r>
          </w:p>
        </w:tc>
      </w:tr>
      <w:tr w:rsidR="00DC6D8B" w:rsidRPr="002D4F05" w:rsidTr="00047C46">
        <w:tc>
          <w:tcPr>
            <w:tcW w:w="1883" w:type="dxa"/>
          </w:tcPr>
          <w:p w:rsidR="00DC6D8B" w:rsidRPr="002D4F05" w:rsidRDefault="00DC6D8B" w:rsidP="002D4F05">
            <w:pPr>
              <w:rPr>
                <w:sz w:val="20"/>
              </w:rPr>
            </w:pPr>
            <w:r w:rsidRPr="002D4F05">
              <w:rPr>
                <w:sz w:val="20"/>
              </w:rPr>
              <w:t>ULN</w:t>
            </w:r>
          </w:p>
        </w:tc>
        <w:tc>
          <w:tcPr>
            <w:tcW w:w="6837" w:type="dxa"/>
          </w:tcPr>
          <w:p w:rsidR="00DC6D8B" w:rsidRPr="002D4F05" w:rsidRDefault="00DC6D8B" w:rsidP="002D4F05">
            <w:pPr>
              <w:rPr>
                <w:sz w:val="20"/>
              </w:rPr>
            </w:pPr>
            <w:r w:rsidRPr="002D4F05">
              <w:rPr>
                <w:sz w:val="20"/>
              </w:rPr>
              <w:t>Upper limit of normal</w:t>
            </w:r>
          </w:p>
        </w:tc>
      </w:tr>
      <w:tr w:rsidR="00DC6D8B" w:rsidRPr="002D4F05" w:rsidTr="00047C46">
        <w:tc>
          <w:tcPr>
            <w:tcW w:w="1883" w:type="dxa"/>
          </w:tcPr>
          <w:p w:rsidR="00DC6D8B" w:rsidRPr="002D4F05" w:rsidRDefault="00DC6D8B" w:rsidP="002D4F05">
            <w:pPr>
              <w:rPr>
                <w:sz w:val="20"/>
              </w:rPr>
            </w:pPr>
            <w:r w:rsidRPr="002D4F05">
              <w:rPr>
                <w:sz w:val="20"/>
              </w:rPr>
              <w:t>US</w:t>
            </w:r>
          </w:p>
        </w:tc>
        <w:tc>
          <w:tcPr>
            <w:tcW w:w="6837" w:type="dxa"/>
          </w:tcPr>
          <w:p w:rsidR="00DC6D8B" w:rsidRPr="002D4F05" w:rsidRDefault="00DC6D8B" w:rsidP="002D4F05">
            <w:pPr>
              <w:rPr>
                <w:sz w:val="20"/>
              </w:rPr>
            </w:pPr>
            <w:r w:rsidRPr="002D4F05">
              <w:rPr>
                <w:sz w:val="20"/>
              </w:rPr>
              <w:t>United States</w:t>
            </w:r>
          </w:p>
        </w:tc>
      </w:tr>
      <w:tr w:rsidR="00DC6D8B" w:rsidRPr="002D4F05" w:rsidTr="00047C46">
        <w:tc>
          <w:tcPr>
            <w:tcW w:w="1883" w:type="dxa"/>
          </w:tcPr>
          <w:p w:rsidR="00DC6D8B" w:rsidRPr="002D4F05" w:rsidRDefault="00DC6D8B" w:rsidP="002D4F05">
            <w:pPr>
              <w:rPr>
                <w:sz w:val="20"/>
              </w:rPr>
            </w:pPr>
            <w:r w:rsidRPr="002D4F05">
              <w:rPr>
                <w:sz w:val="20"/>
              </w:rPr>
              <w:t>VAS</w:t>
            </w:r>
          </w:p>
        </w:tc>
        <w:tc>
          <w:tcPr>
            <w:tcW w:w="6837" w:type="dxa"/>
          </w:tcPr>
          <w:p w:rsidR="00DC6D8B" w:rsidRPr="002D4F05" w:rsidRDefault="00DC6D8B" w:rsidP="002D4F05">
            <w:pPr>
              <w:rPr>
                <w:sz w:val="20"/>
              </w:rPr>
            </w:pPr>
            <w:r w:rsidRPr="002D4F05">
              <w:rPr>
                <w:sz w:val="20"/>
              </w:rPr>
              <w:t>Visual analog scale</w:t>
            </w:r>
          </w:p>
        </w:tc>
      </w:tr>
      <w:tr w:rsidR="00DC6D8B" w:rsidRPr="002D4F05" w:rsidTr="00047C46">
        <w:tc>
          <w:tcPr>
            <w:tcW w:w="1883" w:type="dxa"/>
          </w:tcPr>
          <w:p w:rsidR="00DC6D8B" w:rsidRPr="002D4F05" w:rsidRDefault="00DC6D8B" w:rsidP="002D4F05">
            <w:pPr>
              <w:rPr>
                <w:sz w:val="20"/>
              </w:rPr>
            </w:pPr>
            <w:r w:rsidRPr="002D4F05">
              <w:rPr>
                <w:sz w:val="20"/>
              </w:rPr>
              <w:t>WBC</w:t>
            </w:r>
          </w:p>
        </w:tc>
        <w:tc>
          <w:tcPr>
            <w:tcW w:w="6837" w:type="dxa"/>
          </w:tcPr>
          <w:p w:rsidR="00DC6D8B" w:rsidRPr="002D4F05" w:rsidRDefault="00DC6D8B" w:rsidP="002D4F05">
            <w:pPr>
              <w:rPr>
                <w:sz w:val="20"/>
              </w:rPr>
            </w:pPr>
            <w:r w:rsidRPr="002D4F05">
              <w:rPr>
                <w:sz w:val="20"/>
              </w:rPr>
              <w:t>White blood cell</w:t>
            </w:r>
          </w:p>
        </w:tc>
      </w:tr>
      <w:tr w:rsidR="00DC6D8B" w:rsidRPr="002D4F05" w:rsidTr="00047C46">
        <w:tc>
          <w:tcPr>
            <w:tcW w:w="1883" w:type="dxa"/>
          </w:tcPr>
          <w:p w:rsidR="00DC6D8B" w:rsidRPr="002D4F05" w:rsidRDefault="00DC6D8B" w:rsidP="002D4F05">
            <w:pPr>
              <w:rPr>
                <w:sz w:val="20"/>
              </w:rPr>
            </w:pPr>
            <w:r w:rsidRPr="002D4F05">
              <w:rPr>
                <w:sz w:val="20"/>
              </w:rPr>
              <w:t>WPAI-SHP</w:t>
            </w:r>
          </w:p>
        </w:tc>
        <w:tc>
          <w:tcPr>
            <w:tcW w:w="6837" w:type="dxa"/>
          </w:tcPr>
          <w:p w:rsidR="00DC6D8B" w:rsidRPr="002D4F05" w:rsidRDefault="00DC6D8B" w:rsidP="002D4F05">
            <w:pPr>
              <w:rPr>
                <w:sz w:val="20"/>
              </w:rPr>
            </w:pPr>
            <w:r w:rsidRPr="002D4F05">
              <w:rPr>
                <w:sz w:val="20"/>
              </w:rPr>
              <w:t>Work Productivity and Activity Impairment – Specific Health Problem Questionnaire</w:t>
            </w:r>
          </w:p>
        </w:tc>
      </w:tr>
      <w:tr w:rsidR="00DC6D8B" w:rsidRPr="002D4F05" w:rsidTr="00047C46">
        <w:tc>
          <w:tcPr>
            <w:tcW w:w="1883" w:type="dxa"/>
          </w:tcPr>
          <w:p w:rsidR="00DC6D8B" w:rsidRPr="002D4F05" w:rsidRDefault="00DC6D8B" w:rsidP="002D4F05">
            <w:pPr>
              <w:rPr>
                <w:sz w:val="20"/>
              </w:rPr>
            </w:pPr>
            <w:r w:rsidRPr="002D4F05">
              <w:rPr>
                <w:sz w:val="20"/>
              </w:rPr>
              <w:t>VEGF</w:t>
            </w:r>
            <w:r w:rsidRPr="002D4F05">
              <w:rPr>
                <w:sz w:val="20"/>
                <w:vertAlign w:val="subscript"/>
              </w:rPr>
              <w:t>A</w:t>
            </w:r>
          </w:p>
        </w:tc>
        <w:tc>
          <w:tcPr>
            <w:tcW w:w="6837" w:type="dxa"/>
          </w:tcPr>
          <w:p w:rsidR="00DC6D8B" w:rsidRPr="002D4F05" w:rsidRDefault="00DC6D8B" w:rsidP="002D4F05">
            <w:pPr>
              <w:rPr>
                <w:sz w:val="20"/>
              </w:rPr>
            </w:pPr>
            <w:r w:rsidRPr="002D4F05">
              <w:rPr>
                <w:sz w:val="20"/>
              </w:rPr>
              <w:t>Vascular endothelial growth factor A</w:t>
            </w:r>
          </w:p>
        </w:tc>
      </w:tr>
    </w:tbl>
    <w:p w:rsidR="008E7846" w:rsidRDefault="00047C46" w:rsidP="00047C46">
      <w:pPr>
        <w:pStyle w:val="Heading2"/>
      </w:pPr>
      <w:bookmarkStart w:id="9" w:name="_Toc382922628"/>
      <w:r>
        <w:lastRenderedPageBreak/>
        <w:t xml:space="preserve">I. </w:t>
      </w:r>
      <w:r w:rsidR="008E7846" w:rsidRPr="00047C46">
        <w:t>Introduction</w:t>
      </w:r>
      <w:r w:rsidR="008E7846">
        <w:t xml:space="preserve"> to product submission</w:t>
      </w:r>
      <w:bookmarkEnd w:id="3"/>
      <w:bookmarkEnd w:id="0"/>
      <w:bookmarkEnd w:id="9"/>
    </w:p>
    <w:p w:rsidR="008E7846" w:rsidRDefault="008E7846" w:rsidP="002D4F05">
      <w:pPr>
        <w:pStyle w:val="Heading3"/>
        <w:rPr>
          <w:lang w:eastAsia="en-AU"/>
        </w:rPr>
      </w:pPr>
      <w:bookmarkStart w:id="10" w:name="_Toc247691502"/>
      <w:bookmarkStart w:id="11" w:name="_Toc314842483"/>
      <w:bookmarkStart w:id="12" w:name="_Toc382922629"/>
      <w:r>
        <w:rPr>
          <w:lang w:eastAsia="en-AU"/>
        </w:rPr>
        <w:t>Submission details</w:t>
      </w:r>
      <w:bookmarkEnd w:id="10"/>
      <w:bookmarkEnd w:id="11"/>
      <w:bookmarkEnd w:id="12"/>
    </w:p>
    <w:tbl>
      <w:tblPr>
        <w:tblW w:w="9497" w:type="dxa"/>
        <w:tblInd w:w="108" w:type="dxa"/>
        <w:tblLook w:val="01E0" w:firstRow="1" w:lastRow="1" w:firstColumn="1" w:lastColumn="1" w:noHBand="0" w:noVBand="0"/>
      </w:tblPr>
      <w:tblGrid>
        <w:gridCol w:w="2907"/>
        <w:gridCol w:w="6307"/>
        <w:gridCol w:w="283"/>
      </w:tblGrid>
      <w:tr w:rsidR="008E7846" w:rsidRPr="003D1E62" w:rsidTr="007B1C54">
        <w:trPr>
          <w:trHeight w:hRule="exact" w:val="454"/>
        </w:trPr>
        <w:tc>
          <w:tcPr>
            <w:tcW w:w="2907" w:type="dxa"/>
          </w:tcPr>
          <w:p w:rsidR="008E7846" w:rsidRPr="003D1E62" w:rsidRDefault="008E7846" w:rsidP="002D4F05">
            <w:pPr>
              <w:rPr>
                <w:i/>
              </w:rPr>
            </w:pPr>
            <w:r w:rsidRPr="003D1E62">
              <w:rPr>
                <w:i/>
              </w:rPr>
              <w:t xml:space="preserve">Type of </w:t>
            </w:r>
            <w:r w:rsidR="002D4F05">
              <w:rPr>
                <w:i/>
              </w:rPr>
              <w:t>s</w:t>
            </w:r>
            <w:r w:rsidRPr="003D1E62">
              <w:rPr>
                <w:i/>
              </w:rPr>
              <w:t>ubmission</w:t>
            </w:r>
            <w:r w:rsidR="002D4F05">
              <w:rPr>
                <w:i/>
              </w:rPr>
              <w:t>:</w:t>
            </w:r>
          </w:p>
        </w:tc>
        <w:tc>
          <w:tcPr>
            <w:tcW w:w="6590" w:type="dxa"/>
            <w:gridSpan w:val="2"/>
          </w:tcPr>
          <w:p w:rsidR="008E7846" w:rsidRPr="003D1E62" w:rsidRDefault="00C524FD" w:rsidP="003D1E62">
            <w:r>
              <w:t>E</w:t>
            </w:r>
            <w:r w:rsidRPr="00C524FD">
              <w:t>xtension of indications</w:t>
            </w:r>
          </w:p>
        </w:tc>
      </w:tr>
      <w:tr w:rsidR="008E7846" w:rsidRPr="003D1E62" w:rsidTr="007B1C54">
        <w:trPr>
          <w:trHeight w:hRule="exact" w:val="454"/>
        </w:trPr>
        <w:tc>
          <w:tcPr>
            <w:tcW w:w="2907" w:type="dxa"/>
          </w:tcPr>
          <w:p w:rsidR="008E7846" w:rsidRPr="003D1E62" w:rsidRDefault="008E7846" w:rsidP="003D1E62">
            <w:r w:rsidRPr="003D1E62">
              <w:rPr>
                <w:i/>
              </w:rPr>
              <w:t>Decision</w:t>
            </w:r>
            <w:r w:rsidRPr="003D1E62">
              <w:t>:</w:t>
            </w:r>
          </w:p>
        </w:tc>
        <w:tc>
          <w:tcPr>
            <w:tcW w:w="6590" w:type="dxa"/>
            <w:gridSpan w:val="2"/>
          </w:tcPr>
          <w:p w:rsidR="008E7846" w:rsidRPr="003D1E62" w:rsidRDefault="008E7846" w:rsidP="003D1E62">
            <w:r w:rsidRPr="003D1E62">
              <w:t>Withdrawn</w:t>
            </w:r>
          </w:p>
        </w:tc>
      </w:tr>
      <w:tr w:rsidR="008E7846" w:rsidRPr="003D1E62" w:rsidTr="007B1C54">
        <w:trPr>
          <w:trHeight w:hRule="exact" w:val="454"/>
        </w:trPr>
        <w:tc>
          <w:tcPr>
            <w:tcW w:w="2907" w:type="dxa"/>
          </w:tcPr>
          <w:p w:rsidR="008E7846" w:rsidRPr="003D1E62" w:rsidRDefault="008E7846" w:rsidP="002D4F05">
            <w:pPr>
              <w:rPr>
                <w:i/>
              </w:rPr>
            </w:pPr>
            <w:r w:rsidRPr="003D1E62">
              <w:rPr>
                <w:i/>
              </w:rPr>
              <w:t xml:space="preserve">Date of </w:t>
            </w:r>
            <w:r w:rsidR="002D4F05">
              <w:rPr>
                <w:i/>
              </w:rPr>
              <w:t>d</w:t>
            </w:r>
            <w:r w:rsidRPr="003D1E62">
              <w:rPr>
                <w:i/>
              </w:rPr>
              <w:t>ecision:</w:t>
            </w:r>
          </w:p>
        </w:tc>
        <w:tc>
          <w:tcPr>
            <w:tcW w:w="6590" w:type="dxa"/>
            <w:gridSpan w:val="2"/>
          </w:tcPr>
          <w:p w:rsidR="008E7846" w:rsidRPr="003D1E62" w:rsidRDefault="0014061E" w:rsidP="003D1E62">
            <w:r>
              <w:t>19 August 2013</w:t>
            </w:r>
          </w:p>
        </w:tc>
      </w:tr>
      <w:tr w:rsidR="008E7846" w:rsidRPr="00487162" w:rsidTr="007B1C54">
        <w:trPr>
          <w:gridAfter w:val="1"/>
          <w:wAfter w:w="283" w:type="dxa"/>
        </w:trPr>
        <w:tc>
          <w:tcPr>
            <w:tcW w:w="2907" w:type="dxa"/>
          </w:tcPr>
          <w:p w:rsidR="008E7846" w:rsidRPr="00487162" w:rsidRDefault="008E7846" w:rsidP="002D4F05">
            <w:pPr>
              <w:rPr>
                <w:i/>
              </w:rPr>
            </w:pPr>
            <w:r w:rsidRPr="00487162">
              <w:rPr>
                <w:i/>
              </w:rPr>
              <w:t>Active ingredient</w:t>
            </w:r>
            <w:r w:rsidR="002D4F05">
              <w:rPr>
                <w:i/>
              </w:rPr>
              <w:t>:</w:t>
            </w:r>
          </w:p>
        </w:tc>
        <w:tc>
          <w:tcPr>
            <w:tcW w:w="6307" w:type="dxa"/>
          </w:tcPr>
          <w:p w:rsidR="008E7846" w:rsidRPr="00487162" w:rsidRDefault="00C524FD" w:rsidP="00E45619">
            <w:proofErr w:type="spellStart"/>
            <w:r w:rsidRPr="00C524FD">
              <w:t>Adalimumab</w:t>
            </w:r>
            <w:proofErr w:type="spellEnd"/>
          </w:p>
        </w:tc>
      </w:tr>
      <w:tr w:rsidR="008E7846" w:rsidRPr="00487162" w:rsidTr="007B1C54">
        <w:trPr>
          <w:gridAfter w:val="1"/>
          <w:wAfter w:w="283" w:type="dxa"/>
        </w:trPr>
        <w:tc>
          <w:tcPr>
            <w:tcW w:w="2907" w:type="dxa"/>
          </w:tcPr>
          <w:p w:rsidR="008E7846" w:rsidRPr="00487162" w:rsidRDefault="008E7846" w:rsidP="002D4F05">
            <w:pPr>
              <w:rPr>
                <w:i/>
              </w:rPr>
            </w:pPr>
            <w:r w:rsidRPr="00487162">
              <w:rPr>
                <w:i/>
              </w:rPr>
              <w:t xml:space="preserve">Product </w:t>
            </w:r>
            <w:r w:rsidR="002D4F05">
              <w:rPr>
                <w:i/>
              </w:rPr>
              <w:t>n</w:t>
            </w:r>
            <w:r w:rsidRPr="00487162">
              <w:rPr>
                <w:i/>
              </w:rPr>
              <w:t>ame:</w:t>
            </w:r>
          </w:p>
        </w:tc>
        <w:tc>
          <w:tcPr>
            <w:tcW w:w="6307" w:type="dxa"/>
          </w:tcPr>
          <w:p w:rsidR="008E7846" w:rsidRPr="00487162" w:rsidRDefault="00C524FD" w:rsidP="00E45619">
            <w:proofErr w:type="spellStart"/>
            <w:r>
              <w:t>Humira</w:t>
            </w:r>
            <w:proofErr w:type="spellEnd"/>
          </w:p>
        </w:tc>
      </w:tr>
      <w:tr w:rsidR="008E7846" w:rsidRPr="00487162" w:rsidTr="007B1C54">
        <w:trPr>
          <w:gridAfter w:val="1"/>
          <w:wAfter w:w="283" w:type="dxa"/>
        </w:trPr>
        <w:tc>
          <w:tcPr>
            <w:tcW w:w="2907" w:type="dxa"/>
          </w:tcPr>
          <w:p w:rsidR="008E7846" w:rsidRPr="00487162" w:rsidRDefault="008E7846" w:rsidP="002D4F05">
            <w:pPr>
              <w:rPr>
                <w:i/>
              </w:rPr>
            </w:pPr>
            <w:r w:rsidRPr="00487162">
              <w:rPr>
                <w:i/>
              </w:rPr>
              <w:t xml:space="preserve">Sponsor’s </w:t>
            </w:r>
            <w:r w:rsidR="002D4F05">
              <w:rPr>
                <w:i/>
              </w:rPr>
              <w:t>n</w:t>
            </w:r>
            <w:r w:rsidRPr="00487162">
              <w:rPr>
                <w:i/>
              </w:rPr>
              <w:t xml:space="preserve">ame and </w:t>
            </w:r>
            <w:r w:rsidR="002D4F05">
              <w:rPr>
                <w:i/>
              </w:rPr>
              <w:t>a</w:t>
            </w:r>
            <w:r w:rsidRPr="00487162">
              <w:rPr>
                <w:i/>
              </w:rPr>
              <w:t>ddress:</w:t>
            </w:r>
          </w:p>
        </w:tc>
        <w:tc>
          <w:tcPr>
            <w:tcW w:w="6307" w:type="dxa"/>
          </w:tcPr>
          <w:p w:rsidR="008E7846" w:rsidRDefault="00276A76" w:rsidP="00E45619">
            <w:proofErr w:type="spellStart"/>
            <w:r>
              <w:t>AbbVie</w:t>
            </w:r>
            <w:proofErr w:type="spellEnd"/>
            <w:r>
              <w:t xml:space="preserve"> Pty Ltd</w:t>
            </w:r>
          </w:p>
          <w:p w:rsidR="00276A76" w:rsidRDefault="00276A76" w:rsidP="00E45619">
            <w:r>
              <w:t>32-34 Lord Street</w:t>
            </w:r>
          </w:p>
          <w:p w:rsidR="00276A76" w:rsidRPr="00487162" w:rsidRDefault="00276A76" w:rsidP="00E45619">
            <w:r>
              <w:t>Botany NSW 2019</w:t>
            </w:r>
          </w:p>
        </w:tc>
      </w:tr>
      <w:tr w:rsidR="008E7846" w:rsidRPr="00487162" w:rsidTr="007B1C54">
        <w:trPr>
          <w:gridAfter w:val="1"/>
          <w:wAfter w:w="283" w:type="dxa"/>
        </w:trPr>
        <w:tc>
          <w:tcPr>
            <w:tcW w:w="2907" w:type="dxa"/>
          </w:tcPr>
          <w:p w:rsidR="008E7846" w:rsidRPr="00487162" w:rsidRDefault="008E7846" w:rsidP="002D4F05">
            <w:pPr>
              <w:rPr>
                <w:i/>
              </w:rPr>
            </w:pPr>
            <w:r w:rsidRPr="00487162">
              <w:rPr>
                <w:i/>
              </w:rPr>
              <w:t>Dose form:</w:t>
            </w:r>
          </w:p>
        </w:tc>
        <w:tc>
          <w:tcPr>
            <w:tcW w:w="6307" w:type="dxa"/>
          </w:tcPr>
          <w:p w:rsidR="008E7846" w:rsidRPr="00487162" w:rsidRDefault="00276A76" w:rsidP="00E45619">
            <w:r>
              <w:t>Solution for Injection</w:t>
            </w:r>
          </w:p>
        </w:tc>
      </w:tr>
      <w:tr w:rsidR="008E7846" w:rsidRPr="00487162" w:rsidTr="007B1C54">
        <w:trPr>
          <w:gridAfter w:val="1"/>
          <w:wAfter w:w="283" w:type="dxa"/>
        </w:trPr>
        <w:tc>
          <w:tcPr>
            <w:tcW w:w="2907" w:type="dxa"/>
          </w:tcPr>
          <w:p w:rsidR="008E7846" w:rsidRPr="00487162" w:rsidRDefault="008E7846" w:rsidP="002D4F05">
            <w:pPr>
              <w:rPr>
                <w:i/>
              </w:rPr>
            </w:pPr>
            <w:r w:rsidRPr="00487162">
              <w:rPr>
                <w:i/>
              </w:rPr>
              <w:t>Strengths:</w:t>
            </w:r>
          </w:p>
        </w:tc>
        <w:tc>
          <w:tcPr>
            <w:tcW w:w="6307" w:type="dxa"/>
          </w:tcPr>
          <w:p w:rsidR="008E7846" w:rsidRPr="00487162" w:rsidRDefault="00C524FD" w:rsidP="00E45619">
            <w:r>
              <w:t>20 mg and 40 mg</w:t>
            </w:r>
          </w:p>
        </w:tc>
      </w:tr>
      <w:tr w:rsidR="008E7846" w:rsidRPr="00487162" w:rsidTr="007B1C54">
        <w:trPr>
          <w:gridAfter w:val="1"/>
          <w:wAfter w:w="283" w:type="dxa"/>
        </w:trPr>
        <w:tc>
          <w:tcPr>
            <w:tcW w:w="2907" w:type="dxa"/>
          </w:tcPr>
          <w:p w:rsidR="008E7846" w:rsidRPr="00487162" w:rsidRDefault="008E7846" w:rsidP="002D4F05">
            <w:pPr>
              <w:rPr>
                <w:i/>
              </w:rPr>
            </w:pPr>
            <w:r w:rsidRPr="00487162">
              <w:rPr>
                <w:i/>
              </w:rPr>
              <w:t>Container:</w:t>
            </w:r>
          </w:p>
        </w:tc>
        <w:tc>
          <w:tcPr>
            <w:tcW w:w="6307" w:type="dxa"/>
          </w:tcPr>
          <w:p w:rsidR="008E7846" w:rsidRPr="00487162" w:rsidRDefault="00752C80" w:rsidP="00C524FD">
            <w:r>
              <w:t>P</w:t>
            </w:r>
            <w:r w:rsidR="00C524FD" w:rsidRPr="00C524FD">
              <w:t>re-filled syringe</w:t>
            </w:r>
            <w:r w:rsidR="00C524FD">
              <w:t>, vial</w:t>
            </w:r>
            <w:r w:rsidR="00C524FD" w:rsidRPr="00C524FD">
              <w:t xml:space="preserve"> and pen</w:t>
            </w:r>
            <w:r w:rsidR="00C524FD">
              <w:t xml:space="preserve"> (latter two in 40 mg only).</w:t>
            </w:r>
          </w:p>
        </w:tc>
      </w:tr>
      <w:tr w:rsidR="008E7846" w:rsidRPr="00487162" w:rsidTr="007B1C54">
        <w:trPr>
          <w:gridAfter w:val="1"/>
          <w:wAfter w:w="283" w:type="dxa"/>
        </w:trPr>
        <w:tc>
          <w:tcPr>
            <w:tcW w:w="2907" w:type="dxa"/>
          </w:tcPr>
          <w:p w:rsidR="008E7846" w:rsidRPr="00487162" w:rsidRDefault="008E7846" w:rsidP="002D4F05">
            <w:pPr>
              <w:rPr>
                <w:i/>
              </w:rPr>
            </w:pPr>
            <w:r w:rsidRPr="00487162">
              <w:rPr>
                <w:i/>
              </w:rPr>
              <w:t xml:space="preserve">Approved </w:t>
            </w:r>
            <w:r w:rsidR="002D4F05">
              <w:rPr>
                <w:i/>
              </w:rPr>
              <w:t>t</w:t>
            </w:r>
            <w:r w:rsidRPr="00487162">
              <w:rPr>
                <w:i/>
              </w:rPr>
              <w:t>herapeutic use:</w:t>
            </w:r>
          </w:p>
        </w:tc>
        <w:tc>
          <w:tcPr>
            <w:tcW w:w="6307" w:type="dxa"/>
          </w:tcPr>
          <w:p w:rsidR="008E7846" w:rsidRPr="00487162" w:rsidRDefault="00276A76" w:rsidP="00E45619">
            <w:pPr>
              <w:rPr>
                <w:rFonts w:eastAsia="MS Mincho"/>
                <w:lang w:eastAsia="ja-JP"/>
              </w:rPr>
            </w:pPr>
            <w:r>
              <w:t>Not applicable</w:t>
            </w:r>
          </w:p>
        </w:tc>
      </w:tr>
      <w:tr w:rsidR="008E7846" w:rsidRPr="00487162" w:rsidTr="007B1C54">
        <w:trPr>
          <w:gridAfter w:val="1"/>
          <w:wAfter w:w="283" w:type="dxa"/>
        </w:trPr>
        <w:tc>
          <w:tcPr>
            <w:tcW w:w="2907" w:type="dxa"/>
          </w:tcPr>
          <w:p w:rsidR="008E7846" w:rsidRPr="00487162" w:rsidRDefault="002D4F05" w:rsidP="002D4F05">
            <w:pPr>
              <w:rPr>
                <w:i/>
              </w:rPr>
            </w:pPr>
            <w:r>
              <w:rPr>
                <w:i/>
              </w:rPr>
              <w:t>Route</w:t>
            </w:r>
            <w:r w:rsidR="008E7846" w:rsidRPr="00487162">
              <w:rPr>
                <w:i/>
              </w:rPr>
              <w:t xml:space="preserve"> of administration:</w:t>
            </w:r>
          </w:p>
        </w:tc>
        <w:tc>
          <w:tcPr>
            <w:tcW w:w="6307" w:type="dxa"/>
          </w:tcPr>
          <w:p w:rsidR="008E7846" w:rsidRPr="00487162" w:rsidRDefault="0014061E" w:rsidP="00E45619">
            <w:r>
              <w:t>Subcutaneously</w:t>
            </w:r>
          </w:p>
        </w:tc>
      </w:tr>
      <w:tr w:rsidR="008E7846" w:rsidRPr="00487162" w:rsidTr="007B1C54">
        <w:trPr>
          <w:gridAfter w:val="1"/>
          <w:wAfter w:w="283" w:type="dxa"/>
        </w:trPr>
        <w:tc>
          <w:tcPr>
            <w:tcW w:w="2907" w:type="dxa"/>
          </w:tcPr>
          <w:p w:rsidR="008E7846" w:rsidRPr="00487162" w:rsidRDefault="008E7846" w:rsidP="00E45619">
            <w:pPr>
              <w:rPr>
                <w:i/>
              </w:rPr>
            </w:pPr>
            <w:r w:rsidRPr="00487162">
              <w:rPr>
                <w:i/>
              </w:rPr>
              <w:t>Dosage:</w:t>
            </w:r>
          </w:p>
        </w:tc>
        <w:tc>
          <w:tcPr>
            <w:tcW w:w="6307" w:type="dxa"/>
          </w:tcPr>
          <w:p w:rsidR="008E7846" w:rsidRPr="00487162" w:rsidRDefault="00C524FD" w:rsidP="00E45619">
            <w:r w:rsidRPr="00C524FD">
              <w:t xml:space="preserve">Non-radiographic Axial </w:t>
            </w:r>
            <w:proofErr w:type="spellStart"/>
            <w:r w:rsidRPr="00C524FD">
              <w:t>Spondyloarthritis</w:t>
            </w:r>
            <w:proofErr w:type="spellEnd"/>
            <w:r w:rsidRPr="00C524FD">
              <w:t>: 40</w:t>
            </w:r>
            <w:r>
              <w:t xml:space="preserve"> </w:t>
            </w:r>
            <w:r w:rsidRPr="00C524FD">
              <w:t>mg fortnightly</w:t>
            </w:r>
          </w:p>
        </w:tc>
      </w:tr>
      <w:tr w:rsidR="008E7846" w:rsidRPr="00487162" w:rsidTr="007B1C54">
        <w:trPr>
          <w:gridAfter w:val="1"/>
          <w:wAfter w:w="283" w:type="dxa"/>
        </w:trPr>
        <w:tc>
          <w:tcPr>
            <w:tcW w:w="2907" w:type="dxa"/>
          </w:tcPr>
          <w:p w:rsidR="008E7846" w:rsidRPr="00487162" w:rsidRDefault="008E7846" w:rsidP="002D4F05">
            <w:pPr>
              <w:rPr>
                <w:i/>
              </w:rPr>
            </w:pPr>
            <w:r w:rsidRPr="00487162">
              <w:rPr>
                <w:i/>
              </w:rPr>
              <w:t xml:space="preserve">ARTG </w:t>
            </w:r>
            <w:r w:rsidR="002D4F05">
              <w:rPr>
                <w:i/>
              </w:rPr>
              <w:t>n</w:t>
            </w:r>
            <w:r w:rsidRPr="00487162">
              <w:rPr>
                <w:i/>
              </w:rPr>
              <w:t>umber</w:t>
            </w:r>
            <w:r w:rsidR="002D4F05">
              <w:rPr>
                <w:i/>
              </w:rPr>
              <w:t>:</w:t>
            </w:r>
          </w:p>
        </w:tc>
        <w:tc>
          <w:tcPr>
            <w:tcW w:w="6307" w:type="dxa"/>
          </w:tcPr>
          <w:p w:rsidR="008E7846" w:rsidRPr="00487162" w:rsidRDefault="00DC6D8B" w:rsidP="00E45619">
            <w:r>
              <w:t>Not applicable</w:t>
            </w:r>
          </w:p>
        </w:tc>
      </w:tr>
    </w:tbl>
    <w:p w:rsidR="008E7846" w:rsidRDefault="008E7846" w:rsidP="002D4F05">
      <w:pPr>
        <w:pStyle w:val="Heading3"/>
      </w:pPr>
      <w:bookmarkStart w:id="13" w:name="_Toc247691503"/>
      <w:bookmarkStart w:id="14" w:name="_Toc314842484"/>
      <w:bookmarkStart w:id="15" w:name="_Toc382922630"/>
      <w:r>
        <w:t xml:space="preserve">Product </w:t>
      </w:r>
      <w:r w:rsidRPr="002D4F05">
        <w:t>background</w:t>
      </w:r>
      <w:bookmarkEnd w:id="13"/>
      <w:bookmarkEnd w:id="14"/>
      <w:bookmarkEnd w:id="15"/>
    </w:p>
    <w:p w:rsidR="00C524FD" w:rsidRPr="00C524FD" w:rsidRDefault="00C524FD" w:rsidP="002D4F05">
      <w:bookmarkStart w:id="16" w:name="_Toc314842485"/>
      <w:bookmarkStart w:id="17" w:name="_Toc247691504"/>
      <w:proofErr w:type="spellStart"/>
      <w:r w:rsidRPr="00C524FD">
        <w:t>Humira</w:t>
      </w:r>
      <w:proofErr w:type="spellEnd"/>
      <w:r w:rsidRPr="00C524FD">
        <w:t xml:space="preserve"> (</w:t>
      </w:r>
      <w:proofErr w:type="spellStart"/>
      <w:r w:rsidRPr="00C524FD">
        <w:t>adalimumab</w:t>
      </w:r>
      <w:proofErr w:type="spellEnd"/>
      <w:r w:rsidRPr="00C524FD">
        <w:t xml:space="preserve">) is a </w:t>
      </w:r>
      <w:r w:rsidR="002A29B3">
        <w:t>Tumour necrosis factor (</w:t>
      </w:r>
      <w:r w:rsidRPr="00C524FD">
        <w:t>TNF</w:t>
      </w:r>
      <w:proofErr w:type="gramStart"/>
      <w:r w:rsidR="002A29B3">
        <w:t>)</w:t>
      </w:r>
      <w:r w:rsidRPr="00C524FD">
        <w:t>-</w:t>
      </w:r>
      <w:proofErr w:type="gramEnd"/>
      <w:r w:rsidRPr="00C524FD">
        <w:sym w:font="Symbol" w:char="F061"/>
      </w:r>
      <w:r w:rsidRPr="00C524FD">
        <w:t xml:space="preserve"> neutralising recombinant immunoglobulin (IgG</w:t>
      </w:r>
      <w:r w:rsidRPr="00C524FD">
        <w:rPr>
          <w:vertAlign w:val="subscript"/>
        </w:rPr>
        <w:t>1</w:t>
      </w:r>
      <w:r w:rsidRPr="00C524FD">
        <w:t>) monoclonal antibody containing only human peptide sequences.</w:t>
      </w:r>
      <w:r w:rsidR="002A29B3">
        <w:t xml:space="preserve"> </w:t>
      </w:r>
      <w:r w:rsidRPr="00C524FD">
        <w:t>It binds to TNF and neutralises the biological function of TNF by blocking its interaction with the p55 and p75 cell surface receptors.</w:t>
      </w:r>
      <w:r w:rsidR="002A29B3">
        <w:t xml:space="preserve"> </w:t>
      </w:r>
      <w:proofErr w:type="spellStart"/>
      <w:r w:rsidRPr="00C524FD">
        <w:t>Humira</w:t>
      </w:r>
      <w:proofErr w:type="spellEnd"/>
      <w:r w:rsidRPr="00C524FD">
        <w:t xml:space="preserve"> is produced by recombinant </w:t>
      </w:r>
      <w:r w:rsidR="00DC6D8B" w:rsidRPr="00DC6D8B">
        <w:t>deoxyribonucleic acid</w:t>
      </w:r>
      <w:r w:rsidR="00DC6D8B">
        <w:t xml:space="preserve"> (</w:t>
      </w:r>
      <w:r w:rsidRPr="00C524FD">
        <w:t>DNA</w:t>
      </w:r>
      <w:r w:rsidR="00DC6D8B">
        <w:t>)</w:t>
      </w:r>
      <w:r w:rsidRPr="00C524FD">
        <w:t xml:space="preserve"> technology in a mammalian cell expression system.</w:t>
      </w:r>
    </w:p>
    <w:p w:rsidR="002A29B3" w:rsidRDefault="002A29B3" w:rsidP="002D4F05">
      <w:r>
        <w:t xml:space="preserve">This AusPAR describes the application by the sponsor to extend the indications for </w:t>
      </w:r>
      <w:proofErr w:type="spellStart"/>
      <w:r>
        <w:t>Humira</w:t>
      </w:r>
      <w:proofErr w:type="spellEnd"/>
      <w:r>
        <w:t xml:space="preserve"> (</w:t>
      </w:r>
      <w:proofErr w:type="spellStart"/>
      <w:r>
        <w:t>a</w:t>
      </w:r>
      <w:r w:rsidRPr="00C524FD">
        <w:t>dalimumab</w:t>
      </w:r>
      <w:proofErr w:type="spellEnd"/>
      <w:r>
        <w:t>) for:</w:t>
      </w:r>
    </w:p>
    <w:p w:rsidR="002A29B3" w:rsidRPr="002D4F05" w:rsidRDefault="002A29B3" w:rsidP="002D4F05">
      <w:pPr>
        <w:ind w:left="720"/>
        <w:rPr>
          <w:i/>
        </w:rPr>
      </w:pPr>
      <w:r w:rsidRPr="002D4F05">
        <w:rPr>
          <w:i/>
        </w:rPr>
        <w:t xml:space="preserve">Non-radiographic Axial </w:t>
      </w:r>
      <w:proofErr w:type="spellStart"/>
      <w:r w:rsidRPr="002D4F05">
        <w:rPr>
          <w:i/>
        </w:rPr>
        <w:t>Spondyloarthritis</w:t>
      </w:r>
      <w:proofErr w:type="spellEnd"/>
      <w:r w:rsidRPr="002D4F05">
        <w:rPr>
          <w:i/>
        </w:rPr>
        <w:t xml:space="preserve"> (axial </w:t>
      </w:r>
      <w:proofErr w:type="spellStart"/>
      <w:r w:rsidRPr="002D4F05">
        <w:rPr>
          <w:i/>
        </w:rPr>
        <w:t>spondyloarthritis</w:t>
      </w:r>
      <w:proofErr w:type="spellEnd"/>
      <w:r w:rsidRPr="002D4F05">
        <w:rPr>
          <w:i/>
        </w:rPr>
        <w:t xml:space="preserve"> without radiographic evidence of AS): </w:t>
      </w:r>
      <w:proofErr w:type="spellStart"/>
      <w:r w:rsidRPr="002D4F05">
        <w:rPr>
          <w:i/>
        </w:rPr>
        <w:t>Humira</w:t>
      </w:r>
      <w:proofErr w:type="spellEnd"/>
      <w:r w:rsidRPr="002D4F05">
        <w:rPr>
          <w:i/>
        </w:rPr>
        <w:t xml:space="preserve"> is indicated for reducing signs and symptoms in patients with non-radiographic axial </w:t>
      </w:r>
      <w:proofErr w:type="spellStart"/>
      <w:r w:rsidRPr="002D4F05">
        <w:rPr>
          <w:i/>
        </w:rPr>
        <w:t>spondyloarthritis</w:t>
      </w:r>
      <w:proofErr w:type="spellEnd"/>
      <w:r w:rsidRPr="002D4F05">
        <w:rPr>
          <w:i/>
        </w:rPr>
        <w:t>.</w:t>
      </w:r>
    </w:p>
    <w:p w:rsidR="00C524FD" w:rsidRDefault="00C524FD" w:rsidP="002D4F05">
      <w:r w:rsidRPr="00C524FD">
        <w:t xml:space="preserve">Adalimumab has been previously considered by </w:t>
      </w:r>
      <w:r w:rsidR="002A29B3">
        <w:t>the TGA</w:t>
      </w:r>
      <w:r w:rsidRPr="00C524FD">
        <w:t xml:space="preserve"> on numerous occasions, with the ankylosing spondylitis (AS) indication considered </w:t>
      </w:r>
      <w:r w:rsidR="0014061E">
        <w:t xml:space="preserve">in </w:t>
      </w:r>
      <w:r w:rsidRPr="00C524FD">
        <w:t>June 2006.</w:t>
      </w:r>
    </w:p>
    <w:p w:rsidR="002A29B3" w:rsidRDefault="002A29B3" w:rsidP="002D4F05">
      <w:r w:rsidRPr="00C524FD">
        <w:t xml:space="preserve">The sponsor has explained the rationale </w:t>
      </w:r>
      <w:r w:rsidR="002D4F05">
        <w:t>for this indication as follows:</w:t>
      </w:r>
    </w:p>
    <w:p w:rsidR="002A29B3" w:rsidRPr="002D4F05" w:rsidRDefault="002A29B3" w:rsidP="002D4F05">
      <w:pPr>
        <w:ind w:left="720"/>
        <w:rPr>
          <w:i/>
        </w:rPr>
      </w:pPr>
      <w:r w:rsidRPr="002D4F05">
        <w:rPr>
          <w:i/>
        </w:rPr>
        <w:t>“Currently, there is an unmet medical need in patients with nr-</w:t>
      </w:r>
      <w:proofErr w:type="spellStart"/>
      <w:r w:rsidRPr="002D4F05">
        <w:rPr>
          <w:i/>
        </w:rPr>
        <w:t>axSpA</w:t>
      </w:r>
      <w:proofErr w:type="spellEnd"/>
      <w:r w:rsidRPr="002D4F05">
        <w:rPr>
          <w:i/>
        </w:rPr>
        <w:t xml:space="preserve"> who have disease features similar to patients with Ankylosing Spondylitis (AS), but who do not fulfil the modified New York criteria for AS by virtue of not having evidence of structural damage in the form of radiographic </w:t>
      </w:r>
      <w:proofErr w:type="spellStart"/>
      <w:r w:rsidR="00EC5BB9" w:rsidRPr="002D4F05">
        <w:rPr>
          <w:i/>
        </w:rPr>
        <w:t>sacroiliitis</w:t>
      </w:r>
      <w:proofErr w:type="spellEnd"/>
      <w:r w:rsidRPr="002D4F05">
        <w:rPr>
          <w:i/>
        </w:rPr>
        <w:t>. Not all patients with nr-</w:t>
      </w:r>
      <w:proofErr w:type="spellStart"/>
      <w:r w:rsidRPr="002D4F05">
        <w:rPr>
          <w:i/>
        </w:rPr>
        <w:lastRenderedPageBreak/>
        <w:t>axSpA</w:t>
      </w:r>
      <w:proofErr w:type="spellEnd"/>
      <w:r w:rsidRPr="002D4F05">
        <w:rPr>
          <w:i/>
        </w:rPr>
        <w:t xml:space="preserve"> go on to develop radiographic </w:t>
      </w:r>
      <w:proofErr w:type="spellStart"/>
      <w:r w:rsidRPr="002D4F05">
        <w:rPr>
          <w:i/>
        </w:rPr>
        <w:t>sacroiliitis</w:t>
      </w:r>
      <w:proofErr w:type="spellEnd"/>
      <w:r w:rsidRPr="002D4F05">
        <w:rPr>
          <w:i/>
        </w:rPr>
        <w:t xml:space="preserve"> required to fulfil the modified New York criteria for a diagnosis of AS. While non-steroidal anti-inflammatory drugs (NSAIDs) are effective in treating the signs and symptoms of axial </w:t>
      </w:r>
      <w:proofErr w:type="spellStart"/>
      <w:r w:rsidRPr="002D4F05">
        <w:rPr>
          <w:i/>
        </w:rPr>
        <w:t>SpA</w:t>
      </w:r>
      <w:proofErr w:type="spellEnd"/>
      <w:r w:rsidRPr="002D4F05">
        <w:rPr>
          <w:i/>
        </w:rPr>
        <w:t xml:space="preserve"> in some patients, traditional anti-rheumatic therapies such as methotrexate and sulfasalazine are not effective for the axial component of </w:t>
      </w:r>
      <w:proofErr w:type="spellStart"/>
      <w:r w:rsidR="00EC5BB9" w:rsidRPr="002D4F05">
        <w:rPr>
          <w:i/>
        </w:rPr>
        <w:t>spondyloarthritis</w:t>
      </w:r>
      <w:proofErr w:type="spellEnd"/>
      <w:r w:rsidR="00EC5BB9" w:rsidRPr="002D4F05">
        <w:rPr>
          <w:i/>
        </w:rPr>
        <w:t xml:space="preserve"> </w:t>
      </w:r>
      <w:r w:rsidRPr="002D4F05">
        <w:rPr>
          <w:i/>
        </w:rPr>
        <w:t>and the use of systemic corticosteroids is not supported by evidence...The potential benefit of anti-TNF therapy in nr-</w:t>
      </w:r>
      <w:proofErr w:type="spellStart"/>
      <w:r w:rsidRPr="002D4F05">
        <w:rPr>
          <w:i/>
        </w:rPr>
        <w:t>axSpA</w:t>
      </w:r>
      <w:proofErr w:type="spellEnd"/>
      <w:r w:rsidRPr="002D4F05">
        <w:rPr>
          <w:i/>
        </w:rPr>
        <w:t xml:space="preserve"> has been acknowledged by the Assessments in </w:t>
      </w:r>
      <w:proofErr w:type="spellStart"/>
      <w:r w:rsidRPr="002D4F05">
        <w:rPr>
          <w:i/>
        </w:rPr>
        <w:t>Spondyloarthritis</w:t>
      </w:r>
      <w:proofErr w:type="spellEnd"/>
      <w:r w:rsidRPr="002D4F05">
        <w:rPr>
          <w:i/>
        </w:rPr>
        <w:t xml:space="preserve"> International Society (ASAS) working group that recently published their recommendations for the use of anti-TNF in axial </w:t>
      </w:r>
      <w:proofErr w:type="spellStart"/>
      <w:r w:rsidRPr="002D4F05">
        <w:rPr>
          <w:i/>
        </w:rPr>
        <w:t>SpA</w:t>
      </w:r>
      <w:proofErr w:type="spellEnd"/>
      <w:r w:rsidRPr="002D4F05">
        <w:rPr>
          <w:i/>
        </w:rPr>
        <w:t xml:space="preserve"> patients. This working group have proposed and validated new classification criteria for patients with axial </w:t>
      </w:r>
      <w:proofErr w:type="spellStart"/>
      <w:r w:rsidRPr="002D4F05">
        <w:rPr>
          <w:i/>
        </w:rPr>
        <w:t>SpA</w:t>
      </w:r>
      <w:proofErr w:type="spellEnd"/>
      <w:r w:rsidRPr="002D4F05">
        <w:rPr>
          <w:i/>
        </w:rPr>
        <w:t xml:space="preserve">. Abbott has used this published ASAS criteria to </w:t>
      </w:r>
      <w:r w:rsidR="008F588F" w:rsidRPr="002D4F05">
        <w:rPr>
          <w:i/>
        </w:rPr>
        <w:t xml:space="preserve">classify </w:t>
      </w:r>
      <w:r w:rsidRPr="002D4F05">
        <w:rPr>
          <w:i/>
        </w:rPr>
        <w:t>nr-</w:t>
      </w:r>
      <w:proofErr w:type="spellStart"/>
      <w:r w:rsidRPr="002D4F05">
        <w:rPr>
          <w:i/>
        </w:rPr>
        <w:t>axSpA</w:t>
      </w:r>
      <w:proofErr w:type="spellEnd"/>
      <w:r w:rsidRPr="002D4F05">
        <w:rPr>
          <w:i/>
        </w:rPr>
        <w:t xml:space="preserve"> patients for the pivotal study.”</w:t>
      </w:r>
    </w:p>
    <w:p w:rsidR="008E7846" w:rsidRPr="002D4F05" w:rsidRDefault="00386150" w:rsidP="002D4F05">
      <w:pPr>
        <w:pStyle w:val="Heading3"/>
      </w:pPr>
      <w:bookmarkStart w:id="18" w:name="_Toc382922631"/>
      <w:r>
        <w:t>Regulatory s</w:t>
      </w:r>
      <w:r w:rsidR="008E7846">
        <w:t>tatus</w:t>
      </w:r>
      <w:bookmarkEnd w:id="16"/>
      <w:bookmarkEnd w:id="17"/>
      <w:bookmarkEnd w:id="18"/>
    </w:p>
    <w:p w:rsidR="00DC6D8B" w:rsidRPr="00C524FD" w:rsidRDefault="00DC6D8B" w:rsidP="002D4F05">
      <w:bookmarkStart w:id="19" w:name="_Toc247691505"/>
      <w:bookmarkStart w:id="20" w:name="_Toc314842486"/>
      <w:proofErr w:type="spellStart"/>
      <w:r w:rsidRPr="00C524FD">
        <w:t>Adalimumab</w:t>
      </w:r>
      <w:proofErr w:type="spellEnd"/>
      <w:r w:rsidRPr="00C524FD">
        <w:t xml:space="preserve"> was first approved in Australia in 2003 for rheumatoid arthritis and is currently approved for use in a variety of conditions including psoriatic arthritis, ankylosing spondylitis, polyarticular juvenile idiopathic arthritis, psoriasis and Crohn’s disease.</w:t>
      </w:r>
      <w:r w:rsidR="002A29B3">
        <w:rPr>
          <w:rStyle w:val="FootnoteReference"/>
        </w:rPr>
        <w:footnoteReference w:id="1"/>
      </w:r>
    </w:p>
    <w:p w:rsidR="00276A76" w:rsidRDefault="00C524FD" w:rsidP="002D4F05">
      <w:r w:rsidRPr="00C524FD">
        <w:t xml:space="preserve">Adalimumab has been approved for a modified indication in the </w:t>
      </w:r>
      <w:r w:rsidR="00276A76">
        <w:t>European Union (</w:t>
      </w:r>
      <w:r w:rsidRPr="00C524FD">
        <w:t>EU</w:t>
      </w:r>
      <w:r w:rsidR="00276A76">
        <w:t>) under the Centralised Procedure</w:t>
      </w:r>
      <w:r w:rsidRPr="00C524FD">
        <w:t xml:space="preserve"> (July 2012).</w:t>
      </w:r>
    </w:p>
    <w:p w:rsidR="00276A76" w:rsidRDefault="00C524FD" w:rsidP="002D4F05">
      <w:r w:rsidRPr="00C524FD">
        <w:t>The submission is currently under evaluation in Canada, US</w:t>
      </w:r>
      <w:r w:rsidR="002D4F05">
        <w:t>A, Switzerland and New Zealand.</w:t>
      </w:r>
    </w:p>
    <w:p w:rsidR="00C524FD" w:rsidRPr="00C524FD" w:rsidRDefault="00C524FD" w:rsidP="002D4F05">
      <w:r w:rsidRPr="00C524FD">
        <w:t>The data submitted to the TGA was the same as that submitted in the EU.</w:t>
      </w:r>
      <w:r w:rsidR="002A29B3">
        <w:t xml:space="preserve"> </w:t>
      </w:r>
      <w:r w:rsidRPr="00C524FD">
        <w:t xml:space="preserve">The approved indication in the EU has also been combined with the AS indication under a new heading called Axial </w:t>
      </w:r>
      <w:proofErr w:type="spellStart"/>
      <w:r w:rsidRPr="00C524FD">
        <w:t>Spondyloarthritis</w:t>
      </w:r>
      <w:proofErr w:type="spellEnd"/>
      <w:r w:rsidRPr="00C524FD">
        <w:t xml:space="preserve"> as follows:</w:t>
      </w:r>
    </w:p>
    <w:p w:rsidR="00C524FD" w:rsidRPr="002D4F05" w:rsidRDefault="00C524FD" w:rsidP="002D4F05">
      <w:pPr>
        <w:ind w:left="720"/>
        <w:rPr>
          <w:i/>
        </w:rPr>
      </w:pPr>
      <w:r w:rsidRPr="002D4F05">
        <w:rPr>
          <w:i/>
        </w:rPr>
        <w:t xml:space="preserve">Axial </w:t>
      </w:r>
      <w:proofErr w:type="spellStart"/>
      <w:r w:rsidRPr="002D4F05">
        <w:rPr>
          <w:i/>
        </w:rPr>
        <w:t>spondyloarthritis</w:t>
      </w:r>
      <w:proofErr w:type="spellEnd"/>
    </w:p>
    <w:p w:rsidR="00C524FD" w:rsidRPr="002D4F05" w:rsidRDefault="00C524FD" w:rsidP="002D4F05">
      <w:pPr>
        <w:ind w:left="720"/>
        <w:rPr>
          <w:i/>
        </w:rPr>
      </w:pPr>
      <w:r w:rsidRPr="002D4F05">
        <w:rPr>
          <w:i/>
        </w:rPr>
        <w:t xml:space="preserve">Ankylosing </w:t>
      </w:r>
      <w:proofErr w:type="gramStart"/>
      <w:r w:rsidRPr="002D4F05">
        <w:rPr>
          <w:i/>
        </w:rPr>
        <w:t>spondylitis(</w:t>
      </w:r>
      <w:proofErr w:type="gramEnd"/>
      <w:r w:rsidRPr="002D4F05">
        <w:rPr>
          <w:i/>
        </w:rPr>
        <w:t>AS)</w:t>
      </w:r>
    </w:p>
    <w:p w:rsidR="00C524FD" w:rsidRPr="002D4F05" w:rsidRDefault="00C524FD" w:rsidP="002D4F05">
      <w:pPr>
        <w:ind w:left="720"/>
        <w:rPr>
          <w:i/>
        </w:rPr>
      </w:pPr>
      <w:proofErr w:type="spellStart"/>
      <w:r w:rsidRPr="002D4F05">
        <w:rPr>
          <w:i/>
        </w:rPr>
        <w:t>Humira</w:t>
      </w:r>
      <w:proofErr w:type="spellEnd"/>
      <w:r w:rsidRPr="002D4F05">
        <w:rPr>
          <w:i/>
        </w:rPr>
        <w:t xml:space="preserve"> is indicated for the treatment of adults with severe active ankylosing spondylitis who have had an inadequate response to conventional therapy.</w:t>
      </w:r>
    </w:p>
    <w:p w:rsidR="00C524FD" w:rsidRPr="002D4F05" w:rsidRDefault="00C524FD" w:rsidP="002D4F05">
      <w:pPr>
        <w:ind w:left="720"/>
        <w:rPr>
          <w:i/>
        </w:rPr>
      </w:pPr>
      <w:proofErr w:type="gramStart"/>
      <w:r w:rsidRPr="002D4F05">
        <w:rPr>
          <w:i/>
        </w:rPr>
        <w:t xml:space="preserve">Axial </w:t>
      </w:r>
      <w:proofErr w:type="spellStart"/>
      <w:r w:rsidRPr="002D4F05">
        <w:rPr>
          <w:i/>
        </w:rPr>
        <w:t>spondyloarthritis</w:t>
      </w:r>
      <w:proofErr w:type="spellEnd"/>
      <w:r w:rsidRPr="002D4F05">
        <w:rPr>
          <w:i/>
        </w:rPr>
        <w:t xml:space="preserve"> without radiographic evidence of AS.</w:t>
      </w:r>
      <w:proofErr w:type="gramEnd"/>
    </w:p>
    <w:p w:rsidR="00C524FD" w:rsidRPr="002D4F05" w:rsidRDefault="00C524FD" w:rsidP="002D4F05">
      <w:pPr>
        <w:ind w:left="720"/>
        <w:rPr>
          <w:i/>
        </w:rPr>
      </w:pPr>
      <w:proofErr w:type="spellStart"/>
      <w:r w:rsidRPr="002D4F05">
        <w:rPr>
          <w:i/>
        </w:rPr>
        <w:lastRenderedPageBreak/>
        <w:t>Humira</w:t>
      </w:r>
      <w:proofErr w:type="spellEnd"/>
      <w:r w:rsidRPr="002D4F05">
        <w:rPr>
          <w:i/>
        </w:rPr>
        <w:t xml:space="preserve"> is indicated for the treatment of adults with severe axial </w:t>
      </w:r>
      <w:proofErr w:type="spellStart"/>
      <w:r w:rsidRPr="002D4F05">
        <w:rPr>
          <w:i/>
        </w:rPr>
        <w:t>spondyloarthritis</w:t>
      </w:r>
      <w:proofErr w:type="spellEnd"/>
      <w:r w:rsidRPr="002D4F05">
        <w:rPr>
          <w:i/>
        </w:rPr>
        <w:t xml:space="preserve"> without radiographic evidence of AS but with objective signs of inflammation by elevated CRP and / or MRI, who have had an inadequate response to, or are intolerant to </w:t>
      </w:r>
      <w:proofErr w:type="spellStart"/>
      <w:r w:rsidRPr="002D4F05">
        <w:rPr>
          <w:i/>
        </w:rPr>
        <w:t>nonsteroidal</w:t>
      </w:r>
      <w:proofErr w:type="spellEnd"/>
      <w:r w:rsidRPr="002D4F05">
        <w:rPr>
          <w:i/>
        </w:rPr>
        <w:t xml:space="preserve"> anti-inflammatory drugs.</w:t>
      </w:r>
    </w:p>
    <w:p w:rsidR="008E7846" w:rsidRDefault="008E7846" w:rsidP="002D4F05">
      <w:pPr>
        <w:pStyle w:val="Heading3"/>
      </w:pPr>
      <w:bookmarkStart w:id="21" w:name="_Toc382922632"/>
      <w:r>
        <w:t xml:space="preserve">Product </w:t>
      </w:r>
      <w:r w:rsidRPr="002D4F05">
        <w:t>Information</w:t>
      </w:r>
      <w:bookmarkEnd w:id="19"/>
      <w:bookmarkEnd w:id="20"/>
      <w:bookmarkEnd w:id="21"/>
    </w:p>
    <w:p w:rsidR="008E7846" w:rsidRDefault="008E7846" w:rsidP="002D4F05">
      <w:r>
        <w:t>The approved Product Information (PI) current at the time this AusPAR was prepared can be found as Attachment 1.</w:t>
      </w:r>
      <w:bookmarkStart w:id="22" w:name="_Toc247691506"/>
      <w:bookmarkStart w:id="23" w:name="_Toc314842487"/>
    </w:p>
    <w:p w:rsidR="008E7846" w:rsidRPr="003602A9" w:rsidRDefault="008E7846" w:rsidP="002D4F05">
      <w:pPr>
        <w:pStyle w:val="Heading2"/>
      </w:pPr>
      <w:bookmarkStart w:id="24" w:name="_Toc382922633"/>
      <w:r>
        <w:t>II. Quality</w:t>
      </w:r>
      <w:bookmarkEnd w:id="1"/>
      <w:r>
        <w:t xml:space="preserve"> findings</w:t>
      </w:r>
      <w:bookmarkEnd w:id="22"/>
      <w:bookmarkEnd w:id="23"/>
      <w:bookmarkEnd w:id="24"/>
    </w:p>
    <w:p w:rsidR="008E7846" w:rsidRDefault="008E7846" w:rsidP="002D4F05">
      <w:r>
        <w:t>There was no requirement for a quality evaluation in a submission of this type.</w:t>
      </w:r>
    </w:p>
    <w:p w:rsidR="008E7846" w:rsidRDefault="008E7846" w:rsidP="002D4F05">
      <w:pPr>
        <w:pStyle w:val="Heading2"/>
      </w:pPr>
      <w:bookmarkStart w:id="25" w:name="_Toc196046439"/>
      <w:bookmarkStart w:id="26" w:name="_Toc247691510"/>
      <w:bookmarkStart w:id="27" w:name="_Toc314842494"/>
      <w:bookmarkStart w:id="28" w:name="_Toc382922634"/>
      <w:r>
        <w:t xml:space="preserve">III. </w:t>
      </w:r>
      <w:r w:rsidRPr="002D4F05">
        <w:t>Nonclinical</w:t>
      </w:r>
      <w:bookmarkEnd w:id="25"/>
      <w:r>
        <w:t xml:space="preserve"> findings</w:t>
      </w:r>
      <w:bookmarkEnd w:id="26"/>
      <w:bookmarkEnd w:id="27"/>
      <w:bookmarkEnd w:id="28"/>
    </w:p>
    <w:p w:rsidR="008E7846" w:rsidRDefault="008E7846" w:rsidP="002D4F05">
      <w:r>
        <w:t>There was no requirement for a nonclinical evaluation in a submission of this type.</w:t>
      </w:r>
    </w:p>
    <w:p w:rsidR="008E7846" w:rsidRPr="00254787" w:rsidRDefault="008E7846" w:rsidP="002D4F05">
      <w:pPr>
        <w:pStyle w:val="Heading2"/>
      </w:pPr>
      <w:bookmarkStart w:id="29" w:name="_Toc196046462"/>
      <w:bookmarkStart w:id="30" w:name="_Toc247691516"/>
      <w:bookmarkStart w:id="31" w:name="_Toc314842500"/>
      <w:bookmarkStart w:id="32" w:name="_Toc163441353"/>
      <w:bookmarkStart w:id="33" w:name="_Toc163441348"/>
      <w:bookmarkStart w:id="34" w:name="_Toc382922635"/>
      <w:r>
        <w:t xml:space="preserve">IV. </w:t>
      </w:r>
      <w:r w:rsidRPr="002D4F05">
        <w:t>Clinical</w:t>
      </w:r>
      <w:bookmarkEnd w:id="29"/>
      <w:r>
        <w:t xml:space="preserve"> </w:t>
      </w:r>
      <w:r w:rsidR="003A7F6C">
        <w:t>f</w:t>
      </w:r>
      <w:r>
        <w:t>indings</w:t>
      </w:r>
      <w:bookmarkEnd w:id="30"/>
      <w:bookmarkEnd w:id="31"/>
      <w:bookmarkEnd w:id="34"/>
    </w:p>
    <w:p w:rsidR="00C80137" w:rsidRPr="00276A76" w:rsidRDefault="00C80137" w:rsidP="002D4F05">
      <w:bookmarkStart w:id="35" w:name="_Toc196046463"/>
      <w:r w:rsidRPr="00276A76">
        <w:t>A summary of the clinical findings is presented in this section. Further details of these clinical findings can be found in Attachment 2.</w:t>
      </w:r>
    </w:p>
    <w:p w:rsidR="008E7846" w:rsidRPr="002D4F05" w:rsidRDefault="008E7846" w:rsidP="002D4F05">
      <w:pPr>
        <w:pStyle w:val="Heading3"/>
      </w:pPr>
      <w:bookmarkStart w:id="36" w:name="_Toc247691517"/>
      <w:bookmarkStart w:id="37" w:name="_Toc314842501"/>
      <w:bookmarkStart w:id="38" w:name="_Toc382922636"/>
      <w:r w:rsidRPr="00254787">
        <w:t>Introduction</w:t>
      </w:r>
      <w:bookmarkEnd w:id="35"/>
      <w:bookmarkEnd w:id="36"/>
      <w:bookmarkEnd w:id="37"/>
      <w:bookmarkEnd w:id="38"/>
    </w:p>
    <w:p w:rsidR="00DC6D8B" w:rsidRPr="00DC6D8B" w:rsidRDefault="00DC6D8B" w:rsidP="002D4F05">
      <w:pPr>
        <w:pStyle w:val="Heading4"/>
      </w:pPr>
      <w:bookmarkStart w:id="39" w:name="_Toc372550990"/>
      <w:bookmarkStart w:id="40" w:name="_Toc351718900"/>
      <w:bookmarkStart w:id="41" w:name="_Toc355338635"/>
      <w:bookmarkStart w:id="42" w:name="_Toc196046464"/>
      <w:bookmarkStart w:id="43" w:name="_Toc247691518"/>
      <w:bookmarkStart w:id="44" w:name="_Toc314842502"/>
      <w:r w:rsidRPr="00DC6D8B">
        <w:t xml:space="preserve">Clinical </w:t>
      </w:r>
      <w:r w:rsidRPr="002D4F05">
        <w:t>rationale</w:t>
      </w:r>
      <w:bookmarkEnd w:id="39"/>
    </w:p>
    <w:p w:rsidR="002A29B3" w:rsidRDefault="00DC6D8B" w:rsidP="002D4F05">
      <w:r w:rsidRPr="00DC6D8B">
        <w:t xml:space="preserve">The sponsor justified the development of adalimumab for the treatment of </w:t>
      </w:r>
      <w:r w:rsidR="00184308">
        <w:t>n</w:t>
      </w:r>
      <w:r w:rsidRPr="00DC6D8B">
        <w:t>on-</w:t>
      </w:r>
      <w:r w:rsidR="00184308">
        <w:t>r</w:t>
      </w:r>
      <w:r w:rsidRPr="00DC6D8B">
        <w:t xml:space="preserve">adiographic Axial </w:t>
      </w:r>
      <w:proofErr w:type="spellStart"/>
      <w:r w:rsidRPr="00DC6D8B">
        <w:t>Spondyloarthritis</w:t>
      </w:r>
      <w:proofErr w:type="spellEnd"/>
      <w:r w:rsidRPr="00DC6D8B">
        <w:t xml:space="preserve"> (nr-</w:t>
      </w:r>
      <w:proofErr w:type="spellStart"/>
      <w:r w:rsidRPr="00DC6D8B">
        <w:t>axSp</w:t>
      </w:r>
      <w:r w:rsidR="002D4F05">
        <w:t>A</w:t>
      </w:r>
      <w:proofErr w:type="spellEnd"/>
      <w:r w:rsidR="002D4F05">
        <w:t>) with the following argument:</w:t>
      </w:r>
    </w:p>
    <w:p w:rsidR="002A29B3" w:rsidRPr="002D4F05" w:rsidRDefault="00DC6D8B" w:rsidP="002D4F05">
      <w:pPr>
        <w:ind w:left="720"/>
        <w:rPr>
          <w:i/>
        </w:rPr>
      </w:pPr>
      <w:r w:rsidRPr="002D4F05">
        <w:rPr>
          <w:i/>
        </w:rPr>
        <w:t>“Currently, there is an unmet medical need in patients with nr-</w:t>
      </w:r>
      <w:proofErr w:type="spellStart"/>
      <w:r w:rsidRPr="002D4F05">
        <w:rPr>
          <w:i/>
        </w:rPr>
        <w:t>axSpA</w:t>
      </w:r>
      <w:proofErr w:type="spellEnd"/>
      <w:r w:rsidRPr="002D4F05">
        <w:rPr>
          <w:i/>
        </w:rPr>
        <w:t xml:space="preserve"> who have disease features similar to patients with Ankylosing Spondylitis (AS), but who do not fulfil the modified New York criteria for AS by virtue of not having evidence of structural damage in the form of radiographic </w:t>
      </w:r>
      <w:proofErr w:type="spellStart"/>
      <w:r w:rsidRPr="002D4F05">
        <w:rPr>
          <w:i/>
        </w:rPr>
        <w:t>sacroiliitis</w:t>
      </w:r>
      <w:proofErr w:type="spellEnd"/>
      <w:r w:rsidR="002D4F05">
        <w:rPr>
          <w:i/>
        </w:rPr>
        <w:t>.”</w:t>
      </w:r>
    </w:p>
    <w:p w:rsidR="00DC6D8B" w:rsidRPr="00DC6D8B" w:rsidRDefault="00DC6D8B" w:rsidP="002D4F05">
      <w:pPr>
        <w:rPr>
          <w:b/>
          <w:bCs/>
        </w:rPr>
      </w:pPr>
      <w:r w:rsidRPr="00DC6D8B">
        <w:t xml:space="preserve">This patient group does not respond to traditional Disease-modifying anti-rheumatic drugs (DMARDs) such as Methotrexate (MTX) and sulfasalazine. </w:t>
      </w:r>
      <w:proofErr w:type="spellStart"/>
      <w:r w:rsidRPr="00DC6D8B">
        <w:t>Nonsteroidal</w:t>
      </w:r>
      <w:proofErr w:type="spellEnd"/>
      <w:r w:rsidRPr="00DC6D8B">
        <w:t xml:space="preserve"> anti-inflammatory drug</w:t>
      </w:r>
      <w:r w:rsidR="002A29B3">
        <w:t>s</w:t>
      </w:r>
      <w:r w:rsidRPr="00DC6D8B">
        <w:t xml:space="preserve"> (NSAIDs) provide some symptom relief but </w:t>
      </w:r>
      <w:r w:rsidR="002F3070">
        <w:t>some patients may not have sufficient response to this treatment</w:t>
      </w:r>
      <w:r w:rsidRPr="00DC6D8B">
        <w:t>. Whilst adalimumab and other anti-TNF therapies have been approved for the indication of Ankylosing spondylitis (AS), patients with nr-</w:t>
      </w:r>
      <w:proofErr w:type="spellStart"/>
      <w:r w:rsidRPr="00DC6D8B">
        <w:t>axSpA</w:t>
      </w:r>
      <w:proofErr w:type="spellEnd"/>
      <w:r w:rsidRPr="00DC6D8B">
        <w:t xml:space="preserve"> do not have access to (approved) treatments other than NSAIDs.</w:t>
      </w:r>
    </w:p>
    <w:p w:rsidR="00DC6D8B" w:rsidRPr="002D4F05" w:rsidRDefault="00DC6D8B" w:rsidP="002D4F05">
      <w:pPr>
        <w:pStyle w:val="Heading4"/>
      </w:pPr>
      <w:bookmarkStart w:id="45" w:name="_Toc372550991"/>
      <w:r w:rsidRPr="00DC6D8B">
        <w:t>Contents of the clinical dossier</w:t>
      </w:r>
      <w:bookmarkEnd w:id="40"/>
      <w:bookmarkEnd w:id="41"/>
      <w:bookmarkEnd w:id="45"/>
    </w:p>
    <w:p w:rsidR="00DC6D8B" w:rsidRPr="00DC6D8B" w:rsidRDefault="00DC6D8B" w:rsidP="002D4F05">
      <w:r w:rsidRPr="00DC6D8B">
        <w:t>The submission contained the following clinical information:</w:t>
      </w:r>
    </w:p>
    <w:p w:rsidR="00DC6D8B" w:rsidRPr="00DC6D8B" w:rsidRDefault="00DC6D8B" w:rsidP="002D4F05">
      <w:pPr>
        <w:pStyle w:val="ListBullet"/>
      </w:pPr>
      <w:r w:rsidRPr="00DC6D8B">
        <w:t>One efficacy/safety study: Study M10-791.</w:t>
      </w:r>
    </w:p>
    <w:p w:rsidR="005C7EA6" w:rsidRPr="00DC6D8B" w:rsidRDefault="00DC6D8B" w:rsidP="002D4F05">
      <w:pPr>
        <w:pStyle w:val="ListBullet"/>
      </w:pPr>
      <w:r w:rsidRPr="00DC6D8B">
        <w:t>Three files containing tabulations of pooled safety data</w:t>
      </w:r>
    </w:p>
    <w:p w:rsidR="00DC6D8B" w:rsidRPr="002D4F05" w:rsidRDefault="00DC6D8B" w:rsidP="002D4F05">
      <w:pPr>
        <w:pStyle w:val="Heading4"/>
      </w:pPr>
      <w:bookmarkStart w:id="46" w:name="_Toc372550993"/>
      <w:r w:rsidRPr="00DC6D8B">
        <w:lastRenderedPageBreak/>
        <w:t>Paediatric data</w:t>
      </w:r>
      <w:bookmarkEnd w:id="46"/>
    </w:p>
    <w:p w:rsidR="00DC6D8B" w:rsidRPr="00DC6D8B" w:rsidRDefault="00DC6D8B" w:rsidP="002D4F05">
      <w:r w:rsidRPr="00DC6D8B">
        <w:t xml:space="preserve">The submission did not include paediatric data. There are no plans for a paediatric development program for </w:t>
      </w:r>
      <w:proofErr w:type="spellStart"/>
      <w:r w:rsidRPr="00DC6D8B">
        <w:t>non radiographic</w:t>
      </w:r>
      <w:proofErr w:type="spellEnd"/>
      <w:r w:rsidRPr="00DC6D8B">
        <w:t xml:space="preserve"> axial </w:t>
      </w:r>
      <w:proofErr w:type="spellStart"/>
      <w:r w:rsidRPr="00DC6D8B">
        <w:t>spondyloarthritis</w:t>
      </w:r>
      <w:proofErr w:type="spellEnd"/>
      <w:r w:rsidR="00CB0A7D">
        <w:t xml:space="preserve"> (</w:t>
      </w:r>
      <w:r w:rsidR="00CB0A7D" w:rsidRPr="00DC6D8B">
        <w:t>nr-</w:t>
      </w:r>
      <w:proofErr w:type="spellStart"/>
      <w:r w:rsidR="00CB0A7D" w:rsidRPr="00DC6D8B">
        <w:t>axSpA</w:t>
      </w:r>
      <w:proofErr w:type="spellEnd"/>
      <w:r w:rsidR="00CB0A7D">
        <w:t>)</w:t>
      </w:r>
      <w:r w:rsidRPr="00DC6D8B">
        <w:t>.</w:t>
      </w:r>
    </w:p>
    <w:p w:rsidR="00DC6D8B" w:rsidRPr="00DC6D8B" w:rsidRDefault="00DC6D8B" w:rsidP="002D4F05">
      <w:pPr>
        <w:pStyle w:val="Heading4"/>
      </w:pPr>
      <w:bookmarkStart w:id="47" w:name="_Toc372550994"/>
      <w:r w:rsidRPr="00DC6D8B">
        <w:t xml:space="preserve">Good clinical </w:t>
      </w:r>
      <w:r w:rsidRPr="002D4F05">
        <w:t>practice</w:t>
      </w:r>
      <w:bookmarkEnd w:id="47"/>
    </w:p>
    <w:p w:rsidR="00DC6D8B" w:rsidRPr="00DC6D8B" w:rsidRDefault="00DC6D8B" w:rsidP="002D4F05">
      <w:bookmarkStart w:id="48" w:name="_Toc241374282"/>
      <w:r w:rsidRPr="00DC6D8B">
        <w:t>The studies presented in the present application were conducted in accordance with Good Clinical Practice.</w:t>
      </w:r>
    </w:p>
    <w:p w:rsidR="008E7846" w:rsidRPr="00254787" w:rsidRDefault="008E7846" w:rsidP="002D4F05">
      <w:pPr>
        <w:pStyle w:val="Heading3"/>
      </w:pPr>
      <w:bookmarkStart w:id="49" w:name="_Toc382922637"/>
      <w:bookmarkEnd w:id="48"/>
      <w:r w:rsidRPr="002D4F05">
        <w:t>Pharmacokinetics</w:t>
      </w:r>
      <w:bookmarkEnd w:id="32"/>
      <w:bookmarkEnd w:id="42"/>
      <w:bookmarkEnd w:id="43"/>
      <w:bookmarkEnd w:id="44"/>
      <w:bookmarkEnd w:id="49"/>
    </w:p>
    <w:p w:rsidR="00DC6D8B" w:rsidRPr="00DC6D8B" w:rsidRDefault="00DC6D8B" w:rsidP="002D4F05">
      <w:bookmarkStart w:id="50" w:name="_Toc196046481"/>
      <w:bookmarkStart w:id="51" w:name="_Toc247691520"/>
      <w:bookmarkStart w:id="52" w:name="_Toc314842503"/>
      <w:r w:rsidRPr="00DC6D8B">
        <w:t xml:space="preserve">There were no new pharmacokinetic data </w:t>
      </w:r>
      <w:r w:rsidR="00184308">
        <w:t>included</w:t>
      </w:r>
      <w:r w:rsidRPr="00DC6D8B">
        <w:t xml:space="preserve"> in the dossier.</w:t>
      </w:r>
    </w:p>
    <w:p w:rsidR="008E7846" w:rsidRDefault="008E7846" w:rsidP="002D4F05">
      <w:pPr>
        <w:pStyle w:val="Heading3"/>
      </w:pPr>
      <w:bookmarkStart w:id="53" w:name="_Toc382922638"/>
      <w:r w:rsidRPr="002D4F05">
        <w:t>Pharmacodynamics</w:t>
      </w:r>
      <w:bookmarkEnd w:id="33"/>
      <w:bookmarkEnd w:id="50"/>
      <w:bookmarkEnd w:id="51"/>
      <w:bookmarkEnd w:id="52"/>
      <w:bookmarkEnd w:id="53"/>
    </w:p>
    <w:p w:rsidR="00DC6D8B" w:rsidRPr="00DC6D8B" w:rsidRDefault="00DC6D8B" w:rsidP="002D4F05">
      <w:bookmarkStart w:id="54" w:name="_Toc163441372"/>
      <w:bookmarkStart w:id="55" w:name="_Toc196046485"/>
      <w:bookmarkStart w:id="56" w:name="_Toc247691521"/>
      <w:bookmarkStart w:id="57" w:name="_Toc314842504"/>
      <w:r w:rsidRPr="00DC6D8B">
        <w:t xml:space="preserve">There were no new pharmacodynamic data </w:t>
      </w:r>
      <w:r w:rsidR="00184308">
        <w:t>included</w:t>
      </w:r>
      <w:r w:rsidRPr="00DC6D8B">
        <w:t xml:space="preserve"> in the dossier.</w:t>
      </w:r>
    </w:p>
    <w:p w:rsidR="008E7846" w:rsidRPr="002D4F05" w:rsidRDefault="008E7846" w:rsidP="002D4F05">
      <w:pPr>
        <w:pStyle w:val="Heading3"/>
      </w:pPr>
      <w:bookmarkStart w:id="58" w:name="_Toc382922639"/>
      <w:r w:rsidRPr="00254787">
        <w:t>Efficacy</w:t>
      </w:r>
      <w:bookmarkEnd w:id="54"/>
      <w:bookmarkEnd w:id="55"/>
      <w:bookmarkEnd w:id="56"/>
      <w:bookmarkEnd w:id="57"/>
      <w:bookmarkEnd w:id="58"/>
    </w:p>
    <w:p w:rsidR="00DC6D8B" w:rsidRPr="00DC6D8B" w:rsidRDefault="00DC6D8B" w:rsidP="002D4F05">
      <w:pPr>
        <w:pStyle w:val="Heading4"/>
      </w:pPr>
      <w:bookmarkStart w:id="59" w:name="_Toc372550997"/>
      <w:bookmarkStart w:id="60" w:name="_Toc163441378"/>
      <w:bookmarkStart w:id="61" w:name="_Toc196046495"/>
      <w:bookmarkStart w:id="62" w:name="_Toc247691522"/>
      <w:bookmarkStart w:id="63" w:name="_Toc314842505"/>
      <w:r w:rsidRPr="00DC6D8B">
        <w:t xml:space="preserve">Dosage </w:t>
      </w:r>
      <w:r w:rsidRPr="002D4F05">
        <w:t>selection</w:t>
      </w:r>
      <w:r w:rsidRPr="00DC6D8B">
        <w:t xml:space="preserve"> for the pivotal studies</w:t>
      </w:r>
      <w:bookmarkEnd w:id="59"/>
    </w:p>
    <w:p w:rsidR="00DC6D8B" w:rsidRPr="00DC6D8B" w:rsidRDefault="00DC6D8B" w:rsidP="002D4F05">
      <w:r w:rsidRPr="00DC6D8B">
        <w:t>The sponsor did not conduct dose finding studies for the present application. The dose selected for development appears to be based on the approved dose for the indication of AS.</w:t>
      </w:r>
    </w:p>
    <w:p w:rsidR="00DC6D8B" w:rsidRPr="002A29B3" w:rsidRDefault="00DC6D8B" w:rsidP="002D4F05">
      <w:pPr>
        <w:pStyle w:val="Heading4"/>
      </w:pPr>
      <w:bookmarkStart w:id="64" w:name="_Toc372551001"/>
      <w:r w:rsidRPr="002A29B3">
        <w:t xml:space="preserve">Evaluator’s </w:t>
      </w:r>
      <w:r w:rsidRPr="002D4F05">
        <w:t>conclusions</w:t>
      </w:r>
      <w:r w:rsidRPr="002A29B3">
        <w:t xml:space="preserve"> on clinical efficacy</w:t>
      </w:r>
      <w:bookmarkEnd w:id="64"/>
      <w:r w:rsidRPr="002A29B3">
        <w:t xml:space="preserve"> </w:t>
      </w:r>
      <w:r w:rsidR="002A29B3" w:rsidRPr="002A29B3">
        <w:t xml:space="preserve">for </w:t>
      </w:r>
      <w:r w:rsidRPr="002A29B3">
        <w:t xml:space="preserve">Non-Radiographic Axial </w:t>
      </w:r>
      <w:proofErr w:type="spellStart"/>
      <w:r w:rsidRPr="002A29B3">
        <w:t>SpA</w:t>
      </w:r>
      <w:proofErr w:type="spellEnd"/>
    </w:p>
    <w:p w:rsidR="00DC6D8B" w:rsidRPr="00DC6D8B" w:rsidRDefault="00DC6D8B" w:rsidP="002D4F05">
      <w:r w:rsidRPr="00DC6D8B">
        <w:t>Efficacy has been demonstrated for adalimumab in comparison with placebo for the indication of nr-</w:t>
      </w:r>
      <w:proofErr w:type="spellStart"/>
      <w:r w:rsidRPr="00DC6D8B">
        <w:t>axSpA</w:t>
      </w:r>
      <w:proofErr w:type="spellEnd"/>
      <w:r w:rsidRPr="00DC6D8B">
        <w:t xml:space="preserve"> over a 12 week period. The response rate was both clinically and statistically significant. The response was maintained in an open label follow-on study for up to 68 weeks. Response was greater in subjects with elevated </w:t>
      </w:r>
      <w:r w:rsidR="00CB0A7D" w:rsidRPr="00CB0A7D">
        <w:t>C-reactive protein</w:t>
      </w:r>
      <w:r w:rsidR="00CB0A7D">
        <w:t xml:space="preserve"> (</w:t>
      </w:r>
      <w:r w:rsidRPr="00DC6D8B">
        <w:t>CRP</w:t>
      </w:r>
      <w:r w:rsidR="00CB0A7D">
        <w:t>)</w:t>
      </w:r>
      <w:r w:rsidRPr="00DC6D8B">
        <w:t xml:space="preserve"> at baseline and with shorter duration of symptoms. </w:t>
      </w:r>
      <w:r w:rsidRPr="00DC6D8B">
        <w:rPr>
          <w:lang w:val="en-US"/>
        </w:rPr>
        <w:t xml:space="preserve">For those subjects with no concomitant </w:t>
      </w:r>
      <w:r w:rsidR="00CB0A7D" w:rsidRPr="00CB0A7D">
        <w:t>Disease-modifying anti-rheumatic drugs</w:t>
      </w:r>
      <w:r w:rsidR="00CB0A7D" w:rsidRPr="00CB0A7D">
        <w:rPr>
          <w:lang w:val="en-US"/>
        </w:rPr>
        <w:t xml:space="preserve"> </w:t>
      </w:r>
      <w:r w:rsidR="00CB0A7D">
        <w:rPr>
          <w:lang w:val="en-US"/>
        </w:rPr>
        <w:t>(</w:t>
      </w:r>
      <w:r w:rsidRPr="00DC6D8B">
        <w:rPr>
          <w:lang w:val="en-US"/>
        </w:rPr>
        <w:t>DMARDs</w:t>
      </w:r>
      <w:r w:rsidR="00CB0A7D">
        <w:rPr>
          <w:lang w:val="en-US"/>
        </w:rPr>
        <w:t>)</w:t>
      </w:r>
      <w:r w:rsidRPr="00DC6D8B">
        <w:rPr>
          <w:lang w:val="en-US"/>
        </w:rPr>
        <w:t xml:space="preserve"> at baseline (monotherapy) there were five (26.3%) responders in the adalimumab</w:t>
      </w:r>
      <w:r w:rsidR="002D4F05">
        <w:rPr>
          <w:lang w:val="en-US"/>
        </w:rPr>
        <w:t xml:space="preserve"> group and none in the placebo.</w:t>
      </w:r>
    </w:p>
    <w:p w:rsidR="00DC6D8B" w:rsidRPr="00DC6D8B" w:rsidRDefault="00DC6D8B" w:rsidP="002D4F05">
      <w:r w:rsidRPr="00DC6D8B">
        <w:t xml:space="preserve">The </w:t>
      </w:r>
      <w:r w:rsidR="00CB0A7D" w:rsidRPr="00CB0A7D">
        <w:t xml:space="preserve">Assessments in </w:t>
      </w:r>
      <w:proofErr w:type="spellStart"/>
      <w:r w:rsidR="00CB0A7D" w:rsidRPr="00CB0A7D">
        <w:t>Spondyloarthritis</w:t>
      </w:r>
      <w:proofErr w:type="spellEnd"/>
      <w:r w:rsidR="00CB0A7D" w:rsidRPr="00CB0A7D">
        <w:t xml:space="preserve"> International Society </w:t>
      </w:r>
      <w:r w:rsidR="00CB0A7D">
        <w:t>(</w:t>
      </w:r>
      <w:r w:rsidRPr="00DC6D8B">
        <w:t>ASAS</w:t>
      </w:r>
      <w:r w:rsidR="00CB0A7D">
        <w:t>)</w:t>
      </w:r>
      <w:r w:rsidRPr="00DC6D8B">
        <w:t xml:space="preserve"> worked on developing criteria for axial </w:t>
      </w:r>
      <w:proofErr w:type="spellStart"/>
      <w:r w:rsidR="00CB0A7D" w:rsidRPr="00CB0A7D">
        <w:t>Spondyloarthritis</w:t>
      </w:r>
      <w:proofErr w:type="spellEnd"/>
      <w:r w:rsidR="00CB0A7D" w:rsidRPr="00CB0A7D">
        <w:t xml:space="preserve"> </w:t>
      </w:r>
      <w:r w:rsidR="00CB0A7D">
        <w:t xml:space="preserve"> (</w:t>
      </w:r>
      <w:proofErr w:type="spellStart"/>
      <w:r w:rsidRPr="00DC6D8B">
        <w:t>SpA</w:t>
      </w:r>
      <w:proofErr w:type="spellEnd"/>
      <w:r w:rsidR="00CB0A7D">
        <w:t>)</w:t>
      </w:r>
      <w:r w:rsidRPr="00DC6D8B">
        <w:t xml:space="preserve"> that include patients with and without definite radiographic </w:t>
      </w:r>
      <w:proofErr w:type="spellStart"/>
      <w:r w:rsidRPr="00DC6D8B">
        <w:t>sacroiliitis</w:t>
      </w:r>
      <w:proofErr w:type="spellEnd"/>
      <w:r w:rsidRPr="00DC6D8B">
        <w:t xml:space="preserve"> because “</w:t>
      </w:r>
      <w:r w:rsidRPr="00DC6D8B">
        <w:rPr>
          <w:i/>
        </w:rPr>
        <w:t xml:space="preserve">radiographic changes may reflect the consequences of inflammation (structural damage) rather than inflammation itself, which may be readily detectable by magnetic resonance imaging (MRI), often years before the appearance of radiographic </w:t>
      </w:r>
      <w:proofErr w:type="spellStart"/>
      <w:r w:rsidRPr="00DC6D8B">
        <w:rPr>
          <w:i/>
        </w:rPr>
        <w:t>sacroiliitis</w:t>
      </w:r>
      <w:proofErr w:type="spellEnd"/>
      <w:r w:rsidRPr="00DC6D8B">
        <w:t>”.</w:t>
      </w:r>
      <w:r w:rsidRPr="00DC6D8B">
        <w:rPr>
          <w:vertAlign w:val="superscript"/>
        </w:rPr>
        <w:footnoteReference w:id="2"/>
      </w:r>
      <w:r w:rsidRPr="00DC6D8B">
        <w:t xml:space="preserve"> These criteria were developed using questionnaires, logistic regression, sensitivity and specificity analysis and were voted on by the members of the ASAS (Figure 1).</w:t>
      </w:r>
    </w:p>
    <w:p w:rsidR="002D4F05" w:rsidRDefault="00DC6D8B" w:rsidP="002D4F05">
      <w:pPr>
        <w:pStyle w:val="FigureTitle"/>
      </w:pPr>
      <w:proofErr w:type="gramStart"/>
      <w:r w:rsidRPr="00DC6D8B">
        <w:lastRenderedPageBreak/>
        <w:t>Figure 1.</w:t>
      </w:r>
      <w:proofErr w:type="gramEnd"/>
      <w:r w:rsidRPr="00DC6D8B">
        <w:t xml:space="preserve"> ASAS classification criteria for Axial </w:t>
      </w:r>
      <w:proofErr w:type="spellStart"/>
      <w:r w:rsidRPr="00DC6D8B">
        <w:t>SpA</w:t>
      </w:r>
      <w:proofErr w:type="spellEnd"/>
      <w:r w:rsidRPr="00DC6D8B">
        <w:t xml:space="preserve"> (copied from Figure 2, </w:t>
      </w:r>
      <w:proofErr w:type="spellStart"/>
      <w:r w:rsidRPr="00DC6D8B">
        <w:t>Rudawaleit</w:t>
      </w:r>
      <w:proofErr w:type="spellEnd"/>
      <w:r w:rsidRPr="00DC6D8B">
        <w:t xml:space="preserve"> 2009a)</w:t>
      </w:r>
    </w:p>
    <w:p w:rsidR="00DC6D8B" w:rsidRPr="00DC6D8B" w:rsidRDefault="00DC6D8B" w:rsidP="002D4F05">
      <w:r w:rsidRPr="00DC6D8B">
        <w:rPr>
          <w:noProof/>
          <w:lang w:eastAsia="en-AU"/>
        </w:rPr>
        <w:drawing>
          <wp:inline distT="0" distB="0" distL="0" distR="0" wp14:anchorId="7F7E1CF5" wp14:editId="2429D1C0">
            <wp:extent cx="5619750" cy="3434856"/>
            <wp:effectExtent l="19050" t="0" r="0" b="0"/>
            <wp:docPr id="3" name="Picture 86" descr="Figure 1. ASAS classification criteria for Axial SpA (copied from Figure 2, Rudawaleit 20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4" cstate="print">
                      <a:duotone>
                        <a:prstClr val="black"/>
                        <a:schemeClr val="bg1">
                          <a:tint val="45000"/>
                          <a:satMod val="400000"/>
                        </a:schemeClr>
                      </a:duotone>
                    </a:blip>
                    <a:srcRect l="2604" t="3911" r="1389" b="1676"/>
                    <a:stretch>
                      <a:fillRect/>
                    </a:stretch>
                  </pic:blipFill>
                  <pic:spPr bwMode="auto">
                    <a:xfrm>
                      <a:off x="0" y="0"/>
                      <a:ext cx="5619722" cy="3434839"/>
                    </a:xfrm>
                    <a:prstGeom prst="rect">
                      <a:avLst/>
                    </a:prstGeom>
                    <a:noFill/>
                    <a:ln w="9525">
                      <a:noFill/>
                      <a:miter lim="800000"/>
                      <a:headEnd/>
                      <a:tailEnd/>
                    </a:ln>
                  </pic:spPr>
                </pic:pic>
              </a:graphicData>
            </a:graphic>
          </wp:inline>
        </w:drawing>
      </w:r>
    </w:p>
    <w:p w:rsidR="00DC6D8B" w:rsidRPr="00DC6D8B" w:rsidRDefault="00DC6D8B" w:rsidP="002D4F05">
      <w:r w:rsidRPr="00DC6D8B">
        <w:t xml:space="preserve">Radiographic axial </w:t>
      </w:r>
      <w:proofErr w:type="spellStart"/>
      <w:r w:rsidRPr="00DC6D8B">
        <w:t>SpA</w:t>
      </w:r>
      <w:proofErr w:type="spellEnd"/>
      <w:r w:rsidRPr="00DC6D8B">
        <w:t xml:space="preserve"> is currently an indication for adalimumab but non-radiographic</w:t>
      </w:r>
      <w:r w:rsidR="006433A1">
        <w:t xml:space="preserve"> </w:t>
      </w:r>
      <w:proofErr w:type="gramStart"/>
      <w:r w:rsidR="006433A1">
        <w:t>axial</w:t>
      </w:r>
      <w:proofErr w:type="gramEnd"/>
      <w:r w:rsidRPr="00DC6D8B">
        <w:t xml:space="preserve"> </w:t>
      </w:r>
      <w:proofErr w:type="spellStart"/>
      <w:r w:rsidRPr="00DC6D8B">
        <w:t>SpA</w:t>
      </w:r>
      <w:proofErr w:type="spellEnd"/>
      <w:r w:rsidRPr="00DC6D8B">
        <w:t xml:space="preserve"> is currently not an indication. In order to demonstrate the efficacy and safety of adalimumab in non-radiographic axial </w:t>
      </w:r>
      <w:proofErr w:type="spellStart"/>
      <w:r w:rsidRPr="00DC6D8B">
        <w:t>SpA</w:t>
      </w:r>
      <w:proofErr w:type="spellEnd"/>
      <w:r w:rsidRPr="00DC6D8B">
        <w:t xml:space="preserve"> subjects with </w:t>
      </w:r>
      <w:proofErr w:type="spellStart"/>
      <w:proofErr w:type="gramStart"/>
      <w:r w:rsidR="00CB0A7D" w:rsidRPr="00CB0A7D">
        <w:t>Ankylosing</w:t>
      </w:r>
      <w:proofErr w:type="spellEnd"/>
      <w:proofErr w:type="gramEnd"/>
      <w:r w:rsidR="00CB0A7D" w:rsidRPr="00CB0A7D">
        <w:t xml:space="preserve"> spondylitis </w:t>
      </w:r>
      <w:r w:rsidR="00CB0A7D">
        <w:t>(</w:t>
      </w:r>
      <w:r w:rsidRPr="00DC6D8B">
        <w:t>AS</w:t>
      </w:r>
      <w:r w:rsidR="00CB0A7D">
        <w:t>)</w:t>
      </w:r>
      <w:r w:rsidRPr="00DC6D8B">
        <w:t xml:space="preserve">, </w:t>
      </w:r>
      <w:r w:rsidR="00CB0A7D" w:rsidRPr="00CB0A7D">
        <w:t xml:space="preserve">Psoriatic arthritis </w:t>
      </w:r>
      <w:r w:rsidR="00CB0A7D">
        <w:t>(</w:t>
      </w:r>
      <w:proofErr w:type="spellStart"/>
      <w:r w:rsidRPr="00DC6D8B">
        <w:t>PsA</w:t>
      </w:r>
      <w:proofErr w:type="spellEnd"/>
      <w:r w:rsidR="00CB0A7D">
        <w:t>)</w:t>
      </w:r>
      <w:r w:rsidRPr="00DC6D8B">
        <w:t xml:space="preserve"> and </w:t>
      </w:r>
      <w:r w:rsidR="00CB0A7D">
        <w:t>rheumatoid arthritis (</w:t>
      </w:r>
      <w:r w:rsidRPr="00DC6D8B">
        <w:t>RA</w:t>
      </w:r>
      <w:r w:rsidR="00CB0A7D">
        <w:t>)</w:t>
      </w:r>
      <w:r w:rsidRPr="00DC6D8B">
        <w:t xml:space="preserve"> (all current indications) needed to be excluded from the study population. The inclusion criteria and exclusion criteria satisfactorily define the study population (and this study population is the same as that intended for treatment).</w:t>
      </w:r>
    </w:p>
    <w:p w:rsidR="00DC6D8B" w:rsidRPr="00DC6D8B" w:rsidRDefault="00DC6D8B" w:rsidP="002D4F05">
      <w:r w:rsidRPr="00DC6D8B">
        <w:t>The indication of nr-</w:t>
      </w:r>
      <w:proofErr w:type="spellStart"/>
      <w:r w:rsidRPr="00DC6D8B">
        <w:t>axSpA</w:t>
      </w:r>
      <w:proofErr w:type="spellEnd"/>
      <w:r w:rsidRPr="00DC6D8B">
        <w:t xml:space="preserve"> could be considered to be an extension of AS, which is currently an approved indication for adalimumab. This supports the dose regimen chosen for development for nr-</w:t>
      </w:r>
      <w:proofErr w:type="spellStart"/>
      <w:r w:rsidRPr="00DC6D8B">
        <w:t>axSpA</w:t>
      </w:r>
      <w:proofErr w:type="spellEnd"/>
      <w:r w:rsidRPr="00DC6D8B">
        <w:t>.</w:t>
      </w:r>
    </w:p>
    <w:p w:rsidR="00DC6D8B" w:rsidRPr="00DC6D8B" w:rsidRDefault="00DC6D8B" w:rsidP="002D4F05">
      <w:r w:rsidRPr="00DC6D8B">
        <w:t>The primary efficacy outcome measure was ASAS40</w:t>
      </w:r>
      <w:r w:rsidR="00CB0A7D">
        <w:rPr>
          <w:rStyle w:val="FootnoteReference"/>
        </w:rPr>
        <w:footnoteReference w:id="3"/>
      </w:r>
      <w:r w:rsidRPr="00DC6D8B">
        <w:t xml:space="preserve"> response. This measure was a previously validated outcome measure and was developed independent of the development program. There were a large number of secondary outcome measures, all of which can be rationally applied to nr-</w:t>
      </w:r>
      <w:proofErr w:type="spellStart"/>
      <w:r w:rsidRPr="00DC6D8B">
        <w:t>axSpA</w:t>
      </w:r>
      <w:proofErr w:type="spellEnd"/>
      <w:r w:rsidRPr="00DC6D8B">
        <w:t>. All of these outcome measures were supportive of efficacy compared with placebo over 12 weeks and maintenance of efficacy for up to 68 weeks.</w:t>
      </w:r>
    </w:p>
    <w:p w:rsidR="00DC6D8B" w:rsidRPr="00DC6D8B" w:rsidRDefault="00DC6D8B" w:rsidP="002D4F05">
      <w:r w:rsidRPr="00DC6D8B">
        <w:t>The limitations of the efficacy data include:</w:t>
      </w:r>
    </w:p>
    <w:p w:rsidR="00DC6D8B" w:rsidRPr="00DC6D8B" w:rsidRDefault="00DC6D8B" w:rsidP="002D4F05">
      <w:pPr>
        <w:pStyle w:val="ListBullet"/>
      </w:pPr>
      <w:r w:rsidRPr="00DC6D8B">
        <w:t>Few elderly subjects were included in Study M10-791 (only two subjects over the age of 65 years)</w:t>
      </w:r>
    </w:p>
    <w:p w:rsidR="00DC6D8B" w:rsidRPr="00DC6D8B" w:rsidRDefault="00DC6D8B" w:rsidP="002D4F05">
      <w:pPr>
        <w:pStyle w:val="ListBullet"/>
      </w:pPr>
      <w:r w:rsidRPr="00DC6D8B">
        <w:t xml:space="preserve">There were no analyses to investigate </w:t>
      </w:r>
      <w:r w:rsidRPr="00DC6D8B">
        <w:rPr>
          <w:lang w:val="en-US"/>
        </w:rPr>
        <w:t>drug-drug or drug-disease interactions; and drug dose, drug concentration</w:t>
      </w:r>
      <w:r w:rsidR="002D4F05">
        <w:rPr>
          <w:lang w:val="en-US"/>
        </w:rPr>
        <w:t>, and relationship to response.</w:t>
      </w:r>
    </w:p>
    <w:p w:rsidR="00DC6D8B" w:rsidRPr="00DC6D8B" w:rsidRDefault="00DC6D8B" w:rsidP="002D4F05">
      <w:pPr>
        <w:pStyle w:val="ListBullet"/>
      </w:pPr>
      <w:r w:rsidRPr="00DC6D8B">
        <w:t>Nr-</w:t>
      </w:r>
      <w:proofErr w:type="spellStart"/>
      <w:r w:rsidRPr="00DC6D8B">
        <w:t>axSpA</w:t>
      </w:r>
      <w:proofErr w:type="spellEnd"/>
      <w:r w:rsidRPr="00DC6D8B">
        <w:t xml:space="preserve"> is a chronic condition and there were no efficacy data extending beyond 68 weeks.</w:t>
      </w:r>
    </w:p>
    <w:p w:rsidR="008E7846" w:rsidRPr="002D4F05" w:rsidRDefault="008E7846" w:rsidP="002D4F05">
      <w:pPr>
        <w:pStyle w:val="Heading3"/>
      </w:pPr>
      <w:bookmarkStart w:id="65" w:name="_Toc382922640"/>
      <w:r w:rsidRPr="002E238E">
        <w:lastRenderedPageBreak/>
        <w:t>Safety</w:t>
      </w:r>
      <w:bookmarkEnd w:id="60"/>
      <w:bookmarkEnd w:id="61"/>
      <w:bookmarkEnd w:id="62"/>
      <w:bookmarkEnd w:id="63"/>
      <w:bookmarkEnd w:id="65"/>
    </w:p>
    <w:p w:rsidR="00DC6D8B" w:rsidRPr="00DC6D8B" w:rsidRDefault="00DC6D8B" w:rsidP="002D4F05">
      <w:pPr>
        <w:pStyle w:val="Heading4"/>
      </w:pPr>
      <w:bookmarkStart w:id="66" w:name="_Toc272414659"/>
      <w:bookmarkStart w:id="67" w:name="_Toc290846284"/>
      <w:bookmarkStart w:id="68" w:name="_Toc355289319"/>
      <w:bookmarkStart w:id="69" w:name="_Toc372551003"/>
      <w:bookmarkStart w:id="70" w:name="_Toc255919423"/>
      <w:bookmarkStart w:id="71" w:name="_Toc241374329"/>
      <w:bookmarkStart w:id="72" w:name="_Toc270320087"/>
      <w:bookmarkStart w:id="73" w:name="_Toc314842506"/>
      <w:bookmarkStart w:id="74" w:name="_Toc163441387"/>
      <w:r w:rsidRPr="002D4F05">
        <w:t>Studies</w:t>
      </w:r>
      <w:r w:rsidRPr="00DC6D8B">
        <w:t xml:space="preserve"> providing evaluable safety data</w:t>
      </w:r>
      <w:bookmarkEnd w:id="66"/>
      <w:bookmarkEnd w:id="67"/>
      <w:bookmarkEnd w:id="68"/>
      <w:bookmarkEnd w:id="69"/>
    </w:p>
    <w:p w:rsidR="00DC6D8B" w:rsidRPr="00DC6D8B" w:rsidRDefault="00DC6D8B" w:rsidP="002D4F05">
      <w:bookmarkStart w:id="75" w:name="_Ref268776745"/>
      <w:r w:rsidRPr="00DC6D8B">
        <w:t xml:space="preserve">Study M10-791 </w:t>
      </w:r>
      <w:r w:rsidR="002A29B3" w:rsidRPr="00DC6D8B">
        <w:t>provided evaluable safety data</w:t>
      </w:r>
      <w:r w:rsidR="002A29B3">
        <w:t xml:space="preserve"> for this submission</w:t>
      </w:r>
      <w:r w:rsidRPr="00DC6D8B">
        <w:t>.</w:t>
      </w:r>
    </w:p>
    <w:p w:rsidR="00DC6D8B" w:rsidRPr="00DC6D8B" w:rsidRDefault="00DC6D8B" w:rsidP="002D4F05">
      <w:r w:rsidRPr="00DC6D8B">
        <w:t xml:space="preserve">The sponsor provided some summary tables of safety data across all clinical trials of adalimumab. These tables relate to proposed changes in Product Information document for event rates for infection, malignancy and withdrawal due to </w:t>
      </w:r>
      <w:r w:rsidR="002A29B3">
        <w:t>adverse events (</w:t>
      </w:r>
      <w:r w:rsidRPr="00DC6D8B">
        <w:t>AEs</w:t>
      </w:r>
      <w:r w:rsidR="002A29B3">
        <w:t>)</w:t>
      </w:r>
      <w:r w:rsidRPr="00DC6D8B">
        <w:t>. These rates have been adjusted to include data for the indication of nr-</w:t>
      </w:r>
      <w:proofErr w:type="spellStart"/>
      <w:r w:rsidRPr="00DC6D8B">
        <w:t>axSpA</w:t>
      </w:r>
      <w:proofErr w:type="spellEnd"/>
      <w:r w:rsidRPr="00DC6D8B">
        <w:t>. The rates presented in the draft PI do correspond with those presented in the tabulations.</w:t>
      </w:r>
      <w:bookmarkEnd w:id="75"/>
    </w:p>
    <w:p w:rsidR="00DC6D8B" w:rsidRPr="002D4F05" w:rsidRDefault="00DC6D8B" w:rsidP="002D4F05">
      <w:pPr>
        <w:pStyle w:val="Heading5"/>
      </w:pPr>
      <w:bookmarkStart w:id="76" w:name="_Ref269204367"/>
      <w:bookmarkStart w:id="77" w:name="_Ref271195835"/>
      <w:bookmarkStart w:id="78" w:name="_Ref271195841"/>
      <w:bookmarkStart w:id="79" w:name="_Toc272414660"/>
      <w:bookmarkStart w:id="80" w:name="_Toc290846285"/>
      <w:bookmarkStart w:id="81" w:name="_Toc355289320"/>
      <w:bookmarkStart w:id="82" w:name="_Toc372551004"/>
      <w:r w:rsidRPr="00DC6D8B">
        <w:t>Pivotal studies that assessed safety as a primary outcome</w:t>
      </w:r>
      <w:bookmarkEnd w:id="76"/>
      <w:bookmarkEnd w:id="77"/>
      <w:bookmarkEnd w:id="78"/>
      <w:bookmarkEnd w:id="79"/>
      <w:bookmarkEnd w:id="80"/>
      <w:bookmarkEnd w:id="81"/>
      <w:bookmarkEnd w:id="82"/>
    </w:p>
    <w:p w:rsidR="00DC6D8B" w:rsidRPr="00DC6D8B" w:rsidRDefault="00DC6D8B" w:rsidP="002D4F05">
      <w:r w:rsidRPr="00DC6D8B">
        <w:t>There were no additional pivotal studies that assessed safety as a primary outcome.</w:t>
      </w:r>
    </w:p>
    <w:p w:rsidR="00DC6D8B" w:rsidRPr="002D4F05" w:rsidRDefault="00DC6D8B" w:rsidP="002D4F05">
      <w:pPr>
        <w:pStyle w:val="Heading4"/>
      </w:pPr>
      <w:bookmarkStart w:id="83" w:name="_Toc241374318"/>
      <w:bookmarkStart w:id="84" w:name="_Ref271196630"/>
      <w:bookmarkStart w:id="85" w:name="_Toc272414662"/>
      <w:bookmarkStart w:id="86" w:name="_Toc290846300"/>
      <w:bookmarkStart w:id="87" w:name="_Toc355289321"/>
      <w:bookmarkStart w:id="88" w:name="_Toc372551005"/>
      <w:r w:rsidRPr="00DC6D8B">
        <w:t>Patient exposure</w:t>
      </w:r>
      <w:bookmarkEnd w:id="83"/>
      <w:bookmarkEnd w:id="84"/>
      <w:bookmarkEnd w:id="85"/>
      <w:bookmarkEnd w:id="86"/>
      <w:bookmarkEnd w:id="87"/>
      <w:bookmarkEnd w:id="88"/>
    </w:p>
    <w:p w:rsidR="00DC6D8B" w:rsidRPr="00DC6D8B" w:rsidRDefault="00DC6D8B" w:rsidP="002D4F05">
      <w:r w:rsidRPr="00DC6D8B">
        <w:t xml:space="preserve">In Study M10-791, there were 190 subjects exposed to adalimumab, of whom 164 (86.3%) were exposed for ≥175 days, 147 (77.4%) were exposed for </w:t>
      </w:r>
      <w:r w:rsidR="002A29B3">
        <w:t>≥</w:t>
      </w:r>
      <w:r w:rsidRPr="00DC6D8B">
        <w:t xml:space="preserve">343 days and 69 (36.3%) for </w:t>
      </w:r>
      <w:r w:rsidR="002A29B3">
        <w:t>≥</w:t>
      </w:r>
      <w:r w:rsidRPr="00DC6D8B">
        <w:t>427 days. Total patient-years exposure was 193.3 years.</w:t>
      </w:r>
    </w:p>
    <w:p w:rsidR="00DC6D8B" w:rsidRPr="00DC6D8B" w:rsidRDefault="00DC6D8B" w:rsidP="002D4F05">
      <w:pPr>
        <w:pStyle w:val="Heading4"/>
      </w:pPr>
      <w:bookmarkStart w:id="89" w:name="_Toc241374326"/>
      <w:bookmarkStart w:id="90" w:name="_Ref272333048"/>
      <w:bookmarkStart w:id="91" w:name="_Toc272414679"/>
      <w:bookmarkStart w:id="92" w:name="_Toc290846317"/>
      <w:bookmarkStart w:id="93" w:name="_Toc355289331"/>
      <w:bookmarkStart w:id="94" w:name="_Toc372551008"/>
      <w:r w:rsidRPr="00DC6D8B">
        <w:t>Postmarketing experience</w:t>
      </w:r>
      <w:bookmarkEnd w:id="89"/>
      <w:bookmarkEnd w:id="90"/>
      <w:bookmarkEnd w:id="91"/>
      <w:bookmarkEnd w:id="92"/>
      <w:bookmarkEnd w:id="93"/>
      <w:bookmarkEnd w:id="94"/>
    </w:p>
    <w:p w:rsidR="00DC6D8B" w:rsidRPr="00DC6D8B" w:rsidRDefault="00DC6D8B" w:rsidP="002D4F05">
      <w:r w:rsidRPr="00DC6D8B">
        <w:t>No postmarketing data were included in the submission.</w:t>
      </w:r>
    </w:p>
    <w:p w:rsidR="00DC6D8B" w:rsidRPr="00DC6D8B" w:rsidRDefault="00DC6D8B" w:rsidP="002D4F05">
      <w:pPr>
        <w:pStyle w:val="Heading4"/>
      </w:pPr>
      <w:bookmarkStart w:id="95" w:name="_Toc241374328"/>
      <w:bookmarkStart w:id="96" w:name="_Toc272414691"/>
      <w:bookmarkStart w:id="97" w:name="_Toc290846329"/>
      <w:bookmarkStart w:id="98" w:name="_Toc355289334"/>
      <w:bookmarkStart w:id="99" w:name="_Toc372551009"/>
      <w:r w:rsidRPr="00DC6D8B">
        <w:t>Evaluator’s overall conclusions on clinical safety</w:t>
      </w:r>
      <w:bookmarkEnd w:id="95"/>
      <w:bookmarkEnd w:id="96"/>
      <w:bookmarkEnd w:id="97"/>
      <w:bookmarkEnd w:id="98"/>
      <w:bookmarkEnd w:id="99"/>
    </w:p>
    <w:p w:rsidR="00DC6D8B" w:rsidRPr="00DC6D8B" w:rsidRDefault="00DC6D8B" w:rsidP="002D4F05">
      <w:r w:rsidRPr="00DC6D8B">
        <w:t>Exposure to adalimumab for the indication of nr-</w:t>
      </w:r>
      <w:proofErr w:type="spellStart"/>
      <w:r w:rsidRPr="00DC6D8B">
        <w:t>axSpA</w:t>
      </w:r>
      <w:proofErr w:type="spellEnd"/>
      <w:r w:rsidRPr="00DC6D8B">
        <w:t xml:space="preserve"> is limited, with total exposure being 190 subjects of whom 147 were exposed for </w:t>
      </w:r>
      <w:r w:rsidR="002A29B3">
        <w:t>≥</w:t>
      </w:r>
      <w:r w:rsidRPr="00DC6D8B">
        <w:t xml:space="preserve">343 </w:t>
      </w:r>
      <w:r w:rsidR="00386A50">
        <w:t xml:space="preserve">days </w:t>
      </w:r>
      <w:r w:rsidRPr="00DC6D8B">
        <w:t>and total patient-years exposure</w:t>
      </w:r>
      <w:r w:rsidR="00CB0A7D">
        <w:t xml:space="preserve"> </w:t>
      </w:r>
      <w:r w:rsidR="002D4F05">
        <w:t>was 193.3 years.</w:t>
      </w:r>
    </w:p>
    <w:p w:rsidR="00DC6D8B" w:rsidRPr="00DC6D8B" w:rsidRDefault="00DC6D8B" w:rsidP="002D4F05">
      <w:r w:rsidRPr="00DC6D8B">
        <w:t>The rate of TEAEs during the 12 week double blind phase was similar to that for placebo. The rate of infections was similar to that for placebo. Injection site related AEs were more common with adalimumab than placebo: 8.4% subjects compared with 3.1% respectively. These injection site reactions were mild in nature. Allergic reactions were more common with adalimumab than placebo: nine (4.7%) subjects compared with one respectively. The rate of SAEs was similar for the two treatment groups. The rate of DAE was similar for the two treatment groups.</w:t>
      </w:r>
    </w:p>
    <w:p w:rsidR="00DC6D8B" w:rsidRPr="00DC6D8B" w:rsidRDefault="00DC6D8B" w:rsidP="002D4F05">
      <w:r w:rsidRPr="00DC6D8B">
        <w:t xml:space="preserve">Overall, in those subjects exposed to adalimumab the profile of AEs was similar to that previously reported for adalimumab. There were three subjects with serious infectious AEs, one of which was </w:t>
      </w:r>
      <w:r w:rsidR="00CB0A7D" w:rsidRPr="00CB0A7D">
        <w:t xml:space="preserve">Tuberculosis </w:t>
      </w:r>
      <w:r w:rsidR="00CB0A7D">
        <w:t>(</w:t>
      </w:r>
      <w:r w:rsidRPr="00DC6D8B">
        <w:t>TB</w:t>
      </w:r>
      <w:r w:rsidR="00CB0A7D">
        <w:t>)</w:t>
      </w:r>
      <w:r w:rsidRPr="00DC6D8B">
        <w:t xml:space="preserve">. There were no reports of opportunistic infections (excluding TB), lymphomas, </w:t>
      </w:r>
      <w:r w:rsidR="00CB0A7D" w:rsidRPr="00CB0A7D">
        <w:t xml:space="preserve">Non-melanoma skin cancer </w:t>
      </w:r>
      <w:r w:rsidR="00CB0A7D">
        <w:t>(</w:t>
      </w:r>
      <w:r w:rsidRPr="00DC6D8B">
        <w:t>NMSC</w:t>
      </w:r>
      <w:r w:rsidR="00CB0A7D">
        <w:t>)</w:t>
      </w:r>
      <w:r w:rsidRPr="00DC6D8B">
        <w:t>, malignancies (excluding NMSC and lymph</w:t>
      </w:r>
      <w:r w:rsidR="002D4F05">
        <w:t>omas) or demyelinating disease.</w:t>
      </w:r>
    </w:p>
    <w:p w:rsidR="00DC6D8B" w:rsidRPr="00DC6D8B" w:rsidRDefault="00DC6D8B" w:rsidP="002D4F05">
      <w:r w:rsidRPr="00DC6D8B">
        <w:t>There were two deaths during the study, neither of which appeared to be related to study treatment.</w:t>
      </w:r>
    </w:p>
    <w:p w:rsidR="00DC6D8B" w:rsidRPr="00DC6D8B" w:rsidRDefault="00DC6D8B" w:rsidP="002D4F05">
      <w:r w:rsidRPr="00DC6D8B">
        <w:t>There were no new safety concerns apparent in the clinical data.</w:t>
      </w:r>
    </w:p>
    <w:p w:rsidR="00DC6D8B" w:rsidRPr="00DC6D8B" w:rsidRDefault="00DC6D8B" w:rsidP="002D4F05">
      <w:r w:rsidRPr="00DC6D8B">
        <w:t>There were no indications of drug interactions, or of concomitant medication (including DMARDs) contributing to an increased risk of AEs.</w:t>
      </w:r>
    </w:p>
    <w:p w:rsidR="00DC6D8B" w:rsidRPr="00DC6D8B" w:rsidRDefault="00DC6D8B" w:rsidP="002D4F05">
      <w:r w:rsidRPr="00DC6D8B">
        <w:t>The safety data is limited by the relatively small number of subjects exposed to adalimumab of the indication of nr-</w:t>
      </w:r>
      <w:proofErr w:type="spellStart"/>
      <w:r w:rsidRPr="00DC6D8B">
        <w:t>axSpA</w:t>
      </w:r>
      <w:proofErr w:type="spellEnd"/>
      <w:r w:rsidRPr="00DC6D8B">
        <w:t>. However, the indication is similar to AS, and the patient group studied similar to others previously studied for other indications that adalimumab is already approved for. Hence, the adverse effects profile of adalimumab for the indication of nr-</w:t>
      </w:r>
      <w:proofErr w:type="spellStart"/>
      <w:r w:rsidRPr="00DC6D8B">
        <w:t>axSpA</w:t>
      </w:r>
      <w:proofErr w:type="spellEnd"/>
      <w:r w:rsidRPr="00DC6D8B">
        <w:t xml:space="preserve"> can be expected to be the same as that for the previously approved indications.</w:t>
      </w:r>
    </w:p>
    <w:p w:rsidR="00DC6D8B" w:rsidRPr="00DC6D8B" w:rsidRDefault="00DC6D8B" w:rsidP="00794BA8">
      <w:pPr>
        <w:pStyle w:val="Heading3"/>
      </w:pPr>
      <w:bookmarkStart w:id="100" w:name="_Toc372551010"/>
      <w:bookmarkStart w:id="101" w:name="_Toc382922641"/>
      <w:r w:rsidRPr="00DC6D8B">
        <w:lastRenderedPageBreak/>
        <w:t xml:space="preserve">First round benefit-risk </w:t>
      </w:r>
      <w:r w:rsidRPr="00794BA8">
        <w:t>assessment</w:t>
      </w:r>
      <w:bookmarkEnd w:id="100"/>
      <w:bookmarkEnd w:id="101"/>
    </w:p>
    <w:p w:rsidR="00DC6D8B" w:rsidRPr="00DC6D8B" w:rsidRDefault="00DC6D8B" w:rsidP="00794BA8">
      <w:pPr>
        <w:pStyle w:val="Heading4"/>
      </w:pPr>
      <w:bookmarkStart w:id="102" w:name="_Toc236802592"/>
      <w:bookmarkStart w:id="103" w:name="_Toc241374331"/>
      <w:bookmarkStart w:id="104" w:name="_Ref272160836"/>
      <w:bookmarkStart w:id="105" w:name="_Toc272414693"/>
      <w:bookmarkStart w:id="106" w:name="_Toc290846331"/>
      <w:bookmarkStart w:id="107" w:name="_Toc355289336"/>
      <w:bookmarkStart w:id="108" w:name="_Toc372551011"/>
      <w:r w:rsidRPr="00DC6D8B">
        <w:t xml:space="preserve">First round assessment of </w:t>
      </w:r>
      <w:r w:rsidRPr="00794BA8">
        <w:t>benefits</w:t>
      </w:r>
      <w:bookmarkEnd w:id="102"/>
      <w:bookmarkEnd w:id="103"/>
      <w:bookmarkEnd w:id="104"/>
      <w:bookmarkEnd w:id="105"/>
      <w:bookmarkEnd w:id="106"/>
      <w:bookmarkEnd w:id="107"/>
      <w:bookmarkEnd w:id="108"/>
    </w:p>
    <w:p w:rsidR="00DC6D8B" w:rsidRPr="00DC6D8B" w:rsidRDefault="00DC6D8B" w:rsidP="00794BA8">
      <w:r w:rsidRPr="00DC6D8B">
        <w:t>Efficacy has been demonstrated for adalimumab in comparison with placebo for the indication of nr-</w:t>
      </w:r>
      <w:proofErr w:type="spellStart"/>
      <w:r w:rsidRPr="00DC6D8B">
        <w:t>axSpA</w:t>
      </w:r>
      <w:proofErr w:type="spellEnd"/>
      <w:r w:rsidRPr="00DC6D8B">
        <w:t xml:space="preserve"> over a 12 week period. The response rate was both clinically and statistically significant. The response was maintained in an open label follow-on study for up to 68 weeks. Response was greater in subjects with elevated CRP at baseline and with shorter duration of symptoms. </w:t>
      </w:r>
      <w:r w:rsidRPr="00DC6D8B">
        <w:rPr>
          <w:lang w:val="en-US"/>
        </w:rPr>
        <w:t>For those subjects with no concomitant DMARDs at baseline (monotherapy) there were five (26.3%) responders in the adalimumab</w:t>
      </w:r>
      <w:r w:rsidR="00794BA8">
        <w:rPr>
          <w:lang w:val="en-US"/>
        </w:rPr>
        <w:t xml:space="preserve"> group and none in the placebo.</w:t>
      </w:r>
    </w:p>
    <w:p w:rsidR="00DC6D8B" w:rsidRPr="00DC6D8B" w:rsidRDefault="00DC6D8B" w:rsidP="00794BA8">
      <w:r w:rsidRPr="00DC6D8B">
        <w:t>The indication of nr-</w:t>
      </w:r>
      <w:proofErr w:type="spellStart"/>
      <w:r w:rsidRPr="00DC6D8B">
        <w:t>axSpA</w:t>
      </w:r>
      <w:proofErr w:type="spellEnd"/>
      <w:r w:rsidRPr="00DC6D8B">
        <w:t xml:space="preserve"> could be considered to be an extension of AS, which is currently an approved indication for adalimumab. This supports the dose regimen chosen for development for nr-</w:t>
      </w:r>
      <w:proofErr w:type="spellStart"/>
      <w:r w:rsidRPr="00DC6D8B">
        <w:t>axSpA</w:t>
      </w:r>
      <w:proofErr w:type="spellEnd"/>
      <w:r w:rsidRPr="00DC6D8B">
        <w:t>.</w:t>
      </w:r>
    </w:p>
    <w:p w:rsidR="00DC6D8B" w:rsidRPr="00DC6D8B" w:rsidRDefault="00DC6D8B" w:rsidP="00794BA8">
      <w:r w:rsidRPr="00DC6D8B">
        <w:t>The primary efficacy outcome measure was ASAS40 response. This measure was a previously validated outcome measure and was developed independent of the development program. There were a large number of secondary outcome measures, all of which can be rationally applied to nr-</w:t>
      </w:r>
      <w:proofErr w:type="spellStart"/>
      <w:r w:rsidRPr="00DC6D8B">
        <w:t>axSpA</w:t>
      </w:r>
      <w:proofErr w:type="spellEnd"/>
      <w:r w:rsidRPr="00DC6D8B">
        <w:t>. All of these outcome measures were supportive of efficacy compared with placebo over 12 weeks, and maintenance of efficacy for up to 68 weeks.</w:t>
      </w:r>
    </w:p>
    <w:p w:rsidR="00DC6D8B" w:rsidRPr="00DC6D8B" w:rsidRDefault="00DC6D8B" w:rsidP="00794BA8">
      <w:r w:rsidRPr="00DC6D8B">
        <w:t>The limitations of the efficacy data include:</w:t>
      </w:r>
    </w:p>
    <w:p w:rsidR="00DC6D8B" w:rsidRPr="00DC6D8B" w:rsidRDefault="00DC6D8B" w:rsidP="00794BA8">
      <w:pPr>
        <w:pStyle w:val="ListBullet"/>
      </w:pPr>
      <w:r w:rsidRPr="00DC6D8B">
        <w:t>Few elderly subjects were included in Study M10-791 (only two subjects over the age of 65 years)</w:t>
      </w:r>
    </w:p>
    <w:p w:rsidR="00DC6D8B" w:rsidRPr="00DC6D8B" w:rsidRDefault="00DC6D8B" w:rsidP="00794BA8">
      <w:pPr>
        <w:pStyle w:val="ListBullet"/>
      </w:pPr>
      <w:r w:rsidRPr="00DC6D8B">
        <w:t xml:space="preserve">There were no analyses to investigate </w:t>
      </w:r>
      <w:r w:rsidRPr="00DC6D8B">
        <w:rPr>
          <w:lang w:val="en-US"/>
        </w:rPr>
        <w:t>drug-drug or drug-disease interactions; and drug dose, drug concentratio</w:t>
      </w:r>
      <w:r w:rsidR="00794BA8">
        <w:rPr>
          <w:lang w:val="en-US"/>
        </w:rPr>
        <w:t>n and relationship to response.</w:t>
      </w:r>
    </w:p>
    <w:p w:rsidR="00DC6D8B" w:rsidRPr="00DC6D8B" w:rsidRDefault="00DC6D8B" w:rsidP="00794BA8">
      <w:pPr>
        <w:pStyle w:val="ListBullet"/>
      </w:pPr>
      <w:r w:rsidRPr="00DC6D8B">
        <w:t>Nr-</w:t>
      </w:r>
      <w:proofErr w:type="spellStart"/>
      <w:r w:rsidRPr="00DC6D8B">
        <w:t>axSpA</w:t>
      </w:r>
      <w:proofErr w:type="spellEnd"/>
      <w:r w:rsidRPr="00DC6D8B">
        <w:t xml:space="preserve"> is a chronic condition and there were no efficacy data extending beyond 68 weeks.</w:t>
      </w:r>
    </w:p>
    <w:p w:rsidR="00DC6D8B" w:rsidRPr="00794BA8" w:rsidRDefault="00DC6D8B" w:rsidP="00794BA8">
      <w:pPr>
        <w:pStyle w:val="Heading4"/>
      </w:pPr>
      <w:bookmarkStart w:id="109" w:name="_Toc236802596"/>
      <w:bookmarkStart w:id="110" w:name="_Toc241374334"/>
      <w:bookmarkStart w:id="111" w:name="_Ref272160964"/>
      <w:bookmarkStart w:id="112" w:name="_Toc272414694"/>
      <w:bookmarkStart w:id="113" w:name="_Toc290846332"/>
      <w:bookmarkStart w:id="114" w:name="_Toc355289337"/>
      <w:bookmarkStart w:id="115" w:name="_Toc372551012"/>
      <w:r w:rsidRPr="00DC6D8B">
        <w:t>First round assessment of risks</w:t>
      </w:r>
      <w:bookmarkEnd w:id="109"/>
      <w:bookmarkEnd w:id="110"/>
      <w:bookmarkEnd w:id="111"/>
      <w:bookmarkEnd w:id="112"/>
      <w:bookmarkEnd w:id="113"/>
      <w:bookmarkEnd w:id="114"/>
      <w:bookmarkEnd w:id="115"/>
    </w:p>
    <w:p w:rsidR="00DC6D8B" w:rsidRPr="00DC6D8B" w:rsidRDefault="00DC6D8B" w:rsidP="00794BA8">
      <w:r w:rsidRPr="00DC6D8B">
        <w:t xml:space="preserve">Exposure to </w:t>
      </w:r>
      <w:proofErr w:type="spellStart"/>
      <w:r w:rsidRPr="00DC6D8B">
        <w:t>adalimumab</w:t>
      </w:r>
      <w:proofErr w:type="spellEnd"/>
      <w:r w:rsidRPr="00DC6D8B">
        <w:t xml:space="preserve"> for the indication of nr-</w:t>
      </w:r>
      <w:proofErr w:type="spellStart"/>
      <w:r w:rsidRPr="00DC6D8B">
        <w:t>axSpA</w:t>
      </w:r>
      <w:proofErr w:type="spellEnd"/>
      <w:r w:rsidRPr="00DC6D8B">
        <w:t xml:space="preserve"> is limited, with total exposure being 190 subjects of whom 147 were exposed for≥343 </w:t>
      </w:r>
      <w:r w:rsidR="00386A50">
        <w:t xml:space="preserve">days </w:t>
      </w:r>
      <w:r w:rsidRPr="00DC6D8B">
        <w:t>and total patient-</w:t>
      </w:r>
      <w:r w:rsidR="00794BA8">
        <w:t>years exposure was 193.3 years.</w:t>
      </w:r>
    </w:p>
    <w:p w:rsidR="00DC6D8B" w:rsidRPr="00DC6D8B" w:rsidRDefault="00DC6D8B" w:rsidP="00794BA8">
      <w:r w:rsidRPr="00DC6D8B">
        <w:t xml:space="preserve">The rate of </w:t>
      </w:r>
      <w:r w:rsidR="00CB0A7D">
        <w:t>treatment emergent AEs (</w:t>
      </w:r>
      <w:r w:rsidRPr="00DC6D8B">
        <w:t>TEAEs</w:t>
      </w:r>
      <w:r w:rsidR="00CB0A7D">
        <w:t>)</w:t>
      </w:r>
      <w:r w:rsidRPr="00DC6D8B">
        <w:t xml:space="preserve"> during the 12 week double blind phase was similar to that for placebo. The rate of infections was similar to that for placebo. Injection site related AEs were more common with adalimumab than placebo: 8.4% subjects compared with 3.1% respectively. These injection site reactions were mild in nature. Allergic reactions were more common with adalimumab than placebo: nine (4.7%) subjects compared with one respectively. The rate of </w:t>
      </w:r>
      <w:r w:rsidR="00CB0A7D">
        <w:t>serious AEs (</w:t>
      </w:r>
      <w:r w:rsidRPr="00DC6D8B">
        <w:t>SAEs</w:t>
      </w:r>
      <w:r w:rsidR="00CB0A7D">
        <w:t>)</w:t>
      </w:r>
      <w:r w:rsidRPr="00DC6D8B">
        <w:t xml:space="preserve"> was similar for the two treatment groups. The rate of </w:t>
      </w:r>
      <w:r w:rsidR="00CB0A7D" w:rsidRPr="00CB0A7D">
        <w:t>Discontinuation due to adverse event</w:t>
      </w:r>
      <w:r w:rsidR="00CB0A7D">
        <w:t xml:space="preserve"> (</w:t>
      </w:r>
      <w:r w:rsidRPr="00DC6D8B">
        <w:t>DAE</w:t>
      </w:r>
      <w:r w:rsidR="00CB0A7D">
        <w:t>)</w:t>
      </w:r>
      <w:r w:rsidRPr="00DC6D8B">
        <w:t xml:space="preserve"> was similar for the two treatment groups.</w:t>
      </w:r>
    </w:p>
    <w:p w:rsidR="00DC6D8B" w:rsidRPr="00DC6D8B" w:rsidRDefault="00DC6D8B" w:rsidP="00794BA8">
      <w:r w:rsidRPr="00DC6D8B">
        <w:t>Overall, in those subjects exposed to adalimumab the profile of AEs was similar to that previously reported for adalimumab. There were three subjects with serious infectious AEs, one of which was TB. There were no reports of opportunistic infections (excluding TB), lymphomas, NMSC, malignancies (excluding NMSC and lymph</w:t>
      </w:r>
      <w:r w:rsidR="00794BA8">
        <w:t>omas) or demyelinating disease.</w:t>
      </w:r>
    </w:p>
    <w:p w:rsidR="00DC6D8B" w:rsidRPr="00DC6D8B" w:rsidRDefault="00DC6D8B" w:rsidP="00794BA8">
      <w:r w:rsidRPr="00DC6D8B">
        <w:t>There were two deaths during the study, neither of which appeared to be related to study treatment.</w:t>
      </w:r>
    </w:p>
    <w:p w:rsidR="00DC6D8B" w:rsidRPr="00DC6D8B" w:rsidRDefault="00DC6D8B" w:rsidP="00794BA8">
      <w:r w:rsidRPr="00DC6D8B">
        <w:t>There were no new safety concerns apparent in the clinical data.</w:t>
      </w:r>
    </w:p>
    <w:p w:rsidR="00DC6D8B" w:rsidRPr="00DC6D8B" w:rsidRDefault="00DC6D8B" w:rsidP="00794BA8">
      <w:r w:rsidRPr="00DC6D8B">
        <w:lastRenderedPageBreak/>
        <w:t>There were no indications of drug interactions or of concomitant medication (including DMARDs) contributing to an increased risk of AEs.</w:t>
      </w:r>
    </w:p>
    <w:p w:rsidR="00DC6D8B" w:rsidRPr="00DC6D8B" w:rsidRDefault="00DC6D8B" w:rsidP="00794BA8">
      <w:r w:rsidRPr="00DC6D8B">
        <w:t>The safety data is limited by the relatively small number of subjects exposed to adalimumab of the indication of nr-</w:t>
      </w:r>
      <w:proofErr w:type="spellStart"/>
      <w:r w:rsidRPr="00DC6D8B">
        <w:t>axSpA</w:t>
      </w:r>
      <w:proofErr w:type="spellEnd"/>
      <w:r w:rsidRPr="00DC6D8B">
        <w:t>. However, the indication is similar to AS and the patient group studied similar to others previously studied for other indications that adalimumab is already approved for. Hence, the adverse effects profile of adalimumab for the indication of nr-</w:t>
      </w:r>
      <w:proofErr w:type="spellStart"/>
      <w:r w:rsidRPr="00DC6D8B">
        <w:t>axSpA</w:t>
      </w:r>
      <w:proofErr w:type="spellEnd"/>
      <w:r w:rsidRPr="00DC6D8B">
        <w:t xml:space="preserve"> can be expected to be the same as that for the previously approved indications.</w:t>
      </w:r>
    </w:p>
    <w:p w:rsidR="00DC6D8B" w:rsidRPr="00DC6D8B" w:rsidRDefault="00DC6D8B" w:rsidP="00794BA8">
      <w:pPr>
        <w:pStyle w:val="Heading4"/>
      </w:pPr>
      <w:bookmarkStart w:id="116" w:name="_Toc236802597"/>
      <w:bookmarkStart w:id="117" w:name="_Toc241374335"/>
      <w:bookmarkStart w:id="118" w:name="_Toc272414695"/>
      <w:bookmarkStart w:id="119" w:name="_Toc290846333"/>
      <w:bookmarkStart w:id="120" w:name="_Toc355289338"/>
      <w:bookmarkStart w:id="121" w:name="_Toc372551013"/>
      <w:r w:rsidRPr="00DC6D8B">
        <w:t xml:space="preserve">First </w:t>
      </w:r>
      <w:r w:rsidRPr="00794BA8">
        <w:t>round</w:t>
      </w:r>
      <w:r w:rsidRPr="00DC6D8B">
        <w:t xml:space="preserve"> assessment of benefit-risk balance</w:t>
      </w:r>
      <w:bookmarkEnd w:id="116"/>
      <w:bookmarkEnd w:id="117"/>
      <w:bookmarkEnd w:id="118"/>
      <w:bookmarkEnd w:id="119"/>
      <w:bookmarkEnd w:id="120"/>
      <w:bookmarkEnd w:id="121"/>
    </w:p>
    <w:p w:rsidR="00DC6D8B" w:rsidRPr="00DC6D8B" w:rsidRDefault="00DC6D8B" w:rsidP="00794BA8">
      <w:r w:rsidRPr="00DC6D8B">
        <w:t>The benefit-risk balance of adalimumab, given the proposed usage, was considered to be favourable.</w:t>
      </w:r>
    </w:p>
    <w:p w:rsidR="00DC6D8B" w:rsidRPr="00DC6D8B" w:rsidRDefault="00DC6D8B" w:rsidP="00794BA8">
      <w:pPr>
        <w:pStyle w:val="Heading3"/>
      </w:pPr>
      <w:bookmarkStart w:id="122" w:name="_Toc372551014"/>
      <w:bookmarkStart w:id="123" w:name="_Toc382922642"/>
      <w:r w:rsidRPr="00DC6D8B">
        <w:t xml:space="preserve">First </w:t>
      </w:r>
      <w:r w:rsidRPr="00794BA8">
        <w:t>round</w:t>
      </w:r>
      <w:r w:rsidRPr="00DC6D8B">
        <w:t xml:space="preserve"> recommendation regarding authorisation</w:t>
      </w:r>
      <w:bookmarkEnd w:id="122"/>
      <w:bookmarkEnd w:id="123"/>
    </w:p>
    <w:p w:rsidR="00DC6D8B" w:rsidRPr="00DC6D8B" w:rsidRDefault="00DC6D8B" w:rsidP="00794BA8">
      <w:r w:rsidRPr="00DC6D8B">
        <w:t>The evaluator recommended that adalimumab should be approved for the additional indication of:</w:t>
      </w:r>
    </w:p>
    <w:p w:rsidR="00DC6D8B" w:rsidRPr="00794BA8" w:rsidRDefault="00DC6D8B" w:rsidP="00794BA8">
      <w:pPr>
        <w:rPr>
          <w:b/>
          <w:i/>
        </w:rPr>
      </w:pPr>
      <w:r w:rsidRPr="00794BA8">
        <w:rPr>
          <w:b/>
          <w:i/>
        </w:rPr>
        <w:t xml:space="preserve">Non-Radiographic Axial </w:t>
      </w:r>
      <w:proofErr w:type="spellStart"/>
      <w:r w:rsidRPr="00794BA8">
        <w:rPr>
          <w:b/>
          <w:i/>
        </w:rPr>
        <w:t>Spondyloarthritis</w:t>
      </w:r>
      <w:proofErr w:type="spellEnd"/>
    </w:p>
    <w:p w:rsidR="00DC6D8B" w:rsidRPr="00794BA8" w:rsidRDefault="00DC6D8B" w:rsidP="00794BA8">
      <w:pPr>
        <w:rPr>
          <w:i/>
        </w:rPr>
      </w:pPr>
      <w:proofErr w:type="spellStart"/>
      <w:r w:rsidRPr="00794BA8">
        <w:rPr>
          <w:i/>
        </w:rPr>
        <w:t>Humira</w:t>
      </w:r>
      <w:proofErr w:type="spellEnd"/>
      <w:r w:rsidRPr="00794BA8">
        <w:rPr>
          <w:i/>
        </w:rPr>
        <w:t xml:space="preserve"> is indicated for reducing signs and symptoms in patients with non-radiographic axial </w:t>
      </w:r>
      <w:proofErr w:type="spellStart"/>
      <w:r w:rsidRPr="00794BA8">
        <w:rPr>
          <w:i/>
        </w:rPr>
        <w:t>spondyloarthritis</w:t>
      </w:r>
      <w:proofErr w:type="spellEnd"/>
    </w:p>
    <w:p w:rsidR="008E7846" w:rsidRPr="00794BA8" w:rsidRDefault="008E7846" w:rsidP="00794BA8">
      <w:pPr>
        <w:pStyle w:val="Heading3"/>
      </w:pPr>
      <w:bookmarkStart w:id="124" w:name="_Toc382922643"/>
      <w:r>
        <w:t>List of questions</w:t>
      </w:r>
      <w:bookmarkEnd w:id="70"/>
      <w:bookmarkEnd w:id="71"/>
      <w:bookmarkEnd w:id="72"/>
      <w:bookmarkEnd w:id="73"/>
      <w:bookmarkEnd w:id="124"/>
    </w:p>
    <w:p w:rsidR="00DC6D8B" w:rsidRPr="00DC6D8B" w:rsidRDefault="00DC6D8B" w:rsidP="00794BA8">
      <w:bookmarkStart w:id="125" w:name="_Toc247691523"/>
      <w:bookmarkStart w:id="126" w:name="_Toc314842507"/>
      <w:bookmarkStart w:id="127" w:name="_Toc184440295"/>
      <w:bookmarkStart w:id="128" w:name="_Toc184444673"/>
      <w:bookmarkStart w:id="129" w:name="_Toc196046503"/>
      <w:bookmarkEnd w:id="74"/>
      <w:r w:rsidRPr="00DC6D8B">
        <w:t xml:space="preserve">The only questions raised by the evaluator concerned the draft Product Information document and discussion of these </w:t>
      </w:r>
      <w:r w:rsidR="00CB0A7D">
        <w:t xml:space="preserve">issues </w:t>
      </w:r>
      <w:r w:rsidRPr="00DC6D8B">
        <w:t>are beyond the scope of this AusPAR.</w:t>
      </w:r>
    </w:p>
    <w:p w:rsidR="00DC6D8B" w:rsidRPr="00DC6D8B" w:rsidRDefault="00DC6D8B" w:rsidP="00794BA8">
      <w:pPr>
        <w:pStyle w:val="Heading3"/>
      </w:pPr>
      <w:bookmarkStart w:id="130" w:name="_Toc372551016"/>
      <w:bookmarkStart w:id="131" w:name="_Toc247691524"/>
      <w:bookmarkStart w:id="132" w:name="_Toc314842508"/>
      <w:bookmarkStart w:id="133" w:name="_Toc196046504"/>
      <w:bookmarkStart w:id="134" w:name="_Toc163441390"/>
      <w:bookmarkStart w:id="135" w:name="_Toc382922644"/>
      <w:bookmarkEnd w:id="125"/>
      <w:bookmarkEnd w:id="126"/>
      <w:bookmarkEnd w:id="127"/>
      <w:bookmarkEnd w:id="128"/>
      <w:bookmarkEnd w:id="129"/>
      <w:r w:rsidRPr="00DC6D8B">
        <w:t xml:space="preserve">Second round </w:t>
      </w:r>
      <w:r w:rsidRPr="00794BA8">
        <w:t>evaluation</w:t>
      </w:r>
      <w:r w:rsidRPr="00DC6D8B">
        <w:t xml:space="preserve"> of clinical data submitted in response to questions</w:t>
      </w:r>
      <w:bookmarkEnd w:id="130"/>
      <w:bookmarkEnd w:id="135"/>
    </w:p>
    <w:p w:rsidR="00DC6D8B" w:rsidRPr="00DC6D8B" w:rsidRDefault="00DC6D8B" w:rsidP="00794BA8">
      <w:pPr>
        <w:pStyle w:val="Heading4"/>
      </w:pPr>
      <w:bookmarkStart w:id="136" w:name="_Toc372551017"/>
      <w:r w:rsidRPr="00DC6D8B">
        <w:t xml:space="preserve">Second </w:t>
      </w:r>
      <w:r w:rsidR="00794BA8">
        <w:t>r</w:t>
      </w:r>
      <w:r w:rsidRPr="00DC6D8B">
        <w:t xml:space="preserve">ound </w:t>
      </w:r>
      <w:r w:rsidR="00794BA8">
        <w:t>b</w:t>
      </w:r>
      <w:r w:rsidRPr="00794BA8">
        <w:t>enefit</w:t>
      </w:r>
      <w:r w:rsidRPr="00DC6D8B">
        <w:t>-</w:t>
      </w:r>
      <w:r w:rsidR="00794BA8">
        <w:t>r</w:t>
      </w:r>
      <w:r w:rsidRPr="00DC6D8B">
        <w:t xml:space="preserve">isk </w:t>
      </w:r>
      <w:r w:rsidR="00794BA8" w:rsidRPr="00794BA8">
        <w:t>a</w:t>
      </w:r>
      <w:r w:rsidRPr="00794BA8">
        <w:t>ssessment</w:t>
      </w:r>
      <w:bookmarkEnd w:id="136"/>
    </w:p>
    <w:p w:rsidR="00DC6D8B" w:rsidRPr="00DC6D8B" w:rsidRDefault="00DC6D8B" w:rsidP="00794BA8">
      <w:pPr>
        <w:pStyle w:val="Heading5"/>
      </w:pPr>
      <w:bookmarkStart w:id="137" w:name="_Toc272414709"/>
      <w:bookmarkStart w:id="138" w:name="_Toc290846349"/>
      <w:bookmarkStart w:id="139" w:name="_Toc290888886"/>
      <w:bookmarkStart w:id="140" w:name="_Toc355288526"/>
      <w:bookmarkStart w:id="141" w:name="_Toc355289348"/>
      <w:r w:rsidRPr="00DC6D8B">
        <w:t>Second round assessment of benefits</w:t>
      </w:r>
      <w:bookmarkEnd w:id="137"/>
      <w:bookmarkEnd w:id="138"/>
      <w:bookmarkEnd w:id="139"/>
      <w:bookmarkEnd w:id="140"/>
      <w:bookmarkEnd w:id="141"/>
    </w:p>
    <w:p w:rsidR="00DC6D8B" w:rsidRPr="00DC6D8B" w:rsidRDefault="00DC6D8B" w:rsidP="00794BA8">
      <w:r w:rsidRPr="00DC6D8B">
        <w:t>After consideration of the responses to clinical questions, the benefits of adalimumab in the proposed usage were considered to be unchanged from those identified i</w:t>
      </w:r>
      <w:r w:rsidR="00794BA8">
        <w:t>n the First Round Evaluation.</w:t>
      </w:r>
    </w:p>
    <w:p w:rsidR="00DC6D8B" w:rsidRPr="00DC6D8B" w:rsidRDefault="00DC6D8B" w:rsidP="00794BA8">
      <w:pPr>
        <w:pStyle w:val="Heading5"/>
      </w:pPr>
      <w:bookmarkStart w:id="142" w:name="_Toc272414710"/>
      <w:bookmarkStart w:id="143" w:name="_Toc290846350"/>
      <w:bookmarkStart w:id="144" w:name="_Toc290888887"/>
      <w:bookmarkStart w:id="145" w:name="_Toc355288527"/>
      <w:bookmarkStart w:id="146" w:name="_Toc355289349"/>
      <w:r w:rsidRPr="00DC6D8B">
        <w:t xml:space="preserve">Second round </w:t>
      </w:r>
      <w:r w:rsidRPr="00794BA8">
        <w:t>assessment</w:t>
      </w:r>
      <w:r w:rsidRPr="00DC6D8B">
        <w:t xml:space="preserve"> of risks</w:t>
      </w:r>
      <w:bookmarkEnd w:id="142"/>
      <w:bookmarkEnd w:id="143"/>
      <w:bookmarkEnd w:id="144"/>
      <w:bookmarkEnd w:id="145"/>
      <w:bookmarkEnd w:id="146"/>
    </w:p>
    <w:p w:rsidR="00DC6D8B" w:rsidRPr="00DC6D8B" w:rsidRDefault="00DC6D8B" w:rsidP="00794BA8">
      <w:r w:rsidRPr="00DC6D8B">
        <w:t>After consideration of the responses to clinical questions, the risks of adalimumab in the proposed usage were considered to be unchanged from those identified in the First Round Evaluation.</w:t>
      </w:r>
    </w:p>
    <w:p w:rsidR="00DC6D8B" w:rsidRPr="00DC6D8B" w:rsidRDefault="00DC6D8B" w:rsidP="00794BA8">
      <w:pPr>
        <w:pStyle w:val="Heading5"/>
      </w:pPr>
      <w:bookmarkStart w:id="147" w:name="_Toc272414711"/>
      <w:bookmarkStart w:id="148" w:name="_Toc290846351"/>
      <w:bookmarkStart w:id="149" w:name="_Toc290888888"/>
      <w:bookmarkStart w:id="150" w:name="_Toc355288528"/>
      <w:bookmarkStart w:id="151" w:name="_Toc355289350"/>
      <w:r w:rsidRPr="00DC6D8B">
        <w:t xml:space="preserve">Second round </w:t>
      </w:r>
      <w:r w:rsidRPr="00794BA8">
        <w:t>assessment</w:t>
      </w:r>
      <w:r w:rsidRPr="00DC6D8B">
        <w:t xml:space="preserve"> of benefit-risk balance</w:t>
      </w:r>
      <w:bookmarkEnd w:id="147"/>
      <w:bookmarkEnd w:id="148"/>
      <w:bookmarkEnd w:id="149"/>
      <w:bookmarkEnd w:id="150"/>
      <w:bookmarkEnd w:id="151"/>
    </w:p>
    <w:p w:rsidR="00DC6D8B" w:rsidRPr="00DC6D8B" w:rsidRDefault="00DC6D8B" w:rsidP="00794BA8">
      <w:r w:rsidRPr="00DC6D8B">
        <w:t>The benefit-risk balance of adalimumab, given the proposed usage, was considered to be favourable.</w:t>
      </w:r>
    </w:p>
    <w:p w:rsidR="00DC6D8B" w:rsidRPr="00DC6D8B" w:rsidRDefault="00DC6D8B" w:rsidP="00794BA8">
      <w:pPr>
        <w:pStyle w:val="Heading3"/>
      </w:pPr>
      <w:bookmarkStart w:id="152" w:name="_Toc372551018"/>
      <w:bookmarkStart w:id="153" w:name="_Toc382922645"/>
      <w:r w:rsidRPr="00DC6D8B">
        <w:t xml:space="preserve">Second round </w:t>
      </w:r>
      <w:r w:rsidRPr="00794BA8">
        <w:t>recommendation</w:t>
      </w:r>
      <w:r w:rsidRPr="00DC6D8B">
        <w:t xml:space="preserve"> regarding authorisation</w:t>
      </w:r>
      <w:bookmarkEnd w:id="152"/>
      <w:bookmarkEnd w:id="153"/>
    </w:p>
    <w:p w:rsidR="00DC6D8B" w:rsidRPr="00DC6D8B" w:rsidRDefault="00DC6D8B" w:rsidP="00794BA8">
      <w:r w:rsidRPr="00DC6D8B">
        <w:t>The evaluator recommended that adalimumab should be approved for the additional indication of:</w:t>
      </w:r>
    </w:p>
    <w:p w:rsidR="00DC6D8B" w:rsidRPr="00794BA8" w:rsidRDefault="00DC6D8B" w:rsidP="00794BA8">
      <w:pPr>
        <w:keepNext/>
        <w:rPr>
          <w:b/>
          <w:i/>
        </w:rPr>
      </w:pPr>
      <w:r w:rsidRPr="00794BA8">
        <w:rPr>
          <w:b/>
          <w:i/>
        </w:rPr>
        <w:lastRenderedPageBreak/>
        <w:t xml:space="preserve">Non-Radiographic Axial </w:t>
      </w:r>
      <w:proofErr w:type="spellStart"/>
      <w:r w:rsidRPr="00794BA8">
        <w:rPr>
          <w:b/>
          <w:i/>
        </w:rPr>
        <w:t>Spondyloarthritis</w:t>
      </w:r>
      <w:proofErr w:type="spellEnd"/>
    </w:p>
    <w:p w:rsidR="00DC6D8B" w:rsidRPr="00794BA8" w:rsidRDefault="00DC6D8B" w:rsidP="00794BA8">
      <w:pPr>
        <w:rPr>
          <w:i/>
        </w:rPr>
      </w:pPr>
      <w:proofErr w:type="spellStart"/>
      <w:r w:rsidRPr="00794BA8">
        <w:rPr>
          <w:i/>
        </w:rPr>
        <w:t>Humira</w:t>
      </w:r>
      <w:proofErr w:type="spellEnd"/>
      <w:r w:rsidRPr="00794BA8">
        <w:rPr>
          <w:i/>
        </w:rPr>
        <w:t xml:space="preserve"> is indicated for reducing signs and symptoms in patients with non-radiographic axial </w:t>
      </w:r>
      <w:proofErr w:type="spellStart"/>
      <w:r w:rsidRPr="00794BA8">
        <w:rPr>
          <w:i/>
        </w:rPr>
        <w:t>spondyloarthritis</w:t>
      </w:r>
      <w:proofErr w:type="spellEnd"/>
    </w:p>
    <w:p w:rsidR="008E7846" w:rsidRPr="00E41208" w:rsidRDefault="008E7846" w:rsidP="00794BA8">
      <w:pPr>
        <w:pStyle w:val="Heading2"/>
      </w:pPr>
      <w:bookmarkStart w:id="154" w:name="_Toc382922646"/>
      <w:r w:rsidRPr="00E41208">
        <w:t xml:space="preserve">V. </w:t>
      </w:r>
      <w:proofErr w:type="spellStart"/>
      <w:r w:rsidRPr="00E41208">
        <w:t>Pharmacovigilance</w:t>
      </w:r>
      <w:proofErr w:type="spellEnd"/>
      <w:r w:rsidRPr="00E41208">
        <w:t xml:space="preserve"> </w:t>
      </w:r>
      <w:r w:rsidRPr="00794BA8">
        <w:t>findings</w:t>
      </w:r>
      <w:bookmarkEnd w:id="131"/>
      <w:bookmarkEnd w:id="132"/>
      <w:bookmarkEnd w:id="154"/>
    </w:p>
    <w:p w:rsidR="008E7846" w:rsidRPr="00794BA8" w:rsidRDefault="00386150" w:rsidP="00794BA8">
      <w:pPr>
        <w:pStyle w:val="Heading3"/>
      </w:pPr>
      <w:bookmarkStart w:id="155" w:name="_Toc247691526"/>
      <w:bookmarkStart w:id="156" w:name="_Toc314842509"/>
      <w:bookmarkStart w:id="157" w:name="_Toc382922647"/>
      <w:r>
        <w:rPr>
          <w:lang w:eastAsia="en-AU"/>
        </w:rPr>
        <w:t>Risk m</w:t>
      </w:r>
      <w:r w:rsidR="008E7846">
        <w:rPr>
          <w:lang w:eastAsia="en-AU"/>
        </w:rPr>
        <w:t xml:space="preserve">anagement </w:t>
      </w:r>
      <w:r>
        <w:rPr>
          <w:lang w:eastAsia="en-AU"/>
        </w:rPr>
        <w:t>p</w:t>
      </w:r>
      <w:r w:rsidR="008E7846">
        <w:rPr>
          <w:lang w:eastAsia="en-AU"/>
        </w:rPr>
        <w:t>lan</w:t>
      </w:r>
      <w:bookmarkEnd w:id="155"/>
      <w:bookmarkEnd w:id="156"/>
      <w:bookmarkEnd w:id="157"/>
    </w:p>
    <w:p w:rsidR="008E7846" w:rsidRDefault="008E7846" w:rsidP="00794BA8">
      <w:pPr>
        <w:rPr>
          <w:lang w:eastAsia="en-AU"/>
        </w:rPr>
      </w:pPr>
      <w:r>
        <w:rPr>
          <w:lang w:eastAsia="en-AU"/>
        </w:rPr>
        <w:t>The sponsor submitted a Risk Management Plan which was reviewed by the TGA’s Office of Product Review (OPR).</w:t>
      </w:r>
    </w:p>
    <w:p w:rsidR="008E7846" w:rsidRPr="00794BA8" w:rsidRDefault="003A7F6C" w:rsidP="00794BA8">
      <w:pPr>
        <w:pStyle w:val="Heading4"/>
      </w:pPr>
      <w:r>
        <w:rPr>
          <w:lang w:eastAsia="en-AU"/>
        </w:rPr>
        <w:t>Safety s</w:t>
      </w:r>
      <w:r w:rsidR="008E7846">
        <w:rPr>
          <w:lang w:eastAsia="en-AU"/>
        </w:rPr>
        <w:t>pecification</w:t>
      </w:r>
    </w:p>
    <w:p w:rsidR="008E7846" w:rsidRDefault="008E7846" w:rsidP="00794BA8">
      <w:pPr>
        <w:rPr>
          <w:lang w:eastAsia="en-AU"/>
        </w:rPr>
      </w:pPr>
      <w:r>
        <w:rPr>
          <w:lang w:eastAsia="en-AU"/>
        </w:rPr>
        <w:t xml:space="preserve">The sponsor provided a summary of Ongoing </w:t>
      </w:r>
      <w:r w:rsidR="000C5434">
        <w:rPr>
          <w:lang w:eastAsia="en-AU"/>
        </w:rPr>
        <w:t>S</w:t>
      </w:r>
      <w:r>
        <w:rPr>
          <w:lang w:eastAsia="en-AU"/>
        </w:rPr>
        <w:t>afety Con</w:t>
      </w:r>
      <w:r w:rsidR="000C5434">
        <w:rPr>
          <w:lang w:eastAsia="en-AU"/>
        </w:rPr>
        <w:t xml:space="preserve">cerns which are shown </w:t>
      </w:r>
      <w:r w:rsidR="00184308">
        <w:rPr>
          <w:lang w:eastAsia="en-AU"/>
        </w:rPr>
        <w:t>in</w:t>
      </w:r>
      <w:r w:rsidR="000C5434">
        <w:rPr>
          <w:lang w:eastAsia="en-AU"/>
        </w:rPr>
        <w:t xml:space="preserve"> Table 1</w:t>
      </w:r>
      <w:r>
        <w:rPr>
          <w:lang w:eastAsia="en-AU"/>
        </w:rPr>
        <w:t>.</w:t>
      </w:r>
    </w:p>
    <w:p w:rsidR="00794BA8" w:rsidRDefault="00794BA8" w:rsidP="00794BA8">
      <w:pPr>
        <w:pStyle w:val="TableTitle"/>
        <w:rPr>
          <w:lang w:eastAsia="en-AU"/>
        </w:rPr>
      </w:pPr>
      <w:proofErr w:type="gramStart"/>
      <w:r>
        <w:rPr>
          <w:lang w:eastAsia="en-AU"/>
        </w:rPr>
        <w:t>Table 1.</w:t>
      </w:r>
      <w:proofErr w:type="gramEnd"/>
      <w:r>
        <w:rPr>
          <w:lang w:eastAsia="en-AU"/>
        </w:rPr>
        <w:t xml:space="preserve"> </w:t>
      </w:r>
      <w:r w:rsidRPr="00794BA8">
        <w:t>Summary</w:t>
      </w:r>
      <w:r>
        <w:rPr>
          <w:lang w:eastAsia="en-AU"/>
        </w:rPr>
        <w:t xml:space="preserve"> of Ongoing Safety Concerns. Table continued across 3 pages.</w:t>
      </w:r>
    </w:p>
    <w:tbl>
      <w:tblPr>
        <w:tblStyle w:val="TableTGAblue"/>
        <w:tblW w:w="0" w:type="auto"/>
        <w:tblLook w:val="06A0" w:firstRow="1" w:lastRow="0" w:firstColumn="1" w:lastColumn="0" w:noHBand="1" w:noVBand="1"/>
      </w:tblPr>
      <w:tblGrid>
        <w:gridCol w:w="3510"/>
        <w:gridCol w:w="5210"/>
      </w:tblGrid>
      <w:tr w:rsidR="00794BA8" w:rsidRPr="00794BA8" w:rsidTr="00D97091">
        <w:trPr>
          <w:cnfStyle w:val="100000000000" w:firstRow="1" w:lastRow="0" w:firstColumn="0" w:lastColumn="0" w:oddVBand="0" w:evenVBand="0" w:oddHBand="0" w:evenHBand="0" w:firstRowFirstColumn="0" w:firstRowLastColumn="0" w:lastRowFirstColumn="0" w:lastRowLastColumn="0"/>
        </w:trPr>
        <w:tc>
          <w:tcPr>
            <w:tcW w:w="8720" w:type="dxa"/>
            <w:gridSpan w:val="2"/>
          </w:tcPr>
          <w:p w:rsidR="00794BA8" w:rsidRPr="00794BA8" w:rsidRDefault="00794BA8" w:rsidP="00794BA8">
            <w:pPr>
              <w:rPr>
                <w:sz w:val="20"/>
              </w:rPr>
            </w:pPr>
            <w:r w:rsidRPr="00794BA8">
              <w:rPr>
                <w:sz w:val="20"/>
                <w:lang w:val="en-CA"/>
              </w:rPr>
              <w:t>Summary of ongoing safety concerns</w:t>
            </w:r>
          </w:p>
        </w:tc>
      </w:tr>
      <w:tr w:rsidR="00794BA8" w:rsidRPr="00794BA8" w:rsidTr="00794BA8">
        <w:tc>
          <w:tcPr>
            <w:tcW w:w="3510" w:type="dxa"/>
          </w:tcPr>
          <w:p w:rsidR="00794BA8" w:rsidRPr="00794BA8" w:rsidRDefault="00794BA8" w:rsidP="00794BA8">
            <w:pPr>
              <w:rPr>
                <w:b/>
                <w:sz w:val="20"/>
                <w:lang w:val="en-CA" w:eastAsia="en-US"/>
              </w:rPr>
            </w:pPr>
            <w:r w:rsidRPr="00794BA8">
              <w:rPr>
                <w:b/>
                <w:sz w:val="20"/>
                <w:lang w:val="en-CA"/>
              </w:rPr>
              <w:t>Important identified risks</w:t>
            </w:r>
          </w:p>
        </w:tc>
        <w:tc>
          <w:tcPr>
            <w:tcW w:w="5210" w:type="dxa"/>
          </w:tcPr>
          <w:p w:rsidR="00794BA8" w:rsidRPr="00794BA8" w:rsidRDefault="00794BA8" w:rsidP="00794BA8">
            <w:pPr>
              <w:pStyle w:val="ListBullet"/>
              <w:rPr>
                <w:sz w:val="20"/>
              </w:rPr>
            </w:pPr>
            <w:r w:rsidRPr="00794BA8">
              <w:rPr>
                <w:sz w:val="20"/>
              </w:rPr>
              <w:t xml:space="preserve">Serious infections including opportunistic infections, for example, invasive fungal infections, parasitic infections, </w:t>
            </w:r>
            <w:proofErr w:type="spellStart"/>
            <w:r w:rsidRPr="00794BA8">
              <w:rPr>
                <w:sz w:val="20"/>
              </w:rPr>
              <w:t>legionellosis</w:t>
            </w:r>
            <w:proofErr w:type="spellEnd"/>
            <w:r w:rsidRPr="00794BA8">
              <w:rPr>
                <w:sz w:val="20"/>
              </w:rPr>
              <w:t>, and TB</w:t>
            </w:r>
          </w:p>
          <w:p w:rsidR="00794BA8" w:rsidRPr="00794BA8" w:rsidRDefault="00794BA8" w:rsidP="00794BA8">
            <w:pPr>
              <w:pStyle w:val="ListBullet"/>
              <w:rPr>
                <w:sz w:val="20"/>
              </w:rPr>
            </w:pPr>
            <w:r w:rsidRPr="00794BA8">
              <w:rPr>
                <w:sz w:val="20"/>
              </w:rPr>
              <w:t>Reactivation of hepatitis B</w:t>
            </w:r>
          </w:p>
          <w:p w:rsidR="00794BA8" w:rsidRPr="00794BA8" w:rsidRDefault="00794BA8" w:rsidP="00794BA8">
            <w:pPr>
              <w:pStyle w:val="ListBullet"/>
              <w:rPr>
                <w:sz w:val="20"/>
              </w:rPr>
            </w:pPr>
            <w:r w:rsidRPr="00794BA8">
              <w:rPr>
                <w:sz w:val="20"/>
              </w:rPr>
              <w:t>Pancreatitis</w:t>
            </w:r>
          </w:p>
          <w:p w:rsidR="00794BA8" w:rsidRPr="00794BA8" w:rsidRDefault="00794BA8" w:rsidP="00794BA8">
            <w:pPr>
              <w:pStyle w:val="ListBullet"/>
              <w:rPr>
                <w:sz w:val="20"/>
              </w:rPr>
            </w:pPr>
            <w:r w:rsidRPr="00794BA8">
              <w:rPr>
                <w:sz w:val="20"/>
              </w:rPr>
              <w:t>Lymphoma</w:t>
            </w:r>
          </w:p>
          <w:p w:rsidR="00794BA8" w:rsidRPr="00794BA8" w:rsidRDefault="00794BA8" w:rsidP="00794BA8">
            <w:pPr>
              <w:pStyle w:val="ListBullet"/>
              <w:rPr>
                <w:sz w:val="20"/>
              </w:rPr>
            </w:pPr>
            <w:proofErr w:type="spellStart"/>
            <w:r w:rsidRPr="00794BA8">
              <w:rPr>
                <w:sz w:val="20"/>
              </w:rPr>
              <w:t>Hepatosplenic</w:t>
            </w:r>
            <w:proofErr w:type="spellEnd"/>
            <w:r w:rsidRPr="00794BA8">
              <w:rPr>
                <w:sz w:val="20"/>
              </w:rPr>
              <w:t xml:space="preserve"> T-cell Lymphoma</w:t>
            </w:r>
          </w:p>
          <w:p w:rsidR="00794BA8" w:rsidRPr="00794BA8" w:rsidRDefault="00794BA8" w:rsidP="00794BA8">
            <w:pPr>
              <w:pStyle w:val="ListBullet"/>
              <w:rPr>
                <w:sz w:val="20"/>
              </w:rPr>
            </w:pPr>
            <w:proofErr w:type="spellStart"/>
            <w:r w:rsidRPr="00794BA8">
              <w:rPr>
                <w:sz w:val="20"/>
              </w:rPr>
              <w:t>Leukemia</w:t>
            </w:r>
            <w:proofErr w:type="spellEnd"/>
          </w:p>
          <w:p w:rsidR="00794BA8" w:rsidRPr="00794BA8" w:rsidRDefault="00794BA8" w:rsidP="00794BA8">
            <w:pPr>
              <w:pStyle w:val="ListBullet"/>
              <w:rPr>
                <w:sz w:val="20"/>
              </w:rPr>
            </w:pPr>
            <w:r w:rsidRPr="00794BA8">
              <w:rPr>
                <w:sz w:val="20"/>
              </w:rPr>
              <w:t>Non-melanoma Skin Cancer</w:t>
            </w:r>
          </w:p>
          <w:p w:rsidR="00794BA8" w:rsidRPr="00794BA8" w:rsidRDefault="00794BA8" w:rsidP="00794BA8">
            <w:pPr>
              <w:pStyle w:val="ListBullet"/>
              <w:rPr>
                <w:sz w:val="20"/>
              </w:rPr>
            </w:pPr>
            <w:r w:rsidRPr="00794BA8">
              <w:rPr>
                <w:sz w:val="20"/>
              </w:rPr>
              <w:t>Melanoma</w:t>
            </w:r>
          </w:p>
          <w:p w:rsidR="00794BA8" w:rsidRPr="00794BA8" w:rsidRDefault="00794BA8" w:rsidP="00794BA8">
            <w:pPr>
              <w:pStyle w:val="ListBullet"/>
              <w:rPr>
                <w:sz w:val="20"/>
              </w:rPr>
            </w:pPr>
            <w:r w:rsidRPr="00794BA8">
              <w:rPr>
                <w:sz w:val="20"/>
              </w:rPr>
              <w:t>Demyelinating disorders (including MS, GBS, and optic neuritis)</w:t>
            </w:r>
          </w:p>
          <w:p w:rsidR="00794BA8" w:rsidRPr="00794BA8" w:rsidRDefault="00794BA8" w:rsidP="00794BA8">
            <w:pPr>
              <w:pStyle w:val="ListBullet"/>
              <w:rPr>
                <w:sz w:val="20"/>
              </w:rPr>
            </w:pPr>
            <w:r w:rsidRPr="00794BA8">
              <w:rPr>
                <w:sz w:val="20"/>
              </w:rPr>
              <w:t>Immune reactions (including lupus-like reactions and allergic reactions)</w:t>
            </w:r>
          </w:p>
          <w:p w:rsidR="00794BA8" w:rsidRPr="00794BA8" w:rsidRDefault="00794BA8" w:rsidP="00794BA8">
            <w:pPr>
              <w:pStyle w:val="ListBullet"/>
              <w:rPr>
                <w:sz w:val="20"/>
              </w:rPr>
            </w:pPr>
            <w:proofErr w:type="spellStart"/>
            <w:r w:rsidRPr="00794BA8">
              <w:rPr>
                <w:sz w:val="20"/>
              </w:rPr>
              <w:t>Sarcoidosis</w:t>
            </w:r>
            <w:proofErr w:type="spellEnd"/>
          </w:p>
          <w:p w:rsidR="00794BA8" w:rsidRPr="00794BA8" w:rsidRDefault="00794BA8" w:rsidP="00794BA8">
            <w:pPr>
              <w:pStyle w:val="ListBullet"/>
              <w:rPr>
                <w:sz w:val="20"/>
              </w:rPr>
            </w:pPr>
            <w:r w:rsidRPr="00794BA8">
              <w:rPr>
                <w:sz w:val="20"/>
              </w:rPr>
              <w:t>Congestive Heart Failure</w:t>
            </w:r>
          </w:p>
          <w:p w:rsidR="00794BA8" w:rsidRPr="00794BA8" w:rsidRDefault="00794BA8" w:rsidP="00794BA8">
            <w:pPr>
              <w:pStyle w:val="ListBullet"/>
              <w:rPr>
                <w:sz w:val="20"/>
              </w:rPr>
            </w:pPr>
            <w:r w:rsidRPr="00794BA8">
              <w:rPr>
                <w:sz w:val="20"/>
              </w:rPr>
              <w:t>Myocardial Infarction</w:t>
            </w:r>
          </w:p>
          <w:p w:rsidR="00794BA8" w:rsidRPr="00794BA8" w:rsidRDefault="00794BA8" w:rsidP="00794BA8">
            <w:pPr>
              <w:pStyle w:val="ListBullet"/>
              <w:rPr>
                <w:sz w:val="20"/>
              </w:rPr>
            </w:pPr>
            <w:r w:rsidRPr="00794BA8">
              <w:rPr>
                <w:sz w:val="20"/>
              </w:rPr>
              <w:t>Cerebrovascular Accident</w:t>
            </w:r>
          </w:p>
          <w:p w:rsidR="00794BA8" w:rsidRPr="00794BA8" w:rsidRDefault="00794BA8" w:rsidP="00794BA8">
            <w:pPr>
              <w:pStyle w:val="ListBullet"/>
              <w:rPr>
                <w:sz w:val="20"/>
              </w:rPr>
            </w:pPr>
            <w:r w:rsidRPr="00794BA8">
              <w:rPr>
                <w:sz w:val="20"/>
              </w:rPr>
              <w:t>Interstitial Lung Disease</w:t>
            </w:r>
          </w:p>
          <w:p w:rsidR="00794BA8" w:rsidRPr="00794BA8" w:rsidRDefault="00794BA8" w:rsidP="00794BA8">
            <w:pPr>
              <w:pStyle w:val="ListBullet"/>
              <w:rPr>
                <w:sz w:val="20"/>
              </w:rPr>
            </w:pPr>
            <w:r w:rsidRPr="00794BA8">
              <w:rPr>
                <w:sz w:val="20"/>
              </w:rPr>
              <w:t>Pulmonary embolism</w:t>
            </w:r>
          </w:p>
          <w:p w:rsidR="00794BA8" w:rsidRPr="00794BA8" w:rsidRDefault="00794BA8" w:rsidP="00794BA8">
            <w:pPr>
              <w:pStyle w:val="ListBullet"/>
              <w:rPr>
                <w:sz w:val="20"/>
              </w:rPr>
            </w:pPr>
            <w:r w:rsidRPr="00794BA8">
              <w:rPr>
                <w:sz w:val="20"/>
              </w:rPr>
              <w:t xml:space="preserve">Cutaneous </w:t>
            </w:r>
            <w:proofErr w:type="spellStart"/>
            <w:r w:rsidRPr="00794BA8">
              <w:rPr>
                <w:sz w:val="20"/>
              </w:rPr>
              <w:t>vasculitis</w:t>
            </w:r>
            <w:proofErr w:type="spellEnd"/>
          </w:p>
          <w:p w:rsidR="00794BA8" w:rsidRPr="00794BA8" w:rsidRDefault="00794BA8" w:rsidP="00794BA8">
            <w:pPr>
              <w:pStyle w:val="ListBullet"/>
              <w:rPr>
                <w:sz w:val="20"/>
              </w:rPr>
            </w:pPr>
            <w:r w:rsidRPr="00794BA8">
              <w:rPr>
                <w:sz w:val="20"/>
              </w:rPr>
              <w:t xml:space="preserve">SJS and erythema </w:t>
            </w:r>
            <w:proofErr w:type="spellStart"/>
            <w:r w:rsidRPr="00794BA8">
              <w:rPr>
                <w:sz w:val="20"/>
              </w:rPr>
              <w:t>multiforme</w:t>
            </w:r>
            <w:proofErr w:type="spellEnd"/>
          </w:p>
          <w:p w:rsidR="00794BA8" w:rsidRPr="00794BA8" w:rsidRDefault="00794BA8" w:rsidP="00794BA8">
            <w:pPr>
              <w:pStyle w:val="ListBullet"/>
              <w:rPr>
                <w:sz w:val="20"/>
              </w:rPr>
            </w:pPr>
            <w:r w:rsidRPr="00794BA8">
              <w:rPr>
                <w:sz w:val="20"/>
              </w:rPr>
              <w:t>Worsening and new onset of Ps</w:t>
            </w:r>
          </w:p>
          <w:p w:rsidR="00794BA8" w:rsidRPr="00794BA8" w:rsidRDefault="00794BA8" w:rsidP="00794BA8">
            <w:pPr>
              <w:pStyle w:val="ListBullet"/>
              <w:rPr>
                <w:sz w:val="20"/>
              </w:rPr>
            </w:pPr>
            <w:proofErr w:type="spellStart"/>
            <w:r w:rsidRPr="00794BA8">
              <w:rPr>
                <w:sz w:val="20"/>
              </w:rPr>
              <w:t>Haematologic</w:t>
            </w:r>
            <w:proofErr w:type="spellEnd"/>
            <w:r w:rsidRPr="00794BA8">
              <w:rPr>
                <w:sz w:val="20"/>
              </w:rPr>
              <w:t xml:space="preserve"> disorders</w:t>
            </w:r>
          </w:p>
          <w:p w:rsidR="00794BA8" w:rsidRPr="00794BA8" w:rsidRDefault="00794BA8" w:rsidP="00794BA8">
            <w:pPr>
              <w:pStyle w:val="ListBullet"/>
              <w:rPr>
                <w:sz w:val="20"/>
              </w:rPr>
            </w:pPr>
            <w:r w:rsidRPr="00794BA8">
              <w:rPr>
                <w:sz w:val="20"/>
              </w:rPr>
              <w:t>Intestinal perforation</w:t>
            </w:r>
          </w:p>
          <w:p w:rsidR="00794BA8" w:rsidRPr="00794BA8" w:rsidRDefault="00794BA8" w:rsidP="00794BA8">
            <w:pPr>
              <w:pStyle w:val="ListBullet"/>
              <w:rPr>
                <w:sz w:val="20"/>
              </w:rPr>
            </w:pPr>
            <w:r w:rsidRPr="00794BA8">
              <w:rPr>
                <w:sz w:val="20"/>
              </w:rPr>
              <w:lastRenderedPageBreak/>
              <w:t>Intestinal strictures in CD</w:t>
            </w:r>
          </w:p>
          <w:p w:rsidR="00794BA8" w:rsidRPr="00794BA8" w:rsidRDefault="00794BA8" w:rsidP="00794BA8">
            <w:pPr>
              <w:pStyle w:val="ListBullet"/>
              <w:rPr>
                <w:sz w:val="20"/>
              </w:rPr>
            </w:pPr>
            <w:r w:rsidRPr="00794BA8">
              <w:rPr>
                <w:sz w:val="20"/>
              </w:rPr>
              <w:t>Liver failure</w:t>
            </w:r>
          </w:p>
          <w:p w:rsidR="00794BA8" w:rsidRPr="00794BA8" w:rsidRDefault="00794BA8" w:rsidP="00794BA8">
            <w:pPr>
              <w:pStyle w:val="ListBullet"/>
              <w:rPr>
                <w:sz w:val="20"/>
              </w:rPr>
            </w:pPr>
            <w:r w:rsidRPr="00794BA8">
              <w:rPr>
                <w:sz w:val="20"/>
              </w:rPr>
              <w:t>Elevated ALT levels</w:t>
            </w:r>
          </w:p>
          <w:p w:rsidR="00794BA8" w:rsidRPr="00794BA8" w:rsidRDefault="00794BA8" w:rsidP="00794BA8">
            <w:pPr>
              <w:pStyle w:val="ListBullet"/>
              <w:rPr>
                <w:sz w:val="20"/>
              </w:rPr>
            </w:pPr>
            <w:r w:rsidRPr="00794BA8">
              <w:rPr>
                <w:sz w:val="20"/>
              </w:rPr>
              <w:t>Medication errors and maladministration</w:t>
            </w:r>
          </w:p>
        </w:tc>
      </w:tr>
      <w:tr w:rsidR="00794BA8" w:rsidRPr="00794BA8" w:rsidTr="00794BA8">
        <w:tc>
          <w:tcPr>
            <w:tcW w:w="3510" w:type="dxa"/>
          </w:tcPr>
          <w:p w:rsidR="00794BA8" w:rsidRPr="00794BA8" w:rsidRDefault="00794BA8" w:rsidP="00794BA8">
            <w:pPr>
              <w:rPr>
                <w:b/>
                <w:sz w:val="20"/>
                <w:lang w:val="en-CA" w:eastAsia="en-US"/>
              </w:rPr>
            </w:pPr>
            <w:r w:rsidRPr="00794BA8">
              <w:rPr>
                <w:b/>
                <w:sz w:val="20"/>
                <w:lang w:val="en-CA"/>
              </w:rPr>
              <w:lastRenderedPageBreak/>
              <w:t>Important potential risks</w:t>
            </w:r>
          </w:p>
        </w:tc>
        <w:tc>
          <w:tcPr>
            <w:tcW w:w="5210" w:type="dxa"/>
          </w:tcPr>
          <w:p w:rsidR="00794BA8" w:rsidRPr="00794BA8" w:rsidRDefault="00794BA8" w:rsidP="00794BA8">
            <w:pPr>
              <w:pStyle w:val="ListBullet"/>
              <w:rPr>
                <w:sz w:val="20"/>
              </w:rPr>
            </w:pPr>
            <w:r w:rsidRPr="00794BA8">
              <w:rPr>
                <w:sz w:val="20"/>
              </w:rPr>
              <w:t xml:space="preserve">Other malignancies (except lymphoma, HSTCL, </w:t>
            </w:r>
            <w:proofErr w:type="spellStart"/>
            <w:r w:rsidRPr="00794BA8">
              <w:rPr>
                <w:sz w:val="20"/>
              </w:rPr>
              <w:t>leukemia</w:t>
            </w:r>
            <w:proofErr w:type="spellEnd"/>
            <w:r w:rsidRPr="00794BA8">
              <w:rPr>
                <w:sz w:val="20"/>
              </w:rPr>
              <w:t>, NMSC and</w:t>
            </w:r>
          </w:p>
          <w:p w:rsidR="00794BA8" w:rsidRPr="00794BA8" w:rsidRDefault="00794BA8" w:rsidP="00794BA8">
            <w:pPr>
              <w:pStyle w:val="ListBullet"/>
              <w:rPr>
                <w:sz w:val="20"/>
              </w:rPr>
            </w:pPr>
            <w:r w:rsidRPr="00794BA8">
              <w:rPr>
                <w:sz w:val="20"/>
              </w:rPr>
              <w:t>melanoma)</w:t>
            </w:r>
          </w:p>
          <w:p w:rsidR="00794BA8" w:rsidRPr="00794BA8" w:rsidRDefault="00794BA8" w:rsidP="00794BA8">
            <w:pPr>
              <w:pStyle w:val="ListBullet"/>
              <w:rPr>
                <w:sz w:val="20"/>
              </w:rPr>
            </w:pPr>
            <w:proofErr w:type="spellStart"/>
            <w:r w:rsidRPr="00794BA8">
              <w:rPr>
                <w:sz w:val="20"/>
              </w:rPr>
              <w:t>Vasculitis</w:t>
            </w:r>
            <w:proofErr w:type="spellEnd"/>
            <w:r w:rsidRPr="00794BA8">
              <w:rPr>
                <w:sz w:val="20"/>
              </w:rPr>
              <w:t xml:space="preserve"> (non-cutaneous)</w:t>
            </w:r>
          </w:p>
          <w:p w:rsidR="00794BA8" w:rsidRPr="00794BA8" w:rsidRDefault="00794BA8" w:rsidP="00794BA8">
            <w:pPr>
              <w:pStyle w:val="ListBullet"/>
              <w:rPr>
                <w:sz w:val="20"/>
              </w:rPr>
            </w:pPr>
            <w:r w:rsidRPr="00794BA8">
              <w:rPr>
                <w:sz w:val="20"/>
              </w:rPr>
              <w:t xml:space="preserve">Progressive Multifocal </w:t>
            </w:r>
            <w:proofErr w:type="spellStart"/>
            <w:r w:rsidRPr="00794BA8">
              <w:rPr>
                <w:sz w:val="20"/>
              </w:rPr>
              <w:t>Leukoencephalopathy</w:t>
            </w:r>
            <w:proofErr w:type="spellEnd"/>
          </w:p>
          <w:p w:rsidR="00794BA8" w:rsidRPr="00794BA8" w:rsidRDefault="00794BA8" w:rsidP="00794BA8">
            <w:pPr>
              <w:pStyle w:val="ListBullet"/>
              <w:rPr>
                <w:sz w:val="20"/>
              </w:rPr>
            </w:pPr>
            <w:r w:rsidRPr="00794BA8">
              <w:rPr>
                <w:sz w:val="20"/>
              </w:rPr>
              <w:t xml:space="preserve">Reversible Posterior </w:t>
            </w:r>
            <w:proofErr w:type="spellStart"/>
            <w:r w:rsidRPr="00794BA8">
              <w:rPr>
                <w:sz w:val="20"/>
              </w:rPr>
              <w:t>Leukoencephalopathy</w:t>
            </w:r>
            <w:proofErr w:type="spellEnd"/>
            <w:r w:rsidRPr="00794BA8">
              <w:rPr>
                <w:sz w:val="20"/>
              </w:rPr>
              <w:t xml:space="preserve"> Syndrome</w:t>
            </w:r>
          </w:p>
          <w:p w:rsidR="00794BA8" w:rsidRPr="00794BA8" w:rsidRDefault="00794BA8" w:rsidP="00794BA8">
            <w:pPr>
              <w:pStyle w:val="ListBullet"/>
              <w:rPr>
                <w:sz w:val="20"/>
              </w:rPr>
            </w:pPr>
            <w:proofErr w:type="spellStart"/>
            <w:r w:rsidRPr="00794BA8">
              <w:rPr>
                <w:sz w:val="20"/>
              </w:rPr>
              <w:t>Amyotropic</w:t>
            </w:r>
            <w:proofErr w:type="spellEnd"/>
            <w:r w:rsidRPr="00794BA8">
              <w:rPr>
                <w:sz w:val="20"/>
              </w:rPr>
              <w:t xml:space="preserve"> Lateral Sclerosis</w:t>
            </w:r>
          </w:p>
          <w:p w:rsidR="00794BA8" w:rsidRPr="00794BA8" w:rsidRDefault="00794BA8" w:rsidP="00794BA8">
            <w:pPr>
              <w:pStyle w:val="ListBullet"/>
              <w:rPr>
                <w:sz w:val="20"/>
              </w:rPr>
            </w:pPr>
            <w:r w:rsidRPr="00794BA8">
              <w:rPr>
                <w:sz w:val="20"/>
              </w:rPr>
              <w:t>Colon cancer in UC patients</w:t>
            </w:r>
          </w:p>
          <w:p w:rsidR="00794BA8" w:rsidRPr="00794BA8" w:rsidRDefault="00794BA8" w:rsidP="00794BA8">
            <w:pPr>
              <w:pStyle w:val="ListBullet"/>
              <w:rPr>
                <w:sz w:val="20"/>
              </w:rPr>
            </w:pPr>
            <w:r w:rsidRPr="00794BA8">
              <w:rPr>
                <w:sz w:val="20"/>
              </w:rPr>
              <w:t xml:space="preserve">Infections in infants exposed to </w:t>
            </w:r>
            <w:proofErr w:type="spellStart"/>
            <w:r w:rsidRPr="00794BA8">
              <w:rPr>
                <w:sz w:val="20"/>
              </w:rPr>
              <w:t>adalimumab</w:t>
            </w:r>
            <w:proofErr w:type="spellEnd"/>
            <w:r w:rsidRPr="00794BA8">
              <w:rPr>
                <w:sz w:val="20"/>
              </w:rPr>
              <w:t xml:space="preserve"> </w:t>
            </w:r>
            <w:r w:rsidRPr="00794BA8">
              <w:rPr>
                <w:i/>
                <w:iCs/>
                <w:sz w:val="20"/>
              </w:rPr>
              <w:t>in utero</w:t>
            </w:r>
          </w:p>
          <w:p w:rsidR="00794BA8" w:rsidRPr="00794BA8" w:rsidRDefault="00794BA8" w:rsidP="00794BA8">
            <w:pPr>
              <w:pStyle w:val="ListBullet"/>
              <w:rPr>
                <w:sz w:val="20"/>
              </w:rPr>
            </w:pPr>
            <w:r w:rsidRPr="00794BA8">
              <w:rPr>
                <w:sz w:val="20"/>
              </w:rPr>
              <w:t>Medication errors with paediatric vial</w:t>
            </w:r>
          </w:p>
          <w:p w:rsidR="00794BA8" w:rsidRPr="00794BA8" w:rsidRDefault="00794BA8" w:rsidP="00794BA8">
            <w:pPr>
              <w:pStyle w:val="ListBullet"/>
              <w:rPr>
                <w:sz w:val="20"/>
              </w:rPr>
            </w:pPr>
            <w:r w:rsidRPr="00794BA8">
              <w:rPr>
                <w:sz w:val="20"/>
              </w:rPr>
              <w:t>Off-label use</w:t>
            </w:r>
          </w:p>
        </w:tc>
      </w:tr>
      <w:tr w:rsidR="00794BA8" w:rsidRPr="00794BA8" w:rsidTr="00794BA8">
        <w:tc>
          <w:tcPr>
            <w:tcW w:w="3510" w:type="dxa"/>
          </w:tcPr>
          <w:p w:rsidR="00794BA8" w:rsidRPr="00794BA8" w:rsidRDefault="00794BA8" w:rsidP="00794BA8">
            <w:pPr>
              <w:rPr>
                <w:b/>
                <w:sz w:val="20"/>
                <w:lang w:val="en-CA" w:eastAsia="en-US"/>
              </w:rPr>
            </w:pPr>
            <w:r w:rsidRPr="00794BA8">
              <w:rPr>
                <w:b/>
                <w:sz w:val="20"/>
                <w:lang w:val="en-CA"/>
              </w:rPr>
              <w:t>Important missing information</w:t>
            </w:r>
          </w:p>
        </w:tc>
        <w:tc>
          <w:tcPr>
            <w:tcW w:w="5210" w:type="dxa"/>
          </w:tcPr>
          <w:p w:rsidR="00794BA8" w:rsidRPr="00794BA8" w:rsidRDefault="00794BA8" w:rsidP="00794BA8">
            <w:pPr>
              <w:pStyle w:val="ListBullet"/>
              <w:rPr>
                <w:sz w:val="20"/>
              </w:rPr>
            </w:pPr>
            <w:r w:rsidRPr="00794BA8">
              <w:rPr>
                <w:sz w:val="20"/>
              </w:rPr>
              <w:t>Subjects with immune-compromised conditions (i.e., subjects with HIV,</w:t>
            </w:r>
          </w:p>
          <w:p w:rsidR="00794BA8" w:rsidRPr="00794BA8" w:rsidRDefault="00794BA8" w:rsidP="00794BA8">
            <w:pPr>
              <w:pStyle w:val="ListBullet"/>
              <w:rPr>
                <w:sz w:val="20"/>
              </w:rPr>
            </w:pPr>
            <w:r w:rsidRPr="00794BA8">
              <w:rPr>
                <w:sz w:val="20"/>
              </w:rPr>
              <w:t>post-chemotherapy, organ transplant)</w:t>
            </w:r>
          </w:p>
          <w:p w:rsidR="00794BA8" w:rsidRPr="00794BA8" w:rsidRDefault="00794BA8" w:rsidP="00794BA8">
            <w:pPr>
              <w:pStyle w:val="ListBullet"/>
              <w:rPr>
                <w:sz w:val="20"/>
              </w:rPr>
            </w:pPr>
            <w:r w:rsidRPr="00794BA8">
              <w:rPr>
                <w:sz w:val="20"/>
              </w:rPr>
              <w:t>subjects with a history of clinically significant drug or alcohol abuse</w:t>
            </w:r>
          </w:p>
          <w:p w:rsidR="00794BA8" w:rsidRPr="00794BA8" w:rsidRDefault="00794BA8" w:rsidP="00794BA8">
            <w:pPr>
              <w:pStyle w:val="ListBullet"/>
              <w:rPr>
                <w:sz w:val="20"/>
              </w:rPr>
            </w:pPr>
            <w:r w:rsidRPr="00794BA8">
              <w:rPr>
                <w:sz w:val="20"/>
              </w:rPr>
              <w:t>Subjects with poorly controlled medical conditions such as uncontrolled diabetes or documented history of recurrent infections, unstable ischemic heart disease, CHF, recent cerebrovascular accidents</w:t>
            </w:r>
          </w:p>
          <w:p w:rsidR="00794BA8" w:rsidRPr="00794BA8" w:rsidRDefault="00794BA8" w:rsidP="00794BA8">
            <w:pPr>
              <w:pStyle w:val="ListBullet"/>
              <w:rPr>
                <w:sz w:val="20"/>
              </w:rPr>
            </w:pPr>
            <w:r w:rsidRPr="00794BA8">
              <w:rPr>
                <w:sz w:val="20"/>
              </w:rPr>
              <w:t xml:space="preserve">Subjects with history of </w:t>
            </w:r>
            <w:proofErr w:type="spellStart"/>
            <w:r w:rsidRPr="00794BA8">
              <w:rPr>
                <w:sz w:val="20"/>
              </w:rPr>
              <w:t>listeriosis</w:t>
            </w:r>
            <w:proofErr w:type="spellEnd"/>
            <w:r w:rsidRPr="00794BA8">
              <w:rPr>
                <w:sz w:val="20"/>
              </w:rPr>
              <w:t xml:space="preserve">, history of </w:t>
            </w:r>
            <w:proofErr w:type="spellStart"/>
            <w:r w:rsidRPr="00794BA8">
              <w:rPr>
                <w:sz w:val="20"/>
              </w:rPr>
              <w:t>histoplasmosis</w:t>
            </w:r>
            <w:proofErr w:type="spellEnd"/>
            <w:r w:rsidRPr="00794BA8">
              <w:rPr>
                <w:sz w:val="20"/>
              </w:rPr>
              <w:t xml:space="preserve">, active </w:t>
            </w:r>
            <w:proofErr w:type="spellStart"/>
            <w:r w:rsidRPr="00794BA8">
              <w:rPr>
                <w:sz w:val="20"/>
              </w:rPr>
              <w:t>TB,persistent</w:t>
            </w:r>
            <w:proofErr w:type="spellEnd"/>
            <w:r w:rsidRPr="00794BA8">
              <w:rPr>
                <w:sz w:val="20"/>
              </w:rPr>
              <w:t xml:space="preserve"> chronic or active infections requiring treatment with antibiotics, antivirals, or antifungals, history of viral hepatitis</w:t>
            </w:r>
          </w:p>
          <w:p w:rsidR="00794BA8" w:rsidRPr="00794BA8" w:rsidRDefault="00794BA8" w:rsidP="00794BA8">
            <w:pPr>
              <w:pStyle w:val="ListBullet"/>
              <w:rPr>
                <w:sz w:val="20"/>
              </w:rPr>
            </w:pPr>
            <w:r w:rsidRPr="00794BA8">
              <w:rPr>
                <w:sz w:val="20"/>
              </w:rPr>
              <w:t xml:space="preserve">Subjects with history of cancer, lymphoma, leukaemia, or </w:t>
            </w:r>
            <w:proofErr w:type="spellStart"/>
            <w:r w:rsidRPr="00794BA8">
              <w:rPr>
                <w:sz w:val="20"/>
              </w:rPr>
              <w:t>lymphoproliferative</w:t>
            </w:r>
            <w:proofErr w:type="spellEnd"/>
            <w:r w:rsidRPr="00794BA8">
              <w:rPr>
                <w:sz w:val="20"/>
              </w:rPr>
              <w:t xml:space="preserve"> disease;</w:t>
            </w:r>
          </w:p>
          <w:p w:rsidR="00794BA8" w:rsidRPr="00794BA8" w:rsidRDefault="00794BA8" w:rsidP="00794BA8">
            <w:pPr>
              <w:pStyle w:val="ListBullet"/>
              <w:rPr>
                <w:sz w:val="20"/>
              </w:rPr>
            </w:pPr>
            <w:r w:rsidRPr="00794BA8">
              <w:rPr>
                <w:sz w:val="20"/>
              </w:rPr>
              <w:t>subjects with history of neurologic symptoms suggestive of demyelinating disorders</w:t>
            </w:r>
          </w:p>
          <w:p w:rsidR="00794BA8" w:rsidRPr="00794BA8" w:rsidRDefault="00794BA8" w:rsidP="00794BA8">
            <w:pPr>
              <w:pStyle w:val="ListBullet"/>
              <w:rPr>
                <w:sz w:val="20"/>
              </w:rPr>
            </w:pPr>
            <w:r w:rsidRPr="00794BA8">
              <w:rPr>
                <w:sz w:val="20"/>
              </w:rPr>
              <w:t xml:space="preserve">Children &lt; 18 years of age for </w:t>
            </w:r>
            <w:proofErr w:type="spellStart"/>
            <w:r w:rsidRPr="00794BA8">
              <w:rPr>
                <w:sz w:val="20"/>
              </w:rPr>
              <w:t>PsA</w:t>
            </w:r>
            <w:proofErr w:type="spellEnd"/>
            <w:r w:rsidRPr="00794BA8">
              <w:rPr>
                <w:sz w:val="20"/>
              </w:rPr>
              <w:t xml:space="preserve">, AS, Ps, UC, </w:t>
            </w:r>
            <w:proofErr w:type="spellStart"/>
            <w:r w:rsidRPr="00794BA8">
              <w:rPr>
                <w:sz w:val="20"/>
              </w:rPr>
              <w:t>SpA</w:t>
            </w:r>
            <w:proofErr w:type="spellEnd"/>
            <w:r w:rsidRPr="00794BA8">
              <w:rPr>
                <w:sz w:val="20"/>
              </w:rPr>
              <w:t>, HS, ERA, and uveitis indications</w:t>
            </w:r>
          </w:p>
          <w:p w:rsidR="00794BA8" w:rsidRPr="00794BA8" w:rsidRDefault="00794BA8" w:rsidP="00794BA8">
            <w:pPr>
              <w:pStyle w:val="ListBullet"/>
              <w:rPr>
                <w:sz w:val="20"/>
              </w:rPr>
            </w:pPr>
            <w:r w:rsidRPr="00794BA8">
              <w:rPr>
                <w:sz w:val="20"/>
              </w:rPr>
              <w:t xml:space="preserve">Children &lt; 4 years of age for JIA and </w:t>
            </w:r>
            <w:proofErr w:type="spellStart"/>
            <w:r w:rsidRPr="00794BA8">
              <w:rPr>
                <w:sz w:val="20"/>
              </w:rPr>
              <w:t>pedPs</w:t>
            </w:r>
            <w:proofErr w:type="spellEnd"/>
          </w:p>
          <w:p w:rsidR="00794BA8" w:rsidRPr="00794BA8" w:rsidRDefault="00794BA8" w:rsidP="00794BA8">
            <w:pPr>
              <w:pStyle w:val="ListBullet"/>
              <w:rPr>
                <w:sz w:val="20"/>
              </w:rPr>
            </w:pPr>
            <w:r w:rsidRPr="00794BA8">
              <w:rPr>
                <w:sz w:val="20"/>
              </w:rPr>
              <w:t xml:space="preserve">Children &lt; 6 years of age for </w:t>
            </w:r>
            <w:proofErr w:type="spellStart"/>
            <w:r w:rsidRPr="00794BA8">
              <w:rPr>
                <w:sz w:val="20"/>
              </w:rPr>
              <w:t>pedCD</w:t>
            </w:r>
            <w:proofErr w:type="spellEnd"/>
            <w:r w:rsidRPr="00794BA8">
              <w:rPr>
                <w:sz w:val="20"/>
              </w:rPr>
              <w:t xml:space="preserve"> and </w:t>
            </w:r>
            <w:proofErr w:type="spellStart"/>
            <w:r w:rsidRPr="00794BA8">
              <w:rPr>
                <w:sz w:val="20"/>
              </w:rPr>
              <w:t>pedERA</w:t>
            </w:r>
            <w:proofErr w:type="spellEnd"/>
          </w:p>
          <w:p w:rsidR="00794BA8" w:rsidRPr="00794BA8" w:rsidRDefault="00794BA8" w:rsidP="00794BA8">
            <w:pPr>
              <w:pStyle w:val="ListBullet"/>
              <w:rPr>
                <w:sz w:val="20"/>
              </w:rPr>
            </w:pPr>
            <w:r w:rsidRPr="00794BA8">
              <w:rPr>
                <w:sz w:val="20"/>
              </w:rPr>
              <w:t>Pregnant and lactating women</w:t>
            </w:r>
          </w:p>
          <w:p w:rsidR="00794BA8" w:rsidRPr="00794BA8" w:rsidRDefault="00794BA8" w:rsidP="00794BA8">
            <w:pPr>
              <w:pStyle w:val="ListBullet"/>
              <w:rPr>
                <w:sz w:val="20"/>
              </w:rPr>
            </w:pPr>
            <w:r w:rsidRPr="00794BA8">
              <w:rPr>
                <w:sz w:val="20"/>
              </w:rPr>
              <w:t>Subjects with renal or liver impairment</w:t>
            </w:r>
          </w:p>
          <w:p w:rsidR="00794BA8" w:rsidRPr="00794BA8" w:rsidRDefault="00794BA8" w:rsidP="00794BA8">
            <w:pPr>
              <w:pStyle w:val="ListBullet"/>
              <w:rPr>
                <w:sz w:val="20"/>
              </w:rPr>
            </w:pPr>
            <w:r w:rsidRPr="00794BA8">
              <w:rPr>
                <w:sz w:val="20"/>
              </w:rPr>
              <w:t>Patients taking concomitant biologic therapy</w:t>
            </w:r>
          </w:p>
          <w:p w:rsidR="00794BA8" w:rsidRPr="00794BA8" w:rsidRDefault="00794BA8" w:rsidP="00794BA8">
            <w:pPr>
              <w:pStyle w:val="ListBullet"/>
              <w:rPr>
                <w:sz w:val="20"/>
              </w:rPr>
            </w:pPr>
            <w:r w:rsidRPr="00794BA8">
              <w:rPr>
                <w:sz w:val="20"/>
              </w:rPr>
              <w:t>Long-term RA data beyond 5 years</w:t>
            </w:r>
          </w:p>
          <w:p w:rsidR="00794BA8" w:rsidRPr="00794BA8" w:rsidRDefault="00794BA8" w:rsidP="00794BA8">
            <w:pPr>
              <w:pStyle w:val="ListBullet"/>
              <w:rPr>
                <w:sz w:val="20"/>
              </w:rPr>
            </w:pPr>
            <w:r w:rsidRPr="00794BA8">
              <w:rPr>
                <w:sz w:val="20"/>
              </w:rPr>
              <w:lastRenderedPageBreak/>
              <w:t>Long-term JIA data beyond 7.5 years</w:t>
            </w:r>
          </w:p>
          <w:p w:rsidR="00794BA8" w:rsidRPr="00794BA8" w:rsidRDefault="00794BA8" w:rsidP="00794BA8">
            <w:pPr>
              <w:pStyle w:val="ListBullet"/>
              <w:rPr>
                <w:sz w:val="20"/>
              </w:rPr>
            </w:pPr>
            <w:r w:rsidRPr="00794BA8">
              <w:rPr>
                <w:sz w:val="20"/>
              </w:rPr>
              <w:t>Episodic treatment in JIA</w:t>
            </w:r>
          </w:p>
          <w:p w:rsidR="00794BA8" w:rsidRPr="00794BA8" w:rsidRDefault="00794BA8" w:rsidP="00794BA8">
            <w:pPr>
              <w:pStyle w:val="ListBullet"/>
              <w:rPr>
                <w:sz w:val="20"/>
              </w:rPr>
            </w:pPr>
            <w:r w:rsidRPr="00794BA8">
              <w:rPr>
                <w:sz w:val="20"/>
              </w:rPr>
              <w:t>Long-term AS data beyond 5 years</w:t>
            </w:r>
          </w:p>
          <w:p w:rsidR="00794BA8" w:rsidRPr="00794BA8" w:rsidRDefault="00794BA8" w:rsidP="00794BA8">
            <w:pPr>
              <w:pStyle w:val="ListBullet"/>
              <w:rPr>
                <w:sz w:val="20"/>
              </w:rPr>
            </w:pPr>
            <w:r w:rsidRPr="00794BA8">
              <w:rPr>
                <w:sz w:val="20"/>
              </w:rPr>
              <w:t xml:space="preserve">Short- and long-term </w:t>
            </w:r>
            <w:proofErr w:type="spellStart"/>
            <w:r w:rsidRPr="00794BA8">
              <w:rPr>
                <w:sz w:val="20"/>
              </w:rPr>
              <w:t>SpA</w:t>
            </w:r>
            <w:proofErr w:type="spellEnd"/>
            <w:r w:rsidRPr="00794BA8">
              <w:rPr>
                <w:sz w:val="20"/>
              </w:rPr>
              <w:t xml:space="preserve"> data</w:t>
            </w:r>
          </w:p>
          <w:p w:rsidR="00794BA8" w:rsidRPr="00794BA8" w:rsidRDefault="00794BA8" w:rsidP="00794BA8">
            <w:pPr>
              <w:pStyle w:val="ListBullet"/>
              <w:rPr>
                <w:sz w:val="20"/>
              </w:rPr>
            </w:pPr>
            <w:r w:rsidRPr="00794BA8">
              <w:rPr>
                <w:sz w:val="20"/>
              </w:rPr>
              <w:t xml:space="preserve">Short- and long-term </w:t>
            </w:r>
            <w:proofErr w:type="spellStart"/>
            <w:r w:rsidRPr="00794BA8">
              <w:rPr>
                <w:sz w:val="20"/>
              </w:rPr>
              <w:t>pedERA</w:t>
            </w:r>
            <w:proofErr w:type="spellEnd"/>
            <w:r w:rsidRPr="00794BA8">
              <w:rPr>
                <w:sz w:val="20"/>
              </w:rPr>
              <w:t xml:space="preserve"> data</w:t>
            </w:r>
          </w:p>
          <w:p w:rsidR="00794BA8" w:rsidRPr="00794BA8" w:rsidRDefault="00794BA8" w:rsidP="00794BA8">
            <w:pPr>
              <w:pStyle w:val="ListBullet"/>
              <w:rPr>
                <w:sz w:val="20"/>
              </w:rPr>
            </w:pPr>
            <w:r w:rsidRPr="00794BA8">
              <w:rPr>
                <w:sz w:val="20"/>
              </w:rPr>
              <w:t xml:space="preserve">Long-term </w:t>
            </w:r>
            <w:proofErr w:type="spellStart"/>
            <w:r w:rsidRPr="00794BA8">
              <w:rPr>
                <w:sz w:val="20"/>
              </w:rPr>
              <w:t>PsA</w:t>
            </w:r>
            <w:proofErr w:type="spellEnd"/>
            <w:r w:rsidRPr="00794BA8">
              <w:rPr>
                <w:sz w:val="20"/>
              </w:rPr>
              <w:t xml:space="preserve"> data beyond 3 years</w:t>
            </w:r>
          </w:p>
          <w:p w:rsidR="00794BA8" w:rsidRPr="00794BA8" w:rsidRDefault="00794BA8" w:rsidP="00794BA8">
            <w:pPr>
              <w:pStyle w:val="ListBullet"/>
              <w:rPr>
                <w:sz w:val="20"/>
              </w:rPr>
            </w:pPr>
            <w:r w:rsidRPr="00794BA8">
              <w:rPr>
                <w:sz w:val="20"/>
              </w:rPr>
              <w:t>Long-term Ps data beyond 6 years</w:t>
            </w:r>
          </w:p>
          <w:p w:rsidR="00794BA8" w:rsidRPr="00794BA8" w:rsidRDefault="00794BA8" w:rsidP="00794BA8">
            <w:pPr>
              <w:pStyle w:val="ListBullet"/>
              <w:rPr>
                <w:sz w:val="20"/>
              </w:rPr>
            </w:pPr>
            <w:r w:rsidRPr="00794BA8">
              <w:rPr>
                <w:sz w:val="20"/>
              </w:rPr>
              <w:t>Episodic treatment in Ps</w:t>
            </w:r>
          </w:p>
          <w:p w:rsidR="00794BA8" w:rsidRPr="00794BA8" w:rsidRDefault="00794BA8" w:rsidP="00794BA8">
            <w:pPr>
              <w:pStyle w:val="ListBullet"/>
              <w:rPr>
                <w:sz w:val="20"/>
              </w:rPr>
            </w:pPr>
            <w:r w:rsidRPr="00794BA8">
              <w:rPr>
                <w:sz w:val="20"/>
              </w:rPr>
              <w:t>Short- and long-term HS data</w:t>
            </w:r>
          </w:p>
          <w:p w:rsidR="00794BA8" w:rsidRPr="00794BA8" w:rsidRDefault="00794BA8" w:rsidP="00794BA8">
            <w:pPr>
              <w:pStyle w:val="ListBullet"/>
              <w:rPr>
                <w:sz w:val="20"/>
              </w:rPr>
            </w:pPr>
            <w:r w:rsidRPr="00794BA8">
              <w:rPr>
                <w:sz w:val="20"/>
              </w:rPr>
              <w:t>Long-term CD data beyond 5 years</w:t>
            </w:r>
          </w:p>
          <w:p w:rsidR="00794BA8" w:rsidRPr="00794BA8" w:rsidRDefault="00794BA8" w:rsidP="00794BA8">
            <w:pPr>
              <w:pStyle w:val="ListBullet"/>
              <w:rPr>
                <w:sz w:val="20"/>
              </w:rPr>
            </w:pPr>
            <w:r w:rsidRPr="00794BA8">
              <w:rPr>
                <w:sz w:val="20"/>
              </w:rPr>
              <w:t>Episodic treatment in CD</w:t>
            </w:r>
          </w:p>
          <w:p w:rsidR="00794BA8" w:rsidRPr="00794BA8" w:rsidRDefault="00794BA8" w:rsidP="00794BA8">
            <w:pPr>
              <w:pStyle w:val="ListBullet"/>
              <w:rPr>
                <w:sz w:val="20"/>
              </w:rPr>
            </w:pPr>
            <w:r w:rsidRPr="00794BA8">
              <w:rPr>
                <w:sz w:val="20"/>
              </w:rPr>
              <w:t xml:space="preserve">Long-term </w:t>
            </w:r>
            <w:proofErr w:type="spellStart"/>
            <w:r w:rsidRPr="00794BA8">
              <w:rPr>
                <w:sz w:val="20"/>
              </w:rPr>
              <w:t>ped</w:t>
            </w:r>
            <w:proofErr w:type="spellEnd"/>
            <w:r w:rsidRPr="00794BA8">
              <w:rPr>
                <w:sz w:val="20"/>
              </w:rPr>
              <w:t xml:space="preserve"> CD data beyond 2 years</w:t>
            </w:r>
          </w:p>
          <w:p w:rsidR="00794BA8" w:rsidRPr="00794BA8" w:rsidRDefault="00794BA8" w:rsidP="00794BA8">
            <w:pPr>
              <w:pStyle w:val="ListBullet"/>
              <w:rPr>
                <w:sz w:val="20"/>
              </w:rPr>
            </w:pPr>
            <w:r w:rsidRPr="00794BA8">
              <w:rPr>
                <w:sz w:val="20"/>
              </w:rPr>
              <w:t>Long-term UC data</w:t>
            </w:r>
          </w:p>
          <w:p w:rsidR="00794BA8" w:rsidRPr="00794BA8" w:rsidRDefault="00794BA8" w:rsidP="00794BA8">
            <w:pPr>
              <w:pStyle w:val="ListBullet"/>
              <w:rPr>
                <w:sz w:val="20"/>
              </w:rPr>
            </w:pPr>
            <w:r w:rsidRPr="00794BA8">
              <w:rPr>
                <w:sz w:val="20"/>
              </w:rPr>
              <w:t>Episodic treatment in UC;</w:t>
            </w:r>
          </w:p>
          <w:p w:rsidR="00794BA8" w:rsidRPr="00794BA8" w:rsidRDefault="00794BA8" w:rsidP="00794BA8">
            <w:pPr>
              <w:pStyle w:val="ListBullet"/>
              <w:rPr>
                <w:sz w:val="20"/>
              </w:rPr>
            </w:pPr>
            <w:r w:rsidRPr="00794BA8">
              <w:rPr>
                <w:sz w:val="20"/>
              </w:rPr>
              <w:t>Short- and long-term uveitis data.</w:t>
            </w:r>
          </w:p>
        </w:tc>
      </w:tr>
    </w:tbl>
    <w:p w:rsidR="00794BA8" w:rsidRPr="00794BA8" w:rsidRDefault="00794BA8" w:rsidP="00794BA8">
      <w:pPr>
        <w:pStyle w:val="TableDescription"/>
        <w:rPr>
          <w:lang w:eastAsia="en-AU"/>
        </w:rPr>
      </w:pPr>
      <w:r w:rsidRPr="003B4C28">
        <w:rPr>
          <w:lang w:val="en-CA"/>
        </w:rPr>
        <w:lastRenderedPageBreak/>
        <w:t>RA= Rheumatoid Arthritis</w:t>
      </w:r>
      <w:r>
        <w:rPr>
          <w:lang w:val="en-CA"/>
        </w:rPr>
        <w:t xml:space="preserve">; </w:t>
      </w:r>
      <w:r w:rsidRPr="003B4C28">
        <w:rPr>
          <w:lang w:val="en-CA"/>
        </w:rPr>
        <w:t xml:space="preserve">JIA= </w:t>
      </w:r>
      <w:proofErr w:type="spellStart"/>
      <w:r w:rsidRPr="003B4C28">
        <w:rPr>
          <w:lang w:val="en-CA"/>
        </w:rPr>
        <w:t>Polyarticular</w:t>
      </w:r>
      <w:proofErr w:type="spellEnd"/>
      <w:r w:rsidRPr="003B4C28">
        <w:rPr>
          <w:lang w:val="en-CA"/>
        </w:rPr>
        <w:t xml:space="preserve"> juvenile idiopathic arthritis </w:t>
      </w:r>
      <w:proofErr w:type="spellStart"/>
      <w:r w:rsidRPr="003B4C28">
        <w:rPr>
          <w:lang w:val="en-CA"/>
        </w:rPr>
        <w:t>PsA</w:t>
      </w:r>
      <w:proofErr w:type="spellEnd"/>
      <w:r w:rsidRPr="003B4C28">
        <w:rPr>
          <w:lang w:val="en-CA"/>
        </w:rPr>
        <w:t>= Psoriatic arthritis</w:t>
      </w:r>
      <w:r>
        <w:rPr>
          <w:lang w:val="en-CA"/>
        </w:rPr>
        <w:t xml:space="preserve">; </w:t>
      </w:r>
      <w:r w:rsidRPr="003B4C28">
        <w:rPr>
          <w:lang w:val="en-CA"/>
        </w:rPr>
        <w:t xml:space="preserve">AS= </w:t>
      </w:r>
      <w:proofErr w:type="spellStart"/>
      <w:r w:rsidRPr="003B4C28">
        <w:rPr>
          <w:lang w:val="en-CA"/>
        </w:rPr>
        <w:t>Ankylosing</w:t>
      </w:r>
      <w:proofErr w:type="spellEnd"/>
      <w:r w:rsidRPr="003B4C28">
        <w:rPr>
          <w:lang w:val="en-CA"/>
        </w:rPr>
        <w:t xml:space="preserve"> spondylitis CD= </w:t>
      </w:r>
      <w:proofErr w:type="spellStart"/>
      <w:r w:rsidRPr="003B4C28">
        <w:rPr>
          <w:lang w:val="en-CA"/>
        </w:rPr>
        <w:t>Crohn’s</w:t>
      </w:r>
      <w:proofErr w:type="spellEnd"/>
      <w:r w:rsidRPr="003B4C28">
        <w:rPr>
          <w:lang w:val="en-CA"/>
        </w:rPr>
        <w:t xml:space="preserve"> disease</w:t>
      </w:r>
      <w:r>
        <w:rPr>
          <w:lang w:val="en-CA"/>
        </w:rPr>
        <w:t xml:space="preserve">; </w:t>
      </w:r>
      <w:r w:rsidRPr="003B4C28">
        <w:rPr>
          <w:lang w:val="en-CA"/>
        </w:rPr>
        <w:t>Ps =Psoriasis</w:t>
      </w:r>
      <w:r>
        <w:rPr>
          <w:lang w:val="en-CA"/>
        </w:rPr>
        <w:t xml:space="preserve">; </w:t>
      </w:r>
      <w:proofErr w:type="spellStart"/>
      <w:r w:rsidRPr="003B4C28">
        <w:t>pedERA</w:t>
      </w:r>
      <w:proofErr w:type="spellEnd"/>
      <w:r w:rsidRPr="003B4C28">
        <w:t xml:space="preserve">= Paediatric </w:t>
      </w:r>
      <w:proofErr w:type="spellStart"/>
      <w:r w:rsidRPr="003B4C28">
        <w:t>Enthesitis</w:t>
      </w:r>
      <w:proofErr w:type="spellEnd"/>
      <w:r w:rsidRPr="003B4C28">
        <w:t>-related Arthritis</w:t>
      </w:r>
      <w:r>
        <w:t xml:space="preserve">; </w:t>
      </w:r>
      <w:proofErr w:type="spellStart"/>
      <w:r w:rsidRPr="003B4C28">
        <w:t>SpA</w:t>
      </w:r>
      <w:proofErr w:type="spellEnd"/>
      <w:r w:rsidRPr="003B4C28">
        <w:t xml:space="preserve">= </w:t>
      </w:r>
      <w:proofErr w:type="spellStart"/>
      <w:r w:rsidRPr="003B4C28">
        <w:t>Spondyloarthritis</w:t>
      </w:r>
      <w:proofErr w:type="spellEnd"/>
      <w:r>
        <w:t xml:space="preserve">; </w:t>
      </w:r>
      <w:r w:rsidRPr="003B4C28">
        <w:t>UC= Ulcerative Colitis</w:t>
      </w:r>
    </w:p>
    <w:p w:rsidR="000C5434" w:rsidRDefault="000C5434" w:rsidP="00794BA8">
      <w:pPr>
        <w:pStyle w:val="Heading5"/>
        <w:rPr>
          <w:lang w:eastAsia="en-AU"/>
        </w:rPr>
      </w:pPr>
      <w:r>
        <w:rPr>
          <w:lang w:eastAsia="en-AU"/>
        </w:rPr>
        <w:t xml:space="preserve">Evaluator </w:t>
      </w:r>
      <w:r w:rsidR="00794BA8" w:rsidRPr="00794BA8">
        <w:t>c</w:t>
      </w:r>
      <w:r w:rsidR="001A661E" w:rsidRPr="00794BA8">
        <w:t>omment</w:t>
      </w:r>
    </w:p>
    <w:p w:rsidR="001A661E" w:rsidRDefault="001A661E" w:rsidP="00794BA8">
      <w:pPr>
        <w:rPr>
          <w:lang w:eastAsia="en-AU"/>
        </w:rPr>
      </w:pPr>
      <w:proofErr w:type="spellStart"/>
      <w:r>
        <w:rPr>
          <w:lang w:eastAsia="en-AU"/>
        </w:rPr>
        <w:t>Nothwithstanding</w:t>
      </w:r>
      <w:proofErr w:type="spellEnd"/>
      <w:r>
        <w:rPr>
          <w:lang w:eastAsia="en-AU"/>
        </w:rPr>
        <w:t xml:space="preserve"> the clinical and nonclinical evaluations, it was considered that the list of Ongoing Safety concerns was acceptable.</w:t>
      </w:r>
    </w:p>
    <w:p w:rsidR="001A661E" w:rsidRPr="001A661E" w:rsidRDefault="008E7846" w:rsidP="008A5EFF">
      <w:pPr>
        <w:pStyle w:val="Heading4"/>
        <w:rPr>
          <w:lang w:eastAsia="en-AU"/>
        </w:rPr>
      </w:pPr>
      <w:proofErr w:type="spellStart"/>
      <w:r w:rsidRPr="008A5EFF">
        <w:t>Pharmacovigilance</w:t>
      </w:r>
      <w:proofErr w:type="spellEnd"/>
      <w:r>
        <w:rPr>
          <w:lang w:eastAsia="en-AU"/>
        </w:rPr>
        <w:t xml:space="preserve"> </w:t>
      </w:r>
      <w:r w:rsidR="003A7F6C">
        <w:rPr>
          <w:lang w:eastAsia="en-AU"/>
        </w:rPr>
        <w:t>p</w:t>
      </w:r>
      <w:r>
        <w:rPr>
          <w:lang w:eastAsia="en-AU"/>
        </w:rPr>
        <w:t>lan</w:t>
      </w:r>
    </w:p>
    <w:p w:rsidR="001A661E" w:rsidRPr="001A661E" w:rsidRDefault="000C5434" w:rsidP="008A5EFF">
      <w:pPr>
        <w:rPr>
          <w:lang w:val="en-CA" w:eastAsia="en-AU"/>
        </w:rPr>
      </w:pPr>
      <w:r>
        <w:rPr>
          <w:lang w:val="en-CA" w:eastAsia="en-AU"/>
        </w:rPr>
        <w:t>Routine pharmacovigilance wa</w:t>
      </w:r>
      <w:r w:rsidR="001A661E" w:rsidRPr="001A661E">
        <w:rPr>
          <w:lang w:val="en-CA" w:eastAsia="en-AU"/>
        </w:rPr>
        <w:t xml:space="preserve">s </w:t>
      </w:r>
      <w:r>
        <w:rPr>
          <w:lang w:val="en-CA" w:eastAsia="en-AU"/>
        </w:rPr>
        <w:t xml:space="preserve">proposed by the sponsor for all </w:t>
      </w:r>
      <w:proofErr w:type="gramStart"/>
      <w:r>
        <w:rPr>
          <w:lang w:val="en-CA" w:eastAsia="en-AU"/>
        </w:rPr>
        <w:t>I</w:t>
      </w:r>
      <w:r w:rsidR="001A661E" w:rsidRPr="001A661E">
        <w:rPr>
          <w:lang w:val="en-CA" w:eastAsia="en-AU"/>
        </w:rPr>
        <w:t>mportant</w:t>
      </w:r>
      <w:proofErr w:type="gramEnd"/>
      <w:r w:rsidR="001A661E" w:rsidRPr="001A661E">
        <w:rPr>
          <w:lang w:val="en-CA" w:eastAsia="en-AU"/>
        </w:rPr>
        <w:t xml:space="preserve"> identified and potential risks.</w:t>
      </w:r>
      <w:r w:rsidR="002A29B3">
        <w:rPr>
          <w:lang w:val="en-CA" w:eastAsia="en-AU"/>
        </w:rPr>
        <w:t xml:space="preserve"> </w:t>
      </w:r>
      <w:r w:rsidR="001A661E" w:rsidRPr="001A661E">
        <w:rPr>
          <w:lang w:val="en-CA" w:eastAsia="en-AU"/>
        </w:rPr>
        <w:t xml:space="preserve">Routine activities, as described by the sponsor </w:t>
      </w:r>
      <w:r>
        <w:rPr>
          <w:lang w:val="en-CA" w:eastAsia="en-AU"/>
        </w:rPr>
        <w:t xml:space="preserve">include monitoring through long </w:t>
      </w:r>
      <w:r w:rsidR="001A661E" w:rsidRPr="001A661E">
        <w:rPr>
          <w:lang w:val="en-CA" w:eastAsia="en-AU"/>
        </w:rPr>
        <w:t>term clinic</w:t>
      </w:r>
      <w:r>
        <w:rPr>
          <w:lang w:val="en-CA" w:eastAsia="en-AU"/>
        </w:rPr>
        <w:t>al studies, registries and post</w:t>
      </w:r>
      <w:r w:rsidR="001A661E" w:rsidRPr="001A661E">
        <w:rPr>
          <w:lang w:val="en-CA" w:eastAsia="en-AU"/>
        </w:rPr>
        <w:t>marketing surveillance activities.</w:t>
      </w:r>
    </w:p>
    <w:p w:rsidR="001A661E" w:rsidRPr="001A661E" w:rsidRDefault="001A661E" w:rsidP="008A5EFF">
      <w:pPr>
        <w:rPr>
          <w:lang w:val="en-CA" w:eastAsia="en-AU"/>
        </w:rPr>
      </w:pPr>
      <w:r w:rsidRPr="001A661E">
        <w:rPr>
          <w:lang w:val="en-CA" w:eastAsia="en-AU"/>
        </w:rPr>
        <w:t>There are multiple ongoing pharmacovigilance activities which apply to the other approved indications.</w:t>
      </w:r>
      <w:r w:rsidR="002A29B3">
        <w:rPr>
          <w:lang w:val="en-CA" w:eastAsia="en-AU"/>
        </w:rPr>
        <w:t xml:space="preserve"> </w:t>
      </w:r>
      <w:r w:rsidRPr="001A661E">
        <w:rPr>
          <w:lang w:val="en-CA" w:eastAsia="en-AU"/>
        </w:rPr>
        <w:t>For the purposes of this report the activities relating to the proposed application are described below.</w:t>
      </w:r>
    </w:p>
    <w:p w:rsidR="001A661E" w:rsidRPr="001A661E" w:rsidRDefault="001A661E" w:rsidP="008A5EFF">
      <w:pPr>
        <w:pStyle w:val="ListBullet"/>
        <w:rPr>
          <w:lang w:eastAsia="en-AU"/>
        </w:rPr>
      </w:pPr>
      <w:r w:rsidRPr="001A661E">
        <w:rPr>
          <w:lang w:eastAsia="en-AU"/>
        </w:rPr>
        <w:t xml:space="preserve">M10-791 is a 12 week randomised, double-blind, placebo controlled study to assess the efficacy and safety of adalimumab in subjects with axial </w:t>
      </w:r>
      <w:proofErr w:type="spellStart"/>
      <w:r w:rsidRPr="001A661E">
        <w:rPr>
          <w:lang w:eastAsia="en-AU"/>
        </w:rPr>
        <w:t>spondyloarthritis</w:t>
      </w:r>
      <w:proofErr w:type="spellEnd"/>
      <w:r w:rsidRPr="001A661E">
        <w:rPr>
          <w:lang w:eastAsia="en-AU"/>
        </w:rPr>
        <w:t xml:space="preserve"> followed by a 92 week</w:t>
      </w:r>
      <w:bookmarkStart w:id="158" w:name="_Ref373920117"/>
      <w:r w:rsidR="00E836A6">
        <w:rPr>
          <w:rStyle w:val="FootnoteReference"/>
          <w:lang w:eastAsia="en-AU"/>
        </w:rPr>
        <w:footnoteReference w:id="4"/>
      </w:r>
      <w:bookmarkEnd w:id="158"/>
      <w:r w:rsidRPr="001A661E">
        <w:rPr>
          <w:lang w:eastAsia="en-AU"/>
        </w:rPr>
        <w:t xml:space="preserve"> open-label period.</w:t>
      </w:r>
      <w:r w:rsidR="002A29B3">
        <w:rPr>
          <w:lang w:eastAsia="en-AU"/>
        </w:rPr>
        <w:t xml:space="preserve"> </w:t>
      </w:r>
      <w:r w:rsidRPr="001A661E">
        <w:rPr>
          <w:lang w:eastAsia="en-AU"/>
        </w:rPr>
        <w:t>192 subjects are enrolled and Australian patients are included.</w:t>
      </w:r>
      <w:r w:rsidR="002A29B3">
        <w:rPr>
          <w:lang w:eastAsia="en-AU"/>
        </w:rPr>
        <w:t xml:space="preserve"> </w:t>
      </w:r>
      <w:r w:rsidRPr="001A661E">
        <w:rPr>
          <w:lang w:eastAsia="en-AU"/>
        </w:rPr>
        <w:t>Interim data from this study (up to 68 weeks) was included as a pivotal study in this application.</w:t>
      </w:r>
    </w:p>
    <w:p w:rsidR="001A661E" w:rsidRDefault="001A661E" w:rsidP="008A5EFF">
      <w:pPr>
        <w:pStyle w:val="ListBullet"/>
        <w:rPr>
          <w:lang w:eastAsia="en-AU"/>
        </w:rPr>
      </w:pPr>
      <w:r w:rsidRPr="001A661E">
        <w:rPr>
          <w:lang w:eastAsia="en-AU"/>
        </w:rPr>
        <w:t>M10-883 is a 12 week randomised double-blind placebo controlled study to assess the efficacy and safety of adalimumab in the treatment of adult subjects with non-AS, non-</w:t>
      </w:r>
      <w:proofErr w:type="spellStart"/>
      <w:r w:rsidRPr="001A661E">
        <w:rPr>
          <w:lang w:eastAsia="en-AU"/>
        </w:rPr>
        <w:t>PsA</w:t>
      </w:r>
      <w:proofErr w:type="spellEnd"/>
      <w:r w:rsidRPr="001A661E">
        <w:rPr>
          <w:lang w:eastAsia="en-AU"/>
        </w:rPr>
        <w:t xml:space="preserve"> active peripheral </w:t>
      </w:r>
      <w:proofErr w:type="spellStart"/>
      <w:r w:rsidRPr="001A661E">
        <w:rPr>
          <w:lang w:eastAsia="en-AU"/>
        </w:rPr>
        <w:t>spondyloarthritis</w:t>
      </w:r>
      <w:proofErr w:type="spellEnd"/>
      <w:r w:rsidRPr="001A661E">
        <w:rPr>
          <w:lang w:eastAsia="en-AU"/>
        </w:rPr>
        <w:t>.</w:t>
      </w:r>
      <w:r w:rsidR="002A29B3">
        <w:rPr>
          <w:lang w:eastAsia="en-AU"/>
        </w:rPr>
        <w:t xml:space="preserve"> </w:t>
      </w:r>
      <w:r w:rsidRPr="001A661E">
        <w:rPr>
          <w:lang w:eastAsia="en-AU"/>
        </w:rPr>
        <w:t>An open label period of this study will continue for 92 weeks</w:t>
      </w:r>
      <w:r w:rsidR="00E836A6">
        <w:rPr>
          <w:lang w:eastAsia="en-AU"/>
        </w:rPr>
        <w:t>.</w:t>
      </w:r>
      <w:r w:rsidR="00D97091">
        <w:fldChar w:fldCharType="begin"/>
      </w:r>
      <w:r w:rsidR="00D97091">
        <w:instrText xml:space="preserve"> NOTEREF _Ref373920117 \h  \* MERGEFORMAT </w:instrText>
      </w:r>
      <w:r w:rsidR="00D97091">
        <w:fldChar w:fldCharType="separate"/>
      </w:r>
      <w:r w:rsidR="00CE3278" w:rsidRPr="00CE3278">
        <w:t>4</w:t>
      </w:r>
      <w:r w:rsidR="00D97091">
        <w:fldChar w:fldCharType="end"/>
      </w:r>
      <w:r w:rsidR="002A29B3">
        <w:rPr>
          <w:lang w:eastAsia="en-AU"/>
        </w:rPr>
        <w:t xml:space="preserve"> </w:t>
      </w:r>
      <w:r w:rsidRPr="001A661E">
        <w:rPr>
          <w:lang w:eastAsia="en-AU"/>
        </w:rPr>
        <w:t>73 subjects are enrolled and Australian patients are included.</w:t>
      </w:r>
      <w:r w:rsidR="00E836A6" w:rsidRPr="001A661E" w:rsidDel="00E836A6">
        <w:rPr>
          <w:lang w:eastAsia="en-AU"/>
        </w:rPr>
        <w:t xml:space="preserve"> </w:t>
      </w:r>
      <w:r w:rsidRPr="001A661E">
        <w:rPr>
          <w:lang w:val="en-CA" w:eastAsia="en-AU"/>
        </w:rPr>
        <w:t xml:space="preserve">As these studies </w:t>
      </w:r>
      <w:r w:rsidR="000C5434">
        <w:rPr>
          <w:lang w:val="en-CA" w:eastAsia="en-AU"/>
        </w:rPr>
        <w:t>were</w:t>
      </w:r>
      <w:r w:rsidRPr="001A661E">
        <w:rPr>
          <w:lang w:val="en-CA" w:eastAsia="en-AU"/>
        </w:rPr>
        <w:t xml:space="preserve"> ongoing </w:t>
      </w:r>
      <w:r w:rsidR="000C5434">
        <w:rPr>
          <w:lang w:val="en-CA" w:eastAsia="en-AU"/>
        </w:rPr>
        <w:t xml:space="preserve">at the time of this report, </w:t>
      </w:r>
      <w:r w:rsidRPr="001A661E">
        <w:rPr>
          <w:lang w:val="en-CA" w:eastAsia="en-AU"/>
        </w:rPr>
        <w:t xml:space="preserve">the protocols have not been evaluated in detail for the purposes of this </w:t>
      </w:r>
      <w:r w:rsidR="000C5434">
        <w:rPr>
          <w:lang w:val="en-CA" w:eastAsia="en-AU"/>
        </w:rPr>
        <w:t>evaluation</w:t>
      </w:r>
      <w:r w:rsidRPr="001A661E">
        <w:rPr>
          <w:lang w:val="en-CA" w:eastAsia="en-AU"/>
        </w:rPr>
        <w:t>.</w:t>
      </w:r>
      <w:r w:rsidR="002A29B3">
        <w:rPr>
          <w:lang w:val="en-CA" w:eastAsia="en-AU"/>
        </w:rPr>
        <w:t xml:space="preserve"> </w:t>
      </w:r>
      <w:r w:rsidR="000C5434">
        <w:rPr>
          <w:lang w:val="en-CA" w:eastAsia="en-AU"/>
        </w:rPr>
        <w:t>Nevertheless it wa</w:t>
      </w:r>
      <w:r w:rsidRPr="001A661E">
        <w:rPr>
          <w:lang w:val="en-CA" w:eastAsia="en-AU"/>
        </w:rPr>
        <w:t xml:space="preserve">s expected </w:t>
      </w:r>
      <w:r w:rsidRPr="001A661E">
        <w:rPr>
          <w:lang w:val="en-CA" w:eastAsia="en-AU"/>
        </w:rPr>
        <w:lastRenderedPageBreak/>
        <w:t xml:space="preserve">that results of these studies will be communicated to the TGA via </w:t>
      </w:r>
      <w:r w:rsidR="000C5434">
        <w:rPr>
          <w:lang w:val="en-CA" w:eastAsia="en-AU"/>
        </w:rPr>
        <w:t>Periodic Safety Update Reports (</w:t>
      </w:r>
      <w:r w:rsidRPr="001A661E">
        <w:rPr>
          <w:lang w:val="en-CA" w:eastAsia="en-AU"/>
        </w:rPr>
        <w:t>PSURs</w:t>
      </w:r>
      <w:r w:rsidR="000C5434">
        <w:rPr>
          <w:lang w:val="en-CA" w:eastAsia="en-AU"/>
        </w:rPr>
        <w:t>)</w:t>
      </w:r>
      <w:r w:rsidRPr="001A661E">
        <w:rPr>
          <w:lang w:val="en-CA" w:eastAsia="en-AU"/>
        </w:rPr>
        <w:t xml:space="preserve"> and updates to the RMP.</w:t>
      </w:r>
    </w:p>
    <w:p w:rsidR="008E7846" w:rsidRPr="008A5EFF" w:rsidRDefault="008E7846" w:rsidP="008A5EFF">
      <w:pPr>
        <w:pStyle w:val="Heading4"/>
      </w:pPr>
      <w:r>
        <w:rPr>
          <w:lang w:eastAsia="en-AU"/>
        </w:rPr>
        <w:t xml:space="preserve">Risk </w:t>
      </w:r>
      <w:r w:rsidR="003A7F6C">
        <w:rPr>
          <w:lang w:eastAsia="en-AU"/>
        </w:rPr>
        <w:t>m</w:t>
      </w:r>
      <w:r>
        <w:rPr>
          <w:lang w:eastAsia="en-AU"/>
        </w:rPr>
        <w:t xml:space="preserve">inimisation </w:t>
      </w:r>
      <w:r w:rsidR="003A7F6C">
        <w:rPr>
          <w:lang w:eastAsia="en-AU"/>
        </w:rPr>
        <w:t>a</w:t>
      </w:r>
      <w:r>
        <w:rPr>
          <w:lang w:eastAsia="en-AU"/>
        </w:rPr>
        <w:t>ctivities</w:t>
      </w:r>
    </w:p>
    <w:p w:rsidR="001A661E" w:rsidRPr="001A661E" w:rsidRDefault="006D162E" w:rsidP="00942626">
      <w:pPr>
        <w:rPr>
          <w:lang w:val="en-CA" w:eastAsia="en-AU"/>
        </w:rPr>
      </w:pPr>
      <w:bookmarkStart w:id="159" w:name="_Toc247691527"/>
      <w:r>
        <w:rPr>
          <w:lang w:val="en-CA" w:eastAsia="en-AU"/>
        </w:rPr>
        <w:t>T</w:t>
      </w:r>
      <w:r w:rsidR="001A661E" w:rsidRPr="001A661E">
        <w:rPr>
          <w:lang w:val="en-CA" w:eastAsia="en-AU"/>
        </w:rPr>
        <w:t>he sponsor stated that routine risk minimisation activities are not sufficient for the following safety concerns:</w:t>
      </w:r>
      <w:r w:rsidR="002A29B3">
        <w:rPr>
          <w:lang w:val="en-CA" w:eastAsia="en-AU"/>
        </w:rPr>
        <w:t xml:space="preserve"> </w:t>
      </w:r>
      <w:r w:rsidR="001A661E" w:rsidRPr="001A661E">
        <w:rPr>
          <w:lang w:val="en-CA" w:eastAsia="en-AU"/>
        </w:rPr>
        <w:t xml:space="preserve">serious infections, lymphoma, </w:t>
      </w:r>
      <w:proofErr w:type="spellStart"/>
      <w:r w:rsidRPr="006D162E">
        <w:rPr>
          <w:lang w:eastAsia="en-AU"/>
        </w:rPr>
        <w:t>Hepatosplenic</w:t>
      </w:r>
      <w:proofErr w:type="spellEnd"/>
      <w:r w:rsidRPr="006D162E">
        <w:rPr>
          <w:lang w:eastAsia="en-AU"/>
        </w:rPr>
        <w:t xml:space="preserve"> T-cell lymphoma</w:t>
      </w:r>
      <w:r w:rsidRPr="006D162E">
        <w:t xml:space="preserve"> (</w:t>
      </w:r>
      <w:r w:rsidR="001A661E" w:rsidRPr="006D162E">
        <w:t>HSTCL</w:t>
      </w:r>
      <w:r w:rsidRPr="006D162E">
        <w:t>)</w:t>
      </w:r>
      <w:r w:rsidR="001A661E" w:rsidRPr="006D162E">
        <w:t xml:space="preserve">, </w:t>
      </w:r>
      <w:proofErr w:type="spellStart"/>
      <w:r w:rsidR="001A661E" w:rsidRPr="006D162E">
        <w:t>leukemia</w:t>
      </w:r>
      <w:proofErr w:type="spellEnd"/>
      <w:r w:rsidR="001A661E" w:rsidRPr="006D162E">
        <w:t xml:space="preserve">, NMSC, melanoma, </w:t>
      </w:r>
      <w:proofErr w:type="spellStart"/>
      <w:r w:rsidR="001A661E" w:rsidRPr="006D162E">
        <w:t>demyelina</w:t>
      </w:r>
      <w:proofErr w:type="spellEnd"/>
      <w:r w:rsidR="001A661E" w:rsidRPr="001A661E">
        <w:rPr>
          <w:lang w:val="en-CA" w:eastAsia="en-AU"/>
        </w:rPr>
        <w:t xml:space="preserve">ting disorders, </w:t>
      </w:r>
      <w:r w:rsidR="00C355E1" w:rsidRPr="00C355E1">
        <w:rPr>
          <w:lang w:eastAsia="en-AU"/>
        </w:rPr>
        <w:t>Congestive heart failure</w:t>
      </w:r>
      <w:r w:rsidR="00C355E1" w:rsidRPr="00C355E1">
        <w:rPr>
          <w:lang w:val="en-CA" w:eastAsia="en-AU"/>
        </w:rPr>
        <w:t xml:space="preserve"> </w:t>
      </w:r>
      <w:r w:rsidR="00C355E1">
        <w:rPr>
          <w:lang w:val="en-CA" w:eastAsia="en-AU"/>
        </w:rPr>
        <w:t xml:space="preserve"> (</w:t>
      </w:r>
      <w:r w:rsidR="001A661E" w:rsidRPr="001A661E">
        <w:rPr>
          <w:lang w:val="en-CA" w:eastAsia="en-AU"/>
        </w:rPr>
        <w:t>CHF</w:t>
      </w:r>
      <w:r w:rsidR="00C355E1">
        <w:rPr>
          <w:lang w:val="en-CA" w:eastAsia="en-AU"/>
        </w:rPr>
        <w:t>)</w:t>
      </w:r>
      <w:r w:rsidR="001A661E" w:rsidRPr="001A661E">
        <w:rPr>
          <w:lang w:val="en-CA" w:eastAsia="en-AU"/>
        </w:rPr>
        <w:t>, medication errors and maladministration, other malignancies.</w:t>
      </w:r>
      <w:r w:rsidR="002A29B3">
        <w:rPr>
          <w:lang w:val="en-CA" w:eastAsia="en-AU"/>
        </w:rPr>
        <w:t xml:space="preserve"> </w:t>
      </w:r>
      <w:r w:rsidR="001A661E" w:rsidRPr="001A661E">
        <w:rPr>
          <w:lang w:val="en-CA" w:eastAsia="en-AU"/>
        </w:rPr>
        <w:t>For these safety con</w:t>
      </w:r>
      <w:r w:rsidR="00C355E1">
        <w:rPr>
          <w:lang w:val="en-CA" w:eastAsia="en-AU"/>
        </w:rPr>
        <w:t>cerns, an educational program was</w:t>
      </w:r>
      <w:r w:rsidR="001A661E" w:rsidRPr="001A661E">
        <w:rPr>
          <w:lang w:val="en-CA" w:eastAsia="en-AU"/>
        </w:rPr>
        <w:t xml:space="preserve"> proposed as additional risk minimisation.</w:t>
      </w:r>
      <w:r w:rsidR="002A29B3">
        <w:rPr>
          <w:lang w:val="en-CA" w:eastAsia="en-AU"/>
        </w:rPr>
        <w:t xml:space="preserve"> </w:t>
      </w:r>
      <w:r w:rsidR="001A661E" w:rsidRPr="001A661E">
        <w:rPr>
          <w:lang w:val="en-CA" w:eastAsia="en-AU"/>
        </w:rPr>
        <w:t>According to the RMP the program comprises the following elements:</w:t>
      </w:r>
    </w:p>
    <w:p w:rsidR="001A661E" w:rsidRPr="001A661E" w:rsidRDefault="001A661E" w:rsidP="00942626">
      <w:pPr>
        <w:pStyle w:val="ListBullet"/>
        <w:rPr>
          <w:lang w:eastAsia="en-AU"/>
        </w:rPr>
      </w:pPr>
      <w:r w:rsidRPr="001A661E">
        <w:rPr>
          <w:lang w:eastAsia="en-AU"/>
        </w:rPr>
        <w:t xml:space="preserve">Patient Information Alert </w:t>
      </w:r>
      <w:r w:rsidRPr="00942626">
        <w:t>Card</w:t>
      </w:r>
    </w:p>
    <w:p w:rsidR="001A661E" w:rsidRPr="001A661E" w:rsidRDefault="001A661E" w:rsidP="00942626">
      <w:pPr>
        <w:pStyle w:val="ListBullet"/>
        <w:rPr>
          <w:lang w:eastAsia="en-AU"/>
        </w:rPr>
      </w:pPr>
      <w:proofErr w:type="spellStart"/>
      <w:r w:rsidRPr="001A661E">
        <w:rPr>
          <w:lang w:eastAsia="en-AU"/>
        </w:rPr>
        <w:t>Humira</w:t>
      </w:r>
      <w:proofErr w:type="spellEnd"/>
      <w:r w:rsidRPr="001A661E">
        <w:rPr>
          <w:lang w:eastAsia="en-AU"/>
        </w:rPr>
        <w:t xml:space="preserve"> safety monograph</w:t>
      </w:r>
    </w:p>
    <w:p w:rsidR="001A661E" w:rsidRPr="001A661E" w:rsidRDefault="001A661E" w:rsidP="00C355E1">
      <w:pPr>
        <w:pStyle w:val="ListBullet"/>
        <w:rPr>
          <w:lang w:eastAsia="en-AU"/>
        </w:rPr>
      </w:pPr>
      <w:r w:rsidRPr="001A661E">
        <w:rPr>
          <w:lang w:eastAsia="en-AU"/>
        </w:rPr>
        <w:t>TB screening brochure</w:t>
      </w:r>
    </w:p>
    <w:p w:rsidR="001A661E" w:rsidRPr="001A661E" w:rsidRDefault="001A661E" w:rsidP="00942626">
      <w:pPr>
        <w:pStyle w:val="ListBullet"/>
        <w:rPr>
          <w:lang w:eastAsia="en-AU"/>
        </w:rPr>
      </w:pPr>
      <w:r w:rsidRPr="001A661E">
        <w:rPr>
          <w:lang w:eastAsia="en-AU"/>
        </w:rPr>
        <w:t>TB screening checklist</w:t>
      </w:r>
    </w:p>
    <w:p w:rsidR="001A661E" w:rsidRPr="001A661E" w:rsidRDefault="001A661E" w:rsidP="00C355E1">
      <w:pPr>
        <w:pStyle w:val="ListBullet"/>
        <w:rPr>
          <w:lang w:eastAsia="en-AU"/>
        </w:rPr>
      </w:pPr>
      <w:r w:rsidRPr="001A661E">
        <w:rPr>
          <w:lang w:eastAsia="en-AU"/>
        </w:rPr>
        <w:t>Publications on specific safety topics</w:t>
      </w:r>
    </w:p>
    <w:p w:rsidR="001A661E" w:rsidRDefault="001A661E" w:rsidP="00942626">
      <w:pPr>
        <w:rPr>
          <w:lang w:eastAsia="en-AU"/>
        </w:rPr>
      </w:pPr>
      <w:r w:rsidRPr="00C355E1">
        <w:rPr>
          <w:lang w:val="en-CA" w:eastAsia="en-AU"/>
        </w:rPr>
        <w:t xml:space="preserve">In regard to routine risk minimisation the draft Product Information and Consumer Medicine Information </w:t>
      </w:r>
      <w:r w:rsidR="00C355E1" w:rsidRPr="00C355E1">
        <w:rPr>
          <w:lang w:val="en-CA" w:eastAsia="en-AU"/>
        </w:rPr>
        <w:t>were</w:t>
      </w:r>
      <w:r w:rsidRPr="00C355E1">
        <w:rPr>
          <w:lang w:val="en-CA" w:eastAsia="en-AU"/>
        </w:rPr>
        <w:t xml:space="preserve"> considered to be satisfactory.</w:t>
      </w:r>
    </w:p>
    <w:p w:rsidR="00260B75" w:rsidRDefault="001A661E" w:rsidP="00942626">
      <w:pPr>
        <w:rPr>
          <w:lang w:eastAsia="en-AU"/>
        </w:rPr>
      </w:pPr>
      <w:r w:rsidRPr="001A661E">
        <w:rPr>
          <w:lang w:eastAsia="en-AU"/>
        </w:rPr>
        <w:t xml:space="preserve">The following table (Table </w:t>
      </w:r>
      <w:r w:rsidR="00CE3278">
        <w:rPr>
          <w:lang w:eastAsia="en-AU"/>
        </w:rPr>
        <w:t>2</w:t>
      </w:r>
      <w:r w:rsidRPr="001A661E">
        <w:rPr>
          <w:lang w:eastAsia="en-AU"/>
        </w:rPr>
        <w:t>) summarises the OPR’s evaluation of the RMP, the sponsor’s responses to issues raised by the OPR and the second round OPR evaluation of the</w:t>
      </w:r>
      <w:r w:rsidR="003B4C28">
        <w:rPr>
          <w:lang w:eastAsia="en-AU"/>
        </w:rPr>
        <w:t xml:space="preserve"> </w:t>
      </w:r>
      <w:r w:rsidRPr="001A661E">
        <w:rPr>
          <w:lang w:eastAsia="en-AU"/>
        </w:rPr>
        <w:t>sponsor’s responses</w:t>
      </w:r>
      <w:r>
        <w:rPr>
          <w:lang w:eastAsia="en-AU"/>
        </w:rPr>
        <w:t>.</w:t>
      </w:r>
    </w:p>
    <w:p w:rsidR="001A661E" w:rsidRPr="001A661E" w:rsidRDefault="00C355E1" w:rsidP="00942626">
      <w:pPr>
        <w:pStyle w:val="TableTitle"/>
        <w:rPr>
          <w:lang w:eastAsia="en-AU"/>
        </w:rPr>
      </w:pPr>
      <w:proofErr w:type="gramStart"/>
      <w:r>
        <w:rPr>
          <w:lang w:eastAsia="en-AU"/>
        </w:rPr>
        <w:t xml:space="preserve">Table </w:t>
      </w:r>
      <w:r w:rsidR="00CE3278">
        <w:rPr>
          <w:lang w:eastAsia="en-AU"/>
        </w:rPr>
        <w:t>2</w:t>
      </w:r>
      <w:r>
        <w:rPr>
          <w:lang w:eastAsia="en-AU"/>
        </w:rPr>
        <w:t>.</w:t>
      </w:r>
      <w:proofErr w:type="gramEnd"/>
      <w:r>
        <w:rPr>
          <w:lang w:eastAsia="en-AU"/>
        </w:rPr>
        <w:t xml:space="preserve"> </w:t>
      </w:r>
      <w:r w:rsidR="001A661E" w:rsidRPr="001A661E">
        <w:rPr>
          <w:lang w:eastAsia="en-AU"/>
        </w:rPr>
        <w:t xml:space="preserve">Reconciliation of issues </w:t>
      </w:r>
      <w:r w:rsidR="001A661E" w:rsidRPr="00942626">
        <w:t>outlined</w:t>
      </w:r>
      <w:r w:rsidR="001A661E" w:rsidRPr="001A661E">
        <w:rPr>
          <w:lang w:eastAsia="en-AU"/>
        </w:rPr>
        <w:t xml:space="preserve"> in the RMP report</w:t>
      </w:r>
      <w:r w:rsidR="004F108A">
        <w:rPr>
          <w:lang w:eastAsia="en-AU"/>
        </w:rPr>
        <w:t xml:space="preserve">. </w:t>
      </w:r>
      <w:proofErr w:type="gramStart"/>
      <w:r w:rsidR="004F108A">
        <w:rPr>
          <w:lang w:eastAsia="en-AU"/>
        </w:rPr>
        <w:t>Continued across 2 pages.</w:t>
      </w:r>
      <w:proofErr w:type="gramEnd"/>
    </w:p>
    <w:tbl>
      <w:tblPr>
        <w:tblStyle w:val="TableTGAblue"/>
        <w:tblW w:w="5000" w:type="pct"/>
        <w:tblLayout w:type="fixed"/>
        <w:tblLook w:val="0620" w:firstRow="1" w:lastRow="0" w:firstColumn="0" w:lastColumn="0" w:noHBand="1" w:noVBand="1"/>
      </w:tblPr>
      <w:tblGrid>
        <w:gridCol w:w="3610"/>
        <w:gridCol w:w="42"/>
        <w:gridCol w:w="2403"/>
        <w:gridCol w:w="148"/>
        <w:gridCol w:w="2517"/>
      </w:tblGrid>
      <w:tr w:rsidR="001A661E" w:rsidRPr="00942626" w:rsidTr="00942626">
        <w:trPr>
          <w:cnfStyle w:val="100000000000" w:firstRow="1" w:lastRow="0" w:firstColumn="0" w:lastColumn="0" w:oddVBand="0" w:evenVBand="0" w:oddHBand="0" w:evenHBand="0" w:firstRowFirstColumn="0" w:firstRowLastColumn="0" w:lastRowFirstColumn="0" w:lastRowLastColumn="0"/>
        </w:trPr>
        <w:tc>
          <w:tcPr>
            <w:tcW w:w="2070" w:type="pct"/>
            <w:noWrap/>
          </w:tcPr>
          <w:p w:rsidR="001A661E" w:rsidRPr="00942626" w:rsidRDefault="001A661E" w:rsidP="00942626">
            <w:pPr>
              <w:rPr>
                <w:sz w:val="20"/>
              </w:rPr>
            </w:pPr>
            <w:r w:rsidRPr="00942626">
              <w:rPr>
                <w:sz w:val="20"/>
              </w:rPr>
              <w:t>Recommendation in RMP evaluation report</w:t>
            </w:r>
          </w:p>
        </w:tc>
        <w:tc>
          <w:tcPr>
            <w:tcW w:w="1402" w:type="pct"/>
            <w:gridSpan w:val="2"/>
            <w:noWrap/>
          </w:tcPr>
          <w:p w:rsidR="001A661E" w:rsidRPr="00942626" w:rsidRDefault="001A661E" w:rsidP="00942626">
            <w:pPr>
              <w:rPr>
                <w:sz w:val="20"/>
              </w:rPr>
            </w:pPr>
            <w:r w:rsidRPr="00942626">
              <w:rPr>
                <w:sz w:val="20"/>
              </w:rPr>
              <w:t>Sponsor’s response</w:t>
            </w:r>
          </w:p>
        </w:tc>
        <w:tc>
          <w:tcPr>
            <w:tcW w:w="1528" w:type="pct"/>
            <w:gridSpan w:val="2"/>
            <w:noWrap/>
          </w:tcPr>
          <w:p w:rsidR="001A661E" w:rsidRPr="00942626" w:rsidRDefault="001A661E" w:rsidP="00942626">
            <w:pPr>
              <w:rPr>
                <w:sz w:val="20"/>
              </w:rPr>
            </w:pPr>
            <w:r w:rsidRPr="00942626">
              <w:rPr>
                <w:sz w:val="20"/>
              </w:rPr>
              <w:t>OPR evaluator’s comment</w:t>
            </w:r>
          </w:p>
        </w:tc>
      </w:tr>
      <w:tr w:rsidR="001A661E" w:rsidRPr="00942626" w:rsidTr="00942626">
        <w:tc>
          <w:tcPr>
            <w:tcW w:w="2094" w:type="pct"/>
            <w:gridSpan w:val="2"/>
            <w:noWrap/>
          </w:tcPr>
          <w:p w:rsidR="001A661E" w:rsidRPr="00942626" w:rsidRDefault="001A661E" w:rsidP="00942626">
            <w:pPr>
              <w:pStyle w:val="Numberbullet0"/>
              <w:rPr>
                <w:sz w:val="20"/>
              </w:rPr>
            </w:pPr>
            <w:r w:rsidRPr="00942626">
              <w:rPr>
                <w:sz w:val="20"/>
              </w:rPr>
              <w:t xml:space="preserve">Safety considerations may be raised by the clinical and non-clinical evaluators through the </w:t>
            </w:r>
            <w:r w:rsidR="00C355E1" w:rsidRPr="00942626">
              <w:rPr>
                <w:sz w:val="20"/>
              </w:rPr>
              <w:t xml:space="preserve">TGA’s </w:t>
            </w:r>
            <w:r w:rsidRPr="00942626">
              <w:rPr>
                <w:sz w:val="20"/>
              </w:rPr>
              <w:t>consolidated requests and/or the nonclinical and clinical Evaluation Reports respectively. It is important to ensure that the information provided in response to these includes consideration of the relevance for the Risk Management Plan and any specific information needed to address this issue in the RMP. For any safety considerations so raised, please provide information that is relevant and necessary to address the issue in the RMP.</w:t>
            </w:r>
          </w:p>
        </w:tc>
        <w:tc>
          <w:tcPr>
            <w:tcW w:w="1463" w:type="pct"/>
            <w:gridSpan w:val="2"/>
            <w:noWrap/>
          </w:tcPr>
          <w:p w:rsidR="001A661E" w:rsidRPr="00942626" w:rsidRDefault="001A661E" w:rsidP="00942626">
            <w:pPr>
              <w:rPr>
                <w:i/>
                <w:sz w:val="20"/>
              </w:rPr>
            </w:pPr>
            <w:r w:rsidRPr="00942626">
              <w:rPr>
                <w:i/>
                <w:sz w:val="20"/>
              </w:rPr>
              <w:t xml:space="preserve">The safety profile of </w:t>
            </w:r>
            <w:proofErr w:type="spellStart"/>
            <w:r w:rsidRPr="00942626">
              <w:rPr>
                <w:i/>
                <w:sz w:val="20"/>
              </w:rPr>
              <w:t>adalimumab</w:t>
            </w:r>
            <w:proofErr w:type="spellEnd"/>
            <w:r w:rsidRPr="00942626">
              <w:rPr>
                <w:i/>
                <w:sz w:val="20"/>
              </w:rPr>
              <w:t xml:space="preserve"> is well established and no safety issues requiring further consideration were raised in the </w:t>
            </w:r>
            <w:r w:rsidR="00C355E1" w:rsidRPr="00942626">
              <w:rPr>
                <w:i/>
                <w:sz w:val="20"/>
              </w:rPr>
              <w:t xml:space="preserve">TGA”s </w:t>
            </w:r>
            <w:r w:rsidRPr="00942626">
              <w:rPr>
                <w:i/>
                <w:sz w:val="20"/>
              </w:rPr>
              <w:t>consolidated request</w:t>
            </w:r>
            <w:r w:rsidR="00C355E1" w:rsidRPr="00942626">
              <w:rPr>
                <w:i/>
                <w:sz w:val="20"/>
              </w:rPr>
              <w:t xml:space="preserve"> for information</w:t>
            </w:r>
            <w:r w:rsidRPr="00942626">
              <w:rPr>
                <w:i/>
                <w:sz w:val="20"/>
              </w:rPr>
              <w:t xml:space="preserve">. </w:t>
            </w:r>
            <w:proofErr w:type="spellStart"/>
            <w:r w:rsidRPr="00942626">
              <w:rPr>
                <w:i/>
                <w:sz w:val="20"/>
              </w:rPr>
              <w:t>AbbVie</w:t>
            </w:r>
            <w:proofErr w:type="spellEnd"/>
            <w:r w:rsidRPr="00942626">
              <w:rPr>
                <w:i/>
                <w:sz w:val="20"/>
              </w:rPr>
              <w:t xml:space="preserve"> has not yet received a copy of the clinical evaluation report.</w:t>
            </w:r>
          </w:p>
        </w:tc>
        <w:tc>
          <w:tcPr>
            <w:tcW w:w="1443" w:type="pct"/>
            <w:noWrap/>
          </w:tcPr>
          <w:p w:rsidR="001A661E" w:rsidRPr="00942626" w:rsidRDefault="00C355E1" w:rsidP="00942626">
            <w:pPr>
              <w:rPr>
                <w:sz w:val="20"/>
              </w:rPr>
            </w:pPr>
            <w:r w:rsidRPr="00942626">
              <w:rPr>
                <w:sz w:val="20"/>
              </w:rPr>
              <w:t>This wa</w:t>
            </w:r>
            <w:r w:rsidR="001A661E" w:rsidRPr="00942626">
              <w:rPr>
                <w:sz w:val="20"/>
              </w:rPr>
              <w:t xml:space="preserve">s </w:t>
            </w:r>
            <w:r w:rsidRPr="00942626">
              <w:rPr>
                <w:sz w:val="20"/>
              </w:rPr>
              <w:t xml:space="preserve">considered </w:t>
            </w:r>
            <w:r w:rsidR="001A661E" w:rsidRPr="00942626">
              <w:rPr>
                <w:sz w:val="20"/>
              </w:rPr>
              <w:t>acceptable.</w:t>
            </w:r>
          </w:p>
        </w:tc>
      </w:tr>
      <w:tr w:rsidR="001A661E" w:rsidRPr="00942626" w:rsidTr="00942626">
        <w:tc>
          <w:tcPr>
            <w:tcW w:w="2094" w:type="pct"/>
            <w:gridSpan w:val="2"/>
            <w:noWrap/>
          </w:tcPr>
          <w:p w:rsidR="001A661E" w:rsidRPr="00942626" w:rsidRDefault="001A661E" w:rsidP="00942626">
            <w:pPr>
              <w:pStyle w:val="Numberbullet0"/>
              <w:rPr>
                <w:sz w:val="20"/>
                <w:szCs w:val="18"/>
              </w:rPr>
            </w:pPr>
            <w:r w:rsidRPr="00942626">
              <w:rPr>
                <w:sz w:val="20"/>
              </w:rPr>
              <w:t xml:space="preserve"> </w:t>
            </w:r>
            <w:r w:rsidR="00C355E1" w:rsidRPr="00942626">
              <w:rPr>
                <w:sz w:val="20"/>
              </w:rPr>
              <w:t>The s</w:t>
            </w:r>
            <w:r w:rsidRPr="00942626">
              <w:rPr>
                <w:sz w:val="20"/>
              </w:rPr>
              <w:t>ponsor should provide further detail of the education program for Australia including whether it is already in use, draft education mat</w:t>
            </w:r>
            <w:r w:rsidR="00942626" w:rsidRPr="00942626">
              <w:rPr>
                <w:sz w:val="20"/>
              </w:rPr>
              <w:t>erials and a distribution plan.</w:t>
            </w:r>
          </w:p>
        </w:tc>
        <w:tc>
          <w:tcPr>
            <w:tcW w:w="1463" w:type="pct"/>
            <w:gridSpan w:val="2"/>
            <w:noWrap/>
          </w:tcPr>
          <w:p w:rsidR="001A661E" w:rsidRPr="00942626" w:rsidRDefault="001A661E" w:rsidP="00942626">
            <w:pPr>
              <w:rPr>
                <w:i/>
                <w:sz w:val="20"/>
              </w:rPr>
            </w:pPr>
            <w:r w:rsidRPr="00942626">
              <w:rPr>
                <w:i/>
                <w:sz w:val="20"/>
              </w:rPr>
              <w:t>The sponsor has provided further detail and draft versions of the educational materials.</w:t>
            </w:r>
          </w:p>
        </w:tc>
        <w:tc>
          <w:tcPr>
            <w:tcW w:w="1443" w:type="pct"/>
            <w:noWrap/>
          </w:tcPr>
          <w:p w:rsidR="001A661E" w:rsidRPr="00942626" w:rsidRDefault="001A661E" w:rsidP="00942626">
            <w:pPr>
              <w:rPr>
                <w:sz w:val="20"/>
              </w:rPr>
            </w:pPr>
            <w:r w:rsidRPr="00942626">
              <w:rPr>
                <w:sz w:val="20"/>
              </w:rPr>
              <w:t xml:space="preserve">The current and planned activities as outlined in the </w:t>
            </w:r>
            <w:r w:rsidR="00C355E1" w:rsidRPr="00942626">
              <w:rPr>
                <w:sz w:val="20"/>
              </w:rPr>
              <w:t xml:space="preserve">sponsor’s </w:t>
            </w:r>
            <w:r w:rsidRPr="00942626">
              <w:rPr>
                <w:sz w:val="20"/>
              </w:rPr>
              <w:t xml:space="preserve">response </w:t>
            </w:r>
            <w:r w:rsidR="00C355E1" w:rsidRPr="00942626">
              <w:rPr>
                <w:sz w:val="20"/>
              </w:rPr>
              <w:t>were</w:t>
            </w:r>
            <w:r w:rsidRPr="00942626">
              <w:rPr>
                <w:sz w:val="20"/>
              </w:rPr>
              <w:t xml:space="preserve"> acceptable from a RMP standpoint.</w:t>
            </w:r>
            <w:r w:rsidR="002A29B3" w:rsidRPr="00942626">
              <w:rPr>
                <w:sz w:val="20"/>
              </w:rPr>
              <w:t xml:space="preserve"> </w:t>
            </w:r>
            <w:r w:rsidRPr="00942626">
              <w:rPr>
                <w:sz w:val="20"/>
              </w:rPr>
              <w:t xml:space="preserve">Such detail should be included in the Australian-specific Annex when it is next updated </w:t>
            </w:r>
            <w:r w:rsidRPr="00942626">
              <w:rPr>
                <w:sz w:val="20"/>
              </w:rPr>
              <w:lastRenderedPageBreak/>
              <w:t>and provided to the TGA.</w:t>
            </w:r>
          </w:p>
        </w:tc>
      </w:tr>
      <w:tr w:rsidR="004F108A" w:rsidRPr="00942626" w:rsidTr="00942626">
        <w:tc>
          <w:tcPr>
            <w:tcW w:w="2094" w:type="pct"/>
            <w:gridSpan w:val="2"/>
            <w:noWrap/>
          </w:tcPr>
          <w:p w:rsidR="004F108A" w:rsidRPr="00942626" w:rsidRDefault="004F108A" w:rsidP="00942626">
            <w:pPr>
              <w:pStyle w:val="Numberbullet0"/>
              <w:rPr>
                <w:sz w:val="20"/>
              </w:rPr>
            </w:pPr>
            <w:r w:rsidRPr="00942626">
              <w:rPr>
                <w:sz w:val="20"/>
              </w:rPr>
              <w:lastRenderedPageBreak/>
              <w:t>The RMP states that "affiliates are implementing country-specific evaluations". The sponsor should provide more detail on the Australian specific evaluation of the effectiv</w:t>
            </w:r>
            <w:r w:rsidR="00942626" w:rsidRPr="00942626">
              <w:rPr>
                <w:sz w:val="20"/>
              </w:rPr>
              <w:t>eness of the education program.</w:t>
            </w:r>
          </w:p>
        </w:tc>
        <w:tc>
          <w:tcPr>
            <w:tcW w:w="1463" w:type="pct"/>
            <w:gridSpan w:val="2"/>
            <w:noWrap/>
          </w:tcPr>
          <w:p w:rsidR="004F108A" w:rsidRPr="00942626" w:rsidRDefault="004F108A" w:rsidP="00942626">
            <w:pPr>
              <w:rPr>
                <w:i/>
                <w:sz w:val="20"/>
              </w:rPr>
            </w:pPr>
            <w:proofErr w:type="spellStart"/>
            <w:r w:rsidRPr="00942626">
              <w:rPr>
                <w:i/>
                <w:sz w:val="20"/>
              </w:rPr>
              <w:t>Abbvie</w:t>
            </w:r>
            <w:proofErr w:type="spellEnd"/>
            <w:r w:rsidRPr="00942626">
              <w:rPr>
                <w:i/>
                <w:sz w:val="20"/>
              </w:rPr>
              <w:t xml:space="preserve"> is currently developing an evaluation tool to assess the effectiveness of the Australian educational program. An online survey will be conducted by an independent third party vendor each year for 2 years after approval of new indications. Participants will be a representative cross section of potential </w:t>
            </w:r>
            <w:proofErr w:type="spellStart"/>
            <w:r w:rsidRPr="00942626">
              <w:rPr>
                <w:i/>
                <w:sz w:val="20"/>
              </w:rPr>
              <w:t>Humira</w:t>
            </w:r>
            <w:proofErr w:type="spellEnd"/>
            <w:r w:rsidRPr="00942626">
              <w:rPr>
                <w:i/>
                <w:sz w:val="20"/>
              </w:rPr>
              <w:t xml:space="preserve"> prescribers. Further evaluation will be conducted as appropriate and the educational program modified as necessary.</w:t>
            </w:r>
          </w:p>
        </w:tc>
        <w:tc>
          <w:tcPr>
            <w:tcW w:w="1443" w:type="pct"/>
            <w:noWrap/>
          </w:tcPr>
          <w:p w:rsidR="004F108A" w:rsidRPr="00942626" w:rsidRDefault="004F108A" w:rsidP="00942626">
            <w:pPr>
              <w:rPr>
                <w:sz w:val="20"/>
              </w:rPr>
            </w:pPr>
            <w:r w:rsidRPr="00942626">
              <w:rPr>
                <w:sz w:val="20"/>
              </w:rPr>
              <w:t>This approach was considered acceptable. Once developed, further detail of this assessment should be included in an updated to the risk minimisation section of the Australian-specific Annex and submitted to the TGA.</w:t>
            </w:r>
          </w:p>
        </w:tc>
      </w:tr>
    </w:tbl>
    <w:p w:rsidR="00C355E1" w:rsidRDefault="00C355E1" w:rsidP="00942626">
      <w:pPr>
        <w:rPr>
          <w:lang w:eastAsia="en-AU"/>
        </w:rPr>
      </w:pPr>
      <w:r>
        <w:rPr>
          <w:lang w:eastAsia="en-AU"/>
        </w:rPr>
        <w:t>It wa</w:t>
      </w:r>
      <w:r w:rsidRPr="001A661E">
        <w:rPr>
          <w:lang w:eastAsia="en-AU"/>
        </w:rPr>
        <w:t xml:space="preserve">s considered that the sponsor’s response to the TGA </w:t>
      </w:r>
      <w:r>
        <w:rPr>
          <w:lang w:eastAsia="en-AU"/>
        </w:rPr>
        <w:t>consolidated r</w:t>
      </w:r>
      <w:r w:rsidRPr="001A661E">
        <w:rPr>
          <w:lang w:eastAsia="en-AU"/>
        </w:rPr>
        <w:t xml:space="preserve">equest </w:t>
      </w:r>
      <w:r>
        <w:rPr>
          <w:lang w:eastAsia="en-AU"/>
        </w:rPr>
        <w:t xml:space="preserve">for information </w:t>
      </w:r>
      <w:r w:rsidRPr="001A661E">
        <w:rPr>
          <w:lang w:eastAsia="en-AU"/>
        </w:rPr>
        <w:t>adequately addressed all of the issues identified in the RMP evaluation report.</w:t>
      </w:r>
    </w:p>
    <w:p w:rsidR="001A661E" w:rsidRPr="00942626" w:rsidRDefault="001A661E" w:rsidP="00942626">
      <w:pPr>
        <w:pStyle w:val="Heading4"/>
      </w:pPr>
      <w:r w:rsidRPr="001A661E">
        <w:rPr>
          <w:lang w:eastAsia="en-AU"/>
        </w:rPr>
        <w:t>Outstanding issues</w:t>
      </w:r>
    </w:p>
    <w:p w:rsidR="001A661E" w:rsidRPr="001A661E" w:rsidRDefault="001A661E" w:rsidP="00942626">
      <w:pPr>
        <w:rPr>
          <w:lang w:eastAsia="en-AU"/>
        </w:rPr>
      </w:pPr>
      <w:r w:rsidRPr="001A661E">
        <w:rPr>
          <w:lang w:eastAsia="en-AU"/>
        </w:rPr>
        <w:t xml:space="preserve">There </w:t>
      </w:r>
      <w:r w:rsidR="00C355E1">
        <w:rPr>
          <w:lang w:eastAsia="en-AU"/>
        </w:rPr>
        <w:t>were</w:t>
      </w:r>
      <w:r w:rsidRPr="001A661E">
        <w:rPr>
          <w:lang w:eastAsia="en-AU"/>
        </w:rPr>
        <w:t xml:space="preserve"> no outstanding issues in relation to the RMP for this submission.</w:t>
      </w:r>
    </w:p>
    <w:p w:rsidR="001A661E" w:rsidRPr="001A661E" w:rsidRDefault="001A661E" w:rsidP="00942626">
      <w:pPr>
        <w:pStyle w:val="Heading5"/>
        <w:rPr>
          <w:lang w:eastAsia="en-AU"/>
        </w:rPr>
      </w:pPr>
      <w:r w:rsidRPr="001A661E">
        <w:rPr>
          <w:lang w:eastAsia="en-AU"/>
        </w:rPr>
        <w:t xml:space="preserve">Advice from the </w:t>
      </w:r>
      <w:r w:rsidRPr="00942626">
        <w:t>Advisory</w:t>
      </w:r>
      <w:r w:rsidRPr="001A661E">
        <w:rPr>
          <w:lang w:eastAsia="en-AU"/>
        </w:rPr>
        <w:t xml:space="preserve"> Committee on the Safety of Medicines (ACSOM)</w:t>
      </w:r>
    </w:p>
    <w:p w:rsidR="001A661E" w:rsidRPr="001A661E" w:rsidRDefault="001A661E" w:rsidP="00942626">
      <w:pPr>
        <w:rPr>
          <w:lang w:eastAsia="en-AU"/>
        </w:rPr>
      </w:pPr>
      <w:r w:rsidRPr="001A661E">
        <w:rPr>
          <w:lang w:eastAsia="en-AU"/>
        </w:rPr>
        <w:t>ACSOM advice was not sought for this submission.</w:t>
      </w:r>
    </w:p>
    <w:p w:rsidR="001A661E" w:rsidRPr="001A661E" w:rsidRDefault="001A661E" w:rsidP="00423590">
      <w:pPr>
        <w:pStyle w:val="Heading4"/>
        <w:rPr>
          <w:lang w:eastAsia="en-AU"/>
        </w:rPr>
      </w:pPr>
      <w:r w:rsidRPr="001A661E">
        <w:rPr>
          <w:lang w:eastAsia="en-AU"/>
        </w:rPr>
        <w:t xml:space="preserve">Suggested </w:t>
      </w:r>
      <w:r w:rsidRPr="00423590">
        <w:t>wording</w:t>
      </w:r>
      <w:r w:rsidR="00423590">
        <w:rPr>
          <w:lang w:eastAsia="en-AU"/>
        </w:rPr>
        <w:t xml:space="preserve"> for conditions of registration</w:t>
      </w:r>
    </w:p>
    <w:p w:rsidR="001A661E" w:rsidRPr="00423590" w:rsidRDefault="001A661E" w:rsidP="00423590">
      <w:pPr>
        <w:pStyle w:val="Heading5"/>
      </w:pPr>
      <w:r w:rsidRPr="001A661E">
        <w:rPr>
          <w:lang w:eastAsia="en-AU"/>
        </w:rPr>
        <w:t>RMP</w:t>
      </w:r>
    </w:p>
    <w:p w:rsidR="001A661E" w:rsidRPr="001A661E" w:rsidRDefault="001A661E" w:rsidP="00423590">
      <w:pPr>
        <w:rPr>
          <w:lang w:eastAsia="en-AU"/>
        </w:rPr>
      </w:pPr>
      <w:r w:rsidRPr="001A661E">
        <w:rPr>
          <w:lang w:eastAsia="en-AU"/>
        </w:rPr>
        <w:t xml:space="preserve">Implement RMP for </w:t>
      </w:r>
      <w:proofErr w:type="spellStart"/>
      <w:r w:rsidRPr="001A661E">
        <w:rPr>
          <w:lang w:eastAsia="en-AU"/>
        </w:rPr>
        <w:t>Adalimumab</w:t>
      </w:r>
      <w:proofErr w:type="spellEnd"/>
      <w:r w:rsidRPr="001A661E">
        <w:rPr>
          <w:lang w:eastAsia="en-AU"/>
        </w:rPr>
        <w:t xml:space="preserve"> (Edition 10.0, November 2011) with Australian Specific Annex (undated) and any future updates as a condition of registration.</w:t>
      </w:r>
    </w:p>
    <w:p w:rsidR="001A661E" w:rsidRPr="00423590" w:rsidRDefault="001A661E" w:rsidP="00423590">
      <w:pPr>
        <w:pStyle w:val="Heading5"/>
      </w:pPr>
      <w:r w:rsidRPr="001A661E">
        <w:rPr>
          <w:lang w:eastAsia="en-AU"/>
        </w:rPr>
        <w:t>PSUR</w:t>
      </w:r>
    </w:p>
    <w:p w:rsidR="001A661E" w:rsidRPr="00A707A4" w:rsidRDefault="001A661E" w:rsidP="00423590">
      <w:pPr>
        <w:rPr>
          <w:lang w:eastAsia="en-AU"/>
        </w:rPr>
      </w:pPr>
      <w:r w:rsidRPr="00A707A4">
        <w:rPr>
          <w:lang w:eastAsia="en-AU"/>
        </w:rPr>
        <w:t>Note:</w:t>
      </w:r>
      <w:r w:rsidR="002A29B3" w:rsidRPr="00A707A4">
        <w:rPr>
          <w:lang w:eastAsia="en-AU"/>
        </w:rPr>
        <w:t xml:space="preserve"> </w:t>
      </w:r>
      <w:r w:rsidRPr="00A707A4">
        <w:rPr>
          <w:lang w:eastAsia="en-AU"/>
        </w:rPr>
        <w:t>In the EU, PSURs are required every 3 years for this product.</w:t>
      </w:r>
    </w:p>
    <w:p w:rsidR="008E7846" w:rsidRPr="00792A32" w:rsidRDefault="008E7846" w:rsidP="00423590">
      <w:pPr>
        <w:pStyle w:val="Heading2"/>
      </w:pPr>
      <w:bookmarkStart w:id="160" w:name="_Toc314842510"/>
      <w:bookmarkStart w:id="161" w:name="_Toc382922648"/>
      <w:r>
        <w:t xml:space="preserve">VI. </w:t>
      </w:r>
      <w:r w:rsidRPr="00792A32">
        <w:t xml:space="preserve">Overall </w:t>
      </w:r>
      <w:r>
        <w:t>c</w:t>
      </w:r>
      <w:r w:rsidRPr="00792A32">
        <w:t xml:space="preserve">onclusion and </w:t>
      </w:r>
      <w:r>
        <w:t>r</w:t>
      </w:r>
      <w:r w:rsidRPr="00792A32">
        <w:t>isk/</w:t>
      </w:r>
      <w:r w:rsidRPr="00423590">
        <w:t>benefit</w:t>
      </w:r>
      <w:r w:rsidRPr="00792A32">
        <w:t xml:space="preserve"> </w:t>
      </w:r>
      <w:r>
        <w:t>a</w:t>
      </w:r>
      <w:r w:rsidRPr="00792A32">
        <w:t>ssessment</w:t>
      </w:r>
      <w:bookmarkEnd w:id="133"/>
      <w:bookmarkEnd w:id="159"/>
      <w:bookmarkEnd w:id="160"/>
      <w:bookmarkEnd w:id="161"/>
    </w:p>
    <w:p w:rsidR="008E7846" w:rsidRDefault="008E7846" w:rsidP="00423590">
      <w:bookmarkStart w:id="162" w:name="_Toc247691528"/>
      <w:r>
        <w:t xml:space="preserve">The submission was summarised in the following </w:t>
      </w:r>
      <w:r w:rsidRPr="00EF5C48">
        <w:t xml:space="preserve">Delegate’s </w:t>
      </w:r>
      <w:r>
        <w:t>overview</w:t>
      </w:r>
      <w:r w:rsidRPr="00EF5C48">
        <w:t xml:space="preserve"> and recommendation</w:t>
      </w:r>
      <w:r>
        <w:t>s:</w:t>
      </w:r>
    </w:p>
    <w:p w:rsidR="008E7846" w:rsidRPr="00423590" w:rsidRDefault="008E7846" w:rsidP="00423590">
      <w:pPr>
        <w:pStyle w:val="Heading3"/>
      </w:pPr>
      <w:bookmarkStart w:id="163" w:name="_Toc314842511"/>
      <w:bookmarkStart w:id="164" w:name="_Toc382922649"/>
      <w:r>
        <w:t>Quality</w:t>
      </w:r>
      <w:bookmarkEnd w:id="162"/>
      <w:bookmarkEnd w:id="163"/>
      <w:bookmarkEnd w:id="164"/>
    </w:p>
    <w:p w:rsidR="00E45619" w:rsidRDefault="008E7846" w:rsidP="00423590">
      <w:r>
        <w:t>There was no requirement for a quality evaluation in a submission of this type.</w:t>
      </w:r>
    </w:p>
    <w:p w:rsidR="008E7846" w:rsidRPr="00423590" w:rsidRDefault="008E7846" w:rsidP="00423590">
      <w:pPr>
        <w:pStyle w:val="Heading3"/>
      </w:pPr>
      <w:bookmarkStart w:id="165" w:name="_Toc314842512"/>
      <w:bookmarkStart w:id="166" w:name="_Toc382922650"/>
      <w:r>
        <w:lastRenderedPageBreak/>
        <w:t>Nonclinical</w:t>
      </w:r>
      <w:bookmarkEnd w:id="165"/>
      <w:bookmarkEnd w:id="166"/>
    </w:p>
    <w:p w:rsidR="008E7846" w:rsidRDefault="008E7846" w:rsidP="00423590">
      <w:r>
        <w:t>There was no requirement for a nonclinical evaluation in a submission of this type.</w:t>
      </w:r>
    </w:p>
    <w:p w:rsidR="008E7846" w:rsidRPr="00423590" w:rsidRDefault="008E7846" w:rsidP="00423590">
      <w:pPr>
        <w:pStyle w:val="Heading3"/>
      </w:pPr>
      <w:bookmarkStart w:id="167" w:name="_Toc247691530"/>
      <w:bookmarkStart w:id="168" w:name="_Toc314842513"/>
      <w:bookmarkStart w:id="169" w:name="_Toc382922651"/>
      <w:r>
        <w:t>Clinical</w:t>
      </w:r>
      <w:bookmarkEnd w:id="167"/>
      <w:bookmarkEnd w:id="168"/>
      <w:bookmarkEnd w:id="169"/>
    </w:p>
    <w:p w:rsidR="00C524FD" w:rsidRPr="00C524FD" w:rsidRDefault="00C524FD" w:rsidP="00423590">
      <w:pPr>
        <w:rPr>
          <w:lang w:eastAsia="en-AU"/>
        </w:rPr>
      </w:pPr>
      <w:bookmarkStart w:id="170" w:name="_Toc314842514"/>
      <w:r w:rsidRPr="00C524FD">
        <w:rPr>
          <w:lang w:eastAsia="en-AU"/>
        </w:rPr>
        <w:t>The clinical evaluator has reviewed the submitted data, which included:</w:t>
      </w:r>
    </w:p>
    <w:p w:rsidR="00C524FD" w:rsidRPr="00C524FD" w:rsidRDefault="003B4C28" w:rsidP="00423590">
      <w:pPr>
        <w:pStyle w:val="ListBullet"/>
        <w:rPr>
          <w:lang w:eastAsia="en-AU"/>
        </w:rPr>
      </w:pPr>
      <w:r>
        <w:rPr>
          <w:lang w:eastAsia="en-AU"/>
        </w:rPr>
        <w:t>1 P</w:t>
      </w:r>
      <w:r w:rsidR="00C524FD" w:rsidRPr="00C524FD">
        <w:rPr>
          <w:lang w:eastAsia="en-AU"/>
        </w:rPr>
        <w:t>hase III pivotal study (Study M10-791)</w:t>
      </w:r>
      <w:r w:rsidR="00423590">
        <w:rPr>
          <w:lang w:eastAsia="en-AU"/>
        </w:rPr>
        <w:t>.</w:t>
      </w:r>
    </w:p>
    <w:p w:rsidR="00C524FD" w:rsidRPr="008B3D7A" w:rsidRDefault="00AB70F4" w:rsidP="00423590">
      <w:pPr>
        <w:pStyle w:val="ListBullet"/>
        <w:rPr>
          <w:lang w:eastAsia="en-AU"/>
        </w:rPr>
      </w:pPr>
      <w:r>
        <w:rPr>
          <w:lang w:eastAsia="en-AU"/>
        </w:rPr>
        <w:t xml:space="preserve">3 reports of analyses on infections/Infestations, non-infection and </w:t>
      </w:r>
      <w:proofErr w:type="spellStart"/>
      <w:r>
        <w:rPr>
          <w:lang w:eastAsia="en-AU"/>
        </w:rPr>
        <w:t>Humira</w:t>
      </w:r>
      <w:proofErr w:type="spellEnd"/>
      <w:r>
        <w:rPr>
          <w:lang w:eastAsia="en-AU"/>
        </w:rPr>
        <w:t xml:space="preserve"> </w:t>
      </w:r>
      <w:proofErr w:type="spellStart"/>
      <w:r>
        <w:rPr>
          <w:lang w:eastAsia="en-AU"/>
        </w:rPr>
        <w:t>SpA</w:t>
      </w:r>
      <w:proofErr w:type="spellEnd"/>
      <w:r>
        <w:rPr>
          <w:lang w:eastAsia="en-AU"/>
        </w:rPr>
        <w:t xml:space="preserve"> Label support.</w:t>
      </w:r>
    </w:p>
    <w:p w:rsidR="00C524FD" w:rsidRPr="00C524FD" w:rsidRDefault="00C524FD" w:rsidP="00423590">
      <w:pPr>
        <w:rPr>
          <w:lang w:eastAsia="en-AU"/>
        </w:rPr>
      </w:pPr>
      <w:r w:rsidRPr="00C524FD">
        <w:rPr>
          <w:lang w:eastAsia="en-AU"/>
        </w:rPr>
        <w:t>The clinical evaluator recommended approval in the evaluation report for the indication as requested by the sponsor with no changes requested for the PI.</w:t>
      </w:r>
    </w:p>
    <w:p w:rsidR="00C524FD" w:rsidRPr="00C524FD" w:rsidRDefault="00C524FD" w:rsidP="00423590">
      <w:pPr>
        <w:rPr>
          <w:lang w:eastAsia="en-AU"/>
        </w:rPr>
      </w:pPr>
      <w:r w:rsidRPr="00C524FD">
        <w:rPr>
          <w:lang w:eastAsia="en-AU"/>
        </w:rPr>
        <w:t>The benefits noted by the evaluator included:</w:t>
      </w:r>
    </w:p>
    <w:p w:rsidR="00C524FD" w:rsidRPr="00C524FD" w:rsidRDefault="00C524FD" w:rsidP="00423590">
      <w:pPr>
        <w:pStyle w:val="ListBullet"/>
        <w:rPr>
          <w:lang w:eastAsia="en-AU"/>
        </w:rPr>
      </w:pPr>
      <w:r w:rsidRPr="00C524FD">
        <w:rPr>
          <w:lang w:eastAsia="en-AU"/>
        </w:rPr>
        <w:t xml:space="preserve">Clinically and statistically significant efficacy </w:t>
      </w:r>
      <w:r w:rsidRPr="00423590">
        <w:t>over</w:t>
      </w:r>
      <w:r w:rsidRPr="00C524FD">
        <w:rPr>
          <w:lang w:eastAsia="en-AU"/>
        </w:rPr>
        <w:t xml:space="preserve"> a 12 week period compared to placebo</w:t>
      </w:r>
      <w:r w:rsidR="003B4C28">
        <w:rPr>
          <w:lang w:eastAsia="en-AU"/>
        </w:rPr>
        <w:t>.</w:t>
      </w:r>
    </w:p>
    <w:p w:rsidR="00C524FD" w:rsidRPr="00C524FD" w:rsidRDefault="00C524FD" w:rsidP="00423590">
      <w:pPr>
        <w:pStyle w:val="ListBullet"/>
        <w:rPr>
          <w:lang w:eastAsia="en-AU"/>
        </w:rPr>
      </w:pPr>
      <w:r w:rsidRPr="00C524FD">
        <w:rPr>
          <w:lang w:eastAsia="en-AU"/>
        </w:rPr>
        <w:t>Maintenance of efficacy in an open label follow</w:t>
      </w:r>
      <w:r w:rsidR="003B4C28">
        <w:rPr>
          <w:lang w:eastAsia="en-AU"/>
        </w:rPr>
        <w:t>-</w:t>
      </w:r>
      <w:r w:rsidRPr="00423590">
        <w:t>up</w:t>
      </w:r>
      <w:r w:rsidR="003B4C28">
        <w:rPr>
          <w:lang w:eastAsia="en-AU"/>
        </w:rPr>
        <w:t>.</w:t>
      </w:r>
    </w:p>
    <w:p w:rsidR="00C524FD" w:rsidRPr="00C524FD" w:rsidRDefault="00C524FD" w:rsidP="00423590">
      <w:pPr>
        <w:pStyle w:val="ListBullet"/>
        <w:rPr>
          <w:lang w:eastAsia="en-AU"/>
        </w:rPr>
      </w:pPr>
      <w:r w:rsidRPr="00C524FD">
        <w:rPr>
          <w:lang w:eastAsia="en-AU"/>
        </w:rPr>
        <w:t>Response was greater in those with elevated CRP at baseline and shorter duration of symptoms</w:t>
      </w:r>
      <w:r w:rsidR="003B4C28">
        <w:rPr>
          <w:lang w:eastAsia="en-AU"/>
        </w:rPr>
        <w:t>.</w:t>
      </w:r>
    </w:p>
    <w:p w:rsidR="00C524FD" w:rsidRPr="00C524FD" w:rsidRDefault="00C524FD" w:rsidP="00423590">
      <w:pPr>
        <w:pStyle w:val="ListBullet"/>
        <w:rPr>
          <w:lang w:eastAsia="en-AU"/>
        </w:rPr>
      </w:pPr>
      <w:r w:rsidRPr="00C524FD">
        <w:rPr>
          <w:lang w:eastAsia="en-AU"/>
        </w:rPr>
        <w:t xml:space="preserve">Safety profile was consistent with previously </w:t>
      </w:r>
      <w:r w:rsidRPr="00423590">
        <w:t>reported</w:t>
      </w:r>
      <w:r w:rsidRPr="00C524FD">
        <w:rPr>
          <w:lang w:eastAsia="en-AU"/>
        </w:rPr>
        <w:t xml:space="preserve"> studies and no new safety concerns</w:t>
      </w:r>
      <w:r w:rsidR="003B4C28">
        <w:rPr>
          <w:lang w:eastAsia="en-AU"/>
        </w:rPr>
        <w:t>.</w:t>
      </w:r>
    </w:p>
    <w:p w:rsidR="00C524FD" w:rsidRPr="00C524FD" w:rsidRDefault="00C524FD" w:rsidP="00423590">
      <w:pPr>
        <w:rPr>
          <w:lang w:eastAsia="en-AU"/>
        </w:rPr>
      </w:pPr>
      <w:r w:rsidRPr="00C524FD">
        <w:rPr>
          <w:lang w:eastAsia="en-AU"/>
        </w:rPr>
        <w:t>The concerns or issues noted by the evaluator included:</w:t>
      </w:r>
    </w:p>
    <w:p w:rsidR="00C524FD" w:rsidRPr="00C524FD" w:rsidRDefault="00C524FD" w:rsidP="00423590">
      <w:pPr>
        <w:pStyle w:val="ListBullet"/>
        <w:rPr>
          <w:lang w:eastAsia="en-AU"/>
        </w:rPr>
      </w:pPr>
      <w:r w:rsidRPr="00C524FD">
        <w:rPr>
          <w:lang w:eastAsia="en-AU"/>
        </w:rPr>
        <w:t xml:space="preserve">Few elderly subjects were included in the </w:t>
      </w:r>
      <w:r w:rsidRPr="00423590">
        <w:t>pivotal</w:t>
      </w:r>
      <w:r w:rsidRPr="00C524FD">
        <w:rPr>
          <w:lang w:eastAsia="en-AU"/>
        </w:rPr>
        <w:t xml:space="preserve"> trial (only two over 65 years)</w:t>
      </w:r>
      <w:r w:rsidR="00423590">
        <w:rPr>
          <w:lang w:eastAsia="en-AU"/>
        </w:rPr>
        <w:t>.</w:t>
      </w:r>
    </w:p>
    <w:p w:rsidR="00C524FD" w:rsidRPr="00C524FD" w:rsidRDefault="00C524FD" w:rsidP="00423590">
      <w:pPr>
        <w:pStyle w:val="ListBullet"/>
        <w:rPr>
          <w:lang w:eastAsia="en-AU"/>
        </w:rPr>
      </w:pPr>
      <w:r w:rsidRPr="00C524FD">
        <w:rPr>
          <w:lang w:eastAsia="en-AU"/>
        </w:rPr>
        <w:t xml:space="preserve">No analyses of drug-drug or drug-disease </w:t>
      </w:r>
      <w:r w:rsidRPr="00423590">
        <w:t>interactions</w:t>
      </w:r>
      <w:r w:rsidRPr="00C524FD">
        <w:rPr>
          <w:lang w:eastAsia="en-AU"/>
        </w:rPr>
        <w:t xml:space="preserve"> and relationship to response.</w:t>
      </w:r>
    </w:p>
    <w:p w:rsidR="00C524FD" w:rsidRPr="00C524FD" w:rsidRDefault="00C524FD" w:rsidP="00423590">
      <w:pPr>
        <w:pStyle w:val="ListBullet"/>
        <w:rPr>
          <w:lang w:eastAsia="en-AU"/>
        </w:rPr>
      </w:pPr>
      <w:r w:rsidRPr="00C524FD">
        <w:rPr>
          <w:lang w:eastAsia="en-AU"/>
        </w:rPr>
        <w:t>No efficacy data beyond 68 weeks</w:t>
      </w:r>
      <w:r w:rsidR="00423590">
        <w:rPr>
          <w:lang w:eastAsia="en-AU"/>
        </w:rPr>
        <w:t>.</w:t>
      </w:r>
    </w:p>
    <w:p w:rsidR="00C524FD" w:rsidRPr="00C524FD" w:rsidRDefault="00C524FD" w:rsidP="00423590">
      <w:pPr>
        <w:pStyle w:val="ListBullet"/>
        <w:rPr>
          <w:lang w:eastAsia="en-AU"/>
        </w:rPr>
      </w:pPr>
      <w:r w:rsidRPr="00C524FD">
        <w:rPr>
          <w:lang w:eastAsia="en-AU"/>
        </w:rPr>
        <w:t xml:space="preserve">Safety data is limited but the indication is </w:t>
      </w:r>
      <w:r w:rsidRPr="00423590">
        <w:t>similar</w:t>
      </w:r>
      <w:r w:rsidRPr="00C524FD">
        <w:rPr>
          <w:lang w:eastAsia="en-AU"/>
        </w:rPr>
        <w:t xml:space="preserve"> to AS with a safety profile expected to be similar to other approved indications</w:t>
      </w:r>
      <w:r w:rsidR="00423590">
        <w:rPr>
          <w:lang w:eastAsia="en-AU"/>
        </w:rPr>
        <w:t>.</w:t>
      </w:r>
    </w:p>
    <w:p w:rsidR="00C524FD" w:rsidRPr="00423590" w:rsidRDefault="00C524FD" w:rsidP="00423590">
      <w:pPr>
        <w:pStyle w:val="Heading4"/>
      </w:pPr>
      <w:r w:rsidRPr="00C524FD">
        <w:rPr>
          <w:lang w:eastAsia="en-AU"/>
        </w:rPr>
        <w:t>Pharmacology:</w:t>
      </w:r>
    </w:p>
    <w:p w:rsidR="00C524FD" w:rsidRPr="00C524FD" w:rsidRDefault="00C524FD" w:rsidP="00423590">
      <w:pPr>
        <w:rPr>
          <w:lang w:eastAsia="en-AU"/>
        </w:rPr>
      </w:pPr>
      <w:r w:rsidRPr="00C524FD">
        <w:rPr>
          <w:lang w:eastAsia="en-AU"/>
        </w:rPr>
        <w:t>No clinical pharmacology studies were submitted</w:t>
      </w:r>
      <w:r w:rsidR="00423590">
        <w:rPr>
          <w:lang w:eastAsia="en-AU"/>
        </w:rPr>
        <w:t>.</w:t>
      </w:r>
    </w:p>
    <w:p w:rsidR="003B4C28" w:rsidRPr="00BC6286" w:rsidRDefault="00C524FD" w:rsidP="00BC6286">
      <w:pPr>
        <w:pStyle w:val="Heading4"/>
      </w:pPr>
      <w:r w:rsidRPr="00C524FD">
        <w:rPr>
          <w:lang w:eastAsia="en-AU"/>
        </w:rPr>
        <w:t>Efficacy</w:t>
      </w:r>
      <w:bookmarkStart w:id="171" w:name="OLE_LINK3"/>
      <w:bookmarkStart w:id="172" w:name="OLE_LINK4"/>
    </w:p>
    <w:p w:rsidR="003B4C28" w:rsidRPr="00BC6286" w:rsidRDefault="00BC6286" w:rsidP="00BC6286">
      <w:pPr>
        <w:pStyle w:val="Heading5"/>
        <w:rPr>
          <w:rStyle w:val="Heading5Char"/>
          <w:rFonts w:eastAsia="Cambria"/>
          <w:b/>
          <w:bCs/>
          <w:i/>
        </w:rPr>
      </w:pPr>
      <w:r w:rsidRPr="00BC6286">
        <w:rPr>
          <w:rStyle w:val="Heading5Char"/>
          <w:rFonts w:eastAsia="Cambria"/>
          <w:b/>
          <w:bCs/>
          <w:i/>
        </w:rPr>
        <w:t>Study M10-791</w:t>
      </w:r>
    </w:p>
    <w:p w:rsidR="00C524FD" w:rsidRPr="00C524FD" w:rsidRDefault="00C524FD" w:rsidP="00BC6286">
      <w:pPr>
        <w:rPr>
          <w:lang w:eastAsia="en-AU"/>
        </w:rPr>
      </w:pPr>
      <w:r w:rsidRPr="00C524FD">
        <w:rPr>
          <w:lang w:eastAsia="en-AU"/>
        </w:rPr>
        <w:t>This was a multicentre, multinational, randomised, double blind, placebo controlled, parallel group study of 4</w:t>
      </w:r>
      <w:r w:rsidR="003B4C28">
        <w:rPr>
          <w:lang w:eastAsia="en-AU"/>
        </w:rPr>
        <w:t>0 mg</w:t>
      </w:r>
      <w:r w:rsidRPr="00C524FD">
        <w:rPr>
          <w:lang w:eastAsia="en-AU"/>
        </w:rPr>
        <w:t xml:space="preserve"> adalimumab fortnightly compared with placebo, self administered subcutaneously for 12 weeks with an open label extension of 144 weeks (data to 68 weeks total has been provided) with 185 patients on 4</w:t>
      </w:r>
      <w:r w:rsidR="003B4C28">
        <w:rPr>
          <w:lang w:eastAsia="en-AU"/>
        </w:rPr>
        <w:t>0 mg</w:t>
      </w:r>
      <w:r w:rsidRPr="00C524FD">
        <w:rPr>
          <w:lang w:eastAsia="en-AU"/>
        </w:rPr>
        <w:t xml:space="preserve"> adalimumab (142 completed to week 68, 55% female, age 19-72 but only 2 subjects &gt;65 years, mean 78kg).</w:t>
      </w:r>
      <w:r w:rsidR="002A29B3">
        <w:rPr>
          <w:lang w:eastAsia="en-AU"/>
        </w:rPr>
        <w:t xml:space="preserve"> </w:t>
      </w:r>
      <w:r w:rsidRPr="00C524FD">
        <w:rPr>
          <w:lang w:eastAsia="en-AU"/>
        </w:rPr>
        <w:t xml:space="preserve">Patients were </w:t>
      </w:r>
      <w:r w:rsidR="003B4C28">
        <w:rPr>
          <w:lang w:eastAsia="en-AU"/>
        </w:rPr>
        <w:t>≥</w:t>
      </w:r>
      <w:r w:rsidRPr="00C524FD">
        <w:rPr>
          <w:lang w:eastAsia="en-AU"/>
        </w:rPr>
        <w:t xml:space="preserve">18 years, had active axial </w:t>
      </w:r>
      <w:proofErr w:type="spellStart"/>
      <w:r w:rsidRPr="00C524FD">
        <w:rPr>
          <w:lang w:eastAsia="en-AU"/>
        </w:rPr>
        <w:t>spondyloarthritis</w:t>
      </w:r>
      <w:proofErr w:type="spellEnd"/>
      <w:r w:rsidRPr="00C524FD">
        <w:rPr>
          <w:lang w:eastAsia="en-AU"/>
        </w:rPr>
        <w:t xml:space="preserve"> not fulfilling the modified New York criteria for AS, an inadequate response to, intolerance to or a contraindication to NSAIDs, back pain of at least 3 months, MRI evidence of active inflammatory lesions of </w:t>
      </w:r>
      <w:r w:rsidR="00386A50">
        <w:rPr>
          <w:lang w:eastAsia="en-AU"/>
        </w:rPr>
        <w:t>the sacroiliac</w:t>
      </w:r>
      <w:r w:rsidR="00386A50" w:rsidRPr="00C524FD">
        <w:rPr>
          <w:lang w:eastAsia="en-AU"/>
        </w:rPr>
        <w:t xml:space="preserve"> </w:t>
      </w:r>
      <w:r w:rsidRPr="00C524FD">
        <w:rPr>
          <w:lang w:eastAsia="en-AU"/>
        </w:rPr>
        <w:t>joints or positive HLA-B27 plus some clinical criteria.</w:t>
      </w:r>
      <w:r w:rsidR="002A29B3">
        <w:rPr>
          <w:lang w:eastAsia="en-AU"/>
        </w:rPr>
        <w:t xml:space="preserve"> </w:t>
      </w:r>
      <w:r w:rsidRPr="00C524FD">
        <w:rPr>
          <w:lang w:eastAsia="en-AU"/>
        </w:rPr>
        <w:t>Patients were excluded if they had AS, psoriasis or psoriatic arthritis, not on a stable DMARD or corticosteroid dose, unstable extra-articular manifestations or recent spinal surgery.</w:t>
      </w:r>
      <w:r w:rsidR="002A29B3">
        <w:rPr>
          <w:lang w:eastAsia="en-AU"/>
        </w:rPr>
        <w:t xml:space="preserve"> </w:t>
      </w:r>
      <w:r w:rsidRPr="00C524FD">
        <w:rPr>
          <w:lang w:eastAsia="en-AU"/>
        </w:rPr>
        <w:t>Subjects could continue on their stable doses of DMARDs, prednisone, analgesics (except opioids but including tramadol) and/or NSAIDs.</w:t>
      </w:r>
      <w:r w:rsidR="002A29B3">
        <w:rPr>
          <w:lang w:eastAsia="en-AU"/>
        </w:rPr>
        <w:t xml:space="preserve"> </w:t>
      </w:r>
      <w:r w:rsidRPr="00C524FD">
        <w:rPr>
          <w:lang w:eastAsia="en-AU"/>
        </w:rPr>
        <w:t xml:space="preserve">Treatment groups were similar at baseline including disease duration, axial </w:t>
      </w:r>
      <w:proofErr w:type="spellStart"/>
      <w:r w:rsidRPr="00C524FD">
        <w:rPr>
          <w:lang w:eastAsia="en-AU"/>
        </w:rPr>
        <w:t>SpA</w:t>
      </w:r>
      <w:proofErr w:type="spellEnd"/>
      <w:r w:rsidRPr="00C524FD">
        <w:rPr>
          <w:lang w:eastAsia="en-AU"/>
        </w:rPr>
        <w:t xml:space="preserve"> related conditions, prior and concomitant treatments (mean 2.9</w:t>
      </w:r>
      <w:r w:rsidR="003B4C28">
        <w:rPr>
          <w:lang w:eastAsia="en-AU"/>
        </w:rPr>
        <w:t xml:space="preserve"> </w:t>
      </w:r>
      <w:r w:rsidRPr="00C524FD">
        <w:rPr>
          <w:lang w:eastAsia="en-AU"/>
        </w:rPr>
        <w:t>y</w:t>
      </w:r>
      <w:r w:rsidR="003B4C28">
        <w:rPr>
          <w:lang w:eastAsia="en-AU"/>
        </w:rPr>
        <w:t>ea</w:t>
      </w:r>
      <w:r w:rsidRPr="00C524FD">
        <w:rPr>
          <w:lang w:eastAsia="en-AU"/>
        </w:rPr>
        <w:t xml:space="preserve">rs </w:t>
      </w:r>
      <w:r w:rsidRPr="00C524FD">
        <w:rPr>
          <w:lang w:eastAsia="en-AU"/>
        </w:rPr>
        <w:lastRenderedPageBreak/>
        <w:t xml:space="preserve">of </w:t>
      </w:r>
      <w:proofErr w:type="spellStart"/>
      <w:r w:rsidRPr="00C524FD">
        <w:rPr>
          <w:lang w:eastAsia="en-AU"/>
        </w:rPr>
        <w:t>SpA</w:t>
      </w:r>
      <w:proofErr w:type="spellEnd"/>
      <w:r w:rsidRPr="00C524FD">
        <w:rPr>
          <w:lang w:eastAsia="en-AU"/>
        </w:rPr>
        <w:t xml:space="preserve"> diagnosis, mean 10</w:t>
      </w:r>
      <w:r w:rsidR="003B4C28">
        <w:rPr>
          <w:lang w:eastAsia="en-AU"/>
        </w:rPr>
        <w:t xml:space="preserve"> </w:t>
      </w:r>
      <w:r w:rsidRPr="00C524FD">
        <w:rPr>
          <w:lang w:eastAsia="en-AU"/>
        </w:rPr>
        <w:t>y</w:t>
      </w:r>
      <w:r w:rsidR="003B4C28">
        <w:rPr>
          <w:lang w:eastAsia="en-AU"/>
        </w:rPr>
        <w:t>ea</w:t>
      </w:r>
      <w:r w:rsidRPr="00C524FD">
        <w:rPr>
          <w:lang w:eastAsia="en-AU"/>
        </w:rPr>
        <w:t xml:space="preserve">rs of </w:t>
      </w:r>
      <w:proofErr w:type="spellStart"/>
      <w:r w:rsidRPr="00C524FD">
        <w:rPr>
          <w:lang w:eastAsia="en-AU"/>
        </w:rPr>
        <w:t>SpA</w:t>
      </w:r>
      <w:proofErr w:type="spellEnd"/>
      <w:r w:rsidRPr="00C524FD">
        <w:rPr>
          <w:lang w:eastAsia="en-AU"/>
        </w:rPr>
        <w:t xml:space="preserve"> symptoms, 48% active inflammatory lesions on MRI of </w:t>
      </w:r>
      <w:r w:rsidR="00386A50">
        <w:rPr>
          <w:lang w:eastAsia="en-AU"/>
        </w:rPr>
        <w:t>the sacroiliac</w:t>
      </w:r>
      <w:r w:rsidR="00386A50" w:rsidRPr="00C524FD">
        <w:rPr>
          <w:lang w:eastAsia="en-AU"/>
        </w:rPr>
        <w:t xml:space="preserve"> </w:t>
      </w:r>
      <w:r w:rsidRPr="00C524FD">
        <w:rPr>
          <w:lang w:eastAsia="en-AU"/>
        </w:rPr>
        <w:t>joint, 78% HLA-B27 positive, 97% inflammatory back pain, 39% elevated CRP, 35% prior DMARD use, 97% prior NSAID use) but there were slightly more patients who were HLA-B27 positive (82% v</w:t>
      </w:r>
      <w:r w:rsidR="003B4C28">
        <w:rPr>
          <w:lang w:eastAsia="en-AU"/>
        </w:rPr>
        <w:t>ersu</w:t>
      </w:r>
      <w:r w:rsidRPr="00C524FD">
        <w:rPr>
          <w:lang w:eastAsia="en-AU"/>
        </w:rPr>
        <w:t xml:space="preserve">s 73%) and MRI of the </w:t>
      </w:r>
      <w:r w:rsidR="00386A50">
        <w:rPr>
          <w:lang w:eastAsia="en-AU"/>
        </w:rPr>
        <w:t>sacroiliac</w:t>
      </w:r>
      <w:r w:rsidR="00386A50" w:rsidRPr="00C524FD">
        <w:rPr>
          <w:lang w:eastAsia="en-AU"/>
        </w:rPr>
        <w:t xml:space="preserve"> </w:t>
      </w:r>
      <w:r w:rsidRPr="00C524FD">
        <w:rPr>
          <w:lang w:eastAsia="en-AU"/>
        </w:rPr>
        <w:t>joint positive (51% v</w:t>
      </w:r>
      <w:r w:rsidR="003B4C28">
        <w:rPr>
          <w:lang w:eastAsia="en-AU"/>
        </w:rPr>
        <w:t>ersus</w:t>
      </w:r>
      <w:r w:rsidRPr="00C524FD">
        <w:rPr>
          <w:lang w:eastAsia="en-AU"/>
        </w:rPr>
        <w:t xml:space="preserve"> 46%) on adalimumab compared to placebo.</w:t>
      </w:r>
      <w:r w:rsidR="002A29B3">
        <w:rPr>
          <w:lang w:eastAsia="en-AU"/>
        </w:rPr>
        <w:t xml:space="preserve"> </w:t>
      </w:r>
      <w:r w:rsidRPr="00C524FD">
        <w:rPr>
          <w:lang w:eastAsia="en-AU"/>
        </w:rPr>
        <w:t xml:space="preserve">97% completed to </w:t>
      </w:r>
      <w:r w:rsidR="003B4C28">
        <w:rPr>
          <w:lang w:eastAsia="en-AU"/>
        </w:rPr>
        <w:t>W</w:t>
      </w:r>
      <w:r w:rsidRPr="00C524FD">
        <w:rPr>
          <w:lang w:eastAsia="en-AU"/>
        </w:rPr>
        <w:t xml:space="preserve">eek 12 and 79% completed to </w:t>
      </w:r>
      <w:r w:rsidR="003B4C28">
        <w:rPr>
          <w:lang w:eastAsia="en-AU"/>
        </w:rPr>
        <w:t>W</w:t>
      </w:r>
      <w:r w:rsidRPr="00C524FD">
        <w:rPr>
          <w:lang w:eastAsia="en-AU"/>
        </w:rPr>
        <w:t xml:space="preserve">eek 68 with the main reasons for discontinuations being adverse event, consent withdrawal and </w:t>
      </w:r>
      <w:r w:rsidR="003B4C28">
        <w:rPr>
          <w:lang w:eastAsia="en-AU"/>
        </w:rPr>
        <w:t>O</w:t>
      </w:r>
      <w:r w:rsidRPr="00C524FD">
        <w:rPr>
          <w:lang w:eastAsia="en-AU"/>
        </w:rPr>
        <w:t>ther.</w:t>
      </w:r>
      <w:r w:rsidR="002A29B3">
        <w:rPr>
          <w:lang w:eastAsia="en-AU"/>
        </w:rPr>
        <w:t xml:space="preserve"> </w:t>
      </w:r>
      <w:r w:rsidR="003B4C28">
        <w:rPr>
          <w:lang w:eastAsia="en-AU"/>
        </w:rPr>
        <w:t>Some 11</w:t>
      </w:r>
      <w:r w:rsidRPr="00C524FD">
        <w:rPr>
          <w:lang w:eastAsia="en-AU"/>
        </w:rPr>
        <w:t>% of subjects had protocol deviations.</w:t>
      </w:r>
      <w:r w:rsidR="002A29B3">
        <w:rPr>
          <w:lang w:eastAsia="en-AU"/>
        </w:rPr>
        <w:t xml:space="preserve"> </w:t>
      </w:r>
      <w:r w:rsidRPr="00C524FD">
        <w:rPr>
          <w:lang w:eastAsia="en-AU"/>
        </w:rPr>
        <w:t>The study had 90% power to detect a difference in the primary endpoint.</w:t>
      </w:r>
    </w:p>
    <w:p w:rsidR="00C524FD" w:rsidRPr="00C524FD" w:rsidRDefault="00C524FD" w:rsidP="00BC6286">
      <w:pPr>
        <w:rPr>
          <w:lang w:eastAsia="en-AU"/>
        </w:rPr>
      </w:pPr>
      <w:r w:rsidRPr="00C524FD">
        <w:rPr>
          <w:lang w:eastAsia="en-AU"/>
        </w:rPr>
        <w:t xml:space="preserve">The primary efficacy endpoint of ASAS40 response at </w:t>
      </w:r>
      <w:r w:rsidR="003B4C28">
        <w:rPr>
          <w:lang w:eastAsia="en-AU"/>
        </w:rPr>
        <w:t>W</w:t>
      </w:r>
      <w:r w:rsidRPr="00C524FD">
        <w:rPr>
          <w:lang w:eastAsia="en-AU"/>
        </w:rPr>
        <w:t xml:space="preserve">eek 12 using the final analysis set (improvement of </w:t>
      </w:r>
      <w:r w:rsidR="003B4C28">
        <w:rPr>
          <w:lang w:eastAsia="en-AU"/>
        </w:rPr>
        <w:t>≥</w:t>
      </w:r>
      <w:r w:rsidRPr="00C524FD">
        <w:rPr>
          <w:lang w:eastAsia="en-AU"/>
        </w:rPr>
        <w:t>40% and absolute improvement of</w:t>
      </w:r>
      <w:r w:rsidR="003B4C28">
        <w:rPr>
          <w:lang w:eastAsia="en-AU"/>
        </w:rPr>
        <w:t xml:space="preserve"> ≥</w:t>
      </w:r>
      <w:r w:rsidRPr="00C524FD">
        <w:rPr>
          <w:lang w:eastAsia="en-AU"/>
        </w:rPr>
        <w:t xml:space="preserve">20 units (scale 0-100) from baseline in </w:t>
      </w:r>
      <w:r w:rsidR="003B4C28">
        <w:rPr>
          <w:lang w:eastAsia="en-AU"/>
        </w:rPr>
        <w:t>≥</w:t>
      </w:r>
      <w:r w:rsidRPr="00C524FD">
        <w:rPr>
          <w:lang w:eastAsia="en-AU"/>
        </w:rPr>
        <w:t>3 of 4 domains of patient global assessment (VAS score 0-100), total back pain (VAS score 0-100), function (BASFI score 0-100) and inflammation (average of two morning stiffness related BASDAI VAS scores) with no deterioration in the remaining domain) showed superiority of adalimumab compared to placebo of 36.3% v</w:t>
      </w:r>
      <w:r w:rsidR="003B4C28">
        <w:rPr>
          <w:lang w:eastAsia="en-AU"/>
        </w:rPr>
        <w:t>ersus</w:t>
      </w:r>
      <w:r w:rsidRPr="00C524FD">
        <w:rPr>
          <w:lang w:eastAsia="en-AU"/>
        </w:rPr>
        <w:t xml:space="preserve"> 14.9%, p&lt;0.001 (ITT 34.7% v</w:t>
      </w:r>
      <w:r w:rsidR="003B4C28">
        <w:rPr>
          <w:lang w:eastAsia="en-AU"/>
        </w:rPr>
        <w:t>ersus</w:t>
      </w:r>
      <w:r w:rsidRPr="00C524FD">
        <w:rPr>
          <w:lang w:eastAsia="en-AU"/>
        </w:rPr>
        <w:t xml:space="preserve"> 14.4%, p&lt;0.001).</w:t>
      </w:r>
      <w:r w:rsidR="002A29B3">
        <w:rPr>
          <w:lang w:eastAsia="en-AU"/>
        </w:rPr>
        <w:t xml:space="preserve"> </w:t>
      </w:r>
      <w:r w:rsidRPr="00C524FD">
        <w:rPr>
          <w:lang w:eastAsia="en-AU"/>
        </w:rPr>
        <w:t xml:space="preserve">ASAS40 response appeared to be maintained to </w:t>
      </w:r>
      <w:r w:rsidR="003B4C28">
        <w:rPr>
          <w:lang w:eastAsia="en-AU"/>
        </w:rPr>
        <w:t>W</w:t>
      </w:r>
      <w:r w:rsidRPr="00C524FD">
        <w:rPr>
          <w:lang w:eastAsia="en-AU"/>
        </w:rPr>
        <w:t xml:space="preserve">eek 24 (52%) and </w:t>
      </w:r>
      <w:r w:rsidR="003B4C28">
        <w:rPr>
          <w:lang w:eastAsia="en-AU"/>
        </w:rPr>
        <w:t>W</w:t>
      </w:r>
      <w:r w:rsidRPr="00C524FD">
        <w:rPr>
          <w:lang w:eastAsia="en-AU"/>
        </w:rPr>
        <w:t>eek 68 (67%).</w:t>
      </w:r>
    </w:p>
    <w:p w:rsidR="00C524FD" w:rsidRPr="00C524FD" w:rsidRDefault="00C524FD" w:rsidP="00BC6286">
      <w:pPr>
        <w:rPr>
          <w:lang w:eastAsia="en-AU"/>
        </w:rPr>
      </w:pPr>
      <w:r w:rsidRPr="00C524FD">
        <w:rPr>
          <w:lang w:eastAsia="en-AU"/>
        </w:rPr>
        <w:t>The subgroup analysis showed some patients had greater ASAS40 responses on adalimumab if they were males</w:t>
      </w:r>
      <w:r w:rsidR="00C22F3B">
        <w:rPr>
          <w:lang w:eastAsia="en-AU"/>
        </w:rPr>
        <w:t xml:space="preserve"> versus </w:t>
      </w:r>
      <w:r w:rsidRPr="00C524FD">
        <w:rPr>
          <w:lang w:eastAsia="en-AU"/>
        </w:rPr>
        <w:t>females (52%</w:t>
      </w:r>
      <w:r w:rsidR="00C22F3B">
        <w:rPr>
          <w:lang w:eastAsia="en-AU"/>
        </w:rPr>
        <w:t xml:space="preserve"> versus </w:t>
      </w:r>
      <w:r w:rsidRPr="00C524FD">
        <w:rPr>
          <w:lang w:eastAsia="en-AU"/>
        </w:rPr>
        <w:t>21%), age &lt;40</w:t>
      </w:r>
      <w:r w:rsidR="00C22F3B">
        <w:rPr>
          <w:lang w:eastAsia="en-AU"/>
        </w:rPr>
        <w:t xml:space="preserve"> </w:t>
      </w:r>
      <w:r w:rsidRPr="00C524FD">
        <w:rPr>
          <w:lang w:eastAsia="en-AU"/>
        </w:rPr>
        <w:t>y</w:t>
      </w:r>
      <w:r w:rsidR="00C22F3B">
        <w:rPr>
          <w:lang w:eastAsia="en-AU"/>
        </w:rPr>
        <w:t>ea</w:t>
      </w:r>
      <w:r w:rsidRPr="00C524FD">
        <w:rPr>
          <w:lang w:eastAsia="en-AU"/>
        </w:rPr>
        <w:t>rs</w:t>
      </w:r>
      <w:r w:rsidR="00C22F3B">
        <w:rPr>
          <w:lang w:eastAsia="en-AU"/>
        </w:rPr>
        <w:t xml:space="preserve"> versus </w:t>
      </w:r>
      <w:r w:rsidRPr="00C524FD">
        <w:rPr>
          <w:lang w:eastAsia="en-AU"/>
        </w:rPr>
        <w:t>&gt;40</w:t>
      </w:r>
      <w:r w:rsidR="00C22F3B">
        <w:rPr>
          <w:lang w:eastAsia="en-AU"/>
        </w:rPr>
        <w:t xml:space="preserve"> </w:t>
      </w:r>
      <w:r w:rsidRPr="00C524FD">
        <w:rPr>
          <w:lang w:eastAsia="en-AU"/>
        </w:rPr>
        <w:t>y</w:t>
      </w:r>
      <w:r w:rsidR="00C22F3B">
        <w:rPr>
          <w:lang w:eastAsia="en-AU"/>
        </w:rPr>
        <w:t>ea</w:t>
      </w:r>
      <w:r w:rsidRPr="00C524FD">
        <w:rPr>
          <w:lang w:eastAsia="en-AU"/>
        </w:rPr>
        <w:t>rs (46%</w:t>
      </w:r>
      <w:r w:rsidR="00C22F3B">
        <w:rPr>
          <w:lang w:eastAsia="en-AU"/>
        </w:rPr>
        <w:t xml:space="preserve"> versus </w:t>
      </w:r>
      <w:r w:rsidRPr="00C524FD">
        <w:rPr>
          <w:lang w:eastAsia="en-AU"/>
        </w:rPr>
        <w:t>21%), abnormal pooled CRP at baseline</w:t>
      </w:r>
      <w:r w:rsidR="00C22F3B">
        <w:rPr>
          <w:lang w:eastAsia="en-AU"/>
        </w:rPr>
        <w:t xml:space="preserve"> versus </w:t>
      </w:r>
      <w:r w:rsidRPr="00C524FD">
        <w:rPr>
          <w:lang w:eastAsia="en-AU"/>
        </w:rPr>
        <w:t>normal at baseline (55%</w:t>
      </w:r>
      <w:r w:rsidR="00C22F3B">
        <w:rPr>
          <w:lang w:eastAsia="en-AU"/>
        </w:rPr>
        <w:t xml:space="preserve"> versus </w:t>
      </w:r>
      <w:r w:rsidRPr="00C524FD">
        <w:rPr>
          <w:lang w:eastAsia="en-AU"/>
        </w:rPr>
        <w:t>27%), HLA-B27 positive</w:t>
      </w:r>
      <w:r w:rsidR="00C22F3B">
        <w:rPr>
          <w:lang w:eastAsia="en-AU"/>
        </w:rPr>
        <w:t xml:space="preserve"> versus </w:t>
      </w:r>
      <w:r w:rsidRPr="00C524FD">
        <w:rPr>
          <w:lang w:eastAsia="en-AU"/>
        </w:rPr>
        <w:t>negative (40%</w:t>
      </w:r>
      <w:r w:rsidR="00C22F3B">
        <w:rPr>
          <w:lang w:eastAsia="en-AU"/>
        </w:rPr>
        <w:t xml:space="preserve"> versus </w:t>
      </w:r>
      <w:r w:rsidRPr="00C524FD">
        <w:rPr>
          <w:lang w:eastAsia="en-AU"/>
        </w:rPr>
        <w:t>19%), concomitant DMARD use at baseline</w:t>
      </w:r>
      <w:r w:rsidR="00C22F3B">
        <w:rPr>
          <w:lang w:eastAsia="en-AU"/>
        </w:rPr>
        <w:t xml:space="preserve"> versus </w:t>
      </w:r>
      <w:r w:rsidRPr="00C524FD">
        <w:rPr>
          <w:lang w:eastAsia="en-AU"/>
        </w:rPr>
        <w:t>none (47%</w:t>
      </w:r>
      <w:r w:rsidR="00C22F3B">
        <w:rPr>
          <w:lang w:eastAsia="en-AU"/>
        </w:rPr>
        <w:t xml:space="preserve"> versus </w:t>
      </w:r>
      <w:r w:rsidRPr="00C524FD">
        <w:rPr>
          <w:lang w:eastAsia="en-AU"/>
        </w:rPr>
        <w:t>34%), concomitant NSAID use at baseline</w:t>
      </w:r>
      <w:r w:rsidR="00C22F3B">
        <w:rPr>
          <w:lang w:eastAsia="en-AU"/>
        </w:rPr>
        <w:t xml:space="preserve"> versus </w:t>
      </w:r>
      <w:r w:rsidRPr="00C524FD">
        <w:rPr>
          <w:lang w:eastAsia="en-AU"/>
        </w:rPr>
        <w:t>none (39%</w:t>
      </w:r>
      <w:r w:rsidR="00C22F3B">
        <w:rPr>
          <w:lang w:eastAsia="en-AU"/>
        </w:rPr>
        <w:t xml:space="preserve"> versus </w:t>
      </w:r>
      <w:r w:rsidRPr="00C524FD">
        <w:rPr>
          <w:lang w:eastAsia="en-AU"/>
        </w:rPr>
        <w:t>26%) and &lt;5</w:t>
      </w:r>
      <w:r w:rsidR="00C22F3B">
        <w:rPr>
          <w:lang w:eastAsia="en-AU"/>
        </w:rPr>
        <w:t xml:space="preserve"> </w:t>
      </w:r>
      <w:r w:rsidRPr="00C524FD">
        <w:rPr>
          <w:lang w:eastAsia="en-AU"/>
        </w:rPr>
        <w:t>y</w:t>
      </w:r>
      <w:r w:rsidR="00C22F3B">
        <w:rPr>
          <w:lang w:eastAsia="en-AU"/>
        </w:rPr>
        <w:t>ea</w:t>
      </w:r>
      <w:r w:rsidRPr="00C524FD">
        <w:rPr>
          <w:lang w:eastAsia="en-AU"/>
        </w:rPr>
        <w:t>rs symptom duration</w:t>
      </w:r>
      <w:r w:rsidR="00C22F3B">
        <w:rPr>
          <w:lang w:eastAsia="en-AU"/>
        </w:rPr>
        <w:t xml:space="preserve"> versus ≥</w:t>
      </w:r>
      <w:r w:rsidRPr="00C524FD">
        <w:rPr>
          <w:lang w:eastAsia="en-AU"/>
        </w:rPr>
        <w:t>5</w:t>
      </w:r>
      <w:r w:rsidR="00C22F3B">
        <w:rPr>
          <w:lang w:eastAsia="en-AU"/>
        </w:rPr>
        <w:t xml:space="preserve"> </w:t>
      </w:r>
      <w:r w:rsidRPr="00C524FD">
        <w:rPr>
          <w:lang w:eastAsia="en-AU"/>
        </w:rPr>
        <w:t>y</w:t>
      </w:r>
      <w:r w:rsidR="00C22F3B">
        <w:rPr>
          <w:lang w:eastAsia="en-AU"/>
        </w:rPr>
        <w:t>ea</w:t>
      </w:r>
      <w:r w:rsidRPr="00C524FD">
        <w:rPr>
          <w:lang w:eastAsia="en-AU"/>
        </w:rPr>
        <w:t>rs (49%</w:t>
      </w:r>
      <w:r w:rsidR="00C22F3B">
        <w:rPr>
          <w:lang w:eastAsia="en-AU"/>
        </w:rPr>
        <w:t xml:space="preserve"> versus </w:t>
      </w:r>
      <w:r w:rsidRPr="00C524FD">
        <w:rPr>
          <w:lang w:eastAsia="en-AU"/>
        </w:rPr>
        <w:t>31%).</w:t>
      </w:r>
      <w:r w:rsidR="002A29B3">
        <w:rPr>
          <w:lang w:eastAsia="en-AU"/>
        </w:rPr>
        <w:t xml:space="preserve"> </w:t>
      </w:r>
      <w:r w:rsidRPr="00C524FD">
        <w:rPr>
          <w:lang w:eastAsia="en-AU"/>
        </w:rPr>
        <w:t xml:space="preserve">A history of </w:t>
      </w:r>
      <w:proofErr w:type="gramStart"/>
      <w:r w:rsidR="00C22F3B" w:rsidRPr="00C22F3B">
        <w:rPr>
          <w:lang w:eastAsia="en-AU"/>
        </w:rPr>
        <w:t>Inflammatory</w:t>
      </w:r>
      <w:proofErr w:type="gramEnd"/>
      <w:r w:rsidR="00C22F3B" w:rsidRPr="00C22F3B">
        <w:rPr>
          <w:lang w:eastAsia="en-AU"/>
        </w:rPr>
        <w:t xml:space="preserve"> bowel disease</w:t>
      </w:r>
      <w:r w:rsidR="00C22F3B">
        <w:rPr>
          <w:lang w:eastAsia="en-AU"/>
        </w:rPr>
        <w:t xml:space="preserve"> (</w:t>
      </w:r>
      <w:r w:rsidRPr="00C524FD">
        <w:rPr>
          <w:lang w:eastAsia="en-AU"/>
        </w:rPr>
        <w:t>IBD</w:t>
      </w:r>
      <w:r w:rsidR="00C22F3B">
        <w:rPr>
          <w:lang w:eastAsia="en-AU"/>
        </w:rPr>
        <w:t>)</w:t>
      </w:r>
      <w:r w:rsidRPr="00C524FD">
        <w:rPr>
          <w:lang w:eastAsia="en-AU"/>
        </w:rPr>
        <w:t xml:space="preserve"> or uveitis at screening also had greater ASAS40 responses but the number of subjects was too low.</w:t>
      </w:r>
      <w:r w:rsidR="002A29B3">
        <w:rPr>
          <w:lang w:eastAsia="en-AU"/>
        </w:rPr>
        <w:t xml:space="preserve"> </w:t>
      </w:r>
      <w:r w:rsidRPr="00C524FD">
        <w:rPr>
          <w:lang w:eastAsia="en-AU"/>
        </w:rPr>
        <w:t>Of these results, an abnormal baseline pooled CRP and &lt;5 y</w:t>
      </w:r>
      <w:r w:rsidR="00C22F3B">
        <w:rPr>
          <w:lang w:eastAsia="en-AU"/>
        </w:rPr>
        <w:t>ea</w:t>
      </w:r>
      <w:r w:rsidRPr="00C524FD">
        <w:rPr>
          <w:lang w:eastAsia="en-AU"/>
        </w:rPr>
        <w:t>rs symptom duration were significant findings with age&lt;40</w:t>
      </w:r>
      <w:r w:rsidR="00C22F3B">
        <w:rPr>
          <w:lang w:eastAsia="en-AU"/>
        </w:rPr>
        <w:t xml:space="preserve"> </w:t>
      </w:r>
      <w:r w:rsidRPr="00C524FD">
        <w:rPr>
          <w:lang w:eastAsia="en-AU"/>
        </w:rPr>
        <w:t>y</w:t>
      </w:r>
      <w:r w:rsidR="00C22F3B">
        <w:rPr>
          <w:lang w:eastAsia="en-AU"/>
        </w:rPr>
        <w:t>ea</w:t>
      </w:r>
      <w:r w:rsidRPr="00C524FD">
        <w:rPr>
          <w:lang w:eastAsia="en-AU"/>
        </w:rPr>
        <w:t>rs of borderline significance.</w:t>
      </w:r>
    </w:p>
    <w:p w:rsidR="00C524FD" w:rsidRPr="00C524FD" w:rsidRDefault="00C524FD" w:rsidP="00BC6286">
      <w:pPr>
        <w:rPr>
          <w:lang w:eastAsia="en-AU"/>
        </w:rPr>
      </w:pPr>
      <w:r w:rsidRPr="00C524FD">
        <w:rPr>
          <w:lang w:eastAsia="en-AU"/>
        </w:rPr>
        <w:t>The large number of secondary endpoints supported the efficacy of adali</w:t>
      </w:r>
      <w:r w:rsidR="00C22F3B">
        <w:rPr>
          <w:lang w:eastAsia="en-AU"/>
        </w:rPr>
        <w:t>mumab compared with placebo at W</w:t>
      </w:r>
      <w:r w:rsidRPr="00C524FD">
        <w:rPr>
          <w:lang w:eastAsia="en-AU"/>
        </w:rPr>
        <w:t xml:space="preserve">eek 12 and appeared to be maintained through to </w:t>
      </w:r>
      <w:r w:rsidR="00C22F3B">
        <w:rPr>
          <w:lang w:eastAsia="en-AU"/>
        </w:rPr>
        <w:t>W</w:t>
      </w:r>
      <w:r w:rsidRPr="00C524FD">
        <w:rPr>
          <w:lang w:eastAsia="en-AU"/>
        </w:rPr>
        <w:t xml:space="preserve">eek 68 (or </w:t>
      </w:r>
      <w:r w:rsidR="00C22F3B">
        <w:rPr>
          <w:lang w:eastAsia="en-AU"/>
        </w:rPr>
        <w:t>W</w:t>
      </w:r>
      <w:r w:rsidRPr="00C524FD">
        <w:rPr>
          <w:lang w:eastAsia="en-AU"/>
        </w:rPr>
        <w:t>eek 52 for some measures).</w:t>
      </w:r>
      <w:r w:rsidR="002A29B3">
        <w:rPr>
          <w:lang w:eastAsia="en-AU"/>
        </w:rPr>
        <w:t xml:space="preserve"> </w:t>
      </w:r>
      <w:r w:rsidRPr="00C524FD">
        <w:rPr>
          <w:lang w:eastAsia="en-AU"/>
        </w:rPr>
        <w:t xml:space="preserve">These included ASAS20, ASAS5/6, </w:t>
      </w:r>
      <w:r w:rsidR="00C22F3B" w:rsidRPr="00C22F3B">
        <w:rPr>
          <w:lang w:eastAsia="en-AU"/>
        </w:rPr>
        <w:t>Bath Ankylosing Spondylitis disease activity index</w:t>
      </w:r>
      <w:r w:rsidR="00C22F3B">
        <w:rPr>
          <w:lang w:eastAsia="en-AU"/>
        </w:rPr>
        <w:t xml:space="preserve"> (</w:t>
      </w:r>
      <w:r w:rsidRPr="00C524FD">
        <w:rPr>
          <w:lang w:eastAsia="en-AU"/>
        </w:rPr>
        <w:t>BASDAI 50</w:t>
      </w:r>
      <w:r w:rsidR="00C22F3B">
        <w:rPr>
          <w:lang w:eastAsia="en-AU"/>
        </w:rPr>
        <w:t>)</w:t>
      </w:r>
      <w:r w:rsidRPr="00C524FD">
        <w:rPr>
          <w:lang w:eastAsia="en-AU"/>
        </w:rPr>
        <w:t xml:space="preserve">, </w:t>
      </w:r>
      <w:r w:rsidR="00C22F3B" w:rsidRPr="00C22F3B">
        <w:rPr>
          <w:lang w:eastAsia="en-AU"/>
        </w:rPr>
        <w:t>Short Form-36 Health Status Survey™ Version 2</w:t>
      </w:r>
      <w:r w:rsidR="00C22F3B">
        <w:rPr>
          <w:lang w:eastAsia="en-AU"/>
        </w:rPr>
        <w:t xml:space="preserve"> (</w:t>
      </w:r>
      <w:r w:rsidRPr="00C524FD">
        <w:rPr>
          <w:lang w:eastAsia="en-AU"/>
        </w:rPr>
        <w:t>SF-36</w:t>
      </w:r>
      <w:r w:rsidR="00C22F3B">
        <w:rPr>
          <w:lang w:eastAsia="en-AU"/>
        </w:rPr>
        <w:t>)</w:t>
      </w:r>
      <w:r w:rsidRPr="00C524FD">
        <w:rPr>
          <w:lang w:eastAsia="en-AU"/>
        </w:rPr>
        <w:t xml:space="preserve"> physical component score and </w:t>
      </w:r>
      <w:r w:rsidR="00C22F3B" w:rsidRPr="00C22F3B">
        <w:rPr>
          <w:lang w:eastAsia="en-AU"/>
        </w:rPr>
        <w:t xml:space="preserve">Health Assessment Questionnaire modified for </w:t>
      </w:r>
      <w:proofErr w:type="spellStart"/>
      <w:r w:rsidR="00C22F3B" w:rsidRPr="00C22F3B">
        <w:rPr>
          <w:lang w:eastAsia="en-AU"/>
        </w:rPr>
        <w:t>spondyloarthropathies</w:t>
      </w:r>
      <w:proofErr w:type="spellEnd"/>
      <w:r w:rsidR="00C22F3B" w:rsidRPr="00C22F3B">
        <w:rPr>
          <w:lang w:eastAsia="en-AU"/>
        </w:rPr>
        <w:t xml:space="preserve"> </w:t>
      </w:r>
      <w:r w:rsidR="00C22F3B">
        <w:rPr>
          <w:lang w:eastAsia="en-AU"/>
        </w:rPr>
        <w:t>(</w:t>
      </w:r>
      <w:r w:rsidRPr="00C524FD">
        <w:rPr>
          <w:lang w:eastAsia="en-AU"/>
        </w:rPr>
        <w:t>HAQ</w:t>
      </w:r>
      <w:r w:rsidR="00C22F3B">
        <w:rPr>
          <w:lang w:eastAsia="en-AU"/>
        </w:rPr>
        <w:t>)</w:t>
      </w:r>
      <w:r w:rsidRPr="00C524FD">
        <w:rPr>
          <w:lang w:eastAsia="en-AU"/>
        </w:rPr>
        <w:t xml:space="preserve"> score modified for </w:t>
      </w:r>
      <w:proofErr w:type="spellStart"/>
      <w:r w:rsidRPr="00C524FD">
        <w:rPr>
          <w:lang w:eastAsia="en-AU"/>
        </w:rPr>
        <w:t>spondyloarthropathies</w:t>
      </w:r>
      <w:proofErr w:type="spellEnd"/>
      <w:r w:rsidRPr="00C524FD">
        <w:rPr>
          <w:lang w:eastAsia="en-AU"/>
        </w:rPr>
        <w:t>.</w:t>
      </w:r>
      <w:r w:rsidR="002A29B3">
        <w:rPr>
          <w:lang w:eastAsia="en-AU"/>
        </w:rPr>
        <w:t xml:space="preserve"> </w:t>
      </w:r>
      <w:r w:rsidRPr="00C524FD">
        <w:rPr>
          <w:lang w:eastAsia="en-AU"/>
        </w:rPr>
        <w:t>However there was no difference in biomarker measures of matrix metalloproteinase-3, type II collagen C-telopeptide or vascular endothelial growth factor A</w:t>
      </w:r>
      <w:r w:rsidR="00BC6286">
        <w:rPr>
          <w:lang w:eastAsia="en-AU"/>
        </w:rPr>
        <w:t>.</w:t>
      </w:r>
    </w:p>
    <w:bookmarkEnd w:id="171"/>
    <w:bookmarkEnd w:id="172"/>
    <w:p w:rsidR="00C22F3B" w:rsidRPr="00BC6286" w:rsidRDefault="00C524FD" w:rsidP="00BC6286">
      <w:pPr>
        <w:pStyle w:val="Heading4"/>
      </w:pPr>
      <w:r w:rsidRPr="00C524FD">
        <w:rPr>
          <w:lang w:eastAsia="en-AU"/>
        </w:rPr>
        <w:t>Safety</w:t>
      </w:r>
    </w:p>
    <w:p w:rsidR="00C524FD" w:rsidRPr="00C524FD" w:rsidRDefault="00C524FD" w:rsidP="00BC6286">
      <w:pPr>
        <w:rPr>
          <w:lang w:eastAsia="en-AU"/>
        </w:rPr>
      </w:pPr>
      <w:r w:rsidRPr="00C524FD">
        <w:rPr>
          <w:lang w:eastAsia="en-AU"/>
        </w:rPr>
        <w:t xml:space="preserve">There were 190 patients exposed to adalimumab in the pivotal study of whom 147 were exposed for </w:t>
      </w:r>
      <w:r w:rsidR="00C22F3B">
        <w:rPr>
          <w:lang w:eastAsia="en-AU"/>
        </w:rPr>
        <w:t>≥</w:t>
      </w:r>
      <w:r w:rsidRPr="00C524FD">
        <w:rPr>
          <w:lang w:eastAsia="en-AU"/>
        </w:rPr>
        <w:t>343 days.</w:t>
      </w:r>
      <w:r w:rsidR="002A29B3">
        <w:rPr>
          <w:lang w:eastAsia="en-AU"/>
        </w:rPr>
        <w:t xml:space="preserve"> </w:t>
      </w:r>
      <w:r w:rsidRPr="00C524FD">
        <w:rPr>
          <w:lang w:eastAsia="en-AU"/>
        </w:rPr>
        <w:t>Treatment emergent adverse events occurred in 58% on adalimumab</w:t>
      </w:r>
      <w:r w:rsidR="00C22F3B">
        <w:rPr>
          <w:lang w:eastAsia="en-AU"/>
        </w:rPr>
        <w:t xml:space="preserve"> versus </w:t>
      </w:r>
      <w:r w:rsidRPr="00C524FD">
        <w:rPr>
          <w:lang w:eastAsia="en-AU"/>
        </w:rPr>
        <w:t>59% on placebo with the most common being nasopharyngitis (11.6%</w:t>
      </w:r>
      <w:r w:rsidR="00C22F3B">
        <w:rPr>
          <w:lang w:eastAsia="en-AU"/>
        </w:rPr>
        <w:t xml:space="preserve"> versus </w:t>
      </w:r>
      <w:r w:rsidRPr="00C524FD">
        <w:rPr>
          <w:lang w:eastAsia="en-AU"/>
        </w:rPr>
        <w:t>3.1%) in the double blind period.</w:t>
      </w:r>
      <w:r w:rsidR="002A29B3">
        <w:rPr>
          <w:lang w:eastAsia="en-AU"/>
        </w:rPr>
        <w:t xml:space="preserve"> </w:t>
      </w:r>
      <w:r w:rsidRPr="00C524FD">
        <w:rPr>
          <w:lang w:eastAsia="en-AU"/>
        </w:rPr>
        <w:t>Infections occurred in 29.5% of adalimumab subjects compared with 28.9% of placebo subjects (majority being upper respiratory tract infections) and mild injection site reactions occurred in 8.4%</w:t>
      </w:r>
      <w:r w:rsidR="00C22F3B">
        <w:rPr>
          <w:lang w:eastAsia="en-AU"/>
        </w:rPr>
        <w:t xml:space="preserve"> versus </w:t>
      </w:r>
      <w:r w:rsidRPr="00C524FD">
        <w:rPr>
          <w:lang w:eastAsia="en-AU"/>
        </w:rPr>
        <w:t>3.1%.</w:t>
      </w:r>
      <w:r w:rsidR="002A29B3">
        <w:rPr>
          <w:lang w:eastAsia="en-AU"/>
        </w:rPr>
        <w:t xml:space="preserve"> </w:t>
      </w:r>
      <w:r w:rsidRPr="00C524FD">
        <w:rPr>
          <w:lang w:eastAsia="en-AU"/>
        </w:rPr>
        <w:t>Nine subjects reported allergic reaction related TEAEs compared with one subject on placebo.</w:t>
      </w:r>
      <w:r w:rsidR="002A29B3">
        <w:rPr>
          <w:lang w:eastAsia="en-AU"/>
        </w:rPr>
        <w:t xml:space="preserve"> </w:t>
      </w:r>
      <w:r w:rsidRPr="00C524FD">
        <w:rPr>
          <w:lang w:eastAsia="en-AU"/>
        </w:rPr>
        <w:t>Throughout the entire study, the TEAEs occurred in 79.5% of subjects on adalimumab with nasopharyngitis (17.9%) and spondylitis (10.5%) being the most common.</w:t>
      </w:r>
      <w:r w:rsidR="002A29B3">
        <w:rPr>
          <w:lang w:eastAsia="en-AU"/>
        </w:rPr>
        <w:t xml:space="preserve"> </w:t>
      </w:r>
      <w:r w:rsidRPr="00C524FD">
        <w:rPr>
          <w:lang w:eastAsia="en-AU"/>
        </w:rPr>
        <w:t>There were three serious infections with one of them being tuberculosis.</w:t>
      </w:r>
      <w:r w:rsidR="002A29B3">
        <w:rPr>
          <w:lang w:eastAsia="en-AU"/>
        </w:rPr>
        <w:t xml:space="preserve"> </w:t>
      </w:r>
      <w:r w:rsidRPr="00C524FD">
        <w:rPr>
          <w:lang w:eastAsia="en-AU"/>
        </w:rPr>
        <w:t>There were no reports of opportunistic infections (excluding TB), lymphomas, malignancies or demyelinating disease.</w:t>
      </w:r>
      <w:r w:rsidR="002A29B3">
        <w:rPr>
          <w:lang w:eastAsia="en-AU"/>
        </w:rPr>
        <w:t xml:space="preserve"> </w:t>
      </w:r>
      <w:r w:rsidRPr="00C524FD">
        <w:rPr>
          <w:lang w:eastAsia="en-AU"/>
        </w:rPr>
        <w:t>Treatment related TEAEs occurred in 32.6% on adalimumab</w:t>
      </w:r>
      <w:r w:rsidR="00C22F3B">
        <w:rPr>
          <w:lang w:eastAsia="en-AU"/>
        </w:rPr>
        <w:t xml:space="preserve"> versus </w:t>
      </w:r>
      <w:r w:rsidRPr="00C524FD">
        <w:rPr>
          <w:lang w:eastAsia="en-AU"/>
        </w:rPr>
        <w:t>21.6% on placebo during the double blind period increasing to 45.3% for the entire study with the most common being nasopharyngitis.</w:t>
      </w:r>
      <w:r w:rsidR="002A29B3">
        <w:rPr>
          <w:lang w:eastAsia="en-AU"/>
        </w:rPr>
        <w:t xml:space="preserve"> </w:t>
      </w:r>
      <w:r w:rsidRPr="00C524FD">
        <w:rPr>
          <w:lang w:eastAsia="en-AU"/>
        </w:rPr>
        <w:t>There were two deaths (suicide and opioid toxicity).</w:t>
      </w:r>
      <w:r w:rsidR="002A29B3">
        <w:rPr>
          <w:lang w:eastAsia="en-AU"/>
        </w:rPr>
        <w:t xml:space="preserve"> </w:t>
      </w:r>
      <w:r w:rsidRPr="00C524FD">
        <w:rPr>
          <w:lang w:eastAsia="en-AU"/>
        </w:rPr>
        <w:t>Serious adverse events occurred in 3.2% on adalimumab</w:t>
      </w:r>
      <w:r w:rsidR="00C22F3B">
        <w:rPr>
          <w:lang w:eastAsia="en-AU"/>
        </w:rPr>
        <w:t xml:space="preserve"> versus </w:t>
      </w:r>
      <w:r w:rsidRPr="00C524FD">
        <w:rPr>
          <w:lang w:eastAsia="en-AU"/>
        </w:rPr>
        <w:t>1% on placebo which increased to 10% for the entire study with no clear pattern.</w:t>
      </w:r>
      <w:r w:rsidR="002A29B3">
        <w:rPr>
          <w:lang w:eastAsia="en-AU"/>
        </w:rPr>
        <w:t xml:space="preserve"> </w:t>
      </w:r>
      <w:r w:rsidRPr="00C524FD">
        <w:rPr>
          <w:lang w:eastAsia="en-AU"/>
        </w:rPr>
        <w:t xml:space="preserve">Discontinuations occurred in </w:t>
      </w:r>
      <w:r w:rsidRPr="00C524FD">
        <w:rPr>
          <w:lang w:eastAsia="en-AU"/>
        </w:rPr>
        <w:lastRenderedPageBreak/>
        <w:t>two adalimumab subjects</w:t>
      </w:r>
      <w:r w:rsidR="00C22F3B">
        <w:rPr>
          <w:lang w:eastAsia="en-AU"/>
        </w:rPr>
        <w:t xml:space="preserve"> versus </w:t>
      </w:r>
      <w:r w:rsidRPr="00C524FD">
        <w:rPr>
          <w:lang w:eastAsia="en-AU"/>
        </w:rPr>
        <w:t>one placebo subject</w:t>
      </w:r>
      <w:r w:rsidR="00C22F3B">
        <w:rPr>
          <w:lang w:eastAsia="en-AU"/>
        </w:rPr>
        <w:t>,</w:t>
      </w:r>
      <w:r w:rsidRPr="00C524FD">
        <w:rPr>
          <w:lang w:eastAsia="en-AU"/>
        </w:rPr>
        <w:t xml:space="preserve"> which increased to 6.3% of subjects for the entire study.</w:t>
      </w:r>
      <w:r w:rsidR="002A29B3">
        <w:rPr>
          <w:lang w:eastAsia="en-AU"/>
        </w:rPr>
        <w:t xml:space="preserve"> </w:t>
      </w:r>
      <w:r w:rsidRPr="00C524FD">
        <w:rPr>
          <w:lang w:eastAsia="en-AU"/>
        </w:rPr>
        <w:t>Hepatic related events were similar at 4.2% on adalimumab</w:t>
      </w:r>
      <w:r w:rsidR="00C22F3B">
        <w:rPr>
          <w:lang w:eastAsia="en-AU"/>
        </w:rPr>
        <w:t xml:space="preserve"> versus </w:t>
      </w:r>
      <w:r w:rsidRPr="00C524FD">
        <w:rPr>
          <w:lang w:eastAsia="en-AU"/>
        </w:rPr>
        <w:t>4.1% on placebo and 5.3% on adalimumab for the entire study.</w:t>
      </w:r>
      <w:r w:rsidR="002A29B3">
        <w:rPr>
          <w:lang w:eastAsia="en-AU"/>
        </w:rPr>
        <w:t xml:space="preserve"> </w:t>
      </w:r>
      <w:r w:rsidRPr="00C524FD">
        <w:rPr>
          <w:lang w:eastAsia="en-AU"/>
        </w:rPr>
        <w:t>There were no significant changes in haematology, chemistry or vital signs.</w:t>
      </w:r>
    </w:p>
    <w:p w:rsidR="008E7846" w:rsidRPr="00BC6286" w:rsidRDefault="00386150" w:rsidP="00BC6286">
      <w:pPr>
        <w:pStyle w:val="Heading3"/>
      </w:pPr>
      <w:bookmarkStart w:id="173" w:name="_Toc382922652"/>
      <w:r>
        <w:rPr>
          <w:lang w:eastAsia="en-AU"/>
        </w:rPr>
        <w:t>Risk m</w:t>
      </w:r>
      <w:r w:rsidR="008E7846">
        <w:rPr>
          <w:lang w:eastAsia="en-AU"/>
        </w:rPr>
        <w:t xml:space="preserve">anagement </w:t>
      </w:r>
      <w:r>
        <w:rPr>
          <w:lang w:eastAsia="en-AU"/>
        </w:rPr>
        <w:t>p</w:t>
      </w:r>
      <w:r w:rsidR="008E7846">
        <w:rPr>
          <w:lang w:eastAsia="en-AU"/>
        </w:rPr>
        <w:t>lan</w:t>
      </w:r>
      <w:bookmarkEnd w:id="170"/>
      <w:bookmarkEnd w:id="173"/>
    </w:p>
    <w:p w:rsidR="00C524FD" w:rsidRPr="00C524FD" w:rsidRDefault="00C524FD" w:rsidP="008D5EAE">
      <w:bookmarkStart w:id="174" w:name="_Toc247691531"/>
      <w:bookmarkStart w:id="175" w:name="_Toc314842515"/>
      <w:bookmarkStart w:id="176" w:name="_Toc196046505"/>
      <w:bookmarkStart w:id="177" w:name="_Toc196046949"/>
      <w:r>
        <w:t>T</w:t>
      </w:r>
      <w:r w:rsidRPr="00C524FD">
        <w:t>he Office of Product Review has accepted the Risk Management Plan (RMP) for Adalimumab (edition 10.0, November 2011) with Australian Specific Annex (undated) and recommended further changes to the Australian Specific Annex as outlined below from their report:</w:t>
      </w:r>
    </w:p>
    <w:p w:rsidR="00C524FD" w:rsidRPr="00C524FD" w:rsidRDefault="00C524FD" w:rsidP="008D5EAE">
      <w:pPr>
        <w:pStyle w:val="ListBullet"/>
      </w:pPr>
      <w:r w:rsidRPr="00C524FD">
        <w:t xml:space="preserve">Details of the </w:t>
      </w:r>
      <w:r w:rsidRPr="008D5EAE">
        <w:t>education</w:t>
      </w:r>
      <w:r w:rsidRPr="00C524FD">
        <w:t xml:space="preserve"> program for Australia</w:t>
      </w:r>
    </w:p>
    <w:p w:rsidR="00C524FD" w:rsidRPr="00C524FD" w:rsidRDefault="00C524FD" w:rsidP="008D5EAE">
      <w:pPr>
        <w:pStyle w:val="ListBullet"/>
      </w:pPr>
      <w:r w:rsidRPr="00C524FD">
        <w:t xml:space="preserve">Evaluation of the </w:t>
      </w:r>
      <w:r w:rsidRPr="008D5EAE">
        <w:t>education</w:t>
      </w:r>
      <w:r w:rsidRPr="00C524FD">
        <w:t xml:space="preserve"> program for Australia</w:t>
      </w:r>
    </w:p>
    <w:p w:rsidR="00C524FD" w:rsidRPr="00C524FD" w:rsidRDefault="00C524FD" w:rsidP="008D5EAE">
      <w:r w:rsidRPr="00C524FD">
        <w:t>The sponsor should a</w:t>
      </w:r>
      <w:r w:rsidR="00C22F3B">
        <w:t>ddress these matters in the Pre Advisory Committee on Prescription Medicines (</w:t>
      </w:r>
      <w:r w:rsidRPr="00C524FD">
        <w:t>ACPM</w:t>
      </w:r>
      <w:r w:rsidR="00C22F3B">
        <w:t>)</w:t>
      </w:r>
      <w:r w:rsidRPr="00C524FD">
        <w:t xml:space="preserve"> Response and follow up where appropriate with the </w:t>
      </w:r>
      <w:r w:rsidR="00C22F3B">
        <w:t xml:space="preserve">TGA’s </w:t>
      </w:r>
      <w:r w:rsidRPr="00C524FD">
        <w:t>Office of Product Review.</w:t>
      </w:r>
    </w:p>
    <w:p w:rsidR="008E7846" w:rsidRPr="008D5EAE" w:rsidRDefault="00AA0ED0" w:rsidP="008D5EAE">
      <w:pPr>
        <w:pStyle w:val="Heading3"/>
      </w:pPr>
      <w:bookmarkStart w:id="178" w:name="_Toc382922653"/>
      <w:r>
        <w:t>Risk-benefit a</w:t>
      </w:r>
      <w:r w:rsidR="008E7846">
        <w:t>nalysis</w:t>
      </w:r>
      <w:bookmarkEnd w:id="174"/>
      <w:bookmarkEnd w:id="175"/>
      <w:bookmarkEnd w:id="178"/>
    </w:p>
    <w:p w:rsidR="008E7846" w:rsidRPr="00C22F3B" w:rsidRDefault="008E7846" w:rsidP="008D5EAE">
      <w:pPr>
        <w:pStyle w:val="Heading4"/>
      </w:pPr>
      <w:r>
        <w:t xml:space="preserve">Delegate </w:t>
      </w:r>
      <w:r w:rsidR="00ED3CAD" w:rsidRPr="008D5EAE">
        <w:t>c</w:t>
      </w:r>
      <w:r w:rsidRPr="008D5EAE">
        <w:t>onsiderations</w:t>
      </w:r>
    </w:p>
    <w:p w:rsidR="00C22F3B" w:rsidRPr="008D5EAE" w:rsidRDefault="00C22F3B" w:rsidP="008D5EAE">
      <w:pPr>
        <w:pStyle w:val="Heading5"/>
      </w:pPr>
      <w:r w:rsidRPr="00C22F3B">
        <w:t>Efficacy</w:t>
      </w:r>
    </w:p>
    <w:p w:rsidR="00C524FD" w:rsidRPr="00C524FD" w:rsidRDefault="00C22F3B" w:rsidP="00D97091">
      <w:proofErr w:type="spellStart"/>
      <w:r w:rsidRPr="00C22F3B">
        <w:t>Adalimumab</w:t>
      </w:r>
      <w:proofErr w:type="spellEnd"/>
      <w:r w:rsidRPr="00C22F3B">
        <w:t xml:space="preserve"> has demonstrated superiority to placebo in one phase III trial in patients with </w:t>
      </w:r>
      <w:proofErr w:type="spellStart"/>
      <w:r w:rsidR="00C524FD" w:rsidRPr="00C524FD">
        <w:t>axSpA</w:t>
      </w:r>
      <w:proofErr w:type="spellEnd"/>
      <w:r w:rsidR="00C524FD" w:rsidRPr="00C524FD">
        <w:t xml:space="preserve"> over a 12 week period with efficacy appearing to be maintained up to 68 weeks in an open label follow up extension.</w:t>
      </w:r>
      <w:r w:rsidR="002A29B3">
        <w:t xml:space="preserve"> </w:t>
      </w:r>
      <w:r w:rsidR="00C524FD" w:rsidRPr="00C524FD">
        <w:t>The primary endpoint (ASAS 40) was a previously validated outcome measure which was developed independent of the development program.</w:t>
      </w:r>
      <w:r w:rsidR="002A29B3">
        <w:t xml:space="preserve"> </w:t>
      </w:r>
      <w:r w:rsidR="00C524FD" w:rsidRPr="00C524FD">
        <w:t>The primary endpoint was supported by a large number of secondary endpoints over 12 weeks and maintained for up to 68 weeks.</w:t>
      </w:r>
      <w:r w:rsidR="002A29B3">
        <w:t xml:space="preserve"> </w:t>
      </w:r>
      <w:r w:rsidR="00C524FD" w:rsidRPr="00C524FD">
        <w:t>The indication at present is broad and covers all age groups, all grades of disease severity (</w:t>
      </w:r>
      <w:r>
        <w:t>that is,</w:t>
      </w:r>
      <w:r w:rsidR="00C524FD" w:rsidRPr="00C524FD">
        <w:t xml:space="preserve"> mild, moderate and severe) and is currently not restricted to patients who have failed other treatments.</w:t>
      </w:r>
      <w:r w:rsidR="002A29B3">
        <w:t xml:space="preserve"> </w:t>
      </w:r>
      <w:r w:rsidR="00C524FD" w:rsidRPr="00C524FD">
        <w:t xml:space="preserve">The pivotal study required patients who were </w:t>
      </w:r>
      <w:r>
        <w:t>≥</w:t>
      </w:r>
      <w:r w:rsidR="00C524FD" w:rsidRPr="00C524FD">
        <w:t xml:space="preserve">18 years, must have had an inadequate response, intolerance or contraindication to NSAIDs, back pain of at least 3 months, MRI evidence of active inflammatory lesions of </w:t>
      </w:r>
      <w:r w:rsidR="00386A50">
        <w:t>the sacroiliac</w:t>
      </w:r>
      <w:r w:rsidR="00386A50" w:rsidRPr="00C524FD">
        <w:t xml:space="preserve"> </w:t>
      </w:r>
      <w:r w:rsidR="00C524FD" w:rsidRPr="00C524FD">
        <w:t>joints or positive HLA-B27 plus some clinical criteria.</w:t>
      </w:r>
      <w:r w:rsidR="002A29B3">
        <w:t xml:space="preserve"> </w:t>
      </w:r>
      <w:r w:rsidR="00C524FD" w:rsidRPr="00C524FD">
        <w:t>In Europe, the indication has been restricted to adults with severe disease and diagnostic criteria of objective signs of i</w:t>
      </w:r>
      <w:r>
        <w:t>nflammation by elevated CRP and</w:t>
      </w:r>
      <w:r w:rsidR="00C524FD" w:rsidRPr="00C524FD">
        <w:t>/or MRI.</w:t>
      </w:r>
      <w:r w:rsidR="002A29B3">
        <w:t xml:space="preserve"> </w:t>
      </w:r>
      <w:r w:rsidR="00C524FD" w:rsidRPr="00C524FD">
        <w:t xml:space="preserve">The indication was also modified to be grouped with the AS indication under a new heading of Axial </w:t>
      </w:r>
      <w:proofErr w:type="spellStart"/>
      <w:r w:rsidR="00C524FD" w:rsidRPr="00C524FD">
        <w:t>Spondyloarthritis</w:t>
      </w:r>
      <w:proofErr w:type="spellEnd"/>
      <w:r w:rsidR="00C524FD" w:rsidRPr="00C524FD">
        <w:t>.</w:t>
      </w:r>
      <w:r w:rsidR="002A29B3">
        <w:t xml:space="preserve"> </w:t>
      </w:r>
      <w:r w:rsidR="00C524FD" w:rsidRPr="00C524FD">
        <w:t xml:space="preserve">Usually diagnostic features are placed in the </w:t>
      </w:r>
      <w:r w:rsidR="00C524FD" w:rsidRPr="00C22F3B">
        <w:rPr>
          <w:i/>
        </w:rPr>
        <w:t>Clinical Trials</w:t>
      </w:r>
      <w:r w:rsidR="00C524FD" w:rsidRPr="00C524FD">
        <w:t xml:space="preserve"> section of the PI if the disease is well </w:t>
      </w:r>
      <w:proofErr w:type="gramStart"/>
      <w:r w:rsidR="00C524FD" w:rsidRPr="00C524FD">
        <w:t>defined,</w:t>
      </w:r>
      <w:proofErr w:type="gramEnd"/>
      <w:r w:rsidR="00C524FD" w:rsidRPr="00C524FD">
        <w:t xml:space="preserve"> </w:t>
      </w:r>
      <w:r>
        <w:t>however, ACPM’s advice on this was</w:t>
      </w:r>
      <w:r w:rsidR="00C524FD" w:rsidRPr="00C524FD">
        <w:t xml:space="preserve"> requested</w:t>
      </w:r>
      <w:r>
        <w:t xml:space="preserve"> by the Delegate</w:t>
      </w:r>
      <w:r w:rsidR="00C524FD" w:rsidRPr="00C524FD">
        <w:t>.</w:t>
      </w:r>
      <w:r w:rsidR="002A29B3">
        <w:t xml:space="preserve"> </w:t>
      </w:r>
      <w:r w:rsidR="00C524FD" w:rsidRPr="00C524FD">
        <w:t>Subgroup analysis of the primary endpoint showed that patients with abnormal baseline pooled CRP and &lt;5 y</w:t>
      </w:r>
      <w:r>
        <w:t>ea</w:t>
      </w:r>
      <w:r w:rsidR="00C524FD" w:rsidRPr="00C524FD">
        <w:t>rs symptom duration had greater responses and these findings were significant for a treatment interaction.</w:t>
      </w:r>
    </w:p>
    <w:p w:rsidR="00C22F3B" w:rsidRPr="00D97091" w:rsidRDefault="00C524FD" w:rsidP="00D97091">
      <w:pPr>
        <w:pStyle w:val="Heading5"/>
      </w:pPr>
      <w:r w:rsidRPr="00C524FD">
        <w:t>Safety and RMP</w:t>
      </w:r>
    </w:p>
    <w:p w:rsidR="00C524FD" w:rsidRPr="00C524FD" w:rsidRDefault="00C524FD" w:rsidP="00D97091">
      <w:proofErr w:type="spellStart"/>
      <w:r w:rsidRPr="00C524FD">
        <w:t>Adalimumab</w:t>
      </w:r>
      <w:proofErr w:type="spellEnd"/>
      <w:r w:rsidRPr="00C524FD">
        <w:t xml:space="preserve"> has demonstrated an acceptable safety profile consistent with that seen for ankylosing spondylitis.</w:t>
      </w:r>
      <w:r w:rsidR="002A29B3">
        <w:t xml:space="preserve"> </w:t>
      </w:r>
      <w:r w:rsidRPr="00C524FD">
        <w:t>The adverse effects profile is expected to be similar to other approved indications for adalimumab.</w:t>
      </w:r>
      <w:r w:rsidR="002A29B3">
        <w:t xml:space="preserve"> </w:t>
      </w:r>
      <w:r w:rsidRPr="00C524FD">
        <w:t>The single pivotal study does however provide limited safety data but the sponsor is continuing this study for an additional 144 weeks of open label treatment and the submission of the final clinical study report will be made a condition of registration.</w:t>
      </w:r>
      <w:r w:rsidR="002A29B3">
        <w:t xml:space="preserve"> </w:t>
      </w:r>
      <w:r w:rsidRPr="00C524FD">
        <w:t>There was a lack of patients over 65 years which the sponsor should address in the PI however the AS data are supportive.</w:t>
      </w:r>
      <w:r w:rsidR="002A29B3">
        <w:t xml:space="preserve"> </w:t>
      </w:r>
      <w:r w:rsidRPr="00C524FD">
        <w:t xml:space="preserve">Treatment emergent adverse events, serious adverse events and discontinuations due to adverse events were similar to </w:t>
      </w:r>
      <w:r w:rsidRPr="00C524FD">
        <w:lastRenderedPageBreak/>
        <w:t>placebo over the 12 week period with a similar rate of infections but mild injection site adverse events, allergic reactions and nasopharyngitis were more common with adalimumab.</w:t>
      </w:r>
      <w:r w:rsidR="002A29B3">
        <w:t xml:space="preserve"> </w:t>
      </w:r>
      <w:r w:rsidRPr="00C524FD">
        <w:t>There were three serious infections including one case of tuberculosis.</w:t>
      </w:r>
      <w:r w:rsidR="002A29B3">
        <w:t xml:space="preserve"> </w:t>
      </w:r>
      <w:r w:rsidRPr="00C524FD">
        <w:t>No new safety concerns appeared from the data and there were no reports of opportunistic infections (excluding TB), lymphomas, malignancies or demyelinating disease.</w:t>
      </w:r>
    </w:p>
    <w:p w:rsidR="00C22F3B" w:rsidRPr="00AC73ED" w:rsidRDefault="00C524FD" w:rsidP="00AC73ED">
      <w:pPr>
        <w:pStyle w:val="Heading5"/>
      </w:pPr>
      <w:r w:rsidRPr="00C524FD">
        <w:t>Data deficiencies</w:t>
      </w:r>
    </w:p>
    <w:p w:rsidR="00C524FD" w:rsidRDefault="00C524FD" w:rsidP="00AC73ED">
      <w:r w:rsidRPr="00C524FD">
        <w:t>Only two elderly patients were included in the submission and the submitted data were only up to 68 weeks exposure.</w:t>
      </w:r>
    </w:p>
    <w:p w:rsidR="004B7C7B" w:rsidRPr="00AC73ED" w:rsidRDefault="004B7C7B" w:rsidP="00AC73ED">
      <w:pPr>
        <w:pStyle w:val="Heading4"/>
      </w:pPr>
      <w:r w:rsidRPr="00C524FD">
        <w:t>Summary</w:t>
      </w:r>
    </w:p>
    <w:p w:rsidR="004B7C7B" w:rsidRPr="00C524FD" w:rsidRDefault="004B7C7B" w:rsidP="00AC73ED">
      <w:r w:rsidRPr="00C524FD">
        <w:t>Overall at present the submission appears approvable with demonstrated efficacy and an acceptable safety profile. The principal issue is the wording of the indication and whether it should be restricted.</w:t>
      </w:r>
    </w:p>
    <w:p w:rsidR="00C524FD" w:rsidRDefault="00C524FD" w:rsidP="00AC73ED">
      <w:pPr>
        <w:pStyle w:val="Heading4"/>
      </w:pPr>
      <w:r w:rsidRPr="00C524FD">
        <w:t>ACPM’s advice</w:t>
      </w:r>
      <w:r w:rsidR="004B7C7B">
        <w:t xml:space="preserve"> </w:t>
      </w:r>
      <w:r w:rsidR="004B7C7B" w:rsidRPr="00AC73ED">
        <w:t>wa</w:t>
      </w:r>
      <w:r w:rsidRPr="00AC73ED">
        <w:t>s</w:t>
      </w:r>
      <w:r w:rsidRPr="00C524FD">
        <w:t xml:space="preserve"> requested on the following issues: </w:t>
      </w:r>
    </w:p>
    <w:p w:rsidR="00C524FD" w:rsidRPr="00C524FD" w:rsidRDefault="00C524FD" w:rsidP="00AC73ED">
      <w:pPr>
        <w:pStyle w:val="Numberbullet0"/>
        <w:numPr>
          <w:ilvl w:val="0"/>
          <w:numId w:val="9"/>
        </w:numPr>
      </w:pPr>
      <w:r w:rsidRPr="00C524FD">
        <w:t>Is non-</w:t>
      </w:r>
      <w:r w:rsidRPr="00AC73ED">
        <w:t>radiographic</w:t>
      </w:r>
      <w:r w:rsidRPr="00C524FD">
        <w:t xml:space="preserve"> axial </w:t>
      </w:r>
      <w:proofErr w:type="spellStart"/>
      <w:r w:rsidRPr="00C524FD">
        <w:t>spondyloarthritis</w:t>
      </w:r>
      <w:proofErr w:type="spellEnd"/>
      <w:r w:rsidRPr="00C524FD">
        <w:t xml:space="preserve"> a disease with consistently defined and agreed diagnostic criteria that supports a new indication?</w:t>
      </w:r>
    </w:p>
    <w:p w:rsidR="00C524FD" w:rsidRPr="00C524FD" w:rsidRDefault="00C524FD" w:rsidP="00AC73ED">
      <w:pPr>
        <w:pStyle w:val="Numberbullet0"/>
        <w:numPr>
          <w:ilvl w:val="0"/>
          <w:numId w:val="9"/>
        </w:numPr>
      </w:pPr>
      <w:r w:rsidRPr="00C524FD">
        <w:t xml:space="preserve">Should the </w:t>
      </w:r>
      <w:r w:rsidRPr="00AC73ED">
        <w:t>indication</w:t>
      </w:r>
      <w:r w:rsidRPr="00C524FD">
        <w:t xml:space="preserve"> be a subset of axial </w:t>
      </w:r>
      <w:proofErr w:type="spellStart"/>
      <w:r w:rsidRPr="00C524FD">
        <w:t>spondyloarthritis</w:t>
      </w:r>
      <w:proofErr w:type="spellEnd"/>
      <w:r w:rsidRPr="00C524FD">
        <w:t xml:space="preserve"> and combined with ankylosing spondylitis as in the EU?</w:t>
      </w:r>
    </w:p>
    <w:p w:rsidR="00C524FD" w:rsidRPr="00C524FD" w:rsidRDefault="00C524FD" w:rsidP="00AC73ED">
      <w:pPr>
        <w:pStyle w:val="Numberbullet0"/>
        <w:numPr>
          <w:ilvl w:val="0"/>
          <w:numId w:val="9"/>
        </w:numPr>
      </w:pPr>
      <w:r w:rsidRPr="00C524FD">
        <w:t xml:space="preserve">Should the </w:t>
      </w:r>
      <w:r w:rsidRPr="00AC73ED">
        <w:t>indication</w:t>
      </w:r>
      <w:r w:rsidRPr="00C524FD">
        <w:t xml:space="preserve"> require inclusion of objective signs of inflammation and diagnostic criteria such as MRI and/or CRP or would this be more appropriate in the </w:t>
      </w:r>
      <w:r w:rsidRPr="00AC73ED">
        <w:rPr>
          <w:i/>
        </w:rPr>
        <w:t xml:space="preserve">Clinical Trials </w:t>
      </w:r>
      <w:r w:rsidRPr="00C524FD">
        <w:t>section of the PI?</w:t>
      </w:r>
    </w:p>
    <w:p w:rsidR="00C524FD" w:rsidRDefault="00C524FD" w:rsidP="00AC73ED">
      <w:pPr>
        <w:pStyle w:val="Numberbullet0"/>
        <w:numPr>
          <w:ilvl w:val="0"/>
          <w:numId w:val="9"/>
        </w:numPr>
      </w:pPr>
      <w:r w:rsidRPr="00C524FD">
        <w:t xml:space="preserve">Should the </w:t>
      </w:r>
      <w:r w:rsidRPr="00AC73ED">
        <w:t>indication</w:t>
      </w:r>
      <w:r w:rsidRPr="00C524FD">
        <w:t xml:space="preserve"> be restricted to only severe forms of the disease, for use only in adults and for those who have had an inadequate response to or are intolerant of </w:t>
      </w:r>
      <w:proofErr w:type="spellStart"/>
      <w:r w:rsidRPr="00C524FD">
        <w:t>nonsteroidal</w:t>
      </w:r>
      <w:proofErr w:type="spellEnd"/>
      <w:r w:rsidRPr="00C524FD">
        <w:t xml:space="preserve"> anti-inflammatory drugs (</w:t>
      </w:r>
      <w:r w:rsidR="004B7C7B">
        <w:t>that is,</w:t>
      </w:r>
      <w:r w:rsidRPr="00C524FD">
        <w:t xml:space="preserve"> second line therapy)?</w:t>
      </w:r>
    </w:p>
    <w:p w:rsidR="004B7C7B" w:rsidRDefault="006231D2" w:rsidP="00AC73ED">
      <w:pPr>
        <w:pStyle w:val="Heading4"/>
      </w:pPr>
      <w:r>
        <w:t xml:space="preserve">Delegate’s </w:t>
      </w:r>
      <w:r w:rsidR="00AC73ED">
        <w:t>q</w:t>
      </w:r>
      <w:r w:rsidR="004B7C7B">
        <w:t xml:space="preserve">uestions for the </w:t>
      </w:r>
      <w:r w:rsidR="00AC73ED" w:rsidRPr="00AC73ED">
        <w:t>s</w:t>
      </w:r>
      <w:r w:rsidR="004B7C7B" w:rsidRPr="00AC73ED">
        <w:t>ponsor</w:t>
      </w:r>
      <w:r w:rsidR="004B7C7B">
        <w:t xml:space="preserve"> </w:t>
      </w:r>
    </w:p>
    <w:p w:rsidR="004B7C7B" w:rsidRPr="00C524FD" w:rsidRDefault="004B7C7B" w:rsidP="00AC73ED">
      <w:r w:rsidRPr="00C524FD">
        <w:t xml:space="preserve">The sponsor </w:t>
      </w:r>
      <w:r>
        <w:t>was asked to</w:t>
      </w:r>
      <w:r w:rsidRPr="00C524FD">
        <w:t xml:space="preserve"> address the following issues in the Pre-ACPM response:</w:t>
      </w:r>
    </w:p>
    <w:p w:rsidR="004B7C7B" w:rsidRPr="004B7C7B" w:rsidRDefault="004B7C7B" w:rsidP="00AC73ED">
      <w:pPr>
        <w:pStyle w:val="Numberbullet0"/>
        <w:numPr>
          <w:ilvl w:val="0"/>
          <w:numId w:val="10"/>
        </w:numPr>
      </w:pPr>
      <w:r w:rsidRPr="004B7C7B">
        <w:t xml:space="preserve">Discuss the grades of </w:t>
      </w:r>
      <w:r w:rsidRPr="00AC73ED">
        <w:t>disease</w:t>
      </w:r>
      <w:r w:rsidRPr="004B7C7B">
        <w:t xml:space="preserve"> severity for patients with nr-</w:t>
      </w:r>
      <w:proofErr w:type="spellStart"/>
      <w:r w:rsidRPr="004B7C7B">
        <w:t>axSp</w:t>
      </w:r>
      <w:r w:rsidR="003B4D95">
        <w:t>A</w:t>
      </w:r>
      <w:proofErr w:type="spellEnd"/>
      <w:r w:rsidRPr="004B7C7B">
        <w:t xml:space="preserve"> in the pivotal study, </w:t>
      </w:r>
      <w:r>
        <w:t>that is,</w:t>
      </w:r>
      <w:r w:rsidRPr="004B7C7B">
        <w:t xml:space="preserve"> mild, moderate and severe and </w:t>
      </w:r>
      <w:r w:rsidR="006E4E5D">
        <w:t xml:space="preserve">provide an explanation as to </w:t>
      </w:r>
      <w:r w:rsidRPr="004B7C7B">
        <w:t xml:space="preserve">why the indication in Europe </w:t>
      </w:r>
      <w:r w:rsidR="006E4E5D">
        <w:t xml:space="preserve">was </w:t>
      </w:r>
      <w:r w:rsidRPr="004B7C7B">
        <w:t>restricted to severe patients only.</w:t>
      </w:r>
    </w:p>
    <w:p w:rsidR="004B7C7B" w:rsidRPr="004B7C7B" w:rsidRDefault="004B7C7B" w:rsidP="00AC73ED">
      <w:pPr>
        <w:pStyle w:val="Numberbullet0"/>
        <w:numPr>
          <w:ilvl w:val="0"/>
          <w:numId w:val="10"/>
        </w:numPr>
      </w:pPr>
      <w:r w:rsidRPr="004B7C7B">
        <w:t xml:space="preserve">Advise when the next </w:t>
      </w:r>
      <w:r w:rsidRPr="00AC73ED">
        <w:t>update</w:t>
      </w:r>
      <w:r w:rsidRPr="004B7C7B">
        <w:t xml:space="preserve"> to the Australian Specific Annex to the RMP will be submitted to the TGA that addresses the matters raised by the RMP evalua</w:t>
      </w:r>
      <w:r w:rsidR="00AC73ED">
        <w:t>tor in the second round report.</w:t>
      </w:r>
    </w:p>
    <w:p w:rsidR="00C524FD" w:rsidRPr="00C524FD" w:rsidRDefault="004B7C7B" w:rsidP="004B7C7B">
      <w:pPr>
        <w:pStyle w:val="Heading4"/>
      </w:pPr>
      <w:r>
        <w:t xml:space="preserve">Delegate’s </w:t>
      </w:r>
      <w:r w:rsidR="00AC73ED">
        <w:t>r</w:t>
      </w:r>
      <w:r w:rsidR="00C524FD" w:rsidRPr="00C524FD">
        <w:t>ecommendation</w:t>
      </w:r>
    </w:p>
    <w:p w:rsidR="00C524FD" w:rsidRPr="00C524FD" w:rsidRDefault="004B7C7B" w:rsidP="00AC73ED">
      <w:r>
        <w:t xml:space="preserve">The Delegate was </w:t>
      </w:r>
      <w:r w:rsidR="00C524FD" w:rsidRPr="00C524FD">
        <w:t xml:space="preserve">inclined to </w:t>
      </w:r>
      <w:r w:rsidR="00C524FD" w:rsidRPr="004B7C7B">
        <w:t>approve</w:t>
      </w:r>
      <w:r w:rsidR="00C524FD" w:rsidRPr="00C524FD">
        <w:t xml:space="preserve"> this submission by </w:t>
      </w:r>
      <w:proofErr w:type="spellStart"/>
      <w:r w:rsidR="00C524FD" w:rsidRPr="00C524FD">
        <w:t>Abbvie</w:t>
      </w:r>
      <w:proofErr w:type="spellEnd"/>
      <w:r w:rsidR="00C524FD" w:rsidRPr="00C524FD">
        <w:t xml:space="preserve"> Pty Ltd to register </w:t>
      </w:r>
      <w:proofErr w:type="spellStart"/>
      <w:r w:rsidR="00C524FD" w:rsidRPr="00C524FD">
        <w:t>Humira</w:t>
      </w:r>
      <w:proofErr w:type="spellEnd"/>
      <w:r w:rsidR="00C524FD" w:rsidRPr="00C524FD">
        <w:t xml:space="preserve"> (</w:t>
      </w:r>
      <w:proofErr w:type="spellStart"/>
      <w:r w:rsidR="00C524FD" w:rsidRPr="00C524FD">
        <w:t>adalimumab</w:t>
      </w:r>
      <w:proofErr w:type="spellEnd"/>
      <w:r w:rsidR="00C524FD" w:rsidRPr="00C524FD">
        <w:t xml:space="preserve">) for the new indication of treatment of non-radiographic axial </w:t>
      </w:r>
      <w:proofErr w:type="spellStart"/>
      <w:r w:rsidR="00C524FD" w:rsidRPr="00C524FD">
        <w:t>spondyloarthritis</w:t>
      </w:r>
      <w:proofErr w:type="spellEnd"/>
      <w:r w:rsidR="00C524FD" w:rsidRPr="00C524FD">
        <w:t xml:space="preserve"> based on the quality, safety and efficacy of the product being satisfactorily established for the indication below and for the reasons stated above in the Risk/Benefit Discussion:</w:t>
      </w:r>
    </w:p>
    <w:p w:rsidR="00C524FD" w:rsidRPr="00AC73ED" w:rsidRDefault="00C524FD" w:rsidP="00AC73ED">
      <w:pPr>
        <w:rPr>
          <w:i/>
        </w:rPr>
      </w:pPr>
      <w:r w:rsidRPr="00AC73ED">
        <w:rPr>
          <w:i/>
        </w:rPr>
        <w:t xml:space="preserve">Non-radiographic Axial </w:t>
      </w:r>
      <w:proofErr w:type="spellStart"/>
      <w:r w:rsidRPr="00AC73ED">
        <w:rPr>
          <w:i/>
        </w:rPr>
        <w:t>Spondyloarthritis</w:t>
      </w:r>
      <w:proofErr w:type="spellEnd"/>
    </w:p>
    <w:p w:rsidR="00C524FD" w:rsidRPr="00AC73ED" w:rsidRDefault="00C524FD" w:rsidP="00AC73ED">
      <w:pPr>
        <w:rPr>
          <w:i/>
        </w:rPr>
      </w:pPr>
      <w:proofErr w:type="spellStart"/>
      <w:r w:rsidRPr="00AC73ED">
        <w:rPr>
          <w:i/>
        </w:rPr>
        <w:t>Humira</w:t>
      </w:r>
      <w:proofErr w:type="spellEnd"/>
      <w:r w:rsidRPr="00AC73ED">
        <w:rPr>
          <w:i/>
        </w:rPr>
        <w:t xml:space="preserve"> is indicated for reducing signs and symptoms in adult patients with active axial </w:t>
      </w:r>
      <w:proofErr w:type="spellStart"/>
      <w:r w:rsidRPr="00AC73ED">
        <w:rPr>
          <w:i/>
        </w:rPr>
        <w:t>spondyloarthritis</w:t>
      </w:r>
      <w:proofErr w:type="spellEnd"/>
      <w:r w:rsidRPr="00AC73ED">
        <w:rPr>
          <w:i/>
        </w:rPr>
        <w:t xml:space="preserve"> without radiographic evidence of ankylosing spondylitis, who have had an inadequate response to, or are intolerant to, </w:t>
      </w:r>
      <w:proofErr w:type="spellStart"/>
      <w:r w:rsidRPr="00AC73ED">
        <w:rPr>
          <w:i/>
        </w:rPr>
        <w:t>nonsteroidal</w:t>
      </w:r>
      <w:proofErr w:type="spellEnd"/>
      <w:r w:rsidRPr="00AC73ED">
        <w:rPr>
          <w:i/>
        </w:rPr>
        <w:t xml:space="preserve"> anti-inflammatory drugs.</w:t>
      </w:r>
    </w:p>
    <w:p w:rsidR="004B7C7B" w:rsidRPr="00C524FD" w:rsidRDefault="004B7C7B" w:rsidP="00AC73ED">
      <w:r w:rsidRPr="004B7C7B">
        <w:lastRenderedPageBreak/>
        <w:t xml:space="preserve">The indication should include adults and be amended as outlined above to those who have had an inadequate response to, or are intolerant to, </w:t>
      </w:r>
      <w:proofErr w:type="spellStart"/>
      <w:r w:rsidRPr="004B7C7B">
        <w:t>nonsteroidal</w:t>
      </w:r>
      <w:proofErr w:type="spellEnd"/>
      <w:r w:rsidRPr="004B7C7B">
        <w:t xml:space="preserve"> anti-inflammatory drugs as per the inclusion criteria of the study, however the wording may require amendments post ACPM.</w:t>
      </w:r>
    </w:p>
    <w:p w:rsidR="004B7C7B" w:rsidRDefault="004B7C7B" w:rsidP="00AC73ED">
      <w:pPr>
        <w:pStyle w:val="Heading5"/>
      </w:pPr>
      <w:r w:rsidRPr="00C524FD">
        <w:t xml:space="preserve">Conditions of </w:t>
      </w:r>
      <w:r w:rsidR="00AC73ED" w:rsidRPr="00AC73ED">
        <w:t>r</w:t>
      </w:r>
      <w:r w:rsidRPr="00AC73ED">
        <w:t>egistration</w:t>
      </w:r>
    </w:p>
    <w:p w:rsidR="004B7C7B" w:rsidRPr="00C524FD" w:rsidRDefault="004B7C7B" w:rsidP="00AC73ED">
      <w:r w:rsidRPr="00C524FD">
        <w:t>The following are proposed as conditions of registration:</w:t>
      </w:r>
    </w:p>
    <w:p w:rsidR="004B7C7B" w:rsidRPr="00C524FD" w:rsidRDefault="004B7C7B" w:rsidP="00AC73ED">
      <w:pPr>
        <w:pStyle w:val="Numberbullet0"/>
      </w:pPr>
      <w:r w:rsidRPr="00C524FD">
        <w:t xml:space="preserve">The </w:t>
      </w:r>
      <w:r w:rsidRPr="00AC73ED">
        <w:t>implementation</w:t>
      </w:r>
      <w:r w:rsidRPr="00C524FD">
        <w:t xml:space="preserve"> in Australia of the Risk Management Plan (RMP) for Adalimumab (edition 10.0, November 2011) with Australian Specific Annex (undated) and any subsequent revisions, as agreed with the TGA.</w:t>
      </w:r>
    </w:p>
    <w:p w:rsidR="004B7C7B" w:rsidRPr="00C524FD" w:rsidRDefault="004B7C7B" w:rsidP="00AC73ED">
      <w:pPr>
        <w:pStyle w:val="Numberbullet0"/>
      </w:pPr>
      <w:r w:rsidRPr="00C524FD">
        <w:t xml:space="preserve">The </w:t>
      </w:r>
      <w:r w:rsidRPr="00AC73ED">
        <w:t>following</w:t>
      </w:r>
      <w:r w:rsidRPr="00C524FD">
        <w:t xml:space="preserve"> studies must be submitted to the TGA, as soon as possible after completion, for evaluation as a Category 1 submission:</w:t>
      </w:r>
    </w:p>
    <w:p w:rsidR="004B7C7B" w:rsidRPr="00C524FD" w:rsidRDefault="004B7C7B" w:rsidP="00AC73ED">
      <w:pPr>
        <w:pStyle w:val="Numberbullet2"/>
      </w:pPr>
      <w:r w:rsidRPr="00C524FD">
        <w:t>Final study report for M10-791 including the 144 week open label extension.</w:t>
      </w:r>
    </w:p>
    <w:p w:rsidR="004B7C7B" w:rsidRPr="00C524FD" w:rsidRDefault="004B7C7B" w:rsidP="00AC73ED">
      <w:pPr>
        <w:pStyle w:val="Heading5"/>
      </w:pPr>
      <w:r w:rsidRPr="00C524FD">
        <w:t xml:space="preserve">Product </w:t>
      </w:r>
      <w:r w:rsidRPr="00AC73ED">
        <w:t>Information</w:t>
      </w:r>
      <w:r w:rsidRPr="00C524FD">
        <w:t xml:space="preserve"> and Consumer Medicine Information</w:t>
      </w:r>
    </w:p>
    <w:p w:rsidR="004B7C7B" w:rsidRDefault="004B7C7B" w:rsidP="00AC73ED">
      <w:r w:rsidRPr="00C524FD">
        <w:t xml:space="preserve">The evaluator’s recommendations for the PI and CMI should be implemented along with </w:t>
      </w:r>
      <w:r>
        <w:t xml:space="preserve">recommendations to the </w:t>
      </w:r>
      <w:r w:rsidRPr="00C22F3B">
        <w:rPr>
          <w:i/>
        </w:rPr>
        <w:t>Clinical Trials</w:t>
      </w:r>
      <w:r>
        <w:t xml:space="preserve">, </w:t>
      </w:r>
      <w:r w:rsidRPr="00C22F3B">
        <w:rPr>
          <w:i/>
        </w:rPr>
        <w:t>Precautions</w:t>
      </w:r>
      <w:r>
        <w:t xml:space="preserve"> section and the </w:t>
      </w:r>
      <w:r w:rsidRPr="004B7C7B">
        <w:rPr>
          <w:i/>
        </w:rPr>
        <w:t>Indications</w:t>
      </w:r>
      <w:r>
        <w:t>.</w:t>
      </w:r>
    </w:p>
    <w:p w:rsidR="004B7C7B" w:rsidRDefault="004B7C7B" w:rsidP="00AC73ED">
      <w:pPr>
        <w:pStyle w:val="Heading6"/>
      </w:pPr>
      <w:r w:rsidRPr="00C524FD">
        <w:t>C</w:t>
      </w:r>
      <w:r>
        <w:t xml:space="preserve">onsumer Medicine </w:t>
      </w:r>
      <w:r w:rsidRPr="00AC73ED">
        <w:t>Information</w:t>
      </w:r>
      <w:r>
        <w:t xml:space="preserve"> (C</w:t>
      </w:r>
      <w:r w:rsidRPr="00C524FD">
        <w:t>MI</w:t>
      </w:r>
      <w:r>
        <w:t>)</w:t>
      </w:r>
    </w:p>
    <w:p w:rsidR="004B7C7B" w:rsidRPr="00C524FD" w:rsidRDefault="004B7C7B" w:rsidP="00AC73ED">
      <w:r>
        <w:t>P</w:t>
      </w:r>
      <w:r w:rsidRPr="00C524FD">
        <w:t>lease provide an updated CMI to incorporate the changes from this submission.</w:t>
      </w:r>
    </w:p>
    <w:p w:rsidR="008E7846" w:rsidRPr="00AC73ED" w:rsidRDefault="008E7846" w:rsidP="00AC73ED">
      <w:pPr>
        <w:pStyle w:val="Heading4"/>
      </w:pPr>
      <w:r>
        <w:t xml:space="preserve">Response from </w:t>
      </w:r>
      <w:r w:rsidR="00AC73ED">
        <w:t>s</w:t>
      </w:r>
      <w:r>
        <w:t>ponsor</w:t>
      </w:r>
    </w:p>
    <w:p w:rsidR="008B3A5C" w:rsidRDefault="00276A76" w:rsidP="00AC73ED">
      <w:proofErr w:type="spellStart"/>
      <w:r w:rsidRPr="00276A76">
        <w:t>AbbVie</w:t>
      </w:r>
      <w:proofErr w:type="spellEnd"/>
      <w:r w:rsidRPr="00276A76">
        <w:t xml:space="preserve"> Pty Ltd agree</w:t>
      </w:r>
      <w:r w:rsidR="00A707A4">
        <w:t>d</w:t>
      </w:r>
      <w:r w:rsidRPr="00276A76">
        <w:t xml:space="preserve"> with the Delegate’s proposed action</w:t>
      </w:r>
      <w:r w:rsidR="008B3A5C">
        <w:t>s as stated above.</w:t>
      </w:r>
    </w:p>
    <w:p w:rsidR="008B3A5C" w:rsidRDefault="008B3A5C" w:rsidP="00AC73ED">
      <w:r>
        <w:t xml:space="preserve">The following extract summarises the sponsor’s response to the </w:t>
      </w:r>
      <w:r w:rsidR="006231D2">
        <w:t xml:space="preserve">questions raised in the </w:t>
      </w:r>
      <w:r>
        <w:t>Delegate’s Overview.</w:t>
      </w:r>
    </w:p>
    <w:p w:rsidR="00276A76" w:rsidRPr="00276A76" w:rsidRDefault="004B7C7B" w:rsidP="00AC73ED">
      <w:pPr>
        <w:pStyle w:val="Heading5"/>
      </w:pPr>
      <w:r>
        <w:t>1. The D</w:t>
      </w:r>
      <w:r w:rsidR="00276A76" w:rsidRPr="00276A76">
        <w:t>elegate suggests the following changes to the PI</w:t>
      </w:r>
    </w:p>
    <w:p w:rsidR="00276A76" w:rsidRPr="00AC73ED" w:rsidRDefault="00276A76" w:rsidP="00AC73ED">
      <w:pPr>
        <w:rPr>
          <w:i/>
        </w:rPr>
      </w:pPr>
      <w:r w:rsidRPr="00AC73ED">
        <w:rPr>
          <w:i/>
        </w:rPr>
        <w:t>Indications:</w:t>
      </w:r>
    </w:p>
    <w:p w:rsidR="00276A76" w:rsidRPr="00276A76" w:rsidRDefault="00276A76" w:rsidP="00AC73ED">
      <w:pPr>
        <w:pStyle w:val="ListBullet"/>
      </w:pPr>
      <w:r w:rsidRPr="00276A76">
        <w:t xml:space="preserve">The indication should include </w:t>
      </w:r>
      <w:r w:rsidRPr="00AC73ED">
        <w:t>adults</w:t>
      </w:r>
      <w:r w:rsidRPr="00276A76">
        <w:t xml:space="preserve"> and be amended as outlined below:</w:t>
      </w:r>
    </w:p>
    <w:p w:rsidR="00276A76" w:rsidRPr="00AC73ED" w:rsidRDefault="00276A76" w:rsidP="00AC73ED">
      <w:pPr>
        <w:rPr>
          <w:i/>
        </w:rPr>
      </w:pPr>
      <w:r w:rsidRPr="00AC73ED">
        <w:rPr>
          <w:i/>
        </w:rPr>
        <w:t xml:space="preserve">Non-radiographic Axial </w:t>
      </w:r>
      <w:proofErr w:type="spellStart"/>
      <w:r w:rsidRPr="00AC73ED">
        <w:rPr>
          <w:i/>
        </w:rPr>
        <w:t>Spondyloarthritis</w:t>
      </w:r>
      <w:proofErr w:type="spellEnd"/>
    </w:p>
    <w:p w:rsidR="00276A76" w:rsidRPr="00AC73ED" w:rsidRDefault="00276A76" w:rsidP="00AC73ED">
      <w:pPr>
        <w:rPr>
          <w:i/>
        </w:rPr>
      </w:pPr>
      <w:proofErr w:type="spellStart"/>
      <w:r w:rsidRPr="00AC73ED">
        <w:rPr>
          <w:i/>
        </w:rPr>
        <w:t>Humira</w:t>
      </w:r>
      <w:proofErr w:type="spellEnd"/>
      <w:r w:rsidRPr="00AC73ED">
        <w:rPr>
          <w:i/>
        </w:rPr>
        <w:t xml:space="preserve"> is indicated for reducing signs and symptoms in adult patients with active</w:t>
      </w:r>
      <w:r w:rsidR="004B7C7B" w:rsidRPr="00AC73ED">
        <w:rPr>
          <w:i/>
        </w:rPr>
        <w:t xml:space="preserve"> </w:t>
      </w:r>
      <w:r w:rsidRPr="00AC73ED">
        <w:rPr>
          <w:i/>
        </w:rPr>
        <w:t xml:space="preserve">axial </w:t>
      </w:r>
      <w:proofErr w:type="spellStart"/>
      <w:r w:rsidRPr="00AC73ED">
        <w:rPr>
          <w:i/>
        </w:rPr>
        <w:t>spondyloarthritis</w:t>
      </w:r>
      <w:proofErr w:type="spellEnd"/>
      <w:r w:rsidRPr="00AC73ED">
        <w:rPr>
          <w:i/>
        </w:rPr>
        <w:t xml:space="preserve"> without radiographic evidence of ankylosing spondylitis, who</w:t>
      </w:r>
      <w:r w:rsidR="004B7C7B" w:rsidRPr="00AC73ED">
        <w:rPr>
          <w:i/>
        </w:rPr>
        <w:t xml:space="preserve"> </w:t>
      </w:r>
      <w:r w:rsidRPr="00AC73ED">
        <w:rPr>
          <w:i/>
        </w:rPr>
        <w:t xml:space="preserve">have had an inadequate response to, or are intolerant to, </w:t>
      </w:r>
      <w:proofErr w:type="spellStart"/>
      <w:r w:rsidRPr="00AC73ED">
        <w:rPr>
          <w:i/>
        </w:rPr>
        <w:t>nonsteroidal</w:t>
      </w:r>
      <w:proofErr w:type="spellEnd"/>
      <w:r w:rsidRPr="00AC73ED">
        <w:rPr>
          <w:i/>
        </w:rPr>
        <w:t xml:space="preserve"> </w:t>
      </w:r>
      <w:r w:rsidR="004B7C7B" w:rsidRPr="00AC73ED">
        <w:rPr>
          <w:i/>
        </w:rPr>
        <w:t xml:space="preserve">anti-inflammatory </w:t>
      </w:r>
      <w:r w:rsidRPr="00AC73ED">
        <w:rPr>
          <w:i/>
        </w:rPr>
        <w:t>drugs.</w:t>
      </w:r>
    </w:p>
    <w:p w:rsidR="00276A76" w:rsidRPr="00276A76" w:rsidRDefault="0014061E" w:rsidP="00AC73ED">
      <w:pPr>
        <w:pStyle w:val="Heading6"/>
      </w:pPr>
      <w:r>
        <w:t xml:space="preserve">Sponsor </w:t>
      </w:r>
      <w:r w:rsidR="00AC73ED" w:rsidRPr="00AC73ED">
        <w:t>r</w:t>
      </w:r>
      <w:r w:rsidR="00276A76" w:rsidRPr="00AC73ED">
        <w:t>esponse</w:t>
      </w:r>
      <w:r w:rsidR="00276A76" w:rsidRPr="00276A76">
        <w:t>:</w:t>
      </w:r>
    </w:p>
    <w:p w:rsidR="00A707A4" w:rsidRDefault="00276A76" w:rsidP="00AC73ED">
      <w:proofErr w:type="spellStart"/>
      <w:r w:rsidRPr="00276A76">
        <w:t>AbbVie</w:t>
      </w:r>
      <w:proofErr w:type="spellEnd"/>
      <w:r w:rsidRPr="00276A76">
        <w:t xml:space="preserve"> agree</w:t>
      </w:r>
      <w:r w:rsidR="00A707A4">
        <w:t>d</w:t>
      </w:r>
      <w:r w:rsidRPr="00276A76">
        <w:t xml:space="preserve"> to include the words “adults”, “active”, and “who have had an inadequate</w:t>
      </w:r>
      <w:r w:rsidR="004B7C7B">
        <w:t xml:space="preserve"> </w:t>
      </w:r>
      <w:r w:rsidRPr="00276A76">
        <w:t xml:space="preserve">response to, or are intolerant to, </w:t>
      </w:r>
      <w:proofErr w:type="spellStart"/>
      <w:r w:rsidRPr="00276A76">
        <w:t>nonsteroidal</w:t>
      </w:r>
      <w:proofErr w:type="spellEnd"/>
      <w:r w:rsidRPr="00276A76">
        <w:t xml:space="preserve"> anti-inflammatory drugs” in the indication</w:t>
      </w:r>
      <w:r w:rsidR="004B7C7B">
        <w:t xml:space="preserve"> </w:t>
      </w:r>
      <w:r w:rsidR="00AC73ED">
        <w:t>wordings.</w:t>
      </w:r>
    </w:p>
    <w:p w:rsidR="00276A76" w:rsidRPr="00276A76" w:rsidRDefault="00276A76" w:rsidP="00AC73ED">
      <w:pPr>
        <w:pStyle w:val="Heading5"/>
      </w:pPr>
      <w:r w:rsidRPr="00276A76">
        <w:t>2. Discuss the grades of disease severity for patients with nr-</w:t>
      </w:r>
      <w:proofErr w:type="spellStart"/>
      <w:r w:rsidRPr="00276A76">
        <w:t>axSpa</w:t>
      </w:r>
      <w:proofErr w:type="spellEnd"/>
      <w:r w:rsidRPr="00276A76">
        <w:t xml:space="preserve"> in the pivotal study,</w:t>
      </w:r>
      <w:r w:rsidR="004B7C7B">
        <w:t xml:space="preserve"> that is, </w:t>
      </w:r>
      <w:r w:rsidRPr="00276A76">
        <w:t xml:space="preserve">mild, moderate and severe and why the indication in Europe </w:t>
      </w:r>
      <w:r w:rsidR="006E4E5D">
        <w:t>was</w:t>
      </w:r>
      <w:r w:rsidR="007C467F">
        <w:t xml:space="preserve"> </w:t>
      </w:r>
      <w:r w:rsidRPr="00276A76">
        <w:t>restricted to</w:t>
      </w:r>
      <w:r w:rsidR="004B7C7B">
        <w:t xml:space="preserve"> </w:t>
      </w:r>
      <w:r w:rsidRPr="00276A76">
        <w:t>severe patients only.</w:t>
      </w:r>
    </w:p>
    <w:p w:rsidR="00276A76" w:rsidRPr="00276A76" w:rsidRDefault="0014061E" w:rsidP="00AC73ED">
      <w:pPr>
        <w:pStyle w:val="Heading6"/>
      </w:pPr>
      <w:r>
        <w:t xml:space="preserve">Sponsor </w:t>
      </w:r>
      <w:r w:rsidR="00AC73ED">
        <w:t>r</w:t>
      </w:r>
      <w:r w:rsidR="00276A76" w:rsidRPr="00276A76">
        <w:t>esponse:</w:t>
      </w:r>
    </w:p>
    <w:p w:rsidR="00276A76" w:rsidRPr="00276A76" w:rsidRDefault="00276A76" w:rsidP="00AC73ED">
      <w:r w:rsidRPr="00276A76">
        <w:t xml:space="preserve">Subjects in study M10-791 were required to have a Bath AS Disease Activity Index (BASDAI) </w:t>
      </w:r>
      <w:r w:rsidR="001759A9">
        <w:t>≥</w:t>
      </w:r>
      <w:r w:rsidR="004B7C7B">
        <w:t xml:space="preserve"> </w:t>
      </w:r>
      <w:r w:rsidRPr="00276A76">
        <w:t>4 at both the Screening and Baseline visits which reflects moderate to severe disease activity.</w:t>
      </w:r>
    </w:p>
    <w:p w:rsidR="00276A76" w:rsidRPr="00276A76" w:rsidRDefault="00276A76" w:rsidP="00AC73ED">
      <w:r w:rsidRPr="00276A76">
        <w:t>The indication in Europe was limited to severe patients to align with the approved indication for</w:t>
      </w:r>
      <w:r w:rsidR="004B7C7B">
        <w:t xml:space="preserve"> </w:t>
      </w:r>
      <w:r w:rsidRPr="00276A76">
        <w:t>ankylosing spondylitis.</w:t>
      </w:r>
    </w:p>
    <w:p w:rsidR="00276A76" w:rsidRPr="00276A76" w:rsidRDefault="00276A76" w:rsidP="00AC73ED">
      <w:pPr>
        <w:pStyle w:val="Heading5"/>
      </w:pPr>
      <w:r w:rsidRPr="00276A76">
        <w:lastRenderedPageBreak/>
        <w:t>3. Advise when the next update to the Australian Specific Annex to the RMP will be</w:t>
      </w:r>
      <w:r w:rsidR="0014061E">
        <w:t xml:space="preserve"> </w:t>
      </w:r>
      <w:r w:rsidRPr="00276A76">
        <w:t>submitted to the TGA that addresses the matters raised by the RMP evaluator in the</w:t>
      </w:r>
      <w:r w:rsidR="0014061E">
        <w:t xml:space="preserve"> </w:t>
      </w:r>
      <w:r w:rsidRPr="00276A76">
        <w:t>second round report.</w:t>
      </w:r>
    </w:p>
    <w:p w:rsidR="00276A76" w:rsidRPr="00276A76" w:rsidRDefault="0014061E" w:rsidP="00AC73ED">
      <w:pPr>
        <w:pStyle w:val="Heading6"/>
      </w:pPr>
      <w:r>
        <w:t xml:space="preserve">Sponsor </w:t>
      </w:r>
      <w:r w:rsidR="00AC73ED">
        <w:t>r</w:t>
      </w:r>
      <w:r w:rsidR="00276A76" w:rsidRPr="00276A76">
        <w:t>esponse:</w:t>
      </w:r>
    </w:p>
    <w:p w:rsidR="00276A76" w:rsidRPr="00276A76" w:rsidRDefault="00276A76" w:rsidP="00AC73ED">
      <w:r w:rsidRPr="00276A76">
        <w:t>The RMP has been updated and a copy w</w:t>
      </w:r>
      <w:r w:rsidR="00A707A4">
        <w:t>as</w:t>
      </w:r>
      <w:r w:rsidRPr="00276A76">
        <w:t xml:space="preserve"> included </w:t>
      </w:r>
      <w:r w:rsidR="001759A9">
        <w:t>with</w:t>
      </w:r>
      <w:r w:rsidRPr="00276A76">
        <w:t xml:space="preserve"> the </w:t>
      </w:r>
      <w:r w:rsidR="00A707A4">
        <w:t xml:space="preserve">sponsor’s </w:t>
      </w:r>
      <w:r w:rsidRPr="00276A76">
        <w:t>Pre-ACPM submission.</w:t>
      </w:r>
    </w:p>
    <w:p w:rsidR="00276A76" w:rsidRPr="00276A76" w:rsidRDefault="00276A76" w:rsidP="00AC73ED">
      <w:pPr>
        <w:pStyle w:val="Heading5"/>
      </w:pPr>
      <w:r w:rsidRPr="00276A76">
        <w:t xml:space="preserve">4. Is non-radiographic axial </w:t>
      </w:r>
      <w:proofErr w:type="spellStart"/>
      <w:r w:rsidRPr="00276A76">
        <w:t>spondyloarthritis</w:t>
      </w:r>
      <w:proofErr w:type="spellEnd"/>
      <w:r w:rsidRPr="00276A76">
        <w:t xml:space="preserve"> a disease with consistently defined and</w:t>
      </w:r>
      <w:r w:rsidR="004B7C7B">
        <w:t xml:space="preserve"> </w:t>
      </w:r>
      <w:r w:rsidRPr="00276A76">
        <w:t>agreed diagnostic criteria that supports a new indication?</w:t>
      </w:r>
    </w:p>
    <w:p w:rsidR="00276A76" w:rsidRPr="00276A76" w:rsidRDefault="0014061E" w:rsidP="00AC73ED">
      <w:pPr>
        <w:pStyle w:val="Heading6"/>
      </w:pPr>
      <w:r>
        <w:t xml:space="preserve">Sponsor </w:t>
      </w:r>
      <w:r w:rsidR="00AC73ED">
        <w:t>r</w:t>
      </w:r>
      <w:r w:rsidR="00276A76" w:rsidRPr="00276A76">
        <w:t>esponse:</w:t>
      </w:r>
    </w:p>
    <w:p w:rsidR="00276A76" w:rsidRPr="00276A76" w:rsidRDefault="00276A76" w:rsidP="00AC73ED">
      <w:r w:rsidRPr="00276A76">
        <w:t xml:space="preserve">The sponsor believes that non-radiographic axial </w:t>
      </w:r>
      <w:proofErr w:type="spellStart"/>
      <w:r w:rsidRPr="00276A76">
        <w:t>spondyloarthritis</w:t>
      </w:r>
      <w:proofErr w:type="spellEnd"/>
      <w:r w:rsidRPr="00276A76">
        <w:t xml:space="preserve"> is a disease with consistently</w:t>
      </w:r>
      <w:r w:rsidR="004B7C7B">
        <w:t xml:space="preserve"> </w:t>
      </w:r>
      <w:r w:rsidRPr="00276A76">
        <w:t>defined and agreed diagnostic criteria that supports a new indication.</w:t>
      </w:r>
    </w:p>
    <w:p w:rsidR="00276A76" w:rsidRPr="00276A76" w:rsidRDefault="00276A76" w:rsidP="00AC73ED">
      <w:pPr>
        <w:pStyle w:val="Heading6"/>
      </w:pPr>
      <w:r w:rsidRPr="00AC73ED">
        <w:t>Background</w:t>
      </w:r>
      <w:r w:rsidRPr="00276A76">
        <w:t xml:space="preserve"> to axial </w:t>
      </w:r>
      <w:proofErr w:type="spellStart"/>
      <w:r w:rsidRPr="00276A76">
        <w:t>spondyloarthritis</w:t>
      </w:r>
      <w:proofErr w:type="spellEnd"/>
    </w:p>
    <w:p w:rsidR="00276A76" w:rsidRPr="00276A76" w:rsidRDefault="00276A76" w:rsidP="00AC73ED">
      <w:proofErr w:type="spellStart"/>
      <w:r w:rsidRPr="00276A76">
        <w:t>Spondyloarthritis</w:t>
      </w:r>
      <w:proofErr w:type="spellEnd"/>
      <w:r w:rsidRPr="00276A76">
        <w:t xml:space="preserve"> (</w:t>
      </w:r>
      <w:proofErr w:type="spellStart"/>
      <w:r w:rsidRPr="00276A76">
        <w:t>SpA</w:t>
      </w:r>
      <w:proofErr w:type="spellEnd"/>
      <w:r w:rsidRPr="00276A76">
        <w:t>) is a group of diseases that share common clinical, radiographic, and</w:t>
      </w:r>
      <w:r w:rsidR="004B7C7B">
        <w:t xml:space="preserve"> </w:t>
      </w:r>
      <w:r w:rsidRPr="00276A76">
        <w:t>genetic features.</w:t>
      </w:r>
      <w:bookmarkStart w:id="179" w:name="_Ref372619862"/>
      <w:r w:rsidR="00DF2C31">
        <w:rPr>
          <w:rStyle w:val="FootnoteReference"/>
        </w:rPr>
        <w:footnoteReference w:id="5"/>
      </w:r>
      <w:bookmarkEnd w:id="179"/>
      <w:r w:rsidR="00DF2C31">
        <w:t xml:space="preserve"> </w:t>
      </w:r>
      <w:r w:rsidRPr="00276A76">
        <w:t>Included in this group are ankylosing spondylitis (AS), psoriatic arthritis,</w:t>
      </w:r>
      <w:r w:rsidR="004B7C7B">
        <w:t xml:space="preserve"> </w:t>
      </w:r>
      <w:r w:rsidRPr="00276A76">
        <w:t xml:space="preserve">reactive arthritis, </w:t>
      </w:r>
      <w:proofErr w:type="spellStart"/>
      <w:r w:rsidRPr="00276A76">
        <w:t>enteropathic</w:t>
      </w:r>
      <w:proofErr w:type="spellEnd"/>
      <w:r w:rsidRPr="00276A76">
        <w:t xml:space="preserve"> or inflammatory bowel disease (IBD)-related arthritis, and</w:t>
      </w:r>
      <w:r w:rsidR="004B7C7B">
        <w:t xml:space="preserve"> </w:t>
      </w:r>
      <w:r w:rsidRPr="00276A76">
        <w:t>undifferent</w:t>
      </w:r>
      <w:r w:rsidRPr="00DF2C31">
        <w:t>iated SpA.</w:t>
      </w:r>
      <w:r w:rsidR="00D97091">
        <w:fldChar w:fldCharType="begin"/>
      </w:r>
      <w:r w:rsidR="00D97091">
        <w:instrText xml:space="preserve"> NOTEREF _Ref372619862 \h  \* MERGEFORMAT </w:instrText>
      </w:r>
      <w:r w:rsidR="00D97091">
        <w:fldChar w:fldCharType="separate"/>
      </w:r>
      <w:r w:rsidR="00CE3278" w:rsidRPr="00CE3278">
        <w:t>5</w:t>
      </w:r>
      <w:r w:rsidR="00D97091">
        <w:fldChar w:fldCharType="end"/>
      </w:r>
      <w:r w:rsidRPr="00DF2C31">
        <w:t xml:space="preserve"> Amon</w:t>
      </w:r>
      <w:r w:rsidRPr="00276A76">
        <w:t>g these inflammatory diseases, there is an overlap of signs and</w:t>
      </w:r>
      <w:r w:rsidR="004B7C7B">
        <w:t xml:space="preserve"> </w:t>
      </w:r>
      <w:r w:rsidRPr="00276A76">
        <w:t xml:space="preserve">symptoms. When evaluating patients for a diagnosis of </w:t>
      </w:r>
      <w:proofErr w:type="spellStart"/>
      <w:r w:rsidRPr="00276A76">
        <w:t>SpA</w:t>
      </w:r>
      <w:proofErr w:type="spellEnd"/>
      <w:r w:rsidRPr="00276A76">
        <w:t>, a useful distinction that</w:t>
      </w:r>
      <w:r w:rsidR="004B7C7B">
        <w:t xml:space="preserve"> </w:t>
      </w:r>
      <w:r w:rsidRPr="00276A76">
        <w:t>rheumatologists usually make is to first determine if patients have either predominantly axial or</w:t>
      </w:r>
      <w:r>
        <w:t xml:space="preserve"> </w:t>
      </w:r>
      <w:r w:rsidRPr="00276A76">
        <w:t>predominantly peripheral manifestations; the main reason being that the treatment should be</w:t>
      </w:r>
      <w:r w:rsidR="004B7C7B">
        <w:t xml:space="preserve"> </w:t>
      </w:r>
      <w:r w:rsidRPr="00276A76">
        <w:t>directed to the most important manifestation.</w:t>
      </w:r>
    </w:p>
    <w:p w:rsidR="00DF2C31" w:rsidRDefault="00276A76" w:rsidP="00AC73ED">
      <w:r w:rsidRPr="00276A76">
        <w:t xml:space="preserve">Axial </w:t>
      </w:r>
      <w:proofErr w:type="spellStart"/>
      <w:r w:rsidRPr="00276A76">
        <w:t>SpA</w:t>
      </w:r>
      <w:proofErr w:type="spellEnd"/>
      <w:r w:rsidRPr="00276A76">
        <w:t xml:space="preserve"> (</w:t>
      </w:r>
      <w:proofErr w:type="spellStart"/>
      <w:r w:rsidRPr="00276A76">
        <w:t>axSpA</w:t>
      </w:r>
      <w:proofErr w:type="spellEnd"/>
      <w:r w:rsidRPr="00276A76">
        <w:t>) is a chronic inflammatory disease that primarily affects the axial skeleton</w:t>
      </w:r>
      <w:r w:rsidR="004B7C7B">
        <w:t xml:space="preserve"> </w:t>
      </w:r>
      <w:r w:rsidRPr="00276A76">
        <w:t xml:space="preserve">(the sacroiliac [SI] joints and spine). Patients diagnosed with </w:t>
      </w:r>
      <w:proofErr w:type="spellStart"/>
      <w:r w:rsidRPr="00276A76">
        <w:t>axSpA</w:t>
      </w:r>
      <w:proofErr w:type="spellEnd"/>
      <w:r w:rsidRPr="00276A76">
        <w:t xml:space="preserve"> can be distinguished from</w:t>
      </w:r>
      <w:r w:rsidR="004B7C7B">
        <w:t xml:space="preserve"> </w:t>
      </w:r>
      <w:r w:rsidRPr="00276A76">
        <w:t>those who may have non-inflammatory causes of back pain based on a combination of any of the</w:t>
      </w:r>
      <w:r w:rsidR="004B7C7B">
        <w:t xml:space="preserve"> </w:t>
      </w:r>
      <w:r w:rsidRPr="00276A76">
        <w:t>following signs and symptoms: the characteristics of the back pain (</w:t>
      </w:r>
      <w:r w:rsidR="00E72E2D">
        <w:t>that is,</w:t>
      </w:r>
      <w:r w:rsidRPr="00276A76">
        <w:t xml:space="preserve"> worsening with rest and</w:t>
      </w:r>
      <w:r w:rsidR="004B7C7B">
        <w:t xml:space="preserve"> </w:t>
      </w:r>
      <w:r w:rsidRPr="00276A76">
        <w:t>improvement with exercise suggest inflammatory back pain); accompanying peripheral (</w:t>
      </w:r>
      <w:r w:rsidR="004B7C7B">
        <w:t xml:space="preserve">that is, </w:t>
      </w:r>
      <w:proofErr w:type="spellStart"/>
      <w:r w:rsidRPr="00276A76">
        <w:t>enthesitis</w:t>
      </w:r>
      <w:proofErr w:type="spellEnd"/>
      <w:r w:rsidRPr="00276A76">
        <w:t xml:space="preserve">, arthritis, </w:t>
      </w:r>
      <w:proofErr w:type="spellStart"/>
      <w:r w:rsidRPr="00276A76">
        <w:t>dactylitis</w:t>
      </w:r>
      <w:proofErr w:type="spellEnd"/>
      <w:r w:rsidRPr="00276A76">
        <w:t>) and extra-articular manifestations (</w:t>
      </w:r>
      <w:r w:rsidR="00E72E2D">
        <w:t>that is,</w:t>
      </w:r>
      <w:r w:rsidRPr="00276A76">
        <w:t xml:space="preserve"> uveitis, IBD, psoriasis); the</w:t>
      </w:r>
      <w:r w:rsidR="004B7C7B">
        <w:t xml:space="preserve"> </w:t>
      </w:r>
      <w:r w:rsidRPr="00276A76">
        <w:t>presence of the genetic marker human leukocyte antigen (HLA)-B27; the presence of signs of</w:t>
      </w:r>
      <w:r w:rsidR="004B7C7B">
        <w:t xml:space="preserve"> </w:t>
      </w:r>
      <w:r w:rsidRPr="00276A76">
        <w:t>inflammation in the lab (</w:t>
      </w:r>
      <w:r w:rsidR="007F54EE">
        <w:t>that is,</w:t>
      </w:r>
      <w:r w:rsidRPr="00276A76">
        <w:t xml:space="preserve"> C-reactive protein [CRP], erythrocyte sedimentation rate [ESR]);</w:t>
      </w:r>
      <w:r w:rsidR="004B7C7B">
        <w:t xml:space="preserve"> </w:t>
      </w:r>
      <w:r w:rsidRPr="00276A76">
        <w:t>imaging evidence of inflammation on MRI of the SI joints, or structural damage on the</w:t>
      </w:r>
      <w:r w:rsidR="004B7C7B">
        <w:t xml:space="preserve"> </w:t>
      </w:r>
      <w:r w:rsidRPr="00276A76">
        <w:t>radiographs of the SI j</w:t>
      </w:r>
      <w:r w:rsidRPr="00DF2C31">
        <w:t>oints.</w:t>
      </w:r>
      <w:bookmarkStart w:id="180" w:name="_Ref372620053"/>
      <w:r w:rsidR="00DF2C31" w:rsidRPr="00DF2C31">
        <w:rPr>
          <w:rStyle w:val="FootnoteReference"/>
        </w:rPr>
        <w:footnoteReference w:id="6"/>
      </w:r>
      <w:bookmarkEnd w:id="180"/>
    </w:p>
    <w:p w:rsidR="00276A76" w:rsidRPr="00276A76" w:rsidRDefault="00276A76" w:rsidP="00AC73ED">
      <w:r w:rsidRPr="00276A76">
        <w:t xml:space="preserve">Historically, patients with </w:t>
      </w:r>
      <w:proofErr w:type="spellStart"/>
      <w:r w:rsidRPr="00276A76">
        <w:t>axSpA</w:t>
      </w:r>
      <w:proofErr w:type="spellEnd"/>
      <w:r w:rsidRPr="00276A76">
        <w:t xml:space="preserve"> were only identified when there was evidence of structural</w:t>
      </w:r>
      <w:r w:rsidR="007F54EE">
        <w:t xml:space="preserve"> </w:t>
      </w:r>
      <w:r w:rsidRPr="00276A76">
        <w:t xml:space="preserve">damage of the SI joints on the radiographs (radiographic </w:t>
      </w:r>
      <w:proofErr w:type="spellStart"/>
      <w:r w:rsidRPr="00276A76">
        <w:t>sacroiliitis</w:t>
      </w:r>
      <w:proofErr w:type="spellEnd"/>
      <w:r w:rsidRPr="00276A76">
        <w:t>, as determined by the</w:t>
      </w:r>
      <w:r w:rsidR="007F54EE">
        <w:t xml:space="preserve"> </w:t>
      </w:r>
      <w:r w:rsidRPr="00276A76">
        <w:t>modified New York [</w:t>
      </w:r>
      <w:proofErr w:type="spellStart"/>
      <w:r w:rsidRPr="00276A76">
        <w:t>mNY</w:t>
      </w:r>
      <w:proofErr w:type="spellEnd"/>
      <w:r w:rsidRPr="00276A76">
        <w:t>] c</w:t>
      </w:r>
      <w:r w:rsidRPr="00DF2C31">
        <w:t>riteria)</w:t>
      </w:r>
      <w:bookmarkStart w:id="181" w:name="_Ref372619980"/>
      <w:r w:rsidR="00DF2C31" w:rsidRPr="00DF2C31">
        <w:rPr>
          <w:rStyle w:val="FootnoteReference"/>
        </w:rPr>
        <w:footnoteReference w:id="7"/>
      </w:r>
      <w:bookmarkEnd w:id="181"/>
      <w:r w:rsidRPr="00DF2C31">
        <w:t xml:space="preserve"> and s</w:t>
      </w:r>
      <w:r w:rsidRPr="00276A76">
        <w:t>uch patients were diagnosed as having AS.</w:t>
      </w:r>
      <w:r w:rsidR="007F54EE">
        <w:t xml:space="preserve"> </w:t>
      </w:r>
      <w:r w:rsidRPr="00276A76">
        <w:t xml:space="preserve">Advances in the knowledge of </w:t>
      </w:r>
      <w:proofErr w:type="spellStart"/>
      <w:r w:rsidRPr="00276A76">
        <w:t>axSpA</w:t>
      </w:r>
      <w:proofErr w:type="spellEnd"/>
      <w:r w:rsidRPr="00276A76">
        <w:t xml:space="preserve"> has led to the understanding that some patients who have</w:t>
      </w:r>
      <w:r w:rsidR="007F54EE">
        <w:t xml:space="preserve"> </w:t>
      </w:r>
      <w:r w:rsidRPr="00276A76">
        <w:t>the clinical manifestations typical of this disease may not have evidence of radiographic</w:t>
      </w:r>
      <w:r w:rsidR="007F54EE">
        <w:t xml:space="preserve"> </w:t>
      </w:r>
      <w:proofErr w:type="spellStart"/>
      <w:r w:rsidRPr="00276A76">
        <w:t>sacroiliitis</w:t>
      </w:r>
      <w:proofErr w:type="spellEnd"/>
      <w:r w:rsidRPr="00276A76">
        <w:t xml:space="preserve"> at presentation and such patients are now diagnosed as having non-radiographic</w:t>
      </w:r>
      <w:r w:rsidR="007F54EE">
        <w:t xml:space="preserve"> </w:t>
      </w:r>
      <w:proofErr w:type="spellStart"/>
      <w:r w:rsidRPr="00276A76">
        <w:t>axSpA</w:t>
      </w:r>
      <w:proofErr w:type="spellEnd"/>
      <w:r w:rsidRPr="00276A76">
        <w:t xml:space="preserve"> (nr-</w:t>
      </w:r>
      <w:proofErr w:type="spellStart"/>
      <w:r w:rsidRPr="00276A76">
        <w:t>axSpA</w:t>
      </w:r>
      <w:proofErr w:type="spellEnd"/>
      <w:r w:rsidRPr="00276A76">
        <w:t>).</w:t>
      </w:r>
      <w:bookmarkStart w:id="182" w:name="_Ref372620166"/>
      <w:r w:rsidR="00DF2C31">
        <w:rPr>
          <w:rStyle w:val="FootnoteReference"/>
        </w:rPr>
        <w:footnoteReference w:id="8"/>
      </w:r>
      <w:bookmarkEnd w:id="182"/>
      <w:r w:rsidRPr="00276A76">
        <w:t>Therefore, both AS and nr-</w:t>
      </w:r>
      <w:proofErr w:type="spellStart"/>
      <w:r w:rsidRPr="00276A76">
        <w:t>axSpA</w:t>
      </w:r>
      <w:proofErr w:type="spellEnd"/>
      <w:r w:rsidRPr="00276A76">
        <w:t xml:space="preserve"> represent the spectrum of </w:t>
      </w:r>
      <w:proofErr w:type="spellStart"/>
      <w:r w:rsidRPr="00276A76">
        <w:t>axSpA</w:t>
      </w:r>
      <w:proofErr w:type="spellEnd"/>
      <w:r w:rsidRPr="00276A76">
        <w:t>, with</w:t>
      </w:r>
      <w:r w:rsidR="007F54EE">
        <w:t xml:space="preserve"> </w:t>
      </w:r>
      <w:r w:rsidRPr="00276A76">
        <w:t xml:space="preserve">the presence or absence of radiographic </w:t>
      </w:r>
      <w:proofErr w:type="spellStart"/>
      <w:r w:rsidRPr="00276A76">
        <w:t>sacroiliitis</w:t>
      </w:r>
      <w:proofErr w:type="spellEnd"/>
      <w:r w:rsidRPr="00276A76">
        <w:t xml:space="preserve"> as the only differentiating clinical feature.</w:t>
      </w:r>
    </w:p>
    <w:p w:rsidR="00276A76" w:rsidRPr="00276A76" w:rsidRDefault="00276A76" w:rsidP="00AC73ED">
      <w:r w:rsidRPr="00276A76">
        <w:t xml:space="preserve">Using radiographs to make a diagnosis of axial </w:t>
      </w:r>
      <w:proofErr w:type="spellStart"/>
      <w:r w:rsidRPr="00276A76">
        <w:t>SpA</w:t>
      </w:r>
      <w:proofErr w:type="spellEnd"/>
      <w:r w:rsidRPr="00276A76">
        <w:t xml:space="preserve"> presents several challenges. Radiographs</w:t>
      </w:r>
      <w:r w:rsidR="007F54EE">
        <w:t xml:space="preserve"> </w:t>
      </w:r>
      <w:r w:rsidRPr="00276A76">
        <w:t xml:space="preserve">detect </w:t>
      </w:r>
      <w:proofErr w:type="spellStart"/>
      <w:r w:rsidRPr="00276A76">
        <w:t>sacroiliitis</w:t>
      </w:r>
      <w:proofErr w:type="spellEnd"/>
      <w:r w:rsidRPr="00276A76">
        <w:t xml:space="preserve"> in the form of structural damage but not inflammation, </w:t>
      </w:r>
      <w:r w:rsidRPr="00276A76">
        <w:lastRenderedPageBreak/>
        <w:t>thereby causing a delay</w:t>
      </w:r>
      <w:r w:rsidR="007F54EE">
        <w:t xml:space="preserve"> </w:t>
      </w:r>
      <w:r w:rsidRPr="00276A76">
        <w:t xml:space="preserve">in diagnosis for patients with </w:t>
      </w:r>
      <w:proofErr w:type="spellStart"/>
      <w:r w:rsidRPr="00276A76">
        <w:t>axSpA</w:t>
      </w:r>
      <w:proofErr w:type="spellEnd"/>
      <w:r w:rsidRPr="00276A76">
        <w:t xml:space="preserve"> without radiographic </w:t>
      </w:r>
      <w:proofErr w:type="spellStart"/>
      <w:r w:rsidRPr="00276A76">
        <w:t>sacroiliitis</w:t>
      </w:r>
      <w:proofErr w:type="spellEnd"/>
      <w:r w:rsidRPr="00276A76">
        <w:t xml:space="preserve"> (nr-</w:t>
      </w:r>
      <w:proofErr w:type="spellStart"/>
      <w:r w:rsidRPr="00276A76">
        <w:t>axSpA</w:t>
      </w:r>
      <w:proofErr w:type="spellEnd"/>
      <w:r w:rsidRPr="00276A76">
        <w:t>).</w:t>
      </w:r>
      <w:r w:rsidR="00DF2C31">
        <w:rPr>
          <w:rStyle w:val="FootnoteReference"/>
        </w:rPr>
        <w:footnoteReference w:id="9"/>
      </w:r>
    </w:p>
    <w:p w:rsidR="00276A76" w:rsidRPr="00276A76" w:rsidRDefault="00276A76" w:rsidP="00AC73ED">
      <w:r w:rsidRPr="00276A76">
        <w:t>There is also</w:t>
      </w:r>
      <w:r w:rsidR="007F54EE">
        <w:t xml:space="preserve"> </w:t>
      </w:r>
      <w:r w:rsidRPr="00276A76">
        <w:t xml:space="preserve">variability in how radiographs are interpreted for the presence of </w:t>
      </w:r>
      <w:proofErr w:type="gramStart"/>
      <w:r w:rsidRPr="00276A76">
        <w:t>radiographic</w:t>
      </w:r>
      <w:proofErr w:type="gramEnd"/>
      <w:r w:rsidRPr="00276A76">
        <w:t xml:space="preserve"> </w:t>
      </w:r>
      <w:proofErr w:type="spellStart"/>
      <w:r w:rsidRPr="00276A76">
        <w:t>sacroil</w:t>
      </w:r>
      <w:r w:rsidRPr="00DF2C31">
        <w:t>iitis</w:t>
      </w:r>
      <w:proofErr w:type="spellEnd"/>
      <w:r w:rsidRPr="00DF2C31">
        <w:t>.</w:t>
      </w:r>
      <w:bookmarkStart w:id="183" w:name="_Ref372620123"/>
      <w:r w:rsidR="00DF2C31" w:rsidRPr="00DF2C31">
        <w:rPr>
          <w:rStyle w:val="FootnoteReference"/>
        </w:rPr>
        <w:footnoteReference w:id="10"/>
      </w:r>
      <w:bookmarkEnd w:id="183"/>
      <w:r w:rsidRPr="00DF2C31">
        <w:t xml:space="preserve"> With</w:t>
      </w:r>
      <w:r w:rsidR="007F54EE" w:rsidRPr="00DF2C31">
        <w:t xml:space="preserve"> </w:t>
      </w:r>
      <w:r w:rsidRPr="00DF2C31">
        <w:t>t</w:t>
      </w:r>
      <w:r w:rsidRPr="00276A76">
        <w:t>he advent of magnetic resonance imaging (MRI)</w:t>
      </w:r>
      <w:r w:rsidR="00E72E2D">
        <w:t xml:space="preserve"> it is now possible to visualis</w:t>
      </w:r>
      <w:r w:rsidRPr="00276A76">
        <w:t>e acute</w:t>
      </w:r>
      <w:r w:rsidR="007F54EE">
        <w:t xml:space="preserve"> </w:t>
      </w:r>
      <w:r w:rsidRPr="00276A76">
        <w:t xml:space="preserve">inflammatory lesions that can be highly suggestive of axial </w:t>
      </w:r>
      <w:proofErr w:type="spellStart"/>
      <w:r w:rsidRPr="00276A76">
        <w:t>SpA</w:t>
      </w:r>
      <w:proofErr w:type="spellEnd"/>
      <w:r w:rsidRPr="00276A76">
        <w:t xml:space="preserve"> in addition to structural</w:t>
      </w:r>
      <w:r w:rsidR="007F54EE">
        <w:t xml:space="preserve"> </w:t>
      </w:r>
      <w:r w:rsidRPr="00276A76">
        <w:t>changes.</w:t>
      </w:r>
      <w:bookmarkStart w:id="184" w:name="_Ref372620092"/>
      <w:r w:rsidR="00DF2C31">
        <w:rPr>
          <w:rStyle w:val="FootnoteReference"/>
        </w:rPr>
        <w:footnoteReference w:id="11"/>
      </w:r>
      <w:bookmarkEnd w:id="184"/>
      <w:r w:rsidRPr="00276A76">
        <w:t xml:space="preserve"> The ability to detect acute inflammation in the axial skeleton by MRI is one way to</w:t>
      </w:r>
      <w:r w:rsidR="007F54EE">
        <w:t xml:space="preserve"> </w:t>
      </w:r>
      <w:r w:rsidRPr="00276A76">
        <w:t xml:space="preserve">facilitate a diagnosis of axial </w:t>
      </w:r>
      <w:proofErr w:type="spellStart"/>
      <w:r w:rsidRPr="00276A76">
        <w:t>SpA</w:t>
      </w:r>
      <w:proofErr w:type="spellEnd"/>
      <w:r w:rsidRPr="00276A76">
        <w:t>, especially in patients with nr-</w:t>
      </w:r>
      <w:proofErr w:type="spellStart"/>
      <w:r w:rsidRPr="00276A76">
        <w:t>axSpA</w:t>
      </w:r>
      <w:proofErr w:type="spellEnd"/>
      <w:r w:rsidRPr="00276A76">
        <w:t>, whose radiographs are</w:t>
      </w:r>
      <w:r w:rsidR="007F54EE">
        <w:t xml:space="preserve"> </w:t>
      </w:r>
      <w:r w:rsidRPr="00276A76">
        <w:t xml:space="preserve">negative or inconclusive for </w:t>
      </w:r>
      <w:proofErr w:type="spellStart"/>
      <w:r w:rsidRPr="00276A76">
        <w:t>sacroiliitis</w:t>
      </w:r>
      <w:proofErr w:type="spellEnd"/>
      <w:r w:rsidRPr="00276A76">
        <w:t>.</w:t>
      </w:r>
    </w:p>
    <w:p w:rsidR="00276A76" w:rsidRPr="00276A76" w:rsidRDefault="00276A76" w:rsidP="00AC73ED">
      <w:pPr>
        <w:pStyle w:val="Heading6"/>
      </w:pPr>
      <w:r w:rsidRPr="00276A76">
        <w:t xml:space="preserve">Rationale for the development of the ASAS </w:t>
      </w:r>
      <w:r w:rsidRPr="00AC73ED">
        <w:t>criteria</w:t>
      </w:r>
    </w:p>
    <w:p w:rsidR="00276A76" w:rsidRPr="00276A76" w:rsidRDefault="00276A76" w:rsidP="00AC73ED">
      <w:r w:rsidRPr="00276A76">
        <w:t>There is, on average, a delay of 5-10 years from the onset of symptoms to the diagnosis of AS</w:t>
      </w:r>
      <w:r w:rsidR="007F54EE">
        <w:t xml:space="preserve"> </w:t>
      </w:r>
      <w:r w:rsidRPr="00276A76">
        <w:t xml:space="preserve">using the </w:t>
      </w:r>
      <w:proofErr w:type="spellStart"/>
      <w:r w:rsidRPr="00276A76">
        <w:t>mNY</w:t>
      </w:r>
      <w:proofErr w:type="spellEnd"/>
      <w:r w:rsidRPr="00276A76">
        <w:t xml:space="preserve"> crite</w:t>
      </w:r>
      <w:r w:rsidRPr="00DF2C31">
        <w:t>ria.</w:t>
      </w:r>
      <w:r w:rsidR="00D97091">
        <w:fldChar w:fldCharType="begin"/>
      </w:r>
      <w:r w:rsidR="00D97091">
        <w:instrText xml:space="preserve"> NOTEREF _Ref372619980 \h  \* MERGEFORMAT </w:instrText>
      </w:r>
      <w:r w:rsidR="00D97091">
        <w:fldChar w:fldCharType="separate"/>
      </w:r>
      <w:r w:rsidR="00CE3278" w:rsidRPr="00CE3278">
        <w:t>7</w:t>
      </w:r>
      <w:r w:rsidR="00D97091">
        <w:fldChar w:fldCharType="end"/>
      </w:r>
      <w:proofErr w:type="gramStart"/>
      <w:r w:rsidR="00DF2C31" w:rsidRPr="00DF2C31">
        <w:rPr>
          <w:vertAlign w:val="superscript"/>
        </w:rPr>
        <w:t xml:space="preserve">, </w:t>
      </w:r>
      <w:proofErr w:type="gramEnd"/>
      <w:r w:rsidR="00DF2C31" w:rsidRPr="00DF2C31">
        <w:rPr>
          <w:rStyle w:val="FootnoteReference"/>
        </w:rPr>
        <w:footnoteReference w:id="12"/>
      </w:r>
      <w:r w:rsidR="00DF2C31" w:rsidRPr="00DF2C31">
        <w:rPr>
          <w:vertAlign w:val="superscript"/>
        </w:rPr>
        <w:t xml:space="preserve">, </w:t>
      </w:r>
      <w:bookmarkStart w:id="185" w:name="_Ref372620310"/>
      <w:r w:rsidR="00DF2C31" w:rsidRPr="00DF2C31">
        <w:rPr>
          <w:rStyle w:val="FootnoteReference"/>
        </w:rPr>
        <w:footnoteReference w:id="13"/>
      </w:r>
      <w:bookmarkEnd w:id="185"/>
    </w:p>
    <w:p w:rsidR="00276A76" w:rsidRPr="00276A76" w:rsidRDefault="00276A76" w:rsidP="00AC73ED">
      <w:r w:rsidRPr="00276A76">
        <w:t xml:space="preserve">It is well established that the development of radiographic </w:t>
      </w:r>
      <w:proofErr w:type="spellStart"/>
      <w:r w:rsidRPr="00276A76">
        <w:t>sacroiliitis</w:t>
      </w:r>
      <w:proofErr w:type="spellEnd"/>
      <w:r w:rsidR="007F54EE">
        <w:t xml:space="preserve"> </w:t>
      </w:r>
      <w:r w:rsidRPr="00276A76">
        <w:t xml:space="preserve">on plain radiographs reflecting structural damage in the SI joints (erosions, sclerosis, </w:t>
      </w:r>
      <w:proofErr w:type="spellStart"/>
      <w:r w:rsidRPr="00276A76">
        <w:t>ankylosis</w:t>
      </w:r>
      <w:proofErr w:type="spellEnd"/>
      <w:r w:rsidRPr="00276A76">
        <w:t>,</w:t>
      </w:r>
      <w:r w:rsidR="007F54EE">
        <w:t xml:space="preserve"> </w:t>
      </w:r>
      <w:r w:rsidRPr="00276A76">
        <w:t>joint space changes) can take years to develop despite the presence of inflammation in the SI</w:t>
      </w:r>
      <w:r w:rsidR="007F54EE">
        <w:t xml:space="preserve"> </w:t>
      </w:r>
      <w:r w:rsidRPr="00276A76">
        <w:t>joints,5 thereby constituting a major contributor to the delay in diagnosis of AS. Moreover, not</w:t>
      </w:r>
      <w:r w:rsidR="007F54EE">
        <w:t xml:space="preserve"> </w:t>
      </w:r>
      <w:r w:rsidRPr="00276A76">
        <w:t>all nr</w:t>
      </w:r>
      <w:r w:rsidR="00025904">
        <w:t>-</w:t>
      </w:r>
      <w:proofErr w:type="spellStart"/>
      <w:r w:rsidRPr="00276A76">
        <w:t>axSpA</w:t>
      </w:r>
      <w:proofErr w:type="spellEnd"/>
      <w:r w:rsidRPr="00276A76">
        <w:t xml:space="preserve"> patients will go on to develop structural damage visible on radiographs and would</w:t>
      </w:r>
      <w:r w:rsidR="007F54EE">
        <w:t xml:space="preserve"> </w:t>
      </w:r>
      <w:r w:rsidRPr="00276A76">
        <w:t>therefore not progress to AS, though they have a similar burden of disease. A further</w:t>
      </w:r>
      <w:r w:rsidR="007F54EE">
        <w:t xml:space="preserve"> </w:t>
      </w:r>
      <w:r w:rsidRPr="00276A76">
        <w:t>contributory factor to the late diagnosis of this inflammatory spinal disease is the observation</w:t>
      </w:r>
      <w:r w:rsidR="007F54EE">
        <w:t xml:space="preserve"> </w:t>
      </w:r>
      <w:r w:rsidRPr="00276A76">
        <w:t xml:space="preserve">that </w:t>
      </w:r>
      <w:proofErr w:type="spellStart"/>
      <w:r w:rsidRPr="00276A76">
        <w:t>axSpA</w:t>
      </w:r>
      <w:proofErr w:type="spellEnd"/>
      <w:r w:rsidRPr="00276A76">
        <w:t xml:space="preserve"> accounts for only around 5% of patients with chronic back pain, resulting in a low</w:t>
      </w:r>
      <w:r w:rsidR="007F54EE">
        <w:t xml:space="preserve"> </w:t>
      </w:r>
      <w:r w:rsidRPr="00276A76">
        <w:t>level of disease awareness among back pain patients and referring health care providers.</w:t>
      </w:r>
      <w:r w:rsidR="00DF2C31">
        <w:rPr>
          <w:rStyle w:val="FootnoteReference"/>
        </w:rPr>
        <w:footnoteReference w:id="14"/>
      </w:r>
    </w:p>
    <w:p w:rsidR="00276A76" w:rsidRPr="00276A76" w:rsidRDefault="00276A76" w:rsidP="00AC73ED">
      <w:r w:rsidRPr="00276A76">
        <w:t xml:space="preserve">The Assessment of </w:t>
      </w:r>
      <w:proofErr w:type="spellStart"/>
      <w:r w:rsidRPr="00276A76">
        <w:t>Spondyloarthritis</w:t>
      </w:r>
      <w:proofErr w:type="spellEnd"/>
      <w:r w:rsidRPr="00276A76">
        <w:t xml:space="preserve"> international Society (ASAS)</w:t>
      </w:r>
      <w:r w:rsidR="00E72E2D">
        <w:t xml:space="preserve"> (</w:t>
      </w:r>
      <w:r w:rsidRPr="00276A76">
        <w:t>an international group of</w:t>
      </w:r>
      <w:r>
        <w:t xml:space="preserve"> </w:t>
      </w:r>
      <w:r w:rsidRPr="00276A76">
        <w:t xml:space="preserve">experts in </w:t>
      </w:r>
      <w:proofErr w:type="spellStart"/>
      <w:r w:rsidRPr="00276A76">
        <w:t>SpA</w:t>
      </w:r>
      <w:proofErr w:type="spellEnd"/>
      <w:r w:rsidRPr="00276A76">
        <w:t xml:space="preserve"> from </w:t>
      </w:r>
      <w:r w:rsidRPr="009E46A1">
        <w:t>37 member countries</w:t>
      </w:r>
      <w:r w:rsidR="00E72E2D" w:rsidRPr="009E46A1">
        <w:t>)</w:t>
      </w:r>
      <w:r w:rsidRPr="009E46A1">
        <w:t xml:space="preserve"> has developed and validated classification criteria</w:t>
      </w:r>
      <w:r w:rsidR="007F54EE" w:rsidRPr="009E46A1">
        <w:t xml:space="preserve"> </w:t>
      </w:r>
      <w:r w:rsidRPr="009E46A1">
        <w:t>for patients with axSpA.</w:t>
      </w:r>
      <w:r w:rsidR="00D97091">
        <w:fldChar w:fldCharType="begin"/>
      </w:r>
      <w:r w:rsidR="00D97091">
        <w:instrText xml:space="preserve"> NOTEREF _Ref372620053 \h  \* MERGEFORMAT </w:instrText>
      </w:r>
      <w:r w:rsidR="00D97091">
        <w:fldChar w:fldCharType="separate"/>
      </w:r>
      <w:r w:rsidR="00CE3278" w:rsidRPr="00CE3278">
        <w:t>6</w:t>
      </w:r>
      <w:r w:rsidR="00D97091">
        <w:fldChar w:fldCharType="end"/>
      </w:r>
      <w:r w:rsidR="009E46A1" w:rsidRPr="00E836A6">
        <w:rPr>
          <w:vertAlign w:val="superscript"/>
        </w:rPr>
        <w:t xml:space="preserve">, </w:t>
      </w:r>
      <w:r w:rsidR="00D97091">
        <w:fldChar w:fldCharType="begin"/>
      </w:r>
      <w:r w:rsidR="00D97091">
        <w:instrText xml:space="preserve"> NOTEREF _Ref372620092 \h  \* MERGEFORMAT </w:instrText>
      </w:r>
      <w:r w:rsidR="00D97091">
        <w:fldChar w:fldCharType="separate"/>
      </w:r>
      <w:r w:rsidR="00CE3278" w:rsidRPr="00CE3278">
        <w:rPr>
          <w:vertAlign w:val="superscript"/>
        </w:rPr>
        <w:t>11</w:t>
      </w:r>
      <w:r w:rsidR="00D97091">
        <w:fldChar w:fldCharType="end"/>
      </w:r>
      <w:r w:rsidRPr="009E46A1">
        <w:t xml:space="preserve"> </w:t>
      </w:r>
      <w:proofErr w:type="gramStart"/>
      <w:r w:rsidRPr="009E46A1">
        <w:t>Thes</w:t>
      </w:r>
      <w:r w:rsidRPr="00276A76">
        <w:t>e</w:t>
      </w:r>
      <w:proofErr w:type="gramEnd"/>
      <w:r w:rsidRPr="00276A76">
        <w:t xml:space="preserve"> criteria were developed to include patients with or without</w:t>
      </w:r>
      <w:r w:rsidR="007F54EE">
        <w:t xml:space="preserve"> </w:t>
      </w:r>
      <w:r w:rsidRPr="00276A76">
        <w:t xml:space="preserve">radiographic </w:t>
      </w:r>
      <w:proofErr w:type="spellStart"/>
      <w:r w:rsidRPr="00276A76">
        <w:t>sacroiliitis</w:t>
      </w:r>
      <w:proofErr w:type="spellEnd"/>
      <w:r w:rsidRPr="00276A76">
        <w:t xml:space="preserve"> by including both plain radiographs and MRI as imaging modali</w:t>
      </w:r>
      <w:r w:rsidRPr="009E46A1">
        <w:t>ties.</w:t>
      </w:r>
      <w:r w:rsidR="00D97091">
        <w:fldChar w:fldCharType="begin"/>
      </w:r>
      <w:r w:rsidR="00D97091">
        <w:instrText xml:space="preserve"> NOTEREF _Ref372620053 \h  \* MERGEFORMAT </w:instrText>
      </w:r>
      <w:r w:rsidR="00D97091">
        <w:fldChar w:fldCharType="separate"/>
      </w:r>
      <w:r w:rsidR="00CE3278">
        <w:t>6</w:t>
      </w:r>
      <w:r w:rsidR="00D97091">
        <w:fldChar w:fldCharType="end"/>
      </w:r>
      <w:r w:rsidR="009E46A1" w:rsidRPr="009E46A1">
        <w:rPr>
          <w:vertAlign w:val="superscript"/>
        </w:rPr>
        <w:t xml:space="preserve">, </w:t>
      </w:r>
      <w:r w:rsidR="00D97091">
        <w:fldChar w:fldCharType="begin"/>
      </w:r>
      <w:r w:rsidR="00D97091">
        <w:instrText xml:space="preserve"> NOTEREF _Ref372620092 \h  \* MERGEFORMAT </w:instrText>
      </w:r>
      <w:r w:rsidR="00D97091">
        <w:fldChar w:fldCharType="separate"/>
      </w:r>
      <w:r w:rsidR="00CE3278" w:rsidRPr="00CE3278">
        <w:rPr>
          <w:vertAlign w:val="superscript"/>
        </w:rPr>
        <w:t>11</w:t>
      </w:r>
      <w:r w:rsidR="00D97091">
        <w:fldChar w:fldCharType="end"/>
      </w:r>
      <w:r w:rsidR="007F54EE" w:rsidRPr="009E46A1">
        <w:t xml:space="preserve"> </w:t>
      </w:r>
      <w:proofErr w:type="gramStart"/>
      <w:r w:rsidRPr="009E46A1">
        <w:t>Th</w:t>
      </w:r>
      <w:r w:rsidRPr="00276A76">
        <w:t>ese</w:t>
      </w:r>
      <w:proofErr w:type="gramEnd"/>
      <w:r w:rsidRPr="00276A76">
        <w:t xml:space="preserve"> criteria identify both AS and nr-</w:t>
      </w:r>
      <w:proofErr w:type="spellStart"/>
      <w:r w:rsidRPr="00276A76">
        <w:t>axSpA</w:t>
      </w:r>
      <w:proofErr w:type="spellEnd"/>
      <w:r w:rsidRPr="00276A76">
        <w:t xml:space="preserve"> patients and therefore enable the conduct of</w:t>
      </w:r>
      <w:r w:rsidR="007F54EE">
        <w:t xml:space="preserve"> </w:t>
      </w:r>
      <w:r w:rsidRPr="00276A76">
        <w:t xml:space="preserve">clinical trials for the treatment of the broad </w:t>
      </w:r>
      <w:proofErr w:type="spellStart"/>
      <w:r w:rsidRPr="00276A76">
        <w:t>axSpA</w:t>
      </w:r>
      <w:proofErr w:type="spellEnd"/>
      <w:r w:rsidRPr="00276A76">
        <w:t xml:space="preserve"> population; including patients with nr</w:t>
      </w:r>
      <w:r w:rsidR="00025904">
        <w:t>-</w:t>
      </w:r>
      <w:r w:rsidRPr="009E46A1">
        <w:t>axSpA.</w:t>
      </w:r>
      <w:r w:rsidR="00D97091">
        <w:fldChar w:fldCharType="begin"/>
      </w:r>
      <w:r w:rsidR="00D97091">
        <w:instrText xml:space="preserve"> NOTEREF _Ref372620053 \h  \* MERGEFORMAT </w:instrText>
      </w:r>
      <w:r w:rsidR="00D97091">
        <w:fldChar w:fldCharType="separate"/>
      </w:r>
      <w:r w:rsidR="00CE3278" w:rsidRPr="00CE3278">
        <w:t>6</w:t>
      </w:r>
      <w:r w:rsidR="00D97091">
        <w:fldChar w:fldCharType="end"/>
      </w:r>
      <w:proofErr w:type="gramStart"/>
      <w:r w:rsidR="009E46A1" w:rsidRPr="00E836A6">
        <w:rPr>
          <w:vertAlign w:val="superscript"/>
        </w:rPr>
        <w:t>,</w:t>
      </w:r>
      <w:proofErr w:type="gramEnd"/>
      <w:r w:rsidR="00D97091">
        <w:fldChar w:fldCharType="begin"/>
      </w:r>
      <w:r w:rsidR="00D97091">
        <w:instrText xml:space="preserve"> NOTEREF _Ref372620166 \h  \* MERGEFORMAT </w:instrText>
      </w:r>
      <w:r w:rsidR="00D97091">
        <w:fldChar w:fldCharType="separate"/>
      </w:r>
      <w:r w:rsidR="00CE3278">
        <w:t>8</w:t>
      </w:r>
      <w:r w:rsidR="00D97091">
        <w:fldChar w:fldCharType="end"/>
      </w:r>
      <w:r w:rsidR="009E46A1" w:rsidRPr="009E46A1">
        <w:rPr>
          <w:vertAlign w:val="superscript"/>
        </w:rPr>
        <w:t>,</w:t>
      </w:r>
      <w:r w:rsidR="00D97091">
        <w:fldChar w:fldCharType="begin"/>
      </w:r>
      <w:r w:rsidR="00D97091">
        <w:instrText xml:space="preserve"> NOTEREF _Ref372620092 \h  \* MERGEFORMAT </w:instrText>
      </w:r>
      <w:r w:rsidR="00D97091">
        <w:fldChar w:fldCharType="separate"/>
      </w:r>
      <w:r w:rsidR="00CE3278" w:rsidRPr="00CE3278">
        <w:rPr>
          <w:vertAlign w:val="superscript"/>
        </w:rPr>
        <w:t>11</w:t>
      </w:r>
      <w:r w:rsidR="00D97091">
        <w:fldChar w:fldCharType="end"/>
      </w:r>
    </w:p>
    <w:p w:rsidR="00276A76" w:rsidRPr="009E46A1" w:rsidRDefault="00276A76" w:rsidP="00AC73ED">
      <w:pPr>
        <w:rPr>
          <w:vertAlign w:val="superscript"/>
        </w:rPr>
      </w:pPr>
      <w:r w:rsidRPr="00276A76">
        <w:t xml:space="preserve">Prior to the ASAS criteria, the Amor and </w:t>
      </w:r>
      <w:r w:rsidR="00E72E2D" w:rsidRPr="00E72E2D">
        <w:t xml:space="preserve">The European Spondyloarthropathy Study Group </w:t>
      </w:r>
      <w:r w:rsidR="00E72E2D">
        <w:t>(</w:t>
      </w:r>
      <w:r w:rsidRPr="00276A76">
        <w:t>ESSG</w:t>
      </w:r>
      <w:r w:rsidR="00E72E2D">
        <w:t>)</w:t>
      </w:r>
      <w:r w:rsidRPr="00276A76">
        <w:t xml:space="preserve"> criteria were used to define the entire group of</w:t>
      </w:r>
      <w:r w:rsidR="007F54EE">
        <w:t xml:space="preserve"> </w:t>
      </w:r>
      <w:r w:rsidRPr="00276A76">
        <w:t>patients with peripheral and axial manifestations, regardless of the presence or absence of</w:t>
      </w:r>
      <w:r w:rsidR="007F54EE">
        <w:t xml:space="preserve"> </w:t>
      </w:r>
      <w:r w:rsidRPr="00276A76">
        <w:t>radiographic sacroiliitis.</w:t>
      </w:r>
      <w:r w:rsidR="00D97091">
        <w:fldChar w:fldCharType="begin"/>
      </w:r>
      <w:r w:rsidR="00D97091">
        <w:instrText xml:space="preserve"> NOTEREF _Ref372620166 \h  \* MERGEFORMAT </w:instrText>
      </w:r>
      <w:r w:rsidR="00D97091">
        <w:fldChar w:fldCharType="separate"/>
      </w:r>
      <w:r w:rsidR="00CE3278">
        <w:t>8</w:t>
      </w:r>
      <w:r w:rsidR="00D97091">
        <w:fldChar w:fldCharType="end"/>
      </w:r>
      <w:proofErr w:type="gramStart"/>
      <w:r w:rsidR="009E46A1" w:rsidRPr="009E46A1">
        <w:rPr>
          <w:vertAlign w:val="superscript"/>
        </w:rPr>
        <w:t>,</w:t>
      </w:r>
      <w:proofErr w:type="gramEnd"/>
      <w:r w:rsidR="00D97091">
        <w:fldChar w:fldCharType="begin"/>
      </w:r>
      <w:r w:rsidR="00D97091">
        <w:instrText xml:space="preserve"> NOTEREF _Ref372620092 \h  \* MERGEFORMAT </w:instrText>
      </w:r>
      <w:r w:rsidR="00D97091">
        <w:fldChar w:fldCharType="separate"/>
      </w:r>
      <w:r w:rsidR="00CE3278" w:rsidRPr="00CE3278">
        <w:rPr>
          <w:vertAlign w:val="superscript"/>
        </w:rPr>
        <w:t>11</w:t>
      </w:r>
      <w:r w:rsidR="00D97091">
        <w:fldChar w:fldCharType="end"/>
      </w:r>
      <w:r w:rsidRPr="009E46A1">
        <w:rPr>
          <w:highlight w:val="yellow"/>
          <w:vertAlign w:val="superscript"/>
        </w:rPr>
        <w:t xml:space="preserve"> </w:t>
      </w:r>
      <w:r w:rsidRPr="009E46A1">
        <w:t>Howev</w:t>
      </w:r>
      <w:r w:rsidRPr="00276A76">
        <w:t>er, these criteria do not distinguish patients based on</w:t>
      </w:r>
      <w:r w:rsidR="007F54EE">
        <w:t xml:space="preserve"> </w:t>
      </w:r>
      <w:r w:rsidRPr="00276A76">
        <w:t>predominant spinal inflammation. Furthermore, the Amor and ESSG criteria do not include</w:t>
      </w:r>
      <w:r w:rsidR="007F54EE">
        <w:t xml:space="preserve"> </w:t>
      </w:r>
      <w:r w:rsidRPr="00276A76">
        <w:t xml:space="preserve">information on </w:t>
      </w:r>
      <w:r w:rsidRPr="009E46A1">
        <w:t>MRI.</w:t>
      </w:r>
      <w:r w:rsidR="00D97091">
        <w:fldChar w:fldCharType="begin"/>
      </w:r>
      <w:r w:rsidR="00D97091">
        <w:instrText xml:space="preserve"> NOTEREF _Ref372620166 \h  \* MERGEFORMAT </w:instrText>
      </w:r>
      <w:r w:rsidR="00D97091">
        <w:fldChar w:fldCharType="separate"/>
      </w:r>
      <w:r w:rsidR="00CE3278">
        <w:t>8</w:t>
      </w:r>
      <w:r w:rsidR="00D97091">
        <w:fldChar w:fldCharType="end"/>
      </w:r>
      <w:proofErr w:type="gramStart"/>
      <w:r w:rsidR="009E46A1" w:rsidRPr="009E46A1">
        <w:rPr>
          <w:vertAlign w:val="superscript"/>
        </w:rPr>
        <w:t>,</w:t>
      </w:r>
      <w:proofErr w:type="gramEnd"/>
      <w:r w:rsidR="00D97091">
        <w:fldChar w:fldCharType="begin"/>
      </w:r>
      <w:r w:rsidR="00D97091">
        <w:instrText xml:space="preserve"> NOTEREF _Ref372620092 \h  \* MERGEFORMAT </w:instrText>
      </w:r>
      <w:r w:rsidR="00D97091">
        <w:fldChar w:fldCharType="separate"/>
      </w:r>
      <w:r w:rsidR="00CE3278" w:rsidRPr="00CE3278">
        <w:rPr>
          <w:vertAlign w:val="superscript"/>
        </w:rPr>
        <w:t>11</w:t>
      </w:r>
      <w:r w:rsidR="00D97091">
        <w:fldChar w:fldCharType="end"/>
      </w:r>
    </w:p>
    <w:p w:rsidR="00276A76" w:rsidRPr="00276A76" w:rsidRDefault="00276A76" w:rsidP="00AC73ED">
      <w:pPr>
        <w:pStyle w:val="Heading6"/>
      </w:pPr>
      <w:r w:rsidRPr="00276A76">
        <w:t xml:space="preserve">Development and validation of the ASAS </w:t>
      </w:r>
      <w:r w:rsidRPr="00AC73ED">
        <w:t>criteria</w:t>
      </w:r>
    </w:p>
    <w:p w:rsidR="00276A76" w:rsidRPr="00276A76" w:rsidRDefault="00276A76" w:rsidP="00AC73ED">
      <w:r w:rsidRPr="00276A76">
        <w:t>In order to provide an internationally accepted classification standard for research studies in</w:t>
      </w:r>
      <w:r w:rsidR="007F54EE">
        <w:t xml:space="preserve"> </w:t>
      </w:r>
      <w:r w:rsidRPr="00276A76">
        <w:t xml:space="preserve">patients with </w:t>
      </w:r>
      <w:proofErr w:type="spellStart"/>
      <w:r w:rsidRPr="00276A76">
        <w:t>axSpA</w:t>
      </w:r>
      <w:proofErr w:type="spellEnd"/>
      <w:r w:rsidRPr="00276A76">
        <w:t xml:space="preserve"> (AS and nr-</w:t>
      </w:r>
      <w:proofErr w:type="spellStart"/>
      <w:r w:rsidRPr="00276A76">
        <w:t>axSpA</w:t>
      </w:r>
      <w:proofErr w:type="spellEnd"/>
      <w:r w:rsidRPr="00276A76">
        <w:t>), ASAS identified the need to establish new</w:t>
      </w:r>
      <w:r w:rsidR="007F54EE">
        <w:t xml:space="preserve"> </w:t>
      </w:r>
      <w:r w:rsidRPr="00276A76">
        <w:t>classification criteria. To start this process, candidate criteria for classification were developed in</w:t>
      </w:r>
      <w:r w:rsidR="007F54EE">
        <w:t xml:space="preserve"> </w:t>
      </w:r>
      <w:r w:rsidRPr="00276A76">
        <w:t xml:space="preserve">2004, based mainly on clinical understanding of typical features seen in </w:t>
      </w:r>
      <w:r w:rsidRPr="00276A76">
        <w:lastRenderedPageBreak/>
        <w:t>patients that are</w:t>
      </w:r>
      <w:r w:rsidR="007F54EE">
        <w:t xml:space="preserve"> </w:t>
      </w:r>
      <w:r w:rsidRPr="00276A76">
        <w:t>suspected to have SpA.7 This included the evaluation of ‘paper patients’ where clinical</w:t>
      </w:r>
      <w:r w:rsidR="007F54EE">
        <w:t xml:space="preserve"> </w:t>
      </w:r>
      <w:r w:rsidRPr="00276A76">
        <w:t xml:space="preserve">information from real patients (with and without </w:t>
      </w:r>
      <w:proofErr w:type="spellStart"/>
      <w:r w:rsidRPr="00276A76">
        <w:t>axSpA</w:t>
      </w:r>
      <w:proofErr w:type="spellEnd"/>
      <w:r w:rsidRPr="00276A76">
        <w:t>) was provided on paper to ASAS</w:t>
      </w:r>
      <w:r w:rsidR="007F54EE">
        <w:t xml:space="preserve"> </w:t>
      </w:r>
      <w:r w:rsidRPr="00276A76">
        <w:t>rheumatologists, who are experts in the field of axSpA.</w:t>
      </w:r>
      <w:r w:rsidR="00D97091">
        <w:fldChar w:fldCharType="begin"/>
      </w:r>
      <w:r w:rsidR="00D97091">
        <w:instrText xml:space="preserve"> NOTEREF _Ref372620092 \h  \* MERGEFORMAT </w:instrText>
      </w:r>
      <w:r w:rsidR="00D97091">
        <w:fldChar w:fldCharType="separate"/>
      </w:r>
      <w:r w:rsidR="00CE3278" w:rsidRPr="00CE3278">
        <w:rPr>
          <w:vertAlign w:val="superscript"/>
        </w:rPr>
        <w:t>11</w:t>
      </w:r>
      <w:r w:rsidR="00D97091">
        <w:fldChar w:fldCharType="end"/>
      </w:r>
      <w:r w:rsidR="009E46A1">
        <w:rPr>
          <w:vertAlign w:val="superscript"/>
        </w:rPr>
        <w:t xml:space="preserve"> </w:t>
      </w:r>
      <w:r w:rsidRPr="00276A76">
        <w:t>The focus of these candidate criteria was</w:t>
      </w:r>
      <w:r w:rsidR="007F54EE">
        <w:t xml:space="preserve"> </w:t>
      </w:r>
      <w:r w:rsidRPr="00276A76">
        <w:t>on patients with chronic back pain with age at onset &lt;45 years</w:t>
      </w:r>
      <w:r w:rsidR="00D97091">
        <w:fldChar w:fldCharType="begin"/>
      </w:r>
      <w:r w:rsidR="00D97091">
        <w:instrText xml:space="preserve"> NOTEREF _Ref372620053 \h  \* MERGEFORMAT </w:instrText>
      </w:r>
      <w:r w:rsidR="00D97091">
        <w:fldChar w:fldCharType="separate"/>
      </w:r>
      <w:r w:rsidR="00CE3278">
        <w:t>6</w:t>
      </w:r>
      <w:r w:rsidR="00D97091">
        <w:fldChar w:fldCharType="end"/>
      </w:r>
      <w:proofErr w:type="gramStart"/>
      <w:r w:rsidR="009E46A1" w:rsidRPr="009E46A1">
        <w:rPr>
          <w:vertAlign w:val="superscript"/>
        </w:rPr>
        <w:t>,</w:t>
      </w:r>
      <w:proofErr w:type="gramEnd"/>
      <w:r w:rsidR="00D97091">
        <w:fldChar w:fldCharType="begin"/>
      </w:r>
      <w:r w:rsidR="00D97091">
        <w:instrText xml:space="preserve"> NOTEREF _Ref372620092 \h  \* MERGEFORMAT </w:instrText>
      </w:r>
      <w:r w:rsidR="00D97091">
        <w:fldChar w:fldCharType="separate"/>
      </w:r>
      <w:r w:rsidR="00CE3278" w:rsidRPr="00CE3278">
        <w:rPr>
          <w:vertAlign w:val="superscript"/>
        </w:rPr>
        <w:t>11</w:t>
      </w:r>
      <w:r w:rsidR="00D97091">
        <w:fldChar w:fldCharType="end"/>
      </w:r>
      <w:r w:rsidRPr="00276A76">
        <w:t xml:space="preserve"> because by the age of 45,</w:t>
      </w:r>
      <w:r w:rsidR="007F54EE">
        <w:t xml:space="preserve"> </w:t>
      </w:r>
      <w:r w:rsidRPr="00276A76">
        <w:t xml:space="preserve">approximately 95% of </w:t>
      </w:r>
      <w:proofErr w:type="spellStart"/>
      <w:r w:rsidRPr="00276A76">
        <w:t>axSpA</w:t>
      </w:r>
      <w:proofErr w:type="spellEnd"/>
      <w:r w:rsidRPr="00276A76">
        <w:t xml:space="preserve"> patients are symptomati</w:t>
      </w:r>
      <w:r w:rsidRPr="009E46A1">
        <w:t>c.</w:t>
      </w:r>
      <w:r w:rsidR="00D97091">
        <w:fldChar w:fldCharType="begin"/>
      </w:r>
      <w:r w:rsidR="00D97091">
        <w:instrText xml:space="preserve"> NOTEREF _Ref372620310 \h  \* MERGEFORMAT </w:instrText>
      </w:r>
      <w:r w:rsidR="00D97091">
        <w:fldChar w:fldCharType="separate"/>
      </w:r>
      <w:r w:rsidR="00CE3278" w:rsidRPr="00CE3278">
        <w:rPr>
          <w:vertAlign w:val="superscript"/>
        </w:rPr>
        <w:t>13</w:t>
      </w:r>
      <w:r w:rsidR="00D97091">
        <w:fldChar w:fldCharType="end"/>
      </w:r>
    </w:p>
    <w:p w:rsidR="00276A76" w:rsidRPr="00276A76" w:rsidRDefault="00276A76" w:rsidP="00AC73ED">
      <w:r w:rsidRPr="00276A76">
        <w:t>As the next step, the candidate criteria were tested (validated) in a prospective study conducted</w:t>
      </w:r>
      <w:r w:rsidR="007F54EE">
        <w:t xml:space="preserve"> </w:t>
      </w:r>
      <w:r w:rsidRPr="00276A76">
        <w:t>between 2006 and 2008 across 25 centers with an ASAS rheumatologist in 16 countries.</w:t>
      </w:r>
      <w:r w:rsidR="007F54EE">
        <w:t xml:space="preserve"> </w:t>
      </w:r>
      <w:r w:rsidR="00D97091">
        <w:fldChar w:fldCharType="begin"/>
      </w:r>
      <w:r w:rsidR="00D97091">
        <w:instrText xml:space="preserve"> NOTEREF _Ref372620053 \h  \* MERGEFORMAT </w:instrText>
      </w:r>
      <w:r w:rsidR="00D97091">
        <w:fldChar w:fldCharType="separate"/>
      </w:r>
      <w:r w:rsidR="00CE3278">
        <w:t>6</w:t>
      </w:r>
      <w:r w:rsidR="00D97091">
        <w:fldChar w:fldCharType="end"/>
      </w:r>
      <w:r w:rsidR="009E46A1">
        <w:t xml:space="preserve"> </w:t>
      </w:r>
      <w:r w:rsidRPr="00276A76">
        <w:t>Patients</w:t>
      </w:r>
      <w:r w:rsidR="007F54EE">
        <w:t xml:space="preserve"> </w:t>
      </w:r>
      <w:r w:rsidRPr="00276A76">
        <w:t>included in this validation study had undiagnosed chronic back pain and age of onset &lt;45 years.</w:t>
      </w:r>
      <w:r w:rsidR="00D97091" w:rsidRPr="00AC73ED">
        <w:rPr>
          <w:vertAlign w:val="superscript"/>
        </w:rPr>
        <w:fldChar w:fldCharType="begin"/>
      </w:r>
      <w:r w:rsidR="00D97091" w:rsidRPr="00AC73ED">
        <w:rPr>
          <w:vertAlign w:val="superscript"/>
        </w:rPr>
        <w:instrText xml:space="preserve"> NOTEREF _Ref372620053 \h  \* MERGEFORMAT </w:instrText>
      </w:r>
      <w:r w:rsidR="00D97091" w:rsidRPr="00AC73ED">
        <w:rPr>
          <w:vertAlign w:val="superscript"/>
        </w:rPr>
      </w:r>
      <w:r w:rsidR="00D97091" w:rsidRPr="00AC73ED">
        <w:rPr>
          <w:vertAlign w:val="superscript"/>
        </w:rPr>
        <w:fldChar w:fldCharType="separate"/>
      </w:r>
      <w:r w:rsidR="00CE3278" w:rsidRPr="00AC73ED">
        <w:rPr>
          <w:vertAlign w:val="superscript"/>
        </w:rPr>
        <w:t>6</w:t>
      </w:r>
      <w:r w:rsidR="00D97091" w:rsidRPr="00AC73ED">
        <w:rPr>
          <w:vertAlign w:val="superscript"/>
        </w:rPr>
        <w:fldChar w:fldCharType="end"/>
      </w:r>
    </w:p>
    <w:p w:rsidR="00276A76" w:rsidRPr="00276A76" w:rsidRDefault="00276A76" w:rsidP="00AC73ED">
      <w:r w:rsidRPr="00276A76">
        <w:t>ASAS centers included patients presenting at the outpatient clinic consecutively.</w:t>
      </w:r>
      <w:r w:rsidR="00D97091">
        <w:fldChar w:fldCharType="begin"/>
      </w:r>
      <w:r w:rsidR="00D97091">
        <w:instrText xml:space="preserve"> NOTEREF _Ref372620053 \h  \* MERGEFORMAT </w:instrText>
      </w:r>
      <w:r w:rsidR="00D97091">
        <w:fldChar w:fldCharType="separate"/>
      </w:r>
      <w:r w:rsidR="00CE3278" w:rsidRPr="00CE3278">
        <w:t>6</w:t>
      </w:r>
      <w:r w:rsidR="00D97091">
        <w:fldChar w:fldCharType="end"/>
      </w:r>
      <w:r w:rsidR="009E46A1" w:rsidRPr="009E46A1">
        <w:rPr>
          <w:vertAlign w:val="superscript"/>
        </w:rPr>
        <w:t xml:space="preserve"> </w:t>
      </w:r>
      <w:r w:rsidRPr="00276A76">
        <w:t>In these</w:t>
      </w:r>
      <w:r w:rsidR="007F54EE">
        <w:t xml:space="preserve"> </w:t>
      </w:r>
      <w:r w:rsidRPr="00276A76">
        <w:t>patients (n=649), the diagnosis (of either “</w:t>
      </w:r>
      <w:proofErr w:type="spellStart"/>
      <w:r w:rsidRPr="00276A76">
        <w:t>axSpA</w:t>
      </w:r>
      <w:proofErr w:type="spellEnd"/>
      <w:r w:rsidRPr="00276A76">
        <w:t xml:space="preserve">” or “no </w:t>
      </w:r>
      <w:proofErr w:type="spellStart"/>
      <w:r w:rsidRPr="00276A76">
        <w:t>SpA</w:t>
      </w:r>
      <w:proofErr w:type="spellEnd"/>
      <w:r w:rsidRPr="00276A76">
        <w:t>”) made by the rheumatologists</w:t>
      </w:r>
      <w:r w:rsidR="007F54EE">
        <w:t xml:space="preserve"> </w:t>
      </w:r>
      <w:r w:rsidRPr="00276A76">
        <w:t>according to his/her expert opinion was used as the gold standard for the validation of these</w:t>
      </w:r>
      <w:r w:rsidR="007F54EE">
        <w:t xml:space="preserve"> </w:t>
      </w:r>
      <w:r w:rsidRPr="00276A76">
        <w:t>crite</w:t>
      </w:r>
      <w:r w:rsidRPr="009E46A1">
        <w:t>ria.</w:t>
      </w:r>
      <w:r w:rsidR="00D97091" w:rsidRPr="00AC73ED">
        <w:rPr>
          <w:vertAlign w:val="superscript"/>
        </w:rPr>
        <w:fldChar w:fldCharType="begin"/>
      </w:r>
      <w:r w:rsidR="00D97091" w:rsidRPr="00AC73ED">
        <w:rPr>
          <w:vertAlign w:val="superscript"/>
        </w:rPr>
        <w:instrText xml:space="preserve"> NOTEREF _Ref372620053 \h  \* MERGEFORMAT </w:instrText>
      </w:r>
      <w:r w:rsidR="00D97091" w:rsidRPr="00AC73ED">
        <w:rPr>
          <w:vertAlign w:val="superscript"/>
        </w:rPr>
      </w:r>
      <w:r w:rsidR="00D97091" w:rsidRPr="00AC73ED">
        <w:rPr>
          <w:vertAlign w:val="superscript"/>
        </w:rPr>
        <w:fldChar w:fldCharType="separate"/>
      </w:r>
      <w:r w:rsidR="00CE3278" w:rsidRPr="00AC73ED">
        <w:rPr>
          <w:vertAlign w:val="superscript"/>
        </w:rPr>
        <w:t>6</w:t>
      </w:r>
      <w:r w:rsidR="00D97091" w:rsidRPr="00AC73ED">
        <w:rPr>
          <w:vertAlign w:val="superscript"/>
        </w:rPr>
        <w:fldChar w:fldCharType="end"/>
      </w:r>
    </w:p>
    <w:p w:rsidR="00276A76" w:rsidRPr="009E46A1" w:rsidRDefault="00276A76" w:rsidP="00AC73ED">
      <w:pPr>
        <w:rPr>
          <w:vertAlign w:val="superscript"/>
        </w:rPr>
      </w:pPr>
      <w:r w:rsidRPr="00276A76">
        <w:t>For the refinement of the candidate criteria, the ASAS data set was divided into two sets, which</w:t>
      </w:r>
      <w:r w:rsidR="007F54EE">
        <w:t xml:space="preserve"> </w:t>
      </w:r>
      <w:r w:rsidRPr="00276A76">
        <w:t>allowed the candidate criteria to be refined in the first data set and thereafter validated in the</w:t>
      </w:r>
      <w:r w:rsidR="007F54EE">
        <w:t xml:space="preserve"> </w:t>
      </w:r>
      <w:r w:rsidRPr="00276A76">
        <w:t>second data set.</w:t>
      </w:r>
      <w:r w:rsidR="00D97091">
        <w:fldChar w:fldCharType="begin"/>
      </w:r>
      <w:r w:rsidR="00D97091">
        <w:instrText xml:space="preserve"> NOTEREF _Ref372620053 \h  \* MERGEFORMAT </w:instrText>
      </w:r>
      <w:r w:rsidR="00D97091">
        <w:fldChar w:fldCharType="separate"/>
      </w:r>
      <w:r w:rsidR="00CE3278" w:rsidRPr="00CE3278">
        <w:t>6</w:t>
      </w:r>
      <w:r w:rsidR="00D97091">
        <w:fldChar w:fldCharType="end"/>
      </w:r>
      <w:r w:rsidR="009E46A1" w:rsidRPr="009E46A1">
        <w:t xml:space="preserve"> </w:t>
      </w:r>
      <w:r w:rsidRPr="009E46A1">
        <w:t>The</w:t>
      </w:r>
      <w:r w:rsidRPr="00276A76">
        <w:t xml:space="preserve"> results were presented to ASAS members in 2008 and the final set of</w:t>
      </w:r>
      <w:r w:rsidR="007F54EE">
        <w:t xml:space="preserve"> </w:t>
      </w:r>
      <w:r w:rsidRPr="00276A76">
        <w:t>candidate criteria were voted on by this gr</w:t>
      </w:r>
      <w:r w:rsidRPr="009E46A1">
        <w:t>oup</w:t>
      </w:r>
      <w:proofErr w:type="gramStart"/>
      <w:r w:rsidR="00AC73ED">
        <w:t>.</w:t>
      </w:r>
      <w:r w:rsidRPr="009E46A1">
        <w:rPr>
          <w:vertAlign w:val="superscript"/>
        </w:rPr>
        <w:t>.</w:t>
      </w:r>
      <w:proofErr w:type="gramEnd"/>
      <w:r w:rsidR="00D97091" w:rsidRPr="00AC73ED">
        <w:rPr>
          <w:vertAlign w:val="superscript"/>
        </w:rPr>
        <w:fldChar w:fldCharType="begin"/>
      </w:r>
      <w:r w:rsidR="00D97091" w:rsidRPr="00AC73ED">
        <w:rPr>
          <w:vertAlign w:val="superscript"/>
        </w:rPr>
        <w:instrText xml:space="preserve"> NOTEREF _Ref372620053 \h  \* MERGEFORMAT </w:instrText>
      </w:r>
      <w:r w:rsidR="00D97091" w:rsidRPr="00AC73ED">
        <w:rPr>
          <w:vertAlign w:val="superscript"/>
        </w:rPr>
      </w:r>
      <w:r w:rsidR="00D97091" w:rsidRPr="00AC73ED">
        <w:rPr>
          <w:vertAlign w:val="superscript"/>
        </w:rPr>
        <w:fldChar w:fldCharType="separate"/>
      </w:r>
      <w:r w:rsidR="00CE3278" w:rsidRPr="00AC73ED">
        <w:rPr>
          <w:vertAlign w:val="superscript"/>
        </w:rPr>
        <w:t>6</w:t>
      </w:r>
      <w:r w:rsidR="00D97091" w:rsidRPr="00AC73ED">
        <w:rPr>
          <w:vertAlign w:val="superscript"/>
        </w:rPr>
        <w:fldChar w:fldCharType="end"/>
      </w:r>
    </w:p>
    <w:p w:rsidR="00276A76" w:rsidRPr="00276A76" w:rsidRDefault="00E72E2D" w:rsidP="00AC73ED">
      <w:r>
        <w:t>The finalis</w:t>
      </w:r>
      <w:r w:rsidR="00276A76" w:rsidRPr="00276A76">
        <w:t xml:space="preserve">ed ASAS criteria for </w:t>
      </w:r>
      <w:proofErr w:type="spellStart"/>
      <w:r w:rsidR="00276A76" w:rsidRPr="00276A76">
        <w:t>axSpA</w:t>
      </w:r>
      <w:proofErr w:type="spellEnd"/>
      <w:r w:rsidR="00276A76" w:rsidRPr="00276A76">
        <w:t xml:space="preserve"> are intended to be applied to patients with chronic back</w:t>
      </w:r>
      <w:r w:rsidR="007F54EE">
        <w:t xml:space="preserve"> </w:t>
      </w:r>
      <w:r w:rsidR="00276A76" w:rsidRPr="00276A76">
        <w:t xml:space="preserve">pain for </w:t>
      </w:r>
      <w:r>
        <w:t>≥</w:t>
      </w:r>
      <w:r w:rsidR="00276A76" w:rsidRPr="00276A76">
        <w:t xml:space="preserve">3 months with age of onset &lt;45 </w:t>
      </w:r>
      <w:r w:rsidR="00276A76" w:rsidRPr="009E46A1">
        <w:t>years.</w:t>
      </w:r>
      <w:r w:rsidR="00D97091">
        <w:fldChar w:fldCharType="begin"/>
      </w:r>
      <w:r w:rsidR="00D97091">
        <w:instrText xml:space="preserve"> NOTEREF _Ref372620053 \h  \* MERGEFORMAT </w:instrText>
      </w:r>
      <w:r w:rsidR="00D97091">
        <w:fldChar w:fldCharType="separate"/>
      </w:r>
      <w:r w:rsidR="00CE3278" w:rsidRPr="00CE3278">
        <w:t>6</w:t>
      </w:r>
      <w:r w:rsidR="00D97091">
        <w:fldChar w:fldCharType="end"/>
      </w:r>
      <w:r w:rsidR="00276A76" w:rsidRPr="009E46A1">
        <w:t xml:space="preserve"> T</w:t>
      </w:r>
      <w:r w:rsidR="00276A76" w:rsidRPr="00276A76">
        <w:t>here is an ‘imaging arm’ requiring the</w:t>
      </w:r>
      <w:r w:rsidR="007F54EE">
        <w:t xml:space="preserve"> </w:t>
      </w:r>
      <w:r w:rsidR="00276A76" w:rsidRPr="00276A76">
        <w:t xml:space="preserve">presence of </w:t>
      </w:r>
      <w:proofErr w:type="spellStart"/>
      <w:r w:rsidR="00276A76" w:rsidRPr="00276A76">
        <w:t>sacroiliitis</w:t>
      </w:r>
      <w:proofErr w:type="spellEnd"/>
      <w:r w:rsidR="00276A76" w:rsidRPr="00276A76">
        <w:t xml:space="preserve"> (on radiographs or MRI) in the context of at least one clinical feature, and</w:t>
      </w:r>
      <w:r w:rsidR="007F54EE">
        <w:t xml:space="preserve"> </w:t>
      </w:r>
      <w:r w:rsidR="00276A76" w:rsidRPr="00276A76">
        <w:t xml:space="preserve">a ‘clinical arm’ requiring the presence of HLA-B27 plus at least two other </w:t>
      </w:r>
      <w:proofErr w:type="spellStart"/>
      <w:r w:rsidR="00276A76" w:rsidRPr="00276A76">
        <w:t>SpA</w:t>
      </w:r>
      <w:proofErr w:type="spellEnd"/>
      <w:r w:rsidR="00276A76" w:rsidRPr="00276A76">
        <w:t xml:space="preserve"> feat</w:t>
      </w:r>
      <w:r w:rsidR="00276A76" w:rsidRPr="009E46A1">
        <w:t>ures.</w:t>
      </w:r>
      <w:r w:rsidR="00D97091" w:rsidRPr="00AC73ED">
        <w:rPr>
          <w:vertAlign w:val="superscript"/>
        </w:rPr>
        <w:fldChar w:fldCharType="begin"/>
      </w:r>
      <w:r w:rsidR="00D97091" w:rsidRPr="00AC73ED">
        <w:rPr>
          <w:vertAlign w:val="superscript"/>
        </w:rPr>
        <w:instrText xml:space="preserve"> NOTEREF _Ref372620053 \h  \* MERGEFORMAT </w:instrText>
      </w:r>
      <w:r w:rsidR="00D97091" w:rsidRPr="00AC73ED">
        <w:rPr>
          <w:vertAlign w:val="superscript"/>
        </w:rPr>
      </w:r>
      <w:r w:rsidR="00D97091" w:rsidRPr="00AC73ED">
        <w:rPr>
          <w:vertAlign w:val="superscript"/>
        </w:rPr>
        <w:fldChar w:fldCharType="separate"/>
      </w:r>
      <w:r w:rsidR="00CE3278" w:rsidRPr="00AC73ED">
        <w:rPr>
          <w:vertAlign w:val="superscript"/>
        </w:rPr>
        <w:t>6</w:t>
      </w:r>
      <w:r w:rsidR="00D97091" w:rsidRPr="00AC73ED">
        <w:rPr>
          <w:vertAlign w:val="superscript"/>
        </w:rPr>
        <w:fldChar w:fldCharType="end"/>
      </w:r>
    </w:p>
    <w:p w:rsidR="00276A76" w:rsidRPr="00276A76" w:rsidRDefault="00276A76" w:rsidP="00AC73ED">
      <w:r w:rsidRPr="00276A76">
        <w:t>The</w:t>
      </w:r>
      <w:r w:rsidR="007F54EE">
        <w:t xml:space="preserve"> </w:t>
      </w:r>
      <w:r w:rsidRPr="00276A76">
        <w:t>ASAS criteria were found to have a better sensitivity (82.9%) and specificity (84.4%) in the</w:t>
      </w:r>
      <w:r w:rsidR="007F54EE">
        <w:t xml:space="preserve"> </w:t>
      </w:r>
      <w:r w:rsidRPr="00276A76">
        <w:t>validation study compared with the Amor (69.4% and 78.4%, respectively) and ESSG (70.7%</w:t>
      </w:r>
      <w:r w:rsidR="007F54EE">
        <w:t xml:space="preserve"> </w:t>
      </w:r>
      <w:r w:rsidRPr="00276A76">
        <w:t>and 63.5%, respectively) criteria.</w:t>
      </w:r>
      <w:r w:rsidR="00D97091">
        <w:fldChar w:fldCharType="begin"/>
      </w:r>
      <w:r w:rsidR="00D97091">
        <w:instrText xml:space="preserve"> NOTEREF _Ref372620053 \h  \* MERGEFORMAT </w:instrText>
      </w:r>
      <w:r w:rsidR="00D97091">
        <w:fldChar w:fldCharType="separate"/>
      </w:r>
      <w:r w:rsidR="00CE3278" w:rsidRPr="00CE3278">
        <w:t>6</w:t>
      </w:r>
      <w:r w:rsidR="00D97091">
        <w:fldChar w:fldCharType="end"/>
      </w:r>
      <w:r w:rsidR="009E46A1" w:rsidRPr="00975B4E">
        <w:rPr>
          <w:vertAlign w:val="superscript"/>
        </w:rPr>
        <w:t xml:space="preserve">, </w:t>
      </w:r>
      <w:r w:rsidR="00D97091">
        <w:fldChar w:fldCharType="begin"/>
      </w:r>
      <w:r w:rsidR="00D97091">
        <w:instrText xml:space="preserve"> NOTEREF _Ref372620166 \h  \* MERGEFORMAT </w:instrText>
      </w:r>
      <w:r w:rsidR="00D97091">
        <w:fldChar w:fldCharType="separate"/>
      </w:r>
      <w:r w:rsidR="00CE3278" w:rsidRPr="00CE3278">
        <w:t>8</w:t>
      </w:r>
      <w:r w:rsidR="00D97091">
        <w:fldChar w:fldCharType="end"/>
      </w:r>
      <w:r w:rsidRPr="00276A76">
        <w:t xml:space="preserve"> Following their development, the ASAS classification</w:t>
      </w:r>
      <w:r>
        <w:t xml:space="preserve"> </w:t>
      </w:r>
      <w:r w:rsidRPr="00276A76">
        <w:t xml:space="preserve">criteria for </w:t>
      </w:r>
      <w:proofErr w:type="spellStart"/>
      <w:r w:rsidRPr="00276A76">
        <w:t>axSpA</w:t>
      </w:r>
      <w:proofErr w:type="spellEnd"/>
      <w:r w:rsidRPr="00276A76">
        <w:t xml:space="preserve"> have been evaluated in a number of cohort studies with generally similar or</w:t>
      </w:r>
      <w:r w:rsidR="007F54EE">
        <w:t xml:space="preserve"> </w:t>
      </w:r>
      <w:r w:rsidRPr="00276A76">
        <w:t>better figures for sensitivity and specifi</w:t>
      </w:r>
      <w:r w:rsidRPr="009E46A1">
        <w:t>city.</w:t>
      </w:r>
      <w:r w:rsidR="009E46A1" w:rsidRPr="009E46A1">
        <w:rPr>
          <w:rStyle w:val="FootnoteReference"/>
        </w:rPr>
        <w:footnoteReference w:id="15"/>
      </w:r>
      <w:r w:rsidR="009E46A1" w:rsidRPr="009E46A1">
        <w:rPr>
          <w:vertAlign w:val="superscript"/>
        </w:rPr>
        <w:t xml:space="preserve">, </w:t>
      </w:r>
      <w:r w:rsidR="009E46A1" w:rsidRPr="009E46A1">
        <w:rPr>
          <w:rStyle w:val="FootnoteReference"/>
        </w:rPr>
        <w:footnoteReference w:id="16"/>
      </w:r>
    </w:p>
    <w:p w:rsidR="00276A76" w:rsidRPr="00276A76" w:rsidRDefault="00276A76" w:rsidP="00AC73ED">
      <w:r w:rsidRPr="00276A76">
        <w:t xml:space="preserve">The ASAS criteria for </w:t>
      </w:r>
      <w:proofErr w:type="spellStart"/>
      <w:r w:rsidRPr="00276A76">
        <w:t>axSpA</w:t>
      </w:r>
      <w:proofErr w:type="spellEnd"/>
      <w:r w:rsidRPr="00276A76">
        <w:t xml:space="preserve"> are intended for use primarily as classification criteria for </w:t>
      </w:r>
      <w:proofErr w:type="spellStart"/>
      <w:r w:rsidRPr="00276A76">
        <w:t>axSpA</w:t>
      </w:r>
      <w:proofErr w:type="spellEnd"/>
      <w:r w:rsidR="007F54EE">
        <w:t xml:space="preserve"> </w:t>
      </w:r>
      <w:r w:rsidRPr="00276A76">
        <w:t>for clinical trials and other research stu</w:t>
      </w:r>
      <w:r w:rsidRPr="009E46A1">
        <w:t>dies.</w:t>
      </w:r>
      <w:r w:rsidR="00D97091">
        <w:fldChar w:fldCharType="begin"/>
      </w:r>
      <w:r w:rsidR="00D97091">
        <w:instrText xml:space="preserve"> NOTEREF _Ref372620053 \h  \* MERGEFORMAT </w:instrText>
      </w:r>
      <w:r w:rsidR="00D97091">
        <w:fldChar w:fldCharType="separate"/>
      </w:r>
      <w:r w:rsidR="00CE3278" w:rsidRPr="00CE3278">
        <w:t>6</w:t>
      </w:r>
      <w:r w:rsidR="00D97091">
        <w:fldChar w:fldCharType="end"/>
      </w:r>
      <w:proofErr w:type="gramStart"/>
      <w:r w:rsidR="009E46A1" w:rsidRPr="00975B4E">
        <w:rPr>
          <w:vertAlign w:val="superscript"/>
        </w:rPr>
        <w:t>,</w:t>
      </w:r>
      <w:proofErr w:type="gramEnd"/>
      <w:r w:rsidR="00D97091">
        <w:fldChar w:fldCharType="begin"/>
      </w:r>
      <w:r w:rsidR="00D97091">
        <w:instrText xml:space="preserve"> NOTEREF _Ref372620166 \h  \* MERGEFORMAT </w:instrText>
      </w:r>
      <w:r w:rsidR="00D97091">
        <w:fldChar w:fldCharType="separate"/>
      </w:r>
      <w:r w:rsidR="00CE3278">
        <w:t>8</w:t>
      </w:r>
      <w:r w:rsidR="00D97091">
        <w:fldChar w:fldCharType="end"/>
      </w:r>
      <w:r w:rsidR="007F54EE" w:rsidRPr="009E46A1">
        <w:t xml:space="preserve"> </w:t>
      </w:r>
      <w:r w:rsidRPr="009E46A1">
        <w:t>In</w:t>
      </w:r>
      <w:r w:rsidRPr="00276A76">
        <w:t xml:space="preserve"> this respect, the ASAS classification criteria</w:t>
      </w:r>
      <w:r w:rsidR="007F54EE">
        <w:t xml:space="preserve"> </w:t>
      </w:r>
      <w:r w:rsidRPr="00276A76">
        <w:t xml:space="preserve">provide rheumatologists with a framework for evaluating the numerous features of </w:t>
      </w:r>
      <w:proofErr w:type="spellStart"/>
      <w:r w:rsidRPr="00276A76">
        <w:t>axSpA</w:t>
      </w:r>
      <w:proofErr w:type="spellEnd"/>
      <w:r w:rsidRPr="00276A76">
        <w:t xml:space="preserve"> when</w:t>
      </w:r>
      <w:r w:rsidR="007F54EE">
        <w:t xml:space="preserve"> </w:t>
      </w:r>
      <w:r w:rsidRPr="00276A76">
        <w:t>considering the diagnosis of this disease in a given patient. In daily practice, rheumatologists</w:t>
      </w:r>
      <w:r w:rsidR="007F54EE">
        <w:t xml:space="preserve"> </w:t>
      </w:r>
      <w:r w:rsidRPr="00276A76">
        <w:t xml:space="preserve">make the diagnosis of </w:t>
      </w:r>
      <w:proofErr w:type="spellStart"/>
      <w:r w:rsidRPr="00276A76">
        <w:t>axSpA</w:t>
      </w:r>
      <w:proofErr w:type="spellEnd"/>
      <w:r w:rsidRPr="00276A76">
        <w:t xml:space="preserve"> based on the ‘pattern recognition’ of typical clinical features</w:t>
      </w:r>
      <w:r w:rsidR="00D97091">
        <w:fldChar w:fldCharType="begin"/>
      </w:r>
      <w:r w:rsidR="00D97091">
        <w:instrText xml:space="preserve"> NOTEREF _Ref372620053 \h  \* MERGEFORMAT </w:instrText>
      </w:r>
      <w:r w:rsidR="00D97091">
        <w:fldChar w:fldCharType="separate"/>
      </w:r>
      <w:r w:rsidR="00CE3278" w:rsidRPr="00CE3278">
        <w:t>6</w:t>
      </w:r>
      <w:r w:rsidR="00D97091">
        <w:fldChar w:fldCharType="end"/>
      </w:r>
      <w:r w:rsidR="007F54EE">
        <w:t xml:space="preserve"> </w:t>
      </w:r>
      <w:r w:rsidRPr="00276A76">
        <w:t>which are assessed by detailed history, physical examination and targeted investigations</w:t>
      </w:r>
      <w:r w:rsidR="007F54EE">
        <w:t xml:space="preserve"> </w:t>
      </w:r>
      <w:r w:rsidRPr="00276A76">
        <w:t>including imaging.</w:t>
      </w:r>
    </w:p>
    <w:p w:rsidR="00276A76" w:rsidRPr="00276A76" w:rsidRDefault="00276A76" w:rsidP="00AC73ED">
      <w:r w:rsidRPr="00276A76">
        <w:t>Although the ASAS criteria reflect many important aspects and features of the disease,</w:t>
      </w:r>
      <w:r w:rsidR="007F54EE">
        <w:t xml:space="preserve"> </w:t>
      </w:r>
      <w:r w:rsidRPr="00276A76">
        <w:t>which are also used for making the diagnosis, they are not meant to be used as diagnostic</w:t>
      </w:r>
      <w:r w:rsidR="007F54EE">
        <w:t xml:space="preserve"> </w:t>
      </w:r>
      <w:r w:rsidRPr="00276A76">
        <w:t>criteri</w:t>
      </w:r>
      <w:r w:rsidRPr="009E46A1">
        <w:t>a.</w:t>
      </w:r>
      <w:r w:rsidR="00D97091" w:rsidRPr="00AC73ED">
        <w:rPr>
          <w:vertAlign w:val="superscript"/>
        </w:rPr>
        <w:fldChar w:fldCharType="begin"/>
      </w:r>
      <w:r w:rsidR="00D97091" w:rsidRPr="00AC73ED">
        <w:rPr>
          <w:vertAlign w:val="superscript"/>
        </w:rPr>
        <w:instrText xml:space="preserve"> NOTEREF _Ref372620166 \h  \* MERGEFORMAT </w:instrText>
      </w:r>
      <w:r w:rsidR="00D97091" w:rsidRPr="00AC73ED">
        <w:rPr>
          <w:vertAlign w:val="superscript"/>
        </w:rPr>
      </w:r>
      <w:r w:rsidR="00D97091" w:rsidRPr="00AC73ED">
        <w:rPr>
          <w:vertAlign w:val="superscript"/>
        </w:rPr>
        <w:fldChar w:fldCharType="separate"/>
      </w:r>
      <w:r w:rsidR="00CE3278" w:rsidRPr="00AC73ED">
        <w:rPr>
          <w:vertAlign w:val="superscript"/>
        </w:rPr>
        <w:t>8</w:t>
      </w:r>
      <w:r w:rsidR="00D97091" w:rsidRPr="00AC73ED">
        <w:rPr>
          <w:vertAlign w:val="superscript"/>
        </w:rPr>
        <w:fldChar w:fldCharType="end"/>
      </w:r>
    </w:p>
    <w:p w:rsidR="00276A76" w:rsidRPr="00276A76" w:rsidRDefault="00276A76" w:rsidP="00AC73ED">
      <w:pPr>
        <w:pStyle w:val="Heading6"/>
      </w:pPr>
      <w:r w:rsidRPr="00AC73ED">
        <w:t>Characteristics</w:t>
      </w:r>
      <w:r w:rsidRPr="00276A76">
        <w:t xml:space="preserve"> of </w:t>
      </w:r>
      <w:proofErr w:type="spellStart"/>
      <w:r w:rsidRPr="00276A76">
        <w:t>axSpA</w:t>
      </w:r>
      <w:proofErr w:type="spellEnd"/>
      <w:r w:rsidRPr="00276A76">
        <w:t xml:space="preserve"> patients and burden of disease</w:t>
      </w:r>
    </w:p>
    <w:p w:rsidR="00276A76" w:rsidRPr="00276A76" w:rsidRDefault="00276A76" w:rsidP="00AC73ED">
      <w:r w:rsidRPr="00276A76">
        <w:t>Population studies from a range of countries report prevalence estimates for AS between 0.1%</w:t>
      </w:r>
      <w:r w:rsidR="007F54EE">
        <w:t xml:space="preserve"> </w:t>
      </w:r>
      <w:r w:rsidRPr="00276A76">
        <w:t>to 1.4%</w:t>
      </w:r>
      <w:bookmarkStart w:id="186" w:name="_Ref372620590"/>
      <w:r w:rsidR="009E46A1">
        <w:rPr>
          <w:rStyle w:val="FootnoteReference"/>
        </w:rPr>
        <w:footnoteReference w:id="17"/>
      </w:r>
      <w:bookmarkEnd w:id="186"/>
      <w:r w:rsidR="007F54EE">
        <w:t xml:space="preserve"> </w:t>
      </w:r>
      <w:r w:rsidRPr="00276A76">
        <w:t xml:space="preserve">and for </w:t>
      </w:r>
      <w:proofErr w:type="spellStart"/>
      <w:r w:rsidRPr="00276A76">
        <w:t>SpA</w:t>
      </w:r>
      <w:proofErr w:type="spellEnd"/>
      <w:r w:rsidRPr="00276A76">
        <w:t xml:space="preserve"> of around 0.3% to </w:t>
      </w:r>
      <w:r w:rsidRPr="009E46A1">
        <w:t>1.9%.</w:t>
      </w:r>
      <w:r w:rsidR="00D97091">
        <w:fldChar w:fldCharType="begin"/>
      </w:r>
      <w:r w:rsidR="00D97091">
        <w:instrText xml:space="preserve"> NOTEREF _Ref372620590 \h  \* MERGEFORMAT </w:instrText>
      </w:r>
      <w:r w:rsidR="00D97091">
        <w:fldChar w:fldCharType="separate"/>
      </w:r>
      <w:r w:rsidR="00CE3278" w:rsidRPr="00CE3278">
        <w:rPr>
          <w:vertAlign w:val="superscript"/>
        </w:rPr>
        <w:t>17</w:t>
      </w:r>
      <w:r w:rsidR="00D97091">
        <w:fldChar w:fldCharType="end"/>
      </w:r>
    </w:p>
    <w:p w:rsidR="00276A76" w:rsidRPr="00276A76" w:rsidRDefault="00276A76" w:rsidP="00AC73ED">
      <w:r w:rsidRPr="00276A76">
        <w:t>Recent data from the U</w:t>
      </w:r>
      <w:r w:rsidRPr="001759A9">
        <w:t>S (NHANES 2009-</w:t>
      </w:r>
      <w:r w:rsidR="007F54EE" w:rsidRPr="001759A9">
        <w:t xml:space="preserve"> </w:t>
      </w:r>
      <w:r w:rsidRPr="001759A9">
        <w:t>2010</w:t>
      </w:r>
      <w:r w:rsidR="008B3A5C" w:rsidRPr="001759A9">
        <w:rPr>
          <w:rStyle w:val="FootnoteReference"/>
        </w:rPr>
        <w:footnoteReference w:id="18"/>
      </w:r>
      <w:r w:rsidRPr="001759A9">
        <w:t>) rep</w:t>
      </w:r>
      <w:r w:rsidRPr="00276A76">
        <w:t>ort prevalence figures of 0.9% using the Amor criteria and 1.4% using EESG, which</w:t>
      </w:r>
      <w:r w:rsidR="007F54EE">
        <w:t xml:space="preserve"> </w:t>
      </w:r>
      <w:r w:rsidRPr="00276A76">
        <w:t xml:space="preserve">are similar to RA estimates of 0.5% to 1.0% </w:t>
      </w:r>
      <w:r w:rsidRPr="00276A76">
        <w:lastRenderedPageBreak/>
        <w:t>and it has been identified that approximately 70-</w:t>
      </w:r>
      <w:r w:rsidR="007F54EE">
        <w:t xml:space="preserve"> </w:t>
      </w:r>
      <w:r w:rsidRPr="00276A76">
        <w:t xml:space="preserve">80% of all </w:t>
      </w:r>
      <w:proofErr w:type="spellStart"/>
      <w:r w:rsidRPr="00276A76">
        <w:t>SpA</w:t>
      </w:r>
      <w:proofErr w:type="spellEnd"/>
      <w:r w:rsidRPr="00276A76">
        <w:t xml:space="preserve"> patients have axial involvement.</w:t>
      </w:r>
      <w:r w:rsidR="009E46A1">
        <w:rPr>
          <w:rStyle w:val="FootnoteReference"/>
        </w:rPr>
        <w:footnoteReference w:id="19"/>
      </w:r>
      <w:r w:rsidR="009E46A1" w:rsidRPr="009E46A1">
        <w:rPr>
          <w:vertAlign w:val="superscript"/>
        </w:rPr>
        <w:t>,</w:t>
      </w:r>
      <w:r w:rsidR="009E46A1">
        <w:t xml:space="preserve"> </w:t>
      </w:r>
      <w:r w:rsidR="009E46A1">
        <w:rPr>
          <w:rStyle w:val="FootnoteReference"/>
        </w:rPr>
        <w:footnoteReference w:id="20"/>
      </w:r>
      <w:r w:rsidR="009E46A1" w:rsidRPr="009E46A1">
        <w:rPr>
          <w:vertAlign w:val="superscript"/>
        </w:rPr>
        <w:t>,</w:t>
      </w:r>
      <w:r w:rsidR="009E46A1">
        <w:t xml:space="preserve"> </w:t>
      </w:r>
      <w:r w:rsidR="009E46A1">
        <w:rPr>
          <w:rStyle w:val="FootnoteReference"/>
        </w:rPr>
        <w:footnoteReference w:id="21"/>
      </w:r>
    </w:p>
    <w:p w:rsidR="00276A76" w:rsidRPr="00276A76" w:rsidRDefault="00276A76" w:rsidP="00AC73ED">
      <w:r w:rsidRPr="00276A76">
        <w:t>The proportion of nr-</w:t>
      </w:r>
      <w:proofErr w:type="spellStart"/>
      <w:r w:rsidRPr="00276A76">
        <w:t>axSpA</w:t>
      </w:r>
      <w:proofErr w:type="spellEnd"/>
      <w:r w:rsidRPr="00276A76">
        <w:t xml:space="preserve"> patients among all </w:t>
      </w:r>
      <w:proofErr w:type="spellStart"/>
      <w:r w:rsidRPr="00276A76">
        <w:t>axSpA</w:t>
      </w:r>
      <w:proofErr w:type="spellEnd"/>
      <w:r w:rsidRPr="00276A76">
        <w:t xml:space="preserve"> patients ranges between 40% and 60%</w:t>
      </w:r>
      <w:r w:rsidR="007F54EE">
        <w:t xml:space="preserve"> </w:t>
      </w:r>
      <w:r w:rsidRPr="00276A76">
        <w:t>according to several national and international referral programs, and depends on the duration of</w:t>
      </w:r>
      <w:r w:rsidR="007F54EE">
        <w:t xml:space="preserve"> </w:t>
      </w:r>
      <w:r w:rsidRPr="00276A76">
        <w:t>back pain.</w:t>
      </w:r>
      <w:r w:rsidR="00D97091">
        <w:fldChar w:fldCharType="begin"/>
      </w:r>
      <w:r w:rsidR="00D97091">
        <w:instrText xml:space="preserve"> NOTEREF _Ref372620590 \h  \* MERGEFORMAT </w:instrText>
      </w:r>
      <w:r w:rsidR="00D97091">
        <w:fldChar w:fldCharType="separate"/>
      </w:r>
      <w:r w:rsidR="00CE3278" w:rsidRPr="00CE3278">
        <w:rPr>
          <w:vertAlign w:val="superscript"/>
        </w:rPr>
        <w:t>17</w:t>
      </w:r>
      <w:r w:rsidR="00D97091">
        <w:fldChar w:fldCharType="end"/>
      </w:r>
      <w:r w:rsidR="009E46A1" w:rsidRPr="009E46A1">
        <w:rPr>
          <w:vertAlign w:val="superscript"/>
        </w:rPr>
        <w:t xml:space="preserve">, </w:t>
      </w:r>
      <w:r w:rsidR="009E46A1">
        <w:rPr>
          <w:rStyle w:val="FootnoteReference"/>
        </w:rPr>
        <w:footnoteReference w:id="22"/>
      </w:r>
    </w:p>
    <w:p w:rsidR="00276A76" w:rsidRPr="00276A76" w:rsidRDefault="00276A76" w:rsidP="00AC73ED">
      <w:r w:rsidRPr="00276A76">
        <w:t>Over time some patients will progress from nr-</w:t>
      </w:r>
      <w:proofErr w:type="spellStart"/>
      <w:r w:rsidRPr="00276A76">
        <w:t>axSpA</w:t>
      </w:r>
      <w:proofErr w:type="spellEnd"/>
      <w:r w:rsidRPr="00276A76">
        <w:t xml:space="preserve"> to AS. The rate of</w:t>
      </w:r>
      <w:r w:rsidR="007F54EE">
        <w:t xml:space="preserve"> </w:t>
      </w:r>
      <w:r w:rsidRPr="00276A76">
        <w:t>progression from nr-</w:t>
      </w:r>
      <w:proofErr w:type="spellStart"/>
      <w:r w:rsidRPr="00276A76">
        <w:t>axSpA</w:t>
      </w:r>
      <w:proofErr w:type="spellEnd"/>
      <w:r w:rsidRPr="00276A76">
        <w:t xml:space="preserve"> to AS (the development of definite radiographic </w:t>
      </w:r>
      <w:proofErr w:type="spellStart"/>
      <w:r w:rsidRPr="00276A76">
        <w:t>sacroiliitis</w:t>
      </w:r>
      <w:proofErr w:type="spellEnd"/>
      <w:r w:rsidRPr="00276A76">
        <w:t>) is</w:t>
      </w:r>
      <w:r w:rsidR="007F54EE">
        <w:t xml:space="preserve"> </w:t>
      </w:r>
      <w:r w:rsidRPr="00276A76">
        <w:t>approximately 10% after 2 years and up to 60% after 10 years across stu</w:t>
      </w:r>
      <w:r w:rsidRPr="009E46A1">
        <w:t>dies.</w:t>
      </w:r>
      <w:r w:rsidR="00D97091">
        <w:fldChar w:fldCharType="begin"/>
      </w:r>
      <w:r w:rsidR="00D97091">
        <w:instrText xml:space="preserve"> NOTEREF _Ref372620166 \h  \* MERGEFORMAT </w:instrText>
      </w:r>
      <w:r w:rsidR="00D97091">
        <w:fldChar w:fldCharType="separate"/>
      </w:r>
      <w:r w:rsidR="00CE3278" w:rsidRPr="00CE3278">
        <w:t>8</w:t>
      </w:r>
      <w:r w:rsidR="00D97091">
        <w:fldChar w:fldCharType="end"/>
      </w:r>
      <w:r w:rsidRPr="009E46A1">
        <w:t xml:space="preserve"> Gi</w:t>
      </w:r>
      <w:r w:rsidRPr="00276A76">
        <w:t>ven this, it is</w:t>
      </w:r>
      <w:r w:rsidR="007F54EE">
        <w:t xml:space="preserve"> </w:t>
      </w:r>
      <w:r w:rsidRPr="00276A76">
        <w:t xml:space="preserve">clear that not all </w:t>
      </w:r>
      <w:proofErr w:type="spellStart"/>
      <w:r w:rsidRPr="00276A76">
        <w:t>axSpA</w:t>
      </w:r>
      <w:proofErr w:type="spellEnd"/>
      <w:r w:rsidRPr="00276A76">
        <w:t xml:space="preserve"> patients will develop definite radiographic </w:t>
      </w:r>
      <w:proofErr w:type="spellStart"/>
      <w:r w:rsidRPr="00276A76">
        <w:t>sacroiliitis</w:t>
      </w:r>
      <w:proofErr w:type="spellEnd"/>
      <w:r w:rsidRPr="00276A76">
        <w:t>.</w:t>
      </w:r>
    </w:p>
    <w:p w:rsidR="00276A76" w:rsidRPr="00276A76" w:rsidRDefault="00276A76" w:rsidP="00AC73ED">
      <w:r w:rsidRPr="00276A76">
        <w:t xml:space="preserve">Duration of back pain is one of the predictors for the development of AS in patients with </w:t>
      </w:r>
      <w:proofErr w:type="spellStart"/>
      <w:r w:rsidRPr="00276A76">
        <w:t>nraxSpA</w:t>
      </w:r>
      <w:proofErr w:type="spellEnd"/>
      <w:r w:rsidRPr="00276A76">
        <w:t>;</w:t>
      </w:r>
      <w:r w:rsidR="007F54EE">
        <w:t xml:space="preserve"> </w:t>
      </w:r>
      <w:r w:rsidRPr="00276A76">
        <w:t xml:space="preserve">however other factors can act as predictors for progression in </w:t>
      </w:r>
      <w:proofErr w:type="spellStart"/>
      <w:r w:rsidRPr="00276A76">
        <w:t>axSpA</w:t>
      </w:r>
      <w:proofErr w:type="spellEnd"/>
      <w:r w:rsidRPr="00276A76">
        <w:t>. Elevated CRP over</w:t>
      </w:r>
      <w:r w:rsidR="007F54EE">
        <w:t xml:space="preserve"> </w:t>
      </w:r>
      <w:r w:rsidRPr="00276A76">
        <w:t xml:space="preserve">time is a significant predictor for the development of radiographic </w:t>
      </w:r>
      <w:proofErr w:type="spellStart"/>
      <w:r w:rsidRPr="00276A76">
        <w:t>sacroiliitis</w:t>
      </w:r>
      <w:proofErr w:type="spellEnd"/>
      <w:r w:rsidRPr="00276A76">
        <w:t>, as it is estimated</w:t>
      </w:r>
      <w:r w:rsidR="007F54EE">
        <w:t xml:space="preserve"> </w:t>
      </w:r>
      <w:r w:rsidRPr="00276A76">
        <w:t>that 25% of patients with nr-</w:t>
      </w:r>
      <w:proofErr w:type="spellStart"/>
      <w:r w:rsidRPr="00276A76">
        <w:t>axSpA</w:t>
      </w:r>
      <w:proofErr w:type="spellEnd"/>
      <w:r w:rsidRPr="00276A76">
        <w:t xml:space="preserve"> and elevated CRP levels will develop evidence of </w:t>
      </w:r>
      <w:proofErr w:type="spellStart"/>
      <w:r w:rsidRPr="00276A76">
        <w:t>sacroiliitis</w:t>
      </w:r>
      <w:proofErr w:type="spellEnd"/>
      <w:r w:rsidR="007F54EE">
        <w:t xml:space="preserve"> </w:t>
      </w:r>
      <w:r w:rsidRPr="00276A76">
        <w:t>on radiographs within 2 years</w:t>
      </w:r>
      <w:r w:rsidRPr="00975B4E">
        <w:rPr>
          <w:vertAlign w:val="superscript"/>
        </w:rPr>
        <w:t>.</w:t>
      </w:r>
      <w:r w:rsidR="00D97091">
        <w:fldChar w:fldCharType="begin"/>
      </w:r>
      <w:r w:rsidR="00D97091">
        <w:instrText xml:space="preserve"> NOTEREF _Ref372620166 \h  \* MERGEFORMAT </w:instrText>
      </w:r>
      <w:r w:rsidR="00D97091">
        <w:fldChar w:fldCharType="separate"/>
      </w:r>
      <w:r w:rsidR="00CE3278" w:rsidRPr="00CE3278">
        <w:t>8</w:t>
      </w:r>
      <w:r w:rsidR="00D97091">
        <w:fldChar w:fldCharType="end"/>
      </w:r>
      <w:r w:rsidRPr="00276A76">
        <w:t xml:space="preserve"> In addition, a study from Leeds, UK found that extended</w:t>
      </w:r>
      <w:r w:rsidR="007F54EE">
        <w:t xml:space="preserve"> </w:t>
      </w:r>
      <w:r w:rsidRPr="00276A76">
        <w:t>inflammation on MRI (</w:t>
      </w:r>
      <w:proofErr w:type="spellStart"/>
      <w:r w:rsidRPr="00276A76">
        <w:t>sacroiliitis</w:t>
      </w:r>
      <w:proofErr w:type="spellEnd"/>
      <w:r w:rsidRPr="00276A76">
        <w:t xml:space="preserve">) predicted the development of radiographic </w:t>
      </w:r>
      <w:proofErr w:type="spellStart"/>
      <w:r w:rsidRPr="00276A76">
        <w:t>sacroiliitis</w:t>
      </w:r>
      <w:proofErr w:type="spellEnd"/>
      <w:r w:rsidRPr="00276A76">
        <w:t xml:space="preserve"> 8 years</w:t>
      </w:r>
      <w:r w:rsidR="007F54EE">
        <w:t xml:space="preserve"> </w:t>
      </w:r>
      <w:r w:rsidRPr="00791AC0">
        <w:t>later.</w:t>
      </w:r>
      <w:r w:rsidR="009E46A1" w:rsidRPr="00791AC0">
        <w:rPr>
          <w:rStyle w:val="FootnoteReference"/>
        </w:rPr>
        <w:footnoteReference w:id="23"/>
      </w:r>
    </w:p>
    <w:p w:rsidR="00276A76" w:rsidRPr="00276A76" w:rsidRDefault="00276A76" w:rsidP="00AC73ED">
      <w:r w:rsidRPr="00276A76">
        <w:t>D</w:t>
      </w:r>
      <w:r w:rsidRPr="001759A9">
        <w:t xml:space="preserve">ata from registries and randomized controlled studies indicate that patients with </w:t>
      </w:r>
      <w:proofErr w:type="spellStart"/>
      <w:r w:rsidRPr="001759A9">
        <w:t>axSpA</w:t>
      </w:r>
      <w:proofErr w:type="spellEnd"/>
      <w:r w:rsidRPr="001759A9">
        <w:t xml:space="preserve"> are</w:t>
      </w:r>
      <w:r w:rsidR="007F54EE" w:rsidRPr="001759A9">
        <w:t xml:space="preserve"> </w:t>
      </w:r>
      <w:r w:rsidRPr="001759A9">
        <w:t>often in their 30s or 40s</w:t>
      </w:r>
      <w:r w:rsidR="00D97091">
        <w:fldChar w:fldCharType="begin"/>
      </w:r>
      <w:r w:rsidR="00D97091">
        <w:instrText xml:space="preserve"> NOTEREF _Ref372620123 \h  \* MERGEFORMAT </w:instrText>
      </w:r>
      <w:r w:rsidR="00D97091">
        <w:fldChar w:fldCharType="separate"/>
      </w:r>
      <w:r w:rsidR="00CE3278" w:rsidRPr="00CE3278">
        <w:rPr>
          <w:vertAlign w:val="superscript"/>
        </w:rPr>
        <w:t>10</w:t>
      </w:r>
      <w:r w:rsidR="00D97091">
        <w:fldChar w:fldCharType="end"/>
      </w:r>
      <w:r w:rsidR="00791AC0" w:rsidRPr="001759A9">
        <w:rPr>
          <w:vertAlign w:val="superscript"/>
        </w:rPr>
        <w:t>,</w:t>
      </w:r>
      <w:bookmarkStart w:id="187" w:name="_Ref372620863"/>
      <w:r w:rsidR="00791AC0" w:rsidRPr="001759A9">
        <w:rPr>
          <w:rStyle w:val="FootnoteReference"/>
        </w:rPr>
        <w:footnoteReference w:id="24"/>
      </w:r>
      <w:bookmarkEnd w:id="187"/>
      <w:proofErr w:type="gramStart"/>
      <w:r w:rsidR="00791AC0" w:rsidRPr="001759A9">
        <w:rPr>
          <w:vertAlign w:val="superscript"/>
        </w:rPr>
        <w:t>,</w:t>
      </w:r>
      <w:bookmarkStart w:id="188" w:name="_Ref372620873"/>
      <w:proofErr w:type="gramEnd"/>
      <w:r w:rsidR="00791AC0" w:rsidRPr="001759A9">
        <w:rPr>
          <w:rStyle w:val="FootnoteReference"/>
        </w:rPr>
        <w:footnoteReference w:id="25"/>
      </w:r>
      <w:bookmarkEnd w:id="188"/>
      <w:r w:rsidRPr="001759A9">
        <w:t xml:space="preserve"> and suffer from substantial axial pain, fatigue, morning stiffness</w:t>
      </w:r>
      <w:r w:rsidR="007F54EE" w:rsidRPr="001759A9">
        <w:t xml:space="preserve"> </w:t>
      </w:r>
      <w:r w:rsidRPr="001759A9">
        <w:t>and functional impairment.</w:t>
      </w:r>
      <w:r w:rsidR="00D97091">
        <w:fldChar w:fldCharType="begin"/>
      </w:r>
      <w:r w:rsidR="00D97091">
        <w:instrText xml:space="preserve"> NOTEREF _Ref372620123 \h  \* MERGEFORMAT </w:instrText>
      </w:r>
      <w:r w:rsidR="00D97091">
        <w:fldChar w:fldCharType="separate"/>
      </w:r>
      <w:r w:rsidR="00CE3278" w:rsidRPr="00CE3278">
        <w:rPr>
          <w:vertAlign w:val="superscript"/>
        </w:rPr>
        <w:t>10</w:t>
      </w:r>
      <w:r w:rsidR="00D97091">
        <w:fldChar w:fldCharType="end"/>
      </w:r>
      <w:r w:rsidR="00791AC0" w:rsidRPr="001759A9">
        <w:rPr>
          <w:vertAlign w:val="superscript"/>
        </w:rPr>
        <w:t xml:space="preserve">, </w:t>
      </w:r>
      <w:r w:rsidR="00D97091">
        <w:fldChar w:fldCharType="begin"/>
      </w:r>
      <w:r w:rsidR="00D97091">
        <w:instrText xml:space="preserve"> NOTEREF _Ref372620590 \h  \* MERGEFORMAT </w:instrText>
      </w:r>
      <w:r w:rsidR="00D97091">
        <w:fldChar w:fldCharType="separate"/>
      </w:r>
      <w:r w:rsidR="00CE3278" w:rsidRPr="00CE3278">
        <w:rPr>
          <w:vertAlign w:val="superscript"/>
        </w:rPr>
        <w:t>17</w:t>
      </w:r>
      <w:r w:rsidR="00D97091">
        <w:fldChar w:fldCharType="end"/>
      </w:r>
      <w:r w:rsidR="001759A9" w:rsidRPr="001759A9">
        <w:rPr>
          <w:vertAlign w:val="superscript"/>
        </w:rPr>
        <w:t xml:space="preserve">, </w:t>
      </w:r>
      <w:r w:rsidR="00D97091">
        <w:fldChar w:fldCharType="begin"/>
      </w:r>
      <w:r w:rsidR="00D97091">
        <w:instrText xml:space="preserve"> NOTEREF _Ref372620873 \h  \* MERGEFORMAT </w:instrText>
      </w:r>
      <w:r w:rsidR="00D97091">
        <w:fldChar w:fldCharType="separate"/>
      </w:r>
      <w:r w:rsidR="00CE3278" w:rsidRPr="00CE3278">
        <w:rPr>
          <w:vertAlign w:val="superscript"/>
        </w:rPr>
        <w:t>25</w:t>
      </w:r>
      <w:r w:rsidR="00D97091">
        <w:fldChar w:fldCharType="end"/>
      </w:r>
      <w:proofErr w:type="gramStart"/>
      <w:r w:rsidR="00791AC0" w:rsidRPr="001759A9">
        <w:rPr>
          <w:vertAlign w:val="superscript"/>
        </w:rPr>
        <w:t>, ,</w:t>
      </w:r>
      <w:bookmarkStart w:id="189" w:name="_Ref372621666"/>
      <w:proofErr w:type="gramEnd"/>
      <w:r w:rsidR="00791AC0" w:rsidRPr="001759A9">
        <w:rPr>
          <w:rStyle w:val="FootnoteReference"/>
        </w:rPr>
        <w:footnoteReference w:id="26"/>
      </w:r>
      <w:bookmarkEnd w:id="189"/>
      <w:r w:rsidR="00791AC0" w:rsidRPr="001759A9">
        <w:rPr>
          <w:vertAlign w:val="superscript"/>
        </w:rPr>
        <w:t>,</w:t>
      </w:r>
      <w:bookmarkStart w:id="190" w:name="_Ref372621673"/>
      <w:r w:rsidR="00791AC0" w:rsidRPr="001759A9">
        <w:rPr>
          <w:rStyle w:val="FootnoteReference"/>
        </w:rPr>
        <w:footnoteReference w:id="27"/>
      </w:r>
      <w:bookmarkEnd w:id="190"/>
      <w:r w:rsidRPr="001759A9">
        <w:t>The i</w:t>
      </w:r>
      <w:r w:rsidRPr="00276A76">
        <w:t>mpact of these manifestations is assessed by the Bath</w:t>
      </w:r>
      <w:r w:rsidR="007F54EE">
        <w:t xml:space="preserve"> </w:t>
      </w:r>
      <w:r w:rsidRPr="00276A76">
        <w:t>Ankylosing Spondylitis Disease Activity Index and Functional Index (BASDAI and BASFI),</w:t>
      </w:r>
      <w:r w:rsidR="007F54EE">
        <w:t xml:space="preserve"> </w:t>
      </w:r>
      <w:r w:rsidRPr="00276A76">
        <w:t>visual analogue scale measurements of total pain/back pain, and global assessments of disease</w:t>
      </w:r>
      <w:r w:rsidR="007F54EE">
        <w:t xml:space="preserve"> </w:t>
      </w:r>
      <w:r w:rsidRPr="00276A76">
        <w:t>activity (patient and physician</w:t>
      </w:r>
      <w:r w:rsidRPr="00791AC0">
        <w:t>).</w:t>
      </w:r>
      <w:r w:rsidR="00791AC0" w:rsidRPr="00791AC0">
        <w:rPr>
          <w:rStyle w:val="FootnoteReference"/>
        </w:rPr>
        <w:footnoteReference w:id="28"/>
      </w:r>
    </w:p>
    <w:p w:rsidR="00276A76" w:rsidRPr="008B3A5C" w:rsidRDefault="00276A76" w:rsidP="00AC73ED">
      <w:pPr>
        <w:rPr>
          <w:vertAlign w:val="superscript"/>
        </w:rPr>
      </w:pPr>
      <w:r w:rsidRPr="00276A76">
        <w:t>Stiffness, pain, and fatigue have been found to adversely influence quality of life and physical</w:t>
      </w:r>
      <w:r w:rsidR="007F54EE">
        <w:t xml:space="preserve"> </w:t>
      </w:r>
      <w:r w:rsidRPr="00276A76">
        <w:t xml:space="preserve">functioning among patients with </w:t>
      </w:r>
      <w:proofErr w:type="spellStart"/>
      <w:proofErr w:type="gramStart"/>
      <w:r w:rsidRPr="00276A76">
        <w:t>axSpA</w:t>
      </w:r>
      <w:proofErr w:type="spellEnd"/>
      <w:r w:rsidRPr="00276A76">
        <w:t>.</w:t>
      </w:r>
      <w:r w:rsidR="00791AC0">
        <w:rPr>
          <w:rStyle w:val="FootnoteReference"/>
        </w:rPr>
        <w:footnoteReference w:id="29"/>
      </w:r>
      <w:r w:rsidR="00791AC0" w:rsidRPr="00791AC0">
        <w:rPr>
          <w:vertAlign w:val="superscript"/>
        </w:rPr>
        <w:t>,</w:t>
      </w:r>
      <w:proofErr w:type="gramEnd"/>
      <w:r w:rsidR="00791AC0">
        <w:rPr>
          <w:rStyle w:val="FootnoteReference"/>
        </w:rPr>
        <w:footnoteReference w:id="30"/>
      </w:r>
      <w:r w:rsidRPr="00276A76">
        <w:t xml:space="preserve"> Furthermore, in these patients, increased disease</w:t>
      </w:r>
      <w:r>
        <w:t xml:space="preserve"> </w:t>
      </w:r>
      <w:r w:rsidRPr="00276A76">
        <w:t xml:space="preserve">activity, functional disability and fatigue severity have been found to be </w:t>
      </w:r>
      <w:r w:rsidRPr="00276A76">
        <w:lastRenderedPageBreak/>
        <w:t>associated with poorer</w:t>
      </w:r>
      <w:r w:rsidR="007F54EE">
        <w:t xml:space="preserve"> </w:t>
      </w:r>
      <w:r w:rsidRPr="00276A76">
        <w:t>mental health status.</w:t>
      </w:r>
      <w:r w:rsidR="00791AC0">
        <w:rPr>
          <w:rStyle w:val="FootnoteReference"/>
        </w:rPr>
        <w:footnoteReference w:id="31"/>
      </w:r>
      <w:r w:rsidRPr="00276A76">
        <w:t xml:space="preserve"> Poor health-related quality of life may be evidenced by decreased physical</w:t>
      </w:r>
      <w:r w:rsidR="007F54EE">
        <w:t xml:space="preserve"> </w:t>
      </w:r>
      <w:r w:rsidRPr="00276A76">
        <w:t>function and impaired work outcomes in these relatively young patients. There is evidence that</w:t>
      </w:r>
      <w:r w:rsidR="007F54EE">
        <w:t xml:space="preserve"> </w:t>
      </w:r>
      <w:r w:rsidRPr="00276A76">
        <w:t>the disease incurs a substantial economic impact on society or patients, with costs driven mainly</w:t>
      </w:r>
      <w:r w:rsidR="007F54EE">
        <w:t xml:space="preserve"> </w:t>
      </w:r>
      <w:r w:rsidRPr="00276A76">
        <w:t>by the loss of capacity t</w:t>
      </w:r>
      <w:r w:rsidRPr="008B3A5C">
        <w:t>o work.</w:t>
      </w:r>
      <w:r w:rsidR="00791AC0" w:rsidRPr="008B3A5C">
        <w:rPr>
          <w:rStyle w:val="FootnoteReference"/>
        </w:rPr>
        <w:footnoteReference w:id="32"/>
      </w:r>
      <w:r w:rsidR="00791AC0" w:rsidRPr="008B3A5C">
        <w:rPr>
          <w:vertAlign w:val="superscript"/>
        </w:rPr>
        <w:t>,</w:t>
      </w:r>
      <w:r w:rsidR="00791AC0" w:rsidRPr="008B3A5C">
        <w:rPr>
          <w:rStyle w:val="FootnoteReference"/>
        </w:rPr>
        <w:footnoteReference w:id="33"/>
      </w:r>
      <w:proofErr w:type="gramStart"/>
      <w:r w:rsidR="00791AC0" w:rsidRPr="008B3A5C">
        <w:rPr>
          <w:vertAlign w:val="superscript"/>
        </w:rPr>
        <w:t xml:space="preserve">, </w:t>
      </w:r>
      <w:proofErr w:type="gramEnd"/>
      <w:r w:rsidR="00791AC0" w:rsidRPr="008B3A5C">
        <w:rPr>
          <w:rStyle w:val="FootnoteReference"/>
        </w:rPr>
        <w:footnoteReference w:id="34"/>
      </w:r>
      <w:r w:rsidR="00791AC0" w:rsidRPr="008B3A5C">
        <w:rPr>
          <w:vertAlign w:val="superscript"/>
        </w:rPr>
        <w:t xml:space="preserve">, </w:t>
      </w:r>
      <w:r w:rsidR="00791AC0" w:rsidRPr="008B3A5C">
        <w:rPr>
          <w:rStyle w:val="FootnoteReference"/>
        </w:rPr>
        <w:footnoteReference w:id="35"/>
      </w:r>
      <w:r w:rsidR="00791AC0" w:rsidRPr="008B3A5C">
        <w:rPr>
          <w:vertAlign w:val="superscript"/>
        </w:rPr>
        <w:t>,</w:t>
      </w:r>
      <w:r w:rsidR="008B3A5C" w:rsidRPr="008B3A5C">
        <w:rPr>
          <w:rStyle w:val="FootnoteReference"/>
        </w:rPr>
        <w:footnoteReference w:id="36"/>
      </w:r>
      <w:r w:rsidR="00791AC0" w:rsidRPr="008B3A5C">
        <w:rPr>
          <w:vertAlign w:val="superscript"/>
        </w:rPr>
        <w:t xml:space="preserve"> </w:t>
      </w:r>
      <w:r w:rsidR="00791AC0" w:rsidRPr="008B3A5C">
        <w:rPr>
          <w:rStyle w:val="FootnoteReference"/>
        </w:rPr>
        <w:footnoteReference w:id="37"/>
      </w:r>
      <w:r w:rsidR="00791AC0" w:rsidRPr="008B3A5C">
        <w:rPr>
          <w:vertAlign w:val="superscript"/>
        </w:rPr>
        <w:t xml:space="preserve">, </w:t>
      </w:r>
      <w:r w:rsidR="00791AC0" w:rsidRPr="008B3A5C">
        <w:rPr>
          <w:rStyle w:val="FootnoteReference"/>
        </w:rPr>
        <w:footnoteReference w:id="38"/>
      </w:r>
      <w:r w:rsidR="00791AC0" w:rsidRPr="008B3A5C">
        <w:rPr>
          <w:vertAlign w:val="superscript"/>
        </w:rPr>
        <w:t xml:space="preserve">, </w:t>
      </w:r>
      <w:bookmarkStart w:id="191" w:name="_Ref372621781"/>
      <w:r w:rsidR="008B3A5C" w:rsidRPr="008B3A5C">
        <w:rPr>
          <w:rStyle w:val="FootnoteReference"/>
        </w:rPr>
        <w:footnoteReference w:id="39"/>
      </w:r>
      <w:bookmarkEnd w:id="191"/>
    </w:p>
    <w:p w:rsidR="00276A76" w:rsidRPr="008B3A5C" w:rsidRDefault="00276A76" w:rsidP="00AC73ED">
      <w:pPr>
        <w:rPr>
          <w:vertAlign w:val="superscript"/>
        </w:rPr>
      </w:pPr>
      <w:r w:rsidRPr="00276A76">
        <w:t xml:space="preserve">Axial </w:t>
      </w:r>
      <w:proofErr w:type="spellStart"/>
      <w:r w:rsidRPr="00276A76">
        <w:t>SpA</w:t>
      </w:r>
      <w:proofErr w:type="spellEnd"/>
      <w:r w:rsidRPr="00276A76">
        <w:t xml:space="preserve"> has a deleterious effect on patients regardless of the presence (AS) or absence (</w:t>
      </w:r>
      <w:proofErr w:type="spellStart"/>
      <w:r w:rsidRPr="00276A76">
        <w:t>nraxSpA</w:t>
      </w:r>
      <w:proofErr w:type="spellEnd"/>
      <w:r w:rsidRPr="00276A76">
        <w:t>)</w:t>
      </w:r>
      <w:r w:rsidR="007F54EE">
        <w:t xml:space="preserve"> </w:t>
      </w:r>
      <w:r w:rsidRPr="00276A76">
        <w:t xml:space="preserve">of evidence of </w:t>
      </w:r>
      <w:proofErr w:type="spellStart"/>
      <w:r w:rsidRPr="00276A76">
        <w:t>sacroiliitis</w:t>
      </w:r>
      <w:proofErr w:type="spellEnd"/>
      <w:r w:rsidRPr="00276A76">
        <w:t xml:space="preserve"> on radiograph</w:t>
      </w:r>
      <w:r w:rsidRPr="008B3A5C">
        <w:t>s.</w:t>
      </w:r>
      <w:r w:rsidR="00D97091">
        <w:fldChar w:fldCharType="begin"/>
      </w:r>
      <w:r w:rsidR="00D97091">
        <w:instrText xml:space="preserve"> NOTEREF _Ref372620863 \h  \* MERGEFORMAT </w:instrText>
      </w:r>
      <w:r w:rsidR="00D97091">
        <w:fldChar w:fldCharType="separate"/>
      </w:r>
      <w:r w:rsidR="00CE3278" w:rsidRPr="00CE3278">
        <w:rPr>
          <w:vertAlign w:val="superscript"/>
        </w:rPr>
        <w:t>24</w:t>
      </w:r>
      <w:r w:rsidR="00D97091">
        <w:fldChar w:fldCharType="end"/>
      </w:r>
    </w:p>
    <w:p w:rsidR="00276A76" w:rsidRPr="00276A76" w:rsidRDefault="00276A76" w:rsidP="00AC73ED">
      <w:r w:rsidRPr="00276A76">
        <w:t>Several studies have identified that the</w:t>
      </w:r>
      <w:r w:rsidR="007F54EE">
        <w:t xml:space="preserve"> </w:t>
      </w:r>
      <w:r w:rsidRPr="00276A76">
        <w:t>burden of subjective symptoms (</w:t>
      </w:r>
      <w:r w:rsidR="007F54EE">
        <w:t>for example,</w:t>
      </w:r>
      <w:r w:rsidRPr="00276A76">
        <w:t xml:space="preserve"> pain, perceived disease activity, fatigue) is comparable in</w:t>
      </w:r>
      <w:r w:rsidR="007F54EE">
        <w:t xml:space="preserve"> </w:t>
      </w:r>
      <w:r w:rsidRPr="00276A76">
        <w:t>nr-</w:t>
      </w:r>
      <w:proofErr w:type="spellStart"/>
      <w:r w:rsidRPr="00276A76">
        <w:t>axSpA</w:t>
      </w:r>
      <w:proofErr w:type="spellEnd"/>
      <w:r w:rsidRPr="00276A76">
        <w:t xml:space="preserve"> and AS patients</w:t>
      </w:r>
      <w:r w:rsidR="00D97091">
        <w:fldChar w:fldCharType="begin"/>
      </w:r>
      <w:r w:rsidR="00D97091">
        <w:instrText xml:space="preserve"> NOTEREF _Ref372620123 \h  \* MERGEFORMAT </w:instrText>
      </w:r>
      <w:r w:rsidR="00D97091">
        <w:fldChar w:fldCharType="separate"/>
      </w:r>
      <w:r w:rsidR="00CE3278" w:rsidRPr="00CE3278">
        <w:rPr>
          <w:vertAlign w:val="superscript"/>
        </w:rPr>
        <w:t>10</w:t>
      </w:r>
      <w:r w:rsidR="00D97091">
        <w:fldChar w:fldCharType="end"/>
      </w:r>
      <w:r w:rsidR="008B3A5C" w:rsidRPr="008B3A5C">
        <w:rPr>
          <w:vertAlign w:val="superscript"/>
        </w:rPr>
        <w:t>,</w:t>
      </w:r>
      <w:r w:rsidR="00D97091">
        <w:fldChar w:fldCharType="begin"/>
      </w:r>
      <w:r w:rsidR="00D97091">
        <w:instrText xml:space="preserve"> NOTEREF _Ref372620863 \h  \* MERGEFORMAT </w:instrText>
      </w:r>
      <w:r w:rsidR="00D97091">
        <w:fldChar w:fldCharType="separate"/>
      </w:r>
      <w:r w:rsidR="00CE3278" w:rsidRPr="00CE3278">
        <w:rPr>
          <w:vertAlign w:val="superscript"/>
        </w:rPr>
        <w:t>24</w:t>
      </w:r>
      <w:r w:rsidR="00D97091">
        <w:fldChar w:fldCharType="end"/>
      </w:r>
      <w:r w:rsidR="008B3A5C" w:rsidRPr="008B3A5C">
        <w:rPr>
          <w:vertAlign w:val="superscript"/>
        </w:rPr>
        <w:t xml:space="preserve">, </w:t>
      </w:r>
      <w:r w:rsidR="008B3A5C" w:rsidRPr="008B3A5C">
        <w:rPr>
          <w:rStyle w:val="FootnoteReference"/>
        </w:rPr>
        <w:footnoteReference w:id="40"/>
      </w:r>
      <w:r w:rsidRPr="008B3A5C">
        <w:rPr>
          <w:vertAlign w:val="superscript"/>
        </w:rPr>
        <w:t>,</w:t>
      </w:r>
      <w:bookmarkStart w:id="192" w:name="_Ref372621605"/>
      <w:r w:rsidR="008B3A5C" w:rsidRPr="008B3A5C">
        <w:rPr>
          <w:rStyle w:val="FootnoteReference"/>
        </w:rPr>
        <w:footnoteReference w:id="41"/>
      </w:r>
      <w:bookmarkEnd w:id="192"/>
      <w:r w:rsidRPr="008B3A5C">
        <w:rPr>
          <w:vertAlign w:val="superscript"/>
        </w:rPr>
        <w:t xml:space="preserve"> </w:t>
      </w:r>
      <w:r w:rsidRPr="00276A76">
        <w:t>although spinal mobility and functional status (BASFI) are</w:t>
      </w:r>
      <w:r w:rsidR="007F54EE">
        <w:t xml:space="preserve"> </w:t>
      </w:r>
      <w:r w:rsidRPr="00276A76">
        <w:t xml:space="preserve">usually somewhat worse in AS than in </w:t>
      </w:r>
      <w:proofErr w:type="spellStart"/>
      <w:r w:rsidRPr="00276A76">
        <w:t>nraxSpA</w:t>
      </w:r>
      <w:proofErr w:type="spellEnd"/>
      <w:r w:rsidRPr="00276A76">
        <w:t xml:space="preserve"> due to the presence of structural damage in the</w:t>
      </w:r>
      <w:r w:rsidR="007F54EE">
        <w:t xml:space="preserve"> </w:t>
      </w:r>
      <w:r w:rsidRPr="00276A76">
        <w:t>former patient group</w:t>
      </w:r>
      <w:r w:rsidR="008B3A5C">
        <w:t>.</w:t>
      </w:r>
      <w:r w:rsidR="00D97091">
        <w:fldChar w:fldCharType="begin"/>
      </w:r>
      <w:r w:rsidR="00D97091">
        <w:instrText xml:space="preserve"> NOTEREF _Ref372620123 \h  \* MERGEFORMAT </w:instrText>
      </w:r>
      <w:r w:rsidR="00D97091">
        <w:fldChar w:fldCharType="separate"/>
      </w:r>
      <w:r w:rsidR="00CE3278" w:rsidRPr="00CE3278">
        <w:rPr>
          <w:vertAlign w:val="superscript"/>
        </w:rPr>
        <w:t>10</w:t>
      </w:r>
      <w:r w:rsidR="00D97091">
        <w:fldChar w:fldCharType="end"/>
      </w:r>
      <w:proofErr w:type="gramStart"/>
      <w:r w:rsidR="008B3A5C" w:rsidRPr="008B3A5C">
        <w:rPr>
          <w:vertAlign w:val="superscript"/>
        </w:rPr>
        <w:t>,</w:t>
      </w:r>
      <w:proofErr w:type="gramEnd"/>
      <w:r w:rsidR="00D97091">
        <w:fldChar w:fldCharType="begin"/>
      </w:r>
      <w:r w:rsidR="00D97091">
        <w:instrText xml:space="preserve"> NOTEREF _Ref372621605 \h  \* MERGEFORMAT </w:instrText>
      </w:r>
      <w:r w:rsidR="00D97091">
        <w:fldChar w:fldCharType="separate"/>
      </w:r>
      <w:r w:rsidR="00CE3278" w:rsidRPr="00CE3278">
        <w:rPr>
          <w:vertAlign w:val="superscript"/>
        </w:rPr>
        <w:t>41</w:t>
      </w:r>
      <w:r w:rsidR="00D97091">
        <w:fldChar w:fldCharType="end"/>
      </w:r>
      <w:r w:rsidR="008B3A5C" w:rsidRPr="008B3A5C">
        <w:rPr>
          <w:vertAlign w:val="superscript"/>
        </w:rPr>
        <w:t>,</w:t>
      </w:r>
      <w:r w:rsidR="008B3A5C">
        <w:rPr>
          <w:rStyle w:val="FootnoteReference"/>
        </w:rPr>
        <w:footnoteReference w:id="42"/>
      </w:r>
      <w:r w:rsidR="008B3A5C">
        <w:t xml:space="preserve"> </w:t>
      </w:r>
    </w:p>
    <w:p w:rsidR="00276A76" w:rsidRPr="00276A76" w:rsidRDefault="00276A76" w:rsidP="00AC73ED">
      <w:pPr>
        <w:pStyle w:val="Heading6"/>
      </w:pPr>
      <w:r w:rsidRPr="00276A76">
        <w:t>Appropriateness of the ASAS criteria for classifying a patient group with limited treatment</w:t>
      </w:r>
      <w:r w:rsidR="007F54EE">
        <w:t xml:space="preserve"> </w:t>
      </w:r>
      <w:r w:rsidRPr="00276A76">
        <w:t>options in Australia</w:t>
      </w:r>
    </w:p>
    <w:p w:rsidR="00276A76" w:rsidRPr="00276A76" w:rsidRDefault="00276A76" w:rsidP="00AC73ED">
      <w:r w:rsidRPr="00276A76">
        <w:t>Application of the ASAS criteria in recent clinical trials has not only provided further validation</w:t>
      </w:r>
      <w:r w:rsidR="007F54EE">
        <w:t xml:space="preserve"> </w:t>
      </w:r>
      <w:r w:rsidRPr="00276A76">
        <w:t xml:space="preserve">for the concept of </w:t>
      </w:r>
      <w:proofErr w:type="spellStart"/>
      <w:r w:rsidRPr="00276A76">
        <w:t>axSpA</w:t>
      </w:r>
      <w:proofErr w:type="spellEnd"/>
      <w:r w:rsidRPr="00276A76">
        <w:t xml:space="preserve"> but has also demonstrated that patients from across the broad </w:t>
      </w:r>
      <w:proofErr w:type="spellStart"/>
      <w:r w:rsidRPr="00276A76">
        <w:t>axSpA</w:t>
      </w:r>
      <w:proofErr w:type="spellEnd"/>
      <w:r w:rsidR="007F54EE">
        <w:t xml:space="preserve"> </w:t>
      </w:r>
      <w:r w:rsidRPr="00276A76">
        <w:t>population</w:t>
      </w:r>
      <w:r w:rsidR="00DF2C31">
        <w:t>,</w:t>
      </w:r>
      <w:r w:rsidRPr="00276A76">
        <w:t xml:space="preserve"> not just those with radiographic evidence of </w:t>
      </w:r>
      <w:proofErr w:type="spellStart"/>
      <w:r w:rsidRPr="00276A76">
        <w:t>sacroiliitis</w:t>
      </w:r>
      <w:proofErr w:type="spellEnd"/>
      <w:r w:rsidR="00DF2C31">
        <w:t>,</w:t>
      </w:r>
      <w:r w:rsidRPr="00276A76">
        <w:t xml:space="preserve"> can derive benefit from</w:t>
      </w:r>
      <w:r w:rsidR="007F54EE">
        <w:t xml:space="preserve"> </w:t>
      </w:r>
      <w:r w:rsidRPr="00276A76">
        <w:t>proactive treatment of the signs and symptoms of active inflammatory diseas</w:t>
      </w:r>
      <w:r w:rsidRPr="008B3A5C">
        <w:t>e.</w:t>
      </w:r>
      <w:r w:rsidR="00D97091">
        <w:fldChar w:fldCharType="begin"/>
      </w:r>
      <w:r w:rsidR="00D97091">
        <w:instrText xml:space="preserve"> NOTEREF _Ref372620873 \h  \* MERGEFORMAT </w:instrText>
      </w:r>
      <w:r w:rsidR="00D97091">
        <w:fldChar w:fldCharType="separate"/>
      </w:r>
      <w:r w:rsidR="00CE3278" w:rsidRPr="00CE3278">
        <w:rPr>
          <w:vertAlign w:val="superscript"/>
        </w:rPr>
        <w:t>25</w:t>
      </w:r>
      <w:r w:rsidR="00D97091">
        <w:fldChar w:fldCharType="end"/>
      </w:r>
      <w:r w:rsidR="008B3A5C" w:rsidRPr="008B3A5C">
        <w:rPr>
          <w:vertAlign w:val="superscript"/>
        </w:rPr>
        <w:t xml:space="preserve">, </w:t>
      </w:r>
      <w:r w:rsidR="00D97091">
        <w:fldChar w:fldCharType="begin"/>
      </w:r>
      <w:r w:rsidR="00D97091">
        <w:instrText xml:space="preserve"> NOTEREF _Ref372621666 \h  \* MERGEFORMAT </w:instrText>
      </w:r>
      <w:r w:rsidR="00D97091">
        <w:fldChar w:fldCharType="separate"/>
      </w:r>
      <w:r w:rsidR="00CE3278" w:rsidRPr="00CE3278">
        <w:rPr>
          <w:vertAlign w:val="superscript"/>
        </w:rPr>
        <w:t>26</w:t>
      </w:r>
      <w:r w:rsidR="00D97091">
        <w:fldChar w:fldCharType="end"/>
      </w:r>
      <w:r w:rsidR="008B3A5C" w:rsidRPr="008B3A5C">
        <w:rPr>
          <w:vertAlign w:val="superscript"/>
        </w:rPr>
        <w:t xml:space="preserve">, </w:t>
      </w:r>
      <w:r w:rsidR="00D97091">
        <w:fldChar w:fldCharType="begin"/>
      </w:r>
      <w:r w:rsidR="00D97091">
        <w:instrText xml:space="preserve"> NOTEREF _Ref372621673 \h  \* MERGEFORMAT </w:instrText>
      </w:r>
      <w:r w:rsidR="00D97091">
        <w:fldChar w:fldCharType="separate"/>
      </w:r>
      <w:r w:rsidR="00CE3278" w:rsidRPr="00CE3278">
        <w:rPr>
          <w:vertAlign w:val="superscript"/>
        </w:rPr>
        <w:t>27</w:t>
      </w:r>
      <w:r w:rsidR="00D97091">
        <w:fldChar w:fldCharType="end"/>
      </w:r>
      <w:r w:rsidRPr="00276A76">
        <w:t xml:space="preserve"> Axial </w:t>
      </w:r>
      <w:proofErr w:type="spellStart"/>
      <w:r w:rsidRPr="00276A76">
        <w:t>SpA</w:t>
      </w:r>
      <w:proofErr w:type="spellEnd"/>
      <w:r w:rsidR="007F54EE">
        <w:t xml:space="preserve"> patients have been recognis</w:t>
      </w:r>
      <w:r w:rsidRPr="00276A76">
        <w:t>ed for a long time in clinical practice (although by different</w:t>
      </w:r>
      <w:r w:rsidR="007F54EE">
        <w:t xml:space="preserve"> </w:t>
      </w:r>
      <w:r w:rsidRPr="00276A76">
        <w:t xml:space="preserve">nomenclature) and so the ASAS criteria are not defining or describing a new group of </w:t>
      </w:r>
      <w:proofErr w:type="spellStart"/>
      <w:r w:rsidRPr="00276A76">
        <w:t>SpApatients</w:t>
      </w:r>
      <w:proofErr w:type="spellEnd"/>
      <w:r w:rsidRPr="00276A76">
        <w:t>, but are instead improving the classification of these patients.</w:t>
      </w:r>
      <w:r w:rsidR="00D97091" w:rsidRPr="00AC73ED">
        <w:rPr>
          <w:vertAlign w:val="superscript"/>
        </w:rPr>
        <w:fldChar w:fldCharType="begin"/>
      </w:r>
      <w:r w:rsidR="00D97091" w:rsidRPr="00AC73ED">
        <w:rPr>
          <w:vertAlign w:val="superscript"/>
        </w:rPr>
        <w:instrText xml:space="preserve"> NOTEREF _Ref372620166 \h  \* MERGEFORMAT </w:instrText>
      </w:r>
      <w:r w:rsidR="00D97091" w:rsidRPr="00AC73ED">
        <w:rPr>
          <w:vertAlign w:val="superscript"/>
        </w:rPr>
      </w:r>
      <w:r w:rsidR="00D97091" w:rsidRPr="00AC73ED">
        <w:rPr>
          <w:vertAlign w:val="superscript"/>
        </w:rPr>
        <w:fldChar w:fldCharType="separate"/>
      </w:r>
      <w:r w:rsidR="00CE3278" w:rsidRPr="00AC73ED">
        <w:rPr>
          <w:vertAlign w:val="superscript"/>
        </w:rPr>
        <w:t>8</w:t>
      </w:r>
      <w:r w:rsidR="00D97091" w:rsidRPr="00AC73ED">
        <w:rPr>
          <w:vertAlign w:val="superscript"/>
        </w:rPr>
        <w:fldChar w:fldCharType="end"/>
      </w:r>
    </w:p>
    <w:p w:rsidR="00276A76" w:rsidRPr="00276A76" w:rsidRDefault="00276A76" w:rsidP="00AC73ED">
      <w:r w:rsidRPr="00276A76">
        <w:lastRenderedPageBreak/>
        <w:t xml:space="preserve">Within Australia, </w:t>
      </w:r>
      <w:proofErr w:type="spellStart"/>
      <w:r w:rsidRPr="00276A76">
        <w:t>nonsteroidal</w:t>
      </w:r>
      <w:proofErr w:type="spellEnd"/>
      <w:r w:rsidRPr="00276A76">
        <w:t xml:space="preserve"> anti-inflammatory drugs (NSAIDs) and physical therapy are the</w:t>
      </w:r>
      <w:r w:rsidR="007F54EE">
        <w:t xml:space="preserve"> </w:t>
      </w:r>
      <w:r w:rsidRPr="00276A76">
        <w:t>initial treatments of choice in this setting</w:t>
      </w:r>
      <w:r w:rsidR="008B3A5C">
        <w:rPr>
          <w:rStyle w:val="FootnoteReference"/>
        </w:rPr>
        <w:footnoteReference w:id="43"/>
      </w:r>
      <w:r w:rsidRPr="008B3A5C">
        <w:t>,</w:t>
      </w:r>
      <w:r w:rsidR="007B2084">
        <w:t xml:space="preserve"> </w:t>
      </w:r>
      <w:r w:rsidRPr="00276A76">
        <w:t>however, for those patients with nr-</w:t>
      </w:r>
      <w:proofErr w:type="spellStart"/>
      <w:r w:rsidRPr="00276A76">
        <w:t>axSpA</w:t>
      </w:r>
      <w:proofErr w:type="spellEnd"/>
      <w:r w:rsidRPr="00276A76">
        <w:t xml:space="preserve"> who are</w:t>
      </w:r>
      <w:r w:rsidR="007F54EE">
        <w:t xml:space="preserve"> </w:t>
      </w:r>
      <w:r w:rsidRPr="00276A76">
        <w:t>intolerant of or not adequately controlled by NSAIDs or in whom NSAIDs are contraindicated,</w:t>
      </w:r>
      <w:r w:rsidR="007F54EE">
        <w:t xml:space="preserve"> </w:t>
      </w:r>
      <w:r w:rsidRPr="00276A76">
        <w:t>limited treatment options exist. This highlights a need for clinical trials that could provide new</w:t>
      </w:r>
      <w:r w:rsidR="007F54EE">
        <w:t xml:space="preserve"> </w:t>
      </w:r>
      <w:r w:rsidRPr="00276A76">
        <w:t>therapies to improve patient health given that nr-</w:t>
      </w:r>
      <w:proofErr w:type="spellStart"/>
      <w:r w:rsidRPr="00276A76">
        <w:t>axSpA</w:t>
      </w:r>
      <w:proofErr w:type="spellEnd"/>
      <w:r w:rsidRPr="00276A76">
        <w:t xml:space="preserve"> patients exhibit comparable levels of</w:t>
      </w:r>
      <w:r w:rsidR="007F54EE">
        <w:t xml:space="preserve"> </w:t>
      </w:r>
      <w:r w:rsidRPr="00276A76">
        <w:t xml:space="preserve">disease activity and burden to those with AS. Recognition of active </w:t>
      </w:r>
      <w:proofErr w:type="spellStart"/>
      <w:r w:rsidRPr="00276A76">
        <w:t>axSpA</w:t>
      </w:r>
      <w:proofErr w:type="spellEnd"/>
      <w:r w:rsidRPr="00276A76">
        <w:t xml:space="preserve"> (AS and nr-</w:t>
      </w:r>
      <w:proofErr w:type="spellStart"/>
      <w:r w:rsidRPr="00276A76">
        <w:t>axSpA</w:t>
      </w:r>
      <w:proofErr w:type="spellEnd"/>
      <w:r w:rsidRPr="00276A76">
        <w:t>)</w:t>
      </w:r>
      <w:r w:rsidR="007F54EE">
        <w:t xml:space="preserve"> </w:t>
      </w:r>
      <w:r w:rsidRPr="00276A76">
        <w:t xml:space="preserve">as an indication, regardless of evidence of </w:t>
      </w:r>
      <w:proofErr w:type="spellStart"/>
      <w:r w:rsidRPr="00276A76">
        <w:t>sacroiliitis</w:t>
      </w:r>
      <w:proofErr w:type="spellEnd"/>
      <w:r w:rsidRPr="00276A76">
        <w:t xml:space="preserve"> on radiographs, could therefore enable the</w:t>
      </w:r>
      <w:r w:rsidR="007F54EE">
        <w:t xml:space="preserve"> </w:t>
      </w:r>
      <w:r w:rsidRPr="00276A76">
        <w:t>application of appropriate and effective treatment strategies to better address patient needs.</w:t>
      </w:r>
    </w:p>
    <w:p w:rsidR="00276A76" w:rsidRPr="00276A76" w:rsidRDefault="00276A76" w:rsidP="00AC73ED">
      <w:r w:rsidRPr="00276A76">
        <w:t>Regardless of whether early and effective therapy affects disease progression or structural</w:t>
      </w:r>
      <w:r w:rsidR="007F54EE">
        <w:t xml:space="preserve"> </w:t>
      </w:r>
      <w:r w:rsidRPr="00276A76">
        <w:t>damage, appropriate treatment enables patients to have a better quality of life with less pain and</w:t>
      </w:r>
      <w:r w:rsidR="007F54EE">
        <w:t xml:space="preserve"> </w:t>
      </w:r>
      <w:r w:rsidRPr="00276A76">
        <w:t>less consequences of back pain such as reduced work productivit</w:t>
      </w:r>
      <w:r w:rsidRPr="008B3A5C">
        <w:t>y.</w:t>
      </w:r>
      <w:r w:rsidR="00D97091">
        <w:fldChar w:fldCharType="begin"/>
      </w:r>
      <w:r w:rsidR="00D97091">
        <w:instrText xml:space="preserve"> NOTEREF _Ref372620590 \h  \* MERGEFORMAT </w:instrText>
      </w:r>
      <w:r w:rsidR="00D97091">
        <w:fldChar w:fldCharType="separate"/>
      </w:r>
      <w:r w:rsidR="00CE3278" w:rsidRPr="00CE3278">
        <w:rPr>
          <w:vertAlign w:val="superscript"/>
        </w:rPr>
        <w:t>17</w:t>
      </w:r>
      <w:r w:rsidR="00D97091">
        <w:fldChar w:fldCharType="end"/>
      </w:r>
      <w:r w:rsidR="008B3A5C" w:rsidRPr="008B3A5C">
        <w:rPr>
          <w:vertAlign w:val="superscript"/>
        </w:rPr>
        <w:t xml:space="preserve">, </w:t>
      </w:r>
      <w:r w:rsidR="00D97091">
        <w:fldChar w:fldCharType="begin"/>
      </w:r>
      <w:r w:rsidR="00D97091">
        <w:instrText xml:space="preserve"> NOTEREF _Ref372621666 \h  \* MERGEFORMAT </w:instrText>
      </w:r>
      <w:r w:rsidR="00D97091">
        <w:fldChar w:fldCharType="separate"/>
      </w:r>
      <w:r w:rsidR="00CE3278" w:rsidRPr="00CE3278">
        <w:rPr>
          <w:vertAlign w:val="superscript"/>
        </w:rPr>
        <w:t>26</w:t>
      </w:r>
      <w:r w:rsidR="00D97091">
        <w:fldChar w:fldCharType="end"/>
      </w:r>
      <w:r w:rsidR="008B3A5C" w:rsidRPr="008B3A5C">
        <w:rPr>
          <w:vertAlign w:val="superscript"/>
        </w:rPr>
        <w:t xml:space="preserve">, </w:t>
      </w:r>
      <w:r w:rsidR="00D97091">
        <w:fldChar w:fldCharType="begin"/>
      </w:r>
      <w:r w:rsidR="00D97091">
        <w:instrText xml:space="preserve"> NOTEREF _Ref372621673 \h  \* MERGEFORMAT </w:instrText>
      </w:r>
      <w:r w:rsidR="00D97091">
        <w:fldChar w:fldCharType="separate"/>
      </w:r>
      <w:r w:rsidR="00CE3278" w:rsidRPr="00CE3278">
        <w:rPr>
          <w:vertAlign w:val="superscript"/>
        </w:rPr>
        <w:t>27</w:t>
      </w:r>
      <w:r w:rsidR="00D97091">
        <w:fldChar w:fldCharType="end"/>
      </w:r>
      <w:r w:rsidRPr="008B3A5C">
        <w:rPr>
          <w:vertAlign w:val="superscript"/>
        </w:rPr>
        <w:t xml:space="preserve">, </w:t>
      </w:r>
      <w:r w:rsidR="00D97091">
        <w:fldChar w:fldCharType="begin"/>
      </w:r>
      <w:r w:rsidR="00D97091">
        <w:instrText xml:space="preserve"> NOTEREF _Ref372621781 \h  \* MERGEFORMAT </w:instrText>
      </w:r>
      <w:r w:rsidR="00D97091">
        <w:fldChar w:fldCharType="separate"/>
      </w:r>
      <w:r w:rsidR="00CE3278" w:rsidRPr="00CE3278">
        <w:rPr>
          <w:vertAlign w:val="superscript"/>
        </w:rPr>
        <w:t>39</w:t>
      </w:r>
      <w:r w:rsidR="00D97091">
        <w:fldChar w:fldCharType="end"/>
      </w:r>
      <w:r w:rsidR="008B3A5C" w:rsidRPr="008B3A5C">
        <w:rPr>
          <w:vertAlign w:val="superscript"/>
        </w:rPr>
        <w:t xml:space="preserve">, </w:t>
      </w:r>
      <w:r w:rsidR="008B3A5C" w:rsidRPr="008B3A5C">
        <w:rPr>
          <w:rStyle w:val="FootnoteReference"/>
        </w:rPr>
        <w:footnoteReference w:id="44"/>
      </w:r>
      <w:r w:rsidRPr="008B3A5C">
        <w:t xml:space="preserve"> </w:t>
      </w:r>
    </w:p>
    <w:p w:rsidR="00276A76" w:rsidRPr="00276A76" w:rsidRDefault="00276A76" w:rsidP="00AC73ED">
      <w:pPr>
        <w:pStyle w:val="Heading5"/>
      </w:pPr>
      <w:r w:rsidRPr="00276A76">
        <w:t xml:space="preserve">5. </w:t>
      </w:r>
      <w:proofErr w:type="gramStart"/>
      <w:r w:rsidRPr="00276A76">
        <w:t>Should</w:t>
      </w:r>
      <w:proofErr w:type="gramEnd"/>
      <w:r w:rsidRPr="00276A76">
        <w:t xml:space="preserve"> the indication be a subset of axial </w:t>
      </w:r>
      <w:proofErr w:type="spellStart"/>
      <w:r w:rsidRPr="00276A76">
        <w:t>spondyloarthritis</w:t>
      </w:r>
      <w:proofErr w:type="spellEnd"/>
      <w:r w:rsidRPr="00276A76">
        <w:t xml:space="preserve"> and combined with</w:t>
      </w:r>
      <w:r w:rsidR="007F54EE">
        <w:t xml:space="preserve"> </w:t>
      </w:r>
      <w:r w:rsidRPr="00276A76">
        <w:t>ankylosing spondylitis as in the EU?</w:t>
      </w:r>
    </w:p>
    <w:p w:rsidR="00276A76" w:rsidRPr="00276A76" w:rsidRDefault="0014061E" w:rsidP="00AC73ED">
      <w:pPr>
        <w:pStyle w:val="Heading6"/>
      </w:pPr>
      <w:r>
        <w:t xml:space="preserve">Sponsor </w:t>
      </w:r>
      <w:r w:rsidR="00AC73ED">
        <w:t>r</w:t>
      </w:r>
      <w:r w:rsidR="00276A76" w:rsidRPr="00276A76">
        <w:t>esponse:</w:t>
      </w:r>
    </w:p>
    <w:p w:rsidR="00276A76" w:rsidRDefault="00276A76" w:rsidP="00AC73ED">
      <w:r w:rsidRPr="00276A76">
        <w:t xml:space="preserve">As noted above, both ankylosing spondylitis and non-radiographic axial </w:t>
      </w:r>
      <w:proofErr w:type="spellStart"/>
      <w:r w:rsidRPr="00276A76">
        <w:t>spondyloarthritis</w:t>
      </w:r>
      <w:proofErr w:type="spellEnd"/>
      <w:r w:rsidR="007F54EE">
        <w:t xml:space="preserve"> </w:t>
      </w:r>
      <w:r w:rsidRPr="00276A76">
        <w:t xml:space="preserve">represent the spectrum of axial </w:t>
      </w:r>
      <w:proofErr w:type="spellStart"/>
      <w:r w:rsidRPr="00276A76">
        <w:t>spondyloarthritis</w:t>
      </w:r>
      <w:proofErr w:type="spellEnd"/>
      <w:r w:rsidRPr="00276A76">
        <w:t>, with the presence or absence of radiographic</w:t>
      </w:r>
      <w:r w:rsidR="007F54EE">
        <w:t xml:space="preserve"> </w:t>
      </w:r>
      <w:proofErr w:type="spellStart"/>
      <w:r w:rsidRPr="00276A76">
        <w:t>sacroiliitis</w:t>
      </w:r>
      <w:proofErr w:type="spellEnd"/>
      <w:r w:rsidRPr="00276A76">
        <w:t xml:space="preserve"> as the only differentiating clinical feature. Therefore, </w:t>
      </w:r>
      <w:r w:rsidR="00DF2C31">
        <w:t xml:space="preserve">the sponsor considers that </w:t>
      </w:r>
      <w:r w:rsidRPr="00276A76">
        <w:t>is appropriate for the proposed</w:t>
      </w:r>
      <w:r w:rsidR="007F54EE">
        <w:t xml:space="preserve"> </w:t>
      </w:r>
      <w:r w:rsidRPr="00276A76">
        <w:t xml:space="preserve">indication to be a subset of axial </w:t>
      </w:r>
      <w:proofErr w:type="spellStart"/>
      <w:r w:rsidRPr="00276A76">
        <w:t>spondyloarthritis</w:t>
      </w:r>
      <w:proofErr w:type="spellEnd"/>
      <w:r w:rsidRPr="00276A76">
        <w:t xml:space="preserve"> and combined with ankylosing spondylitis as</w:t>
      </w:r>
      <w:r w:rsidR="007F54EE">
        <w:t xml:space="preserve"> </w:t>
      </w:r>
      <w:r w:rsidRPr="00276A76">
        <w:t>in the EU.</w:t>
      </w:r>
    </w:p>
    <w:p w:rsidR="008E7846" w:rsidRDefault="008E7846" w:rsidP="00AC73ED">
      <w:pPr>
        <w:pStyle w:val="Heading4"/>
      </w:pPr>
      <w:r>
        <w:t xml:space="preserve">Advisory </w:t>
      </w:r>
      <w:r w:rsidR="00AC73ED">
        <w:t>c</w:t>
      </w:r>
      <w:r w:rsidRPr="00AC73ED">
        <w:t>ommittee</w:t>
      </w:r>
      <w:r>
        <w:t xml:space="preserve"> </w:t>
      </w:r>
      <w:r w:rsidR="00AC73ED">
        <w:t>c</w:t>
      </w:r>
      <w:r>
        <w:t>onsiderations</w:t>
      </w:r>
    </w:p>
    <w:p w:rsidR="006231D2" w:rsidRDefault="006231D2" w:rsidP="00AC73ED">
      <w:bookmarkStart w:id="193" w:name="_Toc247691532"/>
      <w:bookmarkStart w:id="194" w:name="_Toc314842516"/>
      <w:bookmarkEnd w:id="134"/>
      <w:bookmarkEnd w:id="176"/>
      <w:bookmarkEnd w:id="177"/>
      <w:r>
        <w:t>The sponsor’s application was not considered by the Advisory Committee on Prescription Medicines.</w:t>
      </w:r>
    </w:p>
    <w:p w:rsidR="008E7846" w:rsidRPr="00AC73ED" w:rsidRDefault="008E7846" w:rsidP="00AC73ED">
      <w:pPr>
        <w:pStyle w:val="Heading3"/>
      </w:pPr>
      <w:bookmarkStart w:id="195" w:name="_Toc382922654"/>
      <w:r>
        <w:t>Outcome</w:t>
      </w:r>
      <w:bookmarkEnd w:id="193"/>
      <w:bookmarkEnd w:id="194"/>
      <w:bookmarkEnd w:id="195"/>
    </w:p>
    <w:p w:rsidR="00DC1733" w:rsidRDefault="007B1C54" w:rsidP="00AC73ED">
      <w:bookmarkStart w:id="196" w:name="_Toc247691533"/>
      <w:bookmarkStart w:id="197" w:name="_Toc314842517"/>
      <w:r>
        <w:t>Following discussion with the sponsor regarding concerns over the validity of the data and the need for re-analysis, t</w:t>
      </w:r>
      <w:r w:rsidR="00DC1733">
        <w:t xml:space="preserve">he sponsor withdrew their submission on </w:t>
      </w:r>
      <w:r w:rsidR="00DC1733" w:rsidRPr="00DC1733">
        <w:t>19 August 2013</w:t>
      </w:r>
      <w:r>
        <w:t>,</w:t>
      </w:r>
      <w:r w:rsidR="00DC1733">
        <w:t xml:space="preserve"> before a dec</w:t>
      </w:r>
      <w:r w:rsidR="00AC73ED">
        <w:t>ision had been made by the TGA.</w:t>
      </w:r>
    </w:p>
    <w:p w:rsidR="008E7846" w:rsidRDefault="008E7846" w:rsidP="00AC73ED">
      <w:pPr>
        <w:pStyle w:val="Heading2"/>
      </w:pPr>
      <w:bookmarkStart w:id="198" w:name="_Toc382922655"/>
      <w:proofErr w:type="gramStart"/>
      <w:r>
        <w:t>Attachment 1.</w:t>
      </w:r>
      <w:proofErr w:type="gramEnd"/>
      <w:r>
        <w:tab/>
        <w:t xml:space="preserve">Product </w:t>
      </w:r>
      <w:r w:rsidR="00AA0ED0" w:rsidRPr="00AC73ED">
        <w:t>I</w:t>
      </w:r>
      <w:r w:rsidRPr="00AC73ED">
        <w:t>nformation</w:t>
      </w:r>
      <w:bookmarkEnd w:id="196"/>
      <w:bookmarkEnd w:id="197"/>
      <w:bookmarkEnd w:id="198"/>
    </w:p>
    <w:p w:rsidR="00C80137" w:rsidRDefault="00C80137" w:rsidP="00AC73ED">
      <w:pPr>
        <w:rPr>
          <w:color w:val="000000"/>
          <w:lang w:eastAsia="en-AU"/>
        </w:rPr>
      </w:pPr>
      <w:r w:rsidRPr="0037352E">
        <w:t>The Product Information approved at the time this AusPAR was published</w:t>
      </w:r>
      <w:r>
        <w:t xml:space="preserve"> is at Attachment 1</w:t>
      </w:r>
      <w:r w:rsidRPr="0037352E">
        <w:t xml:space="preserve">. For the </w:t>
      </w:r>
      <w:r>
        <w:t>most recent</w:t>
      </w:r>
      <w:r w:rsidRPr="0037352E">
        <w:t xml:space="preserve"> Product Information please refer to the TGA website at</w:t>
      </w:r>
      <w:r w:rsidR="008F6943">
        <w:t xml:space="preserve"> &lt;</w:t>
      </w:r>
      <w:hyperlink r:id="rId15" w:history="1">
        <w:r w:rsidR="00722B57" w:rsidRPr="00625A6E">
          <w:rPr>
            <w:rStyle w:val="Hyperlink"/>
          </w:rPr>
          <w:t>http://www.tga.gov.au/hp/information-medicines-pi.htm</w:t>
        </w:r>
      </w:hyperlink>
      <w:hyperlink w:history="1"/>
      <w:r w:rsidR="008F6943">
        <w:rPr>
          <w:color w:val="000000"/>
          <w:lang w:eastAsia="en-AU"/>
        </w:rPr>
        <w:t>&gt;.</w:t>
      </w:r>
    </w:p>
    <w:p w:rsidR="00291957" w:rsidRDefault="00C80137" w:rsidP="00AC73ED">
      <w:pPr>
        <w:pStyle w:val="Heading2"/>
        <w:rPr>
          <w:lang w:eastAsia="ja-JP"/>
        </w:rPr>
      </w:pPr>
      <w:bookmarkStart w:id="199" w:name="_Toc382922656"/>
      <w:proofErr w:type="gramStart"/>
      <w:r>
        <w:rPr>
          <w:lang w:eastAsia="en-AU"/>
        </w:rPr>
        <w:t>Attachment 2.</w:t>
      </w:r>
      <w:proofErr w:type="gramEnd"/>
      <w:r>
        <w:rPr>
          <w:lang w:eastAsia="en-AU"/>
        </w:rPr>
        <w:t xml:space="preserve"> Extract </w:t>
      </w:r>
      <w:r w:rsidRPr="00AC73ED">
        <w:t>from</w:t>
      </w:r>
      <w:r>
        <w:rPr>
          <w:lang w:eastAsia="en-AU"/>
        </w:rPr>
        <w:t xml:space="preserve"> the Clinical Evaluation Report</w:t>
      </w:r>
      <w:bookmarkEnd w:id="199"/>
    </w:p>
    <w:p w:rsidR="00C80137" w:rsidRPr="001D043B" w:rsidRDefault="00C80137" w:rsidP="003A7F6C">
      <w:pPr>
        <w:pStyle w:val="TableTitle"/>
        <w:sectPr w:rsidR="00C80137" w:rsidRPr="001D043B" w:rsidSect="00C355E1">
          <w:headerReference w:type="even" r:id="rId16"/>
          <w:headerReference w:type="default" r:id="rId17"/>
          <w:footerReference w:type="default" r:id="rId18"/>
          <w:headerReference w:type="first" r:id="rId19"/>
          <w:footerReference w:type="first" r:id="rId20"/>
          <w:pgSz w:w="11906" w:h="16838" w:code="9"/>
          <w:pgMar w:top="834" w:right="1701" w:bottom="1191" w:left="1701" w:header="907" w:footer="216" w:gutter="0"/>
          <w:cols w:space="708"/>
          <w:docGrid w:linePitch="360"/>
        </w:sectPr>
      </w:pPr>
    </w:p>
    <w:p w:rsidR="00774E1D" w:rsidRPr="008A5E0B" w:rsidRDefault="00774E1D" w:rsidP="004C239D"/>
    <w:sectPr w:rsidR="00774E1D" w:rsidRPr="008A5E0B" w:rsidSect="004C239D">
      <w:headerReference w:type="even" r:id="rId21"/>
      <w:headerReference w:type="default" r:id="rId22"/>
      <w:footerReference w:type="default" r:id="rId23"/>
      <w:headerReference w:type="first" r:id="rId24"/>
      <w:footerReference w:type="first" r:id="rId25"/>
      <w:pgSz w:w="11906" w:h="16838" w:code="9"/>
      <w:pgMar w:top="1818" w:right="1701" w:bottom="1701"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091" w:rsidRDefault="00D97091" w:rsidP="00C40A36">
      <w:pPr>
        <w:spacing w:after="0"/>
      </w:pPr>
      <w:r>
        <w:separator/>
      </w:r>
    </w:p>
  </w:endnote>
  <w:endnote w:type="continuationSeparator" w:id="0">
    <w:p w:rsidR="00D97091" w:rsidRDefault="00D97091"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7938"/>
      <w:gridCol w:w="923"/>
    </w:tblGrid>
    <w:tr w:rsidR="00D97091" w:rsidRPr="00487162" w:rsidTr="0053625B">
      <w:trPr>
        <w:trHeight w:val="269"/>
      </w:trPr>
      <w:tc>
        <w:tcPr>
          <w:tcW w:w="7938" w:type="dxa"/>
          <w:tcMar>
            <w:top w:w="142" w:type="dxa"/>
            <w:bottom w:w="0" w:type="dxa"/>
          </w:tcMar>
        </w:tcPr>
        <w:p w:rsidR="00D97091" w:rsidRDefault="00D97091" w:rsidP="002D4F05">
          <w:pPr>
            <w:pStyle w:val="Footer"/>
          </w:pPr>
          <w:proofErr w:type="spellStart"/>
          <w:r w:rsidRPr="00487162">
            <w:t>AusPAR</w:t>
          </w:r>
          <w:proofErr w:type="spellEnd"/>
          <w:r w:rsidRPr="00487162">
            <w:t xml:space="preserve"> </w:t>
          </w:r>
          <w:proofErr w:type="spellStart"/>
          <w:r>
            <w:t>Humira</w:t>
          </w:r>
          <w:proofErr w:type="spellEnd"/>
          <w:r w:rsidRPr="00487162">
            <w:t xml:space="preserve"> </w:t>
          </w:r>
          <w:proofErr w:type="spellStart"/>
          <w:r w:rsidRPr="00C524FD">
            <w:t>Adalimimab</w:t>
          </w:r>
          <w:proofErr w:type="spellEnd"/>
          <w:r w:rsidRPr="00C524FD">
            <w:t xml:space="preserve"> Abbott Australasia Pty Ltd (</w:t>
          </w:r>
          <w:proofErr w:type="spellStart"/>
          <w:r w:rsidRPr="00C524FD">
            <w:t>AbbVie</w:t>
          </w:r>
          <w:proofErr w:type="spellEnd"/>
          <w:r w:rsidRPr="00C524FD">
            <w:t xml:space="preserve"> Pty Ltd)</w:t>
          </w:r>
          <w:r>
            <w:t xml:space="preserve"> </w:t>
          </w:r>
          <w:r w:rsidRPr="00487162">
            <w:t>PM-20</w:t>
          </w:r>
          <w:r>
            <w:t>12</w:t>
          </w:r>
          <w:r w:rsidRPr="00487162">
            <w:t>-</w:t>
          </w:r>
          <w:r>
            <w:t>02255-3-3</w:t>
          </w:r>
        </w:p>
        <w:p w:rsidR="00D97091" w:rsidRPr="00487162" w:rsidRDefault="00D97091" w:rsidP="002D4F05">
          <w:pPr>
            <w:pStyle w:val="Footer"/>
          </w:pPr>
          <w:r>
            <w:t>Final 22 January 2014</w:t>
          </w:r>
        </w:p>
      </w:tc>
      <w:tc>
        <w:tcPr>
          <w:tcW w:w="923" w:type="dxa"/>
          <w:tcMar>
            <w:top w:w="142" w:type="dxa"/>
            <w:bottom w:w="0" w:type="dxa"/>
          </w:tcMar>
        </w:tcPr>
        <w:p w:rsidR="00D97091" w:rsidRPr="00487162" w:rsidRDefault="00D97091" w:rsidP="00D855D4">
          <w:pPr>
            <w:pStyle w:val="Footer"/>
            <w:jc w:val="right"/>
          </w:pPr>
          <w:r w:rsidRPr="00487162">
            <w:t xml:space="preserve">Page </w:t>
          </w:r>
          <w:r>
            <w:t>2</w:t>
          </w:r>
          <w:r w:rsidRPr="00487162">
            <w:t xml:space="preserve"> of </w:t>
          </w:r>
          <w:r>
            <w:fldChar w:fldCharType="begin"/>
          </w:r>
          <w:r>
            <w:instrText xml:space="preserve"> NUMPAGES  \* Arabic </w:instrText>
          </w:r>
          <w:r>
            <w:fldChar w:fldCharType="separate"/>
          </w:r>
          <w:r w:rsidR="004238F7">
            <w:rPr>
              <w:noProof/>
            </w:rPr>
            <w:t>32</w:t>
          </w:r>
          <w:r>
            <w:rPr>
              <w:noProof/>
            </w:rPr>
            <w:fldChar w:fldCharType="end"/>
          </w:r>
        </w:p>
      </w:tc>
    </w:tr>
  </w:tbl>
  <w:p w:rsidR="00D97091" w:rsidRDefault="00D97091"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1" w:type="dxa"/>
      <w:tblBorders>
        <w:top w:val="single" w:sz="4" w:space="0" w:color="auto"/>
      </w:tblBorders>
      <w:tblLayout w:type="fixed"/>
      <w:tblCellMar>
        <w:top w:w="170" w:type="dxa"/>
        <w:left w:w="0" w:type="dxa"/>
        <w:bottom w:w="170" w:type="dxa"/>
        <w:right w:w="0" w:type="dxa"/>
      </w:tblCellMar>
      <w:tblLook w:val="04A0" w:firstRow="1" w:lastRow="0" w:firstColumn="1" w:lastColumn="0" w:noHBand="0" w:noVBand="1"/>
    </w:tblPr>
    <w:tblGrid>
      <w:gridCol w:w="7088"/>
      <w:gridCol w:w="1843"/>
    </w:tblGrid>
    <w:tr w:rsidR="00D97091" w:rsidRPr="00487162" w:rsidTr="002D4F05">
      <w:trPr>
        <w:trHeight w:val="269"/>
      </w:trPr>
      <w:tc>
        <w:tcPr>
          <w:tcW w:w="7088" w:type="dxa"/>
          <w:tcMar>
            <w:top w:w="142" w:type="dxa"/>
            <w:bottom w:w="0" w:type="dxa"/>
          </w:tcMar>
        </w:tcPr>
        <w:p w:rsidR="00D97091" w:rsidRDefault="00D97091" w:rsidP="002D4F05">
          <w:pPr>
            <w:pStyle w:val="Footer"/>
          </w:pPr>
          <w:proofErr w:type="spellStart"/>
          <w:r w:rsidRPr="00487162">
            <w:t>AusPAR</w:t>
          </w:r>
          <w:proofErr w:type="spellEnd"/>
          <w:r w:rsidRPr="00487162">
            <w:t xml:space="preserve"> </w:t>
          </w:r>
          <w:proofErr w:type="spellStart"/>
          <w:r>
            <w:t>Humira</w:t>
          </w:r>
          <w:proofErr w:type="spellEnd"/>
          <w:r w:rsidRPr="00487162">
            <w:t xml:space="preserve"> </w:t>
          </w:r>
          <w:proofErr w:type="spellStart"/>
          <w:r w:rsidRPr="00C524FD">
            <w:t>Adalimimab</w:t>
          </w:r>
          <w:proofErr w:type="spellEnd"/>
          <w:r w:rsidRPr="00C524FD">
            <w:t xml:space="preserve"> Abbott Australasia Pty Ltd (</w:t>
          </w:r>
          <w:proofErr w:type="spellStart"/>
          <w:r w:rsidRPr="00C524FD">
            <w:t>AbbVie</w:t>
          </w:r>
          <w:proofErr w:type="spellEnd"/>
          <w:r w:rsidRPr="00C524FD">
            <w:t xml:space="preserve"> Pty Ltd)</w:t>
          </w:r>
          <w:r>
            <w:t xml:space="preserve"> </w:t>
          </w:r>
          <w:r w:rsidRPr="00487162">
            <w:t>PM-20</w:t>
          </w:r>
          <w:r>
            <w:t>12</w:t>
          </w:r>
          <w:r w:rsidRPr="00487162">
            <w:t>-</w:t>
          </w:r>
          <w:r>
            <w:t>02255-3-3</w:t>
          </w:r>
        </w:p>
        <w:p w:rsidR="00D97091" w:rsidRPr="00487162" w:rsidRDefault="00D97091" w:rsidP="002D4F05">
          <w:pPr>
            <w:pStyle w:val="Footer"/>
          </w:pPr>
          <w:r>
            <w:t>Final 22 January 2014</w:t>
          </w:r>
        </w:p>
      </w:tc>
      <w:tc>
        <w:tcPr>
          <w:tcW w:w="1843" w:type="dxa"/>
          <w:tcMar>
            <w:top w:w="142" w:type="dxa"/>
            <w:bottom w:w="0" w:type="dxa"/>
          </w:tcMar>
        </w:tcPr>
        <w:p w:rsidR="00D97091" w:rsidRPr="00487162" w:rsidRDefault="00D97091" w:rsidP="00E45619">
          <w:pPr>
            <w:pStyle w:val="Footer"/>
            <w:jc w:val="right"/>
          </w:pPr>
          <w:r w:rsidRPr="00487162">
            <w:t xml:space="preserve">Page </w:t>
          </w:r>
          <w:r>
            <w:fldChar w:fldCharType="begin"/>
          </w:r>
          <w:r>
            <w:instrText>PAGE</w:instrText>
          </w:r>
          <w:r>
            <w:fldChar w:fldCharType="separate"/>
          </w:r>
          <w:r w:rsidR="00F10D97">
            <w:rPr>
              <w:noProof/>
            </w:rPr>
            <w:t>3</w:t>
          </w:r>
          <w:r>
            <w:rPr>
              <w:noProof/>
            </w:rPr>
            <w:fldChar w:fldCharType="end"/>
          </w:r>
          <w:r w:rsidRPr="00487162">
            <w:t xml:space="preserve"> of </w:t>
          </w:r>
          <w:r>
            <w:fldChar w:fldCharType="begin"/>
          </w:r>
          <w:r>
            <w:instrText xml:space="preserve"> NUMPAGES  \* Arabic </w:instrText>
          </w:r>
          <w:r>
            <w:fldChar w:fldCharType="separate"/>
          </w:r>
          <w:r w:rsidR="00F10D97">
            <w:rPr>
              <w:noProof/>
            </w:rPr>
            <w:t>32</w:t>
          </w:r>
          <w:r>
            <w:rPr>
              <w:noProof/>
            </w:rPr>
            <w:fldChar w:fldCharType="end"/>
          </w:r>
        </w:p>
      </w:tc>
    </w:tr>
  </w:tbl>
  <w:p w:rsidR="00D97091" w:rsidRDefault="00D97091" w:rsidP="00E261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D97091" w:rsidRPr="00487162" w:rsidTr="00E45619">
      <w:trPr>
        <w:trHeight w:val="269"/>
      </w:trPr>
      <w:tc>
        <w:tcPr>
          <w:tcW w:w="4519" w:type="dxa"/>
          <w:tcBorders>
            <w:top w:val="single" w:sz="4" w:space="0" w:color="auto"/>
          </w:tcBorders>
          <w:tcMar>
            <w:top w:w="142" w:type="dxa"/>
            <w:bottom w:w="0" w:type="dxa"/>
          </w:tcMar>
        </w:tcPr>
        <w:p w:rsidR="00D97091" w:rsidRPr="00487162" w:rsidRDefault="00D97091" w:rsidP="00FE1DEE">
          <w:pPr>
            <w:pStyle w:val="Footer"/>
          </w:pPr>
          <w:r w:rsidRPr="00487162">
            <w:t>Document title, Part #, Section # - Section title</w:t>
          </w:r>
        </w:p>
        <w:p w:rsidR="00D97091" w:rsidRPr="00487162" w:rsidRDefault="00D97091" w:rsidP="00FE1DEE">
          <w:pPr>
            <w:pStyle w:val="Footer"/>
          </w:pPr>
          <w:r w:rsidRPr="00487162">
            <w:t>V1.0 October 2010</w:t>
          </w:r>
        </w:p>
      </w:tc>
      <w:tc>
        <w:tcPr>
          <w:tcW w:w="4342" w:type="dxa"/>
          <w:tcBorders>
            <w:top w:val="single" w:sz="4" w:space="0" w:color="auto"/>
          </w:tcBorders>
          <w:tcMar>
            <w:top w:w="142" w:type="dxa"/>
            <w:bottom w:w="0" w:type="dxa"/>
          </w:tcMar>
        </w:tcPr>
        <w:p w:rsidR="00D97091" w:rsidRPr="00487162" w:rsidRDefault="00D97091"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fldChar w:fldCharType="begin"/>
          </w:r>
          <w:r>
            <w:instrText xml:space="preserve"> NUMPAGES  </w:instrText>
          </w:r>
          <w:r>
            <w:fldChar w:fldCharType="separate"/>
          </w:r>
          <w:r>
            <w:rPr>
              <w:noProof/>
            </w:rPr>
            <w:t>33</w:t>
          </w:r>
          <w:r>
            <w:rPr>
              <w:noProof/>
            </w:rPr>
            <w:fldChar w:fldCharType="end"/>
          </w:r>
        </w:p>
      </w:tc>
    </w:tr>
  </w:tbl>
  <w:p w:rsidR="00D97091" w:rsidRDefault="00D970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sz w:val="16"/>
      </w:rPr>
      <w:id w:val="16144363"/>
      <w:docPartObj>
        <w:docPartGallery w:val="Page Numbers (Bottom of Page)"/>
        <w:docPartUnique/>
      </w:docPartObj>
    </w:sdtPr>
    <w:sdtContent>
      <w:sdt>
        <w:sdtPr>
          <w:rPr>
            <w:b w:val="0"/>
            <w:sz w:val="16"/>
          </w:rPr>
          <w:id w:val="16144364"/>
          <w:docPartObj>
            <w:docPartGallery w:val="Page Numbers (Top of Page)"/>
            <w:docPartUnique/>
          </w:docPartObj>
        </w:sdtPr>
        <w:sdtContent>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D97091" w:rsidRPr="00487162" w:rsidTr="00E45619">
              <w:trPr>
                <w:trHeight w:hRule="exact" w:val="704"/>
              </w:trPr>
              <w:tc>
                <w:tcPr>
                  <w:tcW w:w="9175" w:type="dxa"/>
                </w:tcPr>
                <w:p w:rsidR="00D97091" w:rsidRPr="00487162" w:rsidRDefault="00D97091" w:rsidP="008E7846">
                  <w:pPr>
                    <w:pStyle w:val="TGASignoff"/>
                  </w:pPr>
                  <w:r w:rsidRPr="00487162">
                    <w:t>Therapeutic Goods Administration</w:t>
                  </w:r>
                </w:p>
              </w:tc>
            </w:tr>
            <w:tr w:rsidR="00D97091" w:rsidRPr="00487162" w:rsidTr="00E45619">
              <w:trPr>
                <w:trHeight w:val="1221"/>
              </w:trPr>
              <w:tc>
                <w:tcPr>
                  <w:tcW w:w="9175" w:type="dxa"/>
                  <w:tcMar>
                    <w:top w:w="28" w:type="dxa"/>
                  </w:tcMar>
                </w:tcPr>
                <w:p w:rsidR="00D97091" w:rsidRPr="00487162" w:rsidRDefault="00D97091" w:rsidP="00E45619">
                  <w:pPr>
                    <w:pStyle w:val="Address"/>
                  </w:pPr>
                  <w:r w:rsidRPr="00487162">
                    <w:t>PO Box 100 Woden ACT 2606 Australia</w:t>
                  </w:r>
                </w:p>
                <w:p w:rsidR="00D97091" w:rsidRPr="00487162" w:rsidRDefault="00D97091" w:rsidP="00E45619">
                  <w:pPr>
                    <w:pStyle w:val="Address"/>
                  </w:pPr>
                  <w:r w:rsidRPr="00487162">
                    <w:t xml:space="preserve">Email: </w:t>
                  </w:r>
                  <w:hyperlink r:id="rId1" w:history="1">
                    <w:r w:rsidRPr="004C239D">
                      <w:rPr>
                        <w:rStyle w:val="Hyperlink"/>
                      </w:rPr>
                      <w:t>info@tga.gov.au</w:t>
                    </w:r>
                  </w:hyperlink>
                  <w:r w:rsidRPr="00487162">
                    <w:t xml:space="preserve">  Phone: 1800 020 653  Fax: 02 6232 8605</w:t>
                  </w:r>
                </w:p>
                <w:p w:rsidR="00D97091" w:rsidRPr="004C239D" w:rsidRDefault="00D97091" w:rsidP="004C239D">
                  <w:pPr>
                    <w:pStyle w:val="Address"/>
                    <w:spacing w:line="260" w:lineRule="atLeast"/>
                    <w:rPr>
                      <w:b/>
                      <w:color w:val="0000FF"/>
                      <w:u w:val="single"/>
                    </w:rPr>
                  </w:pPr>
                  <w:hyperlink r:id="rId2" w:history="1">
                    <w:r w:rsidRPr="00607888">
                      <w:rPr>
                        <w:rStyle w:val="Hyperlink"/>
                        <w:b/>
                      </w:rPr>
                      <w:t>http://www.tga.gov.au</w:t>
                    </w:r>
                  </w:hyperlink>
                </w:p>
              </w:tc>
            </w:tr>
          </w:tbl>
          <w:p w:rsidR="00D97091" w:rsidRDefault="00D97091" w:rsidP="008E7846">
            <w:pPr>
              <w:pStyle w:val="Notes"/>
            </w:pP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D97091" w:rsidTr="0010601F">
      <w:trPr>
        <w:trHeight w:val="108"/>
      </w:trPr>
      <w:tc>
        <w:tcPr>
          <w:tcW w:w="8875" w:type="dxa"/>
          <w:gridSpan w:val="2"/>
          <w:tcBorders>
            <w:bottom w:val="single" w:sz="4" w:space="0" w:color="auto"/>
          </w:tcBorders>
          <w:tcMar>
            <w:right w:w="284" w:type="dxa"/>
          </w:tcMar>
        </w:tcPr>
        <w:p w:rsidR="00D97091" w:rsidRDefault="00D97091" w:rsidP="006E08B3">
          <w:pPr>
            <w:pStyle w:val="Heading3"/>
          </w:pPr>
          <w:r>
            <w:t>Copyright</w:t>
          </w:r>
        </w:p>
        <w:p w:rsidR="00D97091" w:rsidRDefault="00D97091" w:rsidP="006E08B3">
          <w:r>
            <w:rPr>
              <w:rFonts w:cs="Arial"/>
            </w:rPr>
            <w:t>©</w:t>
          </w:r>
          <w:r>
            <w:t xml:space="preserve"> Commonwealth of Australia [add year]</w:t>
          </w:r>
        </w:p>
        <w:p w:rsidR="00D97091" w:rsidRDefault="00D97091" w:rsidP="006E08B3"/>
        <w:p w:rsidR="00D97091" w:rsidRDefault="00D97091"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D97091" w:rsidRDefault="00D97091" w:rsidP="006E08B3"/>
        <w:p w:rsidR="00D97091" w:rsidRDefault="00D97091" w:rsidP="006E08B3">
          <w:pPr>
            <w:pStyle w:val="Heading3"/>
          </w:pPr>
          <w:r>
            <w:t>Confidentiality</w:t>
          </w:r>
        </w:p>
        <w:p w:rsidR="00D97091" w:rsidRDefault="00D97091"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D97091" w:rsidRDefault="00D97091" w:rsidP="006E08B3"/>
        <w:p w:rsidR="00D97091" w:rsidRDefault="00D97091" w:rsidP="006E08B3">
          <w:r>
            <w:t>For submission made by individuals, all personal details, other than your name, will be removed from your submission before it is published on the TGA’s Internet site.</w:t>
          </w:r>
        </w:p>
        <w:p w:rsidR="00D97091" w:rsidRDefault="00D97091" w:rsidP="006E08B3"/>
        <w:p w:rsidR="00D97091" w:rsidRDefault="00D97091" w:rsidP="006E08B3">
          <w:r>
            <w:t>In addition, a list of parties making submissions will be published. If you do not wish to be identified with your submission you must specifically request this in the space provided ib the submission coversheet.</w:t>
          </w:r>
        </w:p>
      </w:tc>
    </w:tr>
    <w:tr w:rsidR="00D97091" w:rsidTr="0010601F">
      <w:trPr>
        <w:trHeight w:val="417"/>
      </w:trPr>
      <w:tc>
        <w:tcPr>
          <w:tcW w:w="4519" w:type="dxa"/>
          <w:tcBorders>
            <w:top w:val="single" w:sz="4" w:space="0" w:color="auto"/>
          </w:tcBorders>
          <w:tcMar>
            <w:top w:w="142" w:type="dxa"/>
            <w:bottom w:w="0" w:type="dxa"/>
          </w:tcMar>
        </w:tcPr>
        <w:p w:rsidR="00D97091" w:rsidRDefault="00D97091" w:rsidP="006E08B3">
          <w:r>
            <w:t>Document title, Part #, Section # - Section title</w:t>
          </w:r>
        </w:p>
        <w:p w:rsidR="00D97091" w:rsidRDefault="00D97091" w:rsidP="006E08B3">
          <w:r>
            <w:t>V1.0 October 2010</w:t>
          </w:r>
        </w:p>
      </w:tc>
      <w:tc>
        <w:tcPr>
          <w:tcW w:w="4356" w:type="dxa"/>
          <w:tcBorders>
            <w:top w:val="single" w:sz="4" w:space="0" w:color="auto"/>
          </w:tcBorders>
          <w:tcMar>
            <w:top w:w="142" w:type="dxa"/>
            <w:bottom w:w="0" w:type="dxa"/>
          </w:tcMar>
        </w:tcPr>
        <w:p w:rsidR="00D97091" w:rsidRDefault="00D97091"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fldChar w:fldCharType="begin"/>
          </w:r>
          <w:r>
            <w:instrText xml:space="preserve"> NUMPAGES  \* Arabic </w:instrText>
          </w:r>
          <w:r>
            <w:fldChar w:fldCharType="separate"/>
          </w:r>
          <w:r>
            <w:rPr>
              <w:noProof/>
            </w:rPr>
            <w:t>33</w:t>
          </w:r>
          <w:r>
            <w:rPr>
              <w:noProof/>
            </w:rPr>
            <w:fldChar w:fldCharType="end"/>
          </w:r>
          <w:r>
            <w:t xml:space="preserve">  </w:t>
          </w:r>
        </w:p>
      </w:tc>
    </w:tr>
  </w:tbl>
  <w:p w:rsidR="00D97091" w:rsidRDefault="00D970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091" w:rsidRDefault="00D97091" w:rsidP="00C40A36">
      <w:pPr>
        <w:spacing w:after="0"/>
      </w:pPr>
      <w:r>
        <w:separator/>
      </w:r>
    </w:p>
  </w:footnote>
  <w:footnote w:type="continuationSeparator" w:id="0">
    <w:p w:rsidR="00D97091" w:rsidRDefault="00D97091" w:rsidP="00C40A36">
      <w:pPr>
        <w:spacing w:after="0"/>
      </w:pPr>
      <w:r>
        <w:continuationSeparator/>
      </w:r>
    </w:p>
  </w:footnote>
  <w:footnote w:id="1">
    <w:p w:rsidR="00D97091" w:rsidRPr="002A29B3" w:rsidRDefault="00D97091" w:rsidP="002D4F05">
      <w:pPr>
        <w:pStyle w:val="FootnoteText"/>
      </w:pPr>
      <w:r>
        <w:rPr>
          <w:rStyle w:val="FootnoteReference"/>
        </w:rPr>
        <w:footnoteRef/>
      </w:r>
      <w:r w:rsidRPr="002A29B3">
        <w:t xml:space="preserve"> Current</w:t>
      </w:r>
      <w:r>
        <w:t>ly approved ind</w:t>
      </w:r>
      <w:r w:rsidRPr="002A29B3">
        <w:t>ications:</w:t>
      </w:r>
    </w:p>
    <w:p w:rsidR="00D97091" w:rsidRPr="002D4F05" w:rsidRDefault="00D97091" w:rsidP="002D4F05">
      <w:pPr>
        <w:pStyle w:val="FootnoteText"/>
        <w:rPr>
          <w:i/>
        </w:rPr>
      </w:pPr>
      <w:r w:rsidRPr="002D4F05">
        <w:rPr>
          <w:i/>
          <w:u w:val="single"/>
        </w:rPr>
        <w:t>Rheumatoid Arthritis</w:t>
      </w:r>
      <w:r w:rsidRPr="002D4F05">
        <w:rPr>
          <w:i/>
        </w:rPr>
        <w:t xml:space="preserve">: </w:t>
      </w:r>
      <w:proofErr w:type="spellStart"/>
      <w:r w:rsidRPr="002D4F05">
        <w:rPr>
          <w:i/>
        </w:rPr>
        <w:t>Humira</w:t>
      </w:r>
      <w:proofErr w:type="spellEnd"/>
      <w:r w:rsidRPr="002D4F05">
        <w:rPr>
          <w:i/>
        </w:rPr>
        <w:t xml:space="preserve"> is indicated for reducing signs and symptoms, as well as inhibiting the progression of structural damage in adult patients with moderate to severely active rheumatoid arthritis. This includes the treatment of patients with recently diagnosed moderate to severely active disease who have not received methotrexate.</w:t>
      </w:r>
    </w:p>
    <w:p w:rsidR="00D97091" w:rsidRPr="002D4F05" w:rsidRDefault="00D97091" w:rsidP="002D4F05">
      <w:pPr>
        <w:pStyle w:val="FootnoteText"/>
        <w:rPr>
          <w:i/>
        </w:rPr>
      </w:pPr>
      <w:proofErr w:type="spellStart"/>
      <w:r w:rsidRPr="002D4F05">
        <w:rPr>
          <w:i/>
        </w:rPr>
        <w:t>Humira</w:t>
      </w:r>
      <w:proofErr w:type="spellEnd"/>
      <w:r w:rsidRPr="002D4F05">
        <w:rPr>
          <w:i/>
        </w:rPr>
        <w:t xml:space="preserve"> can be used alone or in combination with methotrexate.</w:t>
      </w:r>
    </w:p>
    <w:p w:rsidR="00D97091" w:rsidRPr="002D4F05" w:rsidRDefault="00D97091" w:rsidP="002D4F05">
      <w:pPr>
        <w:pStyle w:val="FootnoteText"/>
        <w:rPr>
          <w:i/>
        </w:rPr>
      </w:pPr>
      <w:r w:rsidRPr="002D4F05">
        <w:rPr>
          <w:i/>
          <w:u w:val="single"/>
        </w:rPr>
        <w:t>Psoriatic Arthritis</w:t>
      </w:r>
      <w:r w:rsidRPr="002D4F05">
        <w:rPr>
          <w:i/>
        </w:rPr>
        <w:t xml:space="preserve">: </w:t>
      </w:r>
      <w:proofErr w:type="spellStart"/>
      <w:r w:rsidRPr="002D4F05">
        <w:rPr>
          <w:i/>
        </w:rPr>
        <w:t>Humira</w:t>
      </w:r>
      <w:proofErr w:type="spellEnd"/>
      <w:r w:rsidRPr="002D4F05">
        <w:rPr>
          <w:i/>
        </w:rPr>
        <w:t xml:space="preserve"> is indicated for the treatment of signs and symptoms, as well as inhibiting the progression of structural damage, of moderate to severely active psoriatic arthritis in adult patients where response to previous DMARDS has been inadequate.</w:t>
      </w:r>
    </w:p>
    <w:p w:rsidR="00D97091" w:rsidRPr="002D4F05" w:rsidRDefault="00D97091" w:rsidP="002D4F05">
      <w:pPr>
        <w:pStyle w:val="FootnoteText"/>
        <w:rPr>
          <w:i/>
        </w:rPr>
      </w:pPr>
      <w:proofErr w:type="spellStart"/>
      <w:r w:rsidRPr="002D4F05">
        <w:rPr>
          <w:i/>
          <w:u w:val="single"/>
        </w:rPr>
        <w:t>Ankylosing</w:t>
      </w:r>
      <w:proofErr w:type="spellEnd"/>
      <w:r w:rsidRPr="002D4F05">
        <w:rPr>
          <w:i/>
          <w:u w:val="single"/>
        </w:rPr>
        <w:t xml:space="preserve"> Spondylitis</w:t>
      </w:r>
      <w:r w:rsidRPr="002D4F05">
        <w:rPr>
          <w:i/>
        </w:rPr>
        <w:t xml:space="preserve">: </w:t>
      </w:r>
      <w:proofErr w:type="spellStart"/>
      <w:r w:rsidRPr="002D4F05">
        <w:rPr>
          <w:i/>
        </w:rPr>
        <w:t>Humira</w:t>
      </w:r>
      <w:proofErr w:type="spellEnd"/>
      <w:r w:rsidRPr="002D4F05">
        <w:rPr>
          <w:i/>
        </w:rPr>
        <w:t xml:space="preserve"> is indicated for reducing signs and symptoms in patients with active ankylosing spondylitis.</w:t>
      </w:r>
    </w:p>
    <w:p w:rsidR="00D97091" w:rsidRPr="002D4F05" w:rsidRDefault="00D97091" w:rsidP="002D4F05">
      <w:pPr>
        <w:pStyle w:val="FootnoteText"/>
        <w:rPr>
          <w:i/>
        </w:rPr>
      </w:pPr>
      <w:proofErr w:type="spellStart"/>
      <w:r w:rsidRPr="002D4F05">
        <w:rPr>
          <w:i/>
          <w:u w:val="single"/>
        </w:rPr>
        <w:t>Crohn’s</w:t>
      </w:r>
      <w:proofErr w:type="spellEnd"/>
      <w:r w:rsidRPr="002D4F05">
        <w:rPr>
          <w:i/>
          <w:u w:val="single"/>
        </w:rPr>
        <w:t xml:space="preserve"> Disease</w:t>
      </w:r>
      <w:r w:rsidRPr="002D4F05">
        <w:rPr>
          <w:i/>
        </w:rPr>
        <w:t xml:space="preserve">: </w:t>
      </w:r>
      <w:proofErr w:type="spellStart"/>
      <w:r w:rsidRPr="002D4F05">
        <w:rPr>
          <w:i/>
        </w:rPr>
        <w:t>Humira</w:t>
      </w:r>
      <w:proofErr w:type="spellEnd"/>
      <w:r w:rsidRPr="002D4F05">
        <w:rPr>
          <w:i/>
        </w:rPr>
        <w:t xml:space="preserve"> is indicated for the treatment of moderate to severe Crohn's disease in adults to reduce the signs and symptoms of the disease and to induce and maintain clinical remission in patients who have had an inadequate response to conventional therapies, or who have lost response to or are intolerant of infliximab.</w:t>
      </w:r>
    </w:p>
    <w:p w:rsidR="00D97091" w:rsidRPr="002D4F05" w:rsidRDefault="00D97091" w:rsidP="002D4F05">
      <w:pPr>
        <w:pStyle w:val="FootnoteText"/>
        <w:rPr>
          <w:i/>
        </w:rPr>
      </w:pPr>
      <w:r w:rsidRPr="002D4F05">
        <w:rPr>
          <w:i/>
          <w:u w:val="single"/>
        </w:rPr>
        <w:t>Psoriasis</w:t>
      </w:r>
      <w:r w:rsidRPr="002D4F05">
        <w:rPr>
          <w:i/>
        </w:rPr>
        <w:t xml:space="preserve">: </w:t>
      </w:r>
      <w:proofErr w:type="spellStart"/>
      <w:r w:rsidRPr="002D4F05">
        <w:rPr>
          <w:i/>
        </w:rPr>
        <w:t>Humira</w:t>
      </w:r>
      <w:proofErr w:type="spellEnd"/>
      <w:r w:rsidRPr="002D4F05">
        <w:rPr>
          <w:i/>
        </w:rPr>
        <w:t xml:space="preserve"> is indicated for the treatment of moderate to severe chronic plaque psoriasis in adult patients who are candidates for systemic therapy or phototherapy.</w:t>
      </w:r>
    </w:p>
    <w:p w:rsidR="00D97091" w:rsidRPr="002D4F05" w:rsidRDefault="00D97091" w:rsidP="002D4F05">
      <w:pPr>
        <w:pStyle w:val="FootnoteText"/>
        <w:rPr>
          <w:i/>
        </w:rPr>
      </w:pPr>
      <w:r w:rsidRPr="002D4F05">
        <w:rPr>
          <w:i/>
          <w:u w:val="single"/>
        </w:rPr>
        <w:t>Polyarticular Juvenile Idiopathic Arthritis</w:t>
      </w:r>
      <w:r w:rsidRPr="002D4F05">
        <w:rPr>
          <w:i/>
        </w:rPr>
        <w:t xml:space="preserve">: </w:t>
      </w:r>
      <w:proofErr w:type="spellStart"/>
      <w:r w:rsidRPr="002D4F05">
        <w:rPr>
          <w:i/>
        </w:rPr>
        <w:t>Humira</w:t>
      </w:r>
      <w:proofErr w:type="spellEnd"/>
      <w:r w:rsidRPr="002D4F05">
        <w:rPr>
          <w:i/>
        </w:rPr>
        <w:t xml:space="preserve"> in combination with methotrexate is indicated for reducing the signs and symptoms of moderately to severely active polyarticular juvenile idiopathic arthritis in patients aged 4 years of age and older.</w:t>
      </w:r>
    </w:p>
    <w:p w:rsidR="00D97091" w:rsidRPr="002D4F05" w:rsidRDefault="00D97091" w:rsidP="002D4F05">
      <w:pPr>
        <w:pStyle w:val="FootnoteText"/>
        <w:rPr>
          <w:i/>
        </w:rPr>
      </w:pPr>
      <w:proofErr w:type="spellStart"/>
      <w:r w:rsidRPr="002D4F05">
        <w:rPr>
          <w:i/>
        </w:rPr>
        <w:t>Humira</w:t>
      </w:r>
      <w:proofErr w:type="spellEnd"/>
      <w:r w:rsidRPr="002D4F05">
        <w:rPr>
          <w:i/>
        </w:rPr>
        <w:t xml:space="preserve"> can be given as monotherapy in case of intolerance or when continued treatment with methotrexate is inappropriate.</w:t>
      </w:r>
    </w:p>
  </w:footnote>
  <w:footnote w:id="2">
    <w:p w:rsidR="00D97091" w:rsidRDefault="00D97091" w:rsidP="002D4F05">
      <w:pPr>
        <w:pStyle w:val="FootnoteText"/>
      </w:pPr>
      <w:r>
        <w:rPr>
          <w:rStyle w:val="FootnoteReference"/>
        </w:rPr>
        <w:footnoteRef/>
      </w:r>
      <w:proofErr w:type="spellStart"/>
      <w:r w:rsidRPr="00D17580">
        <w:t>Rudwaleit</w:t>
      </w:r>
      <w:proofErr w:type="spellEnd"/>
      <w:r w:rsidRPr="00D17580">
        <w:t xml:space="preserve"> M. et al. The development of Assessment of </w:t>
      </w:r>
      <w:proofErr w:type="spellStart"/>
      <w:r w:rsidRPr="00D17580">
        <w:t>SpondyloArthritis</w:t>
      </w:r>
      <w:proofErr w:type="spellEnd"/>
      <w:r w:rsidRPr="00D17580">
        <w:t xml:space="preserve"> international Society classification criteria for axial </w:t>
      </w:r>
      <w:proofErr w:type="spellStart"/>
      <w:r w:rsidRPr="00D17580">
        <w:t>spondyloarthritis</w:t>
      </w:r>
      <w:proofErr w:type="spellEnd"/>
      <w:r w:rsidRPr="00D17580">
        <w:t xml:space="preserve"> (</w:t>
      </w:r>
      <w:r>
        <w:t>P</w:t>
      </w:r>
      <w:r w:rsidRPr="00D17580">
        <w:t xml:space="preserve">art II): validation and final </w:t>
      </w:r>
      <w:r w:rsidRPr="002D4F05">
        <w:t>selection</w:t>
      </w:r>
      <w:r w:rsidRPr="00D17580">
        <w:t>. Ann Rheum Dis 2009</w:t>
      </w:r>
      <w:proofErr w:type="gramStart"/>
      <w:r w:rsidRPr="00D17580">
        <w:t>;68:777</w:t>
      </w:r>
      <w:proofErr w:type="gramEnd"/>
      <w:r w:rsidRPr="00D17580">
        <w:t>–783.</w:t>
      </w:r>
    </w:p>
  </w:footnote>
  <w:footnote w:id="3">
    <w:p w:rsidR="00D97091" w:rsidRPr="00CB0A7D" w:rsidRDefault="00D97091" w:rsidP="002D4F05">
      <w:pPr>
        <w:pStyle w:val="FootnoteText"/>
      </w:pPr>
      <w:r w:rsidRPr="00CB0A7D">
        <w:rPr>
          <w:rStyle w:val="FootnoteReference"/>
        </w:rPr>
        <w:footnoteRef/>
      </w:r>
      <w:r w:rsidRPr="00CB0A7D">
        <w:t xml:space="preserve"> </w:t>
      </w:r>
      <w:r w:rsidRPr="00CB0A7D">
        <w:rPr>
          <w:bCs/>
        </w:rPr>
        <w:t>ASAS 40</w:t>
      </w:r>
      <w:r w:rsidRPr="00CB0A7D">
        <w:t xml:space="preserve"> is </w:t>
      </w:r>
      <w:r w:rsidRPr="00CB0A7D">
        <w:rPr>
          <w:bCs/>
        </w:rPr>
        <w:t>defined</w:t>
      </w:r>
      <w:r w:rsidRPr="00CB0A7D">
        <w:t xml:space="preserve"> as at least a 40 percent improvement from baseline </w:t>
      </w:r>
      <w:r w:rsidRPr="002D4F05">
        <w:t>using</w:t>
      </w:r>
      <w:r w:rsidRPr="00CB0A7D">
        <w:t xml:space="preserve"> the ASAS criteria.</w:t>
      </w:r>
    </w:p>
  </w:footnote>
  <w:footnote w:id="4">
    <w:p w:rsidR="00D97091" w:rsidRPr="008A5EFF" w:rsidRDefault="00D97091" w:rsidP="008A5EFF">
      <w:pPr>
        <w:pStyle w:val="FootnoteText"/>
      </w:pPr>
      <w:r>
        <w:rPr>
          <w:rStyle w:val="FootnoteReference"/>
        </w:rPr>
        <w:footnoteRef/>
      </w:r>
      <w:r>
        <w:t xml:space="preserve"> Sponsor comment: “</w:t>
      </w:r>
      <w:r w:rsidRPr="00E836A6">
        <w:rPr>
          <w:lang w:val="en-CA"/>
        </w:rPr>
        <w:t>Since the publication of this RMP, the protocols for these studies have been amended to include a 144 week open-label extension.</w:t>
      </w:r>
      <w:r>
        <w:rPr>
          <w:lang w:val="en-CA"/>
        </w:rPr>
        <w:t>”</w:t>
      </w:r>
    </w:p>
  </w:footnote>
  <w:footnote w:id="5">
    <w:p w:rsidR="00D97091" w:rsidRPr="00F53029" w:rsidRDefault="00D97091" w:rsidP="00AC73ED">
      <w:pPr>
        <w:pStyle w:val="FootnoteText"/>
        <w:rPr>
          <w:lang w:val="de-DE"/>
        </w:rPr>
      </w:pPr>
      <w:r>
        <w:rPr>
          <w:rStyle w:val="FootnoteReference"/>
        </w:rPr>
        <w:footnoteRef/>
      </w:r>
      <w:proofErr w:type="gramStart"/>
      <w:r w:rsidRPr="00DF2C31">
        <w:t>Khan MA.</w:t>
      </w:r>
      <w:proofErr w:type="gramEnd"/>
      <w:r w:rsidRPr="00DF2C31">
        <w:t xml:space="preserve"> Update on </w:t>
      </w:r>
      <w:proofErr w:type="spellStart"/>
      <w:r w:rsidRPr="00DF2C31">
        <w:t>spondyloarthropathies</w:t>
      </w:r>
      <w:proofErr w:type="spellEnd"/>
      <w:r w:rsidRPr="00DF2C31">
        <w:t xml:space="preserve">. </w:t>
      </w:r>
      <w:r w:rsidRPr="00AB70F4">
        <w:rPr>
          <w:lang w:val="de-DE"/>
        </w:rPr>
        <w:t>Ann Intern Med 2002;136:896-907.</w:t>
      </w:r>
    </w:p>
  </w:footnote>
  <w:footnote w:id="6">
    <w:p w:rsidR="00D97091" w:rsidRDefault="00D97091" w:rsidP="00AC73ED">
      <w:pPr>
        <w:pStyle w:val="FootnoteText"/>
      </w:pPr>
      <w:r>
        <w:rPr>
          <w:rStyle w:val="FootnoteReference"/>
        </w:rPr>
        <w:footnoteRef/>
      </w:r>
      <w:r w:rsidRPr="00AB70F4">
        <w:rPr>
          <w:lang w:val="de-DE"/>
        </w:rPr>
        <w:t xml:space="preserve"> </w:t>
      </w:r>
      <w:r w:rsidRPr="00AB70F4">
        <w:rPr>
          <w:lang w:val="de-DE"/>
        </w:rPr>
        <w:t xml:space="preserve">Rudwaleit M, van der Heijde D, Landewe R, et al. </w:t>
      </w:r>
      <w:r w:rsidRPr="00DF2C31">
        <w:t xml:space="preserve">The </w:t>
      </w:r>
      <w:r w:rsidRPr="00AC73ED">
        <w:t>development</w:t>
      </w:r>
      <w:r w:rsidRPr="00DF2C31">
        <w:t xml:space="preserve"> of Assessment of </w:t>
      </w:r>
      <w:proofErr w:type="spellStart"/>
      <w:r w:rsidRPr="00DF2C31">
        <w:t>SpondyloArthritis</w:t>
      </w:r>
      <w:proofErr w:type="spellEnd"/>
      <w:r w:rsidRPr="00DF2C31">
        <w:t xml:space="preserve"> international Society classification criteria for axial </w:t>
      </w:r>
      <w:proofErr w:type="spellStart"/>
      <w:r w:rsidRPr="00DF2C31">
        <w:t>spondyloarthritis</w:t>
      </w:r>
      <w:proofErr w:type="spellEnd"/>
      <w:r w:rsidRPr="00DF2C31">
        <w:t xml:space="preserve"> (part II): validation and final selection. Ann Rheum Dis 2009</w:t>
      </w:r>
      <w:proofErr w:type="gramStart"/>
      <w:r w:rsidRPr="00DF2C31">
        <w:t>;68:777</w:t>
      </w:r>
      <w:proofErr w:type="gramEnd"/>
      <w:r w:rsidRPr="00DF2C31">
        <w:t>-83.</w:t>
      </w:r>
    </w:p>
  </w:footnote>
  <w:footnote w:id="7">
    <w:p w:rsidR="00D97091" w:rsidRDefault="00D97091" w:rsidP="00AC73ED">
      <w:pPr>
        <w:pStyle w:val="FootnoteText"/>
      </w:pPr>
      <w:r>
        <w:rPr>
          <w:rStyle w:val="FootnoteReference"/>
        </w:rPr>
        <w:footnoteRef/>
      </w:r>
      <w:r w:rsidRPr="00DF2C31">
        <w:t xml:space="preserve"> </w:t>
      </w:r>
      <w:proofErr w:type="gramStart"/>
      <w:r w:rsidRPr="00DF2C31">
        <w:t>van</w:t>
      </w:r>
      <w:proofErr w:type="gramEnd"/>
      <w:r w:rsidRPr="00DF2C31">
        <w:t xml:space="preserve"> der Linden S, </w:t>
      </w:r>
      <w:proofErr w:type="spellStart"/>
      <w:r w:rsidRPr="00DF2C31">
        <w:t>Valkenburg</w:t>
      </w:r>
      <w:proofErr w:type="spellEnd"/>
      <w:r w:rsidRPr="00DF2C31">
        <w:t xml:space="preserve"> HA, Cats A. Evaluation of </w:t>
      </w:r>
      <w:r w:rsidRPr="00AC73ED">
        <w:t>diagnostic</w:t>
      </w:r>
      <w:r w:rsidRPr="00DF2C31">
        <w:t xml:space="preserve"> criteria for </w:t>
      </w:r>
      <w:proofErr w:type="spellStart"/>
      <w:r w:rsidRPr="00DF2C31">
        <w:t>ankylosing</w:t>
      </w:r>
      <w:proofErr w:type="spellEnd"/>
      <w:r w:rsidRPr="00DF2C31">
        <w:t xml:space="preserve"> spondylitis. </w:t>
      </w:r>
      <w:proofErr w:type="gramStart"/>
      <w:r w:rsidRPr="00DF2C31">
        <w:t>A proposal for modification of the New York criteria.</w:t>
      </w:r>
      <w:proofErr w:type="gramEnd"/>
      <w:r w:rsidRPr="00DF2C31">
        <w:t xml:space="preserve"> Arthritis Rheum 1984</w:t>
      </w:r>
      <w:proofErr w:type="gramStart"/>
      <w:r w:rsidRPr="00DF2C31">
        <w:t>;27:361</w:t>
      </w:r>
      <w:proofErr w:type="gramEnd"/>
      <w:r w:rsidRPr="00DF2C31">
        <w:t>-8.</w:t>
      </w:r>
    </w:p>
  </w:footnote>
  <w:footnote w:id="8">
    <w:p w:rsidR="00D97091" w:rsidRDefault="00D97091" w:rsidP="00AC73ED">
      <w:pPr>
        <w:pStyle w:val="FootnoteText"/>
      </w:pPr>
      <w:r>
        <w:rPr>
          <w:rStyle w:val="FootnoteReference"/>
        </w:rPr>
        <w:footnoteRef/>
      </w:r>
      <w:r>
        <w:t xml:space="preserve"> </w:t>
      </w:r>
      <w:proofErr w:type="spellStart"/>
      <w:r w:rsidRPr="00DF2C31">
        <w:t>Sieper</w:t>
      </w:r>
      <w:proofErr w:type="spellEnd"/>
      <w:r w:rsidRPr="00DF2C31">
        <w:t xml:space="preserve"> J, van der </w:t>
      </w:r>
      <w:proofErr w:type="spellStart"/>
      <w:r w:rsidRPr="00DF2C31">
        <w:t>Heijde</w:t>
      </w:r>
      <w:proofErr w:type="spellEnd"/>
      <w:r w:rsidRPr="00DF2C31">
        <w:t xml:space="preserve"> D. Review: </w:t>
      </w:r>
      <w:proofErr w:type="spellStart"/>
      <w:r w:rsidRPr="00DF2C31">
        <w:t>Nonradiographic</w:t>
      </w:r>
      <w:proofErr w:type="spellEnd"/>
      <w:r w:rsidRPr="00DF2C31">
        <w:t xml:space="preserve"> axial </w:t>
      </w:r>
      <w:proofErr w:type="spellStart"/>
      <w:r w:rsidRPr="00AC73ED">
        <w:t>spondyloarthritis</w:t>
      </w:r>
      <w:proofErr w:type="spellEnd"/>
      <w:r w:rsidRPr="00DF2C31">
        <w:t xml:space="preserve">: new </w:t>
      </w:r>
      <w:proofErr w:type="spellStart"/>
      <w:r w:rsidRPr="00DF2C31">
        <w:t>definitionof</w:t>
      </w:r>
      <w:proofErr w:type="spellEnd"/>
      <w:r w:rsidRPr="00DF2C31">
        <w:t xml:space="preserve"> an old disease? Arthritis Rheum 2013</w:t>
      </w:r>
      <w:proofErr w:type="gramStart"/>
      <w:r w:rsidRPr="00DF2C31">
        <w:t>;65:543</w:t>
      </w:r>
      <w:proofErr w:type="gramEnd"/>
      <w:r w:rsidRPr="00DF2C31">
        <w:t>-51.</w:t>
      </w:r>
    </w:p>
  </w:footnote>
  <w:footnote w:id="9">
    <w:p w:rsidR="00D97091" w:rsidRPr="00F53029" w:rsidRDefault="00D97091" w:rsidP="00AC73ED">
      <w:pPr>
        <w:pStyle w:val="FootnoteText"/>
        <w:rPr>
          <w:lang w:val="de-DE"/>
        </w:rPr>
      </w:pPr>
      <w:r>
        <w:rPr>
          <w:rStyle w:val="FootnoteReference"/>
        </w:rPr>
        <w:footnoteRef/>
      </w:r>
      <w:r w:rsidRPr="00DF2C31">
        <w:t xml:space="preserve"> </w:t>
      </w:r>
      <w:proofErr w:type="spellStart"/>
      <w:r w:rsidRPr="00DF2C31">
        <w:t>Rudwaleit</w:t>
      </w:r>
      <w:proofErr w:type="spellEnd"/>
      <w:r w:rsidRPr="00DF2C31">
        <w:t xml:space="preserve"> M, Khan MA, </w:t>
      </w:r>
      <w:proofErr w:type="spellStart"/>
      <w:r w:rsidRPr="00DF2C31">
        <w:t>Sieper</w:t>
      </w:r>
      <w:proofErr w:type="spellEnd"/>
      <w:r w:rsidRPr="00DF2C31">
        <w:t xml:space="preserve"> J. The challenge of diagnosis and </w:t>
      </w:r>
      <w:r w:rsidRPr="00AC73ED">
        <w:t>classification</w:t>
      </w:r>
      <w:r w:rsidRPr="00DF2C31">
        <w:t xml:space="preserve"> in early </w:t>
      </w:r>
      <w:proofErr w:type="spellStart"/>
      <w:r w:rsidRPr="00DF2C31">
        <w:t>ankylosing</w:t>
      </w:r>
      <w:proofErr w:type="spellEnd"/>
      <w:r w:rsidRPr="00DF2C31">
        <w:t xml:space="preserve"> spondylitis: do we need new criteria? </w:t>
      </w:r>
      <w:r w:rsidRPr="00AB70F4">
        <w:rPr>
          <w:lang w:val="de-DE"/>
        </w:rPr>
        <w:t>Arthritis Rheum 2005;52:1000-8.</w:t>
      </w:r>
    </w:p>
  </w:footnote>
  <w:footnote w:id="10">
    <w:p w:rsidR="00D97091" w:rsidRPr="00F53029" w:rsidRDefault="00D97091" w:rsidP="00AC73ED">
      <w:pPr>
        <w:pStyle w:val="FootnoteText"/>
        <w:rPr>
          <w:lang w:val="de-DE"/>
        </w:rPr>
      </w:pPr>
      <w:r>
        <w:rPr>
          <w:rStyle w:val="FootnoteReference"/>
        </w:rPr>
        <w:footnoteRef/>
      </w:r>
      <w:r w:rsidRPr="00AB70F4">
        <w:rPr>
          <w:lang w:val="de-DE"/>
        </w:rPr>
        <w:t xml:space="preserve"> </w:t>
      </w:r>
      <w:r w:rsidRPr="00AB70F4">
        <w:rPr>
          <w:lang w:val="de-DE"/>
        </w:rPr>
        <w:t xml:space="preserve">Rudwaleit M, Haibel H, Baraliakos X, et al. </w:t>
      </w:r>
      <w:r w:rsidRPr="00DF2C31">
        <w:t xml:space="preserve">The early disease stage in axial </w:t>
      </w:r>
      <w:proofErr w:type="spellStart"/>
      <w:r w:rsidRPr="00DF2C31">
        <w:t>spondylarthritis</w:t>
      </w:r>
      <w:proofErr w:type="spellEnd"/>
      <w:r w:rsidRPr="00DF2C31">
        <w:t xml:space="preserve">: results from the German </w:t>
      </w:r>
      <w:proofErr w:type="spellStart"/>
      <w:r w:rsidRPr="00DF2C31">
        <w:t>Spondyloarthritis</w:t>
      </w:r>
      <w:proofErr w:type="spellEnd"/>
      <w:r w:rsidRPr="00DF2C31">
        <w:t xml:space="preserve"> Inception Cohort. </w:t>
      </w:r>
      <w:r w:rsidRPr="00AB70F4">
        <w:rPr>
          <w:lang w:val="de-DE"/>
        </w:rPr>
        <w:t>Arthritis Rheum 2009;60:717-27.</w:t>
      </w:r>
    </w:p>
  </w:footnote>
  <w:footnote w:id="11">
    <w:p w:rsidR="00D97091" w:rsidRDefault="00D97091" w:rsidP="00AC73ED">
      <w:pPr>
        <w:pStyle w:val="FootnoteText"/>
      </w:pPr>
      <w:r>
        <w:rPr>
          <w:rStyle w:val="FootnoteReference"/>
        </w:rPr>
        <w:footnoteRef/>
      </w:r>
      <w:r w:rsidRPr="00AB70F4">
        <w:rPr>
          <w:lang w:val="de-DE"/>
        </w:rPr>
        <w:t xml:space="preserve">  </w:t>
      </w:r>
      <w:r w:rsidRPr="00AB70F4">
        <w:rPr>
          <w:lang w:val="de-DE"/>
        </w:rPr>
        <w:t xml:space="preserve">Rudwaleit M, Landewe R, van der Heijde D, et al. </w:t>
      </w:r>
      <w:r w:rsidRPr="00DF2C31">
        <w:t xml:space="preserve">The development </w:t>
      </w:r>
      <w:r w:rsidRPr="00AC73ED">
        <w:t>of</w:t>
      </w:r>
      <w:r w:rsidRPr="00DF2C31">
        <w:t xml:space="preserve"> Assessment of </w:t>
      </w:r>
      <w:proofErr w:type="spellStart"/>
      <w:r w:rsidRPr="00DF2C31">
        <w:t>SpondyloArthritis</w:t>
      </w:r>
      <w:proofErr w:type="spellEnd"/>
      <w:r w:rsidRPr="00DF2C31">
        <w:t xml:space="preserve"> international Society classification criteria for axial </w:t>
      </w:r>
      <w:proofErr w:type="spellStart"/>
      <w:r w:rsidRPr="00DF2C31">
        <w:t>spondyloarthritis</w:t>
      </w:r>
      <w:proofErr w:type="spellEnd"/>
      <w:r w:rsidRPr="00DF2C31">
        <w:t xml:space="preserve"> (part I): classification of paper patients by expert opinion including uncertainty appraisal. Ann Rheum Dis 2009</w:t>
      </w:r>
      <w:proofErr w:type="gramStart"/>
      <w:r w:rsidRPr="00DF2C31">
        <w:t>;68:770</w:t>
      </w:r>
      <w:proofErr w:type="gramEnd"/>
      <w:r w:rsidRPr="00DF2C31">
        <w:t>-6.</w:t>
      </w:r>
    </w:p>
  </w:footnote>
  <w:footnote w:id="12">
    <w:p w:rsidR="00D97091" w:rsidRPr="00F53029" w:rsidRDefault="00D97091" w:rsidP="00AC73ED">
      <w:pPr>
        <w:pStyle w:val="FootnoteText"/>
        <w:rPr>
          <w:lang w:val="de-DE"/>
        </w:rPr>
      </w:pPr>
      <w:r>
        <w:rPr>
          <w:rStyle w:val="FootnoteReference"/>
        </w:rPr>
        <w:footnoteRef/>
      </w:r>
      <w:proofErr w:type="spellStart"/>
      <w:r w:rsidRPr="00DF2C31">
        <w:t>Feldtkeller</w:t>
      </w:r>
      <w:proofErr w:type="spellEnd"/>
      <w:r w:rsidRPr="00DF2C31">
        <w:t xml:space="preserve"> E, </w:t>
      </w:r>
      <w:proofErr w:type="spellStart"/>
      <w:r w:rsidRPr="00DF2C31">
        <w:t>Bruckel</w:t>
      </w:r>
      <w:proofErr w:type="spellEnd"/>
      <w:r w:rsidRPr="00DF2C31">
        <w:t xml:space="preserve"> J, Khan MA. </w:t>
      </w:r>
      <w:proofErr w:type="gramStart"/>
      <w:r w:rsidRPr="00DF2C31">
        <w:t xml:space="preserve">Scientific contributions of </w:t>
      </w:r>
      <w:proofErr w:type="spellStart"/>
      <w:r w:rsidRPr="00AC73ED">
        <w:t>ankylosing</w:t>
      </w:r>
      <w:proofErr w:type="spellEnd"/>
      <w:r w:rsidRPr="00DF2C31">
        <w:t xml:space="preserve"> spondylitis patient advocacy groups.</w:t>
      </w:r>
      <w:proofErr w:type="gramEnd"/>
      <w:r w:rsidRPr="00DF2C31">
        <w:t xml:space="preserve"> </w:t>
      </w:r>
      <w:r w:rsidRPr="00AB70F4">
        <w:rPr>
          <w:lang w:val="de-DE"/>
        </w:rPr>
        <w:t>Curr Opin Rheumatol 2000;12:239-47.</w:t>
      </w:r>
    </w:p>
  </w:footnote>
  <w:footnote w:id="13">
    <w:p w:rsidR="00D97091" w:rsidRDefault="00D97091" w:rsidP="00AC73ED">
      <w:pPr>
        <w:pStyle w:val="FootnoteText"/>
      </w:pPr>
      <w:r>
        <w:rPr>
          <w:rStyle w:val="FootnoteReference"/>
        </w:rPr>
        <w:footnoteRef/>
      </w:r>
      <w:r w:rsidRPr="00AB70F4">
        <w:rPr>
          <w:lang w:val="de-DE"/>
        </w:rPr>
        <w:t xml:space="preserve"> </w:t>
      </w:r>
      <w:r w:rsidRPr="00AB70F4">
        <w:rPr>
          <w:lang w:val="de-DE"/>
        </w:rPr>
        <w:t xml:space="preserve">Feldtkeller E, Khan MA, van der Heijde D, et al. </w:t>
      </w:r>
      <w:proofErr w:type="gramStart"/>
      <w:r w:rsidRPr="00DF2C31">
        <w:t>Age at disease onset and diagnosis delay in HLA-B27 negative versus positive patients with ankylosing spondylitis.</w:t>
      </w:r>
      <w:proofErr w:type="gramEnd"/>
      <w:r w:rsidRPr="00DF2C31">
        <w:t xml:space="preserve"> </w:t>
      </w:r>
      <w:proofErr w:type="spellStart"/>
      <w:r w:rsidRPr="00DF2C31">
        <w:t>Rheumatol</w:t>
      </w:r>
      <w:proofErr w:type="spellEnd"/>
      <w:r w:rsidRPr="00DF2C31">
        <w:t xml:space="preserve"> </w:t>
      </w:r>
      <w:proofErr w:type="spellStart"/>
      <w:r w:rsidRPr="00DF2C31">
        <w:t>Int</w:t>
      </w:r>
      <w:proofErr w:type="spellEnd"/>
      <w:r w:rsidRPr="00DF2C31">
        <w:t xml:space="preserve"> 2003</w:t>
      </w:r>
      <w:proofErr w:type="gramStart"/>
      <w:r w:rsidRPr="00DF2C31">
        <w:t>;23:61</w:t>
      </w:r>
      <w:proofErr w:type="gramEnd"/>
      <w:r w:rsidRPr="00DF2C31">
        <w:t>-6.</w:t>
      </w:r>
    </w:p>
  </w:footnote>
  <w:footnote w:id="14">
    <w:p w:rsidR="00D97091" w:rsidRDefault="00D97091" w:rsidP="00AC73ED">
      <w:pPr>
        <w:pStyle w:val="FootnoteText"/>
      </w:pPr>
      <w:r>
        <w:rPr>
          <w:rStyle w:val="FootnoteReference"/>
        </w:rPr>
        <w:footnoteRef/>
      </w:r>
      <w:r w:rsidRPr="00DF2C31">
        <w:t xml:space="preserve"> Underwood MR, Dawes P. Inflammatory back pain in primary care. Br J </w:t>
      </w:r>
      <w:proofErr w:type="spellStart"/>
      <w:r w:rsidRPr="00DF2C31">
        <w:t>Rheumatol</w:t>
      </w:r>
      <w:proofErr w:type="spellEnd"/>
      <w:r w:rsidRPr="00DF2C31">
        <w:t xml:space="preserve"> 1995</w:t>
      </w:r>
      <w:proofErr w:type="gramStart"/>
      <w:r w:rsidRPr="00DF2C31">
        <w:t>;34:1074</w:t>
      </w:r>
      <w:proofErr w:type="gramEnd"/>
      <w:r w:rsidRPr="00DF2C31">
        <w:t>-7.</w:t>
      </w:r>
    </w:p>
  </w:footnote>
  <w:footnote w:id="15">
    <w:p w:rsidR="00D97091" w:rsidRDefault="00D97091" w:rsidP="00AC73ED">
      <w:pPr>
        <w:pStyle w:val="FootnoteText"/>
      </w:pPr>
      <w:r>
        <w:rPr>
          <w:rStyle w:val="FootnoteReference"/>
        </w:rPr>
        <w:footnoteRef/>
      </w:r>
      <w:r>
        <w:t xml:space="preserve"> </w:t>
      </w:r>
      <w:proofErr w:type="spellStart"/>
      <w:r w:rsidRPr="009E46A1">
        <w:t>Moltó</w:t>
      </w:r>
      <w:proofErr w:type="spellEnd"/>
      <w:r w:rsidRPr="009E46A1">
        <w:t xml:space="preserve"> A, </w:t>
      </w:r>
      <w:proofErr w:type="spellStart"/>
      <w:r w:rsidRPr="009E46A1">
        <w:t>Paternotte</w:t>
      </w:r>
      <w:proofErr w:type="spellEnd"/>
      <w:r w:rsidRPr="009E46A1">
        <w:t xml:space="preserve"> S, Comet D, et al. Performances of the ASAS </w:t>
      </w:r>
      <w:r w:rsidRPr="00AC73ED">
        <w:t>axial</w:t>
      </w:r>
      <w:r w:rsidRPr="009E46A1">
        <w:t xml:space="preserve"> </w:t>
      </w:r>
      <w:proofErr w:type="spellStart"/>
      <w:r w:rsidRPr="009E46A1">
        <w:t>spondyloarthritis</w:t>
      </w:r>
      <w:proofErr w:type="spellEnd"/>
      <w:r w:rsidRPr="009E46A1">
        <w:t xml:space="preserve"> criteria for diagnostic and classification purposes in patients visiting a rheumatologist because of chronic back pain: The DECLIC study. </w:t>
      </w:r>
      <w:proofErr w:type="gramStart"/>
      <w:r w:rsidRPr="009E46A1">
        <w:t>Arthritis Care Res (Hoboken) 2013.</w:t>
      </w:r>
      <w:proofErr w:type="gramEnd"/>
    </w:p>
  </w:footnote>
  <w:footnote w:id="16">
    <w:p w:rsidR="00D97091" w:rsidRDefault="00D97091" w:rsidP="00AC73ED">
      <w:pPr>
        <w:pStyle w:val="FootnoteText"/>
      </w:pPr>
      <w:r>
        <w:rPr>
          <w:rStyle w:val="FootnoteReference"/>
        </w:rPr>
        <w:footnoteRef/>
      </w:r>
      <w:r w:rsidRPr="009E46A1">
        <w:t xml:space="preserve"> </w:t>
      </w:r>
      <w:proofErr w:type="gramStart"/>
      <w:r w:rsidRPr="009E46A1">
        <w:t>van</w:t>
      </w:r>
      <w:proofErr w:type="gramEnd"/>
      <w:r w:rsidRPr="009E46A1">
        <w:t xml:space="preserve"> den Berg R, de </w:t>
      </w:r>
      <w:proofErr w:type="spellStart"/>
      <w:r w:rsidRPr="009E46A1">
        <w:t>Hooge</w:t>
      </w:r>
      <w:proofErr w:type="spellEnd"/>
      <w:r w:rsidRPr="009E46A1">
        <w:t xml:space="preserve"> M, van </w:t>
      </w:r>
      <w:proofErr w:type="spellStart"/>
      <w:r w:rsidRPr="009E46A1">
        <w:t>Gaalen</w:t>
      </w:r>
      <w:proofErr w:type="spellEnd"/>
      <w:r w:rsidRPr="009E46A1">
        <w:t xml:space="preserve"> F, et al. Percentage of </w:t>
      </w:r>
      <w:r w:rsidRPr="00AC73ED">
        <w:t>patients</w:t>
      </w:r>
      <w:r w:rsidRPr="009E46A1">
        <w:t xml:space="preserve"> with </w:t>
      </w:r>
      <w:proofErr w:type="spellStart"/>
      <w:r w:rsidRPr="009E46A1">
        <w:t>spondyloarthritis</w:t>
      </w:r>
      <w:proofErr w:type="spellEnd"/>
      <w:r w:rsidRPr="009E46A1">
        <w:t xml:space="preserve"> in patients referred because of chronic back pain and performance of classification criteria: experience from the </w:t>
      </w:r>
      <w:proofErr w:type="spellStart"/>
      <w:r w:rsidRPr="009E46A1">
        <w:t>Spondyloarthritis</w:t>
      </w:r>
      <w:proofErr w:type="spellEnd"/>
      <w:r w:rsidRPr="009E46A1">
        <w:t xml:space="preserve"> Caught Early (SPACE) cohort. </w:t>
      </w:r>
      <w:proofErr w:type="gramStart"/>
      <w:r w:rsidRPr="009E46A1">
        <w:t>Rheumatology (Oxford) 2013.</w:t>
      </w:r>
      <w:proofErr w:type="gramEnd"/>
    </w:p>
  </w:footnote>
  <w:footnote w:id="17">
    <w:p w:rsidR="00D97091" w:rsidRDefault="00D97091" w:rsidP="00AC73ED">
      <w:pPr>
        <w:pStyle w:val="FootnoteText"/>
      </w:pPr>
      <w:r>
        <w:rPr>
          <w:rStyle w:val="FootnoteReference"/>
        </w:rPr>
        <w:footnoteRef/>
      </w:r>
      <w:r w:rsidRPr="009E46A1">
        <w:t xml:space="preserve"> </w:t>
      </w:r>
      <w:proofErr w:type="spellStart"/>
      <w:r w:rsidRPr="009E46A1">
        <w:t>Rudwaleit</w:t>
      </w:r>
      <w:proofErr w:type="spellEnd"/>
      <w:r w:rsidRPr="009E46A1">
        <w:t xml:space="preserve"> M, </w:t>
      </w:r>
      <w:proofErr w:type="spellStart"/>
      <w:r w:rsidRPr="009E46A1">
        <w:t>Sieper</w:t>
      </w:r>
      <w:proofErr w:type="spellEnd"/>
      <w:r w:rsidRPr="009E46A1">
        <w:t xml:space="preserve"> J. Referral strategies for early diagnosis of axial </w:t>
      </w:r>
      <w:proofErr w:type="spellStart"/>
      <w:r w:rsidRPr="009E46A1">
        <w:t>spondyloarthritis</w:t>
      </w:r>
      <w:proofErr w:type="spellEnd"/>
      <w:r w:rsidRPr="009E46A1">
        <w:t xml:space="preserve">. Nat Rev </w:t>
      </w:r>
      <w:proofErr w:type="spellStart"/>
      <w:r w:rsidRPr="009E46A1">
        <w:t>Rheumatol</w:t>
      </w:r>
      <w:proofErr w:type="spellEnd"/>
      <w:r w:rsidRPr="009E46A1">
        <w:t xml:space="preserve"> 2012</w:t>
      </w:r>
      <w:proofErr w:type="gramStart"/>
      <w:r w:rsidRPr="009E46A1">
        <w:t>;8:262</w:t>
      </w:r>
      <w:proofErr w:type="gramEnd"/>
      <w:r w:rsidRPr="009E46A1">
        <w:t>-8.</w:t>
      </w:r>
    </w:p>
  </w:footnote>
  <w:footnote w:id="18">
    <w:p w:rsidR="00D97091" w:rsidRPr="00AC73ED" w:rsidRDefault="00D97091" w:rsidP="00AC73ED">
      <w:pPr>
        <w:pStyle w:val="FootnoteText"/>
      </w:pPr>
      <w:r>
        <w:rPr>
          <w:rStyle w:val="FootnoteReference"/>
        </w:rPr>
        <w:footnoteRef/>
      </w:r>
      <w:r>
        <w:t xml:space="preserve"> NHANES= </w:t>
      </w:r>
      <w:r w:rsidRPr="008B3A5C">
        <w:t>National Health and Nutrition Examination Survey</w:t>
      </w:r>
    </w:p>
  </w:footnote>
  <w:footnote w:id="19">
    <w:p w:rsidR="00D97091" w:rsidRDefault="00D97091" w:rsidP="00AC73ED">
      <w:pPr>
        <w:pStyle w:val="FootnoteText"/>
      </w:pPr>
      <w:r>
        <w:rPr>
          <w:rStyle w:val="FootnoteReference"/>
        </w:rPr>
        <w:footnoteRef/>
      </w:r>
      <w:proofErr w:type="spellStart"/>
      <w:r w:rsidRPr="009E46A1">
        <w:t>Helmick</w:t>
      </w:r>
      <w:proofErr w:type="spellEnd"/>
      <w:r w:rsidRPr="009E46A1">
        <w:t xml:space="preserve"> CG, </w:t>
      </w:r>
      <w:proofErr w:type="spellStart"/>
      <w:r w:rsidRPr="009E46A1">
        <w:t>Felson</w:t>
      </w:r>
      <w:proofErr w:type="spellEnd"/>
      <w:r w:rsidRPr="009E46A1">
        <w:t xml:space="preserve"> DT, Lawrence RC, et al. Estimates of the </w:t>
      </w:r>
      <w:r w:rsidRPr="00AC73ED">
        <w:t>prevalence</w:t>
      </w:r>
      <w:r w:rsidRPr="009E46A1">
        <w:t xml:space="preserve"> of arthritis and other rheumatic conditions in the United States. Part I. Arthritis Rheum 2008</w:t>
      </w:r>
      <w:proofErr w:type="gramStart"/>
      <w:r w:rsidRPr="009E46A1">
        <w:t>;58:15</w:t>
      </w:r>
      <w:proofErr w:type="gramEnd"/>
      <w:r w:rsidRPr="009E46A1">
        <w:t>-25.</w:t>
      </w:r>
    </w:p>
  </w:footnote>
  <w:footnote w:id="20">
    <w:p w:rsidR="00D97091" w:rsidRDefault="00D97091" w:rsidP="00AC73ED">
      <w:pPr>
        <w:pStyle w:val="FootnoteText"/>
      </w:pPr>
      <w:r>
        <w:rPr>
          <w:rStyle w:val="FootnoteReference"/>
        </w:rPr>
        <w:footnoteRef/>
      </w:r>
      <w:r w:rsidRPr="009E46A1">
        <w:t xml:space="preserve"> </w:t>
      </w:r>
      <w:proofErr w:type="spellStart"/>
      <w:r w:rsidRPr="009E46A1">
        <w:t>Myasoedova</w:t>
      </w:r>
      <w:proofErr w:type="spellEnd"/>
      <w:r w:rsidRPr="009E46A1">
        <w:t xml:space="preserve"> E, Davis JM, 3rd, </w:t>
      </w:r>
      <w:proofErr w:type="spellStart"/>
      <w:r w:rsidRPr="009E46A1">
        <w:t>Crowson</w:t>
      </w:r>
      <w:proofErr w:type="spellEnd"/>
      <w:r w:rsidRPr="009E46A1">
        <w:t xml:space="preserve"> CS, et al. Epidemiology of rheumatoid arthritis: rheumatoid arthritis and mortality. </w:t>
      </w:r>
      <w:proofErr w:type="spellStart"/>
      <w:r w:rsidRPr="009E46A1">
        <w:t>Curr</w:t>
      </w:r>
      <w:proofErr w:type="spellEnd"/>
      <w:r w:rsidRPr="009E46A1">
        <w:t xml:space="preserve"> </w:t>
      </w:r>
      <w:proofErr w:type="spellStart"/>
      <w:r w:rsidRPr="009E46A1">
        <w:t>Rheumatol</w:t>
      </w:r>
      <w:proofErr w:type="spellEnd"/>
      <w:r w:rsidRPr="009E46A1">
        <w:t xml:space="preserve"> Rep 2010</w:t>
      </w:r>
      <w:proofErr w:type="gramStart"/>
      <w:r w:rsidRPr="009E46A1">
        <w:t>;12:379</w:t>
      </w:r>
      <w:proofErr w:type="gramEnd"/>
      <w:r w:rsidRPr="009E46A1">
        <w:t>-85.</w:t>
      </w:r>
    </w:p>
  </w:footnote>
  <w:footnote w:id="21">
    <w:p w:rsidR="00D97091" w:rsidRDefault="00D97091" w:rsidP="00AC73ED">
      <w:pPr>
        <w:pStyle w:val="FootnoteText"/>
      </w:pPr>
      <w:r>
        <w:rPr>
          <w:rStyle w:val="FootnoteReference"/>
        </w:rPr>
        <w:footnoteRef/>
      </w:r>
      <w:proofErr w:type="gramStart"/>
      <w:r w:rsidRPr="009E46A1">
        <w:t>Reveille JD, Witter JP, Weisman MH.</w:t>
      </w:r>
      <w:proofErr w:type="gramEnd"/>
      <w:r w:rsidRPr="009E46A1">
        <w:t xml:space="preserve"> Prevalence of axial </w:t>
      </w:r>
      <w:proofErr w:type="spellStart"/>
      <w:r w:rsidRPr="00AC73ED">
        <w:t>spondylarthritis</w:t>
      </w:r>
      <w:proofErr w:type="spellEnd"/>
      <w:r w:rsidRPr="009E46A1">
        <w:t xml:space="preserve"> in the United States: estimates from a cross-sectional survey. Arthritis Care Res (Hoboken) 2012</w:t>
      </w:r>
      <w:proofErr w:type="gramStart"/>
      <w:r w:rsidRPr="009E46A1">
        <w:t>;64:905</w:t>
      </w:r>
      <w:proofErr w:type="gramEnd"/>
      <w:r w:rsidRPr="009E46A1">
        <w:t>-10.</w:t>
      </w:r>
    </w:p>
  </w:footnote>
  <w:footnote w:id="22">
    <w:p w:rsidR="00D97091" w:rsidRDefault="00D97091" w:rsidP="00AC73ED">
      <w:pPr>
        <w:pStyle w:val="FootnoteText"/>
      </w:pPr>
      <w:r>
        <w:rPr>
          <w:rStyle w:val="FootnoteReference"/>
        </w:rPr>
        <w:footnoteRef/>
      </w:r>
      <w:r w:rsidRPr="009E46A1">
        <w:t xml:space="preserve"> </w:t>
      </w:r>
      <w:proofErr w:type="spellStart"/>
      <w:r w:rsidRPr="009E46A1">
        <w:t>Poddubnyy</w:t>
      </w:r>
      <w:proofErr w:type="spellEnd"/>
      <w:r w:rsidRPr="009E46A1">
        <w:t xml:space="preserve"> D, Brandt H, </w:t>
      </w:r>
      <w:proofErr w:type="spellStart"/>
      <w:r w:rsidRPr="009E46A1">
        <w:t>Vahldiek</w:t>
      </w:r>
      <w:proofErr w:type="spellEnd"/>
      <w:r w:rsidRPr="009E46A1">
        <w:t xml:space="preserve"> J, et al. The frequency of </w:t>
      </w:r>
      <w:r w:rsidRPr="00AC73ED">
        <w:t>non</w:t>
      </w:r>
      <w:r w:rsidRPr="009E46A1">
        <w:t xml:space="preserve">-radiographic axial </w:t>
      </w:r>
      <w:proofErr w:type="spellStart"/>
      <w:r w:rsidRPr="009E46A1">
        <w:t>spondyloarthritis</w:t>
      </w:r>
      <w:proofErr w:type="spellEnd"/>
      <w:r w:rsidRPr="009E46A1">
        <w:t xml:space="preserve"> in relation to symptom duration in patients referred because of chronic back pain: results from the Berlin early </w:t>
      </w:r>
      <w:proofErr w:type="spellStart"/>
      <w:r w:rsidRPr="009E46A1">
        <w:t>spondyloarthritis</w:t>
      </w:r>
      <w:proofErr w:type="spellEnd"/>
      <w:r w:rsidRPr="009E46A1">
        <w:t xml:space="preserve"> clinic. Ann Rheum Dis 2012</w:t>
      </w:r>
      <w:proofErr w:type="gramStart"/>
      <w:r w:rsidRPr="009E46A1">
        <w:t>;71:1998</w:t>
      </w:r>
      <w:proofErr w:type="gramEnd"/>
      <w:r w:rsidRPr="009E46A1">
        <w:t>-2001.</w:t>
      </w:r>
    </w:p>
  </w:footnote>
  <w:footnote w:id="23">
    <w:p w:rsidR="00D97091" w:rsidRPr="00F53029" w:rsidRDefault="00D97091" w:rsidP="00AC73ED">
      <w:pPr>
        <w:pStyle w:val="FootnoteText"/>
        <w:rPr>
          <w:lang w:val="de-DE"/>
        </w:rPr>
      </w:pPr>
      <w:r>
        <w:rPr>
          <w:rStyle w:val="FootnoteReference"/>
        </w:rPr>
        <w:footnoteRef/>
      </w:r>
      <w:r w:rsidRPr="009E46A1">
        <w:t xml:space="preserve">Bennett AN, </w:t>
      </w:r>
      <w:proofErr w:type="spellStart"/>
      <w:r w:rsidRPr="009E46A1">
        <w:t>McGonagle</w:t>
      </w:r>
      <w:proofErr w:type="spellEnd"/>
      <w:r w:rsidRPr="009E46A1">
        <w:t xml:space="preserve"> D, O'Connor P, et al. Severity of </w:t>
      </w:r>
      <w:r w:rsidRPr="00AC73ED">
        <w:t>baseline</w:t>
      </w:r>
      <w:r w:rsidRPr="009E46A1">
        <w:t xml:space="preserve"> magnetic resonance imaging-evident </w:t>
      </w:r>
      <w:proofErr w:type="spellStart"/>
      <w:r w:rsidRPr="009E46A1">
        <w:t>sacroiliitis</w:t>
      </w:r>
      <w:proofErr w:type="spellEnd"/>
      <w:r w:rsidRPr="009E46A1">
        <w:t xml:space="preserve"> and HLA-B27 status in early inflammatory back pain predict </w:t>
      </w:r>
      <w:proofErr w:type="spellStart"/>
      <w:r w:rsidRPr="009E46A1">
        <w:t>radiographically</w:t>
      </w:r>
      <w:proofErr w:type="spellEnd"/>
      <w:r w:rsidRPr="009E46A1">
        <w:t xml:space="preserve"> evident </w:t>
      </w:r>
      <w:proofErr w:type="spellStart"/>
      <w:r w:rsidRPr="009E46A1">
        <w:t>ankylosing</w:t>
      </w:r>
      <w:proofErr w:type="spellEnd"/>
      <w:r w:rsidRPr="009E46A1">
        <w:t xml:space="preserve"> spondylitis at eight years. </w:t>
      </w:r>
      <w:r w:rsidRPr="00AB70F4">
        <w:rPr>
          <w:lang w:val="de-DE"/>
        </w:rPr>
        <w:t>Arthritis Rheum 2008;58:3413-8.</w:t>
      </w:r>
    </w:p>
  </w:footnote>
  <w:footnote w:id="24">
    <w:p w:rsidR="00D97091" w:rsidRDefault="00D97091" w:rsidP="00AC73ED">
      <w:pPr>
        <w:pStyle w:val="FootnoteText"/>
      </w:pPr>
      <w:r>
        <w:rPr>
          <w:rStyle w:val="FootnoteReference"/>
        </w:rPr>
        <w:footnoteRef/>
      </w:r>
      <w:r w:rsidRPr="00AB70F4">
        <w:rPr>
          <w:lang w:val="de-DE"/>
        </w:rPr>
        <w:t xml:space="preserve"> </w:t>
      </w:r>
      <w:r w:rsidRPr="00AB70F4">
        <w:rPr>
          <w:lang w:val="de-DE"/>
        </w:rPr>
        <w:t xml:space="preserve">Kiltz U, Baraliakos X, Karakostas P, et al. </w:t>
      </w:r>
      <w:r w:rsidRPr="00791AC0">
        <w:t xml:space="preserve">Do patients with non-radiographic axial </w:t>
      </w:r>
      <w:proofErr w:type="spellStart"/>
      <w:r w:rsidRPr="00791AC0">
        <w:t>spondylarthritis</w:t>
      </w:r>
      <w:proofErr w:type="spellEnd"/>
      <w:r w:rsidRPr="00791AC0">
        <w:t xml:space="preserve"> differ from patients with ankylosing spondylitis? Arthritis Care Res (Hoboken) 2012</w:t>
      </w:r>
      <w:proofErr w:type="gramStart"/>
      <w:r w:rsidRPr="00791AC0">
        <w:t>;64:1415</w:t>
      </w:r>
      <w:proofErr w:type="gramEnd"/>
      <w:r w:rsidRPr="00791AC0">
        <w:t>-22.</w:t>
      </w:r>
    </w:p>
  </w:footnote>
  <w:footnote w:id="25">
    <w:p w:rsidR="00D97091" w:rsidRPr="00F53029" w:rsidRDefault="00D97091" w:rsidP="00AC73ED">
      <w:pPr>
        <w:pStyle w:val="FootnoteText"/>
        <w:rPr>
          <w:lang w:val="de-DE"/>
        </w:rPr>
      </w:pPr>
      <w:r>
        <w:rPr>
          <w:rStyle w:val="FootnoteReference"/>
        </w:rPr>
        <w:footnoteRef/>
      </w:r>
      <w:r>
        <w:t xml:space="preserve"> </w:t>
      </w:r>
      <w:proofErr w:type="spellStart"/>
      <w:r w:rsidRPr="00791AC0">
        <w:t>Haibel</w:t>
      </w:r>
      <w:proofErr w:type="spellEnd"/>
      <w:r w:rsidRPr="00791AC0">
        <w:t xml:space="preserve"> H, </w:t>
      </w:r>
      <w:proofErr w:type="spellStart"/>
      <w:r w:rsidRPr="00791AC0">
        <w:t>Rudwaleit</w:t>
      </w:r>
      <w:proofErr w:type="spellEnd"/>
      <w:r w:rsidRPr="00791AC0">
        <w:t xml:space="preserve"> M, Listing J, et al. Efficacy of adalimumab in the treatment of axial </w:t>
      </w:r>
      <w:proofErr w:type="spellStart"/>
      <w:r w:rsidRPr="00791AC0">
        <w:t>spondylarthritis</w:t>
      </w:r>
      <w:proofErr w:type="spellEnd"/>
      <w:r w:rsidRPr="00791AC0">
        <w:t xml:space="preserve"> without </w:t>
      </w:r>
      <w:proofErr w:type="spellStart"/>
      <w:r w:rsidRPr="00791AC0">
        <w:t>radiographically</w:t>
      </w:r>
      <w:proofErr w:type="spellEnd"/>
      <w:r w:rsidRPr="00791AC0">
        <w:t xml:space="preserve"> defined </w:t>
      </w:r>
      <w:proofErr w:type="spellStart"/>
      <w:r w:rsidRPr="00791AC0">
        <w:t>sacroiliitis</w:t>
      </w:r>
      <w:proofErr w:type="spellEnd"/>
      <w:r w:rsidRPr="00791AC0">
        <w:t xml:space="preserve">: results of a twelve-week randomized, double-blind, placebo-controlled trial followed by an open-label extension up to week fifty-two. </w:t>
      </w:r>
      <w:r w:rsidRPr="00AB70F4">
        <w:rPr>
          <w:lang w:val="de-DE"/>
        </w:rPr>
        <w:t>Arthritis Rheum 2008;58:1981-91.</w:t>
      </w:r>
    </w:p>
  </w:footnote>
  <w:footnote w:id="26">
    <w:p w:rsidR="00D97091" w:rsidRPr="00F53029" w:rsidRDefault="00D97091" w:rsidP="00AC73ED">
      <w:pPr>
        <w:pStyle w:val="FootnoteText"/>
        <w:rPr>
          <w:lang w:val="de-DE"/>
        </w:rPr>
      </w:pPr>
      <w:r>
        <w:rPr>
          <w:rStyle w:val="FootnoteReference"/>
        </w:rPr>
        <w:footnoteRef/>
      </w:r>
      <w:r w:rsidRPr="00AB70F4">
        <w:rPr>
          <w:lang w:val="de-DE"/>
        </w:rPr>
        <w:t xml:space="preserve">Sieper J, van der Heijde D, Dougados M, et al. </w:t>
      </w:r>
      <w:r w:rsidRPr="00791AC0">
        <w:t xml:space="preserve">Efficacy and </w:t>
      </w:r>
      <w:r w:rsidRPr="00AC73ED">
        <w:t>safety</w:t>
      </w:r>
      <w:r w:rsidRPr="00791AC0">
        <w:t xml:space="preserve"> of adalimumab in patients with non-radiographic axial </w:t>
      </w:r>
      <w:proofErr w:type="spellStart"/>
      <w:r w:rsidRPr="00791AC0">
        <w:t>spondyloarthritis</w:t>
      </w:r>
      <w:proofErr w:type="spellEnd"/>
      <w:r w:rsidRPr="00791AC0">
        <w:t>: results of a randomised placebo-controlled trial (ABILITY-1)</w:t>
      </w:r>
      <w:r>
        <w:t xml:space="preserve">. </w:t>
      </w:r>
      <w:r w:rsidRPr="00AB70F4">
        <w:rPr>
          <w:lang w:val="de-DE"/>
        </w:rPr>
        <w:t>Ann Rheum Dis 2013;72:815-22.</w:t>
      </w:r>
    </w:p>
  </w:footnote>
  <w:footnote w:id="27">
    <w:p w:rsidR="00D97091" w:rsidRDefault="00D97091" w:rsidP="00AC73ED">
      <w:pPr>
        <w:pStyle w:val="FootnoteText"/>
      </w:pPr>
      <w:r>
        <w:rPr>
          <w:rStyle w:val="FootnoteReference"/>
        </w:rPr>
        <w:footnoteRef/>
      </w:r>
      <w:r w:rsidRPr="00AB70F4">
        <w:rPr>
          <w:lang w:val="de-DE"/>
        </w:rPr>
        <w:t xml:space="preserve"> </w:t>
      </w:r>
      <w:r w:rsidRPr="00AB70F4">
        <w:rPr>
          <w:lang w:val="de-DE"/>
        </w:rPr>
        <w:t xml:space="preserve">Landewé R, Rudwaleit M, van der Heijde D, et al. </w:t>
      </w:r>
      <w:r w:rsidRPr="00791AC0">
        <w:t xml:space="preserve">Effect of </w:t>
      </w:r>
      <w:proofErr w:type="spellStart"/>
      <w:r w:rsidRPr="00AC73ED">
        <w:t>Certolizumab</w:t>
      </w:r>
      <w:proofErr w:type="spellEnd"/>
      <w:r w:rsidRPr="00791AC0">
        <w:t xml:space="preserve"> </w:t>
      </w:r>
      <w:proofErr w:type="spellStart"/>
      <w:r w:rsidRPr="00791AC0">
        <w:t>Pegol</w:t>
      </w:r>
      <w:proofErr w:type="spellEnd"/>
      <w:r w:rsidRPr="00791AC0">
        <w:t xml:space="preserve"> on Signs And Symptoms of Ankylosing Spondylitis and Non-Radiographic Axial </w:t>
      </w:r>
      <w:proofErr w:type="spellStart"/>
      <w:r w:rsidRPr="00791AC0">
        <w:t>Spondyloarthritis</w:t>
      </w:r>
      <w:proofErr w:type="spellEnd"/>
      <w:r w:rsidRPr="00791AC0">
        <w:t xml:space="preserve">: 24 Week Results of a Double-Blind Randomized Placebo-Controlled Phase 3 Axial </w:t>
      </w:r>
      <w:proofErr w:type="spellStart"/>
      <w:r w:rsidRPr="00791AC0">
        <w:t>Spondyloarthritis</w:t>
      </w:r>
      <w:proofErr w:type="spellEnd"/>
      <w:r w:rsidRPr="00791AC0">
        <w:t xml:space="preserve"> Study. </w:t>
      </w:r>
      <w:proofErr w:type="gramStart"/>
      <w:r w:rsidRPr="00791AC0">
        <w:t>Arthritis Rheum.</w:t>
      </w:r>
      <w:proofErr w:type="gramEnd"/>
      <w:r w:rsidRPr="00791AC0">
        <w:t xml:space="preserve"> 2012</w:t>
      </w:r>
      <w:proofErr w:type="gramStart"/>
      <w:r w:rsidRPr="00791AC0">
        <w:t>;64:S336</w:t>
      </w:r>
      <w:proofErr w:type="gramEnd"/>
      <w:r w:rsidRPr="00791AC0">
        <w:t>.</w:t>
      </w:r>
    </w:p>
  </w:footnote>
  <w:footnote w:id="28">
    <w:p w:rsidR="00D97091" w:rsidRPr="00F53029" w:rsidRDefault="00D97091" w:rsidP="00AC73ED">
      <w:pPr>
        <w:pStyle w:val="FootnoteText"/>
        <w:rPr>
          <w:lang w:val="de-DE"/>
        </w:rPr>
      </w:pPr>
      <w:r>
        <w:rPr>
          <w:rStyle w:val="FootnoteReference"/>
        </w:rPr>
        <w:footnoteRef/>
      </w:r>
      <w:proofErr w:type="spellStart"/>
      <w:r w:rsidRPr="00791AC0">
        <w:t>Sieper</w:t>
      </w:r>
      <w:proofErr w:type="spellEnd"/>
      <w:r w:rsidRPr="00791AC0">
        <w:t xml:space="preserve"> J, </w:t>
      </w:r>
      <w:proofErr w:type="spellStart"/>
      <w:r w:rsidRPr="00791AC0">
        <w:t>Rudwaleit</w:t>
      </w:r>
      <w:proofErr w:type="spellEnd"/>
      <w:r w:rsidRPr="00791AC0">
        <w:t xml:space="preserve"> M, </w:t>
      </w:r>
      <w:proofErr w:type="spellStart"/>
      <w:r w:rsidRPr="00791AC0">
        <w:t>Baraliakos</w:t>
      </w:r>
      <w:proofErr w:type="spellEnd"/>
      <w:r w:rsidRPr="00791AC0">
        <w:t xml:space="preserve"> X, et al. The Assessment of </w:t>
      </w:r>
      <w:proofErr w:type="spellStart"/>
      <w:r w:rsidRPr="00AC73ED">
        <w:t>SpondyloArthritis</w:t>
      </w:r>
      <w:proofErr w:type="spellEnd"/>
      <w:r w:rsidRPr="00791AC0">
        <w:t xml:space="preserve"> international Society (ASAS) handbook: a guide to assess </w:t>
      </w:r>
      <w:proofErr w:type="spellStart"/>
      <w:r w:rsidRPr="00791AC0">
        <w:t>spondyloarthritis</w:t>
      </w:r>
      <w:proofErr w:type="spellEnd"/>
      <w:r w:rsidRPr="00791AC0">
        <w:t xml:space="preserve">. </w:t>
      </w:r>
      <w:r w:rsidRPr="00AB70F4">
        <w:rPr>
          <w:lang w:val="de-DE"/>
        </w:rPr>
        <w:t>Ann Rheum Dis 2009;68 Suppl 2:ii1-44.</w:t>
      </w:r>
    </w:p>
  </w:footnote>
  <w:footnote w:id="29">
    <w:p w:rsidR="00D97091" w:rsidRDefault="00D97091" w:rsidP="00AC73ED">
      <w:pPr>
        <w:pStyle w:val="FootnoteText"/>
      </w:pPr>
      <w:r>
        <w:rPr>
          <w:rStyle w:val="FootnoteReference"/>
        </w:rPr>
        <w:footnoteRef/>
      </w:r>
      <w:r w:rsidRPr="00AB70F4">
        <w:rPr>
          <w:lang w:val="de-DE"/>
        </w:rPr>
        <w:t xml:space="preserve">Boonen A, van der Linden SM. </w:t>
      </w:r>
      <w:proofErr w:type="gramStart"/>
      <w:r w:rsidRPr="00791AC0">
        <w:t xml:space="preserve">The burden of </w:t>
      </w:r>
      <w:proofErr w:type="spellStart"/>
      <w:r w:rsidRPr="00791AC0">
        <w:t>ankylosing</w:t>
      </w:r>
      <w:proofErr w:type="spellEnd"/>
      <w:r w:rsidRPr="00791AC0">
        <w:t xml:space="preserve"> </w:t>
      </w:r>
      <w:r w:rsidRPr="00AC73ED">
        <w:t>spondylitis</w:t>
      </w:r>
      <w:r w:rsidRPr="00791AC0">
        <w:t>.</w:t>
      </w:r>
      <w:proofErr w:type="gramEnd"/>
      <w:r w:rsidRPr="00791AC0">
        <w:t xml:space="preserve"> </w:t>
      </w:r>
      <w:r>
        <w:t xml:space="preserve">J </w:t>
      </w:r>
      <w:proofErr w:type="spellStart"/>
      <w:r>
        <w:t>Rheumatol</w:t>
      </w:r>
      <w:proofErr w:type="spellEnd"/>
      <w:r>
        <w:t xml:space="preserve"> </w:t>
      </w:r>
      <w:proofErr w:type="spellStart"/>
      <w:r>
        <w:t>Suppl</w:t>
      </w:r>
      <w:proofErr w:type="spellEnd"/>
      <w:r>
        <w:t xml:space="preserve"> 2006</w:t>
      </w:r>
      <w:proofErr w:type="gramStart"/>
      <w:r>
        <w:t>;78:4</w:t>
      </w:r>
      <w:proofErr w:type="gramEnd"/>
      <w:r>
        <w:t>-11.</w:t>
      </w:r>
    </w:p>
  </w:footnote>
  <w:footnote w:id="30">
    <w:p w:rsidR="00D97091" w:rsidRDefault="00D97091" w:rsidP="00AC73ED">
      <w:pPr>
        <w:pStyle w:val="FootnoteText"/>
      </w:pPr>
      <w:r>
        <w:rPr>
          <w:rStyle w:val="FootnoteReference"/>
        </w:rPr>
        <w:footnoteRef/>
      </w:r>
      <w:r w:rsidRPr="00791AC0">
        <w:t xml:space="preserve"> Ward MM. Health-related quality of life in </w:t>
      </w:r>
      <w:proofErr w:type="spellStart"/>
      <w:r w:rsidRPr="00791AC0">
        <w:t>ankylosing</w:t>
      </w:r>
      <w:proofErr w:type="spellEnd"/>
      <w:r w:rsidRPr="00791AC0">
        <w:t xml:space="preserve"> </w:t>
      </w:r>
      <w:r w:rsidRPr="00AC73ED">
        <w:t>spondylitis</w:t>
      </w:r>
      <w:r w:rsidRPr="00791AC0">
        <w:t>: a survey of 175 patients. Arthritis Care Res 1999</w:t>
      </w:r>
      <w:proofErr w:type="gramStart"/>
      <w:r w:rsidRPr="00791AC0">
        <w:t>;12:247</w:t>
      </w:r>
      <w:proofErr w:type="gramEnd"/>
      <w:r w:rsidRPr="00791AC0">
        <w:t>-55.</w:t>
      </w:r>
    </w:p>
  </w:footnote>
  <w:footnote w:id="31">
    <w:p w:rsidR="00D97091" w:rsidRDefault="00D97091" w:rsidP="00AC73ED">
      <w:pPr>
        <w:pStyle w:val="FootnoteText"/>
      </w:pPr>
      <w:r>
        <w:rPr>
          <w:rStyle w:val="FootnoteReference"/>
        </w:rPr>
        <w:footnoteRef/>
      </w:r>
      <w:r w:rsidRPr="00791AC0">
        <w:t xml:space="preserve"> Da Costa D, </w:t>
      </w:r>
      <w:proofErr w:type="spellStart"/>
      <w:r w:rsidRPr="00791AC0">
        <w:t>Dritsa</w:t>
      </w:r>
      <w:proofErr w:type="spellEnd"/>
      <w:r w:rsidRPr="00791AC0">
        <w:t xml:space="preserve"> M, Ring A, et al. Mental health status and leisure-time physical activity contribute to fatigue intensity in patients with </w:t>
      </w:r>
      <w:proofErr w:type="spellStart"/>
      <w:r w:rsidRPr="00AC73ED">
        <w:t>spondylarthropathy</w:t>
      </w:r>
      <w:r w:rsidRPr="00791AC0">
        <w:t>.Arthritis</w:t>
      </w:r>
      <w:proofErr w:type="spellEnd"/>
      <w:r>
        <w:t xml:space="preserve"> </w:t>
      </w:r>
      <w:r w:rsidRPr="00791AC0">
        <w:t>Rheum 2004;51:1004-8.</w:t>
      </w:r>
    </w:p>
  </w:footnote>
  <w:footnote w:id="32">
    <w:p w:rsidR="00D97091" w:rsidRPr="00F53029" w:rsidRDefault="00D97091" w:rsidP="00AC73ED">
      <w:pPr>
        <w:pStyle w:val="FootnoteText"/>
        <w:rPr>
          <w:lang w:val="de-DE"/>
        </w:rPr>
      </w:pPr>
      <w:r>
        <w:rPr>
          <w:rStyle w:val="FootnoteReference"/>
        </w:rPr>
        <w:footnoteRef/>
      </w:r>
      <w:r w:rsidRPr="00AB70F4">
        <w:rPr>
          <w:lang w:val="de-DE"/>
        </w:rPr>
        <w:t xml:space="preserve">Boonen A, van der Heijde D, Landewe R, et al. </w:t>
      </w:r>
      <w:r w:rsidRPr="00791AC0">
        <w:t xml:space="preserve">Work status and productivity costs due to ankylosing spondylitis: comparison of three European countries. </w:t>
      </w:r>
      <w:r w:rsidRPr="00AB70F4">
        <w:rPr>
          <w:lang w:val="de-DE"/>
        </w:rPr>
        <w:t>Ann Rheum Dis 2002;61:429- 37.</w:t>
      </w:r>
    </w:p>
  </w:footnote>
  <w:footnote w:id="33">
    <w:p w:rsidR="00D97091" w:rsidRDefault="00D97091" w:rsidP="00AC73ED">
      <w:pPr>
        <w:pStyle w:val="FootnoteText"/>
      </w:pPr>
      <w:r>
        <w:rPr>
          <w:rStyle w:val="FootnoteReference"/>
        </w:rPr>
        <w:footnoteRef/>
      </w:r>
      <w:r w:rsidRPr="00AB70F4">
        <w:rPr>
          <w:lang w:val="de-DE"/>
        </w:rPr>
        <w:t xml:space="preserve">Boonen A, van der Heijde D, Landewe R, et al. </w:t>
      </w:r>
      <w:r w:rsidRPr="00791AC0">
        <w:t>Direct costs of ankylosing spondylitis and its determinants: an analysis among three European countries</w:t>
      </w:r>
      <w:r>
        <w:t>. Ann Rheum Dis 2003</w:t>
      </w:r>
      <w:proofErr w:type="gramStart"/>
      <w:r>
        <w:t>;62:732</w:t>
      </w:r>
      <w:proofErr w:type="gramEnd"/>
      <w:r>
        <w:t>-40.</w:t>
      </w:r>
    </w:p>
  </w:footnote>
  <w:footnote w:id="34">
    <w:p w:rsidR="00D97091" w:rsidRDefault="00D97091" w:rsidP="00AC73ED">
      <w:pPr>
        <w:pStyle w:val="FootnoteText"/>
      </w:pPr>
      <w:r>
        <w:rPr>
          <w:rStyle w:val="FootnoteReference"/>
        </w:rPr>
        <w:footnoteRef/>
      </w:r>
      <w:proofErr w:type="spellStart"/>
      <w:r w:rsidRPr="00791AC0">
        <w:t>Kobelt</w:t>
      </w:r>
      <w:proofErr w:type="spellEnd"/>
      <w:r w:rsidRPr="00791AC0">
        <w:t xml:space="preserve"> G, </w:t>
      </w:r>
      <w:proofErr w:type="spellStart"/>
      <w:r w:rsidRPr="00791AC0">
        <w:t>Andlin-Sobocki</w:t>
      </w:r>
      <w:proofErr w:type="spellEnd"/>
      <w:r w:rsidRPr="00791AC0">
        <w:t xml:space="preserve"> P, </w:t>
      </w:r>
      <w:proofErr w:type="spellStart"/>
      <w:r w:rsidRPr="00791AC0">
        <w:t>Brophy</w:t>
      </w:r>
      <w:proofErr w:type="spellEnd"/>
      <w:r w:rsidRPr="00791AC0">
        <w:t xml:space="preserve"> S, et al. </w:t>
      </w:r>
      <w:proofErr w:type="gramStart"/>
      <w:r w:rsidRPr="00791AC0">
        <w:t>The burden of ankylosing spondylitis and the cost-effectiveness of treatment with infliximab (</w:t>
      </w:r>
      <w:proofErr w:type="spellStart"/>
      <w:r w:rsidRPr="00791AC0">
        <w:t>Remicade</w:t>
      </w:r>
      <w:proofErr w:type="spellEnd"/>
      <w:r w:rsidRPr="00791AC0">
        <w:t>).</w:t>
      </w:r>
      <w:proofErr w:type="gramEnd"/>
      <w:r w:rsidRPr="00791AC0">
        <w:t xml:space="preserve"> </w:t>
      </w:r>
      <w:r w:rsidRPr="00AC73ED">
        <w:t>Rheumatology</w:t>
      </w:r>
      <w:r w:rsidRPr="00791AC0">
        <w:t xml:space="preserve"> (Oxford) 2004</w:t>
      </w:r>
      <w:proofErr w:type="gramStart"/>
      <w:r w:rsidRPr="00791AC0">
        <w:t>;43:1158</w:t>
      </w:r>
      <w:proofErr w:type="gramEnd"/>
      <w:r w:rsidRPr="00791AC0">
        <w:t>-66.</w:t>
      </w:r>
    </w:p>
  </w:footnote>
  <w:footnote w:id="35">
    <w:p w:rsidR="00D97091" w:rsidRDefault="00D97091" w:rsidP="00AC73ED">
      <w:pPr>
        <w:pStyle w:val="FootnoteText"/>
      </w:pPr>
      <w:r>
        <w:rPr>
          <w:rStyle w:val="FootnoteReference"/>
        </w:rPr>
        <w:footnoteRef/>
      </w:r>
      <w:proofErr w:type="spellStart"/>
      <w:proofErr w:type="gramStart"/>
      <w:r w:rsidRPr="00791AC0">
        <w:t>Kobelt</w:t>
      </w:r>
      <w:proofErr w:type="spellEnd"/>
      <w:r w:rsidRPr="00791AC0">
        <w:t xml:space="preserve"> G, </w:t>
      </w:r>
      <w:proofErr w:type="spellStart"/>
      <w:r w:rsidRPr="00791AC0">
        <w:t>Andlin-Sobocki</w:t>
      </w:r>
      <w:proofErr w:type="spellEnd"/>
      <w:r w:rsidRPr="00791AC0">
        <w:t xml:space="preserve"> P, </w:t>
      </w:r>
      <w:proofErr w:type="spellStart"/>
      <w:r w:rsidRPr="00791AC0">
        <w:t>Maksymowych</w:t>
      </w:r>
      <w:proofErr w:type="spellEnd"/>
      <w:r w:rsidRPr="00791AC0">
        <w:t xml:space="preserve"> </w:t>
      </w:r>
      <w:r w:rsidRPr="00AC73ED">
        <w:t>WP</w:t>
      </w:r>
      <w:r w:rsidRPr="00791AC0">
        <w:t>.</w:t>
      </w:r>
      <w:proofErr w:type="gramEnd"/>
      <w:r w:rsidRPr="00791AC0">
        <w:t xml:space="preserve"> </w:t>
      </w:r>
      <w:proofErr w:type="gramStart"/>
      <w:r w:rsidRPr="00791AC0">
        <w:t>The cost-effectiveness of infliximab (</w:t>
      </w:r>
      <w:proofErr w:type="spellStart"/>
      <w:r w:rsidRPr="00791AC0">
        <w:t>Remicade</w:t>
      </w:r>
      <w:proofErr w:type="spellEnd"/>
      <w:r w:rsidRPr="00791AC0">
        <w:t>) in the treatment of ankylosing spondylitis in Canada.</w:t>
      </w:r>
      <w:proofErr w:type="gramEnd"/>
      <w:r w:rsidRPr="00791AC0">
        <w:t xml:space="preserve"> J </w:t>
      </w:r>
      <w:proofErr w:type="spellStart"/>
      <w:r w:rsidRPr="00791AC0">
        <w:t>Rheumatol</w:t>
      </w:r>
      <w:proofErr w:type="spellEnd"/>
      <w:r w:rsidRPr="00791AC0">
        <w:t xml:space="preserve"> 2006</w:t>
      </w:r>
      <w:proofErr w:type="gramStart"/>
      <w:r w:rsidRPr="00791AC0">
        <w:t>;33:732</w:t>
      </w:r>
      <w:proofErr w:type="gramEnd"/>
      <w:r w:rsidRPr="00791AC0">
        <w:t>-40.</w:t>
      </w:r>
    </w:p>
  </w:footnote>
  <w:footnote w:id="36">
    <w:p w:rsidR="00D97091" w:rsidRPr="00F53029" w:rsidRDefault="00D97091" w:rsidP="00AC73ED">
      <w:pPr>
        <w:pStyle w:val="FootnoteText"/>
        <w:rPr>
          <w:lang w:val="de-DE"/>
        </w:rPr>
      </w:pPr>
      <w:r>
        <w:rPr>
          <w:rStyle w:val="FootnoteReference"/>
        </w:rPr>
        <w:footnoteRef/>
      </w:r>
      <w:r>
        <w:t xml:space="preserve"> </w:t>
      </w:r>
      <w:r w:rsidRPr="008B3A5C">
        <w:t xml:space="preserve">Ward MM. Functional disability predicts </w:t>
      </w:r>
      <w:r w:rsidRPr="00AC73ED">
        <w:t>total</w:t>
      </w:r>
      <w:r w:rsidRPr="008B3A5C">
        <w:t xml:space="preserve"> costs in patients with ankylosing spondylitis. </w:t>
      </w:r>
      <w:r w:rsidRPr="00AB70F4">
        <w:rPr>
          <w:lang w:val="de-DE"/>
        </w:rPr>
        <w:t>Arthritis Rheum 2002;46:223-31.</w:t>
      </w:r>
    </w:p>
  </w:footnote>
  <w:footnote w:id="37">
    <w:p w:rsidR="00D97091" w:rsidRDefault="00D97091" w:rsidP="00AC73ED">
      <w:pPr>
        <w:pStyle w:val="FootnoteText"/>
      </w:pPr>
      <w:r>
        <w:rPr>
          <w:rStyle w:val="FootnoteReference"/>
        </w:rPr>
        <w:footnoteRef/>
      </w:r>
      <w:r w:rsidRPr="00AB70F4">
        <w:rPr>
          <w:lang w:val="de-DE"/>
        </w:rPr>
        <w:t xml:space="preserve"> </w:t>
      </w:r>
      <w:r w:rsidRPr="00AB70F4">
        <w:rPr>
          <w:lang w:val="de-DE"/>
        </w:rPr>
        <w:t xml:space="preserve">van der Heijde D, Braun J, Rudwaleit M, et al. </w:t>
      </w:r>
      <w:r w:rsidRPr="00791AC0">
        <w:t xml:space="preserve">Improvements in work and household productivity after 24 weeks of </w:t>
      </w:r>
      <w:proofErr w:type="spellStart"/>
      <w:r w:rsidRPr="00791AC0">
        <w:t>certolizumab</w:t>
      </w:r>
      <w:proofErr w:type="spellEnd"/>
      <w:r w:rsidRPr="00791AC0">
        <w:t xml:space="preserve"> </w:t>
      </w:r>
      <w:proofErr w:type="spellStart"/>
      <w:r w:rsidRPr="00791AC0">
        <w:t>pegol</w:t>
      </w:r>
      <w:proofErr w:type="spellEnd"/>
      <w:r w:rsidRPr="00791AC0">
        <w:t xml:space="preserve"> in treatment of axial </w:t>
      </w:r>
      <w:proofErr w:type="spellStart"/>
      <w:r w:rsidRPr="00791AC0">
        <w:t>spondyloarthritis</w:t>
      </w:r>
      <w:proofErr w:type="spellEnd"/>
      <w:r w:rsidRPr="00791AC0">
        <w:t xml:space="preserve"> patients, including patients with ankylosing spondylitis: results of RAPID-</w:t>
      </w:r>
      <w:proofErr w:type="spellStart"/>
      <w:r w:rsidRPr="00791AC0">
        <w:t>axSpA</w:t>
      </w:r>
      <w:proofErr w:type="spellEnd"/>
      <w:r w:rsidRPr="00791AC0">
        <w:t xml:space="preserve"> study. </w:t>
      </w:r>
      <w:proofErr w:type="gramStart"/>
      <w:r w:rsidRPr="00791AC0">
        <w:t>Abstract #OP0107.</w:t>
      </w:r>
      <w:proofErr w:type="gramEnd"/>
      <w:r w:rsidRPr="00791AC0">
        <w:t xml:space="preserve"> Ann Rheum Dis 2012; 72 (suppl 3): 87</w:t>
      </w:r>
    </w:p>
  </w:footnote>
  <w:footnote w:id="38">
    <w:p w:rsidR="00D97091" w:rsidRDefault="00D97091" w:rsidP="00AC73ED">
      <w:pPr>
        <w:pStyle w:val="FootnoteText"/>
      </w:pPr>
      <w:r>
        <w:rPr>
          <w:rStyle w:val="FootnoteReference"/>
        </w:rPr>
        <w:footnoteRef/>
      </w:r>
      <w:r w:rsidRPr="00791AC0">
        <w:t xml:space="preserve"> </w:t>
      </w:r>
      <w:proofErr w:type="gramStart"/>
      <w:r w:rsidRPr="00791AC0">
        <w:t>van</w:t>
      </w:r>
      <w:proofErr w:type="gramEnd"/>
      <w:r w:rsidRPr="00791AC0">
        <w:t xml:space="preserve"> der </w:t>
      </w:r>
      <w:proofErr w:type="spellStart"/>
      <w:r w:rsidRPr="00791AC0">
        <w:t>Heijde</w:t>
      </w:r>
      <w:proofErr w:type="spellEnd"/>
      <w:r w:rsidRPr="00791AC0">
        <w:t xml:space="preserve"> D, </w:t>
      </w:r>
      <w:proofErr w:type="spellStart"/>
      <w:r w:rsidRPr="00791AC0">
        <w:t>Purcaru</w:t>
      </w:r>
      <w:proofErr w:type="spellEnd"/>
      <w:r w:rsidRPr="00791AC0">
        <w:t xml:space="preserve"> O, </w:t>
      </w:r>
      <w:proofErr w:type="spellStart"/>
      <w:r w:rsidRPr="00791AC0">
        <w:t>Kavanaugh</w:t>
      </w:r>
      <w:proofErr w:type="spellEnd"/>
      <w:r w:rsidRPr="00791AC0">
        <w:t xml:space="preserve"> A. </w:t>
      </w:r>
      <w:r w:rsidRPr="00AC73ED">
        <w:t>High</w:t>
      </w:r>
      <w:r w:rsidRPr="00791AC0">
        <w:t xml:space="preserve"> economic burden of axial </w:t>
      </w:r>
      <w:proofErr w:type="spellStart"/>
      <w:r w:rsidRPr="00791AC0">
        <w:t>spondyloarthritis</w:t>
      </w:r>
      <w:proofErr w:type="spellEnd"/>
      <w:r w:rsidRPr="00791AC0">
        <w:t xml:space="preserve"> related to paid work and household productivity at baseline in the RAPID-</w:t>
      </w:r>
      <w:proofErr w:type="spellStart"/>
      <w:r w:rsidRPr="00791AC0">
        <w:t>AxSpA</w:t>
      </w:r>
      <w:proofErr w:type="spellEnd"/>
      <w:r w:rsidRPr="00791AC0">
        <w:t xml:space="preserve"> study: Differences and similarities between ankylosing spondylitis and non-radiographic axial </w:t>
      </w:r>
      <w:proofErr w:type="spellStart"/>
      <w:r w:rsidRPr="00791AC0">
        <w:t>spondyloarthritis</w:t>
      </w:r>
      <w:proofErr w:type="spellEnd"/>
      <w:r w:rsidRPr="00791AC0">
        <w:t xml:space="preserve">. </w:t>
      </w:r>
      <w:proofErr w:type="gramStart"/>
      <w:r w:rsidRPr="00791AC0">
        <w:t>Abstract #FRI0439.</w:t>
      </w:r>
      <w:proofErr w:type="gramEnd"/>
      <w:r w:rsidRPr="00791AC0">
        <w:t xml:space="preserve"> Ann Rheum Dis 2012</w:t>
      </w:r>
      <w:proofErr w:type="gramStart"/>
      <w:r w:rsidRPr="00791AC0">
        <w:t>;72</w:t>
      </w:r>
      <w:proofErr w:type="gramEnd"/>
      <w:r w:rsidRPr="00791AC0">
        <w:t xml:space="preserve"> (suppl 3):87.</w:t>
      </w:r>
    </w:p>
  </w:footnote>
  <w:footnote w:id="39">
    <w:p w:rsidR="00D97091" w:rsidRDefault="00D97091" w:rsidP="00AC73ED">
      <w:pPr>
        <w:pStyle w:val="FootnoteText"/>
      </w:pPr>
      <w:r>
        <w:rPr>
          <w:rStyle w:val="FootnoteReference"/>
        </w:rPr>
        <w:footnoteRef/>
      </w:r>
      <w:r w:rsidRPr="008B3A5C">
        <w:t xml:space="preserve"> </w:t>
      </w:r>
      <w:proofErr w:type="spellStart"/>
      <w:r w:rsidRPr="008B3A5C">
        <w:t>Maksymowych</w:t>
      </w:r>
      <w:proofErr w:type="spellEnd"/>
      <w:r w:rsidRPr="008B3A5C">
        <w:t xml:space="preserve"> WP, </w:t>
      </w:r>
      <w:proofErr w:type="spellStart"/>
      <w:r w:rsidRPr="008B3A5C">
        <w:t>Mease</w:t>
      </w:r>
      <w:proofErr w:type="spellEnd"/>
      <w:r w:rsidRPr="008B3A5C">
        <w:t xml:space="preserve"> PJ, Rao S, et al. </w:t>
      </w:r>
      <w:r w:rsidRPr="00AC73ED">
        <w:t>Effect</w:t>
      </w:r>
      <w:r w:rsidRPr="008B3A5C">
        <w:t xml:space="preserve"> of adalimumab on function, health-related quality of life, work productivity, and daily activities in patients with non-radiographic axial </w:t>
      </w:r>
      <w:proofErr w:type="spellStart"/>
      <w:r w:rsidRPr="008B3A5C">
        <w:t>spondyloarthritis</w:t>
      </w:r>
      <w:proofErr w:type="spellEnd"/>
      <w:r w:rsidRPr="008B3A5C">
        <w:t>. [</w:t>
      </w:r>
      <w:proofErr w:type="gramStart"/>
      <w:r w:rsidRPr="008B3A5C">
        <w:t>abstract</w:t>
      </w:r>
      <w:proofErr w:type="gramEnd"/>
      <w:r w:rsidRPr="008B3A5C">
        <w:t>]. Arthritis Rheum 2011</w:t>
      </w:r>
      <w:proofErr w:type="gramStart"/>
      <w:r w:rsidRPr="008B3A5C">
        <w:t>;63</w:t>
      </w:r>
      <w:proofErr w:type="gramEnd"/>
      <w:r w:rsidRPr="008B3A5C">
        <w:t xml:space="preserve"> Suppl 10:1312.</w:t>
      </w:r>
    </w:p>
  </w:footnote>
  <w:footnote w:id="40">
    <w:p w:rsidR="00D97091" w:rsidRDefault="00D97091" w:rsidP="00AC73ED">
      <w:pPr>
        <w:pStyle w:val="FootnoteText"/>
      </w:pPr>
      <w:r>
        <w:rPr>
          <w:rStyle w:val="FootnoteReference"/>
        </w:rPr>
        <w:footnoteRef/>
      </w:r>
      <w:r w:rsidRPr="008B3A5C">
        <w:t xml:space="preserve"> </w:t>
      </w:r>
      <w:proofErr w:type="spellStart"/>
      <w:r w:rsidRPr="008B3A5C">
        <w:t>Kiltz</w:t>
      </w:r>
      <w:proofErr w:type="spellEnd"/>
      <w:r w:rsidRPr="008B3A5C">
        <w:t xml:space="preserve"> U, </w:t>
      </w:r>
      <w:proofErr w:type="spellStart"/>
      <w:r w:rsidRPr="008B3A5C">
        <w:t>Baraliakos</w:t>
      </w:r>
      <w:proofErr w:type="spellEnd"/>
      <w:r w:rsidRPr="008B3A5C">
        <w:t xml:space="preserve"> X, </w:t>
      </w:r>
      <w:proofErr w:type="spellStart"/>
      <w:r w:rsidRPr="008B3A5C">
        <w:t>Karakostas</w:t>
      </w:r>
      <w:proofErr w:type="spellEnd"/>
      <w:r w:rsidRPr="008B3A5C">
        <w:t xml:space="preserve"> P, et al. The degree of spinal inflammation is similar in patients with axial </w:t>
      </w:r>
      <w:proofErr w:type="spellStart"/>
      <w:r w:rsidRPr="008B3A5C">
        <w:t>spondyloarthritis</w:t>
      </w:r>
      <w:proofErr w:type="spellEnd"/>
      <w:r w:rsidRPr="008B3A5C">
        <w:t xml:space="preserve"> who report high or low levels of disease activity: a cohort study. Ann Rheum Dis 2012</w:t>
      </w:r>
      <w:proofErr w:type="gramStart"/>
      <w:r w:rsidRPr="008B3A5C">
        <w:t>;71:1207</w:t>
      </w:r>
      <w:proofErr w:type="gramEnd"/>
      <w:r w:rsidRPr="008B3A5C">
        <w:t>-11.</w:t>
      </w:r>
    </w:p>
  </w:footnote>
  <w:footnote w:id="41">
    <w:p w:rsidR="00D97091" w:rsidRPr="00F53029" w:rsidRDefault="00D97091" w:rsidP="00AC73ED">
      <w:pPr>
        <w:pStyle w:val="FootnoteText"/>
        <w:rPr>
          <w:lang w:val="de-DE"/>
        </w:rPr>
      </w:pPr>
      <w:r>
        <w:rPr>
          <w:rStyle w:val="FootnoteReference"/>
        </w:rPr>
        <w:footnoteRef/>
      </w:r>
      <w:proofErr w:type="spellStart"/>
      <w:r w:rsidRPr="008B3A5C">
        <w:t>Sieper</w:t>
      </w:r>
      <w:proofErr w:type="spellEnd"/>
      <w:r w:rsidRPr="008B3A5C">
        <w:t xml:space="preserve"> J, </w:t>
      </w:r>
      <w:proofErr w:type="spellStart"/>
      <w:r w:rsidRPr="008B3A5C">
        <w:t>Kivitz</w:t>
      </w:r>
      <w:proofErr w:type="spellEnd"/>
      <w:r w:rsidRPr="008B3A5C">
        <w:t xml:space="preserve"> A, van </w:t>
      </w:r>
      <w:proofErr w:type="spellStart"/>
      <w:r w:rsidRPr="008B3A5C">
        <w:t>Tubergen</w:t>
      </w:r>
      <w:proofErr w:type="spellEnd"/>
      <w:r w:rsidRPr="008B3A5C">
        <w:t xml:space="preserve"> A, </w:t>
      </w:r>
      <w:proofErr w:type="gramStart"/>
      <w:r w:rsidRPr="008B3A5C">
        <w:t>et</w:t>
      </w:r>
      <w:proofErr w:type="gramEnd"/>
      <w:r w:rsidRPr="008B3A5C">
        <w:t xml:space="preserve"> al. Rapid improvements in patient-reported outcomes with </w:t>
      </w:r>
      <w:proofErr w:type="spellStart"/>
      <w:r w:rsidRPr="008B3A5C">
        <w:t>certolizumab</w:t>
      </w:r>
      <w:proofErr w:type="spellEnd"/>
      <w:r w:rsidRPr="008B3A5C">
        <w:t xml:space="preserve"> </w:t>
      </w:r>
      <w:proofErr w:type="spellStart"/>
      <w:r w:rsidRPr="008B3A5C">
        <w:t>pegol</w:t>
      </w:r>
      <w:proofErr w:type="spellEnd"/>
      <w:r w:rsidRPr="008B3A5C">
        <w:t xml:space="preserve"> in patients with axial </w:t>
      </w:r>
      <w:proofErr w:type="spellStart"/>
      <w:r w:rsidRPr="008B3A5C">
        <w:t>spondyloarthritis</w:t>
      </w:r>
      <w:proofErr w:type="spellEnd"/>
      <w:r w:rsidRPr="008B3A5C">
        <w:t xml:space="preserve">, including </w:t>
      </w:r>
      <w:proofErr w:type="spellStart"/>
      <w:r w:rsidRPr="008B3A5C">
        <w:t>ankylosing</w:t>
      </w:r>
      <w:proofErr w:type="spellEnd"/>
      <w:r w:rsidRPr="008B3A5C">
        <w:t xml:space="preserve"> spondylitis: 24-week results of RAPID-</w:t>
      </w:r>
      <w:proofErr w:type="spellStart"/>
      <w:r w:rsidRPr="008B3A5C">
        <w:t>axSpA</w:t>
      </w:r>
      <w:proofErr w:type="spellEnd"/>
      <w:r w:rsidRPr="008B3A5C">
        <w:t xml:space="preserve"> study. </w:t>
      </w:r>
      <w:r w:rsidRPr="00AB70F4">
        <w:rPr>
          <w:lang w:val="de-DE"/>
        </w:rPr>
        <w:t>THU0360 Ann Rheum Dis 2013;72:287.</w:t>
      </w:r>
    </w:p>
  </w:footnote>
  <w:footnote w:id="42">
    <w:p w:rsidR="00D97091" w:rsidRDefault="00D97091" w:rsidP="00AC73ED">
      <w:pPr>
        <w:pStyle w:val="FootnoteText"/>
      </w:pPr>
      <w:r>
        <w:rPr>
          <w:rStyle w:val="FootnoteReference"/>
        </w:rPr>
        <w:footnoteRef/>
      </w:r>
      <w:r w:rsidRPr="00AB70F4">
        <w:rPr>
          <w:lang w:val="de-DE"/>
        </w:rPr>
        <w:t xml:space="preserve">Machado P, Landewé R, Braun J, et al. </w:t>
      </w:r>
      <w:proofErr w:type="gramStart"/>
      <w:r w:rsidRPr="008B3A5C">
        <w:t xml:space="preserve">A </w:t>
      </w:r>
      <w:r w:rsidRPr="00AC73ED">
        <w:t>stratified</w:t>
      </w:r>
      <w:r w:rsidRPr="008B3A5C">
        <w:t xml:space="preserve"> model for health outcomes in ankylosing spondylitis.</w:t>
      </w:r>
      <w:proofErr w:type="gramEnd"/>
      <w:r w:rsidRPr="008B3A5C">
        <w:t xml:space="preserve"> Ann Rheum Dis 2011</w:t>
      </w:r>
      <w:proofErr w:type="gramStart"/>
      <w:r w:rsidRPr="008B3A5C">
        <w:t>;70:1758</w:t>
      </w:r>
      <w:proofErr w:type="gramEnd"/>
      <w:r w:rsidRPr="008B3A5C">
        <w:t>-64.</w:t>
      </w:r>
    </w:p>
  </w:footnote>
  <w:footnote w:id="43">
    <w:p w:rsidR="00D97091" w:rsidRPr="00F53029" w:rsidRDefault="00D97091" w:rsidP="00AC73ED">
      <w:pPr>
        <w:pStyle w:val="FootnoteText"/>
        <w:rPr>
          <w:lang w:val="de-DE"/>
        </w:rPr>
      </w:pPr>
      <w:r>
        <w:rPr>
          <w:rStyle w:val="FootnoteReference"/>
        </w:rPr>
        <w:footnoteRef/>
      </w:r>
      <w:proofErr w:type="gramStart"/>
      <w:r w:rsidRPr="008B3A5C">
        <w:t>van</w:t>
      </w:r>
      <w:proofErr w:type="gramEnd"/>
      <w:r w:rsidRPr="008B3A5C">
        <w:t xml:space="preserve"> der </w:t>
      </w:r>
      <w:proofErr w:type="spellStart"/>
      <w:r w:rsidRPr="008B3A5C">
        <w:t>Heijde</w:t>
      </w:r>
      <w:proofErr w:type="spellEnd"/>
      <w:r w:rsidRPr="008B3A5C">
        <w:t xml:space="preserve"> D, </w:t>
      </w:r>
      <w:proofErr w:type="spellStart"/>
      <w:r w:rsidRPr="008B3A5C">
        <w:t>Sieper</w:t>
      </w:r>
      <w:proofErr w:type="spellEnd"/>
      <w:r w:rsidRPr="008B3A5C">
        <w:t xml:space="preserve"> J, </w:t>
      </w:r>
      <w:proofErr w:type="spellStart"/>
      <w:r w:rsidRPr="00AC73ED">
        <w:t>Maksymowych</w:t>
      </w:r>
      <w:proofErr w:type="spellEnd"/>
      <w:r w:rsidRPr="008B3A5C">
        <w:t xml:space="preserve"> WP, et al. 2010 Update of the international ASAS recommendations for the use of anti-TNF agents in patients with axial </w:t>
      </w:r>
      <w:proofErr w:type="spellStart"/>
      <w:r w:rsidRPr="008B3A5C">
        <w:t>spondyloarthritis</w:t>
      </w:r>
      <w:proofErr w:type="spellEnd"/>
      <w:r w:rsidRPr="008B3A5C">
        <w:t xml:space="preserve">. </w:t>
      </w:r>
      <w:r w:rsidRPr="00AB70F4">
        <w:rPr>
          <w:lang w:val="de-DE"/>
        </w:rPr>
        <w:t>Ann Rheum Dis 2011;70:905-8.</w:t>
      </w:r>
    </w:p>
  </w:footnote>
  <w:footnote w:id="44">
    <w:p w:rsidR="00D97091" w:rsidRDefault="00D97091" w:rsidP="00AC73ED">
      <w:pPr>
        <w:pStyle w:val="FootnoteText"/>
      </w:pPr>
      <w:r>
        <w:rPr>
          <w:rStyle w:val="FootnoteReference"/>
        </w:rPr>
        <w:footnoteRef/>
      </w:r>
      <w:r w:rsidRPr="00AB70F4">
        <w:rPr>
          <w:lang w:val="de-DE"/>
        </w:rPr>
        <w:t xml:space="preserve"> </w:t>
      </w:r>
      <w:r w:rsidRPr="00AB70F4">
        <w:rPr>
          <w:lang w:val="de-DE"/>
        </w:rPr>
        <w:t xml:space="preserve">van der Heijde D, Braun J, </w:t>
      </w:r>
      <w:proofErr w:type="spellStart"/>
      <w:r w:rsidRPr="00AC73ED">
        <w:t>Rudwaleit</w:t>
      </w:r>
      <w:proofErr w:type="spellEnd"/>
      <w:r w:rsidRPr="00AB70F4">
        <w:rPr>
          <w:lang w:val="de-DE"/>
        </w:rPr>
        <w:t xml:space="preserve"> M, et al. </w:t>
      </w:r>
      <w:proofErr w:type="gramStart"/>
      <w:r w:rsidRPr="008B3A5C">
        <w:t xml:space="preserve">Increased Participation in Daily Activities After 24 Weeks of </w:t>
      </w:r>
      <w:proofErr w:type="spellStart"/>
      <w:r w:rsidRPr="008B3A5C">
        <w:t>Certolizumab</w:t>
      </w:r>
      <w:proofErr w:type="spellEnd"/>
      <w:r w:rsidRPr="008B3A5C">
        <w:t xml:space="preserve"> </w:t>
      </w:r>
      <w:proofErr w:type="spellStart"/>
      <w:r w:rsidRPr="008B3A5C">
        <w:t>Pegol</w:t>
      </w:r>
      <w:proofErr w:type="spellEnd"/>
      <w:r w:rsidRPr="008B3A5C">
        <w:t xml:space="preserve"> Treatment of Axial </w:t>
      </w:r>
      <w:proofErr w:type="spellStart"/>
      <w:r w:rsidRPr="008B3A5C">
        <w:t>Spondyloarthritis</w:t>
      </w:r>
      <w:proofErr w:type="spellEnd"/>
      <w:r w:rsidRPr="008B3A5C">
        <w:t xml:space="preserve"> Patients, Including Patients with Ankylosing Spondylitis: Results of a Phase 3 Double-Blind Randomized Placebo- Controlled Study.</w:t>
      </w:r>
      <w:proofErr w:type="gramEnd"/>
      <w:r w:rsidRPr="008B3A5C">
        <w:t xml:space="preserve"> Arthritis Rh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091" w:rsidRDefault="00D97091"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091" w:rsidRDefault="00D97091">
    <w:pPr>
      <w:rPr>
        <w:noProof/>
        <w:lang w:eastAsia="en-AU"/>
      </w:rPr>
    </w:pPr>
    <w:r w:rsidRPr="00347824">
      <w:rPr>
        <w:noProof/>
        <w:lang w:eastAsia="en-AU"/>
      </w:rPr>
      <w:drawing>
        <wp:anchor distT="0" distB="0" distL="114300" distR="114300" simplePos="0" relativeHeight="251659264" behindDoc="1" locked="0" layoutInCell="1" allowOverlap="1">
          <wp:simplePos x="0" y="0"/>
          <wp:positionH relativeFrom="column">
            <wp:posOffset>-1081709</wp:posOffset>
          </wp:positionH>
          <wp:positionV relativeFrom="paragraph">
            <wp:posOffset>-585470</wp:posOffset>
          </wp:positionV>
          <wp:extent cx="7572375" cy="10706100"/>
          <wp:effectExtent l="0" t="0" r="0" b="0"/>
          <wp:wrapNone/>
          <wp:docPr id="4"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72375" cy="10706100"/>
                  </a:xfrm>
                  <a:prstGeom prst="rect">
                    <a:avLst/>
                  </a:prstGeom>
                </pic:spPr>
              </pic:pic>
            </a:graphicData>
          </a:graphic>
        </wp:anchor>
      </w:drawing>
    </w:r>
  </w:p>
  <w:p w:rsidR="00D97091" w:rsidRDefault="00D97091" w:rsidP="00593AD1">
    <w:pPr>
      <w:pStyle w:val="HeaderNoLine"/>
    </w:pPr>
    <w:r>
      <w:rPr>
        <w:noProof/>
        <w:lang w:eastAsia="en-AU"/>
      </w:rPr>
      <w:drawing>
        <wp:inline distT="0" distB="0" distL="0" distR="0">
          <wp:extent cx="5400675" cy="7639050"/>
          <wp:effectExtent l="0" t="0" r="9525" b="0"/>
          <wp:docPr id="1" name="Picture 1"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091" w:rsidRDefault="00D970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091" w:rsidRDefault="00D97091">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091" w:rsidRDefault="00D97091">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091" w:rsidRDefault="00D9709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091" w:rsidRDefault="00D97091"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091" w:rsidRDefault="00D97091" w:rsidP="006E08B3">
    <w:r>
      <w:t>Therapeutic Goods Administration</w:t>
    </w:r>
  </w:p>
  <w:p w:rsidR="00D97091" w:rsidRDefault="00D97091"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EC7B78"/>
    <w:lvl w:ilvl="0">
      <w:start w:val="1"/>
      <w:numFmt w:val="decimal"/>
      <w:lvlText w:val="%1."/>
      <w:lvlJc w:val="left"/>
      <w:pPr>
        <w:tabs>
          <w:tab w:val="num" w:pos="1492"/>
        </w:tabs>
        <w:ind w:left="1492" w:hanging="360"/>
      </w:pPr>
    </w:lvl>
  </w:abstractNum>
  <w:abstractNum w:abstractNumId="1">
    <w:nsid w:val="FFFFFF7D"/>
    <w:multiLevelType w:val="singleLevel"/>
    <w:tmpl w:val="4D9EFDEC"/>
    <w:lvl w:ilvl="0">
      <w:start w:val="1"/>
      <w:numFmt w:val="decimal"/>
      <w:lvlText w:val="%1."/>
      <w:lvlJc w:val="left"/>
      <w:pPr>
        <w:tabs>
          <w:tab w:val="num" w:pos="1209"/>
        </w:tabs>
        <w:ind w:left="1209" w:hanging="360"/>
      </w:pPr>
    </w:lvl>
  </w:abstractNum>
  <w:abstractNum w:abstractNumId="2">
    <w:nsid w:val="FFFFFF7E"/>
    <w:multiLevelType w:val="singleLevel"/>
    <w:tmpl w:val="57AAABB8"/>
    <w:lvl w:ilvl="0">
      <w:start w:val="1"/>
      <w:numFmt w:val="decimal"/>
      <w:lvlText w:val="%1."/>
      <w:lvlJc w:val="left"/>
      <w:pPr>
        <w:tabs>
          <w:tab w:val="num" w:pos="926"/>
        </w:tabs>
        <w:ind w:left="926" w:hanging="360"/>
      </w:pPr>
    </w:lvl>
  </w:abstractNum>
  <w:abstractNum w:abstractNumId="3">
    <w:nsid w:val="FFFFFF7F"/>
    <w:multiLevelType w:val="singleLevel"/>
    <w:tmpl w:val="2BD03554"/>
    <w:lvl w:ilvl="0">
      <w:start w:val="1"/>
      <w:numFmt w:val="decimal"/>
      <w:lvlText w:val="%1."/>
      <w:lvlJc w:val="left"/>
      <w:pPr>
        <w:tabs>
          <w:tab w:val="num" w:pos="643"/>
        </w:tabs>
        <w:ind w:left="643" w:hanging="360"/>
      </w:pPr>
    </w:lvl>
  </w:abstractNum>
  <w:abstractNum w:abstractNumId="4">
    <w:nsid w:val="FFFFFF80"/>
    <w:multiLevelType w:val="singleLevel"/>
    <w:tmpl w:val="DC52ED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02CC36"/>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47D8A338"/>
    <w:lvl w:ilvl="0">
      <w:start w:val="1"/>
      <w:numFmt w:val="decimal"/>
      <w:lvlText w:val="%1."/>
      <w:lvlJc w:val="left"/>
      <w:pPr>
        <w:tabs>
          <w:tab w:val="num" w:pos="360"/>
        </w:tabs>
        <w:ind w:left="360" w:hanging="360"/>
      </w:pPr>
    </w:lvl>
  </w:abstractNum>
  <w:abstractNum w:abstractNumId="7">
    <w:nsid w:val="10053F11"/>
    <w:multiLevelType w:val="multilevel"/>
    <w:tmpl w:val="25D0EAA4"/>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nsid w:val="42B32054"/>
    <w:multiLevelType w:val="hybridMultilevel"/>
    <w:tmpl w:val="C3401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4B9296E"/>
    <w:multiLevelType w:val="hybridMultilevel"/>
    <w:tmpl w:val="2F0E7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09A719F"/>
    <w:multiLevelType w:val="hybridMultilevel"/>
    <w:tmpl w:val="9D0EA89A"/>
    <w:lvl w:ilvl="0" w:tplc="0C09000F">
      <w:start w:val="1"/>
      <w:numFmt w:val="decimal"/>
      <w:lvlText w:val="%1."/>
      <w:lvlJc w:val="left"/>
      <w:pPr>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nsid w:val="5D670F38"/>
    <w:multiLevelType w:val="hybridMultilevel"/>
    <w:tmpl w:val="F632A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0CB25C9"/>
    <w:multiLevelType w:val="hybridMultilevel"/>
    <w:tmpl w:val="E2ECF49A"/>
    <w:lvl w:ilvl="0" w:tplc="8CB0E508">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7"/>
  </w:num>
  <w:num w:numId="3">
    <w:abstractNumId w:val="8"/>
  </w:num>
  <w:num w:numId="4">
    <w:abstractNumId w:val="7"/>
    <w:lvlOverride w:ilvl="0">
      <w:lvl w:ilvl="0">
        <w:start w:val="1"/>
        <w:numFmt w:val="decimal"/>
        <w:pStyle w:val="Numberbullet0"/>
        <w:lvlText w:val="%1."/>
        <w:lvlJc w:val="left"/>
        <w:pPr>
          <w:ind w:left="425" w:hanging="425"/>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12"/>
  </w:num>
  <w:num w:numId="6">
    <w:abstractNumId w:val="10"/>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6"/>
  </w:num>
  <w:num w:numId="14">
    <w:abstractNumId w:val="3"/>
  </w:num>
  <w:num w:numId="15">
    <w:abstractNumId w:val="2"/>
  </w:num>
  <w:num w:numId="16">
    <w:abstractNumId w:val="1"/>
  </w:num>
  <w:num w:numId="17">
    <w:abstractNumId w:val="0"/>
  </w:num>
  <w:num w:numId="1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276A76"/>
    <w:rsid w:val="00002031"/>
    <w:rsid w:val="00004734"/>
    <w:rsid w:val="00006B22"/>
    <w:rsid w:val="0001276A"/>
    <w:rsid w:val="000246AE"/>
    <w:rsid w:val="00025904"/>
    <w:rsid w:val="00025C67"/>
    <w:rsid w:val="0004797C"/>
    <w:rsid w:val="00047C46"/>
    <w:rsid w:val="0005559E"/>
    <w:rsid w:val="00077775"/>
    <w:rsid w:val="00084221"/>
    <w:rsid w:val="00090471"/>
    <w:rsid w:val="00096AA7"/>
    <w:rsid w:val="000A3AED"/>
    <w:rsid w:val="000B3532"/>
    <w:rsid w:val="000B3A75"/>
    <w:rsid w:val="000C5434"/>
    <w:rsid w:val="000C690F"/>
    <w:rsid w:val="000D1295"/>
    <w:rsid w:val="000D391B"/>
    <w:rsid w:val="000D3D6D"/>
    <w:rsid w:val="000D4FC7"/>
    <w:rsid w:val="000F4869"/>
    <w:rsid w:val="000F5B42"/>
    <w:rsid w:val="000F6E6F"/>
    <w:rsid w:val="0010601F"/>
    <w:rsid w:val="0010788A"/>
    <w:rsid w:val="00107A31"/>
    <w:rsid w:val="00110EA5"/>
    <w:rsid w:val="00112F56"/>
    <w:rsid w:val="00125318"/>
    <w:rsid w:val="001305A2"/>
    <w:rsid w:val="00133238"/>
    <w:rsid w:val="0014061E"/>
    <w:rsid w:val="0014197B"/>
    <w:rsid w:val="001447CD"/>
    <w:rsid w:val="001516B1"/>
    <w:rsid w:val="00153B40"/>
    <w:rsid w:val="00154EBB"/>
    <w:rsid w:val="00156316"/>
    <w:rsid w:val="00162D14"/>
    <w:rsid w:val="00165389"/>
    <w:rsid w:val="00171806"/>
    <w:rsid w:val="001759A9"/>
    <w:rsid w:val="0017693F"/>
    <w:rsid w:val="0018110E"/>
    <w:rsid w:val="00181684"/>
    <w:rsid w:val="00184308"/>
    <w:rsid w:val="001843C6"/>
    <w:rsid w:val="001850E0"/>
    <w:rsid w:val="001A2158"/>
    <w:rsid w:val="001A525F"/>
    <w:rsid w:val="001A661E"/>
    <w:rsid w:val="001B09F9"/>
    <w:rsid w:val="001B6448"/>
    <w:rsid w:val="001E07CF"/>
    <w:rsid w:val="001E59F1"/>
    <w:rsid w:val="001F49EB"/>
    <w:rsid w:val="001F6CBA"/>
    <w:rsid w:val="00201D4E"/>
    <w:rsid w:val="002076C9"/>
    <w:rsid w:val="00220B8A"/>
    <w:rsid w:val="002257F3"/>
    <w:rsid w:val="00233456"/>
    <w:rsid w:val="002339A5"/>
    <w:rsid w:val="00235EAB"/>
    <w:rsid w:val="00253DCD"/>
    <w:rsid w:val="00257848"/>
    <w:rsid w:val="00260B75"/>
    <w:rsid w:val="0027084A"/>
    <w:rsid w:val="00276A76"/>
    <w:rsid w:val="00280EFF"/>
    <w:rsid w:val="00286434"/>
    <w:rsid w:val="00286C59"/>
    <w:rsid w:val="00291957"/>
    <w:rsid w:val="002942D1"/>
    <w:rsid w:val="0029501A"/>
    <w:rsid w:val="002968F6"/>
    <w:rsid w:val="002A29B3"/>
    <w:rsid w:val="002B1638"/>
    <w:rsid w:val="002D4F05"/>
    <w:rsid w:val="002E1C20"/>
    <w:rsid w:val="002E4C9A"/>
    <w:rsid w:val="002F11F8"/>
    <w:rsid w:val="002F3070"/>
    <w:rsid w:val="002F3F56"/>
    <w:rsid w:val="002F44B5"/>
    <w:rsid w:val="00311AC0"/>
    <w:rsid w:val="0032583B"/>
    <w:rsid w:val="00327883"/>
    <w:rsid w:val="00335504"/>
    <w:rsid w:val="00347824"/>
    <w:rsid w:val="00350567"/>
    <w:rsid w:val="003521E8"/>
    <w:rsid w:val="003728F3"/>
    <w:rsid w:val="0037496E"/>
    <w:rsid w:val="00386150"/>
    <w:rsid w:val="00386A50"/>
    <w:rsid w:val="003874CE"/>
    <w:rsid w:val="00390900"/>
    <w:rsid w:val="003A7F6C"/>
    <w:rsid w:val="003B4C28"/>
    <w:rsid w:val="003B4D60"/>
    <w:rsid w:val="003B4D95"/>
    <w:rsid w:val="003B7E39"/>
    <w:rsid w:val="003C58DC"/>
    <w:rsid w:val="003D1E62"/>
    <w:rsid w:val="003E2486"/>
    <w:rsid w:val="003E3208"/>
    <w:rsid w:val="003F0B04"/>
    <w:rsid w:val="0040134E"/>
    <w:rsid w:val="00423590"/>
    <w:rsid w:val="004238F7"/>
    <w:rsid w:val="00440A2D"/>
    <w:rsid w:val="004564A7"/>
    <w:rsid w:val="004617BF"/>
    <w:rsid w:val="00463658"/>
    <w:rsid w:val="004722CC"/>
    <w:rsid w:val="00473CA1"/>
    <w:rsid w:val="004936E4"/>
    <w:rsid w:val="00494E60"/>
    <w:rsid w:val="00497487"/>
    <w:rsid w:val="004A247F"/>
    <w:rsid w:val="004A29A3"/>
    <w:rsid w:val="004B7B76"/>
    <w:rsid w:val="004B7C7B"/>
    <w:rsid w:val="004C239D"/>
    <w:rsid w:val="004C2DCA"/>
    <w:rsid w:val="004E6B62"/>
    <w:rsid w:val="004F0F38"/>
    <w:rsid w:val="004F108A"/>
    <w:rsid w:val="00501921"/>
    <w:rsid w:val="005154B1"/>
    <w:rsid w:val="00530354"/>
    <w:rsid w:val="00534FB7"/>
    <w:rsid w:val="0053625B"/>
    <w:rsid w:val="005434C6"/>
    <w:rsid w:val="00543B39"/>
    <w:rsid w:val="00550096"/>
    <w:rsid w:val="00557FF9"/>
    <w:rsid w:val="00576378"/>
    <w:rsid w:val="00577130"/>
    <w:rsid w:val="00577945"/>
    <w:rsid w:val="00577E38"/>
    <w:rsid w:val="00585322"/>
    <w:rsid w:val="005857C6"/>
    <w:rsid w:val="00592F6E"/>
    <w:rsid w:val="00593AD1"/>
    <w:rsid w:val="005A68B6"/>
    <w:rsid w:val="005C5570"/>
    <w:rsid w:val="005C79A4"/>
    <w:rsid w:val="005C7EA6"/>
    <w:rsid w:val="005D5442"/>
    <w:rsid w:val="00603F32"/>
    <w:rsid w:val="006231D2"/>
    <w:rsid w:val="00625A6E"/>
    <w:rsid w:val="00632398"/>
    <w:rsid w:val="00635785"/>
    <w:rsid w:val="00640FC3"/>
    <w:rsid w:val="00642020"/>
    <w:rsid w:val="006433A1"/>
    <w:rsid w:val="0065337B"/>
    <w:rsid w:val="0065419D"/>
    <w:rsid w:val="006604D8"/>
    <w:rsid w:val="00664A5B"/>
    <w:rsid w:val="0067275C"/>
    <w:rsid w:val="006763D2"/>
    <w:rsid w:val="00680C08"/>
    <w:rsid w:val="006931B1"/>
    <w:rsid w:val="006A15C0"/>
    <w:rsid w:val="006C3E2A"/>
    <w:rsid w:val="006C642F"/>
    <w:rsid w:val="006D03E5"/>
    <w:rsid w:val="006D162E"/>
    <w:rsid w:val="006D5D3E"/>
    <w:rsid w:val="006E08B3"/>
    <w:rsid w:val="006E4E5D"/>
    <w:rsid w:val="006F17AC"/>
    <w:rsid w:val="006F572E"/>
    <w:rsid w:val="007046D6"/>
    <w:rsid w:val="00705DB0"/>
    <w:rsid w:val="00722B57"/>
    <w:rsid w:val="0074253D"/>
    <w:rsid w:val="0074429B"/>
    <w:rsid w:val="00752C80"/>
    <w:rsid w:val="007615BC"/>
    <w:rsid w:val="00762F05"/>
    <w:rsid w:val="007652FF"/>
    <w:rsid w:val="00770EF1"/>
    <w:rsid w:val="00773EF7"/>
    <w:rsid w:val="00774E1D"/>
    <w:rsid w:val="0077675A"/>
    <w:rsid w:val="00780355"/>
    <w:rsid w:val="00785721"/>
    <w:rsid w:val="00791AC0"/>
    <w:rsid w:val="00793A59"/>
    <w:rsid w:val="00794BA8"/>
    <w:rsid w:val="007B1C54"/>
    <w:rsid w:val="007B2084"/>
    <w:rsid w:val="007B6E9F"/>
    <w:rsid w:val="007C1216"/>
    <w:rsid w:val="007C1AF7"/>
    <w:rsid w:val="007C467F"/>
    <w:rsid w:val="007F54EE"/>
    <w:rsid w:val="00805D27"/>
    <w:rsid w:val="00821776"/>
    <w:rsid w:val="008321F5"/>
    <w:rsid w:val="00832369"/>
    <w:rsid w:val="00834660"/>
    <w:rsid w:val="00836BC2"/>
    <w:rsid w:val="0085641B"/>
    <w:rsid w:val="00857136"/>
    <w:rsid w:val="00881B2F"/>
    <w:rsid w:val="00885B11"/>
    <w:rsid w:val="00886D15"/>
    <w:rsid w:val="00887DD8"/>
    <w:rsid w:val="00896018"/>
    <w:rsid w:val="008960DD"/>
    <w:rsid w:val="0089635C"/>
    <w:rsid w:val="008975B8"/>
    <w:rsid w:val="008A2B9D"/>
    <w:rsid w:val="008A5E0B"/>
    <w:rsid w:val="008A5EFF"/>
    <w:rsid w:val="008A6D59"/>
    <w:rsid w:val="008B3A5C"/>
    <w:rsid w:val="008B3D7A"/>
    <w:rsid w:val="008B4B03"/>
    <w:rsid w:val="008B596F"/>
    <w:rsid w:val="008C159F"/>
    <w:rsid w:val="008C1623"/>
    <w:rsid w:val="008C1850"/>
    <w:rsid w:val="008C51A9"/>
    <w:rsid w:val="008D5EAE"/>
    <w:rsid w:val="008E7846"/>
    <w:rsid w:val="008F1CCC"/>
    <w:rsid w:val="008F2967"/>
    <w:rsid w:val="008F588F"/>
    <w:rsid w:val="008F6943"/>
    <w:rsid w:val="00902A21"/>
    <w:rsid w:val="00920330"/>
    <w:rsid w:val="009219D7"/>
    <w:rsid w:val="00922D53"/>
    <w:rsid w:val="00923B70"/>
    <w:rsid w:val="00924482"/>
    <w:rsid w:val="00930237"/>
    <w:rsid w:val="00942626"/>
    <w:rsid w:val="00946EA5"/>
    <w:rsid w:val="00962E52"/>
    <w:rsid w:val="00963C08"/>
    <w:rsid w:val="00975B4E"/>
    <w:rsid w:val="0098585A"/>
    <w:rsid w:val="009A4CED"/>
    <w:rsid w:val="009A690D"/>
    <w:rsid w:val="009B1D12"/>
    <w:rsid w:val="009B416B"/>
    <w:rsid w:val="009C4BD5"/>
    <w:rsid w:val="009D7B77"/>
    <w:rsid w:val="009E0BB0"/>
    <w:rsid w:val="009E3FBB"/>
    <w:rsid w:val="009E46A1"/>
    <w:rsid w:val="00A102E4"/>
    <w:rsid w:val="00A12C42"/>
    <w:rsid w:val="00A14DF7"/>
    <w:rsid w:val="00A3246D"/>
    <w:rsid w:val="00A36FA7"/>
    <w:rsid w:val="00A4231B"/>
    <w:rsid w:val="00A475B7"/>
    <w:rsid w:val="00A47AF7"/>
    <w:rsid w:val="00A47C3E"/>
    <w:rsid w:val="00A50226"/>
    <w:rsid w:val="00A52A1A"/>
    <w:rsid w:val="00A60BAD"/>
    <w:rsid w:val="00A707A4"/>
    <w:rsid w:val="00A71EA2"/>
    <w:rsid w:val="00A84E36"/>
    <w:rsid w:val="00A964D1"/>
    <w:rsid w:val="00AA0ED0"/>
    <w:rsid w:val="00AB70F4"/>
    <w:rsid w:val="00AC2B40"/>
    <w:rsid w:val="00AC2BB2"/>
    <w:rsid w:val="00AC2C3C"/>
    <w:rsid w:val="00AC512D"/>
    <w:rsid w:val="00AC73ED"/>
    <w:rsid w:val="00AD0083"/>
    <w:rsid w:val="00AE65EB"/>
    <w:rsid w:val="00AE67A7"/>
    <w:rsid w:val="00AF1D94"/>
    <w:rsid w:val="00AF60C5"/>
    <w:rsid w:val="00B009C6"/>
    <w:rsid w:val="00B01548"/>
    <w:rsid w:val="00B21D29"/>
    <w:rsid w:val="00B2249B"/>
    <w:rsid w:val="00B25034"/>
    <w:rsid w:val="00B33588"/>
    <w:rsid w:val="00B33863"/>
    <w:rsid w:val="00B37D17"/>
    <w:rsid w:val="00B4175E"/>
    <w:rsid w:val="00B452CE"/>
    <w:rsid w:val="00B51340"/>
    <w:rsid w:val="00B54C25"/>
    <w:rsid w:val="00B76B91"/>
    <w:rsid w:val="00B77EB1"/>
    <w:rsid w:val="00B811C6"/>
    <w:rsid w:val="00B855B0"/>
    <w:rsid w:val="00B92E08"/>
    <w:rsid w:val="00BC622A"/>
    <w:rsid w:val="00BC6286"/>
    <w:rsid w:val="00BD1870"/>
    <w:rsid w:val="00BE0A78"/>
    <w:rsid w:val="00BE79F0"/>
    <w:rsid w:val="00BF046D"/>
    <w:rsid w:val="00BF1190"/>
    <w:rsid w:val="00BF1E34"/>
    <w:rsid w:val="00BF5D04"/>
    <w:rsid w:val="00C1164D"/>
    <w:rsid w:val="00C16861"/>
    <w:rsid w:val="00C22F3B"/>
    <w:rsid w:val="00C355E1"/>
    <w:rsid w:val="00C404A6"/>
    <w:rsid w:val="00C40A36"/>
    <w:rsid w:val="00C44419"/>
    <w:rsid w:val="00C45E7B"/>
    <w:rsid w:val="00C471B1"/>
    <w:rsid w:val="00C524FD"/>
    <w:rsid w:val="00C6316B"/>
    <w:rsid w:val="00C634A9"/>
    <w:rsid w:val="00C64586"/>
    <w:rsid w:val="00C70D53"/>
    <w:rsid w:val="00C73D0B"/>
    <w:rsid w:val="00C772FF"/>
    <w:rsid w:val="00C80137"/>
    <w:rsid w:val="00C801AF"/>
    <w:rsid w:val="00C80256"/>
    <w:rsid w:val="00CB0A7D"/>
    <w:rsid w:val="00CB6BC0"/>
    <w:rsid w:val="00CC1B7C"/>
    <w:rsid w:val="00CC727F"/>
    <w:rsid w:val="00CE3278"/>
    <w:rsid w:val="00CF15C3"/>
    <w:rsid w:val="00CF2B6F"/>
    <w:rsid w:val="00CF58B6"/>
    <w:rsid w:val="00D017ED"/>
    <w:rsid w:val="00D040D3"/>
    <w:rsid w:val="00D04C65"/>
    <w:rsid w:val="00D224FE"/>
    <w:rsid w:val="00D55B54"/>
    <w:rsid w:val="00D6493E"/>
    <w:rsid w:val="00D7301E"/>
    <w:rsid w:val="00D83AE1"/>
    <w:rsid w:val="00D855D4"/>
    <w:rsid w:val="00D93466"/>
    <w:rsid w:val="00D97091"/>
    <w:rsid w:val="00DA1124"/>
    <w:rsid w:val="00DB3714"/>
    <w:rsid w:val="00DB6124"/>
    <w:rsid w:val="00DB75B7"/>
    <w:rsid w:val="00DC1733"/>
    <w:rsid w:val="00DC6D8B"/>
    <w:rsid w:val="00DC6E02"/>
    <w:rsid w:val="00DE02AE"/>
    <w:rsid w:val="00DF1D7F"/>
    <w:rsid w:val="00DF2C31"/>
    <w:rsid w:val="00DF4BE4"/>
    <w:rsid w:val="00E02FB4"/>
    <w:rsid w:val="00E168AC"/>
    <w:rsid w:val="00E20571"/>
    <w:rsid w:val="00E235F7"/>
    <w:rsid w:val="00E23659"/>
    <w:rsid w:val="00E239D4"/>
    <w:rsid w:val="00E26130"/>
    <w:rsid w:val="00E40B22"/>
    <w:rsid w:val="00E45619"/>
    <w:rsid w:val="00E4588F"/>
    <w:rsid w:val="00E46DA3"/>
    <w:rsid w:val="00E51BB1"/>
    <w:rsid w:val="00E60138"/>
    <w:rsid w:val="00E624A5"/>
    <w:rsid w:val="00E72E2D"/>
    <w:rsid w:val="00E7344E"/>
    <w:rsid w:val="00E836A6"/>
    <w:rsid w:val="00EB0798"/>
    <w:rsid w:val="00EB40AD"/>
    <w:rsid w:val="00EB586E"/>
    <w:rsid w:val="00EB5FC8"/>
    <w:rsid w:val="00EC5BB9"/>
    <w:rsid w:val="00EC7A85"/>
    <w:rsid w:val="00ED3CAD"/>
    <w:rsid w:val="00ED5A41"/>
    <w:rsid w:val="00EE1DE8"/>
    <w:rsid w:val="00F033EC"/>
    <w:rsid w:val="00F04F68"/>
    <w:rsid w:val="00F10D97"/>
    <w:rsid w:val="00F12670"/>
    <w:rsid w:val="00F14B27"/>
    <w:rsid w:val="00F3148D"/>
    <w:rsid w:val="00F325C5"/>
    <w:rsid w:val="00F32FE0"/>
    <w:rsid w:val="00F35298"/>
    <w:rsid w:val="00F47333"/>
    <w:rsid w:val="00F47E37"/>
    <w:rsid w:val="00F53029"/>
    <w:rsid w:val="00F53C07"/>
    <w:rsid w:val="00F54B65"/>
    <w:rsid w:val="00F640B6"/>
    <w:rsid w:val="00F80E40"/>
    <w:rsid w:val="00F848D9"/>
    <w:rsid w:val="00F87694"/>
    <w:rsid w:val="00FA5B82"/>
    <w:rsid w:val="00FA639E"/>
    <w:rsid w:val="00FC25E4"/>
    <w:rsid w:val="00FC2823"/>
    <w:rsid w:val="00FC4EF7"/>
    <w:rsid w:val="00FE1DEE"/>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D4F05"/>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2D4F05"/>
    <w:pPr>
      <w:keepNext/>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794BA8"/>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794BA8"/>
    <w:rPr>
      <w:rFonts w:ascii="Cambria" w:eastAsia="Cambria" w:hAnsi="Cambria"/>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next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ListParagraph">
    <w:name w:val="List Paragraph"/>
    <w:basedOn w:val="Normal"/>
    <w:uiPriority w:val="34"/>
    <w:rsid w:val="00C524FD"/>
    <w:pPr>
      <w:ind w:left="720"/>
      <w:contextualSpacing/>
    </w:pPr>
  </w:style>
  <w:style w:type="paragraph" w:styleId="FootnoteText">
    <w:name w:val="footnote text"/>
    <w:basedOn w:val="Normal"/>
    <w:link w:val="FootnoteTextChar"/>
    <w:uiPriority w:val="99"/>
    <w:unhideWhenUsed/>
    <w:rsid w:val="002D4F05"/>
    <w:pPr>
      <w:spacing w:before="0" w:after="0" w:line="240" w:lineRule="auto"/>
    </w:pPr>
    <w:rPr>
      <w:sz w:val="18"/>
      <w:szCs w:val="20"/>
    </w:rPr>
  </w:style>
  <w:style w:type="character" w:customStyle="1" w:styleId="FootnoteTextChar">
    <w:name w:val="Footnote Text Char"/>
    <w:basedOn w:val="DefaultParagraphFont"/>
    <w:link w:val="FootnoteText"/>
    <w:uiPriority w:val="99"/>
    <w:rsid w:val="002D4F05"/>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DC6D8B"/>
    <w:rPr>
      <w:vertAlign w:val="superscript"/>
    </w:rPr>
  </w:style>
  <w:style w:type="character" w:styleId="CommentReference">
    <w:name w:val="annotation reference"/>
    <w:basedOn w:val="DefaultParagraphFont"/>
    <w:uiPriority w:val="99"/>
    <w:semiHidden/>
    <w:unhideWhenUsed/>
    <w:rsid w:val="002F3070"/>
    <w:rPr>
      <w:sz w:val="16"/>
      <w:szCs w:val="16"/>
    </w:rPr>
  </w:style>
  <w:style w:type="paragraph" w:styleId="CommentText">
    <w:name w:val="annotation text"/>
    <w:basedOn w:val="Normal"/>
    <w:link w:val="CommentTextChar"/>
    <w:uiPriority w:val="99"/>
    <w:semiHidden/>
    <w:unhideWhenUsed/>
    <w:rsid w:val="002F3070"/>
    <w:pPr>
      <w:spacing w:line="240" w:lineRule="auto"/>
    </w:pPr>
    <w:rPr>
      <w:sz w:val="20"/>
      <w:szCs w:val="20"/>
    </w:rPr>
  </w:style>
  <w:style w:type="character" w:customStyle="1" w:styleId="CommentTextChar">
    <w:name w:val="Comment Text Char"/>
    <w:basedOn w:val="DefaultParagraphFont"/>
    <w:link w:val="CommentText"/>
    <w:uiPriority w:val="99"/>
    <w:semiHidden/>
    <w:rsid w:val="002F3070"/>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2F3070"/>
    <w:rPr>
      <w:b/>
      <w:bCs/>
    </w:rPr>
  </w:style>
  <w:style w:type="character" w:customStyle="1" w:styleId="CommentSubjectChar">
    <w:name w:val="Comment Subject Char"/>
    <w:basedOn w:val="CommentTextChar"/>
    <w:link w:val="CommentSubject"/>
    <w:uiPriority w:val="99"/>
    <w:semiHidden/>
    <w:rsid w:val="002F3070"/>
    <w:rPr>
      <w:rFonts w:ascii="Cambria" w:eastAsia="Cambria" w:hAnsi="Cambria" w:cs="Times New Roman"/>
      <w:b/>
      <w:bCs/>
      <w:sz w:val="20"/>
      <w:szCs w:val="20"/>
    </w:rPr>
  </w:style>
  <w:style w:type="paragraph" w:styleId="DocumentMap">
    <w:name w:val="Document Map"/>
    <w:basedOn w:val="Normal"/>
    <w:link w:val="DocumentMapChar"/>
    <w:uiPriority w:val="99"/>
    <w:semiHidden/>
    <w:unhideWhenUsed/>
    <w:rsid w:val="00F53029"/>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53029"/>
    <w:rPr>
      <w:rFonts w:ascii="Tahoma" w:eastAsia="Cambria" w:hAnsi="Tahoma" w:cs="Tahoma"/>
      <w:sz w:val="16"/>
      <w:szCs w:val="16"/>
    </w:rPr>
  </w:style>
  <w:style w:type="paragraph" w:customStyle="1" w:styleId="Paragraph">
    <w:name w:val="Paragraph"/>
    <w:rsid w:val="00F53029"/>
    <w:pPr>
      <w:spacing w:after="240" w:line="360" w:lineRule="exact"/>
    </w:pPr>
    <w:rPr>
      <w:rFonts w:ascii="Times New Roman" w:eastAsia="MS Mincho" w:hAnsi="Times New Roman" w:cs="Times New Roman"/>
      <w:sz w:val="24"/>
      <w:szCs w:val="24"/>
      <w:lang w:val="en-US" w:eastAsia="ja-JP"/>
    </w:rPr>
  </w:style>
  <w:style w:type="paragraph" w:styleId="Revision">
    <w:name w:val="Revision"/>
    <w:hidden/>
    <w:uiPriority w:val="99"/>
    <w:semiHidden/>
    <w:rsid w:val="00171806"/>
    <w:pPr>
      <w:spacing w:after="0" w:line="240" w:lineRule="auto"/>
    </w:pPr>
    <w:rPr>
      <w:rFonts w:ascii="Cambria" w:eastAsia="Cambria"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70EF1"/>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EE1DE8"/>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ListParagraph">
    <w:name w:val="List Paragraph"/>
    <w:basedOn w:val="Normal"/>
    <w:uiPriority w:val="34"/>
    <w:rsid w:val="00C524FD"/>
    <w:pPr>
      <w:ind w:left="720"/>
      <w:contextualSpacing/>
    </w:pPr>
  </w:style>
  <w:style w:type="paragraph" w:styleId="FootnoteText">
    <w:name w:val="footnote text"/>
    <w:basedOn w:val="Normal"/>
    <w:link w:val="FootnoteTextChar"/>
    <w:uiPriority w:val="99"/>
    <w:semiHidden/>
    <w:unhideWhenUsed/>
    <w:rsid w:val="00DC6D8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C6D8B"/>
    <w:rPr>
      <w:rFonts w:ascii="Cambria" w:eastAsia="Cambria" w:hAnsi="Cambria" w:cs="Times New Roman"/>
      <w:sz w:val="20"/>
      <w:szCs w:val="20"/>
    </w:rPr>
  </w:style>
  <w:style w:type="character" w:styleId="FootnoteReference">
    <w:name w:val="footnote reference"/>
    <w:basedOn w:val="DefaultParagraphFont"/>
    <w:uiPriority w:val="99"/>
    <w:semiHidden/>
    <w:unhideWhenUsed/>
    <w:rsid w:val="00DC6D8B"/>
    <w:rPr>
      <w:vertAlign w:val="superscript"/>
    </w:rPr>
  </w:style>
  <w:style w:type="character" w:styleId="CommentReference">
    <w:name w:val="annotation reference"/>
    <w:basedOn w:val="DefaultParagraphFont"/>
    <w:uiPriority w:val="99"/>
    <w:semiHidden/>
    <w:unhideWhenUsed/>
    <w:rsid w:val="002F3070"/>
    <w:rPr>
      <w:sz w:val="16"/>
      <w:szCs w:val="16"/>
    </w:rPr>
  </w:style>
  <w:style w:type="paragraph" w:styleId="CommentText">
    <w:name w:val="annotation text"/>
    <w:basedOn w:val="Normal"/>
    <w:link w:val="CommentTextChar"/>
    <w:uiPriority w:val="99"/>
    <w:semiHidden/>
    <w:unhideWhenUsed/>
    <w:rsid w:val="002F3070"/>
    <w:pPr>
      <w:spacing w:line="240" w:lineRule="auto"/>
    </w:pPr>
    <w:rPr>
      <w:sz w:val="20"/>
      <w:szCs w:val="20"/>
    </w:rPr>
  </w:style>
  <w:style w:type="character" w:customStyle="1" w:styleId="CommentTextChar">
    <w:name w:val="Comment Text Char"/>
    <w:basedOn w:val="DefaultParagraphFont"/>
    <w:link w:val="CommentText"/>
    <w:uiPriority w:val="99"/>
    <w:semiHidden/>
    <w:rsid w:val="002F3070"/>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2F3070"/>
    <w:rPr>
      <w:b/>
      <w:bCs/>
    </w:rPr>
  </w:style>
  <w:style w:type="character" w:customStyle="1" w:styleId="CommentSubjectChar">
    <w:name w:val="Comment Subject Char"/>
    <w:basedOn w:val="CommentTextChar"/>
    <w:link w:val="CommentSubject"/>
    <w:uiPriority w:val="99"/>
    <w:semiHidden/>
    <w:rsid w:val="002F3070"/>
    <w:rPr>
      <w:rFonts w:ascii="Cambria" w:eastAsia="Cambria" w:hAnsi="Cambria" w:cs="Times New Roman"/>
      <w:b/>
      <w:bCs/>
      <w:sz w:val="20"/>
      <w:szCs w:val="20"/>
    </w:rPr>
  </w:style>
  <w:style w:type="paragraph" w:styleId="DocumentMap">
    <w:name w:val="Document Map"/>
    <w:basedOn w:val="Normal"/>
    <w:link w:val="DocumentMapChar"/>
    <w:uiPriority w:val="99"/>
    <w:semiHidden/>
    <w:unhideWhenUsed/>
    <w:rsid w:val="00F53029"/>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53029"/>
    <w:rPr>
      <w:rFonts w:ascii="Tahoma" w:eastAsia="Cambria" w:hAnsi="Tahoma" w:cs="Tahoma"/>
      <w:sz w:val="16"/>
      <w:szCs w:val="16"/>
    </w:rPr>
  </w:style>
  <w:style w:type="paragraph" w:customStyle="1" w:styleId="Paragraph">
    <w:name w:val="Paragraph"/>
    <w:rsid w:val="00F53029"/>
    <w:pPr>
      <w:spacing w:after="240" w:line="360" w:lineRule="exact"/>
    </w:pPr>
    <w:rPr>
      <w:rFonts w:ascii="Times New Roman" w:eastAsia="MS Mincho" w:hAnsi="Times New Roman" w:cs="Times New Roman"/>
      <w:sz w:val="24"/>
      <w:szCs w:val="24"/>
      <w:lang w:val="en-US" w:eastAsia="ja-JP"/>
    </w:rPr>
  </w:style>
  <w:style w:type="paragraph" w:styleId="Revision">
    <w:name w:val="Revision"/>
    <w:hidden/>
    <w:uiPriority w:val="99"/>
    <w:semiHidden/>
    <w:rsid w:val="00171806"/>
    <w:pPr>
      <w:spacing w:after="0" w:line="240" w:lineRule="auto"/>
    </w:pPr>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356">
      <w:bodyDiv w:val="1"/>
      <w:marLeft w:val="0"/>
      <w:marRight w:val="0"/>
      <w:marTop w:val="0"/>
      <w:marBottom w:val="0"/>
      <w:divBdr>
        <w:top w:val="none" w:sz="0" w:space="0" w:color="auto"/>
        <w:left w:val="none" w:sz="0" w:space="0" w:color="auto"/>
        <w:bottom w:val="none" w:sz="0" w:space="0" w:color="auto"/>
        <w:right w:val="none" w:sz="0" w:space="0" w:color="auto"/>
      </w:divBdr>
    </w:div>
    <w:div w:id="8340310">
      <w:bodyDiv w:val="1"/>
      <w:marLeft w:val="0"/>
      <w:marRight w:val="0"/>
      <w:marTop w:val="0"/>
      <w:marBottom w:val="0"/>
      <w:divBdr>
        <w:top w:val="none" w:sz="0" w:space="0" w:color="auto"/>
        <w:left w:val="none" w:sz="0" w:space="0" w:color="auto"/>
        <w:bottom w:val="none" w:sz="0" w:space="0" w:color="auto"/>
        <w:right w:val="none" w:sz="0" w:space="0" w:color="auto"/>
      </w:divBdr>
    </w:div>
    <w:div w:id="59716483">
      <w:bodyDiv w:val="1"/>
      <w:marLeft w:val="0"/>
      <w:marRight w:val="0"/>
      <w:marTop w:val="0"/>
      <w:marBottom w:val="0"/>
      <w:divBdr>
        <w:top w:val="none" w:sz="0" w:space="0" w:color="auto"/>
        <w:left w:val="none" w:sz="0" w:space="0" w:color="auto"/>
        <w:bottom w:val="none" w:sz="0" w:space="0" w:color="auto"/>
        <w:right w:val="none" w:sz="0" w:space="0" w:color="auto"/>
      </w:divBdr>
    </w:div>
    <w:div w:id="90007144">
      <w:bodyDiv w:val="1"/>
      <w:marLeft w:val="0"/>
      <w:marRight w:val="0"/>
      <w:marTop w:val="0"/>
      <w:marBottom w:val="0"/>
      <w:divBdr>
        <w:top w:val="none" w:sz="0" w:space="0" w:color="auto"/>
        <w:left w:val="none" w:sz="0" w:space="0" w:color="auto"/>
        <w:bottom w:val="none" w:sz="0" w:space="0" w:color="auto"/>
        <w:right w:val="none" w:sz="0" w:space="0" w:color="auto"/>
      </w:divBdr>
    </w:div>
    <w:div w:id="107815852">
      <w:bodyDiv w:val="1"/>
      <w:marLeft w:val="0"/>
      <w:marRight w:val="0"/>
      <w:marTop w:val="0"/>
      <w:marBottom w:val="0"/>
      <w:divBdr>
        <w:top w:val="none" w:sz="0" w:space="0" w:color="auto"/>
        <w:left w:val="none" w:sz="0" w:space="0" w:color="auto"/>
        <w:bottom w:val="none" w:sz="0" w:space="0" w:color="auto"/>
        <w:right w:val="none" w:sz="0" w:space="0" w:color="auto"/>
      </w:divBdr>
    </w:div>
    <w:div w:id="115878094">
      <w:bodyDiv w:val="1"/>
      <w:marLeft w:val="0"/>
      <w:marRight w:val="0"/>
      <w:marTop w:val="0"/>
      <w:marBottom w:val="0"/>
      <w:divBdr>
        <w:top w:val="none" w:sz="0" w:space="0" w:color="auto"/>
        <w:left w:val="none" w:sz="0" w:space="0" w:color="auto"/>
        <w:bottom w:val="none" w:sz="0" w:space="0" w:color="auto"/>
        <w:right w:val="none" w:sz="0" w:space="0" w:color="auto"/>
      </w:divBdr>
    </w:div>
    <w:div w:id="123888695">
      <w:bodyDiv w:val="1"/>
      <w:marLeft w:val="0"/>
      <w:marRight w:val="0"/>
      <w:marTop w:val="0"/>
      <w:marBottom w:val="0"/>
      <w:divBdr>
        <w:top w:val="none" w:sz="0" w:space="0" w:color="auto"/>
        <w:left w:val="none" w:sz="0" w:space="0" w:color="auto"/>
        <w:bottom w:val="none" w:sz="0" w:space="0" w:color="auto"/>
        <w:right w:val="none" w:sz="0" w:space="0" w:color="auto"/>
      </w:divBdr>
    </w:div>
    <w:div w:id="134954304">
      <w:bodyDiv w:val="1"/>
      <w:marLeft w:val="0"/>
      <w:marRight w:val="0"/>
      <w:marTop w:val="0"/>
      <w:marBottom w:val="0"/>
      <w:divBdr>
        <w:top w:val="none" w:sz="0" w:space="0" w:color="auto"/>
        <w:left w:val="none" w:sz="0" w:space="0" w:color="auto"/>
        <w:bottom w:val="none" w:sz="0" w:space="0" w:color="auto"/>
        <w:right w:val="none" w:sz="0" w:space="0" w:color="auto"/>
      </w:divBdr>
    </w:div>
    <w:div w:id="151147399">
      <w:bodyDiv w:val="1"/>
      <w:marLeft w:val="0"/>
      <w:marRight w:val="0"/>
      <w:marTop w:val="0"/>
      <w:marBottom w:val="0"/>
      <w:divBdr>
        <w:top w:val="none" w:sz="0" w:space="0" w:color="auto"/>
        <w:left w:val="none" w:sz="0" w:space="0" w:color="auto"/>
        <w:bottom w:val="none" w:sz="0" w:space="0" w:color="auto"/>
        <w:right w:val="none" w:sz="0" w:space="0" w:color="auto"/>
      </w:divBdr>
    </w:div>
    <w:div w:id="196740379">
      <w:bodyDiv w:val="1"/>
      <w:marLeft w:val="0"/>
      <w:marRight w:val="0"/>
      <w:marTop w:val="0"/>
      <w:marBottom w:val="0"/>
      <w:divBdr>
        <w:top w:val="none" w:sz="0" w:space="0" w:color="auto"/>
        <w:left w:val="none" w:sz="0" w:space="0" w:color="auto"/>
        <w:bottom w:val="none" w:sz="0" w:space="0" w:color="auto"/>
        <w:right w:val="none" w:sz="0" w:space="0" w:color="auto"/>
      </w:divBdr>
    </w:div>
    <w:div w:id="200287064">
      <w:bodyDiv w:val="1"/>
      <w:marLeft w:val="0"/>
      <w:marRight w:val="0"/>
      <w:marTop w:val="0"/>
      <w:marBottom w:val="0"/>
      <w:divBdr>
        <w:top w:val="none" w:sz="0" w:space="0" w:color="auto"/>
        <w:left w:val="none" w:sz="0" w:space="0" w:color="auto"/>
        <w:bottom w:val="none" w:sz="0" w:space="0" w:color="auto"/>
        <w:right w:val="none" w:sz="0" w:space="0" w:color="auto"/>
      </w:divBdr>
    </w:div>
    <w:div w:id="222760694">
      <w:bodyDiv w:val="1"/>
      <w:marLeft w:val="0"/>
      <w:marRight w:val="0"/>
      <w:marTop w:val="0"/>
      <w:marBottom w:val="0"/>
      <w:divBdr>
        <w:top w:val="none" w:sz="0" w:space="0" w:color="auto"/>
        <w:left w:val="none" w:sz="0" w:space="0" w:color="auto"/>
        <w:bottom w:val="none" w:sz="0" w:space="0" w:color="auto"/>
        <w:right w:val="none" w:sz="0" w:space="0" w:color="auto"/>
      </w:divBdr>
    </w:div>
    <w:div w:id="226916048">
      <w:bodyDiv w:val="1"/>
      <w:marLeft w:val="0"/>
      <w:marRight w:val="0"/>
      <w:marTop w:val="0"/>
      <w:marBottom w:val="0"/>
      <w:divBdr>
        <w:top w:val="none" w:sz="0" w:space="0" w:color="auto"/>
        <w:left w:val="none" w:sz="0" w:space="0" w:color="auto"/>
        <w:bottom w:val="none" w:sz="0" w:space="0" w:color="auto"/>
        <w:right w:val="none" w:sz="0" w:space="0" w:color="auto"/>
      </w:divBdr>
    </w:div>
    <w:div w:id="295180782">
      <w:bodyDiv w:val="1"/>
      <w:marLeft w:val="0"/>
      <w:marRight w:val="0"/>
      <w:marTop w:val="0"/>
      <w:marBottom w:val="0"/>
      <w:divBdr>
        <w:top w:val="none" w:sz="0" w:space="0" w:color="auto"/>
        <w:left w:val="none" w:sz="0" w:space="0" w:color="auto"/>
        <w:bottom w:val="none" w:sz="0" w:space="0" w:color="auto"/>
        <w:right w:val="none" w:sz="0" w:space="0" w:color="auto"/>
      </w:divBdr>
    </w:div>
    <w:div w:id="306668136">
      <w:bodyDiv w:val="1"/>
      <w:marLeft w:val="0"/>
      <w:marRight w:val="0"/>
      <w:marTop w:val="0"/>
      <w:marBottom w:val="0"/>
      <w:divBdr>
        <w:top w:val="none" w:sz="0" w:space="0" w:color="auto"/>
        <w:left w:val="none" w:sz="0" w:space="0" w:color="auto"/>
        <w:bottom w:val="none" w:sz="0" w:space="0" w:color="auto"/>
        <w:right w:val="none" w:sz="0" w:space="0" w:color="auto"/>
      </w:divBdr>
    </w:div>
    <w:div w:id="314070176">
      <w:bodyDiv w:val="1"/>
      <w:marLeft w:val="0"/>
      <w:marRight w:val="0"/>
      <w:marTop w:val="0"/>
      <w:marBottom w:val="0"/>
      <w:divBdr>
        <w:top w:val="none" w:sz="0" w:space="0" w:color="auto"/>
        <w:left w:val="none" w:sz="0" w:space="0" w:color="auto"/>
        <w:bottom w:val="none" w:sz="0" w:space="0" w:color="auto"/>
        <w:right w:val="none" w:sz="0" w:space="0" w:color="auto"/>
      </w:divBdr>
    </w:div>
    <w:div w:id="334847988">
      <w:bodyDiv w:val="1"/>
      <w:marLeft w:val="0"/>
      <w:marRight w:val="0"/>
      <w:marTop w:val="0"/>
      <w:marBottom w:val="0"/>
      <w:divBdr>
        <w:top w:val="none" w:sz="0" w:space="0" w:color="auto"/>
        <w:left w:val="none" w:sz="0" w:space="0" w:color="auto"/>
        <w:bottom w:val="none" w:sz="0" w:space="0" w:color="auto"/>
        <w:right w:val="none" w:sz="0" w:space="0" w:color="auto"/>
      </w:divBdr>
    </w:div>
    <w:div w:id="351343462">
      <w:bodyDiv w:val="1"/>
      <w:marLeft w:val="0"/>
      <w:marRight w:val="0"/>
      <w:marTop w:val="0"/>
      <w:marBottom w:val="0"/>
      <w:divBdr>
        <w:top w:val="none" w:sz="0" w:space="0" w:color="auto"/>
        <w:left w:val="none" w:sz="0" w:space="0" w:color="auto"/>
        <w:bottom w:val="none" w:sz="0" w:space="0" w:color="auto"/>
        <w:right w:val="none" w:sz="0" w:space="0" w:color="auto"/>
      </w:divBdr>
    </w:div>
    <w:div w:id="353575981">
      <w:bodyDiv w:val="1"/>
      <w:marLeft w:val="0"/>
      <w:marRight w:val="0"/>
      <w:marTop w:val="0"/>
      <w:marBottom w:val="0"/>
      <w:divBdr>
        <w:top w:val="none" w:sz="0" w:space="0" w:color="auto"/>
        <w:left w:val="none" w:sz="0" w:space="0" w:color="auto"/>
        <w:bottom w:val="none" w:sz="0" w:space="0" w:color="auto"/>
        <w:right w:val="none" w:sz="0" w:space="0" w:color="auto"/>
      </w:divBdr>
    </w:div>
    <w:div w:id="357508042">
      <w:bodyDiv w:val="1"/>
      <w:marLeft w:val="0"/>
      <w:marRight w:val="0"/>
      <w:marTop w:val="0"/>
      <w:marBottom w:val="0"/>
      <w:divBdr>
        <w:top w:val="none" w:sz="0" w:space="0" w:color="auto"/>
        <w:left w:val="none" w:sz="0" w:space="0" w:color="auto"/>
        <w:bottom w:val="none" w:sz="0" w:space="0" w:color="auto"/>
        <w:right w:val="none" w:sz="0" w:space="0" w:color="auto"/>
      </w:divBdr>
    </w:div>
    <w:div w:id="367995914">
      <w:bodyDiv w:val="1"/>
      <w:marLeft w:val="0"/>
      <w:marRight w:val="0"/>
      <w:marTop w:val="0"/>
      <w:marBottom w:val="0"/>
      <w:divBdr>
        <w:top w:val="none" w:sz="0" w:space="0" w:color="auto"/>
        <w:left w:val="none" w:sz="0" w:space="0" w:color="auto"/>
        <w:bottom w:val="none" w:sz="0" w:space="0" w:color="auto"/>
        <w:right w:val="none" w:sz="0" w:space="0" w:color="auto"/>
      </w:divBdr>
    </w:div>
    <w:div w:id="387416022">
      <w:bodyDiv w:val="1"/>
      <w:marLeft w:val="0"/>
      <w:marRight w:val="0"/>
      <w:marTop w:val="0"/>
      <w:marBottom w:val="0"/>
      <w:divBdr>
        <w:top w:val="none" w:sz="0" w:space="0" w:color="auto"/>
        <w:left w:val="none" w:sz="0" w:space="0" w:color="auto"/>
        <w:bottom w:val="none" w:sz="0" w:space="0" w:color="auto"/>
        <w:right w:val="none" w:sz="0" w:space="0" w:color="auto"/>
      </w:divBdr>
    </w:div>
    <w:div w:id="394202025">
      <w:bodyDiv w:val="1"/>
      <w:marLeft w:val="0"/>
      <w:marRight w:val="0"/>
      <w:marTop w:val="0"/>
      <w:marBottom w:val="0"/>
      <w:divBdr>
        <w:top w:val="none" w:sz="0" w:space="0" w:color="auto"/>
        <w:left w:val="none" w:sz="0" w:space="0" w:color="auto"/>
        <w:bottom w:val="none" w:sz="0" w:space="0" w:color="auto"/>
        <w:right w:val="none" w:sz="0" w:space="0" w:color="auto"/>
      </w:divBdr>
    </w:div>
    <w:div w:id="406148055">
      <w:bodyDiv w:val="1"/>
      <w:marLeft w:val="0"/>
      <w:marRight w:val="0"/>
      <w:marTop w:val="0"/>
      <w:marBottom w:val="0"/>
      <w:divBdr>
        <w:top w:val="none" w:sz="0" w:space="0" w:color="auto"/>
        <w:left w:val="none" w:sz="0" w:space="0" w:color="auto"/>
        <w:bottom w:val="none" w:sz="0" w:space="0" w:color="auto"/>
        <w:right w:val="none" w:sz="0" w:space="0" w:color="auto"/>
      </w:divBdr>
    </w:div>
    <w:div w:id="443699262">
      <w:bodyDiv w:val="1"/>
      <w:marLeft w:val="0"/>
      <w:marRight w:val="0"/>
      <w:marTop w:val="0"/>
      <w:marBottom w:val="0"/>
      <w:divBdr>
        <w:top w:val="none" w:sz="0" w:space="0" w:color="auto"/>
        <w:left w:val="none" w:sz="0" w:space="0" w:color="auto"/>
        <w:bottom w:val="none" w:sz="0" w:space="0" w:color="auto"/>
        <w:right w:val="none" w:sz="0" w:space="0" w:color="auto"/>
      </w:divBdr>
    </w:div>
    <w:div w:id="455951066">
      <w:bodyDiv w:val="1"/>
      <w:marLeft w:val="0"/>
      <w:marRight w:val="0"/>
      <w:marTop w:val="0"/>
      <w:marBottom w:val="0"/>
      <w:divBdr>
        <w:top w:val="none" w:sz="0" w:space="0" w:color="auto"/>
        <w:left w:val="none" w:sz="0" w:space="0" w:color="auto"/>
        <w:bottom w:val="none" w:sz="0" w:space="0" w:color="auto"/>
        <w:right w:val="none" w:sz="0" w:space="0" w:color="auto"/>
      </w:divBdr>
      <w:divsChild>
        <w:div w:id="647711666">
          <w:marLeft w:val="0"/>
          <w:marRight w:val="0"/>
          <w:marTop w:val="0"/>
          <w:marBottom w:val="0"/>
          <w:divBdr>
            <w:top w:val="none" w:sz="0" w:space="0" w:color="auto"/>
            <w:left w:val="none" w:sz="0" w:space="0" w:color="auto"/>
            <w:bottom w:val="none" w:sz="0" w:space="0" w:color="auto"/>
            <w:right w:val="none" w:sz="0" w:space="0" w:color="auto"/>
          </w:divBdr>
          <w:divsChild>
            <w:div w:id="655108834">
              <w:marLeft w:val="0"/>
              <w:marRight w:val="0"/>
              <w:marTop w:val="0"/>
              <w:marBottom w:val="0"/>
              <w:divBdr>
                <w:top w:val="none" w:sz="0" w:space="0" w:color="auto"/>
                <w:left w:val="none" w:sz="0" w:space="0" w:color="auto"/>
                <w:bottom w:val="none" w:sz="0" w:space="0" w:color="auto"/>
                <w:right w:val="none" w:sz="0" w:space="0" w:color="auto"/>
              </w:divBdr>
              <w:divsChild>
                <w:div w:id="1010912462">
                  <w:marLeft w:val="0"/>
                  <w:marRight w:val="0"/>
                  <w:marTop w:val="0"/>
                  <w:marBottom w:val="0"/>
                  <w:divBdr>
                    <w:top w:val="none" w:sz="0" w:space="0" w:color="auto"/>
                    <w:left w:val="none" w:sz="0" w:space="0" w:color="auto"/>
                    <w:bottom w:val="none" w:sz="0" w:space="0" w:color="auto"/>
                    <w:right w:val="none" w:sz="0" w:space="0" w:color="auto"/>
                  </w:divBdr>
                  <w:divsChild>
                    <w:div w:id="1964724495">
                      <w:marLeft w:val="0"/>
                      <w:marRight w:val="0"/>
                      <w:marTop w:val="0"/>
                      <w:marBottom w:val="0"/>
                      <w:divBdr>
                        <w:top w:val="none" w:sz="0" w:space="0" w:color="auto"/>
                        <w:left w:val="none" w:sz="0" w:space="0" w:color="auto"/>
                        <w:bottom w:val="none" w:sz="0" w:space="0" w:color="auto"/>
                        <w:right w:val="none" w:sz="0" w:space="0" w:color="auto"/>
                      </w:divBdr>
                      <w:divsChild>
                        <w:div w:id="1002663503">
                          <w:marLeft w:val="0"/>
                          <w:marRight w:val="0"/>
                          <w:marTop w:val="0"/>
                          <w:marBottom w:val="0"/>
                          <w:divBdr>
                            <w:top w:val="none" w:sz="0" w:space="0" w:color="auto"/>
                            <w:left w:val="none" w:sz="0" w:space="0" w:color="auto"/>
                            <w:bottom w:val="none" w:sz="0" w:space="0" w:color="auto"/>
                            <w:right w:val="none" w:sz="0" w:space="0" w:color="auto"/>
                          </w:divBdr>
                          <w:divsChild>
                            <w:div w:id="941718915">
                              <w:marLeft w:val="0"/>
                              <w:marRight w:val="0"/>
                              <w:marTop w:val="0"/>
                              <w:marBottom w:val="0"/>
                              <w:divBdr>
                                <w:top w:val="none" w:sz="0" w:space="0" w:color="auto"/>
                                <w:left w:val="none" w:sz="0" w:space="0" w:color="auto"/>
                                <w:bottom w:val="none" w:sz="0" w:space="0" w:color="auto"/>
                                <w:right w:val="none" w:sz="0" w:space="0" w:color="auto"/>
                              </w:divBdr>
                              <w:divsChild>
                                <w:div w:id="820657528">
                                  <w:marLeft w:val="0"/>
                                  <w:marRight w:val="0"/>
                                  <w:marTop w:val="0"/>
                                  <w:marBottom w:val="0"/>
                                  <w:divBdr>
                                    <w:top w:val="none" w:sz="0" w:space="0" w:color="auto"/>
                                    <w:left w:val="none" w:sz="0" w:space="0" w:color="auto"/>
                                    <w:bottom w:val="none" w:sz="0" w:space="0" w:color="auto"/>
                                    <w:right w:val="none" w:sz="0" w:space="0" w:color="auto"/>
                                  </w:divBdr>
                                  <w:divsChild>
                                    <w:div w:id="365910424">
                                      <w:marLeft w:val="0"/>
                                      <w:marRight w:val="0"/>
                                      <w:marTop w:val="0"/>
                                      <w:marBottom w:val="0"/>
                                      <w:divBdr>
                                        <w:top w:val="none" w:sz="0" w:space="0" w:color="auto"/>
                                        <w:left w:val="none" w:sz="0" w:space="0" w:color="auto"/>
                                        <w:bottom w:val="none" w:sz="0" w:space="0" w:color="auto"/>
                                        <w:right w:val="none" w:sz="0" w:space="0" w:color="auto"/>
                                      </w:divBdr>
                                      <w:divsChild>
                                        <w:div w:id="1624463286">
                                          <w:marLeft w:val="0"/>
                                          <w:marRight w:val="0"/>
                                          <w:marTop w:val="0"/>
                                          <w:marBottom w:val="0"/>
                                          <w:divBdr>
                                            <w:top w:val="none" w:sz="0" w:space="0" w:color="auto"/>
                                            <w:left w:val="none" w:sz="0" w:space="0" w:color="auto"/>
                                            <w:bottom w:val="none" w:sz="0" w:space="0" w:color="auto"/>
                                            <w:right w:val="none" w:sz="0" w:space="0" w:color="auto"/>
                                          </w:divBdr>
                                          <w:divsChild>
                                            <w:div w:id="336080381">
                                              <w:marLeft w:val="0"/>
                                              <w:marRight w:val="0"/>
                                              <w:marTop w:val="0"/>
                                              <w:marBottom w:val="0"/>
                                              <w:divBdr>
                                                <w:top w:val="none" w:sz="0" w:space="0" w:color="auto"/>
                                                <w:left w:val="none" w:sz="0" w:space="0" w:color="auto"/>
                                                <w:bottom w:val="none" w:sz="0" w:space="0" w:color="auto"/>
                                                <w:right w:val="none" w:sz="0" w:space="0" w:color="auto"/>
                                              </w:divBdr>
                                              <w:divsChild>
                                                <w:div w:id="1336686673">
                                                  <w:marLeft w:val="0"/>
                                                  <w:marRight w:val="0"/>
                                                  <w:marTop w:val="0"/>
                                                  <w:marBottom w:val="0"/>
                                                  <w:divBdr>
                                                    <w:top w:val="none" w:sz="0" w:space="0" w:color="auto"/>
                                                    <w:left w:val="none" w:sz="0" w:space="0" w:color="auto"/>
                                                    <w:bottom w:val="none" w:sz="0" w:space="0" w:color="auto"/>
                                                    <w:right w:val="none" w:sz="0" w:space="0" w:color="auto"/>
                                                  </w:divBdr>
                                                  <w:divsChild>
                                                    <w:div w:id="982273488">
                                                      <w:marLeft w:val="0"/>
                                                      <w:marRight w:val="0"/>
                                                      <w:marTop w:val="0"/>
                                                      <w:marBottom w:val="0"/>
                                                      <w:divBdr>
                                                        <w:top w:val="none" w:sz="0" w:space="0" w:color="auto"/>
                                                        <w:left w:val="none" w:sz="0" w:space="0" w:color="auto"/>
                                                        <w:bottom w:val="none" w:sz="0" w:space="0" w:color="auto"/>
                                                        <w:right w:val="none" w:sz="0" w:space="0" w:color="auto"/>
                                                      </w:divBdr>
                                                      <w:divsChild>
                                                        <w:div w:id="971056826">
                                                          <w:marLeft w:val="0"/>
                                                          <w:marRight w:val="0"/>
                                                          <w:marTop w:val="0"/>
                                                          <w:marBottom w:val="0"/>
                                                          <w:divBdr>
                                                            <w:top w:val="none" w:sz="0" w:space="0" w:color="auto"/>
                                                            <w:left w:val="none" w:sz="0" w:space="0" w:color="auto"/>
                                                            <w:bottom w:val="none" w:sz="0" w:space="0" w:color="auto"/>
                                                            <w:right w:val="none" w:sz="0" w:space="0" w:color="auto"/>
                                                          </w:divBdr>
                                                          <w:divsChild>
                                                            <w:div w:id="1064182584">
                                                              <w:marLeft w:val="0"/>
                                                              <w:marRight w:val="0"/>
                                                              <w:marTop w:val="0"/>
                                                              <w:marBottom w:val="0"/>
                                                              <w:divBdr>
                                                                <w:top w:val="none" w:sz="0" w:space="0" w:color="auto"/>
                                                                <w:left w:val="none" w:sz="0" w:space="0" w:color="auto"/>
                                                                <w:bottom w:val="none" w:sz="0" w:space="0" w:color="auto"/>
                                                                <w:right w:val="none" w:sz="0" w:space="0" w:color="auto"/>
                                                              </w:divBdr>
                                                              <w:divsChild>
                                                                <w:div w:id="153962109">
                                                                  <w:marLeft w:val="0"/>
                                                                  <w:marRight w:val="0"/>
                                                                  <w:marTop w:val="0"/>
                                                                  <w:marBottom w:val="0"/>
                                                                  <w:divBdr>
                                                                    <w:top w:val="none" w:sz="0" w:space="0" w:color="auto"/>
                                                                    <w:left w:val="none" w:sz="0" w:space="0" w:color="auto"/>
                                                                    <w:bottom w:val="none" w:sz="0" w:space="0" w:color="auto"/>
                                                                    <w:right w:val="none" w:sz="0" w:space="0" w:color="auto"/>
                                                                  </w:divBdr>
                                                                  <w:divsChild>
                                                                    <w:div w:id="1258639973">
                                                                      <w:marLeft w:val="0"/>
                                                                      <w:marRight w:val="0"/>
                                                                      <w:marTop w:val="0"/>
                                                                      <w:marBottom w:val="0"/>
                                                                      <w:divBdr>
                                                                        <w:top w:val="none" w:sz="0" w:space="0" w:color="auto"/>
                                                                        <w:left w:val="none" w:sz="0" w:space="0" w:color="auto"/>
                                                                        <w:bottom w:val="none" w:sz="0" w:space="0" w:color="auto"/>
                                                                        <w:right w:val="none" w:sz="0" w:space="0" w:color="auto"/>
                                                                      </w:divBdr>
                                                                      <w:divsChild>
                                                                        <w:div w:id="937176236">
                                                                          <w:marLeft w:val="0"/>
                                                                          <w:marRight w:val="0"/>
                                                                          <w:marTop w:val="0"/>
                                                                          <w:marBottom w:val="0"/>
                                                                          <w:divBdr>
                                                                            <w:top w:val="none" w:sz="0" w:space="0" w:color="auto"/>
                                                                            <w:left w:val="none" w:sz="0" w:space="0" w:color="auto"/>
                                                                            <w:bottom w:val="none" w:sz="0" w:space="0" w:color="auto"/>
                                                                            <w:right w:val="none" w:sz="0" w:space="0" w:color="auto"/>
                                                                          </w:divBdr>
                                                                          <w:divsChild>
                                                                            <w:div w:id="2014136800">
                                                                              <w:marLeft w:val="300"/>
                                                                              <w:marRight w:val="0"/>
                                                                              <w:marTop w:val="0"/>
                                                                              <w:marBottom w:val="0"/>
                                                                              <w:divBdr>
                                                                                <w:top w:val="none" w:sz="0" w:space="0" w:color="auto"/>
                                                                                <w:left w:val="none" w:sz="0" w:space="0" w:color="auto"/>
                                                                                <w:bottom w:val="none" w:sz="0" w:space="0" w:color="auto"/>
                                                                                <w:right w:val="none" w:sz="0" w:space="0" w:color="auto"/>
                                                                              </w:divBdr>
                                                                              <w:divsChild>
                                                                                <w:div w:id="1145005246">
                                                                                  <w:marLeft w:val="0"/>
                                                                                  <w:marRight w:val="0"/>
                                                                                  <w:marTop w:val="0"/>
                                                                                  <w:marBottom w:val="0"/>
                                                                                  <w:divBdr>
                                                                                    <w:top w:val="none" w:sz="0" w:space="0" w:color="auto"/>
                                                                                    <w:left w:val="none" w:sz="0" w:space="0" w:color="auto"/>
                                                                                    <w:bottom w:val="none" w:sz="0" w:space="0" w:color="auto"/>
                                                                                    <w:right w:val="none" w:sz="0" w:space="0" w:color="auto"/>
                                                                                  </w:divBdr>
                                                                                  <w:divsChild>
                                                                                    <w:div w:id="7598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8452826">
      <w:bodyDiv w:val="1"/>
      <w:marLeft w:val="0"/>
      <w:marRight w:val="0"/>
      <w:marTop w:val="0"/>
      <w:marBottom w:val="0"/>
      <w:divBdr>
        <w:top w:val="none" w:sz="0" w:space="0" w:color="auto"/>
        <w:left w:val="none" w:sz="0" w:space="0" w:color="auto"/>
        <w:bottom w:val="none" w:sz="0" w:space="0" w:color="auto"/>
        <w:right w:val="none" w:sz="0" w:space="0" w:color="auto"/>
      </w:divBdr>
    </w:div>
    <w:div w:id="512261197">
      <w:bodyDiv w:val="1"/>
      <w:marLeft w:val="0"/>
      <w:marRight w:val="0"/>
      <w:marTop w:val="0"/>
      <w:marBottom w:val="0"/>
      <w:divBdr>
        <w:top w:val="none" w:sz="0" w:space="0" w:color="auto"/>
        <w:left w:val="none" w:sz="0" w:space="0" w:color="auto"/>
        <w:bottom w:val="none" w:sz="0" w:space="0" w:color="auto"/>
        <w:right w:val="none" w:sz="0" w:space="0" w:color="auto"/>
      </w:divBdr>
    </w:div>
    <w:div w:id="529030991">
      <w:bodyDiv w:val="1"/>
      <w:marLeft w:val="0"/>
      <w:marRight w:val="0"/>
      <w:marTop w:val="0"/>
      <w:marBottom w:val="0"/>
      <w:divBdr>
        <w:top w:val="none" w:sz="0" w:space="0" w:color="auto"/>
        <w:left w:val="none" w:sz="0" w:space="0" w:color="auto"/>
        <w:bottom w:val="none" w:sz="0" w:space="0" w:color="auto"/>
        <w:right w:val="none" w:sz="0" w:space="0" w:color="auto"/>
      </w:divBdr>
    </w:div>
    <w:div w:id="534193084">
      <w:bodyDiv w:val="1"/>
      <w:marLeft w:val="0"/>
      <w:marRight w:val="0"/>
      <w:marTop w:val="0"/>
      <w:marBottom w:val="0"/>
      <w:divBdr>
        <w:top w:val="none" w:sz="0" w:space="0" w:color="auto"/>
        <w:left w:val="none" w:sz="0" w:space="0" w:color="auto"/>
        <w:bottom w:val="none" w:sz="0" w:space="0" w:color="auto"/>
        <w:right w:val="none" w:sz="0" w:space="0" w:color="auto"/>
      </w:divBdr>
    </w:div>
    <w:div w:id="535001931">
      <w:bodyDiv w:val="1"/>
      <w:marLeft w:val="0"/>
      <w:marRight w:val="0"/>
      <w:marTop w:val="0"/>
      <w:marBottom w:val="0"/>
      <w:divBdr>
        <w:top w:val="none" w:sz="0" w:space="0" w:color="auto"/>
        <w:left w:val="none" w:sz="0" w:space="0" w:color="auto"/>
        <w:bottom w:val="none" w:sz="0" w:space="0" w:color="auto"/>
        <w:right w:val="none" w:sz="0" w:space="0" w:color="auto"/>
      </w:divBdr>
      <w:divsChild>
        <w:div w:id="1787386810">
          <w:marLeft w:val="0"/>
          <w:marRight w:val="0"/>
          <w:marTop w:val="0"/>
          <w:marBottom w:val="0"/>
          <w:divBdr>
            <w:top w:val="none" w:sz="0" w:space="0" w:color="auto"/>
            <w:left w:val="none" w:sz="0" w:space="0" w:color="auto"/>
            <w:bottom w:val="none" w:sz="0" w:space="0" w:color="auto"/>
            <w:right w:val="none" w:sz="0" w:space="0" w:color="auto"/>
          </w:divBdr>
          <w:divsChild>
            <w:div w:id="1923099510">
              <w:marLeft w:val="0"/>
              <w:marRight w:val="0"/>
              <w:marTop w:val="0"/>
              <w:marBottom w:val="0"/>
              <w:divBdr>
                <w:top w:val="none" w:sz="0" w:space="0" w:color="auto"/>
                <w:left w:val="none" w:sz="0" w:space="0" w:color="auto"/>
                <w:bottom w:val="none" w:sz="0" w:space="0" w:color="auto"/>
                <w:right w:val="none" w:sz="0" w:space="0" w:color="auto"/>
              </w:divBdr>
              <w:divsChild>
                <w:div w:id="305162380">
                  <w:marLeft w:val="0"/>
                  <w:marRight w:val="0"/>
                  <w:marTop w:val="0"/>
                  <w:marBottom w:val="0"/>
                  <w:divBdr>
                    <w:top w:val="none" w:sz="0" w:space="0" w:color="auto"/>
                    <w:left w:val="none" w:sz="0" w:space="0" w:color="auto"/>
                    <w:bottom w:val="none" w:sz="0" w:space="0" w:color="auto"/>
                    <w:right w:val="none" w:sz="0" w:space="0" w:color="auto"/>
                  </w:divBdr>
                  <w:divsChild>
                    <w:div w:id="1162039535">
                      <w:marLeft w:val="0"/>
                      <w:marRight w:val="0"/>
                      <w:marTop w:val="0"/>
                      <w:marBottom w:val="0"/>
                      <w:divBdr>
                        <w:top w:val="none" w:sz="0" w:space="0" w:color="auto"/>
                        <w:left w:val="none" w:sz="0" w:space="0" w:color="auto"/>
                        <w:bottom w:val="none" w:sz="0" w:space="0" w:color="auto"/>
                        <w:right w:val="none" w:sz="0" w:space="0" w:color="auto"/>
                      </w:divBdr>
                      <w:divsChild>
                        <w:div w:id="1590649995">
                          <w:marLeft w:val="0"/>
                          <w:marRight w:val="0"/>
                          <w:marTop w:val="0"/>
                          <w:marBottom w:val="0"/>
                          <w:divBdr>
                            <w:top w:val="none" w:sz="0" w:space="0" w:color="auto"/>
                            <w:left w:val="none" w:sz="0" w:space="0" w:color="auto"/>
                            <w:bottom w:val="none" w:sz="0" w:space="0" w:color="auto"/>
                            <w:right w:val="none" w:sz="0" w:space="0" w:color="auto"/>
                          </w:divBdr>
                          <w:divsChild>
                            <w:div w:id="761534852">
                              <w:marLeft w:val="0"/>
                              <w:marRight w:val="0"/>
                              <w:marTop w:val="0"/>
                              <w:marBottom w:val="0"/>
                              <w:divBdr>
                                <w:top w:val="none" w:sz="0" w:space="0" w:color="auto"/>
                                <w:left w:val="none" w:sz="0" w:space="0" w:color="auto"/>
                                <w:bottom w:val="none" w:sz="0" w:space="0" w:color="auto"/>
                                <w:right w:val="none" w:sz="0" w:space="0" w:color="auto"/>
                              </w:divBdr>
                              <w:divsChild>
                                <w:div w:id="95560691">
                                  <w:marLeft w:val="0"/>
                                  <w:marRight w:val="0"/>
                                  <w:marTop w:val="0"/>
                                  <w:marBottom w:val="0"/>
                                  <w:divBdr>
                                    <w:top w:val="none" w:sz="0" w:space="0" w:color="auto"/>
                                    <w:left w:val="none" w:sz="0" w:space="0" w:color="auto"/>
                                    <w:bottom w:val="none" w:sz="0" w:space="0" w:color="auto"/>
                                    <w:right w:val="none" w:sz="0" w:space="0" w:color="auto"/>
                                  </w:divBdr>
                                  <w:divsChild>
                                    <w:div w:id="528447183">
                                      <w:marLeft w:val="0"/>
                                      <w:marRight w:val="0"/>
                                      <w:marTop w:val="0"/>
                                      <w:marBottom w:val="0"/>
                                      <w:divBdr>
                                        <w:top w:val="none" w:sz="0" w:space="0" w:color="auto"/>
                                        <w:left w:val="none" w:sz="0" w:space="0" w:color="auto"/>
                                        <w:bottom w:val="none" w:sz="0" w:space="0" w:color="auto"/>
                                        <w:right w:val="none" w:sz="0" w:space="0" w:color="auto"/>
                                      </w:divBdr>
                                      <w:divsChild>
                                        <w:div w:id="621349296">
                                          <w:marLeft w:val="0"/>
                                          <w:marRight w:val="0"/>
                                          <w:marTop w:val="0"/>
                                          <w:marBottom w:val="0"/>
                                          <w:divBdr>
                                            <w:top w:val="none" w:sz="0" w:space="0" w:color="auto"/>
                                            <w:left w:val="none" w:sz="0" w:space="0" w:color="auto"/>
                                            <w:bottom w:val="none" w:sz="0" w:space="0" w:color="auto"/>
                                            <w:right w:val="none" w:sz="0" w:space="0" w:color="auto"/>
                                          </w:divBdr>
                                          <w:divsChild>
                                            <w:div w:id="1318530809">
                                              <w:marLeft w:val="0"/>
                                              <w:marRight w:val="0"/>
                                              <w:marTop w:val="0"/>
                                              <w:marBottom w:val="0"/>
                                              <w:divBdr>
                                                <w:top w:val="none" w:sz="0" w:space="0" w:color="auto"/>
                                                <w:left w:val="none" w:sz="0" w:space="0" w:color="auto"/>
                                                <w:bottom w:val="none" w:sz="0" w:space="0" w:color="auto"/>
                                                <w:right w:val="none" w:sz="0" w:space="0" w:color="auto"/>
                                              </w:divBdr>
                                              <w:divsChild>
                                                <w:div w:id="1901020087">
                                                  <w:marLeft w:val="0"/>
                                                  <w:marRight w:val="0"/>
                                                  <w:marTop w:val="0"/>
                                                  <w:marBottom w:val="0"/>
                                                  <w:divBdr>
                                                    <w:top w:val="none" w:sz="0" w:space="0" w:color="auto"/>
                                                    <w:left w:val="none" w:sz="0" w:space="0" w:color="auto"/>
                                                    <w:bottom w:val="none" w:sz="0" w:space="0" w:color="auto"/>
                                                    <w:right w:val="none" w:sz="0" w:space="0" w:color="auto"/>
                                                  </w:divBdr>
                                                  <w:divsChild>
                                                    <w:div w:id="1062100901">
                                                      <w:marLeft w:val="0"/>
                                                      <w:marRight w:val="0"/>
                                                      <w:marTop w:val="0"/>
                                                      <w:marBottom w:val="0"/>
                                                      <w:divBdr>
                                                        <w:top w:val="none" w:sz="0" w:space="0" w:color="auto"/>
                                                        <w:left w:val="none" w:sz="0" w:space="0" w:color="auto"/>
                                                        <w:bottom w:val="none" w:sz="0" w:space="0" w:color="auto"/>
                                                        <w:right w:val="none" w:sz="0" w:space="0" w:color="auto"/>
                                                      </w:divBdr>
                                                      <w:divsChild>
                                                        <w:div w:id="298264143">
                                                          <w:marLeft w:val="0"/>
                                                          <w:marRight w:val="0"/>
                                                          <w:marTop w:val="0"/>
                                                          <w:marBottom w:val="0"/>
                                                          <w:divBdr>
                                                            <w:top w:val="none" w:sz="0" w:space="0" w:color="auto"/>
                                                            <w:left w:val="none" w:sz="0" w:space="0" w:color="auto"/>
                                                            <w:bottom w:val="none" w:sz="0" w:space="0" w:color="auto"/>
                                                            <w:right w:val="none" w:sz="0" w:space="0" w:color="auto"/>
                                                          </w:divBdr>
                                                          <w:divsChild>
                                                            <w:div w:id="1810901219">
                                                              <w:marLeft w:val="0"/>
                                                              <w:marRight w:val="0"/>
                                                              <w:marTop w:val="0"/>
                                                              <w:marBottom w:val="0"/>
                                                              <w:divBdr>
                                                                <w:top w:val="none" w:sz="0" w:space="0" w:color="auto"/>
                                                                <w:left w:val="none" w:sz="0" w:space="0" w:color="auto"/>
                                                                <w:bottom w:val="none" w:sz="0" w:space="0" w:color="auto"/>
                                                                <w:right w:val="none" w:sz="0" w:space="0" w:color="auto"/>
                                                              </w:divBdr>
                                                              <w:divsChild>
                                                                <w:div w:id="139620966">
                                                                  <w:marLeft w:val="0"/>
                                                                  <w:marRight w:val="0"/>
                                                                  <w:marTop w:val="0"/>
                                                                  <w:marBottom w:val="0"/>
                                                                  <w:divBdr>
                                                                    <w:top w:val="none" w:sz="0" w:space="0" w:color="auto"/>
                                                                    <w:left w:val="none" w:sz="0" w:space="0" w:color="auto"/>
                                                                    <w:bottom w:val="none" w:sz="0" w:space="0" w:color="auto"/>
                                                                    <w:right w:val="none" w:sz="0" w:space="0" w:color="auto"/>
                                                                  </w:divBdr>
                                                                  <w:divsChild>
                                                                    <w:div w:id="1930306603">
                                                                      <w:marLeft w:val="0"/>
                                                                      <w:marRight w:val="0"/>
                                                                      <w:marTop w:val="0"/>
                                                                      <w:marBottom w:val="0"/>
                                                                      <w:divBdr>
                                                                        <w:top w:val="none" w:sz="0" w:space="0" w:color="auto"/>
                                                                        <w:left w:val="none" w:sz="0" w:space="0" w:color="auto"/>
                                                                        <w:bottom w:val="none" w:sz="0" w:space="0" w:color="auto"/>
                                                                        <w:right w:val="none" w:sz="0" w:space="0" w:color="auto"/>
                                                                      </w:divBdr>
                                                                      <w:divsChild>
                                                                        <w:div w:id="1863208371">
                                                                          <w:marLeft w:val="0"/>
                                                                          <w:marRight w:val="0"/>
                                                                          <w:marTop w:val="0"/>
                                                                          <w:marBottom w:val="0"/>
                                                                          <w:divBdr>
                                                                            <w:top w:val="none" w:sz="0" w:space="0" w:color="auto"/>
                                                                            <w:left w:val="none" w:sz="0" w:space="0" w:color="auto"/>
                                                                            <w:bottom w:val="none" w:sz="0" w:space="0" w:color="auto"/>
                                                                            <w:right w:val="none" w:sz="0" w:space="0" w:color="auto"/>
                                                                          </w:divBdr>
                                                                          <w:divsChild>
                                                                            <w:div w:id="512837573">
                                                                              <w:marLeft w:val="300"/>
                                                                              <w:marRight w:val="0"/>
                                                                              <w:marTop w:val="0"/>
                                                                              <w:marBottom w:val="0"/>
                                                                              <w:divBdr>
                                                                                <w:top w:val="none" w:sz="0" w:space="0" w:color="auto"/>
                                                                                <w:left w:val="none" w:sz="0" w:space="0" w:color="auto"/>
                                                                                <w:bottom w:val="none" w:sz="0" w:space="0" w:color="auto"/>
                                                                                <w:right w:val="none" w:sz="0" w:space="0" w:color="auto"/>
                                                                              </w:divBdr>
                                                                              <w:divsChild>
                                                                                <w:div w:id="904220134">
                                                                                  <w:marLeft w:val="0"/>
                                                                                  <w:marRight w:val="0"/>
                                                                                  <w:marTop w:val="0"/>
                                                                                  <w:marBottom w:val="0"/>
                                                                                  <w:divBdr>
                                                                                    <w:top w:val="none" w:sz="0" w:space="0" w:color="auto"/>
                                                                                    <w:left w:val="none" w:sz="0" w:space="0" w:color="auto"/>
                                                                                    <w:bottom w:val="none" w:sz="0" w:space="0" w:color="auto"/>
                                                                                    <w:right w:val="none" w:sz="0" w:space="0" w:color="auto"/>
                                                                                  </w:divBdr>
                                                                                  <w:divsChild>
                                                                                    <w:div w:id="7747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503161">
      <w:bodyDiv w:val="1"/>
      <w:marLeft w:val="0"/>
      <w:marRight w:val="0"/>
      <w:marTop w:val="0"/>
      <w:marBottom w:val="0"/>
      <w:divBdr>
        <w:top w:val="none" w:sz="0" w:space="0" w:color="auto"/>
        <w:left w:val="none" w:sz="0" w:space="0" w:color="auto"/>
        <w:bottom w:val="none" w:sz="0" w:space="0" w:color="auto"/>
        <w:right w:val="none" w:sz="0" w:space="0" w:color="auto"/>
      </w:divBdr>
    </w:div>
    <w:div w:id="631641980">
      <w:bodyDiv w:val="1"/>
      <w:marLeft w:val="0"/>
      <w:marRight w:val="0"/>
      <w:marTop w:val="0"/>
      <w:marBottom w:val="0"/>
      <w:divBdr>
        <w:top w:val="none" w:sz="0" w:space="0" w:color="auto"/>
        <w:left w:val="none" w:sz="0" w:space="0" w:color="auto"/>
        <w:bottom w:val="none" w:sz="0" w:space="0" w:color="auto"/>
        <w:right w:val="none" w:sz="0" w:space="0" w:color="auto"/>
      </w:divBdr>
    </w:div>
    <w:div w:id="633557897">
      <w:bodyDiv w:val="1"/>
      <w:marLeft w:val="0"/>
      <w:marRight w:val="0"/>
      <w:marTop w:val="0"/>
      <w:marBottom w:val="0"/>
      <w:divBdr>
        <w:top w:val="none" w:sz="0" w:space="0" w:color="auto"/>
        <w:left w:val="none" w:sz="0" w:space="0" w:color="auto"/>
        <w:bottom w:val="none" w:sz="0" w:space="0" w:color="auto"/>
        <w:right w:val="none" w:sz="0" w:space="0" w:color="auto"/>
      </w:divBdr>
    </w:div>
    <w:div w:id="676812513">
      <w:bodyDiv w:val="1"/>
      <w:marLeft w:val="0"/>
      <w:marRight w:val="0"/>
      <w:marTop w:val="0"/>
      <w:marBottom w:val="0"/>
      <w:divBdr>
        <w:top w:val="none" w:sz="0" w:space="0" w:color="auto"/>
        <w:left w:val="none" w:sz="0" w:space="0" w:color="auto"/>
        <w:bottom w:val="none" w:sz="0" w:space="0" w:color="auto"/>
        <w:right w:val="none" w:sz="0" w:space="0" w:color="auto"/>
      </w:divBdr>
    </w:div>
    <w:div w:id="698507478">
      <w:bodyDiv w:val="1"/>
      <w:marLeft w:val="0"/>
      <w:marRight w:val="0"/>
      <w:marTop w:val="0"/>
      <w:marBottom w:val="0"/>
      <w:divBdr>
        <w:top w:val="none" w:sz="0" w:space="0" w:color="auto"/>
        <w:left w:val="none" w:sz="0" w:space="0" w:color="auto"/>
        <w:bottom w:val="none" w:sz="0" w:space="0" w:color="auto"/>
        <w:right w:val="none" w:sz="0" w:space="0" w:color="auto"/>
      </w:divBdr>
    </w:div>
    <w:div w:id="714626578">
      <w:bodyDiv w:val="1"/>
      <w:marLeft w:val="0"/>
      <w:marRight w:val="0"/>
      <w:marTop w:val="0"/>
      <w:marBottom w:val="0"/>
      <w:divBdr>
        <w:top w:val="none" w:sz="0" w:space="0" w:color="auto"/>
        <w:left w:val="none" w:sz="0" w:space="0" w:color="auto"/>
        <w:bottom w:val="none" w:sz="0" w:space="0" w:color="auto"/>
        <w:right w:val="none" w:sz="0" w:space="0" w:color="auto"/>
      </w:divBdr>
    </w:div>
    <w:div w:id="716660661">
      <w:bodyDiv w:val="1"/>
      <w:marLeft w:val="0"/>
      <w:marRight w:val="0"/>
      <w:marTop w:val="0"/>
      <w:marBottom w:val="0"/>
      <w:divBdr>
        <w:top w:val="none" w:sz="0" w:space="0" w:color="auto"/>
        <w:left w:val="none" w:sz="0" w:space="0" w:color="auto"/>
        <w:bottom w:val="none" w:sz="0" w:space="0" w:color="auto"/>
        <w:right w:val="none" w:sz="0" w:space="0" w:color="auto"/>
      </w:divBdr>
    </w:div>
    <w:div w:id="825322417">
      <w:bodyDiv w:val="1"/>
      <w:marLeft w:val="0"/>
      <w:marRight w:val="0"/>
      <w:marTop w:val="0"/>
      <w:marBottom w:val="0"/>
      <w:divBdr>
        <w:top w:val="none" w:sz="0" w:space="0" w:color="auto"/>
        <w:left w:val="none" w:sz="0" w:space="0" w:color="auto"/>
        <w:bottom w:val="none" w:sz="0" w:space="0" w:color="auto"/>
        <w:right w:val="none" w:sz="0" w:space="0" w:color="auto"/>
      </w:divBdr>
    </w:div>
    <w:div w:id="831989468">
      <w:bodyDiv w:val="1"/>
      <w:marLeft w:val="0"/>
      <w:marRight w:val="0"/>
      <w:marTop w:val="0"/>
      <w:marBottom w:val="0"/>
      <w:divBdr>
        <w:top w:val="none" w:sz="0" w:space="0" w:color="auto"/>
        <w:left w:val="none" w:sz="0" w:space="0" w:color="auto"/>
        <w:bottom w:val="none" w:sz="0" w:space="0" w:color="auto"/>
        <w:right w:val="none" w:sz="0" w:space="0" w:color="auto"/>
      </w:divBdr>
    </w:div>
    <w:div w:id="881140256">
      <w:bodyDiv w:val="1"/>
      <w:marLeft w:val="0"/>
      <w:marRight w:val="0"/>
      <w:marTop w:val="0"/>
      <w:marBottom w:val="0"/>
      <w:divBdr>
        <w:top w:val="none" w:sz="0" w:space="0" w:color="auto"/>
        <w:left w:val="none" w:sz="0" w:space="0" w:color="auto"/>
        <w:bottom w:val="none" w:sz="0" w:space="0" w:color="auto"/>
        <w:right w:val="none" w:sz="0" w:space="0" w:color="auto"/>
      </w:divBdr>
    </w:div>
    <w:div w:id="881525598">
      <w:bodyDiv w:val="1"/>
      <w:marLeft w:val="0"/>
      <w:marRight w:val="0"/>
      <w:marTop w:val="0"/>
      <w:marBottom w:val="0"/>
      <w:divBdr>
        <w:top w:val="none" w:sz="0" w:space="0" w:color="auto"/>
        <w:left w:val="none" w:sz="0" w:space="0" w:color="auto"/>
        <w:bottom w:val="none" w:sz="0" w:space="0" w:color="auto"/>
        <w:right w:val="none" w:sz="0" w:space="0" w:color="auto"/>
      </w:divBdr>
    </w:div>
    <w:div w:id="897397589">
      <w:bodyDiv w:val="1"/>
      <w:marLeft w:val="0"/>
      <w:marRight w:val="0"/>
      <w:marTop w:val="0"/>
      <w:marBottom w:val="0"/>
      <w:divBdr>
        <w:top w:val="none" w:sz="0" w:space="0" w:color="auto"/>
        <w:left w:val="none" w:sz="0" w:space="0" w:color="auto"/>
        <w:bottom w:val="none" w:sz="0" w:space="0" w:color="auto"/>
        <w:right w:val="none" w:sz="0" w:space="0" w:color="auto"/>
      </w:divBdr>
    </w:div>
    <w:div w:id="903953165">
      <w:bodyDiv w:val="1"/>
      <w:marLeft w:val="0"/>
      <w:marRight w:val="0"/>
      <w:marTop w:val="0"/>
      <w:marBottom w:val="0"/>
      <w:divBdr>
        <w:top w:val="none" w:sz="0" w:space="0" w:color="auto"/>
        <w:left w:val="none" w:sz="0" w:space="0" w:color="auto"/>
        <w:bottom w:val="none" w:sz="0" w:space="0" w:color="auto"/>
        <w:right w:val="none" w:sz="0" w:space="0" w:color="auto"/>
      </w:divBdr>
    </w:div>
    <w:div w:id="908466297">
      <w:bodyDiv w:val="1"/>
      <w:marLeft w:val="0"/>
      <w:marRight w:val="0"/>
      <w:marTop w:val="0"/>
      <w:marBottom w:val="0"/>
      <w:divBdr>
        <w:top w:val="none" w:sz="0" w:space="0" w:color="auto"/>
        <w:left w:val="none" w:sz="0" w:space="0" w:color="auto"/>
        <w:bottom w:val="none" w:sz="0" w:space="0" w:color="auto"/>
        <w:right w:val="none" w:sz="0" w:space="0" w:color="auto"/>
      </w:divBdr>
    </w:div>
    <w:div w:id="916330572">
      <w:bodyDiv w:val="1"/>
      <w:marLeft w:val="0"/>
      <w:marRight w:val="0"/>
      <w:marTop w:val="0"/>
      <w:marBottom w:val="0"/>
      <w:divBdr>
        <w:top w:val="none" w:sz="0" w:space="0" w:color="auto"/>
        <w:left w:val="none" w:sz="0" w:space="0" w:color="auto"/>
        <w:bottom w:val="none" w:sz="0" w:space="0" w:color="auto"/>
        <w:right w:val="none" w:sz="0" w:space="0" w:color="auto"/>
      </w:divBdr>
    </w:div>
    <w:div w:id="961349324">
      <w:bodyDiv w:val="1"/>
      <w:marLeft w:val="0"/>
      <w:marRight w:val="0"/>
      <w:marTop w:val="0"/>
      <w:marBottom w:val="0"/>
      <w:divBdr>
        <w:top w:val="none" w:sz="0" w:space="0" w:color="auto"/>
        <w:left w:val="none" w:sz="0" w:space="0" w:color="auto"/>
        <w:bottom w:val="none" w:sz="0" w:space="0" w:color="auto"/>
        <w:right w:val="none" w:sz="0" w:space="0" w:color="auto"/>
      </w:divBdr>
    </w:div>
    <w:div w:id="975262111">
      <w:bodyDiv w:val="1"/>
      <w:marLeft w:val="0"/>
      <w:marRight w:val="0"/>
      <w:marTop w:val="0"/>
      <w:marBottom w:val="0"/>
      <w:divBdr>
        <w:top w:val="none" w:sz="0" w:space="0" w:color="auto"/>
        <w:left w:val="none" w:sz="0" w:space="0" w:color="auto"/>
        <w:bottom w:val="none" w:sz="0" w:space="0" w:color="auto"/>
        <w:right w:val="none" w:sz="0" w:space="0" w:color="auto"/>
      </w:divBdr>
    </w:div>
    <w:div w:id="1043167182">
      <w:bodyDiv w:val="1"/>
      <w:marLeft w:val="0"/>
      <w:marRight w:val="0"/>
      <w:marTop w:val="0"/>
      <w:marBottom w:val="0"/>
      <w:divBdr>
        <w:top w:val="none" w:sz="0" w:space="0" w:color="auto"/>
        <w:left w:val="none" w:sz="0" w:space="0" w:color="auto"/>
        <w:bottom w:val="none" w:sz="0" w:space="0" w:color="auto"/>
        <w:right w:val="none" w:sz="0" w:space="0" w:color="auto"/>
      </w:divBdr>
    </w:div>
    <w:div w:id="1068262053">
      <w:bodyDiv w:val="1"/>
      <w:marLeft w:val="0"/>
      <w:marRight w:val="0"/>
      <w:marTop w:val="0"/>
      <w:marBottom w:val="0"/>
      <w:divBdr>
        <w:top w:val="none" w:sz="0" w:space="0" w:color="auto"/>
        <w:left w:val="none" w:sz="0" w:space="0" w:color="auto"/>
        <w:bottom w:val="none" w:sz="0" w:space="0" w:color="auto"/>
        <w:right w:val="none" w:sz="0" w:space="0" w:color="auto"/>
      </w:divBdr>
    </w:div>
    <w:div w:id="1091926124">
      <w:bodyDiv w:val="1"/>
      <w:marLeft w:val="0"/>
      <w:marRight w:val="0"/>
      <w:marTop w:val="0"/>
      <w:marBottom w:val="0"/>
      <w:divBdr>
        <w:top w:val="none" w:sz="0" w:space="0" w:color="auto"/>
        <w:left w:val="none" w:sz="0" w:space="0" w:color="auto"/>
        <w:bottom w:val="none" w:sz="0" w:space="0" w:color="auto"/>
        <w:right w:val="none" w:sz="0" w:space="0" w:color="auto"/>
      </w:divBdr>
    </w:div>
    <w:div w:id="1129473921">
      <w:bodyDiv w:val="1"/>
      <w:marLeft w:val="0"/>
      <w:marRight w:val="0"/>
      <w:marTop w:val="0"/>
      <w:marBottom w:val="0"/>
      <w:divBdr>
        <w:top w:val="none" w:sz="0" w:space="0" w:color="auto"/>
        <w:left w:val="none" w:sz="0" w:space="0" w:color="auto"/>
        <w:bottom w:val="none" w:sz="0" w:space="0" w:color="auto"/>
        <w:right w:val="none" w:sz="0" w:space="0" w:color="auto"/>
      </w:divBdr>
    </w:div>
    <w:div w:id="1168785566">
      <w:bodyDiv w:val="1"/>
      <w:marLeft w:val="0"/>
      <w:marRight w:val="0"/>
      <w:marTop w:val="0"/>
      <w:marBottom w:val="0"/>
      <w:divBdr>
        <w:top w:val="none" w:sz="0" w:space="0" w:color="auto"/>
        <w:left w:val="none" w:sz="0" w:space="0" w:color="auto"/>
        <w:bottom w:val="none" w:sz="0" w:space="0" w:color="auto"/>
        <w:right w:val="none" w:sz="0" w:space="0" w:color="auto"/>
      </w:divBdr>
    </w:div>
    <w:div w:id="1173691760">
      <w:bodyDiv w:val="1"/>
      <w:marLeft w:val="0"/>
      <w:marRight w:val="0"/>
      <w:marTop w:val="0"/>
      <w:marBottom w:val="0"/>
      <w:divBdr>
        <w:top w:val="none" w:sz="0" w:space="0" w:color="auto"/>
        <w:left w:val="none" w:sz="0" w:space="0" w:color="auto"/>
        <w:bottom w:val="none" w:sz="0" w:space="0" w:color="auto"/>
        <w:right w:val="none" w:sz="0" w:space="0" w:color="auto"/>
      </w:divBdr>
    </w:div>
    <w:div w:id="1185292497">
      <w:bodyDiv w:val="1"/>
      <w:marLeft w:val="0"/>
      <w:marRight w:val="0"/>
      <w:marTop w:val="0"/>
      <w:marBottom w:val="0"/>
      <w:divBdr>
        <w:top w:val="none" w:sz="0" w:space="0" w:color="auto"/>
        <w:left w:val="none" w:sz="0" w:space="0" w:color="auto"/>
        <w:bottom w:val="none" w:sz="0" w:space="0" w:color="auto"/>
        <w:right w:val="none" w:sz="0" w:space="0" w:color="auto"/>
      </w:divBdr>
    </w:div>
    <w:div w:id="1272081657">
      <w:bodyDiv w:val="1"/>
      <w:marLeft w:val="0"/>
      <w:marRight w:val="0"/>
      <w:marTop w:val="0"/>
      <w:marBottom w:val="0"/>
      <w:divBdr>
        <w:top w:val="none" w:sz="0" w:space="0" w:color="auto"/>
        <w:left w:val="none" w:sz="0" w:space="0" w:color="auto"/>
        <w:bottom w:val="none" w:sz="0" w:space="0" w:color="auto"/>
        <w:right w:val="none" w:sz="0" w:space="0" w:color="auto"/>
      </w:divBdr>
    </w:div>
    <w:div w:id="1339575022">
      <w:bodyDiv w:val="1"/>
      <w:marLeft w:val="0"/>
      <w:marRight w:val="0"/>
      <w:marTop w:val="0"/>
      <w:marBottom w:val="0"/>
      <w:divBdr>
        <w:top w:val="none" w:sz="0" w:space="0" w:color="auto"/>
        <w:left w:val="none" w:sz="0" w:space="0" w:color="auto"/>
        <w:bottom w:val="none" w:sz="0" w:space="0" w:color="auto"/>
        <w:right w:val="none" w:sz="0" w:space="0" w:color="auto"/>
      </w:divBdr>
    </w:div>
    <w:div w:id="1441485660">
      <w:bodyDiv w:val="1"/>
      <w:marLeft w:val="0"/>
      <w:marRight w:val="0"/>
      <w:marTop w:val="0"/>
      <w:marBottom w:val="0"/>
      <w:divBdr>
        <w:top w:val="none" w:sz="0" w:space="0" w:color="auto"/>
        <w:left w:val="none" w:sz="0" w:space="0" w:color="auto"/>
        <w:bottom w:val="none" w:sz="0" w:space="0" w:color="auto"/>
        <w:right w:val="none" w:sz="0" w:space="0" w:color="auto"/>
      </w:divBdr>
    </w:div>
    <w:div w:id="1480726121">
      <w:bodyDiv w:val="1"/>
      <w:marLeft w:val="0"/>
      <w:marRight w:val="0"/>
      <w:marTop w:val="0"/>
      <w:marBottom w:val="0"/>
      <w:divBdr>
        <w:top w:val="none" w:sz="0" w:space="0" w:color="auto"/>
        <w:left w:val="none" w:sz="0" w:space="0" w:color="auto"/>
        <w:bottom w:val="none" w:sz="0" w:space="0" w:color="auto"/>
        <w:right w:val="none" w:sz="0" w:space="0" w:color="auto"/>
      </w:divBdr>
    </w:div>
    <w:div w:id="1537692976">
      <w:bodyDiv w:val="1"/>
      <w:marLeft w:val="0"/>
      <w:marRight w:val="0"/>
      <w:marTop w:val="0"/>
      <w:marBottom w:val="0"/>
      <w:divBdr>
        <w:top w:val="none" w:sz="0" w:space="0" w:color="auto"/>
        <w:left w:val="none" w:sz="0" w:space="0" w:color="auto"/>
        <w:bottom w:val="none" w:sz="0" w:space="0" w:color="auto"/>
        <w:right w:val="none" w:sz="0" w:space="0" w:color="auto"/>
      </w:divBdr>
    </w:div>
    <w:div w:id="1561359703">
      <w:bodyDiv w:val="1"/>
      <w:marLeft w:val="0"/>
      <w:marRight w:val="0"/>
      <w:marTop w:val="0"/>
      <w:marBottom w:val="0"/>
      <w:divBdr>
        <w:top w:val="none" w:sz="0" w:space="0" w:color="auto"/>
        <w:left w:val="none" w:sz="0" w:space="0" w:color="auto"/>
        <w:bottom w:val="none" w:sz="0" w:space="0" w:color="auto"/>
        <w:right w:val="none" w:sz="0" w:space="0" w:color="auto"/>
      </w:divBdr>
    </w:div>
    <w:div w:id="1577738003">
      <w:bodyDiv w:val="1"/>
      <w:marLeft w:val="0"/>
      <w:marRight w:val="0"/>
      <w:marTop w:val="0"/>
      <w:marBottom w:val="0"/>
      <w:divBdr>
        <w:top w:val="none" w:sz="0" w:space="0" w:color="auto"/>
        <w:left w:val="none" w:sz="0" w:space="0" w:color="auto"/>
        <w:bottom w:val="none" w:sz="0" w:space="0" w:color="auto"/>
        <w:right w:val="none" w:sz="0" w:space="0" w:color="auto"/>
      </w:divBdr>
    </w:div>
    <w:div w:id="1577739747">
      <w:bodyDiv w:val="1"/>
      <w:marLeft w:val="0"/>
      <w:marRight w:val="0"/>
      <w:marTop w:val="0"/>
      <w:marBottom w:val="0"/>
      <w:divBdr>
        <w:top w:val="none" w:sz="0" w:space="0" w:color="auto"/>
        <w:left w:val="none" w:sz="0" w:space="0" w:color="auto"/>
        <w:bottom w:val="none" w:sz="0" w:space="0" w:color="auto"/>
        <w:right w:val="none" w:sz="0" w:space="0" w:color="auto"/>
      </w:divBdr>
    </w:div>
    <w:div w:id="1591699196">
      <w:bodyDiv w:val="1"/>
      <w:marLeft w:val="0"/>
      <w:marRight w:val="0"/>
      <w:marTop w:val="0"/>
      <w:marBottom w:val="0"/>
      <w:divBdr>
        <w:top w:val="none" w:sz="0" w:space="0" w:color="auto"/>
        <w:left w:val="none" w:sz="0" w:space="0" w:color="auto"/>
        <w:bottom w:val="none" w:sz="0" w:space="0" w:color="auto"/>
        <w:right w:val="none" w:sz="0" w:space="0" w:color="auto"/>
      </w:divBdr>
    </w:div>
    <w:div w:id="1621297489">
      <w:bodyDiv w:val="1"/>
      <w:marLeft w:val="0"/>
      <w:marRight w:val="0"/>
      <w:marTop w:val="0"/>
      <w:marBottom w:val="0"/>
      <w:divBdr>
        <w:top w:val="none" w:sz="0" w:space="0" w:color="auto"/>
        <w:left w:val="none" w:sz="0" w:space="0" w:color="auto"/>
        <w:bottom w:val="none" w:sz="0" w:space="0" w:color="auto"/>
        <w:right w:val="none" w:sz="0" w:space="0" w:color="auto"/>
      </w:divBdr>
    </w:div>
    <w:div w:id="1651322808">
      <w:bodyDiv w:val="1"/>
      <w:marLeft w:val="0"/>
      <w:marRight w:val="0"/>
      <w:marTop w:val="0"/>
      <w:marBottom w:val="0"/>
      <w:divBdr>
        <w:top w:val="none" w:sz="0" w:space="0" w:color="auto"/>
        <w:left w:val="none" w:sz="0" w:space="0" w:color="auto"/>
        <w:bottom w:val="none" w:sz="0" w:space="0" w:color="auto"/>
        <w:right w:val="none" w:sz="0" w:space="0" w:color="auto"/>
      </w:divBdr>
    </w:div>
    <w:div w:id="1682120612">
      <w:bodyDiv w:val="1"/>
      <w:marLeft w:val="0"/>
      <w:marRight w:val="0"/>
      <w:marTop w:val="0"/>
      <w:marBottom w:val="0"/>
      <w:divBdr>
        <w:top w:val="none" w:sz="0" w:space="0" w:color="auto"/>
        <w:left w:val="none" w:sz="0" w:space="0" w:color="auto"/>
        <w:bottom w:val="none" w:sz="0" w:space="0" w:color="auto"/>
        <w:right w:val="none" w:sz="0" w:space="0" w:color="auto"/>
      </w:divBdr>
    </w:div>
    <w:div w:id="1696661648">
      <w:bodyDiv w:val="1"/>
      <w:marLeft w:val="0"/>
      <w:marRight w:val="0"/>
      <w:marTop w:val="0"/>
      <w:marBottom w:val="0"/>
      <w:divBdr>
        <w:top w:val="none" w:sz="0" w:space="0" w:color="auto"/>
        <w:left w:val="none" w:sz="0" w:space="0" w:color="auto"/>
        <w:bottom w:val="none" w:sz="0" w:space="0" w:color="auto"/>
        <w:right w:val="none" w:sz="0" w:space="0" w:color="auto"/>
      </w:divBdr>
    </w:div>
    <w:div w:id="1731880352">
      <w:bodyDiv w:val="1"/>
      <w:marLeft w:val="0"/>
      <w:marRight w:val="0"/>
      <w:marTop w:val="0"/>
      <w:marBottom w:val="0"/>
      <w:divBdr>
        <w:top w:val="none" w:sz="0" w:space="0" w:color="auto"/>
        <w:left w:val="none" w:sz="0" w:space="0" w:color="auto"/>
        <w:bottom w:val="none" w:sz="0" w:space="0" w:color="auto"/>
        <w:right w:val="none" w:sz="0" w:space="0" w:color="auto"/>
      </w:divBdr>
    </w:div>
    <w:div w:id="1743143643">
      <w:bodyDiv w:val="1"/>
      <w:marLeft w:val="0"/>
      <w:marRight w:val="0"/>
      <w:marTop w:val="0"/>
      <w:marBottom w:val="0"/>
      <w:divBdr>
        <w:top w:val="none" w:sz="0" w:space="0" w:color="auto"/>
        <w:left w:val="none" w:sz="0" w:space="0" w:color="auto"/>
        <w:bottom w:val="none" w:sz="0" w:space="0" w:color="auto"/>
        <w:right w:val="none" w:sz="0" w:space="0" w:color="auto"/>
      </w:divBdr>
    </w:div>
    <w:div w:id="1745956657">
      <w:bodyDiv w:val="1"/>
      <w:marLeft w:val="0"/>
      <w:marRight w:val="0"/>
      <w:marTop w:val="0"/>
      <w:marBottom w:val="0"/>
      <w:divBdr>
        <w:top w:val="none" w:sz="0" w:space="0" w:color="auto"/>
        <w:left w:val="none" w:sz="0" w:space="0" w:color="auto"/>
        <w:bottom w:val="none" w:sz="0" w:space="0" w:color="auto"/>
        <w:right w:val="none" w:sz="0" w:space="0" w:color="auto"/>
      </w:divBdr>
    </w:div>
    <w:div w:id="1746607444">
      <w:bodyDiv w:val="1"/>
      <w:marLeft w:val="0"/>
      <w:marRight w:val="0"/>
      <w:marTop w:val="0"/>
      <w:marBottom w:val="0"/>
      <w:divBdr>
        <w:top w:val="none" w:sz="0" w:space="0" w:color="auto"/>
        <w:left w:val="none" w:sz="0" w:space="0" w:color="auto"/>
        <w:bottom w:val="none" w:sz="0" w:space="0" w:color="auto"/>
        <w:right w:val="none" w:sz="0" w:space="0" w:color="auto"/>
      </w:divBdr>
    </w:div>
    <w:div w:id="1747264759">
      <w:bodyDiv w:val="1"/>
      <w:marLeft w:val="0"/>
      <w:marRight w:val="0"/>
      <w:marTop w:val="0"/>
      <w:marBottom w:val="0"/>
      <w:divBdr>
        <w:top w:val="none" w:sz="0" w:space="0" w:color="auto"/>
        <w:left w:val="none" w:sz="0" w:space="0" w:color="auto"/>
        <w:bottom w:val="none" w:sz="0" w:space="0" w:color="auto"/>
        <w:right w:val="none" w:sz="0" w:space="0" w:color="auto"/>
      </w:divBdr>
    </w:div>
    <w:div w:id="1772773815">
      <w:bodyDiv w:val="1"/>
      <w:marLeft w:val="0"/>
      <w:marRight w:val="0"/>
      <w:marTop w:val="0"/>
      <w:marBottom w:val="0"/>
      <w:divBdr>
        <w:top w:val="none" w:sz="0" w:space="0" w:color="auto"/>
        <w:left w:val="none" w:sz="0" w:space="0" w:color="auto"/>
        <w:bottom w:val="none" w:sz="0" w:space="0" w:color="auto"/>
        <w:right w:val="none" w:sz="0" w:space="0" w:color="auto"/>
      </w:divBdr>
    </w:div>
    <w:div w:id="1777139973">
      <w:bodyDiv w:val="1"/>
      <w:marLeft w:val="0"/>
      <w:marRight w:val="0"/>
      <w:marTop w:val="0"/>
      <w:marBottom w:val="0"/>
      <w:divBdr>
        <w:top w:val="none" w:sz="0" w:space="0" w:color="auto"/>
        <w:left w:val="none" w:sz="0" w:space="0" w:color="auto"/>
        <w:bottom w:val="none" w:sz="0" w:space="0" w:color="auto"/>
        <w:right w:val="none" w:sz="0" w:space="0" w:color="auto"/>
      </w:divBdr>
    </w:div>
    <w:div w:id="1797604557">
      <w:bodyDiv w:val="1"/>
      <w:marLeft w:val="0"/>
      <w:marRight w:val="0"/>
      <w:marTop w:val="0"/>
      <w:marBottom w:val="0"/>
      <w:divBdr>
        <w:top w:val="none" w:sz="0" w:space="0" w:color="auto"/>
        <w:left w:val="none" w:sz="0" w:space="0" w:color="auto"/>
        <w:bottom w:val="none" w:sz="0" w:space="0" w:color="auto"/>
        <w:right w:val="none" w:sz="0" w:space="0" w:color="auto"/>
      </w:divBdr>
    </w:div>
    <w:div w:id="1843860079">
      <w:bodyDiv w:val="1"/>
      <w:marLeft w:val="0"/>
      <w:marRight w:val="0"/>
      <w:marTop w:val="0"/>
      <w:marBottom w:val="0"/>
      <w:divBdr>
        <w:top w:val="none" w:sz="0" w:space="0" w:color="auto"/>
        <w:left w:val="none" w:sz="0" w:space="0" w:color="auto"/>
        <w:bottom w:val="none" w:sz="0" w:space="0" w:color="auto"/>
        <w:right w:val="none" w:sz="0" w:space="0" w:color="auto"/>
      </w:divBdr>
    </w:div>
    <w:div w:id="1888225885">
      <w:bodyDiv w:val="1"/>
      <w:marLeft w:val="0"/>
      <w:marRight w:val="0"/>
      <w:marTop w:val="0"/>
      <w:marBottom w:val="0"/>
      <w:divBdr>
        <w:top w:val="none" w:sz="0" w:space="0" w:color="auto"/>
        <w:left w:val="none" w:sz="0" w:space="0" w:color="auto"/>
        <w:bottom w:val="none" w:sz="0" w:space="0" w:color="auto"/>
        <w:right w:val="none" w:sz="0" w:space="0" w:color="auto"/>
      </w:divBdr>
    </w:div>
    <w:div w:id="1888368121">
      <w:bodyDiv w:val="1"/>
      <w:marLeft w:val="0"/>
      <w:marRight w:val="0"/>
      <w:marTop w:val="0"/>
      <w:marBottom w:val="0"/>
      <w:divBdr>
        <w:top w:val="none" w:sz="0" w:space="0" w:color="auto"/>
        <w:left w:val="none" w:sz="0" w:space="0" w:color="auto"/>
        <w:bottom w:val="none" w:sz="0" w:space="0" w:color="auto"/>
        <w:right w:val="none" w:sz="0" w:space="0" w:color="auto"/>
      </w:divBdr>
    </w:div>
    <w:div w:id="1889487880">
      <w:bodyDiv w:val="1"/>
      <w:marLeft w:val="0"/>
      <w:marRight w:val="0"/>
      <w:marTop w:val="0"/>
      <w:marBottom w:val="0"/>
      <w:divBdr>
        <w:top w:val="none" w:sz="0" w:space="0" w:color="auto"/>
        <w:left w:val="none" w:sz="0" w:space="0" w:color="auto"/>
        <w:bottom w:val="none" w:sz="0" w:space="0" w:color="auto"/>
        <w:right w:val="none" w:sz="0" w:space="0" w:color="auto"/>
      </w:divBdr>
    </w:div>
    <w:div w:id="1955013706">
      <w:bodyDiv w:val="1"/>
      <w:marLeft w:val="0"/>
      <w:marRight w:val="0"/>
      <w:marTop w:val="0"/>
      <w:marBottom w:val="0"/>
      <w:divBdr>
        <w:top w:val="none" w:sz="0" w:space="0" w:color="auto"/>
        <w:left w:val="none" w:sz="0" w:space="0" w:color="auto"/>
        <w:bottom w:val="none" w:sz="0" w:space="0" w:color="auto"/>
        <w:right w:val="none" w:sz="0" w:space="0" w:color="auto"/>
      </w:divBdr>
    </w:div>
    <w:div w:id="1966542854">
      <w:bodyDiv w:val="1"/>
      <w:marLeft w:val="0"/>
      <w:marRight w:val="0"/>
      <w:marTop w:val="0"/>
      <w:marBottom w:val="0"/>
      <w:divBdr>
        <w:top w:val="none" w:sz="0" w:space="0" w:color="auto"/>
        <w:left w:val="none" w:sz="0" w:space="0" w:color="auto"/>
        <w:bottom w:val="none" w:sz="0" w:space="0" w:color="auto"/>
        <w:right w:val="none" w:sz="0" w:space="0" w:color="auto"/>
      </w:divBdr>
    </w:div>
    <w:div w:id="1986540863">
      <w:bodyDiv w:val="1"/>
      <w:marLeft w:val="0"/>
      <w:marRight w:val="0"/>
      <w:marTop w:val="0"/>
      <w:marBottom w:val="0"/>
      <w:divBdr>
        <w:top w:val="none" w:sz="0" w:space="0" w:color="auto"/>
        <w:left w:val="none" w:sz="0" w:space="0" w:color="auto"/>
        <w:bottom w:val="none" w:sz="0" w:space="0" w:color="auto"/>
        <w:right w:val="none" w:sz="0" w:space="0" w:color="auto"/>
      </w:divBdr>
    </w:div>
    <w:div w:id="1988435503">
      <w:bodyDiv w:val="1"/>
      <w:marLeft w:val="0"/>
      <w:marRight w:val="0"/>
      <w:marTop w:val="0"/>
      <w:marBottom w:val="0"/>
      <w:divBdr>
        <w:top w:val="none" w:sz="0" w:space="0" w:color="auto"/>
        <w:left w:val="none" w:sz="0" w:space="0" w:color="auto"/>
        <w:bottom w:val="none" w:sz="0" w:space="0" w:color="auto"/>
        <w:right w:val="none" w:sz="0" w:space="0" w:color="auto"/>
      </w:divBdr>
    </w:div>
    <w:div w:id="2031056941">
      <w:bodyDiv w:val="1"/>
      <w:marLeft w:val="0"/>
      <w:marRight w:val="0"/>
      <w:marTop w:val="0"/>
      <w:marBottom w:val="0"/>
      <w:divBdr>
        <w:top w:val="none" w:sz="0" w:space="0" w:color="auto"/>
        <w:left w:val="none" w:sz="0" w:space="0" w:color="auto"/>
        <w:bottom w:val="none" w:sz="0" w:space="0" w:color="auto"/>
        <w:right w:val="none" w:sz="0" w:space="0" w:color="auto"/>
      </w:divBdr>
    </w:div>
    <w:div w:id="2063744598">
      <w:bodyDiv w:val="1"/>
      <w:marLeft w:val="0"/>
      <w:marRight w:val="0"/>
      <w:marTop w:val="0"/>
      <w:marBottom w:val="0"/>
      <w:divBdr>
        <w:top w:val="none" w:sz="0" w:space="0" w:color="auto"/>
        <w:left w:val="none" w:sz="0" w:space="0" w:color="auto"/>
        <w:bottom w:val="none" w:sz="0" w:space="0" w:color="auto"/>
        <w:right w:val="none" w:sz="0" w:space="0" w:color="auto"/>
      </w:divBdr>
    </w:div>
    <w:div w:id="2071808932">
      <w:bodyDiv w:val="1"/>
      <w:marLeft w:val="0"/>
      <w:marRight w:val="0"/>
      <w:marTop w:val="0"/>
      <w:marBottom w:val="0"/>
      <w:divBdr>
        <w:top w:val="none" w:sz="0" w:space="0" w:color="auto"/>
        <w:left w:val="none" w:sz="0" w:space="0" w:color="auto"/>
        <w:bottom w:val="none" w:sz="0" w:space="0" w:color="auto"/>
        <w:right w:val="none" w:sz="0" w:space="0" w:color="auto"/>
      </w:divBdr>
    </w:div>
    <w:div w:id="210391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http://www.tga.gov.au/hp/information-medicines-pi.htm" TargetMode="External"/><Relationship Id="rId23" Type="http://schemas.openxmlformats.org/officeDocument/2006/relationships/footer" Target="footer4.xml"/><Relationship Id="rId10" Type="http://schemas.openxmlformats.org/officeDocument/2006/relationships/hyperlink" Target="mailto:tga.copyright@tga.gov.au"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image" Target="media/image3.emf"/><Relationship Id="rId22" Type="http://schemas.openxmlformats.org/officeDocument/2006/relationships/header" Target="header7.xm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nn\AppData\Local\Hewlett-Packard\HP%20TRIM\TEMP\HPTRIM.256\t0N74CZW.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0AA69-DF00-4CFB-82CC-16DF91AA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t0N74CZW.DOTX</Template>
  <TotalTime>114</TotalTime>
  <Pages>32</Pages>
  <Words>10624</Words>
  <Characters>58434</Characters>
  <Application>Microsoft Office Word</Application>
  <DocSecurity>0</DocSecurity>
  <Lines>1623</Lines>
  <Paragraphs>1030</Paragraphs>
  <ScaleCrop>false</ScaleCrop>
  <HeadingPairs>
    <vt:vector size="2" baseType="variant">
      <vt:variant>
        <vt:lpstr>Title</vt:lpstr>
      </vt:variant>
      <vt:variant>
        <vt:i4>1</vt:i4>
      </vt:variant>
    </vt:vector>
  </HeadingPairs>
  <TitlesOfParts>
    <vt:vector size="1" baseType="lpstr">
      <vt:lpstr>Australian public assessment for...</vt:lpstr>
    </vt:vector>
  </TitlesOfParts>
  <Company>Department of Health Therapeutic Goods Administration</Company>
  <LinksUpToDate>false</LinksUpToDate>
  <CharactersWithSpaces>68028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Adalimumab</dc:title>
  <dc:subject>prescription medicine regulation</dc:subject>
  <dc:creator>Therapeutic Goods Administration</dc:creator>
  <cp:keywords>auspar, prescription, medicine, assessment, regulation, australia, adalimumab, humira, abbott, australiasia, abbvie</cp:keywords>
  <cp:lastModifiedBy>dixonj</cp:lastModifiedBy>
  <cp:revision>13</cp:revision>
  <cp:lastPrinted>2013-11-19T00:14:00Z</cp:lastPrinted>
  <dcterms:created xsi:type="dcterms:W3CDTF">2014-01-24T00:36:00Z</dcterms:created>
  <dcterms:modified xsi:type="dcterms:W3CDTF">2014-03-18T05:16:00Z</dcterms:modified>
  <cp:category>External publication</cp:category>
</cp:coreProperties>
</file>